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ECFF6" w14:textId="36752BBA" w:rsidR="00754C9A" w:rsidRDefault="000753E0" w:rsidP="00441B6F">
      <w:pPr>
        <w:pStyle w:val="Title"/>
        <w:spacing w:after="0"/>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0753E0">
        <w:rPr>
          <w:rStyle w:val="MTEquationSection"/>
        </w:rPr>
        <w:instrText>公式章</w:instrText>
      </w:r>
      <w:r w:rsidRPr="000753E0">
        <w:rPr>
          <w:rStyle w:val="MTEquationSection"/>
        </w:rPr>
        <w:instrText xml:space="preserve"> 1 </w:instrText>
      </w:r>
      <w:r w:rsidRPr="000753E0">
        <w:rPr>
          <w:rStyle w:val="MTEquationSection"/>
        </w:rPr>
        <w:instrText>节</w:instrText>
      </w:r>
      <w:r w:rsidRPr="000753E0">
        <w:rPr>
          <w:rStyle w:val="MTEquationSection"/>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p>
    <w:p w14:paraId="0FBCCC63" w14:textId="48B67F1B" w:rsidR="00163BC4" w:rsidRPr="00163BC4" w:rsidRDefault="00DD00C6" w:rsidP="00441B6F">
      <w:pPr>
        <w:pStyle w:val="Author"/>
        <w:spacing w:line="240" w:lineRule="auto"/>
        <w:rPr>
          <w:rFonts w:ascii="Arial" w:hAnsi="Arial" w:cs="Arial"/>
          <w:bCs/>
          <w:iCs/>
          <w:kern w:val="28"/>
          <w:sz w:val="36"/>
        </w:rPr>
      </w:pPr>
      <w:r w:rsidRPr="00DD00C6">
        <w:rPr>
          <w:rFonts w:ascii="Arial" w:hAnsi="Arial" w:cs="Arial"/>
          <w:bCs/>
          <w:iCs/>
          <w:kern w:val="28"/>
          <w:sz w:val="36"/>
        </w:rPr>
        <w:t>The influence of intake pressure on the performance of a free-piston hydrogen engine</w:t>
      </w:r>
      <w:r w:rsidR="00231920">
        <w:rPr>
          <w:rFonts w:ascii="Arial" w:hAnsi="Arial" w:cs="Arial"/>
          <w:bCs/>
          <w:iCs/>
          <w:kern w:val="28"/>
          <w:sz w:val="36"/>
        </w:rPr>
        <w:t xml:space="preserve"> </w:t>
      </w:r>
    </w:p>
    <w:p w14:paraId="58F9B865" w14:textId="77777777" w:rsidR="00A258C3" w:rsidRPr="00790ADA" w:rsidRDefault="00A258C3" w:rsidP="00441B6F">
      <w:pPr>
        <w:pStyle w:val="Author"/>
        <w:spacing w:line="240" w:lineRule="auto"/>
        <w:jc w:val="both"/>
        <w:rPr>
          <w:rFonts w:ascii="Arial" w:hAnsi="Arial" w:cs="Arial"/>
          <w:sz w:val="36"/>
        </w:rPr>
      </w:pPr>
    </w:p>
    <w:p w14:paraId="3071D4CA" w14:textId="77777777" w:rsidR="00F2661F" w:rsidRPr="00ED4EAC" w:rsidRDefault="00F2661F" w:rsidP="001F1D9E">
      <w:pPr>
        <w:pStyle w:val="Affiliation"/>
        <w:spacing w:after="0" w:line="240" w:lineRule="auto"/>
        <w:rPr>
          <w:rFonts w:ascii="Arial" w:hAnsi="Arial" w:cs="Arial"/>
          <w:i/>
          <w:lang w:eastAsia="zh-CN"/>
        </w:rPr>
      </w:pPr>
    </w:p>
    <w:p w14:paraId="0B69EFFE" w14:textId="77777777" w:rsidR="00F2661F" w:rsidRPr="001F1D9E" w:rsidRDefault="00F2661F" w:rsidP="001F1D9E">
      <w:pPr>
        <w:pStyle w:val="Affiliation"/>
        <w:spacing w:after="0" w:line="240" w:lineRule="auto"/>
        <w:rPr>
          <w:rFonts w:ascii="Arial" w:hAnsi="Arial" w:cs="Arial"/>
          <w:i/>
          <w:lang w:eastAsia="zh-CN"/>
        </w:rPr>
      </w:pPr>
    </w:p>
    <w:p w14:paraId="5E87C927" w14:textId="1865F3F3" w:rsidR="00B01FCD" w:rsidRPr="00FB3A86" w:rsidRDefault="000410C2" w:rsidP="00441B6F">
      <w:pPr>
        <w:pStyle w:val="Copyright"/>
        <w:spacing w:after="0" w:line="240" w:lineRule="auto"/>
        <w:jc w:val="both"/>
        <w:rPr>
          <w:rFonts w:ascii="Arial" w:hAnsi="Arial" w:cs="Arial"/>
        </w:rPr>
        <w:sectPr w:rsidR="00B01FCD" w:rsidRPr="00FB3A86" w:rsidSect="00D75C3A">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4F108A" wp14:editId="76CC5857">
                <wp:extent cx="5303520" cy="635"/>
                <wp:effectExtent l="13335" t="13335" r="17145" b="15240"/>
                <wp:docPr id="7551560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19AB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A3CC971" w14:textId="14BD4C27" w:rsidR="00B01FCD" w:rsidRDefault="00B01FCD" w:rsidP="00441B6F">
      <w:pPr>
        <w:pStyle w:val="AbstHead"/>
        <w:spacing w:after="0"/>
        <w:jc w:val="both"/>
        <w:rPr>
          <w:rFonts w:ascii="Arial" w:hAnsi="Arial" w:cs="Arial"/>
        </w:rPr>
      </w:pPr>
      <w:r w:rsidRPr="00FB3A86">
        <w:rPr>
          <w:rFonts w:ascii="Arial" w:hAnsi="Arial" w:cs="Arial"/>
        </w:rPr>
        <w:t>ABSTRACT</w:t>
      </w:r>
    </w:p>
    <w:p w14:paraId="2908B99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962A90C" w14:textId="77777777" w:rsidTr="001E44FE">
        <w:tc>
          <w:tcPr>
            <w:tcW w:w="9576" w:type="dxa"/>
            <w:shd w:val="clear" w:color="auto" w:fill="F2F2F2"/>
          </w:tcPr>
          <w:p w14:paraId="6150D36E" w14:textId="4E877423" w:rsidR="00E57BE6" w:rsidRDefault="00BA1B01" w:rsidP="00441B6F">
            <w:pPr>
              <w:pStyle w:val="Body"/>
              <w:spacing w:after="0"/>
              <w:rPr>
                <w:rFonts w:ascii="Arial" w:hAnsi="Arial" w:cs="Arial"/>
                <w:szCs w:val="22"/>
                <w:lang w:eastAsia="zh-CN"/>
              </w:rPr>
            </w:pPr>
            <w:r w:rsidRPr="00BA1B01">
              <w:rPr>
                <w:rFonts w:ascii="Arial" w:eastAsia="Calibri" w:hAnsi="Arial" w:cs="Arial"/>
                <w:b/>
                <w:szCs w:val="22"/>
              </w:rPr>
              <w:t>Aims:</w:t>
            </w:r>
            <w:r w:rsidR="009232C3">
              <w:rPr>
                <w:rFonts w:ascii="Arial" w:hAnsi="Arial" w:cs="Arial" w:hint="eastAsia"/>
                <w:b/>
                <w:szCs w:val="22"/>
                <w:lang w:eastAsia="zh-CN"/>
              </w:rPr>
              <w:t xml:space="preserve"> </w:t>
            </w:r>
            <w:r w:rsidR="00E57BE6" w:rsidRPr="00E57BE6">
              <w:rPr>
                <w:rFonts w:ascii="Arial" w:eastAsia="Calibri" w:hAnsi="Arial" w:cs="Arial"/>
                <w:szCs w:val="22"/>
              </w:rPr>
              <w:t>This paper selects the free-piston hydrogen engine as its research subject, concentrating on investigating the coupled impacts of intake pressure on in-cylinder combustion, airflow dynamics, heat transfer, and emissions, with the aim of identifying the optimal operating conditions.</w:t>
            </w:r>
          </w:p>
          <w:p w14:paraId="6F9A5EF3" w14:textId="5BEF16E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9232C3" w:rsidRPr="009232C3">
              <w:rPr>
                <w:rFonts w:ascii="Segoe UI" w:hAnsi="Segoe UI" w:cs="Segoe UI"/>
                <w:sz w:val="21"/>
                <w:szCs w:val="21"/>
                <w:shd w:val="clear" w:color="auto" w:fill="EDF1F9"/>
              </w:rPr>
              <w:t xml:space="preserve"> </w:t>
            </w:r>
            <w:r w:rsidR="009232C3" w:rsidRPr="009232C3">
              <w:rPr>
                <w:rFonts w:ascii="Arial" w:eastAsia="Calibri" w:hAnsi="Arial" w:cs="Arial"/>
                <w:szCs w:val="22"/>
              </w:rPr>
              <w:t xml:space="preserve">A simulation model was developed by employing a coupled dynamics and thermodynamics methodology, and iterative computations were utilized to dynamically update the piston motion trajectory and combustion model. Subsequently, a three-dimensional model was constructed, incorporating the ECFM 3Z combustion model and the Han Reitz heat transfer model, while the extended </w:t>
            </w:r>
            <w:proofErr w:type="spellStart"/>
            <w:r w:rsidR="009232C3" w:rsidRPr="009232C3">
              <w:rPr>
                <w:rFonts w:ascii="Arial" w:eastAsia="Calibri" w:hAnsi="Arial" w:cs="Arial"/>
                <w:szCs w:val="22"/>
              </w:rPr>
              <w:t>Zeldovich</w:t>
            </w:r>
            <w:proofErr w:type="spellEnd"/>
            <w:r w:rsidR="009232C3" w:rsidRPr="009232C3">
              <w:rPr>
                <w:rFonts w:ascii="Arial" w:eastAsia="Calibri" w:hAnsi="Arial" w:cs="Arial"/>
                <w:szCs w:val="22"/>
              </w:rPr>
              <w:t xml:space="preserve"> mechanism was adopted to delineate NO formation. Ultimately, the reliability of the simulation model was validated through a comparative analysis of in-cylinder pressure and heat release rate, thereby laying a groundwork for subsequent parametric investigations.</w:t>
            </w:r>
          </w:p>
          <w:p w14:paraId="073B408B" w14:textId="2E9A613B" w:rsidR="00BA1B01" w:rsidRPr="00990AF5" w:rsidRDefault="00BA1B01" w:rsidP="00441B6F">
            <w:pPr>
              <w:pStyle w:val="Body"/>
              <w:spacing w:after="0"/>
              <w:rPr>
                <w:rFonts w:ascii="Arial" w:hAnsi="Arial" w:cs="Arial"/>
                <w:szCs w:val="22"/>
                <w:lang w:eastAsia="zh-CN"/>
              </w:rPr>
            </w:pPr>
            <w:r w:rsidRPr="00BA1B01">
              <w:rPr>
                <w:rFonts w:ascii="Arial" w:eastAsia="Calibri" w:hAnsi="Arial" w:cs="Arial"/>
                <w:b/>
                <w:bCs/>
                <w:szCs w:val="22"/>
              </w:rPr>
              <w:t>Methodology:</w:t>
            </w:r>
            <w:r w:rsidRPr="00BA1B01">
              <w:rPr>
                <w:rFonts w:ascii="Arial" w:eastAsia="Calibri" w:hAnsi="Arial" w:cs="Arial"/>
                <w:szCs w:val="22"/>
              </w:rPr>
              <w:t xml:space="preserve"> </w:t>
            </w:r>
            <w:r w:rsidR="00596A55" w:rsidRPr="00596A55">
              <w:rPr>
                <w:rFonts w:ascii="Arial" w:eastAsia="Calibri" w:hAnsi="Arial" w:cs="Arial"/>
                <w:szCs w:val="22"/>
              </w:rPr>
              <w:t>This article conducts research on parameters such as combustion, heat transfer, and emissions under different intake pressures, aiming to obtain the optimal operating conditions</w:t>
            </w:r>
            <w:r w:rsidR="00990AF5">
              <w:rPr>
                <w:rFonts w:ascii="Arial" w:hAnsi="Arial" w:cs="Arial" w:hint="eastAsia"/>
                <w:szCs w:val="22"/>
                <w:lang w:eastAsia="zh-CN"/>
              </w:rPr>
              <w:t>.</w:t>
            </w:r>
            <w:r w:rsidR="00990AF5">
              <w:t xml:space="preserve"> </w:t>
            </w:r>
          </w:p>
          <w:p w14:paraId="0727CCFF" w14:textId="57055402" w:rsidR="00BA1B01" w:rsidRPr="005825F7" w:rsidRDefault="00BA1B01" w:rsidP="00441B6F">
            <w:pPr>
              <w:pStyle w:val="Body"/>
              <w:spacing w:after="0"/>
              <w:rPr>
                <w:rFonts w:ascii="Arial" w:hAnsi="Arial" w:cs="Arial"/>
                <w:b/>
                <w:bCs/>
                <w:szCs w:val="22"/>
                <w:lang w:eastAsia="zh-CN"/>
              </w:rPr>
            </w:pPr>
            <w:r w:rsidRPr="00BA1B01">
              <w:rPr>
                <w:rFonts w:ascii="Arial" w:eastAsia="Calibri" w:hAnsi="Arial" w:cs="Arial"/>
                <w:b/>
                <w:bCs/>
                <w:szCs w:val="22"/>
              </w:rPr>
              <w:t>Results:</w:t>
            </w:r>
            <w:r w:rsidRPr="00BA1B01">
              <w:rPr>
                <w:rFonts w:ascii="Arial" w:eastAsia="Calibri" w:hAnsi="Arial" w:cs="Arial"/>
                <w:szCs w:val="22"/>
              </w:rPr>
              <w:t xml:space="preserve"> </w:t>
            </w:r>
            <w:r w:rsidR="00B66B57" w:rsidRPr="00B66B57">
              <w:rPr>
                <w:rFonts w:ascii="Arial" w:eastAsia="Calibri" w:hAnsi="Arial" w:cs="Arial"/>
                <w:szCs w:val="22"/>
              </w:rPr>
              <w:t>When the intake pressure increased from 0.10 MPa to 0.18 MPa, the total heat transfer increased from 35.72 J to 38.83 J. The multi-objective evaluation results in terms of power performance, fuel economy, and emissions indicate that both the indicated mean effective pressure (IMEP) and indicated thermal efficiency exhibited increasing trends. Specifically, the IMEP increased from 0.5866 MPa to 0.6446 MPa, while the indicated thermal efficiency increased from 41.999% to 45.329%. In addition, with increasing intake pressure, the NO mass fraction increased significantly, whereas the soot mass fraction continuously decreased</w:t>
            </w:r>
            <w:r w:rsidR="00753931" w:rsidRPr="00753931">
              <w:rPr>
                <w:rFonts w:ascii="Arial" w:eastAsia="Calibri" w:hAnsi="Arial" w:cs="Arial"/>
                <w:szCs w:val="22"/>
              </w:rPr>
              <w:t>.</w:t>
            </w:r>
          </w:p>
          <w:p w14:paraId="3EE81B0D" w14:textId="32AA693D" w:rsidR="00505F06" w:rsidRPr="001F5D8D" w:rsidRDefault="00BA1B01" w:rsidP="00441B6F">
            <w:pPr>
              <w:pStyle w:val="Body"/>
              <w:spacing w:after="0"/>
              <w:rPr>
                <w:rFonts w:ascii="Arial" w:hAnsi="Arial" w:cs="Arial"/>
                <w:szCs w:val="22"/>
                <w:lang w:eastAsia="zh-CN"/>
              </w:rPr>
            </w:pPr>
            <w:r w:rsidRPr="00BA1B01">
              <w:rPr>
                <w:rFonts w:ascii="Arial" w:eastAsia="Calibri" w:hAnsi="Arial" w:cs="Arial"/>
                <w:b/>
                <w:bCs/>
                <w:szCs w:val="22"/>
              </w:rPr>
              <w:t>Conclusion:</w:t>
            </w:r>
            <w:r w:rsidRPr="00BA1B01">
              <w:rPr>
                <w:rFonts w:ascii="Arial" w:eastAsia="Calibri" w:hAnsi="Arial" w:cs="Arial"/>
                <w:szCs w:val="22"/>
              </w:rPr>
              <w:t xml:space="preserve"> </w:t>
            </w:r>
            <w:r w:rsidR="00753931" w:rsidRPr="00753931">
              <w:rPr>
                <w:rFonts w:ascii="Arial" w:eastAsia="Calibri" w:hAnsi="Arial" w:cs="Arial"/>
                <w:szCs w:val="22"/>
              </w:rPr>
              <w:t>This article employs the linear weighted sum method to conduct multi-objective optimization analysis for various operating conditions. The optimization results indicate that within the studied operating range, the comprehensive evaluation result is optimal when the intake pressure is 0.16 MPa. However, due to certain limitations in both the research scope and computational workload of this article, further detailed analysis of the aforementioned range was not conducted</w:t>
            </w:r>
            <w:r w:rsidRPr="00BA1B01">
              <w:rPr>
                <w:rFonts w:ascii="Arial" w:eastAsia="Calibri" w:hAnsi="Arial" w:cs="Arial"/>
                <w:szCs w:val="22"/>
              </w:rPr>
              <w:t>.</w:t>
            </w:r>
          </w:p>
        </w:tc>
      </w:tr>
    </w:tbl>
    <w:p w14:paraId="08FC1DB6" w14:textId="77777777" w:rsidR="00636EB2" w:rsidRDefault="00636EB2" w:rsidP="00441B6F">
      <w:pPr>
        <w:pStyle w:val="Body"/>
        <w:spacing w:after="0"/>
        <w:rPr>
          <w:rFonts w:ascii="Arial" w:hAnsi="Arial" w:cs="Arial"/>
          <w:i/>
        </w:rPr>
      </w:pPr>
    </w:p>
    <w:p w14:paraId="4B0C7541" w14:textId="2B7353C1" w:rsidR="00A24E7E" w:rsidRDefault="00A24E7E" w:rsidP="00441B6F">
      <w:pPr>
        <w:pStyle w:val="Body"/>
        <w:spacing w:after="0"/>
        <w:rPr>
          <w:rFonts w:ascii="Arial" w:hAnsi="Arial" w:cs="Arial"/>
          <w:i/>
          <w:lang w:eastAsia="zh-CN"/>
        </w:rPr>
      </w:pPr>
      <w:r>
        <w:rPr>
          <w:rFonts w:ascii="Arial" w:hAnsi="Arial" w:cs="Arial"/>
          <w:i/>
        </w:rPr>
        <w:t>Keywords:</w:t>
      </w:r>
      <w:r w:rsidR="00883BBB" w:rsidRPr="00883BBB">
        <w:rPr>
          <w:rFonts w:cs="SimSun" w:hint="eastAsia"/>
          <w:bCs/>
          <w:noProof/>
          <w:snapToGrid w:val="0"/>
          <w:color w:val="000000"/>
          <w:szCs w:val="28"/>
        </w:rPr>
        <w:t xml:space="preserve"> </w:t>
      </w:r>
      <w:r w:rsidR="00883BBB" w:rsidRPr="00883BBB">
        <w:rPr>
          <w:rFonts w:ascii="Arial" w:hAnsi="Arial" w:cs="SimSun" w:hint="eastAsia"/>
          <w:bCs/>
          <w:i/>
          <w:noProof/>
          <w:snapToGrid w:val="0"/>
          <w:color w:val="000000"/>
          <w:szCs w:val="28"/>
        </w:rPr>
        <w:t>F</w:t>
      </w:r>
      <w:r w:rsidR="00883BBB" w:rsidRPr="00883BBB">
        <w:rPr>
          <w:rFonts w:ascii="Arial" w:hAnsi="Arial" w:cs="SimSun"/>
          <w:bCs/>
          <w:i/>
          <w:noProof/>
          <w:snapToGrid w:val="0"/>
          <w:color w:val="000000"/>
          <w:szCs w:val="28"/>
        </w:rPr>
        <w:t>ree</w:t>
      </w:r>
      <w:r w:rsidR="00883BBB" w:rsidRPr="00883BBB">
        <w:rPr>
          <w:rFonts w:ascii="Arial" w:hAnsi="Arial" w:cs="SimSun" w:hint="eastAsia"/>
          <w:bCs/>
          <w:i/>
          <w:noProof/>
          <w:snapToGrid w:val="0"/>
          <w:color w:val="000000"/>
          <w:szCs w:val="28"/>
        </w:rPr>
        <w:t xml:space="preserve"> </w:t>
      </w:r>
      <w:r w:rsidR="00883BBB" w:rsidRPr="00883BBB">
        <w:rPr>
          <w:rFonts w:ascii="Arial" w:hAnsi="Arial" w:cs="SimSun"/>
          <w:bCs/>
          <w:i/>
          <w:noProof/>
          <w:snapToGrid w:val="0"/>
          <w:color w:val="000000"/>
          <w:szCs w:val="28"/>
        </w:rPr>
        <w:t xml:space="preserve">piston </w:t>
      </w:r>
      <w:r w:rsidR="00883BBB" w:rsidRPr="00883BBB">
        <w:rPr>
          <w:rFonts w:ascii="Arial" w:hAnsi="Arial" w:cs="SimSun" w:hint="eastAsia"/>
          <w:bCs/>
          <w:i/>
          <w:noProof/>
          <w:snapToGrid w:val="0"/>
          <w:color w:val="000000"/>
          <w:szCs w:val="28"/>
        </w:rPr>
        <w:t>H</w:t>
      </w:r>
      <w:r w:rsidR="00883BBB" w:rsidRPr="00883BBB">
        <w:rPr>
          <w:rFonts w:ascii="Arial" w:hAnsi="Arial" w:cs="SimSun"/>
          <w:bCs/>
          <w:i/>
          <w:noProof/>
          <w:snapToGrid w:val="0"/>
          <w:color w:val="000000"/>
          <w:szCs w:val="28"/>
        </w:rPr>
        <w:t xml:space="preserve">ydrogen </w:t>
      </w:r>
      <w:proofErr w:type="spellStart"/>
      <w:proofErr w:type="gramStart"/>
      <w:r w:rsidR="00883BBB" w:rsidRPr="00883BBB">
        <w:rPr>
          <w:rFonts w:ascii="Arial" w:hAnsi="Arial" w:cs="SimSun" w:hint="eastAsia"/>
          <w:bCs/>
          <w:i/>
          <w:noProof/>
          <w:snapToGrid w:val="0"/>
          <w:color w:val="000000"/>
          <w:szCs w:val="28"/>
        </w:rPr>
        <w:t>E</w:t>
      </w:r>
      <w:r w:rsidR="00883BBB" w:rsidRPr="00883BBB">
        <w:rPr>
          <w:rFonts w:ascii="Arial" w:hAnsi="Arial" w:cs="SimSun"/>
          <w:bCs/>
          <w:i/>
          <w:noProof/>
          <w:snapToGrid w:val="0"/>
          <w:color w:val="000000"/>
          <w:szCs w:val="28"/>
        </w:rPr>
        <w:t>ngine</w:t>
      </w:r>
      <w:r w:rsidR="00343E64">
        <w:rPr>
          <w:rFonts w:ascii="Arial" w:hAnsi="Arial" w:cs="Arial" w:hint="eastAsia"/>
          <w:i/>
          <w:lang w:eastAsia="zh-CN"/>
        </w:rPr>
        <w:t>;</w:t>
      </w:r>
      <w:r w:rsidR="00883BBB" w:rsidRPr="00591EE1">
        <w:rPr>
          <w:rFonts w:cs="SimSun" w:hint="eastAsia"/>
          <w:bCs/>
          <w:noProof/>
          <w:snapToGrid w:val="0"/>
          <w:color w:val="000000"/>
          <w:szCs w:val="28"/>
        </w:rPr>
        <w:t>I</w:t>
      </w:r>
      <w:r w:rsidR="00883BBB" w:rsidRPr="00591EE1">
        <w:rPr>
          <w:rFonts w:cs="SimSun"/>
          <w:bCs/>
          <w:noProof/>
          <w:snapToGrid w:val="0"/>
          <w:color w:val="000000"/>
          <w:szCs w:val="28"/>
        </w:rPr>
        <w:t>ntake</w:t>
      </w:r>
      <w:proofErr w:type="spellEnd"/>
      <w:proofErr w:type="gramEnd"/>
      <w:r w:rsidR="00883BBB" w:rsidRPr="00591EE1">
        <w:rPr>
          <w:rFonts w:cs="SimSun"/>
          <w:bCs/>
          <w:noProof/>
          <w:snapToGrid w:val="0"/>
          <w:color w:val="000000"/>
          <w:szCs w:val="28"/>
        </w:rPr>
        <w:t xml:space="preserve"> </w:t>
      </w:r>
      <w:r w:rsidR="00883BBB" w:rsidRPr="00591EE1">
        <w:rPr>
          <w:rFonts w:cs="SimSun" w:hint="eastAsia"/>
          <w:bCs/>
          <w:noProof/>
          <w:snapToGrid w:val="0"/>
          <w:color w:val="000000"/>
          <w:szCs w:val="28"/>
        </w:rPr>
        <w:t>P</w:t>
      </w:r>
      <w:r w:rsidR="00883BBB" w:rsidRPr="00591EE1">
        <w:rPr>
          <w:rFonts w:cs="SimSun"/>
          <w:bCs/>
          <w:noProof/>
          <w:snapToGrid w:val="0"/>
          <w:color w:val="000000"/>
          <w:szCs w:val="28"/>
        </w:rPr>
        <w:t>ressure</w:t>
      </w:r>
      <w:r w:rsidR="00343E64">
        <w:rPr>
          <w:rFonts w:ascii="Arial" w:hAnsi="Arial" w:cs="Arial" w:hint="eastAsia"/>
          <w:i/>
          <w:lang w:eastAsia="zh-CN"/>
        </w:rPr>
        <w:t>;</w:t>
      </w:r>
      <w:r w:rsidR="00343E64" w:rsidRPr="00343E64">
        <w:rPr>
          <w:rFonts w:cs="SimSun" w:hint="eastAsia"/>
          <w:bCs/>
          <w:noProof/>
          <w:snapToGrid w:val="0"/>
          <w:color w:val="000000"/>
          <w:szCs w:val="28"/>
        </w:rPr>
        <w:t xml:space="preserve"> </w:t>
      </w:r>
      <w:r w:rsidR="00343E64" w:rsidRPr="00591EE1">
        <w:rPr>
          <w:rFonts w:cs="SimSun" w:hint="eastAsia"/>
          <w:bCs/>
          <w:noProof/>
          <w:snapToGrid w:val="0"/>
          <w:color w:val="000000"/>
          <w:szCs w:val="28"/>
        </w:rPr>
        <w:t>H</w:t>
      </w:r>
      <w:r w:rsidR="00343E64" w:rsidRPr="00591EE1">
        <w:rPr>
          <w:rFonts w:cs="SimSun"/>
          <w:bCs/>
          <w:noProof/>
          <w:snapToGrid w:val="0"/>
          <w:color w:val="000000"/>
          <w:szCs w:val="28"/>
        </w:rPr>
        <w:t xml:space="preserve">eat </w:t>
      </w:r>
      <w:r w:rsidR="00343E64" w:rsidRPr="00591EE1">
        <w:rPr>
          <w:rFonts w:cs="SimSun" w:hint="eastAsia"/>
          <w:bCs/>
          <w:noProof/>
          <w:snapToGrid w:val="0"/>
          <w:color w:val="000000"/>
          <w:szCs w:val="28"/>
        </w:rPr>
        <w:t>T</w:t>
      </w:r>
      <w:r w:rsidR="00343E64" w:rsidRPr="00591EE1">
        <w:rPr>
          <w:rFonts w:cs="SimSun"/>
          <w:bCs/>
          <w:noProof/>
          <w:snapToGrid w:val="0"/>
          <w:color w:val="000000"/>
          <w:szCs w:val="28"/>
        </w:rPr>
        <w:t>ransfer</w:t>
      </w:r>
      <w:r w:rsidR="00343E64">
        <w:rPr>
          <w:rFonts w:ascii="Arial" w:hAnsi="Arial" w:cs="Arial" w:hint="eastAsia"/>
          <w:i/>
          <w:lang w:eastAsia="zh-CN"/>
        </w:rPr>
        <w:t>;</w:t>
      </w:r>
      <w:r w:rsidR="00FC0A32" w:rsidRPr="00591EE1">
        <w:rPr>
          <w:rFonts w:cs="SimSun"/>
          <w:bCs/>
          <w:noProof/>
          <w:snapToGrid w:val="0"/>
          <w:color w:val="000000"/>
          <w:szCs w:val="28"/>
        </w:rPr>
        <w:t xml:space="preserve"> </w:t>
      </w:r>
      <w:r w:rsidR="00FC0A32" w:rsidRPr="00591EE1">
        <w:rPr>
          <w:rFonts w:cs="SimSun" w:hint="eastAsia"/>
          <w:bCs/>
          <w:noProof/>
          <w:snapToGrid w:val="0"/>
          <w:color w:val="000000"/>
          <w:szCs w:val="28"/>
        </w:rPr>
        <w:t>E</w:t>
      </w:r>
      <w:r w:rsidR="00FC0A32" w:rsidRPr="00591EE1">
        <w:rPr>
          <w:rFonts w:cs="SimSun"/>
          <w:bCs/>
          <w:noProof/>
          <w:snapToGrid w:val="0"/>
          <w:color w:val="000000"/>
          <w:szCs w:val="28"/>
        </w:rPr>
        <w:t>mission</w:t>
      </w:r>
      <w:r w:rsidR="00FC0A32">
        <w:rPr>
          <w:rFonts w:ascii="Arial" w:hAnsi="Arial" w:cs="Arial" w:hint="eastAsia"/>
          <w:i/>
          <w:lang w:eastAsia="zh-CN"/>
        </w:rPr>
        <w:t>.</w:t>
      </w:r>
    </w:p>
    <w:p w14:paraId="37FB29E9" w14:textId="77777777" w:rsidR="00790ADA" w:rsidRDefault="00790ADA" w:rsidP="00441B6F">
      <w:pPr>
        <w:pStyle w:val="Body"/>
        <w:spacing w:after="0"/>
        <w:rPr>
          <w:rFonts w:ascii="Arial" w:hAnsi="Arial" w:cs="Arial"/>
          <w:i/>
        </w:rPr>
      </w:pPr>
    </w:p>
    <w:p w14:paraId="0C0DF661" w14:textId="77777777" w:rsidR="0024282C" w:rsidRDefault="0024282C" w:rsidP="00441B6F">
      <w:pPr>
        <w:pStyle w:val="Body"/>
        <w:spacing w:after="0"/>
        <w:rPr>
          <w:rFonts w:ascii="Arial" w:hAnsi="Arial" w:cs="Arial"/>
          <w:i/>
          <w:sz w:val="18"/>
        </w:rPr>
      </w:pPr>
    </w:p>
    <w:p w14:paraId="3E3A40B6" w14:textId="77777777" w:rsidR="00FC0A32" w:rsidRDefault="00FC0A32" w:rsidP="00441B6F">
      <w:pPr>
        <w:pStyle w:val="Body"/>
        <w:spacing w:after="0"/>
        <w:rPr>
          <w:rFonts w:ascii="Arial" w:hAnsi="Arial" w:cs="Arial"/>
          <w:i/>
          <w:sz w:val="18"/>
        </w:rPr>
      </w:pPr>
    </w:p>
    <w:p w14:paraId="0EB1AD99" w14:textId="77777777" w:rsidR="00505F06" w:rsidRPr="00A24E7E" w:rsidRDefault="00505F06" w:rsidP="00441B6F">
      <w:pPr>
        <w:pStyle w:val="Body"/>
        <w:spacing w:after="0"/>
        <w:rPr>
          <w:rFonts w:ascii="Arial" w:hAnsi="Arial" w:cs="Arial"/>
          <w:i/>
        </w:rPr>
      </w:pPr>
    </w:p>
    <w:p w14:paraId="515D8F90" w14:textId="4C5B16F5" w:rsidR="007F7B32" w:rsidRDefault="00902823" w:rsidP="004D2485">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0D595E02" w14:textId="77777777" w:rsidR="00790ADA" w:rsidRPr="00FB3A86" w:rsidRDefault="00790ADA" w:rsidP="00441B6F">
      <w:pPr>
        <w:pStyle w:val="AbstHead"/>
        <w:spacing w:after="0"/>
        <w:jc w:val="both"/>
        <w:rPr>
          <w:rFonts w:ascii="Arial" w:hAnsi="Arial" w:cs="Arial"/>
        </w:rPr>
      </w:pPr>
    </w:p>
    <w:p w14:paraId="75474016" w14:textId="390FD35D" w:rsidR="00505F06" w:rsidRDefault="00221108" w:rsidP="008217D9">
      <w:pPr>
        <w:pStyle w:val="Body"/>
        <w:spacing w:after="0"/>
        <w:rPr>
          <w:rFonts w:ascii="Arial" w:hAnsi="Arial" w:cs="Arial"/>
        </w:rPr>
      </w:pPr>
      <w:r w:rsidRPr="00221108">
        <w:rPr>
          <w:rFonts w:ascii="Arial" w:hAnsi="Arial" w:cs="Arial"/>
        </w:rPr>
        <w:t xml:space="preserve">The internal combustion engine has long served as a critical power source in the transportation and distributed power sectors. However, under the continuing pressures of low-carbon transition and increasingly stringent emission regulations, its dependence on fossil fuels and </w:t>
      </w:r>
      <w:r w:rsidRPr="00221108">
        <w:rPr>
          <w:rFonts w:ascii="Arial" w:hAnsi="Arial" w:cs="Arial"/>
        </w:rPr>
        <w:lastRenderedPageBreak/>
        <w:t>associated emissions issues have become increasingly prominent</w:t>
      </w:r>
      <w:r w:rsidR="00C45FC4" w:rsidRPr="00A117BE">
        <w:rPr>
          <w:rFonts w:ascii="Arial" w:hAnsi="Arial" w:cs="Arial"/>
          <w:vertAlign w:val="superscript"/>
        </w:rPr>
        <w:fldChar w:fldCharType="begin"/>
      </w:r>
      <w:r w:rsidR="00C45FC4" w:rsidRPr="00A117BE">
        <w:rPr>
          <w:rFonts w:ascii="Arial" w:hAnsi="Arial" w:cs="Arial"/>
          <w:vertAlign w:val="superscript"/>
        </w:rPr>
        <w:instrText xml:space="preserve"> REF _Ref230564052 \r \h </w:instrText>
      </w:r>
      <w:r w:rsidR="00A117BE">
        <w:rPr>
          <w:rFonts w:ascii="Arial" w:hAnsi="Arial" w:cs="Arial"/>
          <w:vertAlign w:val="superscript"/>
        </w:rPr>
        <w:instrText xml:space="preserve"> \* MERGEFORMAT </w:instrText>
      </w:r>
      <w:r w:rsidR="00C45FC4" w:rsidRPr="00A117BE">
        <w:rPr>
          <w:rFonts w:ascii="Arial" w:hAnsi="Arial" w:cs="Arial"/>
          <w:vertAlign w:val="superscript"/>
        </w:rPr>
      </w:r>
      <w:r w:rsidR="00C45FC4" w:rsidRPr="00A117BE">
        <w:rPr>
          <w:rFonts w:ascii="Arial" w:hAnsi="Arial" w:cs="Arial"/>
          <w:vertAlign w:val="superscript"/>
        </w:rPr>
        <w:fldChar w:fldCharType="separate"/>
      </w:r>
      <w:r w:rsidR="00C45FC4" w:rsidRPr="00A117BE">
        <w:rPr>
          <w:rFonts w:ascii="Arial" w:hAnsi="Arial" w:cs="Arial"/>
          <w:vertAlign w:val="superscript"/>
        </w:rPr>
        <w:t>[1]</w:t>
      </w:r>
      <w:r w:rsidR="00C45FC4" w:rsidRPr="00A117BE">
        <w:rPr>
          <w:rFonts w:ascii="Arial" w:hAnsi="Arial" w:cs="Arial"/>
          <w:vertAlign w:val="superscript"/>
        </w:rPr>
        <w:fldChar w:fldCharType="end"/>
      </w:r>
      <w:r w:rsidRPr="00221108">
        <w:rPr>
          <w:rFonts w:ascii="Arial" w:hAnsi="Arial" w:cs="Arial"/>
        </w:rPr>
        <w:t>.</w:t>
      </w:r>
      <w:r w:rsidR="00871B42" w:rsidRPr="008217D9">
        <w:rPr>
          <w:rFonts w:ascii="Arial" w:hAnsi="Arial" w:cs="Arial"/>
        </w:rPr>
        <w:t xml:space="preserve"> </w:t>
      </w:r>
      <w:r w:rsidR="00871B42" w:rsidRPr="00871B42">
        <w:rPr>
          <w:rFonts w:ascii="Arial" w:hAnsi="Arial" w:cs="Arial"/>
        </w:rPr>
        <w:t>Previous studies have shown that early research primarily focused on scavenging flow mechanisms and the influence of structural parameters. Mao</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_Ref225152392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[2]</w:t>
      </w:r>
      <w:r w:rsidR="00655333" w:rsidRPr="00A117BE">
        <w:rPr>
          <w:rFonts w:ascii="Arial" w:hAnsi="Arial" w:cs="Arial"/>
          <w:vertAlign w:val="superscript"/>
        </w:rPr>
        <w:fldChar w:fldCharType="end"/>
      </w:r>
      <w:r w:rsidR="00871B42" w:rsidRPr="00871B42">
        <w:rPr>
          <w:rFonts w:ascii="Arial" w:hAnsi="Arial" w:cs="Arial"/>
        </w:rPr>
        <w:t xml:space="preserve"> and colleagues investigated the scavenging process of a free-piston linear generator based on multidimensional numerical simulations, demonstrating that scavenging organization significantly affects the in-cylinder flow field distribution and gas exchange performance. Haag</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_Ref230564074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[3]</w:t>
      </w:r>
      <w:r w:rsidR="00655333" w:rsidRPr="00A117BE">
        <w:rPr>
          <w:rFonts w:ascii="Arial" w:hAnsi="Arial" w:cs="Arial"/>
          <w:vertAlign w:val="superscript"/>
        </w:rPr>
        <w:fldChar w:fldCharType="end"/>
      </w:r>
      <w:r w:rsidR="00871B42" w:rsidRPr="00871B42">
        <w:rPr>
          <w:rFonts w:ascii="Arial" w:hAnsi="Arial" w:cs="Arial"/>
        </w:rPr>
        <w:t xml:space="preserve"> and co-workers combined experiments with numerical simulations to examine the in-cylinder flow characteristics of a loop-scavenged two-stroke free-piston engine. Wu</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_Ref230564097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[4]</w:t>
      </w:r>
      <w:r w:rsidR="00655333" w:rsidRPr="00A117BE">
        <w:rPr>
          <w:rFonts w:ascii="Arial" w:hAnsi="Arial" w:cs="Arial"/>
          <w:vertAlign w:val="superscript"/>
        </w:rPr>
        <w:fldChar w:fldCharType="end"/>
      </w:r>
      <w:r w:rsidR="00871B42" w:rsidRPr="00871B42">
        <w:rPr>
          <w:rFonts w:ascii="Arial" w:hAnsi="Arial" w:cs="Arial"/>
        </w:rPr>
        <w:t xml:space="preserve"> and colleagues analyzed the scavenging process of a two-stroke free-piston engine using a three-dimensional CFD approach. In addition, Hung</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_Ref230564108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[5]</w:t>
      </w:r>
      <w:r w:rsidR="00655333" w:rsidRPr="00A117BE">
        <w:rPr>
          <w:rFonts w:ascii="Arial" w:hAnsi="Arial" w:cs="Arial"/>
          <w:vertAlign w:val="superscript"/>
        </w:rPr>
        <w:fldChar w:fldCharType="end"/>
      </w:r>
      <w:r w:rsidR="00871B42" w:rsidRPr="00871B42">
        <w:rPr>
          <w:rFonts w:ascii="Arial" w:hAnsi="Arial" w:cs="Arial"/>
        </w:rPr>
        <w:t xml:space="preserve">, </w:t>
      </w:r>
      <w:proofErr w:type="spellStart"/>
      <w:r w:rsidR="00871B42" w:rsidRPr="00871B42">
        <w:rPr>
          <w:rFonts w:ascii="Arial" w:hAnsi="Arial" w:cs="Arial"/>
        </w:rPr>
        <w:t>Sofianopoulos</w:t>
      </w:r>
      <w:proofErr w:type="spellEnd"/>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_Ref230564123 \r \h </w:instrText>
      </w:r>
      <w:r w:rsid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[6]</w:t>
      </w:r>
      <w:r w:rsidR="00B8740C" w:rsidRPr="00A117BE">
        <w:rPr>
          <w:rFonts w:ascii="Arial" w:hAnsi="Arial" w:cs="Arial"/>
          <w:vertAlign w:val="superscript"/>
        </w:rPr>
        <w:fldChar w:fldCharType="end"/>
      </w:r>
      <w:r w:rsidR="00871B42" w:rsidRPr="00871B42">
        <w:rPr>
          <w:rFonts w:ascii="Arial" w:hAnsi="Arial" w:cs="Arial"/>
        </w:rPr>
        <w:t>, Yuan</w:t>
      </w:r>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_Ref230564127 \r \h </w:instrText>
      </w:r>
      <w:r w:rsid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[7]</w:t>
      </w:r>
      <w:r w:rsidR="00B8740C" w:rsidRPr="00A117BE">
        <w:rPr>
          <w:rFonts w:ascii="Arial" w:hAnsi="Arial" w:cs="Arial"/>
          <w:vertAlign w:val="superscript"/>
        </w:rPr>
        <w:fldChar w:fldCharType="end"/>
      </w:r>
      <w:r w:rsidR="00871B42" w:rsidRPr="00871B42">
        <w:rPr>
          <w:rFonts w:ascii="Arial" w:hAnsi="Arial" w:cs="Arial"/>
        </w:rPr>
        <w:t>, and Jia conducted studies from the perspectives of scavenging process characteristics, gas exchange in small-scale HCCI free-piston engines, differences in gas exchange between free-piston and conventional engines, and the selection of port/valve configurations, respectively</w:t>
      </w:r>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_Ref225152396 \r \h </w:instrText>
      </w:r>
      <w:r w:rsidR="00A117BE" w:rsidRP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[8]</w:t>
      </w:r>
      <w:r w:rsidR="00B8740C" w:rsidRPr="00A117BE">
        <w:rPr>
          <w:rFonts w:ascii="Arial" w:hAnsi="Arial" w:cs="Arial"/>
          <w:vertAlign w:val="superscript"/>
        </w:rPr>
        <w:fldChar w:fldCharType="end"/>
      </w:r>
      <w:r w:rsidR="00871B42" w:rsidRPr="00871B42">
        <w:rPr>
          <w:rFonts w:ascii="Arial" w:hAnsi="Arial" w:cs="Arial"/>
        </w:rPr>
        <w:t>.</w:t>
      </w:r>
      <w:r w:rsidR="005C291E" w:rsidRPr="008217D9">
        <w:rPr>
          <w:rFonts w:ascii="Arial" w:hAnsi="Arial" w:cs="Arial"/>
        </w:rPr>
        <w:t xml:space="preserve"> </w:t>
      </w:r>
      <w:r w:rsidR="005C291E" w:rsidRPr="005C291E">
        <w:rPr>
          <w:rFonts w:ascii="Arial" w:hAnsi="Arial" w:cs="Arial"/>
        </w:rPr>
        <w:t>Overall, research during this stage was mainly centered on the gas exchange process itself, with particular emphasis on elucidating the flow characteristics under different scavenging configurations and moving boundary conditions, as well as their influence on scavenging quality. Representative studies and review articles have also indicated that, owing to the elimination of the crank–connecting rod mechanism, the piston trajectory and compression end position in free-piston engines are not fixed. Consequently, the scavenging process exhibits stronger dynamic coupling characteristics than that in conventional two-stroke engines.</w:t>
      </w:r>
    </w:p>
    <w:p w14:paraId="67E011B8" w14:textId="77777777" w:rsidR="008217D9" w:rsidRDefault="008217D9" w:rsidP="008217D9">
      <w:pPr>
        <w:pStyle w:val="Body"/>
        <w:spacing w:after="0"/>
        <w:rPr>
          <w:rFonts w:ascii="Arial" w:hAnsi="Arial" w:cs="Arial"/>
        </w:rPr>
      </w:pPr>
    </w:p>
    <w:p w14:paraId="465FFB31" w14:textId="52317E5C" w:rsidR="00790ADA" w:rsidRDefault="0074541D" w:rsidP="00D92886">
      <w:pPr>
        <w:pStyle w:val="Body"/>
        <w:spacing w:after="0"/>
        <w:rPr>
          <w:rFonts w:ascii="Arial" w:hAnsi="Arial" w:cs="Arial"/>
        </w:rPr>
      </w:pPr>
      <w:r w:rsidRPr="0074541D">
        <w:rPr>
          <w:rFonts w:ascii="Arial" w:hAnsi="Arial" w:cs="Arial"/>
        </w:rPr>
        <w:t>With the deepening of research, studies on scavenging in free-piston engines have gradually shifted in recent years from purely flow organization analysis toward scavenging stability and multi-physics coupled control issues. Yuan</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_Ref225152409 \r \h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35732F" w:rsidRPr="00A117BE">
        <w:rPr>
          <w:rFonts w:ascii="Arial" w:hAnsi="Arial" w:cs="Arial"/>
          <w:vertAlign w:val="superscript"/>
        </w:rPr>
        <w:t>[9]</w:t>
      </w:r>
      <w:r w:rsidR="0035732F" w:rsidRPr="00A117BE">
        <w:rPr>
          <w:rFonts w:ascii="Arial" w:hAnsi="Arial" w:cs="Arial"/>
          <w:vertAlign w:val="superscript"/>
        </w:rPr>
        <w:fldChar w:fldCharType="end"/>
      </w:r>
      <w:r w:rsidRPr="0074541D">
        <w:rPr>
          <w:rFonts w:ascii="Arial" w:hAnsi="Arial" w:cs="Arial"/>
        </w:rPr>
        <w:t xml:space="preserve"> and co-workers demonstrated that combustion fluctuations can significantly affect the gas exchange stability of free-piston linear engines. Cheng</w:t>
      </w:r>
      <w:r w:rsidR="0035732F">
        <w:rPr>
          <w:rFonts w:ascii="Arial" w:hAnsi="Arial" w:cs="Arial"/>
        </w:rPr>
        <w:fldChar w:fldCharType="begin"/>
      </w:r>
      <w:r w:rsidR="0035732F">
        <w:rPr>
          <w:rFonts w:ascii="Arial" w:hAnsi="Arial" w:cs="Arial"/>
        </w:rPr>
        <w:instrText xml:space="preserve"> REF _Ref230564197 \r \h </w:instrText>
      </w:r>
      <w:r w:rsidR="00A117BE">
        <w:rPr>
          <w:rFonts w:ascii="Arial" w:hAnsi="Arial" w:cs="Arial"/>
        </w:rPr>
        <w:instrText xml:space="preserve"> \* MERGEFORMAT </w:instrText>
      </w:r>
      <w:r w:rsidR="0035732F">
        <w:rPr>
          <w:rFonts w:ascii="Arial" w:hAnsi="Arial" w:cs="Arial"/>
        </w:rPr>
      </w:r>
      <w:r w:rsidR="0035732F">
        <w:rPr>
          <w:rFonts w:ascii="Arial" w:hAnsi="Arial" w:cs="Arial"/>
        </w:rPr>
        <w:fldChar w:fldCharType="separate"/>
      </w:r>
      <w:r w:rsidR="0035732F">
        <w:rPr>
          <w:rFonts w:ascii="Arial" w:hAnsi="Arial" w:cs="Arial"/>
        </w:rPr>
        <w:t>[</w:t>
      </w:r>
      <w:r w:rsidR="0035732F" w:rsidRPr="00A117BE">
        <w:rPr>
          <w:rFonts w:ascii="Arial" w:hAnsi="Arial" w:cs="Arial"/>
          <w:vertAlign w:val="superscript"/>
        </w:rPr>
        <w:t>10]</w:t>
      </w:r>
      <w:r w:rsidR="0035732F">
        <w:rPr>
          <w:rFonts w:ascii="Arial" w:hAnsi="Arial" w:cs="Arial"/>
        </w:rPr>
        <w:fldChar w:fldCharType="end"/>
      </w:r>
      <w:r w:rsidRPr="0074541D">
        <w:rPr>
          <w:rFonts w:ascii="Arial" w:hAnsi="Arial" w:cs="Arial"/>
        </w:rPr>
        <w:t xml:space="preserve"> and colleagues proposed a variable scavenging timing strategy and pointed out that this method could improve the performance of free-piston generators under transient operating conditions. Li</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_Ref230564205 \r \h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35732F" w:rsidRPr="00A117BE">
        <w:rPr>
          <w:rFonts w:ascii="Arial" w:hAnsi="Arial" w:cs="Arial"/>
          <w:vertAlign w:val="superscript"/>
        </w:rPr>
        <w:t>[11]</w:t>
      </w:r>
      <w:r w:rsidR="0035732F" w:rsidRPr="00A117BE">
        <w:rPr>
          <w:rFonts w:ascii="Arial" w:hAnsi="Arial" w:cs="Arial"/>
          <w:vertAlign w:val="superscript"/>
        </w:rPr>
        <w:fldChar w:fldCharType="end"/>
      </w:r>
      <w:r w:rsidRPr="0074541D">
        <w:rPr>
          <w:rFonts w:ascii="Arial" w:hAnsi="Arial" w:cs="Arial"/>
        </w:rPr>
        <w:t xml:space="preserve"> and co-workers further established a multi-process coupled gas exchange model for scavenging control. Subsequently, related studies systematically investigated the influencing factors of gas exchange stability from the perspectives of injection duration, scavenging pressure, single-/dual-channel uniflow scavenging configurations, electromagnetic load fluctuations, fuel injection quantity fluctuations, and variations in injection location</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_Ref230564266 \r \h</w:instrText>
      </w:r>
      <w:r w:rsidR="00BF45A6" w:rsidRPr="00A117BE">
        <w:rPr>
          <w:rFonts w:ascii="Arial" w:hAnsi="Arial" w:cs="Arial"/>
          <w:vertAlign w:val="superscript"/>
        </w:rPr>
        <w:instrText xml:space="preserve"> \#"[0"</w:instrText>
      </w:r>
      <w:r w:rsidR="0035732F" w:rsidRPr="00A117BE">
        <w:rPr>
          <w:rFonts w:ascii="Arial" w:hAnsi="Arial" w:cs="Arial"/>
          <w:vertAlign w:val="superscript"/>
        </w:rPr>
        <w:instrText xml:space="preserve">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A117BE" w:rsidRPr="00A117BE">
        <w:rPr>
          <w:rFonts w:ascii="Arial" w:hAnsi="Arial" w:cs="Arial"/>
          <w:vertAlign w:val="superscript"/>
        </w:rPr>
        <w:t>[12</w:t>
      </w:r>
      <w:r w:rsidR="0035732F" w:rsidRPr="00A117BE">
        <w:rPr>
          <w:rFonts w:ascii="Arial" w:hAnsi="Arial" w:cs="Arial"/>
          <w:vertAlign w:val="superscript"/>
        </w:rPr>
        <w:fldChar w:fldCharType="end"/>
      </w:r>
      <w:r w:rsidR="00BF45A6" w:rsidRPr="00A117BE">
        <w:rPr>
          <w:rFonts w:ascii="Arial" w:hAnsi="Arial" w:cs="Arial" w:hint="eastAsia"/>
          <w:vertAlign w:val="superscript"/>
        </w:rPr>
        <w:t>,</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_Ref225152412 \r \h</w:instrText>
      </w:r>
      <w:r w:rsidR="00BF45A6" w:rsidRPr="00A117BE">
        <w:rPr>
          <w:rFonts w:ascii="Arial" w:hAnsi="Arial" w:cs="Arial"/>
          <w:vertAlign w:val="superscript"/>
        </w:rPr>
        <w:instrText xml:space="preserve"> \#"0]"</w:instrText>
      </w:r>
      <w:r w:rsidR="0035732F" w:rsidRPr="00A117BE">
        <w:rPr>
          <w:rFonts w:ascii="Arial" w:hAnsi="Arial" w:cs="Arial"/>
          <w:vertAlign w:val="superscript"/>
        </w:rPr>
        <w:instrText xml:space="preserve">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A117BE" w:rsidRPr="00A117BE">
        <w:rPr>
          <w:rFonts w:ascii="Arial" w:hAnsi="Arial" w:cs="Arial"/>
          <w:vertAlign w:val="superscript"/>
        </w:rPr>
        <w:t>17]</w:t>
      </w:r>
      <w:r w:rsidR="0035732F" w:rsidRPr="00A117BE">
        <w:rPr>
          <w:rFonts w:ascii="Arial" w:hAnsi="Arial" w:cs="Arial"/>
          <w:vertAlign w:val="superscript"/>
        </w:rPr>
        <w:fldChar w:fldCharType="end"/>
      </w:r>
      <w:r w:rsidRPr="0074541D">
        <w:rPr>
          <w:rFonts w:ascii="Arial" w:hAnsi="Arial" w:cs="Arial"/>
        </w:rPr>
        <w:t>. Accordingly,</w:t>
      </w:r>
      <w:r w:rsidR="008C7EC9" w:rsidRPr="008C7EC9">
        <w:t xml:space="preserve"> </w:t>
      </w:r>
      <w:proofErr w:type="gramStart"/>
      <w:r w:rsidR="008C7EC9" w:rsidRPr="008C7EC9">
        <w:rPr>
          <w:rFonts w:ascii="Arial" w:hAnsi="Arial" w:cs="Arial"/>
        </w:rPr>
        <w:t>This</w:t>
      </w:r>
      <w:proofErr w:type="gramEnd"/>
      <w:r w:rsidR="008C7EC9" w:rsidRPr="008C7EC9">
        <w:rPr>
          <w:rFonts w:ascii="Arial" w:hAnsi="Arial" w:cs="Arial"/>
        </w:rPr>
        <w:t xml:space="preserve"> article focuses on the free-piston engine where diesel ignites hydrogen.</w:t>
      </w:r>
      <w:r w:rsidRPr="0074541D">
        <w:rPr>
          <w:rFonts w:ascii="Arial" w:hAnsi="Arial" w:cs="Arial"/>
        </w:rPr>
        <w:t xml:space="preserve"> </w:t>
      </w:r>
      <w:r w:rsidR="00894E7D" w:rsidRPr="00894E7D">
        <w:rPr>
          <w:rFonts w:ascii="Arial" w:hAnsi="Arial" w:cs="Arial"/>
        </w:rPr>
        <w:t>This paper will investigate the impact of quantified intake pressure (0.10-0.18 MPa) on the thermodynamic processes of a free-piston hydrogen engine, specifically cylinder pressure, temperature, heat release rate, and energy conversion efficiency. It will reveal the coupled mechanism of its effects on heat transfer loss and pollutant emissions. Based on multi-objective evaluation, optimal operating conditions will be determined</w:t>
      </w:r>
      <w:r w:rsidRPr="0074541D">
        <w:rPr>
          <w:rFonts w:ascii="Arial" w:hAnsi="Arial" w:cs="Arial"/>
        </w:rPr>
        <w:t>.</w:t>
      </w:r>
    </w:p>
    <w:p w14:paraId="167A61F3" w14:textId="77777777" w:rsidR="0074541D" w:rsidRDefault="0074541D" w:rsidP="008217D9">
      <w:pPr>
        <w:pStyle w:val="Body"/>
        <w:spacing w:after="0"/>
        <w:rPr>
          <w:rFonts w:ascii="Arial" w:hAnsi="Arial" w:cs="Arial"/>
        </w:rPr>
      </w:pPr>
    </w:p>
    <w:p w14:paraId="0156D781" w14:textId="77777777" w:rsidR="0074541D" w:rsidRPr="00FB3A86" w:rsidRDefault="0074541D" w:rsidP="008217D9">
      <w:pPr>
        <w:pStyle w:val="Body"/>
        <w:spacing w:after="0"/>
        <w:rPr>
          <w:rFonts w:ascii="Arial" w:hAnsi="Arial" w:cs="Arial"/>
        </w:rPr>
      </w:pPr>
    </w:p>
    <w:p w14:paraId="6B344FC7" w14:textId="66A3FA64" w:rsidR="007F7B32" w:rsidRDefault="00902823" w:rsidP="00E547C2">
      <w:pPr>
        <w:pStyle w:val="AbstHead"/>
        <w:spacing w:after="0"/>
        <w:rPr>
          <w:rFonts w:ascii="Arial" w:hAnsi="Arial" w:cs="Arial"/>
        </w:rPr>
      </w:pPr>
      <w:r>
        <w:rPr>
          <w:rFonts w:ascii="Arial" w:hAnsi="Arial" w:cs="Arial"/>
        </w:rPr>
        <w:t>2.</w:t>
      </w:r>
      <w:r w:rsidR="00B154FD" w:rsidRPr="00B154FD">
        <w:rPr>
          <w:b w:val="0"/>
          <w:caps w:val="0"/>
          <w:sz w:val="20"/>
        </w:rPr>
        <w:t xml:space="preserve"> </w:t>
      </w:r>
      <w:r w:rsidR="00B154FD" w:rsidRPr="00B154FD">
        <w:rPr>
          <w:rFonts w:ascii="Arial" w:hAnsi="Arial" w:cs="Arial"/>
        </w:rPr>
        <w:t>Configuration and Model Development</w:t>
      </w:r>
    </w:p>
    <w:p w14:paraId="50E58259" w14:textId="77777777" w:rsidR="00790ADA" w:rsidRPr="00FB3A86" w:rsidRDefault="00790ADA" w:rsidP="00441B6F">
      <w:pPr>
        <w:pStyle w:val="AbstHead"/>
        <w:spacing w:after="0"/>
        <w:jc w:val="both"/>
        <w:rPr>
          <w:rFonts w:ascii="Arial" w:hAnsi="Arial" w:cs="Arial"/>
        </w:rPr>
      </w:pPr>
    </w:p>
    <w:p w14:paraId="0ACF1071" w14:textId="243C45DF" w:rsidR="00D22264" w:rsidRDefault="00D22264" w:rsidP="00D22264">
      <w:pPr>
        <w:pStyle w:val="Body"/>
        <w:spacing w:after="0"/>
        <w:rPr>
          <w:rFonts w:ascii="Arial" w:hAnsi="Arial" w:cs="Arial"/>
        </w:rPr>
      </w:pPr>
      <w:r w:rsidRPr="00C30A0F">
        <w:rPr>
          <w:rFonts w:ascii="Arial" w:hAnsi="Arial" w:cs="Arial"/>
          <w:b/>
          <w:caps/>
          <w:sz w:val="22"/>
        </w:rPr>
        <w:t xml:space="preserve">2.1 </w:t>
      </w:r>
      <w:r w:rsidR="00E21069" w:rsidRPr="00E21069">
        <w:rPr>
          <w:rFonts w:ascii="Arial" w:hAnsi="Arial" w:cs="Arial"/>
          <w:b/>
          <w:sz w:val="22"/>
        </w:rPr>
        <w:t>Engine Structure and Operating Principle</w:t>
      </w:r>
      <w:r w:rsidRPr="00FB3A86">
        <w:rPr>
          <w:rFonts w:ascii="Arial" w:hAnsi="Arial" w:cs="Arial"/>
        </w:rPr>
        <w:t xml:space="preserve"> </w:t>
      </w:r>
    </w:p>
    <w:p w14:paraId="5EBF2F70" w14:textId="77777777" w:rsidR="00D22264" w:rsidRDefault="00D22264" w:rsidP="00441B6F">
      <w:pPr>
        <w:pStyle w:val="Body"/>
        <w:spacing w:after="0"/>
        <w:rPr>
          <w:rFonts w:ascii="Arial" w:hAnsi="Arial" w:cs="Arial"/>
        </w:rPr>
      </w:pPr>
    </w:p>
    <w:p w14:paraId="48C56C09" w14:textId="58CE7B65" w:rsidR="0039736B" w:rsidRDefault="00E969C9" w:rsidP="0039736B">
      <w:pPr>
        <w:pStyle w:val="Body"/>
        <w:spacing w:after="0"/>
        <w:rPr>
          <w:rFonts w:ascii="Arial" w:hAnsi="Arial" w:cs="Arial"/>
        </w:rPr>
      </w:pPr>
      <w:r w:rsidRPr="00E969C9">
        <w:rPr>
          <w:rFonts w:ascii="Arial" w:hAnsi="Arial" w:cs="Arial"/>
        </w:rPr>
        <w:t>Figure 1 depicts the experimental platform utilized in this paper, with detailed parameters presented in tabular format.</w:t>
      </w:r>
      <w:r w:rsidR="0039736B" w:rsidRPr="0039736B">
        <w:rPr>
          <w:rFonts w:ascii="Arial" w:hAnsi="Arial" w:cs="Arial"/>
        </w:rPr>
        <w:t xml:space="preserve"> In the present research, hydrogen is adopted as the primary fuel, with an auto-ignition temperature of approximately 560</w:t>
      </w:r>
      <w:r w:rsidR="0039736B" w:rsidRPr="0039736B">
        <w:rPr>
          <w:rFonts w:ascii="Cambria Math" w:hAnsi="Cambria Math" w:cs="Cambria Math"/>
        </w:rPr>
        <w:t>℃</w:t>
      </w:r>
      <w:r w:rsidR="0039736B" w:rsidRPr="0039736B">
        <w:rPr>
          <w:rFonts w:ascii="Arial" w:hAnsi="Arial" w:cs="Arial"/>
        </w:rPr>
        <w:t>. In comparison, the auto-ignition temperature of conventional diesel is roughly 235</w:t>
      </w:r>
      <w:r w:rsidR="0039736B" w:rsidRPr="0039736B">
        <w:rPr>
          <w:rFonts w:ascii="Cambria Math" w:hAnsi="Cambria Math" w:cs="Cambria Math"/>
        </w:rPr>
        <w:t>℃</w:t>
      </w:r>
      <w:r w:rsidR="0039736B" w:rsidRPr="0039736B">
        <w:rPr>
          <w:rFonts w:ascii="Arial" w:hAnsi="Arial" w:cs="Arial"/>
        </w:rPr>
        <w:t xml:space="preserve">, which is significantly lower than that of hydrogen. Taking advantage of this difference in ignition characteristics, a staged injection strategy is applied: hydrogen is first introduced into the cylinder, followed by a specific amount of diesel injection. In this working mode, compression ignition of the mixture is achieved by utilizing diesel as the ignition source to trigger hydrogen </w:t>
      </w:r>
      <w:proofErr w:type="spellStart"/>
      <w:proofErr w:type="gramStart"/>
      <w:r w:rsidR="0039736B" w:rsidRPr="0039736B">
        <w:rPr>
          <w:rFonts w:ascii="Arial" w:hAnsi="Arial" w:cs="Arial"/>
        </w:rPr>
        <w:t>combustion.For</w:t>
      </w:r>
      <w:proofErr w:type="spellEnd"/>
      <w:proofErr w:type="gramEnd"/>
      <w:r w:rsidR="0039736B" w:rsidRPr="0039736B">
        <w:rPr>
          <w:rFonts w:ascii="Arial" w:hAnsi="Arial" w:cs="Arial"/>
        </w:rPr>
        <w:t xml:space="preserve"> the free-piston engine </w:t>
      </w:r>
      <w:r w:rsidR="0039736B" w:rsidRPr="0039736B">
        <w:rPr>
          <w:rFonts w:ascii="Arial" w:hAnsi="Arial" w:cs="Arial"/>
        </w:rPr>
        <w:lastRenderedPageBreak/>
        <w:t>investigated in this work, the piston movement covers a crank angle range from 256.5 °ECA to 468.6 °ECA, and the operating speed of the engine is maintained at 2222 r/min.</w:t>
      </w:r>
    </w:p>
    <w:p w14:paraId="5DE8C9F0" w14:textId="77777777" w:rsidR="0039736B" w:rsidRDefault="0039736B" w:rsidP="0039736B">
      <w:pPr>
        <w:pStyle w:val="Body"/>
        <w:spacing w:after="0"/>
        <w:rPr>
          <w:rFonts w:ascii="Arial" w:hAnsi="Arial" w:cs="Arial"/>
        </w:rPr>
      </w:pPr>
    </w:p>
    <w:p w14:paraId="750942D0" w14:textId="4B8502B3" w:rsidR="00CA79AA" w:rsidRDefault="0065627C" w:rsidP="0039736B">
      <w:pPr>
        <w:pStyle w:val="Body"/>
        <w:spacing w:after="0"/>
        <w:rPr>
          <w:rFonts w:ascii="Arial" w:hAnsi="Arial" w:cs="Arial"/>
        </w:rPr>
      </w:pPr>
      <w:r w:rsidRPr="0065627C">
        <w:rPr>
          <w:rFonts w:ascii="Arial" w:hAnsi="Arial" w:cs="Arial"/>
        </w:rPr>
        <w:t xml:space="preserve">Figure </w:t>
      </w:r>
      <w:r w:rsidR="00B15759">
        <w:rPr>
          <w:rFonts w:ascii="Arial" w:hAnsi="Arial" w:cs="Arial" w:hint="eastAsia"/>
        </w:rPr>
        <w:t>2</w:t>
      </w:r>
      <w:r w:rsidRPr="0065627C">
        <w:rPr>
          <w:rFonts w:ascii="Arial" w:hAnsi="Arial" w:cs="Arial"/>
        </w:rPr>
        <w:t xml:space="preserve"> presents the schematic structure of the free-piston hydrogen engine employed in this study. The engine is developed based on a conventional reciprocating engine and mainly consists of a two-stroke internal combustion engine and a linear electric generator. Its major components include the left and right cylinders, connecting rod, fuel injector, permanent magnets, coils, pistons, and intake/exhaust ports.</w:t>
      </w:r>
    </w:p>
    <w:p w14:paraId="57459AA6" w14:textId="77777777" w:rsidR="00104335" w:rsidRDefault="00104335" w:rsidP="0065627C">
      <w:pPr>
        <w:pStyle w:val="Body"/>
        <w:spacing w:after="0"/>
        <w:rPr>
          <w:rFonts w:ascii="Arial" w:hAnsi="Arial" w:cs="Arial"/>
        </w:rPr>
      </w:pPr>
    </w:p>
    <w:p w14:paraId="625823B1" w14:textId="52933947" w:rsidR="0065627C" w:rsidRDefault="0065627C" w:rsidP="0065627C">
      <w:pPr>
        <w:pStyle w:val="Body"/>
        <w:spacing w:after="0"/>
        <w:rPr>
          <w:rFonts w:ascii="Arial" w:hAnsi="Arial" w:cs="Arial"/>
        </w:rPr>
      </w:pPr>
      <w:r w:rsidRPr="0065627C">
        <w:rPr>
          <w:rFonts w:ascii="Arial" w:hAnsi="Arial" w:cs="Arial"/>
        </w:rPr>
        <w:t>Compared with conventional engines, the opposed-piston free-piston hydrogen engine eliminates the crank–connecting rod mechanism, while the pistons and connecting rod are rigidly connected. The piston motion is primarily driven by the alternating combustion forces generated in the left and right cylinders. Due to the absence of kinematic constraints imposed by the crank–connecting rod mechanism, the lateral force acting on the pistons is relatively small. Moreover, the piston motion no longer follows the approximately sinusoidal and fixed trajectory characteristic of conventional engines, but instead exhibits variable nonlinear motion characteristics.</w:t>
      </w:r>
    </w:p>
    <w:p w14:paraId="72CA9330" w14:textId="77777777" w:rsidR="00324278" w:rsidRPr="0065627C" w:rsidRDefault="00324278" w:rsidP="0065627C">
      <w:pPr>
        <w:pStyle w:val="Body"/>
        <w:spacing w:after="0"/>
        <w:rPr>
          <w:rFonts w:ascii="Arial" w:hAnsi="Arial" w:cs="Arial"/>
        </w:rPr>
      </w:pPr>
    </w:p>
    <w:p w14:paraId="6A5E1650" w14:textId="77777777" w:rsidR="0065627C" w:rsidRDefault="0065627C" w:rsidP="0065627C">
      <w:pPr>
        <w:pStyle w:val="Body"/>
        <w:spacing w:after="0"/>
        <w:rPr>
          <w:rFonts w:ascii="Arial" w:hAnsi="Arial" w:cs="Arial"/>
        </w:rPr>
      </w:pPr>
      <w:r w:rsidRPr="0065627C">
        <w:rPr>
          <w:rFonts w:ascii="Arial" w:hAnsi="Arial" w:cs="Arial"/>
        </w:rPr>
        <w:t>Therefore, the opposed-piston free-piston hydrogen engine differs fundamentally from conventional engines in both structural configuration and operating mechanism. These differences further influence the in-cylinder flow, combustion, and heat transfer processes. The main cylinder parameters are listed in Table 1.</w:t>
      </w:r>
    </w:p>
    <w:p w14:paraId="293F6344" w14:textId="77777777" w:rsidR="00985F41" w:rsidRDefault="00985F41" w:rsidP="0065627C">
      <w:pPr>
        <w:pStyle w:val="Body"/>
        <w:spacing w:after="0"/>
        <w:rPr>
          <w:rFonts w:ascii="Arial" w:hAnsi="Arial" w:cs="Arial"/>
        </w:rPr>
      </w:pPr>
    </w:p>
    <w:p w14:paraId="70EDDCC5" w14:textId="505E29E0" w:rsidR="00985F41" w:rsidRDefault="00985F41" w:rsidP="0065627C">
      <w:pPr>
        <w:pStyle w:val="Body"/>
        <w:spacing w:after="0"/>
        <w:rPr>
          <w:rFonts w:ascii="Arial" w:hAnsi="Arial" w:cs="Arial"/>
          <w:lang w:eastAsia="zh-CN"/>
        </w:rPr>
      </w:pPr>
      <w:r>
        <w:rPr>
          <w:noProof/>
        </w:rPr>
        <w:drawing>
          <wp:inline distT="0" distB="0" distL="0" distR="0" wp14:anchorId="4779602C" wp14:editId="3BAF64D9">
            <wp:extent cx="5212080" cy="2070735"/>
            <wp:effectExtent l="0" t="0" r="7620" b="5715"/>
            <wp:docPr id="1525810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10239" name=""/>
                    <pic:cNvPicPr/>
                  </pic:nvPicPr>
                  <pic:blipFill>
                    <a:blip r:embed="rId12"/>
                    <a:stretch>
                      <a:fillRect/>
                    </a:stretch>
                  </pic:blipFill>
                  <pic:spPr>
                    <a:xfrm>
                      <a:off x="0" y="0"/>
                      <a:ext cx="5212080" cy="2070735"/>
                    </a:xfrm>
                    <a:prstGeom prst="rect">
                      <a:avLst/>
                    </a:prstGeom>
                  </pic:spPr>
                </pic:pic>
              </a:graphicData>
            </a:graphic>
          </wp:inline>
        </w:drawing>
      </w:r>
    </w:p>
    <w:p w14:paraId="66E6E50D" w14:textId="77777777" w:rsidR="00985F41" w:rsidRDefault="00985F41" w:rsidP="0065627C">
      <w:pPr>
        <w:pStyle w:val="Body"/>
        <w:spacing w:after="0"/>
        <w:rPr>
          <w:rFonts w:ascii="Arial" w:hAnsi="Arial" w:cs="Arial"/>
          <w:lang w:eastAsia="zh-CN"/>
        </w:rPr>
      </w:pPr>
    </w:p>
    <w:p w14:paraId="08BE260D" w14:textId="13DBFB8F" w:rsidR="00B65DB1" w:rsidRDefault="00B65DB1" w:rsidP="00B65DB1">
      <w:pPr>
        <w:autoSpaceDE w:val="0"/>
        <w:autoSpaceDN w:val="0"/>
        <w:adjustRightInd w:val="0"/>
        <w:jc w:val="center"/>
        <w:rPr>
          <w:rFonts w:ascii="Arial" w:hAnsi="Arial" w:cs="Arial"/>
          <w:b/>
          <w:bCs/>
          <w:szCs w:val="22"/>
        </w:rPr>
      </w:pPr>
      <w:r w:rsidRPr="00DC3E49">
        <w:rPr>
          <w:rFonts w:ascii="Arial" w:hAnsi="Arial" w:cs="Arial" w:hint="eastAsia"/>
          <w:b/>
          <w:bCs/>
          <w:szCs w:val="22"/>
        </w:rPr>
        <w:t xml:space="preserve">Fig 1 </w:t>
      </w:r>
      <w:r>
        <w:rPr>
          <w:rFonts w:ascii="Arial" w:hAnsi="Arial" w:cs="Arial" w:hint="eastAsia"/>
          <w:b/>
          <w:bCs/>
          <w:szCs w:val="22"/>
          <w:lang w:eastAsia="zh-CN"/>
        </w:rPr>
        <w:t>E</w:t>
      </w:r>
      <w:r w:rsidRPr="00B65DB1">
        <w:rPr>
          <w:rFonts w:ascii="Arial" w:hAnsi="Arial" w:cs="Arial"/>
          <w:b/>
          <w:bCs/>
          <w:szCs w:val="22"/>
        </w:rPr>
        <w:t xml:space="preserve">xperimental </w:t>
      </w:r>
      <w:r>
        <w:rPr>
          <w:rFonts w:ascii="Arial" w:hAnsi="Arial" w:cs="Arial" w:hint="eastAsia"/>
          <w:b/>
          <w:bCs/>
          <w:szCs w:val="22"/>
          <w:lang w:eastAsia="zh-CN"/>
        </w:rPr>
        <w:t>P</w:t>
      </w:r>
      <w:r w:rsidRPr="00B65DB1">
        <w:rPr>
          <w:rFonts w:ascii="Arial" w:hAnsi="Arial" w:cs="Arial"/>
          <w:b/>
          <w:bCs/>
          <w:szCs w:val="22"/>
        </w:rPr>
        <w:t>latform</w:t>
      </w:r>
    </w:p>
    <w:p w14:paraId="3E5DE0EB" w14:textId="77777777" w:rsidR="00C149E1" w:rsidRDefault="00C149E1" w:rsidP="0065627C">
      <w:pPr>
        <w:pStyle w:val="Body"/>
        <w:spacing w:after="0"/>
        <w:rPr>
          <w:rFonts w:ascii="Arial" w:hAnsi="Arial" w:cs="Arial"/>
        </w:rPr>
      </w:pPr>
    </w:p>
    <w:p w14:paraId="61E3820B" w14:textId="45C093E1" w:rsidR="00C149E1" w:rsidRDefault="00DC3E49" w:rsidP="00DC3E49">
      <w:pPr>
        <w:pStyle w:val="Body"/>
        <w:spacing w:after="0"/>
        <w:jc w:val="center"/>
        <w:rPr>
          <w:lang w:eastAsia="zh-CN"/>
        </w:rPr>
      </w:pPr>
      <w:r>
        <w:rPr>
          <w:rFonts w:hint="eastAsia"/>
        </w:rPr>
        <w:object w:dxaOrig="21157" w:dyaOrig="9312" w14:anchorId="24C69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180.95pt" o:ole="">
            <v:imagedata r:id="rId13" o:title=""/>
          </v:shape>
          <o:OLEObject Type="Embed" ProgID="Visio.Drawing.15" ShapeID="_x0000_i1025" DrawAspect="Content" ObjectID="_1841662232" r:id="rId14"/>
        </w:object>
      </w:r>
    </w:p>
    <w:p w14:paraId="425C297B" w14:textId="77777777" w:rsidR="00C459ED" w:rsidRDefault="00C459ED" w:rsidP="00DC3E49">
      <w:pPr>
        <w:pStyle w:val="Body"/>
        <w:spacing w:after="0"/>
        <w:jc w:val="center"/>
        <w:rPr>
          <w:lang w:eastAsia="zh-CN"/>
        </w:rPr>
      </w:pPr>
    </w:p>
    <w:p w14:paraId="6A5DB625" w14:textId="01D6D929" w:rsidR="00DC3E49" w:rsidRDefault="00DC3E49" w:rsidP="009573AD">
      <w:pPr>
        <w:autoSpaceDE w:val="0"/>
        <w:autoSpaceDN w:val="0"/>
        <w:adjustRightInd w:val="0"/>
        <w:jc w:val="center"/>
        <w:rPr>
          <w:rFonts w:ascii="Arial" w:hAnsi="Arial" w:cs="Arial"/>
          <w:b/>
          <w:bCs/>
          <w:szCs w:val="22"/>
        </w:rPr>
      </w:pPr>
      <w:r w:rsidRPr="00DC3E49">
        <w:rPr>
          <w:rFonts w:ascii="Arial" w:hAnsi="Arial" w:cs="Arial" w:hint="eastAsia"/>
          <w:b/>
          <w:bCs/>
          <w:szCs w:val="22"/>
        </w:rPr>
        <w:t xml:space="preserve">Fig </w:t>
      </w:r>
      <w:r w:rsidR="00894E7D">
        <w:rPr>
          <w:rFonts w:ascii="Arial" w:hAnsi="Arial" w:cs="Arial" w:hint="eastAsia"/>
          <w:b/>
          <w:bCs/>
          <w:szCs w:val="22"/>
          <w:lang w:eastAsia="zh-CN"/>
        </w:rPr>
        <w:t>2</w:t>
      </w:r>
      <w:r w:rsidRPr="00DC3E49">
        <w:rPr>
          <w:rFonts w:ascii="Arial" w:hAnsi="Arial" w:cs="Arial" w:hint="eastAsia"/>
          <w:b/>
          <w:bCs/>
          <w:szCs w:val="22"/>
        </w:rPr>
        <w:t xml:space="preserve"> Schematic Diagram of the Free Piston Hydrogen Engine Structure</w:t>
      </w:r>
    </w:p>
    <w:p w14:paraId="441814D7" w14:textId="77777777" w:rsidR="006F3FC8" w:rsidRDefault="006F3FC8" w:rsidP="004B4E1B">
      <w:pPr>
        <w:autoSpaceDE w:val="0"/>
        <w:autoSpaceDN w:val="0"/>
        <w:adjustRightInd w:val="0"/>
        <w:rPr>
          <w:rFonts w:ascii="Arial" w:hAnsi="Arial" w:cs="Arial"/>
          <w:lang w:eastAsia="zh-CN"/>
        </w:rPr>
      </w:pPr>
    </w:p>
    <w:p w14:paraId="10DF58FE" w14:textId="48109425" w:rsidR="00985F41" w:rsidRPr="00862050" w:rsidRDefault="006F3FC8" w:rsidP="00862050">
      <w:pPr>
        <w:autoSpaceDE w:val="0"/>
        <w:autoSpaceDN w:val="0"/>
        <w:adjustRightInd w:val="0"/>
        <w:jc w:val="center"/>
        <w:rPr>
          <w:rFonts w:ascii="Arial" w:hAnsi="Arial" w:cs="Arial"/>
          <w:b/>
          <w:bCs/>
          <w:szCs w:val="22"/>
          <w:lang w:eastAsia="zh-CN"/>
        </w:rPr>
      </w:pPr>
      <w:r w:rsidRPr="00862050">
        <w:rPr>
          <w:rFonts w:ascii="Arial" w:hAnsi="Arial" w:cs="Arial" w:hint="eastAsia"/>
          <w:b/>
          <w:bCs/>
          <w:szCs w:val="22"/>
        </w:rPr>
        <w:t xml:space="preserve">Table 1 </w:t>
      </w:r>
      <w:r w:rsidRPr="00862050">
        <w:rPr>
          <w:rFonts w:ascii="Arial" w:hAnsi="Arial" w:cs="Arial"/>
          <w:b/>
          <w:bCs/>
          <w:szCs w:val="22"/>
        </w:rPr>
        <w:t>Specifications of Engine.</w:t>
      </w:r>
    </w:p>
    <w:p w14:paraId="5CA93FB1" w14:textId="77777777" w:rsidR="006F3FC8" w:rsidRDefault="006F3FC8" w:rsidP="00441B6F">
      <w:pPr>
        <w:pStyle w:val="Body"/>
        <w:spacing w:after="0"/>
        <w:rPr>
          <w:rFonts w:ascii="Arial" w:hAnsi="Arial" w:cs="Arial"/>
          <w:lang w:eastAsia="zh-CN"/>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31"/>
      </w:tblGrid>
      <w:tr w:rsidR="00552B27" w:rsidRPr="00163623" w14:paraId="06D5F7EC" w14:textId="77777777" w:rsidTr="00552B27">
        <w:trPr>
          <w:jc w:val="center"/>
        </w:trPr>
        <w:tc>
          <w:tcPr>
            <w:tcW w:w="4120" w:type="dxa"/>
            <w:tcBorders>
              <w:top w:val="single" w:sz="4" w:space="0" w:color="auto"/>
              <w:bottom w:val="single" w:sz="6" w:space="0" w:color="auto"/>
            </w:tcBorders>
            <w:vAlign w:val="center"/>
          </w:tcPr>
          <w:p w14:paraId="794D5DC5" w14:textId="3DB0BE9A" w:rsidR="00552B27" w:rsidRPr="00A32209" w:rsidRDefault="00172059" w:rsidP="00944B9D">
            <w:pPr>
              <w:jc w:val="center"/>
              <w:rPr>
                <w:rFonts w:ascii="Arial" w:hAnsi="Arial" w:cs="SimSun"/>
                <w:b/>
                <w:bCs/>
                <w:noProof/>
                <w:snapToGrid w:val="0"/>
                <w:color w:val="000000"/>
                <w:sz w:val="20"/>
                <w:szCs w:val="21"/>
              </w:rPr>
            </w:pPr>
            <w:r w:rsidRPr="00A32209">
              <w:rPr>
                <w:rFonts w:ascii="Arial" w:hAnsi="Arial" w:cs="SimSun"/>
                <w:b/>
                <w:bCs/>
                <w:noProof/>
                <w:snapToGrid w:val="0"/>
                <w:color w:val="000000"/>
                <w:sz w:val="20"/>
                <w:szCs w:val="21"/>
              </w:rPr>
              <w:t xml:space="preserve">Engine </w:t>
            </w:r>
            <w:r w:rsidR="00A32209" w:rsidRPr="00A32209">
              <w:rPr>
                <w:rFonts w:ascii="Arial" w:hAnsi="Arial" w:cs="SimSun" w:hint="eastAsia"/>
                <w:b/>
                <w:bCs/>
                <w:noProof/>
                <w:snapToGrid w:val="0"/>
                <w:color w:val="000000"/>
                <w:sz w:val="20"/>
                <w:szCs w:val="21"/>
              </w:rPr>
              <w:t>s</w:t>
            </w:r>
            <w:r w:rsidRPr="00A32209">
              <w:rPr>
                <w:rFonts w:ascii="Arial" w:hAnsi="Arial" w:cs="SimSun"/>
                <w:b/>
                <w:bCs/>
                <w:noProof/>
                <w:snapToGrid w:val="0"/>
                <w:color w:val="000000"/>
                <w:sz w:val="20"/>
                <w:szCs w:val="21"/>
              </w:rPr>
              <w:t>pecifications</w:t>
            </w:r>
          </w:p>
        </w:tc>
        <w:tc>
          <w:tcPr>
            <w:tcW w:w="4186" w:type="dxa"/>
            <w:tcBorders>
              <w:top w:val="single" w:sz="4" w:space="0" w:color="auto"/>
              <w:bottom w:val="single" w:sz="6" w:space="0" w:color="auto"/>
            </w:tcBorders>
            <w:vAlign w:val="center"/>
          </w:tcPr>
          <w:p w14:paraId="281348A0" w14:textId="736CAC97" w:rsidR="00552B27" w:rsidRPr="00A32209" w:rsidRDefault="00172059" w:rsidP="00944B9D">
            <w:pPr>
              <w:jc w:val="center"/>
              <w:rPr>
                <w:rFonts w:ascii="Arial" w:hAnsi="Arial" w:cs="SimSun"/>
                <w:b/>
                <w:bCs/>
                <w:noProof/>
                <w:snapToGrid w:val="0"/>
                <w:color w:val="000000"/>
                <w:sz w:val="20"/>
                <w:szCs w:val="21"/>
              </w:rPr>
            </w:pPr>
            <w:r w:rsidRPr="00A32209">
              <w:rPr>
                <w:rFonts w:ascii="Arial" w:hAnsi="Arial" w:cs="SimSun"/>
                <w:b/>
                <w:bCs/>
                <w:noProof/>
                <w:snapToGrid w:val="0"/>
                <w:color w:val="000000"/>
                <w:sz w:val="20"/>
                <w:szCs w:val="21"/>
              </w:rPr>
              <w:t>valu</w:t>
            </w:r>
            <w:r w:rsidRPr="00A32209">
              <w:rPr>
                <w:rFonts w:ascii="Arial" w:eastAsiaTheme="minorEastAsia" w:hAnsi="Arial" w:cs="SimSun" w:hint="eastAsia"/>
                <w:b/>
                <w:bCs/>
                <w:noProof/>
                <w:snapToGrid w:val="0"/>
                <w:color w:val="000000"/>
                <w:sz w:val="20"/>
                <w:szCs w:val="21"/>
                <w:lang w:eastAsia="zh-CN"/>
              </w:rPr>
              <w:t>e</w:t>
            </w:r>
          </w:p>
        </w:tc>
      </w:tr>
      <w:tr w:rsidR="00552B27" w:rsidRPr="00163623" w14:paraId="33B0347A" w14:textId="77777777" w:rsidTr="00944B9D">
        <w:trPr>
          <w:jc w:val="center"/>
        </w:trPr>
        <w:tc>
          <w:tcPr>
            <w:tcW w:w="4120" w:type="dxa"/>
            <w:tcBorders>
              <w:top w:val="single" w:sz="6" w:space="0" w:color="auto"/>
              <w:bottom w:val="nil"/>
            </w:tcBorders>
            <w:vAlign w:val="center"/>
          </w:tcPr>
          <w:p w14:paraId="5994CB62" w14:textId="1D213C53" w:rsidR="00552B27" w:rsidRPr="00CE7589" w:rsidRDefault="00AD241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Cylinder bore</w:t>
            </w:r>
          </w:p>
        </w:tc>
        <w:tc>
          <w:tcPr>
            <w:tcW w:w="4186" w:type="dxa"/>
            <w:tcBorders>
              <w:top w:val="single" w:sz="6" w:space="0" w:color="auto"/>
              <w:bottom w:val="nil"/>
            </w:tcBorders>
            <w:vAlign w:val="center"/>
          </w:tcPr>
          <w:p w14:paraId="3C4B66B6"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80mm</w:t>
            </w:r>
          </w:p>
        </w:tc>
      </w:tr>
      <w:tr w:rsidR="00552B27" w:rsidRPr="00163623" w14:paraId="7863CB06" w14:textId="77777777" w:rsidTr="00944B9D">
        <w:trPr>
          <w:jc w:val="center"/>
        </w:trPr>
        <w:tc>
          <w:tcPr>
            <w:tcW w:w="4120" w:type="dxa"/>
            <w:tcBorders>
              <w:top w:val="nil"/>
            </w:tcBorders>
            <w:vAlign w:val="center"/>
          </w:tcPr>
          <w:p w14:paraId="09D9F66E" w14:textId="77069B82" w:rsidR="00552B27" w:rsidRPr="00CE7589" w:rsidRDefault="007F6311"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Maximum stroke</w:t>
            </w:r>
          </w:p>
        </w:tc>
        <w:tc>
          <w:tcPr>
            <w:tcW w:w="4186" w:type="dxa"/>
            <w:tcBorders>
              <w:top w:val="nil"/>
            </w:tcBorders>
            <w:vAlign w:val="center"/>
          </w:tcPr>
          <w:p w14:paraId="09CF7FBA"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90mm</w:t>
            </w:r>
          </w:p>
        </w:tc>
      </w:tr>
      <w:tr w:rsidR="00552B27" w:rsidRPr="00163623" w14:paraId="4DBAA25A" w14:textId="77777777" w:rsidTr="00944B9D">
        <w:trPr>
          <w:jc w:val="center"/>
        </w:trPr>
        <w:tc>
          <w:tcPr>
            <w:tcW w:w="4120" w:type="dxa"/>
            <w:vAlign w:val="center"/>
          </w:tcPr>
          <w:p w14:paraId="277097D2" w14:textId="4224EEB4" w:rsidR="00552B27" w:rsidRPr="00CE7589" w:rsidRDefault="005B1152"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Nominal Stroke</w:t>
            </w:r>
          </w:p>
        </w:tc>
        <w:tc>
          <w:tcPr>
            <w:tcW w:w="4186" w:type="dxa"/>
            <w:vAlign w:val="center"/>
          </w:tcPr>
          <w:p w14:paraId="257D29D5"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87mm</w:t>
            </w:r>
          </w:p>
        </w:tc>
      </w:tr>
      <w:tr w:rsidR="00552B27" w:rsidRPr="00163623" w14:paraId="41A96967" w14:textId="77777777" w:rsidTr="00944B9D">
        <w:trPr>
          <w:jc w:val="center"/>
        </w:trPr>
        <w:tc>
          <w:tcPr>
            <w:tcW w:w="4120" w:type="dxa"/>
            <w:vAlign w:val="center"/>
          </w:tcPr>
          <w:p w14:paraId="0BF32599" w14:textId="00DC3B9D" w:rsidR="00552B27" w:rsidRPr="00CE7589" w:rsidRDefault="00561CD8"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Compression ratio</w:t>
            </w:r>
          </w:p>
        </w:tc>
        <w:tc>
          <w:tcPr>
            <w:tcW w:w="4186" w:type="dxa"/>
            <w:vAlign w:val="center"/>
          </w:tcPr>
          <w:p w14:paraId="09F61C54" w14:textId="3F2D2B2E" w:rsidR="00552B27" w:rsidRPr="00CE7589" w:rsidRDefault="00CE758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Variable</w:t>
            </w:r>
          </w:p>
        </w:tc>
      </w:tr>
      <w:tr w:rsidR="00552B27" w:rsidRPr="00163623" w14:paraId="00F05780" w14:textId="77777777" w:rsidTr="00944B9D">
        <w:trPr>
          <w:jc w:val="center"/>
        </w:trPr>
        <w:tc>
          <w:tcPr>
            <w:tcW w:w="4120" w:type="dxa"/>
            <w:vAlign w:val="center"/>
          </w:tcPr>
          <w:p w14:paraId="1B3D78AD" w14:textId="28DA563A" w:rsidR="00552B27" w:rsidRPr="00CE7589" w:rsidRDefault="00153F4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Coil inductance</w:t>
            </w:r>
          </w:p>
        </w:tc>
        <w:tc>
          <w:tcPr>
            <w:tcW w:w="4186" w:type="dxa"/>
            <w:vAlign w:val="center"/>
          </w:tcPr>
          <w:p w14:paraId="204B39AD"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10.2mH</w:t>
            </w:r>
          </w:p>
        </w:tc>
      </w:tr>
      <w:tr w:rsidR="00552B27" w:rsidRPr="00163623" w14:paraId="3495DF9B" w14:textId="77777777" w:rsidTr="00944B9D">
        <w:trPr>
          <w:jc w:val="center"/>
        </w:trPr>
        <w:tc>
          <w:tcPr>
            <w:tcW w:w="4120" w:type="dxa"/>
            <w:vAlign w:val="center"/>
          </w:tcPr>
          <w:p w14:paraId="1F597F13" w14:textId="519D36B1"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Coil resistance</w:t>
            </w:r>
          </w:p>
        </w:tc>
        <w:tc>
          <w:tcPr>
            <w:tcW w:w="4186" w:type="dxa"/>
            <w:vAlign w:val="center"/>
          </w:tcPr>
          <w:p w14:paraId="476CD0DF" w14:textId="0FF249C1"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5.4</w:t>
            </w:r>
            <w:bookmarkStart w:id="0" w:name="MTBlankEqn"/>
            <w:r w:rsidR="00ED6A93" w:rsidRPr="00025957">
              <w:rPr>
                <w:rFonts w:eastAsiaTheme="minorEastAsia"/>
                <w:position w:val="-4"/>
                <w:sz w:val="20"/>
                <w:szCs w:val="20"/>
              </w:rPr>
              <w:object w:dxaOrig="260" w:dyaOrig="260" w14:anchorId="0B8E7F21">
                <v:shape id="_x0000_i1026" type="#_x0000_t75" style="width:13.1pt;height:13.1pt" o:ole="">
                  <v:imagedata r:id="rId15" o:title=""/>
                </v:shape>
                <o:OLEObject Type="Embed" ProgID="Equation.DSMT4" ShapeID="_x0000_i1026" DrawAspect="Content" ObjectID="_1841662233" r:id="rId16"/>
              </w:object>
            </w:r>
            <w:bookmarkEnd w:id="0"/>
            <w:r w:rsidR="000153C1" w:rsidRPr="00CE7589">
              <w:rPr>
                <w:rFonts w:ascii="Arial" w:eastAsiaTheme="minorEastAsia" w:hAnsi="Arial" w:cs="Arial" w:hint="eastAsia"/>
                <w:sz w:val="20"/>
                <w:szCs w:val="20"/>
              </w:rPr>
              <w:t xml:space="preserve"> </w:t>
            </w:r>
          </w:p>
        </w:tc>
      </w:tr>
      <w:tr w:rsidR="00552B27" w:rsidRPr="00163623" w14:paraId="637CDDF9" w14:textId="77777777" w:rsidTr="00552B27">
        <w:trPr>
          <w:jc w:val="center"/>
        </w:trPr>
        <w:tc>
          <w:tcPr>
            <w:tcW w:w="4120" w:type="dxa"/>
            <w:tcBorders>
              <w:bottom w:val="single" w:sz="4" w:space="0" w:color="auto"/>
            </w:tcBorders>
            <w:vAlign w:val="center"/>
          </w:tcPr>
          <w:p w14:paraId="74AFFE58" w14:textId="06AF9E90"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Ignition method</w:t>
            </w:r>
          </w:p>
        </w:tc>
        <w:tc>
          <w:tcPr>
            <w:tcW w:w="4186" w:type="dxa"/>
            <w:tcBorders>
              <w:bottom w:val="single" w:sz="4" w:space="0" w:color="auto"/>
            </w:tcBorders>
            <w:vAlign w:val="center"/>
          </w:tcPr>
          <w:p w14:paraId="1EBD6949" w14:textId="1A6027CC"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Pilot ignition</w:t>
            </w:r>
          </w:p>
        </w:tc>
      </w:tr>
    </w:tbl>
    <w:p w14:paraId="10A62826" w14:textId="77777777" w:rsidR="003940F1" w:rsidRDefault="003940F1" w:rsidP="00441B6F">
      <w:pPr>
        <w:pStyle w:val="Body"/>
        <w:spacing w:after="0"/>
        <w:rPr>
          <w:rFonts w:ascii="Arial" w:hAnsi="Arial" w:cs="Arial"/>
          <w:lang w:eastAsia="zh-CN"/>
        </w:rPr>
      </w:pPr>
    </w:p>
    <w:p w14:paraId="565D54D9" w14:textId="07832461" w:rsidR="00ED6A93" w:rsidRDefault="00ED6A93" w:rsidP="00ED6A93">
      <w:pPr>
        <w:pStyle w:val="Body"/>
        <w:spacing w:after="0"/>
        <w:rPr>
          <w:rFonts w:ascii="Arial" w:hAnsi="Arial" w:cs="Arial"/>
        </w:rPr>
      </w:pPr>
      <w:r w:rsidRPr="00C30A0F">
        <w:rPr>
          <w:rFonts w:ascii="Arial" w:hAnsi="Arial" w:cs="Arial"/>
          <w:b/>
          <w:caps/>
          <w:sz w:val="22"/>
        </w:rPr>
        <w:t>2.</w:t>
      </w:r>
      <w:r w:rsidR="006851BD">
        <w:rPr>
          <w:rFonts w:ascii="Arial" w:hAnsi="Arial" w:cs="Arial" w:hint="eastAsia"/>
          <w:b/>
          <w:caps/>
          <w:sz w:val="22"/>
          <w:lang w:eastAsia="zh-CN"/>
        </w:rPr>
        <w:t>2</w:t>
      </w:r>
      <w:r w:rsidRPr="00C30A0F">
        <w:rPr>
          <w:rFonts w:ascii="Arial" w:hAnsi="Arial" w:cs="Arial"/>
          <w:b/>
          <w:caps/>
          <w:sz w:val="22"/>
        </w:rPr>
        <w:t xml:space="preserve"> </w:t>
      </w:r>
      <w:r w:rsidR="006851BD" w:rsidRPr="006851BD">
        <w:rPr>
          <w:rFonts w:ascii="Arial" w:hAnsi="Arial" w:cs="Arial"/>
          <w:b/>
          <w:sz w:val="22"/>
        </w:rPr>
        <w:t>Simulation Modeling and Initial Conditions</w:t>
      </w:r>
      <w:r w:rsidRPr="00FB3A86">
        <w:rPr>
          <w:rFonts w:ascii="Arial" w:hAnsi="Arial" w:cs="Arial"/>
        </w:rPr>
        <w:t xml:space="preserve"> </w:t>
      </w:r>
    </w:p>
    <w:p w14:paraId="26D5C246" w14:textId="77777777" w:rsidR="00ED6A93" w:rsidRPr="003940F1" w:rsidRDefault="00ED6A93" w:rsidP="00441B6F">
      <w:pPr>
        <w:pStyle w:val="Body"/>
        <w:spacing w:after="0"/>
        <w:rPr>
          <w:rFonts w:ascii="Arial" w:hAnsi="Arial" w:cs="Arial"/>
        </w:rPr>
      </w:pPr>
    </w:p>
    <w:p w14:paraId="015B732A" w14:textId="16D17083" w:rsidR="002601FA" w:rsidRPr="002601FA" w:rsidRDefault="002601FA" w:rsidP="002601FA">
      <w:pPr>
        <w:pStyle w:val="Body"/>
        <w:spacing w:after="0"/>
        <w:rPr>
          <w:rFonts w:ascii="Arial" w:hAnsi="Arial" w:cs="Arial"/>
        </w:rPr>
      </w:pPr>
      <w:r w:rsidRPr="002601FA">
        <w:rPr>
          <w:rFonts w:ascii="Arial" w:hAnsi="Arial" w:cs="Arial"/>
        </w:rPr>
        <w:t>The free-piston hydrogen engine model was first established using three-dimensional modeling software and then imported into the simulation software for static and dynamic mesh generation. Since this study mainly focuses on the compression and expansion processes, only key components, including the cylinder, piston, and combustion chamber, were modeled.</w:t>
      </w:r>
    </w:p>
    <w:p w14:paraId="48B55F16" w14:textId="3C62E4FE" w:rsidR="002E0D56" w:rsidRDefault="002601FA" w:rsidP="002601FA">
      <w:pPr>
        <w:pStyle w:val="Body"/>
        <w:spacing w:after="0"/>
        <w:rPr>
          <w:rFonts w:ascii="Arial" w:hAnsi="Arial" w:cs="Arial"/>
        </w:rPr>
      </w:pPr>
      <w:r w:rsidRPr="002601FA">
        <w:rPr>
          <w:rFonts w:ascii="Arial" w:hAnsi="Arial" w:cs="Arial"/>
        </w:rPr>
        <w:t xml:space="preserve">To ensure computational accuracy and efficiency, the model was appropriately refined, while minor geometric features were simplified. The piston motion profile obtained through coupled iteration was imported for dynamic mesh generation. Considering both computational accuracy and cost, hexahedral meshes were adopted. As shown in Figure </w:t>
      </w:r>
      <w:r w:rsidR="00FB4BB1">
        <w:rPr>
          <w:rFonts w:ascii="Arial" w:hAnsi="Arial" w:cs="Arial" w:hint="eastAsia"/>
          <w:lang w:eastAsia="zh-CN"/>
        </w:rPr>
        <w:t>3</w:t>
      </w:r>
      <w:r w:rsidRPr="002601FA">
        <w:rPr>
          <w:rFonts w:ascii="Arial" w:hAnsi="Arial" w:cs="Arial"/>
        </w:rPr>
        <w:t>, the mesh size was 1 mm × 1 mm × 1 mm, with a total of 82,318 cells.</w:t>
      </w:r>
    </w:p>
    <w:p w14:paraId="3AD0E1F9" w14:textId="068B0FBC" w:rsidR="002601FA" w:rsidRDefault="002601FA" w:rsidP="009573AD">
      <w:pPr>
        <w:pStyle w:val="Body"/>
        <w:spacing w:after="0"/>
        <w:jc w:val="center"/>
        <w:rPr>
          <w:rFonts w:ascii="Arial" w:hAnsi="Arial" w:cs="Arial"/>
          <w:lang w:eastAsia="zh-CN"/>
        </w:rPr>
      </w:pPr>
      <w:r>
        <w:rPr>
          <w:noProof/>
        </w:rPr>
        <w:lastRenderedPageBreak/>
        <w:drawing>
          <wp:inline distT="0" distB="0" distL="0" distR="0" wp14:anchorId="1FE741FE" wp14:editId="08C6C049">
            <wp:extent cx="3009900" cy="2099678"/>
            <wp:effectExtent l="0" t="0" r="0" b="0"/>
            <wp:docPr id="335901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79261" name="图片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057" cy="2101880"/>
                    </a:xfrm>
                    <a:prstGeom prst="rect">
                      <a:avLst/>
                    </a:prstGeom>
                    <a:noFill/>
                    <a:ln>
                      <a:noFill/>
                    </a:ln>
                  </pic:spPr>
                </pic:pic>
              </a:graphicData>
            </a:graphic>
          </wp:inline>
        </w:drawing>
      </w:r>
    </w:p>
    <w:p w14:paraId="2D02119C" w14:textId="77777777" w:rsidR="00414416" w:rsidRDefault="00414416" w:rsidP="009573AD">
      <w:pPr>
        <w:pStyle w:val="Body"/>
        <w:spacing w:after="0"/>
        <w:jc w:val="center"/>
        <w:rPr>
          <w:rFonts w:ascii="Arial" w:hAnsi="Arial" w:cs="Arial"/>
          <w:lang w:eastAsia="zh-CN"/>
        </w:rPr>
      </w:pPr>
    </w:p>
    <w:p w14:paraId="4A606F52" w14:textId="318A627A" w:rsidR="00F921BD" w:rsidRPr="00F921BD" w:rsidRDefault="00F921BD" w:rsidP="009573AD">
      <w:pPr>
        <w:autoSpaceDE w:val="0"/>
        <w:autoSpaceDN w:val="0"/>
        <w:adjustRightInd w:val="0"/>
        <w:jc w:val="center"/>
        <w:rPr>
          <w:rFonts w:ascii="Arial" w:hAnsi="Arial" w:cs="Arial"/>
          <w:b/>
          <w:bCs/>
          <w:szCs w:val="22"/>
        </w:rPr>
      </w:pPr>
      <w:r w:rsidRPr="00F921BD">
        <w:rPr>
          <w:rFonts w:ascii="Arial" w:hAnsi="Arial" w:cs="Arial" w:hint="eastAsia"/>
          <w:b/>
          <w:bCs/>
          <w:szCs w:val="22"/>
        </w:rPr>
        <w:t xml:space="preserve">Fig </w:t>
      </w:r>
      <w:r w:rsidR="00894E7D">
        <w:rPr>
          <w:rFonts w:ascii="Arial" w:hAnsi="Arial" w:cs="Arial" w:hint="eastAsia"/>
          <w:b/>
          <w:bCs/>
          <w:szCs w:val="22"/>
          <w:lang w:eastAsia="zh-CN"/>
        </w:rPr>
        <w:t>3</w:t>
      </w:r>
      <w:r w:rsidRPr="00F921BD">
        <w:rPr>
          <w:rFonts w:ascii="Arial" w:hAnsi="Arial" w:cs="Arial" w:hint="eastAsia"/>
          <w:b/>
          <w:bCs/>
          <w:szCs w:val="22"/>
        </w:rPr>
        <w:t xml:space="preserve"> Three-dimensional cylinder grid model</w:t>
      </w:r>
    </w:p>
    <w:p w14:paraId="7D7A3374" w14:textId="77777777" w:rsidR="00F921BD" w:rsidRPr="00F921BD" w:rsidRDefault="00F921BD" w:rsidP="002601FA">
      <w:pPr>
        <w:pStyle w:val="Body"/>
        <w:spacing w:after="0"/>
        <w:rPr>
          <w:rFonts w:ascii="Arial" w:hAnsi="Arial" w:cs="Arial"/>
        </w:rPr>
      </w:pPr>
    </w:p>
    <w:p w14:paraId="57B22992" w14:textId="3030E8C6" w:rsidR="000B522E" w:rsidRPr="000B522E" w:rsidRDefault="000B522E" w:rsidP="000B522E">
      <w:pPr>
        <w:pStyle w:val="Body"/>
        <w:spacing w:after="0"/>
        <w:rPr>
          <w:rFonts w:ascii="Arial" w:hAnsi="Arial" w:cs="Arial"/>
        </w:rPr>
      </w:pPr>
      <w:r w:rsidRPr="000B522E">
        <w:rPr>
          <w:rFonts w:ascii="Arial" w:hAnsi="Arial" w:cs="Arial"/>
        </w:rPr>
        <w:t>In this study, hydrogen and diesel were used as the primary fuels. Hydrogen was first injected into the cylinder, followed by diesel injection. The diesel fuel was compression-ignited to initiate hydrogen combustion. The piston motion ranged from 256.5°ECA to 486.6°ECA. The engine speed was maintained at a constant value of 2222 r/min, while the diesel injection timing and injection quantity were kept unchanged. The influence of intake pressure on engine performance was then investigated by varying the intake pressure.</w:t>
      </w:r>
      <w:r w:rsidR="00F252FD" w:rsidRPr="00736F68">
        <w:rPr>
          <w:rFonts w:ascii="Arial" w:hAnsi="Arial" w:cs="Arial"/>
        </w:rPr>
        <w:t xml:space="preserve"> </w:t>
      </w:r>
      <w:r w:rsidR="00F252FD" w:rsidRPr="00F252FD">
        <w:rPr>
          <w:rFonts w:ascii="Arial" w:hAnsi="Arial" w:cs="Arial"/>
        </w:rPr>
        <w:t>The detailed parameters are listed in Table 2.</w:t>
      </w:r>
    </w:p>
    <w:p w14:paraId="3C290505" w14:textId="77777777" w:rsidR="002601FA" w:rsidRDefault="002601FA" w:rsidP="002601FA">
      <w:pPr>
        <w:pStyle w:val="Body"/>
        <w:spacing w:after="0"/>
        <w:rPr>
          <w:rFonts w:ascii="Arial" w:hAnsi="Arial" w:cs="Arial"/>
        </w:rPr>
      </w:pPr>
    </w:p>
    <w:p w14:paraId="4A7684E7" w14:textId="77777777" w:rsidR="00AC0C05" w:rsidRPr="00862050" w:rsidRDefault="00AC0C05" w:rsidP="00862050">
      <w:pPr>
        <w:autoSpaceDE w:val="0"/>
        <w:autoSpaceDN w:val="0"/>
        <w:adjustRightInd w:val="0"/>
        <w:jc w:val="center"/>
        <w:rPr>
          <w:rFonts w:ascii="Arial" w:hAnsi="Arial" w:cs="Arial"/>
          <w:b/>
          <w:bCs/>
          <w:szCs w:val="22"/>
        </w:rPr>
      </w:pPr>
      <w:r w:rsidRPr="00862050">
        <w:rPr>
          <w:rFonts w:ascii="Arial" w:hAnsi="Arial" w:cs="Arial" w:hint="eastAsia"/>
          <w:b/>
          <w:bCs/>
          <w:szCs w:val="22"/>
        </w:rPr>
        <w:t xml:space="preserve">Table 2 </w:t>
      </w:r>
      <w:r w:rsidRPr="00862050">
        <w:rPr>
          <w:rFonts w:ascii="Arial" w:hAnsi="Arial" w:cs="Arial"/>
          <w:b/>
          <w:bCs/>
          <w:szCs w:val="22"/>
        </w:rPr>
        <w:t>Initial Condition Settings</w:t>
      </w:r>
    </w:p>
    <w:p w14:paraId="30D86E11" w14:textId="77777777" w:rsidR="00AC0C05" w:rsidRDefault="00AC0C05" w:rsidP="002601FA">
      <w:pPr>
        <w:pStyle w:val="Body"/>
        <w:spacing w:after="0"/>
        <w:rPr>
          <w:rFonts w:ascii="Arial" w:hAnsi="Arial" w:cs="Arial"/>
          <w:lang w:eastAsia="zh-C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F252FD" w14:paraId="69B6D511" w14:textId="77777777" w:rsidTr="00F252FD">
        <w:tc>
          <w:tcPr>
            <w:tcW w:w="4099" w:type="dxa"/>
            <w:tcBorders>
              <w:bottom w:val="single" w:sz="4" w:space="0" w:color="000000"/>
            </w:tcBorders>
          </w:tcPr>
          <w:p w14:paraId="6487ED41" w14:textId="1BBA52DC" w:rsidR="00F252FD" w:rsidRPr="00CB3097" w:rsidRDefault="00844323" w:rsidP="00CB3097">
            <w:pPr>
              <w:jc w:val="center"/>
              <w:rPr>
                <w:rFonts w:ascii="Arial" w:hAnsi="Arial" w:cs="SimSun"/>
                <w:b/>
                <w:bCs/>
                <w:noProof/>
                <w:snapToGrid w:val="0"/>
                <w:color w:val="000000"/>
                <w:sz w:val="20"/>
                <w:szCs w:val="21"/>
              </w:rPr>
            </w:pPr>
            <w:r w:rsidRPr="00CB3097">
              <w:rPr>
                <w:rFonts w:ascii="Arial" w:hAnsi="Arial" w:cs="SimSun"/>
                <w:b/>
                <w:bCs/>
                <w:noProof/>
                <w:snapToGrid w:val="0"/>
                <w:color w:val="000000"/>
                <w:sz w:val="20"/>
                <w:szCs w:val="21"/>
              </w:rPr>
              <w:t>Initial Conditions</w:t>
            </w:r>
          </w:p>
        </w:tc>
        <w:tc>
          <w:tcPr>
            <w:tcW w:w="4099" w:type="dxa"/>
            <w:tcBorders>
              <w:bottom w:val="single" w:sz="4" w:space="0" w:color="000000"/>
            </w:tcBorders>
          </w:tcPr>
          <w:p w14:paraId="4DA5B8FE" w14:textId="6FDC646E" w:rsidR="00F252FD" w:rsidRPr="00CB3097" w:rsidRDefault="00844323" w:rsidP="00CB3097">
            <w:pPr>
              <w:jc w:val="center"/>
              <w:rPr>
                <w:rFonts w:ascii="Arial" w:hAnsi="Arial" w:cs="SimSun"/>
                <w:b/>
                <w:bCs/>
                <w:noProof/>
                <w:snapToGrid w:val="0"/>
                <w:color w:val="000000"/>
                <w:sz w:val="20"/>
                <w:szCs w:val="21"/>
              </w:rPr>
            </w:pPr>
            <w:r w:rsidRPr="00CB3097">
              <w:rPr>
                <w:rFonts w:ascii="Arial" w:hAnsi="Arial" w:cs="SimSun"/>
                <w:b/>
                <w:bCs/>
                <w:noProof/>
                <w:snapToGrid w:val="0"/>
                <w:color w:val="000000"/>
                <w:sz w:val="20"/>
                <w:szCs w:val="21"/>
              </w:rPr>
              <w:t>Value</w:t>
            </w:r>
          </w:p>
        </w:tc>
      </w:tr>
      <w:tr w:rsidR="00F252FD" w14:paraId="4AB7F177" w14:textId="77777777" w:rsidTr="00F252FD">
        <w:tc>
          <w:tcPr>
            <w:tcW w:w="4099" w:type="dxa"/>
            <w:tcBorders>
              <w:top w:val="single" w:sz="4" w:space="0" w:color="000000"/>
              <w:bottom w:val="nil"/>
            </w:tcBorders>
          </w:tcPr>
          <w:p w14:paraId="2618E37D" w14:textId="36794623" w:rsidR="00F252FD" w:rsidRPr="00CB3097" w:rsidRDefault="00844323"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Intake Temperature</w:t>
            </w:r>
          </w:p>
        </w:tc>
        <w:tc>
          <w:tcPr>
            <w:tcW w:w="4099" w:type="dxa"/>
            <w:tcBorders>
              <w:top w:val="single" w:sz="4" w:space="0" w:color="000000"/>
              <w:bottom w:val="nil"/>
            </w:tcBorders>
          </w:tcPr>
          <w:p w14:paraId="23DC04FC" w14:textId="698A586A"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294K</w:t>
            </w:r>
          </w:p>
        </w:tc>
      </w:tr>
      <w:tr w:rsidR="00F252FD" w14:paraId="14F67428" w14:textId="77777777" w:rsidTr="00F252FD">
        <w:tc>
          <w:tcPr>
            <w:tcW w:w="4099" w:type="dxa"/>
            <w:tcBorders>
              <w:top w:val="nil"/>
              <w:bottom w:val="nil"/>
            </w:tcBorders>
          </w:tcPr>
          <w:p w14:paraId="0DB74BBC" w14:textId="39BC4326" w:rsidR="00F252FD" w:rsidRPr="00CB3097" w:rsidRDefault="00844323"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Ambient Temperature</w:t>
            </w:r>
          </w:p>
        </w:tc>
        <w:tc>
          <w:tcPr>
            <w:tcW w:w="4099" w:type="dxa"/>
            <w:tcBorders>
              <w:top w:val="nil"/>
              <w:bottom w:val="nil"/>
            </w:tcBorders>
          </w:tcPr>
          <w:p w14:paraId="4BE1152E" w14:textId="3CD6976F"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294K</w:t>
            </w:r>
          </w:p>
        </w:tc>
      </w:tr>
      <w:tr w:rsidR="00F252FD" w14:paraId="21D4691E" w14:textId="77777777" w:rsidTr="00F252FD">
        <w:tc>
          <w:tcPr>
            <w:tcW w:w="4099" w:type="dxa"/>
            <w:tcBorders>
              <w:top w:val="nil"/>
              <w:bottom w:val="nil"/>
            </w:tcBorders>
          </w:tcPr>
          <w:p w14:paraId="4DD2F254" w14:textId="31220C9D"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Fuel</w:t>
            </w:r>
          </w:p>
        </w:tc>
        <w:tc>
          <w:tcPr>
            <w:tcW w:w="4099" w:type="dxa"/>
            <w:tcBorders>
              <w:top w:val="nil"/>
              <w:bottom w:val="nil"/>
            </w:tcBorders>
          </w:tcPr>
          <w:p w14:paraId="30A76B84" w14:textId="39F7B438"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Hydrogen/Diesel</w:t>
            </w:r>
          </w:p>
        </w:tc>
      </w:tr>
      <w:tr w:rsidR="00F252FD" w14:paraId="1D105791" w14:textId="77777777" w:rsidTr="00F252FD">
        <w:tc>
          <w:tcPr>
            <w:tcW w:w="4099" w:type="dxa"/>
            <w:tcBorders>
              <w:top w:val="nil"/>
              <w:bottom w:val="nil"/>
            </w:tcBorders>
          </w:tcPr>
          <w:p w14:paraId="6CD16648" w14:textId="5DEDF588"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Hydrogen Purity</w:t>
            </w:r>
          </w:p>
        </w:tc>
        <w:tc>
          <w:tcPr>
            <w:tcW w:w="4099" w:type="dxa"/>
            <w:tcBorders>
              <w:top w:val="nil"/>
              <w:bottom w:val="nil"/>
            </w:tcBorders>
          </w:tcPr>
          <w:p w14:paraId="384DD5D0" w14:textId="4BEA856B"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99.9%</w:t>
            </w:r>
          </w:p>
        </w:tc>
      </w:tr>
      <w:tr w:rsidR="00F252FD" w14:paraId="655EAB76" w14:textId="77777777" w:rsidTr="00F252FD">
        <w:tc>
          <w:tcPr>
            <w:tcW w:w="4099" w:type="dxa"/>
            <w:tcBorders>
              <w:top w:val="nil"/>
              <w:bottom w:val="nil"/>
            </w:tcBorders>
          </w:tcPr>
          <w:p w14:paraId="16FC28B3" w14:textId="248881A9"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Exhaust Port Opening</w:t>
            </w:r>
          </w:p>
        </w:tc>
        <w:tc>
          <w:tcPr>
            <w:tcW w:w="4099" w:type="dxa"/>
            <w:tcBorders>
              <w:top w:val="nil"/>
              <w:bottom w:val="nil"/>
            </w:tcBorders>
          </w:tcPr>
          <w:p w14:paraId="62B21864" w14:textId="1C20D831"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256.5</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6B1719B8" w14:textId="77777777" w:rsidTr="00F252FD">
        <w:tc>
          <w:tcPr>
            <w:tcW w:w="4099" w:type="dxa"/>
            <w:tcBorders>
              <w:top w:val="nil"/>
              <w:bottom w:val="nil"/>
            </w:tcBorders>
          </w:tcPr>
          <w:p w14:paraId="7BE4C6B9" w14:textId="62431601"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Exhaust Port Closing</w:t>
            </w:r>
          </w:p>
        </w:tc>
        <w:tc>
          <w:tcPr>
            <w:tcW w:w="4099" w:type="dxa"/>
            <w:tcBorders>
              <w:top w:val="nil"/>
              <w:bottom w:val="nil"/>
            </w:tcBorders>
          </w:tcPr>
          <w:p w14:paraId="12A8A6E3" w14:textId="1C693F53"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468.6</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02A016A8" w14:textId="77777777" w:rsidTr="00F252FD">
        <w:tc>
          <w:tcPr>
            <w:tcW w:w="4099" w:type="dxa"/>
            <w:tcBorders>
              <w:top w:val="nil"/>
              <w:bottom w:val="nil"/>
            </w:tcBorders>
          </w:tcPr>
          <w:p w14:paraId="70429E14" w14:textId="2077D870"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Injection Timing</w:t>
            </w:r>
          </w:p>
        </w:tc>
        <w:tc>
          <w:tcPr>
            <w:tcW w:w="4099" w:type="dxa"/>
            <w:tcBorders>
              <w:top w:val="nil"/>
              <w:bottom w:val="nil"/>
            </w:tcBorders>
          </w:tcPr>
          <w:p w14:paraId="46B75762" w14:textId="15DFB9E7"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376</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760FAB80" w14:textId="77777777" w:rsidTr="00F252FD">
        <w:tc>
          <w:tcPr>
            <w:tcW w:w="4099" w:type="dxa"/>
            <w:tcBorders>
              <w:top w:val="nil"/>
              <w:bottom w:val="single" w:sz="4" w:space="0" w:color="000000"/>
            </w:tcBorders>
          </w:tcPr>
          <w:p w14:paraId="5291EC85" w14:textId="198B7BCA"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Ambient Pressure</w:t>
            </w:r>
          </w:p>
        </w:tc>
        <w:tc>
          <w:tcPr>
            <w:tcW w:w="4099" w:type="dxa"/>
            <w:tcBorders>
              <w:top w:val="nil"/>
              <w:bottom w:val="single" w:sz="4" w:space="0" w:color="000000"/>
            </w:tcBorders>
          </w:tcPr>
          <w:p w14:paraId="432B7AB8" w14:textId="43E8A948"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0.1MPa</w:t>
            </w:r>
          </w:p>
        </w:tc>
      </w:tr>
    </w:tbl>
    <w:p w14:paraId="605D9C18" w14:textId="77777777" w:rsidR="00F252FD" w:rsidRDefault="00F252FD" w:rsidP="002601FA">
      <w:pPr>
        <w:pStyle w:val="Body"/>
        <w:spacing w:after="0"/>
        <w:rPr>
          <w:rFonts w:ascii="Arial" w:hAnsi="Arial" w:cs="Arial"/>
          <w:lang w:eastAsia="zh-CN"/>
        </w:rPr>
      </w:pPr>
    </w:p>
    <w:p w14:paraId="0F75EE79" w14:textId="4967698C" w:rsidR="00CB3097" w:rsidRDefault="00CB3097" w:rsidP="00CB3097">
      <w:pPr>
        <w:pStyle w:val="Body"/>
        <w:spacing w:after="0"/>
        <w:rPr>
          <w:rFonts w:ascii="Arial" w:hAnsi="Arial" w:cs="Arial"/>
        </w:rPr>
      </w:pPr>
      <w:r w:rsidRPr="00C30A0F">
        <w:rPr>
          <w:rFonts w:ascii="Arial" w:hAnsi="Arial" w:cs="Arial"/>
          <w:b/>
          <w:caps/>
          <w:sz w:val="22"/>
        </w:rPr>
        <w:t>2.</w:t>
      </w:r>
      <w:r>
        <w:rPr>
          <w:rFonts w:ascii="Arial" w:hAnsi="Arial" w:cs="Arial" w:hint="eastAsia"/>
          <w:b/>
          <w:caps/>
          <w:sz w:val="22"/>
          <w:lang w:eastAsia="zh-CN"/>
        </w:rPr>
        <w:t>3</w:t>
      </w:r>
      <w:r w:rsidRPr="00C30A0F">
        <w:rPr>
          <w:rFonts w:ascii="Arial" w:hAnsi="Arial" w:cs="Arial"/>
          <w:b/>
          <w:caps/>
          <w:sz w:val="22"/>
        </w:rPr>
        <w:t xml:space="preserve"> </w:t>
      </w:r>
      <w:r w:rsidR="008B2DAC" w:rsidRPr="008B2DAC">
        <w:rPr>
          <w:rFonts w:ascii="Arial" w:hAnsi="Arial" w:cs="Arial"/>
          <w:b/>
          <w:sz w:val="22"/>
        </w:rPr>
        <w:t>Research Methodology</w:t>
      </w:r>
    </w:p>
    <w:p w14:paraId="7478201A" w14:textId="77777777" w:rsidR="00CB3097" w:rsidRDefault="00CB3097" w:rsidP="002601FA">
      <w:pPr>
        <w:pStyle w:val="Body"/>
        <w:spacing w:after="0"/>
        <w:rPr>
          <w:rFonts w:ascii="Arial" w:hAnsi="Arial" w:cs="Arial"/>
        </w:rPr>
      </w:pPr>
    </w:p>
    <w:p w14:paraId="1D016DA3" w14:textId="77777777" w:rsidR="005E4DD3" w:rsidRDefault="005E4DD3" w:rsidP="005E4DD3">
      <w:pPr>
        <w:pStyle w:val="Body"/>
        <w:spacing w:after="0"/>
        <w:rPr>
          <w:rFonts w:ascii="Arial" w:hAnsi="Arial" w:cs="Arial"/>
        </w:rPr>
      </w:pPr>
      <w:r w:rsidRPr="005E4DD3">
        <w:rPr>
          <w:rFonts w:ascii="Arial" w:hAnsi="Arial" w:cs="Arial"/>
        </w:rPr>
        <w:t>Compared with conventional engines, free-piston hydrogen engines exhibit significant differences in both piston motion characteristics and operating mechanisms. In conventional engines, piston motion is constrained by the crank–connecting rod mechanism, and the displacement generally follows a fixed trigonometric relationship, making it less sensitive to variations in in-cylinder gas forces. In contrast, the stable operation of a free-piston hydrogen engine relies on the coupled interaction of multiple physical fields, including combustion, electromagnetics, fluid flow, and heat transfer. Owing to the elimination of the crank mechanism, piston motion no longer follows a fixed trajectory, but is jointly influenced by various linear and nonlinear forces, resulting in more complex dynamic response characteristics.</w:t>
      </w:r>
    </w:p>
    <w:p w14:paraId="1ADE23EA" w14:textId="77777777" w:rsidR="00324278" w:rsidRPr="005E4DD3" w:rsidRDefault="00324278" w:rsidP="005E4DD3">
      <w:pPr>
        <w:pStyle w:val="Body"/>
        <w:spacing w:after="0"/>
        <w:rPr>
          <w:rFonts w:ascii="Arial" w:hAnsi="Arial" w:cs="Arial"/>
        </w:rPr>
      </w:pPr>
    </w:p>
    <w:p w14:paraId="5AD7B4BE" w14:textId="77777777" w:rsidR="005E4DD3" w:rsidRDefault="005E4DD3" w:rsidP="005E4DD3">
      <w:pPr>
        <w:pStyle w:val="Body"/>
        <w:spacing w:after="0"/>
        <w:rPr>
          <w:rFonts w:ascii="Arial" w:hAnsi="Arial" w:cs="Arial"/>
        </w:rPr>
      </w:pPr>
      <w:r w:rsidRPr="005E4DD3">
        <w:rPr>
          <w:rFonts w:ascii="Arial" w:hAnsi="Arial" w:cs="Arial"/>
        </w:rPr>
        <w:t xml:space="preserve">During reciprocating motion, factors such as in-cylinder pressure fluctuations, electromagnetic load variations, and friction resistance can alter piston motion, which subsequently affects the </w:t>
      </w:r>
      <w:r w:rsidRPr="005E4DD3">
        <w:rPr>
          <w:rFonts w:ascii="Arial" w:hAnsi="Arial" w:cs="Arial"/>
        </w:rPr>
        <w:lastRenderedPageBreak/>
        <w:t>scavenging, fuel atomization, and combustion processes, thereby forming a complex coupling relationship with the linear generator system. Therefore, the free-piston hydrogen engine is essentially a multi-physics coupled system rather than a system dominated by a single physical process. Moreover, in-cylinder flow and heat transfer not only influence piston motion, but are also affected by changes in piston dynamics, indicating strong interactions among the different physical processes.</w:t>
      </w:r>
    </w:p>
    <w:p w14:paraId="5F0299D7" w14:textId="77777777" w:rsidR="00324278" w:rsidRPr="005E4DD3" w:rsidRDefault="00324278" w:rsidP="005E4DD3">
      <w:pPr>
        <w:pStyle w:val="Body"/>
        <w:spacing w:after="0"/>
        <w:rPr>
          <w:rFonts w:ascii="Arial" w:hAnsi="Arial" w:cs="Arial"/>
        </w:rPr>
      </w:pPr>
    </w:p>
    <w:p w14:paraId="203DD583" w14:textId="12A9F732" w:rsidR="005E4DD3" w:rsidRDefault="005E4DD3" w:rsidP="005E4DD3">
      <w:pPr>
        <w:pStyle w:val="Body"/>
        <w:spacing w:after="0"/>
        <w:rPr>
          <w:rFonts w:ascii="Arial" w:hAnsi="Arial" w:cs="Arial"/>
        </w:rPr>
      </w:pPr>
      <w:r w:rsidRPr="005E4DD3">
        <w:rPr>
          <w:rFonts w:ascii="Arial" w:hAnsi="Arial" w:cs="Arial"/>
        </w:rPr>
        <w:t xml:space="preserve">Based on these characteristics, a coupled dynamic–thermodynamic model was established instead of the conventional single-process modeling approach, in order to more accurately describe the actual operating characteristics of the free-piston hydrogen engine. To ensure the reliability and validity of the simulation results, the coupled model was iteratively solved until convergence was achieved. The detailed calculation procedure is shown in Figure </w:t>
      </w:r>
      <w:r w:rsidR="00FB4BB1">
        <w:rPr>
          <w:rFonts w:ascii="Arial" w:hAnsi="Arial" w:cs="Arial" w:hint="eastAsia"/>
          <w:lang w:eastAsia="zh-CN"/>
        </w:rPr>
        <w:t>4</w:t>
      </w:r>
      <w:r w:rsidRPr="005E4DD3">
        <w:rPr>
          <w:rFonts w:ascii="Arial" w:hAnsi="Arial" w:cs="Arial"/>
        </w:rPr>
        <w:t>.</w:t>
      </w:r>
    </w:p>
    <w:p w14:paraId="1564659F" w14:textId="77777777" w:rsidR="005159C6" w:rsidRPr="005E4DD3" w:rsidRDefault="005159C6" w:rsidP="005E4DD3">
      <w:pPr>
        <w:pStyle w:val="Body"/>
        <w:spacing w:after="0"/>
        <w:rPr>
          <w:rFonts w:ascii="Arial" w:hAnsi="Arial" w:cs="Arial"/>
        </w:rPr>
      </w:pPr>
    </w:p>
    <w:p w14:paraId="5328C21B" w14:textId="7B8C0C8A" w:rsidR="005E4DD3" w:rsidRDefault="005159C6" w:rsidP="002601FA">
      <w:pPr>
        <w:pStyle w:val="Body"/>
        <w:spacing w:after="0"/>
      </w:pPr>
      <w:r>
        <w:rPr>
          <w:rFonts w:hint="eastAsia"/>
        </w:rPr>
        <w:object w:dxaOrig="16008" w:dyaOrig="9169" w14:anchorId="3BD1F216">
          <v:shape id="_x0000_i1027" type="#_x0000_t75" style="width:410.05pt;height:233.75pt" o:ole="">
            <v:imagedata r:id="rId18" o:title=""/>
          </v:shape>
          <o:OLEObject Type="Embed" ProgID="Visio.Drawing.15" ShapeID="_x0000_i1027" DrawAspect="Content" ObjectID="_1841662234" r:id="rId19"/>
        </w:object>
      </w:r>
    </w:p>
    <w:p w14:paraId="1AB009C3" w14:textId="77777777" w:rsidR="005159C6" w:rsidRDefault="005159C6" w:rsidP="002601FA">
      <w:pPr>
        <w:pStyle w:val="Body"/>
        <w:spacing w:after="0"/>
        <w:rPr>
          <w:rFonts w:ascii="Arial" w:hAnsi="Arial" w:cs="Arial"/>
          <w:lang w:eastAsia="zh-CN"/>
        </w:rPr>
      </w:pPr>
    </w:p>
    <w:p w14:paraId="426D8CBD" w14:textId="16D61DD4" w:rsidR="005159C6" w:rsidRPr="00DF7CEC" w:rsidRDefault="005159C6" w:rsidP="005159C6">
      <w:pPr>
        <w:jc w:val="center"/>
        <w:rPr>
          <w:rFonts w:cs="SimSun"/>
          <w:b/>
          <w:bCs/>
          <w:noProof/>
          <w:snapToGrid w:val="0"/>
          <w:color w:val="000000"/>
          <w:sz w:val="21"/>
          <w:szCs w:val="21"/>
        </w:rPr>
      </w:pPr>
      <w:r w:rsidRPr="00DF7CEC">
        <w:rPr>
          <w:rFonts w:cs="SimSun" w:hint="eastAsia"/>
          <w:b/>
          <w:bCs/>
          <w:noProof/>
          <w:snapToGrid w:val="0"/>
          <w:color w:val="000000"/>
          <w:sz w:val="21"/>
          <w:szCs w:val="21"/>
        </w:rPr>
        <w:t xml:space="preserve">Fig </w:t>
      </w:r>
      <w:r w:rsidR="00FB4BB1">
        <w:rPr>
          <w:rFonts w:cs="SimSun" w:hint="eastAsia"/>
          <w:b/>
          <w:bCs/>
          <w:noProof/>
          <w:snapToGrid w:val="0"/>
          <w:color w:val="000000"/>
          <w:sz w:val="21"/>
          <w:szCs w:val="21"/>
          <w:lang w:eastAsia="zh-CN"/>
        </w:rPr>
        <w:t>4</w:t>
      </w:r>
      <w:r w:rsidRPr="00DF7CEC">
        <w:rPr>
          <w:rFonts w:cs="SimSun" w:hint="eastAsia"/>
          <w:b/>
          <w:bCs/>
          <w:noProof/>
          <w:snapToGrid w:val="0"/>
          <w:color w:val="000000"/>
          <w:sz w:val="21"/>
          <w:szCs w:val="21"/>
        </w:rPr>
        <w:t xml:space="preserve"> Coupled Iteration Process</w:t>
      </w:r>
    </w:p>
    <w:p w14:paraId="2BC9B353" w14:textId="77777777" w:rsidR="005159C6" w:rsidRDefault="005159C6" w:rsidP="002601FA">
      <w:pPr>
        <w:pStyle w:val="Body"/>
        <w:spacing w:after="0"/>
        <w:rPr>
          <w:rFonts w:ascii="Arial" w:hAnsi="Arial" w:cs="Arial"/>
          <w:lang w:eastAsia="zh-CN"/>
        </w:rPr>
      </w:pPr>
    </w:p>
    <w:p w14:paraId="1899A980" w14:textId="267023B4" w:rsidR="00F7045F" w:rsidRDefault="00F7045F" w:rsidP="00F7045F">
      <w:pPr>
        <w:pStyle w:val="AbstHead"/>
        <w:spacing w:after="0"/>
        <w:rPr>
          <w:rFonts w:ascii="Arial" w:hAnsi="Arial" w:cs="Arial"/>
          <w:lang w:eastAsia="zh-CN"/>
        </w:rPr>
      </w:pPr>
      <w:r>
        <w:rPr>
          <w:rFonts w:ascii="Arial" w:hAnsi="Arial" w:cs="Arial" w:hint="eastAsia"/>
          <w:lang w:eastAsia="zh-CN"/>
        </w:rPr>
        <w:t>3</w:t>
      </w:r>
      <w:r>
        <w:rPr>
          <w:rFonts w:ascii="Arial" w:hAnsi="Arial" w:cs="Arial"/>
        </w:rPr>
        <w:t>.</w:t>
      </w:r>
      <w:r w:rsidRPr="00B154FD">
        <w:rPr>
          <w:b w:val="0"/>
          <w:caps w:val="0"/>
          <w:sz w:val="20"/>
        </w:rPr>
        <w:t xml:space="preserve"> </w:t>
      </w:r>
      <w:r>
        <w:rPr>
          <w:rFonts w:ascii="Arial" w:hAnsi="Arial" w:cs="Arial" w:hint="eastAsia"/>
          <w:lang w:eastAsia="zh-CN"/>
        </w:rPr>
        <w:t>MODELS</w:t>
      </w:r>
    </w:p>
    <w:p w14:paraId="594E8E5B" w14:textId="77777777" w:rsidR="00F7045F" w:rsidRPr="000B522E" w:rsidRDefault="00F7045F" w:rsidP="00F7045F">
      <w:pPr>
        <w:pStyle w:val="AbstHead"/>
        <w:spacing w:after="0"/>
        <w:rPr>
          <w:rFonts w:ascii="Arial" w:hAnsi="Arial" w:cs="Arial"/>
        </w:rPr>
      </w:pPr>
    </w:p>
    <w:p w14:paraId="45199691" w14:textId="08FC9017" w:rsidR="00F7045F" w:rsidRDefault="00F7045F" w:rsidP="00DF0FD9">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1</w:t>
      </w:r>
      <w:r w:rsidRPr="00C30A0F">
        <w:rPr>
          <w:rFonts w:ascii="Arial" w:hAnsi="Arial" w:cs="Arial"/>
          <w:b/>
          <w:caps/>
          <w:sz w:val="22"/>
        </w:rPr>
        <w:t xml:space="preserve"> </w:t>
      </w:r>
      <w:r w:rsidR="00636BD9" w:rsidRPr="00636BD9">
        <w:rPr>
          <w:rFonts w:ascii="Arial" w:hAnsi="Arial" w:cs="Arial"/>
          <w:b/>
          <w:sz w:val="22"/>
        </w:rPr>
        <w:t>Dynamic Model</w:t>
      </w:r>
    </w:p>
    <w:p w14:paraId="44DD59A6" w14:textId="77777777" w:rsidR="00F7045F" w:rsidRDefault="00F7045F" w:rsidP="00441B6F">
      <w:pPr>
        <w:pStyle w:val="Body"/>
        <w:spacing w:after="0"/>
        <w:rPr>
          <w:rFonts w:ascii="Arial" w:hAnsi="Arial" w:cs="Arial"/>
        </w:rPr>
      </w:pPr>
    </w:p>
    <w:p w14:paraId="34ADFE11" w14:textId="48BEC718" w:rsidR="00790ADA" w:rsidRPr="00FA07C8" w:rsidRDefault="002E1896" w:rsidP="00FA07C8">
      <w:pPr>
        <w:pStyle w:val="Body"/>
        <w:spacing w:after="0"/>
        <w:rPr>
          <w:rFonts w:ascii="Arial" w:hAnsi="Arial" w:cs="Arial"/>
          <w:lang w:eastAsia="zh-CN"/>
        </w:rPr>
      </w:pPr>
      <w:r w:rsidRPr="002E1896">
        <w:rPr>
          <w:rFonts w:ascii="Arial" w:hAnsi="Arial" w:cs="Arial"/>
        </w:rPr>
        <w:t xml:space="preserve">As shown in Figure </w:t>
      </w:r>
      <w:r w:rsidR="00AD70C8">
        <w:rPr>
          <w:rFonts w:ascii="Arial" w:hAnsi="Arial" w:cs="Arial" w:hint="eastAsia"/>
          <w:lang w:eastAsia="zh-CN"/>
        </w:rPr>
        <w:t>2</w:t>
      </w:r>
      <w:r w:rsidRPr="002E1896">
        <w:rPr>
          <w:rFonts w:ascii="Arial" w:hAnsi="Arial" w:cs="Arial"/>
        </w:rPr>
        <w:t xml:space="preserve">, during the linear reciprocating motion of the free-piston hydrogen engine, the piston is not constrained by a conventional mechanical mechanism. Therefore, its instantaneous motion state is not predetermined, but is jointly determined by the various forces acting on the piston assembly. In this process, the piston motion is mainly influenced by friction </w:t>
      </w:r>
      <w:proofErr w:type="gramStart"/>
      <w:r w:rsidRPr="002E1896">
        <w:rPr>
          <w:rFonts w:ascii="Arial" w:hAnsi="Arial" w:cs="Arial"/>
        </w:rPr>
        <w:t>force</w:t>
      </w:r>
      <w:r w:rsidR="005D13EF">
        <w:rPr>
          <w:rFonts w:ascii="Arial" w:hAnsi="Arial" w:cs="Arial" w:hint="eastAsia"/>
          <w:lang w:eastAsia="zh-CN"/>
        </w:rPr>
        <w:t>(</w:t>
      </w:r>
      <w:proofErr w:type="gramEnd"/>
      <w:r w:rsidR="00097540" w:rsidRPr="005D13EF">
        <w:rPr>
          <w:rFonts w:ascii="Arial" w:hAnsi="Arial" w:cs="Arial"/>
          <w:position w:val="-14"/>
          <w:lang w:eastAsia="zh-CN"/>
        </w:rPr>
        <w:object w:dxaOrig="300" w:dyaOrig="380" w14:anchorId="371FF68D">
          <v:shape id="_x0000_i1028" type="#_x0000_t75" style="width:14.95pt;height:19.15pt" o:ole="">
            <v:imagedata r:id="rId20" o:title=""/>
          </v:shape>
          <o:OLEObject Type="Embed" ProgID="Equation.DSMT4" ShapeID="_x0000_i1028" DrawAspect="Content" ObjectID="_1841662235" r:id="rId21"/>
        </w:object>
      </w:r>
      <w:proofErr w:type="gramStart"/>
      <w:r w:rsidR="005D13EF">
        <w:rPr>
          <w:rFonts w:ascii="Arial" w:hAnsi="Arial" w:cs="Arial" w:hint="eastAsia"/>
          <w:lang w:eastAsia="zh-CN"/>
        </w:rPr>
        <w:t>)</w:t>
      </w:r>
      <w:r w:rsidRPr="002E1896">
        <w:rPr>
          <w:rFonts w:ascii="Arial" w:hAnsi="Arial" w:cs="Arial"/>
        </w:rPr>
        <w:t>,electromagnetic</w:t>
      </w:r>
      <w:proofErr w:type="gramEnd"/>
      <w:r w:rsidRPr="002E1896">
        <w:rPr>
          <w:rFonts w:ascii="Arial" w:hAnsi="Arial" w:cs="Arial"/>
        </w:rPr>
        <w:t xml:space="preserve"> resistance </w:t>
      </w:r>
      <w:proofErr w:type="gramStart"/>
      <w:r w:rsidRPr="002E1896">
        <w:rPr>
          <w:rFonts w:ascii="Arial" w:hAnsi="Arial" w:cs="Arial"/>
        </w:rPr>
        <w:t>force</w:t>
      </w:r>
      <w:r w:rsidR="00097540">
        <w:rPr>
          <w:rFonts w:ascii="Arial" w:hAnsi="Arial" w:cs="Arial" w:hint="eastAsia"/>
          <w:lang w:eastAsia="zh-CN"/>
        </w:rPr>
        <w:t>(</w:t>
      </w:r>
      <w:proofErr w:type="gramEnd"/>
      <w:r w:rsidR="00097540" w:rsidRPr="00097540">
        <w:rPr>
          <w:rFonts w:ascii="Arial" w:hAnsi="Arial" w:cs="Arial"/>
          <w:position w:val="-12"/>
          <w:lang w:eastAsia="zh-CN"/>
        </w:rPr>
        <w:object w:dxaOrig="260" w:dyaOrig="360" w14:anchorId="35B462EA">
          <v:shape id="_x0000_i1029" type="#_x0000_t75" style="width:13.1pt;height:18.25pt" o:ole="">
            <v:imagedata r:id="rId22" o:title=""/>
          </v:shape>
          <o:OLEObject Type="Embed" ProgID="Equation.DSMT4" ShapeID="_x0000_i1029" DrawAspect="Content" ObjectID="_1841662236" r:id="rId23"/>
        </w:object>
      </w:r>
      <w:proofErr w:type="gramStart"/>
      <w:r w:rsidR="00097540">
        <w:rPr>
          <w:rFonts w:ascii="Arial" w:hAnsi="Arial" w:cs="Arial" w:hint="eastAsia"/>
          <w:lang w:eastAsia="zh-CN"/>
        </w:rPr>
        <w:t>)</w:t>
      </w:r>
      <w:r w:rsidRPr="002E1896">
        <w:rPr>
          <w:rFonts w:ascii="Arial" w:hAnsi="Arial" w:cs="Arial"/>
        </w:rPr>
        <w:t>,gas</w:t>
      </w:r>
      <w:proofErr w:type="gramEnd"/>
      <w:r w:rsidRPr="002E1896">
        <w:rPr>
          <w:rFonts w:ascii="Arial" w:hAnsi="Arial" w:cs="Arial"/>
        </w:rPr>
        <w:t xml:space="preserve"> driving </w:t>
      </w:r>
      <w:proofErr w:type="gramStart"/>
      <w:r w:rsidRPr="002E1896">
        <w:rPr>
          <w:rFonts w:ascii="Arial" w:hAnsi="Arial" w:cs="Arial"/>
        </w:rPr>
        <w:t>force</w:t>
      </w:r>
      <w:r w:rsidR="005D3318">
        <w:rPr>
          <w:rFonts w:ascii="Arial" w:hAnsi="Arial" w:cs="Arial" w:hint="eastAsia"/>
          <w:lang w:eastAsia="zh-CN"/>
        </w:rPr>
        <w:t>(</w:t>
      </w:r>
      <w:proofErr w:type="gramEnd"/>
      <w:r w:rsidR="005D3318" w:rsidRPr="00097540">
        <w:rPr>
          <w:rFonts w:ascii="Arial" w:hAnsi="Arial" w:cs="Arial"/>
          <w:position w:val="-14"/>
          <w:lang w:eastAsia="zh-CN"/>
        </w:rPr>
        <w:object w:dxaOrig="300" w:dyaOrig="380" w14:anchorId="41E93B6C">
          <v:shape id="_x0000_i1030" type="#_x0000_t75" style="width:14.95pt;height:19.15pt" o:ole="">
            <v:imagedata r:id="rId24" o:title=""/>
          </v:shape>
          <o:OLEObject Type="Embed" ProgID="Equation.DSMT4" ShapeID="_x0000_i1030" DrawAspect="Content" ObjectID="_1841662237" r:id="rId25"/>
        </w:object>
      </w:r>
      <w:proofErr w:type="gramStart"/>
      <w:r w:rsidR="005D3318">
        <w:rPr>
          <w:rFonts w:ascii="Arial" w:hAnsi="Arial" w:cs="Arial" w:hint="eastAsia"/>
          <w:lang w:eastAsia="zh-CN"/>
        </w:rPr>
        <w:t>)</w:t>
      </w:r>
      <w:r w:rsidRPr="002E1896">
        <w:rPr>
          <w:rFonts w:ascii="Arial" w:hAnsi="Arial" w:cs="Arial"/>
        </w:rPr>
        <w:t>,and</w:t>
      </w:r>
      <w:proofErr w:type="gramEnd"/>
      <w:r w:rsidRPr="002E1896">
        <w:rPr>
          <w:rFonts w:ascii="Arial" w:hAnsi="Arial" w:cs="Arial"/>
        </w:rPr>
        <w:t xml:space="preserve"> scavenging resistance </w:t>
      </w:r>
      <w:proofErr w:type="gramStart"/>
      <w:r w:rsidRPr="002E1896">
        <w:rPr>
          <w:rFonts w:ascii="Arial" w:hAnsi="Arial" w:cs="Arial"/>
        </w:rPr>
        <w:t>force</w:t>
      </w:r>
      <w:r w:rsidR="00097540">
        <w:rPr>
          <w:rFonts w:ascii="Arial" w:hAnsi="Arial" w:cs="Arial" w:hint="eastAsia"/>
          <w:lang w:eastAsia="zh-CN"/>
        </w:rPr>
        <w:t>(</w:t>
      </w:r>
      <w:proofErr w:type="gramEnd"/>
      <w:r w:rsidR="0059678E" w:rsidRPr="0059678E">
        <w:rPr>
          <w:rFonts w:ascii="Arial" w:hAnsi="Arial" w:cs="Arial"/>
          <w:position w:val="-12"/>
          <w:lang w:eastAsia="zh-CN"/>
        </w:rPr>
        <w:object w:dxaOrig="260" w:dyaOrig="360" w14:anchorId="45E39D6D">
          <v:shape id="_x0000_i1031" type="#_x0000_t75" style="width:13.1pt;height:18.25pt" o:ole="">
            <v:imagedata r:id="rId26" o:title=""/>
          </v:shape>
          <o:OLEObject Type="Embed" ProgID="Equation.DSMT4" ShapeID="_x0000_i1031" DrawAspect="Content" ObjectID="_1841662238" r:id="rId27"/>
        </w:object>
      </w:r>
      <w:proofErr w:type="gramStart"/>
      <w:r w:rsidR="00097540">
        <w:rPr>
          <w:rFonts w:ascii="Arial" w:hAnsi="Arial" w:cs="Arial" w:hint="eastAsia"/>
          <w:lang w:eastAsia="zh-CN"/>
        </w:rPr>
        <w:t>)</w:t>
      </w:r>
      <w:r w:rsidRPr="002E1896">
        <w:rPr>
          <w:rFonts w:ascii="Arial" w:hAnsi="Arial" w:cs="Arial"/>
        </w:rPr>
        <w:t>.Consequently</w:t>
      </w:r>
      <w:proofErr w:type="gramEnd"/>
      <w:r w:rsidRPr="002E1896">
        <w:rPr>
          <w:rFonts w:ascii="Arial" w:hAnsi="Arial" w:cs="Arial"/>
        </w:rPr>
        <w:t>, the piston motion of the free-piston hydrogen engine is essentially a dynamic response process under the coupling effects of multiple forces. Based on Newton’s second law, the dynamic equation of the piston assembly can be expressed as follows</w:t>
      </w:r>
      <w:r w:rsidR="00FA07C8">
        <w:rPr>
          <w:rFonts w:ascii="Arial" w:hAnsi="Arial" w:cs="Arial" w:hint="eastAsia"/>
          <w:lang w:eastAsia="zh-CN"/>
        </w:rPr>
        <w:t>:</w:t>
      </w:r>
    </w:p>
    <w:p w14:paraId="47804FD4" w14:textId="541AE2EC" w:rsidR="00FA07C8" w:rsidRDefault="00FA07C8" w:rsidP="00FA07C8">
      <w:pPr>
        <w:pStyle w:val="MTDisplayEquation"/>
      </w:pPr>
      <w:r>
        <w:tab/>
      </w:r>
      <w:r w:rsidR="005D13EF" w:rsidRPr="005D13EF">
        <w:rPr>
          <w:position w:val="-4"/>
        </w:rPr>
        <w:object w:dxaOrig="180" w:dyaOrig="279" w14:anchorId="63D7199C">
          <v:shape id="_x0000_i1032" type="#_x0000_t75" style="width:9.8pt;height:14.5pt" o:ole="">
            <v:imagedata r:id="rId28" o:title=""/>
          </v:shape>
          <o:OLEObject Type="Embed" ProgID="Equation.DSMT4" ShapeID="_x0000_i1032" DrawAspect="Content" ObjectID="_1841662239" r:id="rId29"/>
        </w:object>
      </w:r>
      <w:r w:rsidR="005D13EF" w:rsidRPr="00FA07C8">
        <w:rPr>
          <w:position w:val="-24"/>
        </w:rPr>
        <w:object w:dxaOrig="2439" w:dyaOrig="639" w14:anchorId="7F63BC7B">
          <v:shape id="_x0000_i1033" type="#_x0000_t75" style="width:121.1pt;height:31.3pt" o:ole="">
            <v:imagedata r:id="rId30" o:title=""/>
          </v:shape>
          <o:OLEObject Type="Embed" ProgID="Equation.DSMT4" ShapeID="_x0000_i1033" DrawAspect="Content" ObjectID="_1841662240" r:id="rId3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1</w:instrText>
        </w:r>
      </w:fldSimple>
      <w:r>
        <w:instrText>)</w:instrText>
      </w:r>
      <w:r>
        <w:fldChar w:fldCharType="end"/>
      </w:r>
    </w:p>
    <w:p w14:paraId="1F0F401B" w14:textId="0D61D0DF" w:rsidR="0059678E" w:rsidRDefault="00F27450" w:rsidP="00F27450">
      <w:pPr>
        <w:pStyle w:val="MTDisplayEquation"/>
        <w:rPr>
          <w:lang w:eastAsia="zh-CN"/>
        </w:rPr>
      </w:pPr>
      <w:r>
        <w:rPr>
          <w:lang w:eastAsia="zh-CN"/>
        </w:rPr>
        <w:lastRenderedPageBreak/>
        <w:tab/>
      </w:r>
      <w:r w:rsidRPr="00F27450">
        <w:rPr>
          <w:position w:val="-34"/>
          <w:lang w:eastAsia="zh-CN"/>
        </w:rPr>
        <w:object w:dxaOrig="1800" w:dyaOrig="800" w14:anchorId="7816FF82">
          <v:shape id="_x0000_i1034" type="#_x0000_t75" style="width:89.3pt;height:40.7pt" o:ole="">
            <v:imagedata r:id="rId32" o:title=""/>
          </v:shape>
          <o:OLEObject Type="Embed" ProgID="Equation.DSMT4" ShapeID="_x0000_i1034" DrawAspect="Content" ObjectID="_1841662241" r:id="rId33"/>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2</w:instrText>
      </w:r>
      <w:r>
        <w:rPr>
          <w:lang w:eastAsia="zh-CN"/>
        </w:rPr>
        <w:fldChar w:fldCharType="end"/>
      </w:r>
      <w:r>
        <w:rPr>
          <w:lang w:eastAsia="zh-CN"/>
        </w:rPr>
        <w:instrText>)</w:instrText>
      </w:r>
      <w:r>
        <w:rPr>
          <w:lang w:eastAsia="zh-CN"/>
        </w:rPr>
        <w:fldChar w:fldCharType="end"/>
      </w:r>
    </w:p>
    <w:p w14:paraId="21FF8135" w14:textId="0224C3E2" w:rsidR="00F27450" w:rsidRDefault="00F8017D" w:rsidP="00324278">
      <w:pPr>
        <w:jc w:val="both"/>
        <w:rPr>
          <w:lang w:eastAsia="zh-CN"/>
        </w:rPr>
      </w:pPr>
      <w:r w:rsidRPr="00F8017D">
        <w:rPr>
          <w:lang w:eastAsia="zh-CN"/>
        </w:rPr>
        <w:t xml:space="preserve">where </w:t>
      </w:r>
      <w:r w:rsidRPr="00F8017D">
        <w:rPr>
          <w:position w:val="-6"/>
          <w:lang w:eastAsia="zh-CN"/>
        </w:rPr>
        <w:object w:dxaOrig="180" w:dyaOrig="220" w14:anchorId="75C5185F">
          <v:shape id="_x0000_i1035" type="#_x0000_t75" style="width:9.8pt;height:11.2pt" o:ole="">
            <v:imagedata r:id="rId34" o:title=""/>
          </v:shape>
          <o:OLEObject Type="Embed" ProgID="Equation.DSMT4" ShapeID="_x0000_i1035" DrawAspect="Content" ObjectID="_1841662242" r:id="rId35"/>
        </w:object>
      </w:r>
      <w:r>
        <w:rPr>
          <w:lang w:eastAsia="zh-CN"/>
        </w:rPr>
        <w:t xml:space="preserve"> </w:t>
      </w:r>
      <w:r w:rsidRPr="00F8017D">
        <w:rPr>
          <w:lang w:eastAsia="zh-CN"/>
        </w:rPr>
        <w:t xml:space="preserve">is the mass of the piston assembly; </w:t>
      </w:r>
      <w:r w:rsidR="004309BB" w:rsidRPr="00F8017D">
        <w:rPr>
          <w:position w:val="-6"/>
          <w:lang w:eastAsia="zh-CN"/>
        </w:rPr>
        <w:object w:dxaOrig="139" w:dyaOrig="240" w14:anchorId="0196CC00">
          <v:shape id="_x0000_i1036" type="#_x0000_t75" style="width:7pt;height:12.15pt" o:ole="">
            <v:imagedata r:id="rId36" o:title=""/>
          </v:shape>
          <o:OLEObject Type="Embed" ProgID="Equation.DSMT4" ShapeID="_x0000_i1036" DrawAspect="Content" ObjectID="_1841662243" r:id="rId37"/>
        </w:object>
      </w:r>
      <w:r w:rsidR="000119F8">
        <w:rPr>
          <w:rFonts w:hint="eastAsia"/>
          <w:lang w:eastAsia="zh-CN"/>
        </w:rPr>
        <w:t xml:space="preserve"> </w:t>
      </w:r>
      <w:r w:rsidRPr="00F8017D">
        <w:rPr>
          <w:lang w:eastAsia="zh-CN"/>
        </w:rPr>
        <w:t xml:space="preserve">is time; </w:t>
      </w:r>
      <w:r w:rsidR="00766652" w:rsidRPr="00766652">
        <w:rPr>
          <w:position w:val="-6"/>
          <w:lang w:eastAsia="zh-CN"/>
        </w:rPr>
        <w:object w:dxaOrig="200" w:dyaOrig="220" w14:anchorId="1AB107EC">
          <v:shape id="_x0000_i1037" type="#_x0000_t75" style="width:10.3pt;height:11.2pt" o:ole="">
            <v:imagedata r:id="rId38" o:title=""/>
          </v:shape>
          <o:OLEObject Type="Embed" ProgID="Equation.DSMT4" ShapeID="_x0000_i1037" DrawAspect="Content" ObjectID="_1841662244" r:id="rId39"/>
        </w:object>
      </w:r>
      <w:r w:rsidR="00766652">
        <w:rPr>
          <w:rFonts w:hint="eastAsia"/>
          <w:lang w:eastAsia="zh-CN"/>
        </w:rPr>
        <w:t xml:space="preserve"> </w:t>
      </w:r>
      <w:r w:rsidRPr="00F8017D">
        <w:rPr>
          <w:lang w:eastAsia="zh-CN"/>
        </w:rPr>
        <w:t>is the piston displacement;</w:t>
      </w:r>
      <w:r w:rsidR="000119F8" w:rsidRPr="000119F8">
        <w:rPr>
          <w:position w:val="-12"/>
          <w:lang w:eastAsia="zh-CN"/>
        </w:rPr>
        <w:object w:dxaOrig="240" w:dyaOrig="360" w14:anchorId="6DD4AB36">
          <v:shape id="_x0000_i1038" type="#_x0000_t75" style="width:12.15pt;height:18.25pt" o:ole="">
            <v:imagedata r:id="rId40" o:title=""/>
          </v:shape>
          <o:OLEObject Type="Embed" ProgID="Equation.DSMT4" ShapeID="_x0000_i1038" DrawAspect="Content" ObjectID="_1841662245" r:id="rId41"/>
        </w:object>
      </w:r>
      <w:r w:rsidR="000119F8">
        <w:rPr>
          <w:lang w:eastAsia="zh-CN"/>
        </w:rPr>
        <w:t xml:space="preserve"> </w:t>
      </w:r>
      <w:r w:rsidRPr="00F8017D">
        <w:rPr>
          <w:lang w:eastAsia="zh-CN"/>
        </w:rPr>
        <w:t xml:space="preserve">and </w:t>
      </w:r>
      <w:r w:rsidR="002B600E" w:rsidRPr="000119F8">
        <w:rPr>
          <w:position w:val="-12"/>
          <w:lang w:eastAsia="zh-CN"/>
        </w:rPr>
        <w:object w:dxaOrig="260" w:dyaOrig="360" w14:anchorId="676A4A0A">
          <v:shape id="_x0000_i1039" type="#_x0000_t75" style="width:13.1pt;height:18.25pt" o:ole="">
            <v:imagedata r:id="rId42" o:title=""/>
          </v:shape>
          <o:OLEObject Type="Embed" ProgID="Equation.DSMT4" ShapeID="_x0000_i1039" DrawAspect="Content" ObjectID="_1841662246" r:id="rId43"/>
        </w:object>
      </w:r>
      <w:r w:rsidR="000119F8">
        <w:rPr>
          <w:lang w:eastAsia="zh-CN"/>
        </w:rPr>
        <w:t xml:space="preserve"> </w:t>
      </w:r>
      <w:r w:rsidRPr="00F8017D">
        <w:rPr>
          <w:lang w:eastAsia="zh-CN"/>
        </w:rPr>
        <w:t xml:space="preserve">are the combustion pressures in the left and right cylinders, respectively; </w:t>
      </w:r>
      <w:r w:rsidR="002B600E" w:rsidRPr="002B600E">
        <w:rPr>
          <w:position w:val="-12"/>
          <w:lang w:eastAsia="zh-CN"/>
        </w:rPr>
        <w:object w:dxaOrig="279" w:dyaOrig="360" w14:anchorId="38A59508">
          <v:shape id="_x0000_i1040" type="#_x0000_t75" style="width:14.5pt;height:18.25pt" o:ole="">
            <v:imagedata r:id="rId44" o:title=""/>
          </v:shape>
          <o:OLEObject Type="Embed" ProgID="Equation.DSMT4" ShapeID="_x0000_i1040" DrawAspect="Content" ObjectID="_1841662247" r:id="rId45"/>
        </w:object>
      </w:r>
      <w:r w:rsidR="002B600E">
        <w:rPr>
          <w:lang w:eastAsia="zh-CN"/>
        </w:rPr>
        <w:t xml:space="preserve"> </w:t>
      </w:r>
      <w:r w:rsidRPr="00F8017D">
        <w:rPr>
          <w:lang w:eastAsia="zh-CN"/>
        </w:rPr>
        <w:t xml:space="preserve">and </w:t>
      </w:r>
      <w:r w:rsidR="002B600E" w:rsidRPr="002B600E">
        <w:rPr>
          <w:position w:val="-12"/>
          <w:lang w:eastAsia="zh-CN"/>
        </w:rPr>
        <w:object w:dxaOrig="300" w:dyaOrig="360" w14:anchorId="0814A1EC">
          <v:shape id="_x0000_i1041" type="#_x0000_t75" style="width:14.95pt;height:18.25pt" o:ole="">
            <v:imagedata r:id="rId46" o:title=""/>
          </v:shape>
          <o:OLEObject Type="Embed" ProgID="Equation.DSMT4" ShapeID="_x0000_i1041" DrawAspect="Content" ObjectID="_1841662248" r:id="rId47"/>
        </w:object>
      </w:r>
      <w:r w:rsidR="002B600E">
        <w:rPr>
          <w:lang w:eastAsia="zh-CN"/>
        </w:rPr>
        <w:t xml:space="preserve"> </w:t>
      </w:r>
      <w:r w:rsidRPr="00F8017D">
        <w:rPr>
          <w:lang w:eastAsia="zh-CN"/>
        </w:rPr>
        <w:t xml:space="preserve">are the gas pressures in the left and right scavenging chambers, respectively; and </w:t>
      </w:r>
      <w:r w:rsidR="002B600E" w:rsidRPr="002B600E">
        <w:rPr>
          <w:position w:val="-6"/>
          <w:lang w:eastAsia="zh-CN"/>
        </w:rPr>
        <w:object w:dxaOrig="220" w:dyaOrig="279" w14:anchorId="44609E27">
          <v:shape id="_x0000_i1042" type="#_x0000_t75" style="width:11.2pt;height:14.5pt" o:ole="">
            <v:imagedata r:id="rId48" o:title=""/>
          </v:shape>
          <o:OLEObject Type="Embed" ProgID="Equation.DSMT4" ShapeID="_x0000_i1042" DrawAspect="Content" ObjectID="_1841662249" r:id="rId49"/>
        </w:object>
      </w:r>
      <w:r w:rsidR="002B600E">
        <w:rPr>
          <w:lang w:eastAsia="zh-CN"/>
        </w:rPr>
        <w:t xml:space="preserve"> </w:t>
      </w:r>
      <w:r w:rsidRPr="00F8017D">
        <w:rPr>
          <w:lang w:eastAsia="zh-CN"/>
        </w:rPr>
        <w:t>is the piston area of the combustion chamber.</w:t>
      </w:r>
    </w:p>
    <w:p w14:paraId="7366B2E1" w14:textId="59C68BFD" w:rsidR="002B600E" w:rsidRDefault="00790869" w:rsidP="00790869">
      <w:pPr>
        <w:pStyle w:val="MTDisplayEquation"/>
        <w:rPr>
          <w:lang w:eastAsia="zh-CN"/>
        </w:rPr>
      </w:pPr>
      <w:r>
        <w:rPr>
          <w:lang w:eastAsia="zh-CN"/>
        </w:rPr>
        <w:tab/>
      </w:r>
      <w:r w:rsidRPr="00790869">
        <w:rPr>
          <w:position w:val="-24"/>
          <w:lang w:eastAsia="zh-CN"/>
        </w:rPr>
        <w:object w:dxaOrig="1120" w:dyaOrig="620" w14:anchorId="59D6BFAB">
          <v:shape id="_x0000_i1043" type="#_x0000_t75" style="width:55.65pt;height:30.4pt" o:ole="">
            <v:imagedata r:id="rId50" o:title=""/>
          </v:shape>
          <o:OLEObject Type="Embed" ProgID="Equation.DSMT4" ShapeID="_x0000_i1043" DrawAspect="Content" ObjectID="_1841662250" r:id="rId51"/>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3</w:instrText>
      </w:r>
      <w:r>
        <w:rPr>
          <w:lang w:eastAsia="zh-CN"/>
        </w:rPr>
        <w:fldChar w:fldCharType="end"/>
      </w:r>
      <w:r>
        <w:rPr>
          <w:lang w:eastAsia="zh-CN"/>
        </w:rPr>
        <w:instrText>)</w:instrText>
      </w:r>
      <w:r>
        <w:rPr>
          <w:lang w:eastAsia="zh-CN"/>
        </w:rPr>
        <w:fldChar w:fldCharType="end"/>
      </w:r>
    </w:p>
    <w:p w14:paraId="13706F2D" w14:textId="2EB4AA6D" w:rsidR="00790869" w:rsidRDefault="00790869" w:rsidP="00324278">
      <w:pPr>
        <w:jc w:val="both"/>
        <w:rPr>
          <w:lang w:eastAsia="zh-CN"/>
        </w:rPr>
      </w:pPr>
      <w:r w:rsidRPr="00790869">
        <w:rPr>
          <w:lang w:eastAsia="zh-CN"/>
        </w:rPr>
        <w:t xml:space="preserve">where </w:t>
      </w:r>
      <w:r w:rsidRPr="00790869">
        <w:rPr>
          <w:position w:val="-14"/>
          <w:lang w:eastAsia="zh-CN"/>
        </w:rPr>
        <w:object w:dxaOrig="320" w:dyaOrig="380" w14:anchorId="1FF162A3">
          <v:shape id="_x0000_i1044" type="#_x0000_t75" style="width:16.35pt;height:19.15pt" o:ole="">
            <v:imagedata r:id="rId52" o:title=""/>
          </v:shape>
          <o:OLEObject Type="Embed" ProgID="Equation.DSMT4" ShapeID="_x0000_i1044" DrawAspect="Content" ObjectID="_1841662251" r:id="rId53"/>
        </w:object>
      </w:r>
      <w:r w:rsidRPr="00790869">
        <w:rPr>
          <w:lang w:eastAsia="zh-CN"/>
        </w:rPr>
        <w:t xml:space="preserve"> is the friction coefficient.</w:t>
      </w:r>
    </w:p>
    <w:p w14:paraId="3CDEB0E2" w14:textId="77777777" w:rsidR="003300DC" w:rsidRDefault="003300DC" w:rsidP="00790869">
      <w:pPr>
        <w:rPr>
          <w:lang w:eastAsia="zh-CN"/>
        </w:rPr>
      </w:pPr>
    </w:p>
    <w:p w14:paraId="20B0CC91" w14:textId="40C6D769" w:rsidR="003300DC" w:rsidRDefault="003300DC" w:rsidP="00DF0FD9">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 xml:space="preserve">2 </w:t>
      </w:r>
      <w:r w:rsidR="00DF0FD9" w:rsidRPr="00DF0FD9">
        <w:rPr>
          <w:rFonts w:ascii="Arial" w:hAnsi="Arial" w:cs="Arial"/>
          <w:b/>
          <w:sz w:val="22"/>
        </w:rPr>
        <w:t>Thermodynamic Model</w:t>
      </w:r>
    </w:p>
    <w:p w14:paraId="6D9C5880" w14:textId="77777777" w:rsidR="00442B3B" w:rsidRPr="00442B3B" w:rsidRDefault="00442B3B" w:rsidP="00790869">
      <w:pPr>
        <w:rPr>
          <w:b/>
          <w:bCs/>
          <w:lang w:eastAsia="zh-CN"/>
        </w:rPr>
      </w:pPr>
    </w:p>
    <w:p w14:paraId="4E8DFC50" w14:textId="71CFBB93" w:rsidR="00442B3B" w:rsidRPr="00442B3B" w:rsidRDefault="00442B3B" w:rsidP="00442B3B">
      <w:pPr>
        <w:pStyle w:val="Body"/>
        <w:spacing w:after="0"/>
        <w:rPr>
          <w:rFonts w:ascii="Arial" w:hAnsi="Arial" w:cs="Arial"/>
        </w:rPr>
      </w:pPr>
      <w:r w:rsidRPr="00442B3B">
        <w:rPr>
          <w:rFonts w:ascii="Arial" w:hAnsi="Arial" w:cs="Arial"/>
        </w:rPr>
        <w:t>To facilitate subsequent model development, the following assumptions were made in this study: the in-cylinder gas was assumed to completely fill the cylinder and be uniformly distributed; the working medium inside the cylinder was treated as an ideal gas, and its state variation was assumed to satisfy the ideal gas equation of state; the cylinder was considered to be fully sealed, and the influence of gas leakage on the calculation results was neglected; furthermore, inertial effects were ignored, and the effects of gas potential energy and velocity were not taken into account.</w:t>
      </w:r>
      <w:r w:rsidR="00382AEF" w:rsidRPr="00382AEF">
        <w:t xml:space="preserve"> </w:t>
      </w:r>
      <w:r w:rsidR="00382AEF" w:rsidRPr="00382AEF">
        <w:rPr>
          <w:rFonts w:ascii="Arial" w:hAnsi="Arial" w:cs="Arial"/>
        </w:rPr>
        <w:t>The fundamental differential equations governing the thermodynamic process were derived based on the conservation of mass, conservation of energy, and the ideal gas equation of state.</w:t>
      </w:r>
    </w:p>
    <w:p w14:paraId="6BF2C639" w14:textId="1708E32B" w:rsidR="00442B3B" w:rsidRDefault="00957BA5" w:rsidP="00957BA5">
      <w:pPr>
        <w:pStyle w:val="MTDisplayEquation"/>
      </w:pPr>
      <w:r>
        <w:tab/>
      </w:r>
      <w:r w:rsidRPr="00957BA5">
        <w:rPr>
          <w:position w:val="-30"/>
        </w:rPr>
        <w:object w:dxaOrig="6320" w:dyaOrig="720" w14:anchorId="02CC3B19">
          <v:shape id="_x0000_i1045" type="#_x0000_t75" style="width:316.5pt;height:36pt" o:ole="">
            <v:imagedata r:id="rId54" o:title=""/>
          </v:shape>
          <o:OLEObject Type="Embed" ProgID="Equation.DSMT4" ShapeID="_x0000_i1045" DrawAspect="Content" ObjectID="_1841662252" r:id="rId5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4</w:instrText>
        </w:r>
      </w:fldSimple>
      <w:r>
        <w:instrText>)</w:instrText>
      </w:r>
      <w:r>
        <w:fldChar w:fldCharType="end"/>
      </w:r>
    </w:p>
    <w:p w14:paraId="6C063331" w14:textId="09F49521" w:rsidR="00957BA5" w:rsidRPr="00957BA5" w:rsidRDefault="00341C51" w:rsidP="002B5079">
      <w:pPr>
        <w:jc w:val="both"/>
        <w:rPr>
          <w:lang w:eastAsia="zh-CN"/>
        </w:rPr>
      </w:pPr>
      <w:r w:rsidRPr="00AB1F59">
        <w:rPr>
          <w:rFonts w:ascii="Arial" w:hAnsi="Arial"/>
          <w:lang w:eastAsia="zh-CN"/>
        </w:rPr>
        <w:t xml:space="preserve">where </w:t>
      </w:r>
      <w:r w:rsidR="00BF2171" w:rsidRPr="00BF2171">
        <w:rPr>
          <w:position w:val="-10"/>
          <w:lang w:eastAsia="zh-CN"/>
        </w:rPr>
        <w:object w:dxaOrig="240" w:dyaOrig="260" w14:anchorId="42229D06">
          <v:shape id="_x0000_i1046" type="#_x0000_t75" style="width:12.15pt;height:13.1pt" o:ole="">
            <v:imagedata r:id="rId56" o:title=""/>
          </v:shape>
          <o:OLEObject Type="Embed" ProgID="Equation.DSMT4" ShapeID="_x0000_i1046" DrawAspect="Content" ObjectID="_1841662253" r:id="rId57"/>
        </w:object>
      </w:r>
      <w:r w:rsidR="00BF2171">
        <w:rPr>
          <w:lang w:eastAsia="zh-CN"/>
        </w:rPr>
        <w:t xml:space="preserve"> </w:t>
      </w:r>
      <w:r w:rsidRPr="00AB1F59">
        <w:rPr>
          <w:rFonts w:ascii="Arial" w:hAnsi="Arial"/>
          <w:lang w:eastAsia="zh-CN"/>
        </w:rPr>
        <w:t>denotes the in-cylinder gas pressure,</w:t>
      </w:r>
      <w:r w:rsidRPr="00341C51">
        <w:rPr>
          <w:lang w:eastAsia="zh-CN"/>
        </w:rPr>
        <w:t xml:space="preserve"> </w:t>
      </w:r>
      <w:r w:rsidR="00BF2171" w:rsidRPr="00BF2171">
        <w:rPr>
          <w:position w:val="-10"/>
          <w:lang w:eastAsia="zh-CN"/>
        </w:rPr>
        <w:object w:dxaOrig="200" w:dyaOrig="260" w14:anchorId="0651216C">
          <v:shape id="_x0000_i1047" type="#_x0000_t75" style="width:10.3pt;height:13.1pt" o:ole="">
            <v:imagedata r:id="rId58" o:title=""/>
          </v:shape>
          <o:OLEObject Type="Embed" ProgID="Equation.DSMT4" ShapeID="_x0000_i1047" DrawAspect="Content" ObjectID="_1841662254" r:id="rId59"/>
        </w:object>
      </w:r>
      <w:r w:rsidR="00BF2171">
        <w:rPr>
          <w:lang w:eastAsia="zh-CN"/>
        </w:rPr>
        <w:t xml:space="preserve"> </w:t>
      </w:r>
      <w:r w:rsidRPr="00AB1F59">
        <w:rPr>
          <w:rFonts w:ascii="Arial" w:hAnsi="Arial"/>
          <w:lang w:eastAsia="zh-CN"/>
        </w:rPr>
        <w:t xml:space="preserve">represents the specific heat ratio, and </w:t>
      </w:r>
      <w:r w:rsidR="00BF2171" w:rsidRPr="00BF2171">
        <w:rPr>
          <w:position w:val="-12"/>
          <w:lang w:eastAsia="zh-CN"/>
        </w:rPr>
        <w:object w:dxaOrig="320" w:dyaOrig="360" w14:anchorId="25E9BC87">
          <v:shape id="_x0000_i1048" type="#_x0000_t75" style="width:16.35pt;height:18.25pt" o:ole="">
            <v:imagedata r:id="rId60" o:title=""/>
          </v:shape>
          <o:OLEObject Type="Embed" ProgID="Equation.DSMT4" ShapeID="_x0000_i1048" DrawAspect="Content" ObjectID="_1841662255" r:id="rId61"/>
        </w:object>
      </w:r>
      <w:r w:rsidR="00BF2171">
        <w:rPr>
          <w:lang w:eastAsia="zh-CN"/>
        </w:rPr>
        <w:t xml:space="preserve"> </w:t>
      </w:r>
      <w:r w:rsidRPr="00AB1F59">
        <w:rPr>
          <w:rFonts w:ascii="Arial" w:hAnsi="Arial"/>
          <w:lang w:eastAsia="zh-CN"/>
        </w:rPr>
        <w:t xml:space="preserve">is the heat released during the cycle. </w:t>
      </w:r>
      <w:r w:rsidR="00B24D16" w:rsidRPr="00B24D16">
        <w:rPr>
          <w:position w:val="-12"/>
          <w:lang w:eastAsia="zh-CN"/>
        </w:rPr>
        <w:object w:dxaOrig="360" w:dyaOrig="360" w14:anchorId="5414916D">
          <v:shape id="_x0000_i1049" type="#_x0000_t75" style="width:18.25pt;height:18.25pt" o:ole="">
            <v:imagedata r:id="rId62" o:title=""/>
          </v:shape>
          <o:OLEObject Type="Embed" ProgID="Equation.DSMT4" ShapeID="_x0000_i1049" DrawAspect="Content" ObjectID="_1841662256" r:id="rId63"/>
        </w:object>
      </w:r>
      <w:r w:rsidR="00B24D16">
        <w:rPr>
          <w:lang w:eastAsia="zh-CN"/>
        </w:rPr>
        <w:t xml:space="preserve"> </w:t>
      </w:r>
      <w:r w:rsidRPr="00AB1F59">
        <w:rPr>
          <w:rFonts w:ascii="Arial" w:hAnsi="Arial"/>
          <w:lang w:eastAsia="zh-CN"/>
        </w:rPr>
        <w:t xml:space="preserve">refers to the heat transfer loss, while </w:t>
      </w:r>
      <w:r w:rsidR="00B24D16" w:rsidRPr="00B24D16">
        <w:rPr>
          <w:position w:val="-12"/>
          <w:lang w:eastAsia="zh-CN"/>
        </w:rPr>
        <w:object w:dxaOrig="220" w:dyaOrig="360" w14:anchorId="1085957E">
          <v:shape id="_x0000_i1050" type="#_x0000_t75" style="width:11.2pt;height:18.25pt" o:ole="">
            <v:imagedata r:id="rId64" o:title=""/>
          </v:shape>
          <o:OLEObject Type="Embed" ProgID="Equation.DSMT4" ShapeID="_x0000_i1050" DrawAspect="Content" ObjectID="_1841662257" r:id="rId65"/>
        </w:object>
      </w:r>
      <w:r w:rsidR="00B24D16" w:rsidRPr="00AB1F59">
        <w:rPr>
          <w:rFonts w:ascii="Arial" w:hAnsi="Arial"/>
          <w:lang w:eastAsia="zh-CN"/>
        </w:rPr>
        <w:t xml:space="preserve"> </w:t>
      </w:r>
      <w:r w:rsidRPr="00AB1F59">
        <w:rPr>
          <w:rFonts w:ascii="Arial" w:hAnsi="Arial"/>
          <w:lang w:eastAsia="zh-CN"/>
        </w:rPr>
        <w:t xml:space="preserve">and </w:t>
      </w:r>
      <w:r w:rsidR="00B24D16" w:rsidRPr="00B24D16">
        <w:rPr>
          <w:position w:val="-12"/>
          <w:lang w:eastAsia="zh-CN"/>
        </w:rPr>
        <w:object w:dxaOrig="260" w:dyaOrig="360" w14:anchorId="2B126C4C">
          <v:shape id="_x0000_i1051" type="#_x0000_t75" style="width:13.1pt;height:18.25pt" o:ole="">
            <v:imagedata r:id="rId66" o:title=""/>
          </v:shape>
          <o:OLEObject Type="Embed" ProgID="Equation.DSMT4" ShapeID="_x0000_i1051" DrawAspect="Content" ObjectID="_1841662258" r:id="rId67"/>
        </w:object>
      </w:r>
      <w:r w:rsidR="00B24D16">
        <w:rPr>
          <w:lang w:eastAsia="zh-CN"/>
        </w:rPr>
        <w:t xml:space="preserve"> </w:t>
      </w:r>
      <w:r w:rsidRPr="00AB1F59">
        <w:rPr>
          <w:rFonts w:ascii="Arial" w:hAnsi="Arial"/>
          <w:lang w:eastAsia="zh-CN"/>
        </w:rPr>
        <w:t xml:space="preserve">denote the specific enthalpies of the intake and exhaust gases, respectively. </w:t>
      </w:r>
      <w:r w:rsidR="002B5079" w:rsidRPr="002B5079">
        <w:rPr>
          <w:position w:val="-12"/>
          <w:lang w:eastAsia="zh-CN"/>
        </w:rPr>
        <w:object w:dxaOrig="279" w:dyaOrig="360" w14:anchorId="18EB88A5">
          <v:shape id="_x0000_i1052" type="#_x0000_t75" style="width:14.5pt;height:18.25pt" o:ole="">
            <v:imagedata r:id="rId68" o:title=""/>
          </v:shape>
          <o:OLEObject Type="Embed" ProgID="Equation.DSMT4" ShapeID="_x0000_i1052" DrawAspect="Content" ObjectID="_1841662259" r:id="rId69"/>
        </w:object>
      </w:r>
      <w:r w:rsidR="002B5079">
        <w:rPr>
          <w:lang w:eastAsia="zh-CN"/>
        </w:rPr>
        <w:t xml:space="preserve"> </w:t>
      </w:r>
      <w:r w:rsidRPr="00AB1F59">
        <w:rPr>
          <w:rFonts w:ascii="Arial" w:hAnsi="Arial"/>
          <w:lang w:eastAsia="zh-CN"/>
        </w:rPr>
        <w:t xml:space="preserve">and </w:t>
      </w:r>
      <w:r w:rsidR="002B5079" w:rsidRPr="002B5079">
        <w:rPr>
          <w:position w:val="-12"/>
          <w:lang w:eastAsia="zh-CN"/>
        </w:rPr>
        <w:object w:dxaOrig="320" w:dyaOrig="360" w14:anchorId="58B13CB4">
          <v:shape id="_x0000_i1053" type="#_x0000_t75" style="width:16.35pt;height:18.25pt" o:ole="">
            <v:imagedata r:id="rId70" o:title=""/>
          </v:shape>
          <o:OLEObject Type="Embed" ProgID="Equation.DSMT4" ShapeID="_x0000_i1053" DrawAspect="Content" ObjectID="_1841662260" r:id="rId71"/>
        </w:object>
      </w:r>
      <w:r w:rsidR="002B5079">
        <w:rPr>
          <w:lang w:eastAsia="zh-CN"/>
        </w:rPr>
        <w:t xml:space="preserve"> </w:t>
      </w:r>
      <w:r w:rsidRPr="00AB1F59">
        <w:rPr>
          <w:rFonts w:ascii="Arial" w:hAnsi="Arial"/>
          <w:lang w:eastAsia="zh-CN"/>
        </w:rPr>
        <w:t xml:space="preserve">represent the mass flow rates of the gas entering and leaving the cylinder, </w:t>
      </w:r>
      <w:r w:rsidR="002B5079" w:rsidRPr="002B5079">
        <w:rPr>
          <w:position w:val="-6"/>
          <w:lang w:eastAsia="zh-CN"/>
        </w:rPr>
        <w:object w:dxaOrig="260" w:dyaOrig="220" w14:anchorId="3F651F23">
          <v:shape id="_x0000_i1054" type="#_x0000_t75" style="width:13.1pt;height:11.2pt" o:ole="">
            <v:imagedata r:id="rId72" o:title=""/>
          </v:shape>
          <o:OLEObject Type="Embed" ProgID="Equation.DSMT4" ShapeID="_x0000_i1054" DrawAspect="Content" ObjectID="_1841662261" r:id="rId73"/>
        </w:object>
      </w:r>
      <w:r w:rsidR="002B5079">
        <w:rPr>
          <w:lang w:eastAsia="zh-CN"/>
        </w:rPr>
        <w:t xml:space="preserve"> </w:t>
      </w:r>
      <w:r w:rsidRPr="00AB1F59">
        <w:rPr>
          <w:rFonts w:ascii="Arial" w:hAnsi="Arial"/>
          <w:lang w:eastAsia="zh-CN"/>
        </w:rPr>
        <w:t>is the in-cylinder gas mass,</w:t>
      </w:r>
      <w:r w:rsidRPr="00341C51">
        <w:rPr>
          <w:lang w:eastAsia="zh-CN"/>
        </w:rPr>
        <w:t xml:space="preserve"> </w:t>
      </w:r>
      <w:r w:rsidR="002B5079" w:rsidRPr="002B5079">
        <w:rPr>
          <w:position w:val="-6"/>
          <w:lang w:eastAsia="zh-CN"/>
        </w:rPr>
        <w:object w:dxaOrig="200" w:dyaOrig="220" w14:anchorId="44E3729A">
          <v:shape id="_x0000_i1055" type="#_x0000_t75" style="width:10.3pt;height:11.2pt" o:ole="">
            <v:imagedata r:id="rId74" o:title=""/>
          </v:shape>
          <o:OLEObject Type="Embed" ProgID="Equation.DSMT4" ShapeID="_x0000_i1055" DrawAspect="Content" ObjectID="_1841662262" r:id="rId75"/>
        </w:object>
      </w:r>
      <w:r w:rsidR="002B5079">
        <w:rPr>
          <w:lang w:eastAsia="zh-CN"/>
        </w:rPr>
        <w:t xml:space="preserve"> </w:t>
      </w:r>
      <w:r w:rsidRPr="00AB1F59">
        <w:rPr>
          <w:rFonts w:ascii="Arial" w:hAnsi="Arial"/>
          <w:lang w:eastAsia="zh-CN"/>
        </w:rPr>
        <w:t xml:space="preserve">is the specific internal energy of the gas, and </w:t>
      </w:r>
      <w:r w:rsidR="002B5079" w:rsidRPr="002B5079">
        <w:rPr>
          <w:position w:val="-6"/>
          <w:lang w:eastAsia="zh-CN"/>
        </w:rPr>
        <w:object w:dxaOrig="240" w:dyaOrig="279" w14:anchorId="6DB2A2C3">
          <v:shape id="_x0000_i1056" type="#_x0000_t75" style="width:12.15pt;height:14.5pt" o:ole="">
            <v:imagedata r:id="rId76" o:title=""/>
          </v:shape>
          <o:OLEObject Type="Embed" ProgID="Equation.DSMT4" ShapeID="_x0000_i1056" DrawAspect="Content" ObjectID="_1841662263" r:id="rId77"/>
        </w:object>
      </w:r>
      <w:r w:rsidR="002B5079" w:rsidRPr="00AB1F59">
        <w:rPr>
          <w:rFonts w:ascii="Arial" w:hAnsi="Arial"/>
          <w:lang w:eastAsia="zh-CN"/>
        </w:rPr>
        <w:t xml:space="preserve"> </w:t>
      </w:r>
      <w:r w:rsidRPr="00AB1F59">
        <w:rPr>
          <w:rFonts w:ascii="Arial" w:hAnsi="Arial"/>
          <w:lang w:eastAsia="zh-CN"/>
        </w:rPr>
        <w:t>denotes the instantaneous cylinder volume.</w:t>
      </w:r>
    </w:p>
    <w:p w14:paraId="0CFFDAB7" w14:textId="55DFB81C" w:rsidR="00A03B96" w:rsidRDefault="00A84170" w:rsidP="00441B6F">
      <w:pPr>
        <w:pStyle w:val="Body"/>
        <w:spacing w:after="0"/>
        <w:rPr>
          <w:rFonts w:ascii="Arial" w:hAnsi="Arial" w:cs="Arial"/>
          <w:lang w:eastAsia="zh-CN"/>
        </w:rPr>
      </w:pPr>
      <w:r w:rsidRPr="00A84170">
        <w:rPr>
          <w:rFonts w:ascii="Arial" w:hAnsi="Arial" w:cs="Arial"/>
          <w:lang w:eastAsia="zh-CN"/>
        </w:rPr>
        <w:t xml:space="preserve">The cyclic heat release rate, denoted by </w:t>
      </w:r>
      <w:r w:rsidRPr="00A84170">
        <w:rPr>
          <w:rFonts w:ascii="Arial" w:hAnsi="Arial" w:cs="Arial"/>
          <w:position w:val="-24"/>
          <w:lang w:eastAsia="zh-CN"/>
        </w:rPr>
        <w:object w:dxaOrig="520" w:dyaOrig="620" w14:anchorId="0BC6CDB3">
          <v:shape id="_x0000_i1057" type="#_x0000_t75" style="width:26.2pt;height:30.4pt" o:ole="">
            <v:imagedata r:id="rId78" o:title=""/>
          </v:shape>
          <o:OLEObject Type="Embed" ProgID="Equation.DSMT4" ShapeID="_x0000_i1057" DrawAspect="Content" ObjectID="_1841662264" r:id="rId79"/>
        </w:object>
      </w:r>
      <w:r>
        <w:rPr>
          <w:rFonts w:ascii="Arial" w:hAnsi="Arial" w:cs="Arial"/>
          <w:lang w:eastAsia="zh-CN"/>
        </w:rPr>
        <w:t xml:space="preserve"> </w:t>
      </w:r>
      <w:r>
        <w:rPr>
          <w:rFonts w:ascii="Arial" w:hAnsi="Arial" w:cs="Arial" w:hint="eastAsia"/>
          <w:lang w:eastAsia="zh-CN"/>
        </w:rPr>
        <w:t xml:space="preserve"> </w:t>
      </w:r>
      <w:r w:rsidRPr="00A84170">
        <w:rPr>
          <w:rFonts w:ascii="Arial" w:hAnsi="Arial" w:cs="Arial"/>
          <w:lang w:eastAsia="zh-CN"/>
        </w:rPr>
        <w:t xml:space="preserve">in </w:t>
      </w:r>
      <w:proofErr w:type="gramStart"/>
      <w:r w:rsidRPr="00A84170">
        <w:rPr>
          <w:rFonts w:ascii="Arial" w:hAnsi="Arial" w:cs="Arial"/>
          <w:lang w:eastAsia="zh-CN"/>
        </w:rPr>
        <w:t>Equation</w:t>
      </w:r>
      <w:r>
        <w:rPr>
          <w:rFonts w:ascii="Arial" w:hAnsi="Arial" w:cs="Arial" w:hint="eastAsia"/>
          <w:lang w:eastAsia="zh-CN"/>
        </w:rPr>
        <w:t>(</w:t>
      </w:r>
      <w:proofErr w:type="gramEnd"/>
      <w:r w:rsidRPr="00A84170">
        <w:rPr>
          <w:rFonts w:ascii="Arial" w:hAnsi="Arial" w:cs="Arial"/>
          <w:lang w:eastAsia="zh-CN"/>
        </w:rPr>
        <w:t>4</w:t>
      </w:r>
      <w:r>
        <w:rPr>
          <w:rFonts w:ascii="Arial" w:hAnsi="Arial" w:cs="Arial" w:hint="eastAsia"/>
          <w:lang w:eastAsia="zh-CN"/>
        </w:rPr>
        <w:t>)</w:t>
      </w:r>
      <w:r w:rsidRPr="00A84170">
        <w:rPr>
          <w:rFonts w:ascii="Arial" w:hAnsi="Arial" w:cs="Arial"/>
          <w:lang w:eastAsia="zh-CN"/>
        </w:rPr>
        <w:t>, is determined by the Wiebe formula.</w:t>
      </w:r>
    </w:p>
    <w:p w14:paraId="04711380" w14:textId="0EEC7C37" w:rsidR="004309BB" w:rsidRDefault="009A541F" w:rsidP="009A541F">
      <w:pPr>
        <w:pStyle w:val="MTDisplayEquation"/>
        <w:rPr>
          <w:lang w:eastAsia="zh-CN"/>
        </w:rPr>
      </w:pPr>
      <w:r>
        <w:rPr>
          <w:lang w:eastAsia="zh-CN"/>
        </w:rPr>
        <w:tab/>
      </w:r>
      <w:r w:rsidRPr="009A541F">
        <w:rPr>
          <w:position w:val="-38"/>
          <w:lang w:eastAsia="zh-CN"/>
        </w:rPr>
        <w:object w:dxaOrig="4860" w:dyaOrig="880" w14:anchorId="0FEBE94D">
          <v:shape id="_x0000_i1058" type="#_x0000_t75" style="width:243.1pt;height:43.95pt" o:ole="">
            <v:imagedata r:id="rId80" o:title=""/>
          </v:shape>
          <o:OLEObject Type="Embed" ProgID="Equation.DSMT4" ShapeID="_x0000_i1058" DrawAspect="Content" ObjectID="_1841662265" r:id="rId81"/>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5</w:instrText>
      </w:r>
      <w:r>
        <w:rPr>
          <w:lang w:eastAsia="zh-CN"/>
        </w:rPr>
        <w:fldChar w:fldCharType="end"/>
      </w:r>
      <w:r>
        <w:rPr>
          <w:lang w:eastAsia="zh-CN"/>
        </w:rPr>
        <w:instrText>)</w:instrText>
      </w:r>
      <w:r>
        <w:rPr>
          <w:lang w:eastAsia="zh-CN"/>
        </w:rPr>
        <w:fldChar w:fldCharType="end"/>
      </w:r>
    </w:p>
    <w:p w14:paraId="0928B493" w14:textId="36D86786" w:rsidR="002F479D" w:rsidRPr="002F479D" w:rsidRDefault="002F479D" w:rsidP="00104335">
      <w:pPr>
        <w:jc w:val="both"/>
        <w:rPr>
          <w:lang w:eastAsia="zh-CN"/>
        </w:rPr>
      </w:pPr>
      <w:r w:rsidRPr="00AB1F59">
        <w:rPr>
          <w:rFonts w:ascii="Arial" w:hAnsi="Arial" w:cs="Arial"/>
          <w:lang w:eastAsia="zh-CN"/>
        </w:rPr>
        <w:t>The definitions of each parameter are as follows:</w:t>
      </w:r>
      <w:r w:rsidRPr="002F479D">
        <w:rPr>
          <w:position w:val="-12"/>
          <w:lang w:eastAsia="zh-CN"/>
        </w:rPr>
        <w:object w:dxaOrig="279" w:dyaOrig="360" w14:anchorId="72AF51B4">
          <v:shape id="_x0000_i1059" type="#_x0000_t75" style="width:14.5pt;height:18.25pt" o:ole="">
            <v:imagedata r:id="rId82" o:title=""/>
          </v:shape>
          <o:OLEObject Type="Embed" ProgID="Equation.DSMT4" ShapeID="_x0000_i1059" DrawAspect="Content" ObjectID="_1841662266" r:id="rId83"/>
        </w:object>
      </w:r>
      <w:r>
        <w:rPr>
          <w:lang w:eastAsia="zh-CN"/>
        </w:rPr>
        <w:t xml:space="preserve"> </w:t>
      </w:r>
      <w:r w:rsidRPr="00AB1F59">
        <w:rPr>
          <w:rFonts w:ascii="Arial" w:hAnsi="Arial" w:cs="Arial"/>
          <w:lang w:eastAsia="zh-CN"/>
        </w:rPr>
        <w:t>is the cycle-integrated heat release of the fuel,</w:t>
      </w:r>
      <w:r w:rsidR="00473AD4" w:rsidRPr="00473AD4">
        <w:rPr>
          <w:position w:val="-12"/>
          <w:lang w:eastAsia="zh-CN"/>
        </w:rPr>
        <w:object w:dxaOrig="320" w:dyaOrig="360" w14:anchorId="3641C3AA">
          <v:shape id="_x0000_i1060" type="#_x0000_t75" style="width:16.35pt;height:18.25pt" o:ole="">
            <v:imagedata r:id="rId84" o:title=""/>
          </v:shape>
          <o:OLEObject Type="Embed" ProgID="Equation.DSMT4" ShapeID="_x0000_i1060" DrawAspect="Content" ObjectID="_1841662267" r:id="rId85"/>
        </w:object>
      </w:r>
      <w:r w:rsidRPr="00AB1F59">
        <w:rPr>
          <w:rFonts w:ascii="Arial" w:hAnsi="Arial" w:cs="Arial"/>
          <w:lang w:eastAsia="zh-CN"/>
        </w:rPr>
        <w:t xml:space="preserve"> is the combustion characteristic index,</w:t>
      </w:r>
      <w:r w:rsidR="00473AD4" w:rsidRPr="00473AD4">
        <w:rPr>
          <w:position w:val="-4"/>
          <w:lang w:eastAsia="zh-CN"/>
        </w:rPr>
        <w:object w:dxaOrig="220" w:dyaOrig="260" w14:anchorId="58965383">
          <v:shape id="_x0000_i1061" type="#_x0000_t75" style="width:11.2pt;height:13.1pt" o:ole="">
            <v:imagedata r:id="rId86" o:title=""/>
          </v:shape>
          <o:OLEObject Type="Embed" ProgID="Equation.DSMT4" ShapeID="_x0000_i1061" DrawAspect="Content" ObjectID="_1841662268" r:id="rId87"/>
        </w:object>
      </w:r>
      <w:r w:rsidR="00473AD4">
        <w:rPr>
          <w:lang w:eastAsia="zh-CN"/>
        </w:rPr>
        <w:t xml:space="preserve"> </w:t>
      </w:r>
      <w:r w:rsidRPr="00AB1F59">
        <w:rPr>
          <w:rFonts w:ascii="Arial" w:hAnsi="Arial" w:cs="Arial"/>
          <w:lang w:eastAsia="zh-CN"/>
        </w:rPr>
        <w:t>corresponds to the fuel temperature,</w:t>
      </w:r>
      <w:r w:rsidRPr="002F479D">
        <w:rPr>
          <w:lang w:eastAsia="zh-CN"/>
        </w:rPr>
        <w:t xml:space="preserve"> </w:t>
      </w:r>
      <w:r w:rsidR="00473AD4" w:rsidRPr="00473AD4">
        <w:rPr>
          <w:position w:val="-6"/>
          <w:lang w:eastAsia="zh-CN"/>
        </w:rPr>
        <w:object w:dxaOrig="139" w:dyaOrig="240" w14:anchorId="056571C8">
          <v:shape id="_x0000_i1062" type="#_x0000_t75" style="width:7pt;height:12.15pt" o:ole="">
            <v:imagedata r:id="rId88" o:title=""/>
          </v:shape>
          <o:OLEObject Type="Embed" ProgID="Equation.DSMT4" ShapeID="_x0000_i1062" DrawAspect="Content" ObjectID="_1841662269" r:id="rId89"/>
        </w:object>
      </w:r>
      <w:r w:rsidR="00473AD4">
        <w:rPr>
          <w:lang w:eastAsia="zh-CN"/>
        </w:rPr>
        <w:t xml:space="preserve"> </w:t>
      </w:r>
      <w:r w:rsidRPr="002F479D">
        <w:rPr>
          <w:lang w:eastAsia="zh-CN"/>
        </w:rPr>
        <w:t xml:space="preserve">is </w:t>
      </w:r>
      <w:r w:rsidRPr="00AB1F59">
        <w:rPr>
          <w:rFonts w:ascii="Arial" w:hAnsi="Arial" w:cs="Arial"/>
          <w:lang w:eastAsia="zh-CN"/>
        </w:rPr>
        <w:t xml:space="preserve">the time coordinate referenced to the start of combustion, and </w:t>
      </w:r>
      <w:r w:rsidR="00473AD4" w:rsidRPr="00473AD4">
        <w:rPr>
          <w:position w:val="-12"/>
          <w:lang w:eastAsia="zh-CN"/>
        </w:rPr>
        <w:object w:dxaOrig="200" w:dyaOrig="360" w14:anchorId="6EC951E9">
          <v:shape id="_x0000_i1063" type="#_x0000_t75" style="width:10.3pt;height:18.25pt" o:ole="">
            <v:imagedata r:id="rId90" o:title=""/>
          </v:shape>
          <o:OLEObject Type="Embed" ProgID="Equation.DSMT4" ShapeID="_x0000_i1063" DrawAspect="Content" ObjectID="_1841662270" r:id="rId91"/>
        </w:object>
      </w:r>
      <w:r w:rsidRPr="002F479D">
        <w:rPr>
          <w:lang w:eastAsia="zh-CN"/>
        </w:rPr>
        <w:t xml:space="preserve"> </w:t>
      </w:r>
      <w:r w:rsidRPr="00AB1F59">
        <w:rPr>
          <w:rFonts w:ascii="Arial" w:hAnsi="Arial" w:cs="Arial"/>
          <w:lang w:eastAsia="zh-CN"/>
        </w:rPr>
        <w:t>is the total combustion duration.</w:t>
      </w:r>
    </w:p>
    <w:p w14:paraId="52AE1CA1" w14:textId="256B5D97" w:rsidR="00A84170" w:rsidRPr="002F479D" w:rsidRDefault="00C946A1" w:rsidP="00C946A1">
      <w:pPr>
        <w:pStyle w:val="MTDisplayEquation"/>
        <w:rPr>
          <w:lang w:eastAsia="zh-CN"/>
        </w:rPr>
      </w:pPr>
      <w:r>
        <w:rPr>
          <w:lang w:eastAsia="zh-CN"/>
        </w:rPr>
        <w:tab/>
      </w:r>
      <w:r w:rsidRPr="00C946A1">
        <w:rPr>
          <w:position w:val="-28"/>
          <w:lang w:eastAsia="zh-CN"/>
        </w:rPr>
        <w:object w:dxaOrig="2380" w:dyaOrig="680" w14:anchorId="351F0454">
          <v:shape id="_x0000_i1064" type="#_x0000_t75" style="width:118.75pt;height:34.15pt" o:ole="">
            <v:imagedata r:id="rId92" o:title=""/>
          </v:shape>
          <o:OLEObject Type="Embed" ProgID="Equation.DSMT4" ShapeID="_x0000_i1064" DrawAspect="Content" ObjectID="_1841662271" r:id="rId93"/>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6</w:instrText>
      </w:r>
      <w:r>
        <w:rPr>
          <w:lang w:eastAsia="zh-CN"/>
        </w:rPr>
        <w:fldChar w:fldCharType="end"/>
      </w:r>
      <w:r>
        <w:rPr>
          <w:lang w:eastAsia="zh-CN"/>
        </w:rPr>
        <w:instrText>)</w:instrText>
      </w:r>
      <w:r>
        <w:rPr>
          <w:lang w:eastAsia="zh-CN"/>
        </w:rPr>
        <w:fldChar w:fldCharType="end"/>
      </w:r>
    </w:p>
    <w:p w14:paraId="2EE66859" w14:textId="3B969BEF" w:rsidR="00C946A1" w:rsidRDefault="00701B39" w:rsidP="00701B39">
      <w:pPr>
        <w:pStyle w:val="MTDisplayEquation"/>
      </w:pPr>
      <w:r>
        <w:lastRenderedPageBreak/>
        <w:tab/>
      </w:r>
      <w:r w:rsidRPr="00701B39">
        <w:rPr>
          <w:position w:val="-14"/>
        </w:rPr>
        <w:object w:dxaOrig="1900" w:dyaOrig="420" w14:anchorId="09C8086D">
          <v:shape id="_x0000_i1065" type="#_x0000_t75" style="width:94.9pt;height:20.55pt" o:ole="">
            <v:imagedata r:id="rId94" o:title=""/>
          </v:shape>
          <o:OLEObject Type="Embed" ProgID="Equation.DSMT4" ShapeID="_x0000_i1065" DrawAspect="Content" ObjectID="_1841662272"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7</w:instrText>
        </w:r>
      </w:fldSimple>
      <w:r>
        <w:instrText>)</w:instrText>
      </w:r>
      <w:r>
        <w:fldChar w:fldCharType="end"/>
      </w:r>
    </w:p>
    <w:p w14:paraId="54C86CEE" w14:textId="40BE444C" w:rsidR="00701B39" w:rsidRDefault="00B80C53" w:rsidP="00C42727">
      <w:pPr>
        <w:jc w:val="both"/>
        <w:rPr>
          <w:lang w:eastAsia="zh-CN"/>
        </w:rPr>
      </w:pPr>
      <w:r w:rsidRPr="00AB1F59">
        <w:rPr>
          <w:rFonts w:ascii="Arial" w:hAnsi="Arial" w:cs="Arial"/>
          <w:lang w:eastAsia="zh-CN"/>
        </w:rPr>
        <w:t xml:space="preserve">The variables defined in Equation (6) are as follows: </w:t>
      </w:r>
      <w:r w:rsidRPr="00944B9D">
        <w:rPr>
          <w:rFonts w:hint="eastAsia"/>
          <w:position w:val="-24"/>
        </w:rPr>
        <w:object w:dxaOrig="540" w:dyaOrig="620" w14:anchorId="7F2610CC">
          <v:shape id="_x0000_i1066" type="#_x0000_t75" style="width:27.6pt;height:30.4pt" o:ole="">
            <v:imagedata r:id="rId96" o:title=""/>
          </v:shape>
          <o:OLEObject Type="Embed" ProgID="Equation.DSMT4" ShapeID="_x0000_i1066" DrawAspect="Content" ObjectID="_1841662273" r:id="rId97"/>
        </w:object>
      </w:r>
      <w:r w:rsidRPr="00AB1F59">
        <w:rPr>
          <w:rFonts w:ascii="Arial" w:hAnsi="Arial" w:cs="Arial"/>
          <w:lang w:eastAsia="zh-CN"/>
        </w:rPr>
        <w:t xml:space="preserve"> is the heat transfer loss rate,</w:t>
      </w:r>
      <w:r w:rsidRPr="00B80C53">
        <w:rPr>
          <w:lang w:eastAsia="zh-CN"/>
        </w:rPr>
        <w:t xml:space="preserve"> </w:t>
      </w:r>
      <w:r w:rsidRPr="00944B9D">
        <w:rPr>
          <w:rFonts w:hint="eastAsia"/>
          <w:position w:val="-6"/>
        </w:rPr>
        <w:object w:dxaOrig="240" w:dyaOrig="220" w14:anchorId="01AD01F1">
          <v:shape id="_x0000_i1067" type="#_x0000_t75" style="width:12.15pt;height:11.2pt" o:ole="">
            <v:imagedata r:id="rId98" o:title=""/>
          </v:shape>
          <o:OLEObject Type="Embed" ProgID="Equation.DSMT4" ShapeID="_x0000_i1067" DrawAspect="Content" ObjectID="_1841662274" r:id="rId99"/>
        </w:object>
      </w:r>
      <w:r w:rsidRPr="00B80C53">
        <w:rPr>
          <w:lang w:eastAsia="zh-CN"/>
        </w:rPr>
        <w:t xml:space="preserve"> </w:t>
      </w:r>
      <w:r w:rsidRPr="00AB1F59">
        <w:rPr>
          <w:rFonts w:ascii="Arial" w:hAnsi="Arial" w:cs="Arial"/>
          <w:lang w:eastAsia="zh-CN"/>
        </w:rPr>
        <w:t xml:space="preserve">is the instantaneous convective heat transfer coefficient, and </w:t>
      </w:r>
      <w:r w:rsidRPr="00944B9D">
        <w:rPr>
          <w:rFonts w:hint="eastAsia"/>
          <w:position w:val="-12"/>
        </w:rPr>
        <w:object w:dxaOrig="420" w:dyaOrig="360" w14:anchorId="5DE18286">
          <v:shape id="_x0000_i1068" type="#_x0000_t75" style="width:20.55pt;height:18.25pt" o:ole="">
            <v:imagedata r:id="rId100" o:title=""/>
          </v:shape>
          <o:OLEObject Type="Embed" ProgID="Equation.DSMT4" ShapeID="_x0000_i1068" DrawAspect="Content" ObjectID="_1841662275" r:id="rId101"/>
        </w:object>
      </w:r>
      <w:r w:rsidRPr="00B80C53">
        <w:rPr>
          <w:lang w:eastAsia="zh-CN"/>
        </w:rPr>
        <w:t xml:space="preserve"> </w:t>
      </w:r>
      <w:r w:rsidRPr="00AB1F59">
        <w:rPr>
          <w:rFonts w:ascii="Arial" w:hAnsi="Arial" w:cs="Arial"/>
          <w:lang w:eastAsia="zh-CN"/>
        </w:rPr>
        <w:t>is the ambient temperature. The parameters</w:t>
      </w:r>
      <w:r w:rsidRPr="00B80C53">
        <w:rPr>
          <w:lang w:eastAsia="zh-CN"/>
        </w:rPr>
        <w:t xml:space="preserve"> </w:t>
      </w:r>
      <w:r w:rsidR="00A8007E" w:rsidRPr="006C487C">
        <w:rPr>
          <w:position w:val="-12"/>
          <w:lang w:eastAsia="zh-CN"/>
        </w:rPr>
        <w:object w:dxaOrig="999" w:dyaOrig="360" w14:anchorId="5C0130CF">
          <v:shape id="_x0000_i1069" type="#_x0000_t75" style="width:49.1pt;height:18.25pt" o:ole="">
            <v:imagedata r:id="rId102" o:title=""/>
          </v:shape>
          <o:OLEObject Type="Embed" ProgID="Equation.DSMT4" ShapeID="_x0000_i1069" DrawAspect="Content" ObjectID="_1841662276" r:id="rId103"/>
        </w:object>
      </w:r>
      <w:r w:rsidR="00A8007E">
        <w:rPr>
          <w:rFonts w:hint="eastAsia"/>
          <w:lang w:eastAsia="zh-CN"/>
        </w:rPr>
        <w:t>,</w:t>
      </w:r>
      <w:r w:rsidR="00A8007E" w:rsidRPr="00A8007E">
        <w:rPr>
          <w:position w:val="-12"/>
          <w:lang w:eastAsia="zh-CN"/>
        </w:rPr>
        <w:object w:dxaOrig="260" w:dyaOrig="360" w14:anchorId="6D8DFD53">
          <v:shape id="_x0000_i1070" type="#_x0000_t75" style="width:13.1pt;height:18.25pt" o:ole="">
            <v:imagedata r:id="rId104" o:title=""/>
          </v:shape>
          <o:OLEObject Type="Embed" ProgID="Equation.DSMT4" ShapeID="_x0000_i1070" DrawAspect="Content" ObjectID="_1841662277" r:id="rId105"/>
        </w:object>
      </w:r>
      <w:r w:rsidRPr="00B80C53">
        <w:rPr>
          <w:lang w:eastAsia="zh-CN"/>
        </w:rPr>
        <w:t>,</w:t>
      </w:r>
      <w:r w:rsidR="00A8007E" w:rsidRPr="00A8007E">
        <w:rPr>
          <w:position w:val="-12"/>
          <w:lang w:eastAsia="zh-CN"/>
        </w:rPr>
        <w:object w:dxaOrig="300" w:dyaOrig="360" w14:anchorId="5C22F4E4">
          <v:shape id="_x0000_i1071" type="#_x0000_t75" style="width:14.95pt;height:18.25pt" o:ole="">
            <v:imagedata r:id="rId106" o:title=""/>
          </v:shape>
          <o:OLEObject Type="Embed" ProgID="Equation.DSMT4" ShapeID="_x0000_i1071" DrawAspect="Content" ObjectID="_1841662278" r:id="rId107"/>
        </w:object>
      </w:r>
      <w:r w:rsidRPr="00B80C53">
        <w:rPr>
          <w:lang w:eastAsia="zh-CN"/>
        </w:rPr>
        <w:t xml:space="preserve">, </w:t>
      </w:r>
      <w:r w:rsidRPr="00AB1F59">
        <w:rPr>
          <w:rFonts w:ascii="Arial" w:hAnsi="Arial" w:cs="Arial"/>
          <w:lang w:eastAsia="zh-CN"/>
        </w:rPr>
        <w:t>and</w:t>
      </w:r>
      <w:r w:rsidRPr="00B80C53">
        <w:rPr>
          <w:lang w:eastAsia="zh-CN"/>
        </w:rPr>
        <w:t xml:space="preserve"> </w:t>
      </w:r>
      <w:r w:rsidR="00A8007E" w:rsidRPr="00A8007E">
        <w:rPr>
          <w:position w:val="-12"/>
          <w:lang w:eastAsia="zh-CN"/>
        </w:rPr>
        <w:object w:dxaOrig="279" w:dyaOrig="360" w14:anchorId="2B8DCF42">
          <v:shape id="_x0000_i1072" type="#_x0000_t75" style="width:14.5pt;height:18.25pt" o:ole="">
            <v:imagedata r:id="rId108" o:title=""/>
          </v:shape>
          <o:OLEObject Type="Embed" ProgID="Equation.DSMT4" ShapeID="_x0000_i1072" DrawAspect="Content" ObjectID="_1841662279" r:id="rId109"/>
        </w:object>
      </w:r>
      <w:r w:rsidR="00A8007E">
        <w:rPr>
          <w:lang w:eastAsia="zh-CN"/>
        </w:rPr>
        <w:t xml:space="preserve"> </w:t>
      </w:r>
      <w:r w:rsidRPr="00AB1F59">
        <w:rPr>
          <w:rFonts w:ascii="Arial" w:hAnsi="Arial" w:cs="Arial"/>
          <w:lang w:eastAsia="zh-CN"/>
        </w:rPr>
        <w:t>refer to the effective heat transfer areas of the piston, cylinder liner, and cylinder head, respectively.</w:t>
      </w:r>
      <w:r w:rsidR="00DC502B" w:rsidRPr="00AB1F59">
        <w:rPr>
          <w:rFonts w:ascii="Arial" w:hAnsi="Arial" w:cs="Arial"/>
          <w:lang w:eastAsia="zh-CN"/>
        </w:rPr>
        <w:t xml:space="preserve"> In Equation (7),</w:t>
      </w:r>
      <w:r w:rsidR="00DC502B" w:rsidRPr="00DC502B">
        <w:rPr>
          <w:lang w:eastAsia="zh-CN"/>
        </w:rPr>
        <w:t xml:space="preserve"> </w:t>
      </w:r>
      <w:r w:rsidR="00C42727" w:rsidRPr="00944B9D">
        <w:rPr>
          <w:rFonts w:hint="eastAsia"/>
          <w:position w:val="-12"/>
        </w:rPr>
        <w:object w:dxaOrig="320" w:dyaOrig="360" w14:anchorId="07228CA4">
          <v:shape id="_x0000_i1073" type="#_x0000_t75" style="width:16.35pt;height:18.25pt" o:ole="">
            <v:imagedata r:id="rId110" o:title=""/>
          </v:shape>
          <o:OLEObject Type="Embed" ProgID="Equation.DSMT4" ShapeID="_x0000_i1073" DrawAspect="Content" ObjectID="_1841662280" r:id="rId111"/>
        </w:object>
      </w:r>
      <w:r w:rsidR="00DC502B" w:rsidRPr="00DC502B">
        <w:rPr>
          <w:lang w:eastAsia="zh-CN"/>
        </w:rPr>
        <w:t xml:space="preserve"> </w:t>
      </w:r>
      <w:r w:rsidR="00DC502B" w:rsidRPr="00AB1F59">
        <w:rPr>
          <w:rFonts w:ascii="Arial" w:hAnsi="Arial" w:cs="Arial"/>
          <w:lang w:eastAsia="zh-CN"/>
        </w:rPr>
        <w:t>denotes the mean velocity of the piston assembly, and</w:t>
      </w:r>
      <w:r w:rsidR="00DC502B" w:rsidRPr="00DC502B">
        <w:rPr>
          <w:lang w:eastAsia="zh-CN"/>
        </w:rPr>
        <w:t xml:space="preserve"> </w:t>
      </w:r>
      <w:r w:rsidR="00C42727" w:rsidRPr="00944B9D">
        <w:rPr>
          <w:rFonts w:hint="eastAsia"/>
          <w:position w:val="-12"/>
        </w:rPr>
        <w:object w:dxaOrig="300" w:dyaOrig="360" w14:anchorId="2C11C4F9">
          <v:shape id="_x0000_i1074" type="#_x0000_t75" style="width:14.95pt;height:18.25pt" o:ole="">
            <v:imagedata r:id="rId112" o:title=""/>
          </v:shape>
          <o:OLEObject Type="Embed" ProgID="Equation.DSMT4" ShapeID="_x0000_i1074" DrawAspect="Content" ObjectID="_1841662281" r:id="rId113"/>
        </w:object>
      </w:r>
      <w:r w:rsidR="00DC502B" w:rsidRPr="00DC502B">
        <w:rPr>
          <w:lang w:eastAsia="zh-CN"/>
        </w:rPr>
        <w:t xml:space="preserve"> </w:t>
      </w:r>
      <w:r w:rsidR="00DC502B" w:rsidRPr="00AB1F59">
        <w:rPr>
          <w:rFonts w:ascii="Arial" w:hAnsi="Arial" w:cs="Arial"/>
          <w:lang w:eastAsia="zh-CN"/>
        </w:rPr>
        <w:t>represents the pressure of the ideal gas.</w:t>
      </w:r>
    </w:p>
    <w:p w14:paraId="712F1AB1" w14:textId="77777777" w:rsidR="00D41C14" w:rsidRDefault="00D41C14" w:rsidP="00C42727">
      <w:pPr>
        <w:jc w:val="both"/>
        <w:rPr>
          <w:lang w:eastAsia="zh-CN"/>
        </w:rPr>
      </w:pPr>
    </w:p>
    <w:p w14:paraId="00A67BC0" w14:textId="6CEC8119" w:rsidR="00D41C14" w:rsidRDefault="00D41C14" w:rsidP="00D41C14">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 xml:space="preserve">3 </w:t>
      </w:r>
      <w:r w:rsidR="00030949" w:rsidRPr="00030949">
        <w:rPr>
          <w:rFonts w:ascii="Arial" w:hAnsi="Arial" w:cs="Arial"/>
          <w:b/>
          <w:sz w:val="22"/>
        </w:rPr>
        <w:t xml:space="preserve">Combustion </w:t>
      </w:r>
      <w:r w:rsidR="00030949">
        <w:rPr>
          <w:rFonts w:ascii="Arial" w:hAnsi="Arial" w:cs="Arial" w:hint="eastAsia"/>
          <w:b/>
          <w:sz w:val="22"/>
          <w:lang w:eastAsia="zh-CN"/>
        </w:rPr>
        <w:t>M</w:t>
      </w:r>
      <w:r w:rsidR="00030949" w:rsidRPr="00030949">
        <w:rPr>
          <w:rFonts w:ascii="Arial" w:hAnsi="Arial" w:cs="Arial"/>
          <w:b/>
          <w:sz w:val="22"/>
        </w:rPr>
        <w:t>odel</w:t>
      </w:r>
      <w:r w:rsidRPr="00DF0FD9">
        <w:rPr>
          <w:rFonts w:ascii="Arial" w:hAnsi="Arial" w:cs="Arial"/>
          <w:b/>
          <w:sz w:val="22"/>
        </w:rPr>
        <w:t xml:space="preserve"> </w:t>
      </w:r>
    </w:p>
    <w:p w14:paraId="405C6753" w14:textId="77777777" w:rsidR="00D41C14" w:rsidRDefault="00D41C14" w:rsidP="00C42727">
      <w:pPr>
        <w:jc w:val="both"/>
        <w:rPr>
          <w:lang w:eastAsia="zh-CN"/>
        </w:rPr>
      </w:pPr>
    </w:p>
    <w:p w14:paraId="552E5B00" w14:textId="27AF6B84" w:rsidR="00067606" w:rsidRPr="00AB1F59" w:rsidRDefault="00067606" w:rsidP="00C42727">
      <w:pPr>
        <w:jc w:val="both"/>
        <w:rPr>
          <w:rFonts w:ascii="Arial" w:hAnsi="Arial" w:cs="Arial"/>
          <w:lang w:eastAsia="zh-CN"/>
        </w:rPr>
      </w:pPr>
      <w:r w:rsidRPr="00AB1F59">
        <w:rPr>
          <w:rFonts w:ascii="Arial" w:hAnsi="Arial" w:cs="Arial"/>
          <w:lang w:eastAsia="zh-CN"/>
        </w:rPr>
        <w:t xml:space="preserve">In numerical simulation of internal combustion engine combustion, commonly adopted models include CFM, CFM-ITNFS, MCFM, ECFM and ECFM-3Z. Compared with other models, ECFM and ECFM-3Z are more applicable to combustion analysis of direct-injection internal combustion engines, and can characterize premixed combustion and pollutant formation processes. For direct-injection free-piston hydrogen engines, NO in NOx emissions is mainly generated via the thermal NO mechanism. Accordingly, the extended </w:t>
      </w:r>
      <w:proofErr w:type="spellStart"/>
      <w:r w:rsidRPr="00AB1F59">
        <w:rPr>
          <w:rFonts w:ascii="Arial" w:hAnsi="Arial" w:cs="Arial"/>
          <w:lang w:eastAsia="zh-CN"/>
        </w:rPr>
        <w:t>Zeldovich</w:t>
      </w:r>
      <w:proofErr w:type="spellEnd"/>
      <w:r w:rsidRPr="00AB1F59">
        <w:rPr>
          <w:rFonts w:ascii="Arial" w:hAnsi="Arial" w:cs="Arial"/>
          <w:lang w:eastAsia="zh-CN"/>
        </w:rPr>
        <w:t xml:space="preserve"> model is employed in this study to predict NOx emissions.</w:t>
      </w:r>
    </w:p>
    <w:p w14:paraId="55B9284E" w14:textId="123E5498" w:rsidR="006556A2" w:rsidRPr="00AB1F59" w:rsidRDefault="006556A2" w:rsidP="00C42727">
      <w:pPr>
        <w:jc w:val="both"/>
        <w:rPr>
          <w:rFonts w:ascii="Arial" w:hAnsi="Arial" w:cs="Arial"/>
          <w:lang w:eastAsia="zh-CN"/>
        </w:rPr>
      </w:pPr>
      <w:r w:rsidRPr="00AB1F59">
        <w:rPr>
          <w:rFonts w:ascii="Arial" w:hAnsi="Arial" w:cs="Arial"/>
          <w:lang w:eastAsia="zh-CN"/>
        </w:rPr>
        <w:t>The control equations for the ECFM-3Z model are given below:</w:t>
      </w:r>
    </w:p>
    <w:p w14:paraId="0590B7D4" w14:textId="51C14F79" w:rsidR="006556A2" w:rsidRDefault="006556A2" w:rsidP="006556A2">
      <w:pPr>
        <w:pStyle w:val="MTDisplayEquation"/>
        <w:rPr>
          <w:lang w:eastAsia="zh-CN"/>
        </w:rPr>
      </w:pPr>
      <w:r>
        <w:rPr>
          <w:lang w:eastAsia="zh-CN"/>
        </w:rPr>
        <w:tab/>
      </w:r>
      <w:r w:rsidRPr="006556A2">
        <w:rPr>
          <w:position w:val="-34"/>
          <w:lang w:eastAsia="zh-CN"/>
        </w:rPr>
        <w:object w:dxaOrig="4920" w:dyaOrig="800" w14:anchorId="1FBCB48F">
          <v:shape id="_x0000_i1075" type="#_x0000_t75" style="width:245.9pt;height:40.7pt" o:ole="">
            <v:imagedata r:id="rId114" o:title=""/>
          </v:shape>
          <o:OLEObject Type="Embed" ProgID="Equation.DSMT4" ShapeID="_x0000_i1075" DrawAspect="Content" ObjectID="_1841662282" r:id="rId115"/>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8</w:instrText>
      </w:r>
      <w:r>
        <w:rPr>
          <w:lang w:eastAsia="zh-CN"/>
        </w:rPr>
        <w:fldChar w:fldCharType="end"/>
      </w:r>
      <w:r>
        <w:rPr>
          <w:lang w:eastAsia="zh-CN"/>
        </w:rPr>
        <w:instrText>)</w:instrText>
      </w:r>
      <w:r>
        <w:rPr>
          <w:lang w:eastAsia="zh-CN"/>
        </w:rPr>
        <w:fldChar w:fldCharType="end"/>
      </w:r>
    </w:p>
    <w:p w14:paraId="2FAE359B" w14:textId="61544755" w:rsidR="006556A2" w:rsidRDefault="006556A2" w:rsidP="006556A2">
      <w:pPr>
        <w:pStyle w:val="MTDisplayEquation"/>
        <w:rPr>
          <w:lang w:eastAsia="zh-CN"/>
        </w:rPr>
      </w:pPr>
      <w:r>
        <w:rPr>
          <w:lang w:eastAsia="zh-CN"/>
        </w:rPr>
        <w:tab/>
      </w:r>
      <w:r w:rsidRPr="006556A2">
        <w:rPr>
          <w:position w:val="-38"/>
          <w:lang w:eastAsia="zh-CN"/>
        </w:rPr>
        <w:object w:dxaOrig="4500" w:dyaOrig="880" w14:anchorId="78C8CD3C">
          <v:shape id="_x0000_i1076" type="#_x0000_t75" style="width:225.8pt;height:43.95pt" o:ole="">
            <v:imagedata r:id="rId116" o:title=""/>
          </v:shape>
          <o:OLEObject Type="Embed" ProgID="Equation.DSMT4" ShapeID="_x0000_i1076" DrawAspect="Content" ObjectID="_1841662283" r:id="rId117"/>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9</w:instrText>
      </w:r>
      <w:r>
        <w:rPr>
          <w:lang w:eastAsia="zh-CN"/>
        </w:rPr>
        <w:fldChar w:fldCharType="end"/>
      </w:r>
      <w:r>
        <w:rPr>
          <w:lang w:eastAsia="zh-CN"/>
        </w:rPr>
        <w:instrText>)</w:instrText>
      </w:r>
      <w:r>
        <w:rPr>
          <w:lang w:eastAsia="zh-CN"/>
        </w:rPr>
        <w:fldChar w:fldCharType="end"/>
      </w:r>
    </w:p>
    <w:p w14:paraId="42B32894" w14:textId="77777777" w:rsidR="006556A2" w:rsidRDefault="006556A2" w:rsidP="006556A2">
      <w:pPr>
        <w:rPr>
          <w:lang w:eastAsia="zh-CN"/>
        </w:rPr>
      </w:pPr>
    </w:p>
    <w:p w14:paraId="7E285169" w14:textId="170C2FD5" w:rsidR="00E216FB" w:rsidRDefault="00E216FB" w:rsidP="00E216FB">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sidR="00030949">
        <w:rPr>
          <w:rFonts w:ascii="Arial" w:hAnsi="Arial" w:cs="Arial" w:hint="eastAsia"/>
          <w:b/>
          <w:caps/>
          <w:sz w:val="22"/>
          <w:lang w:eastAsia="zh-CN"/>
        </w:rPr>
        <w:t>4</w:t>
      </w:r>
      <w:r>
        <w:rPr>
          <w:rFonts w:ascii="Arial" w:hAnsi="Arial" w:cs="Arial" w:hint="eastAsia"/>
          <w:b/>
          <w:caps/>
          <w:sz w:val="22"/>
          <w:lang w:eastAsia="zh-CN"/>
        </w:rPr>
        <w:t xml:space="preserve"> </w:t>
      </w:r>
      <w:r w:rsidR="00015520" w:rsidRPr="00015520">
        <w:rPr>
          <w:rFonts w:ascii="Arial" w:hAnsi="Arial" w:cs="Arial"/>
          <w:b/>
          <w:sz w:val="22"/>
        </w:rPr>
        <w:t xml:space="preserve">Model </w:t>
      </w:r>
      <w:r w:rsidR="00015520">
        <w:rPr>
          <w:rFonts w:ascii="Arial" w:hAnsi="Arial" w:cs="Arial" w:hint="eastAsia"/>
          <w:b/>
          <w:sz w:val="22"/>
          <w:lang w:eastAsia="zh-CN"/>
        </w:rPr>
        <w:t>V</w:t>
      </w:r>
      <w:r w:rsidR="00015520" w:rsidRPr="00015520">
        <w:rPr>
          <w:rFonts w:ascii="Arial" w:hAnsi="Arial" w:cs="Arial"/>
          <w:b/>
          <w:sz w:val="22"/>
        </w:rPr>
        <w:t>alidation</w:t>
      </w:r>
    </w:p>
    <w:p w14:paraId="7EF571A6" w14:textId="77777777" w:rsidR="00E216FB" w:rsidRPr="00AB1F59" w:rsidRDefault="00E216FB" w:rsidP="00AB1F59">
      <w:pPr>
        <w:jc w:val="both"/>
        <w:rPr>
          <w:rFonts w:ascii="Arial" w:hAnsi="Arial" w:cs="Arial"/>
          <w:lang w:eastAsia="zh-CN"/>
        </w:rPr>
      </w:pPr>
    </w:p>
    <w:p w14:paraId="130CB10C" w14:textId="6196304E" w:rsidR="00FB71A5" w:rsidRPr="00AB1F59" w:rsidRDefault="00FB71A5" w:rsidP="00226BDD">
      <w:pPr>
        <w:jc w:val="both"/>
        <w:rPr>
          <w:rFonts w:ascii="Arial" w:hAnsi="Arial" w:cs="Arial"/>
          <w:lang w:eastAsia="zh-CN"/>
        </w:rPr>
      </w:pPr>
      <w:r w:rsidRPr="00AB1F59">
        <w:rPr>
          <w:rFonts w:ascii="Arial" w:hAnsi="Arial" w:cs="Arial"/>
          <w:lang w:eastAsia="zh-CN"/>
        </w:rPr>
        <w:t xml:space="preserve">Figures </w:t>
      </w:r>
      <w:r w:rsidR="00AD70C8">
        <w:rPr>
          <w:rFonts w:ascii="Arial" w:hAnsi="Arial" w:cs="Arial" w:hint="eastAsia"/>
          <w:lang w:eastAsia="zh-CN"/>
        </w:rPr>
        <w:t>5</w:t>
      </w:r>
      <w:r w:rsidRPr="00AB1F59">
        <w:rPr>
          <w:rFonts w:ascii="Arial" w:hAnsi="Arial" w:cs="Arial"/>
          <w:lang w:eastAsia="zh-CN"/>
        </w:rPr>
        <w:t xml:space="preserve">(a) and </w:t>
      </w:r>
      <w:r w:rsidR="00952512">
        <w:rPr>
          <w:rFonts w:ascii="Arial" w:hAnsi="Arial" w:cs="Arial" w:hint="eastAsia"/>
          <w:lang w:eastAsia="zh-CN"/>
        </w:rPr>
        <w:t>5</w:t>
      </w:r>
      <w:r w:rsidRPr="00AB1F59">
        <w:rPr>
          <w:rFonts w:ascii="Arial" w:hAnsi="Arial" w:cs="Arial"/>
          <w:lang w:eastAsia="zh-CN"/>
        </w:rPr>
        <w:t>(b) present the comparison of in-cylinder pressure and heat release rate between numerical simulation and experimental measurements. The simulated data agrees well with experimental results in overall variation tendency, numerical values and peak positions. Local discrepancies can be noticed, yet errors around peak values remain slight and exert limited impact on overall analysis, which is within a reasonable tolerance range.</w:t>
      </w:r>
    </w:p>
    <w:p w14:paraId="68F0DF0A" w14:textId="77777777" w:rsidR="00FB71A5" w:rsidRPr="00AB1F59" w:rsidRDefault="00FB71A5" w:rsidP="00AB1F59">
      <w:pPr>
        <w:jc w:val="both"/>
        <w:rPr>
          <w:rFonts w:ascii="Arial" w:hAnsi="Arial" w:cs="Arial"/>
          <w:lang w:eastAsia="zh-CN"/>
        </w:rPr>
      </w:pPr>
    </w:p>
    <w:p w14:paraId="1AD640A7" w14:textId="7BA97FFC" w:rsidR="004E0FC8" w:rsidRPr="00AB1F59" w:rsidRDefault="00FB71A5" w:rsidP="00226BDD">
      <w:pPr>
        <w:jc w:val="both"/>
        <w:rPr>
          <w:rFonts w:ascii="Arial" w:hAnsi="Arial" w:cs="Arial"/>
          <w:lang w:eastAsia="zh-CN"/>
        </w:rPr>
      </w:pPr>
      <w:r w:rsidRPr="00AB1F59">
        <w:rPr>
          <w:rFonts w:ascii="Arial" w:hAnsi="Arial" w:cs="Arial"/>
          <w:lang w:eastAsia="zh-CN"/>
        </w:rPr>
        <w:t>It demonstrates that the established dynamic-thermodynamic coupled model can accurately characterize the formation, evolution and combustion of in-cylinder mixture, and properly capture the variation characteristics of in-cylinder pressure and heat release rate. The model possesses favorable reliability and can support subsequent simulation research.</w:t>
      </w:r>
    </w:p>
    <w:p w14:paraId="35DFE3CC" w14:textId="77777777" w:rsidR="00FB71A5" w:rsidRPr="00AB1F59" w:rsidRDefault="00FB71A5"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2357A8" w14:paraId="4342A4BC" w14:textId="77777777" w:rsidTr="00F837ED">
        <w:tc>
          <w:tcPr>
            <w:tcW w:w="4099" w:type="dxa"/>
          </w:tcPr>
          <w:p w14:paraId="0F7C599F" w14:textId="7C5785E4" w:rsidR="002357A8" w:rsidRDefault="00A60206" w:rsidP="00A60206">
            <w:pPr>
              <w:jc w:val="center"/>
              <w:rPr>
                <w:lang w:eastAsia="zh-CN"/>
              </w:rPr>
            </w:pPr>
            <w:r w:rsidRPr="00A60206">
              <w:rPr>
                <w:noProof/>
                <w:lang w:eastAsia="zh-CN"/>
              </w:rPr>
              <w:lastRenderedPageBreak/>
              <w:drawing>
                <wp:inline distT="0" distB="0" distL="0" distR="0" wp14:anchorId="44B86973" wp14:editId="2D04FA74">
                  <wp:extent cx="2132871" cy="1800000"/>
                  <wp:effectExtent l="0" t="0" r="1270" b="0"/>
                  <wp:docPr id="1090642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42601" name=""/>
                          <pic:cNvPicPr/>
                        </pic:nvPicPr>
                        <pic:blipFill>
                          <a:blip r:embed="rId118"/>
                          <a:stretch>
                            <a:fillRect/>
                          </a:stretch>
                        </pic:blipFill>
                        <pic:spPr>
                          <a:xfrm>
                            <a:off x="0" y="0"/>
                            <a:ext cx="2132871" cy="1800000"/>
                          </a:xfrm>
                          <a:prstGeom prst="rect">
                            <a:avLst/>
                          </a:prstGeom>
                        </pic:spPr>
                      </pic:pic>
                    </a:graphicData>
                  </a:graphic>
                </wp:inline>
              </w:drawing>
            </w:r>
          </w:p>
        </w:tc>
        <w:tc>
          <w:tcPr>
            <w:tcW w:w="4099" w:type="dxa"/>
          </w:tcPr>
          <w:p w14:paraId="3086ED19" w14:textId="7B9577CD" w:rsidR="002357A8" w:rsidRDefault="00264AAC" w:rsidP="00FB71A5">
            <w:pPr>
              <w:rPr>
                <w:lang w:eastAsia="zh-CN"/>
              </w:rPr>
            </w:pPr>
            <w:r w:rsidRPr="00264AAC">
              <w:rPr>
                <w:noProof/>
                <w:lang w:eastAsia="zh-CN"/>
              </w:rPr>
              <w:drawing>
                <wp:inline distT="0" distB="0" distL="0" distR="0" wp14:anchorId="3021F972" wp14:editId="63F0A841">
                  <wp:extent cx="2251509" cy="1800000"/>
                  <wp:effectExtent l="0" t="0" r="0" b="0"/>
                  <wp:docPr id="18867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313" name=""/>
                          <pic:cNvPicPr/>
                        </pic:nvPicPr>
                        <pic:blipFill>
                          <a:blip r:embed="rId119"/>
                          <a:stretch>
                            <a:fillRect/>
                          </a:stretch>
                        </pic:blipFill>
                        <pic:spPr>
                          <a:xfrm>
                            <a:off x="0" y="0"/>
                            <a:ext cx="2251509" cy="1800000"/>
                          </a:xfrm>
                          <a:prstGeom prst="rect">
                            <a:avLst/>
                          </a:prstGeom>
                        </pic:spPr>
                      </pic:pic>
                    </a:graphicData>
                  </a:graphic>
                </wp:inline>
              </w:drawing>
            </w:r>
          </w:p>
        </w:tc>
      </w:tr>
      <w:tr w:rsidR="002357A8" w14:paraId="3287F199" w14:textId="77777777" w:rsidTr="00F837ED">
        <w:tc>
          <w:tcPr>
            <w:tcW w:w="4099" w:type="dxa"/>
          </w:tcPr>
          <w:p w14:paraId="6EB6932A" w14:textId="20CF2B51" w:rsidR="002357A8" w:rsidRPr="00192972" w:rsidRDefault="0049549E"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(a)</w:t>
            </w:r>
            <w:r w:rsidRPr="00192972">
              <w:rPr>
                <w:rFonts w:ascii="Arial" w:eastAsiaTheme="minorEastAsia" w:hAnsi="Arial"/>
                <w:b/>
                <w:bCs/>
                <w:sz w:val="20"/>
                <w:szCs w:val="20"/>
              </w:rPr>
              <w:t xml:space="preserve"> </w:t>
            </w:r>
            <w:r w:rsidR="003A60C4" w:rsidRPr="00192972">
              <w:rPr>
                <w:rFonts w:ascii="Arial" w:eastAsiaTheme="minorEastAsia" w:hAnsi="Arial" w:hint="eastAsia"/>
                <w:b/>
                <w:bCs/>
                <w:sz w:val="20"/>
                <w:lang w:eastAsia="zh-CN"/>
              </w:rPr>
              <w:t>P</w:t>
            </w:r>
            <w:r w:rsidRPr="00192972">
              <w:rPr>
                <w:rFonts w:ascii="Arial" w:eastAsiaTheme="minorEastAsia" w:hAnsi="Arial"/>
                <w:b/>
                <w:bCs/>
                <w:sz w:val="20"/>
                <w:lang w:eastAsia="zh-CN"/>
              </w:rPr>
              <w:t>ressure</w:t>
            </w:r>
          </w:p>
        </w:tc>
        <w:tc>
          <w:tcPr>
            <w:tcW w:w="4099" w:type="dxa"/>
          </w:tcPr>
          <w:p w14:paraId="6D38AE69" w14:textId="657F959C" w:rsidR="002357A8" w:rsidRPr="00192972" w:rsidRDefault="003A60C4"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(b)</w:t>
            </w:r>
            <w:r w:rsidRPr="00192972">
              <w:rPr>
                <w:rFonts w:ascii="Arial" w:eastAsiaTheme="minorEastAsia" w:hAnsi="Arial"/>
                <w:b/>
                <w:bCs/>
                <w:sz w:val="20"/>
                <w:szCs w:val="20"/>
              </w:rPr>
              <w:t xml:space="preserve"> </w:t>
            </w:r>
            <w:r w:rsidRPr="00192972">
              <w:rPr>
                <w:rFonts w:ascii="Arial" w:eastAsiaTheme="minorEastAsia" w:hAnsi="Arial"/>
                <w:b/>
                <w:bCs/>
                <w:sz w:val="20"/>
                <w:lang w:eastAsia="zh-CN"/>
              </w:rPr>
              <w:t>Heat release rate</w:t>
            </w:r>
          </w:p>
        </w:tc>
      </w:tr>
      <w:tr w:rsidR="003A60C4" w14:paraId="40D0C734" w14:textId="77777777" w:rsidTr="00F837ED">
        <w:tc>
          <w:tcPr>
            <w:tcW w:w="8198" w:type="dxa"/>
            <w:gridSpan w:val="2"/>
          </w:tcPr>
          <w:p w14:paraId="1F2746B8" w14:textId="344E7464" w:rsidR="003A60C4" w:rsidRPr="00192972" w:rsidRDefault="00192972"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AD70C8">
              <w:rPr>
                <w:rFonts w:ascii="Arial" w:eastAsiaTheme="minorEastAsia" w:hAnsi="Arial" w:hint="eastAsia"/>
                <w:b/>
                <w:bCs/>
                <w:sz w:val="20"/>
                <w:lang w:eastAsia="zh-CN"/>
              </w:rPr>
              <w:t>5</w:t>
            </w:r>
            <w:r w:rsidRPr="00192972">
              <w:rPr>
                <w:rFonts w:ascii="Arial" w:eastAsiaTheme="minorEastAsia" w:hAnsi="Arial" w:hint="eastAsia"/>
                <w:b/>
                <w:bCs/>
                <w:sz w:val="20"/>
                <w:lang w:eastAsia="zh-CN"/>
              </w:rPr>
              <w:t xml:space="preserve"> Cylinder internal pressure and heat release rate under experimental and simulation conditions</w:t>
            </w:r>
          </w:p>
        </w:tc>
      </w:tr>
    </w:tbl>
    <w:p w14:paraId="03D640C2" w14:textId="77777777" w:rsidR="002357A8" w:rsidRDefault="002357A8" w:rsidP="00FB71A5">
      <w:pPr>
        <w:rPr>
          <w:lang w:eastAsia="zh-CN"/>
        </w:rPr>
      </w:pPr>
    </w:p>
    <w:p w14:paraId="7056123C" w14:textId="2F130E60" w:rsidR="00DE156E" w:rsidRDefault="00DE156E" w:rsidP="00DE156E">
      <w:pPr>
        <w:pStyle w:val="Head1"/>
        <w:spacing w:after="0"/>
        <w:jc w:val="both"/>
        <w:rPr>
          <w:rFonts w:ascii="Arial" w:hAnsi="Arial" w:cs="Arial"/>
        </w:rPr>
      </w:pPr>
      <w:r>
        <w:rPr>
          <w:rFonts w:ascii="Arial" w:hAnsi="Arial" w:cs="Arial" w:hint="eastAsia"/>
          <w:lang w:eastAsia="zh-CN"/>
        </w:rPr>
        <w:t>4</w:t>
      </w:r>
      <w:r>
        <w:rPr>
          <w:rFonts w:ascii="Arial" w:hAnsi="Arial" w:cs="Arial"/>
        </w:rPr>
        <w:t>. results and discussion</w:t>
      </w:r>
    </w:p>
    <w:p w14:paraId="7F160774" w14:textId="77777777" w:rsidR="00DE156E" w:rsidRPr="00AB1F59" w:rsidRDefault="00DE156E" w:rsidP="00AB1F59">
      <w:pPr>
        <w:jc w:val="both"/>
        <w:rPr>
          <w:rFonts w:ascii="Arial" w:hAnsi="Arial" w:cs="Arial"/>
          <w:lang w:eastAsia="zh-CN"/>
        </w:rPr>
      </w:pPr>
    </w:p>
    <w:p w14:paraId="23F7C92A" w14:textId="07D6DF67" w:rsidR="00DE156E" w:rsidRPr="00AB1F59" w:rsidRDefault="006707DD" w:rsidP="006707DD">
      <w:pPr>
        <w:jc w:val="both"/>
        <w:rPr>
          <w:rFonts w:ascii="Arial" w:hAnsi="Arial" w:cs="Arial"/>
          <w:lang w:eastAsia="zh-CN"/>
        </w:rPr>
      </w:pPr>
      <w:r w:rsidRPr="00AB1F59">
        <w:rPr>
          <w:rFonts w:ascii="Arial" w:hAnsi="Arial" w:cs="Arial"/>
          <w:lang w:eastAsia="zh-CN"/>
        </w:rPr>
        <w:t>Different intake pressure conditions of 0.1 MPa, 0.12 MPa, 0.14 MPa, 0.16 MPa and 0.18 MPa are selected in this study. The in-cylinder thermodynamic state, flow field characteristics, energy variation and emission performance of free-piston hydrogen engine are investigated, so as to provide references for subsequent combustion optimization and parameter matching.</w:t>
      </w:r>
    </w:p>
    <w:p w14:paraId="259FE781" w14:textId="77777777" w:rsidR="006707DD" w:rsidRPr="00AB1F59" w:rsidRDefault="006707DD" w:rsidP="00AB1F59">
      <w:pPr>
        <w:jc w:val="both"/>
        <w:rPr>
          <w:rFonts w:ascii="Arial" w:hAnsi="Arial" w:cs="Arial"/>
          <w:lang w:eastAsia="zh-CN"/>
        </w:rPr>
      </w:pPr>
    </w:p>
    <w:p w14:paraId="15614D7D" w14:textId="35EE093A" w:rsidR="006707DD" w:rsidRDefault="006707DD" w:rsidP="006707DD">
      <w:pPr>
        <w:pStyle w:val="Body"/>
        <w:spacing w:after="0"/>
        <w:jc w:val="left"/>
        <w:rPr>
          <w:rFonts w:ascii="Arial" w:hAnsi="Arial" w:cs="Arial"/>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 xml:space="preserve">1 </w:t>
      </w:r>
      <w:r w:rsidR="00236E4F" w:rsidRPr="00236E4F">
        <w:rPr>
          <w:rFonts w:ascii="Arial" w:hAnsi="Arial" w:cs="Arial"/>
          <w:b/>
          <w:sz w:val="22"/>
        </w:rPr>
        <w:t xml:space="preserve">Combustion </w:t>
      </w:r>
      <w:r w:rsidR="00A30933">
        <w:rPr>
          <w:rFonts w:ascii="Arial" w:hAnsi="Arial" w:cs="Arial" w:hint="eastAsia"/>
          <w:b/>
          <w:sz w:val="22"/>
          <w:lang w:eastAsia="zh-CN"/>
        </w:rPr>
        <w:t>C</w:t>
      </w:r>
      <w:r w:rsidR="00236E4F" w:rsidRPr="00236E4F">
        <w:rPr>
          <w:rFonts w:ascii="Arial" w:hAnsi="Arial" w:cs="Arial"/>
          <w:b/>
          <w:sz w:val="22"/>
        </w:rPr>
        <w:t>haracteristics</w:t>
      </w:r>
    </w:p>
    <w:p w14:paraId="46F192C6" w14:textId="77777777" w:rsidR="006707DD" w:rsidRPr="00AB1F59" w:rsidRDefault="006707DD" w:rsidP="00AB1F59">
      <w:pPr>
        <w:jc w:val="both"/>
        <w:rPr>
          <w:rFonts w:ascii="Arial" w:hAnsi="Arial" w:cs="Arial"/>
          <w:lang w:eastAsia="zh-CN"/>
        </w:rPr>
      </w:pPr>
    </w:p>
    <w:p w14:paraId="0D5AFE3A" w14:textId="71F6DF35" w:rsidR="00064D16" w:rsidRPr="00AB1F59" w:rsidRDefault="00064D16" w:rsidP="002A5850">
      <w:pPr>
        <w:jc w:val="both"/>
        <w:rPr>
          <w:rFonts w:ascii="Arial" w:hAnsi="Arial" w:cs="Arial"/>
          <w:lang w:eastAsia="zh-CN"/>
        </w:rPr>
      </w:pPr>
      <w:r w:rsidRPr="00AB1F59">
        <w:rPr>
          <w:rFonts w:ascii="Arial" w:hAnsi="Arial" w:cs="Arial"/>
          <w:lang w:eastAsia="zh-CN"/>
        </w:rPr>
        <w:t xml:space="preserve">Figure </w:t>
      </w:r>
      <w:r w:rsidR="00DA53BC">
        <w:rPr>
          <w:rFonts w:ascii="Arial" w:hAnsi="Arial" w:cs="Arial" w:hint="eastAsia"/>
          <w:lang w:eastAsia="zh-CN"/>
        </w:rPr>
        <w:t>6</w:t>
      </w:r>
      <w:r w:rsidRPr="00AB1F59">
        <w:rPr>
          <w:rFonts w:ascii="Arial" w:hAnsi="Arial" w:cs="Arial"/>
          <w:lang w:eastAsia="zh-CN"/>
        </w:rPr>
        <w:t xml:space="preserve">(a) presents the in-cylinder pressure variations with crank angle under different intake pressures. All pressure curves follow a consistent trend, rising sharply in the late compression stage, peaking near 380° ECA, and decreasing rapidly afterward. As the intake pressure increases from 0.10 MPa to 0.18 MPa, the overall pressure curve shifts upward with a continuously rising peak pressure, indicating that higher intake pressure improves the in-cylinder pressure level. The differences among various conditions mainly occur in the peak region, while the pressure characteristics in early compression and late expansion stages are nearly consistent. The peak angle barely changes under different pressures and only slightly advances at higher intake pressures. Overall, increasing intake pressure effectively raises the peak in-cylinder pressure but has little influence on the overall pressure evolution and post-peak </w:t>
      </w:r>
      <w:proofErr w:type="spellStart"/>
      <w:proofErr w:type="gramStart"/>
      <w:r w:rsidRPr="00AB1F59">
        <w:rPr>
          <w:rFonts w:ascii="Arial" w:hAnsi="Arial" w:cs="Arial"/>
          <w:lang w:eastAsia="zh-CN"/>
        </w:rPr>
        <w:t>attenuation.Figure</w:t>
      </w:r>
      <w:proofErr w:type="spellEnd"/>
      <w:proofErr w:type="gramEnd"/>
      <w:r w:rsidRPr="00AB1F59">
        <w:rPr>
          <w:rFonts w:ascii="Arial" w:hAnsi="Arial" w:cs="Arial"/>
          <w:lang w:eastAsia="zh-CN"/>
        </w:rPr>
        <w:t xml:space="preserve"> </w:t>
      </w:r>
      <w:r w:rsidR="00DA53BC">
        <w:rPr>
          <w:rFonts w:ascii="Arial" w:hAnsi="Arial" w:cs="Arial" w:hint="eastAsia"/>
          <w:lang w:eastAsia="zh-CN"/>
        </w:rPr>
        <w:t>6</w:t>
      </w:r>
      <w:r w:rsidRPr="00AB1F59">
        <w:rPr>
          <w:rFonts w:ascii="Arial" w:hAnsi="Arial" w:cs="Arial"/>
          <w:lang w:eastAsia="zh-CN"/>
        </w:rPr>
        <w:t>(b) displays the in-cylinder temperature evolution of the two-stroke diesel-piloted free-piston hydrogen engine under varying intake pressures. All temperature profiles exhibit the same variation rule: slow growth during compression, rapid rise near the top dead center, peak achievement, and gradual decline in the expansion stage. The temperature increases gently within 258–360° ECA, rises rapidly after 370° ECA, reaches the peak at 382–384° ECA, and then decreases steadily during expansion.</w:t>
      </w:r>
    </w:p>
    <w:p w14:paraId="70EBC219" w14:textId="77777777" w:rsidR="002A5850" w:rsidRPr="00AB1F59" w:rsidRDefault="002A5850" w:rsidP="002A5850">
      <w:pPr>
        <w:jc w:val="both"/>
        <w:rPr>
          <w:rFonts w:ascii="Arial" w:hAnsi="Arial" w:cs="Arial"/>
          <w:lang w:eastAsia="zh-CN"/>
        </w:rPr>
      </w:pPr>
    </w:p>
    <w:p w14:paraId="696F16CC" w14:textId="77777777" w:rsidR="00F45FB4" w:rsidRPr="00AB1F59" w:rsidRDefault="00F45FB4" w:rsidP="002A5850">
      <w:pPr>
        <w:jc w:val="both"/>
        <w:rPr>
          <w:rFonts w:ascii="Arial" w:hAnsi="Arial" w:cs="Arial"/>
          <w:lang w:eastAsia="zh-CN"/>
        </w:rPr>
      </w:pPr>
      <w:r w:rsidRPr="00AB1F59">
        <w:rPr>
          <w:rFonts w:ascii="Arial" w:hAnsi="Arial" w:cs="Arial"/>
          <w:lang w:eastAsia="zh-CN"/>
        </w:rPr>
        <w:t xml:space="preserve">With the intake pressure increasing from 0.10 MPa to 0.18 MPa, the in-cylinder temperature curve moves upward, with peak temperatures of 1563.71 K, 1585.04 K, 1614.85 K, 1645.26 K and 1673.04 K, respectively. Higher intake pressure significantly elevates the overall in-cylinder thermal level, especially the peak temperature. Increased intake pressure enlarges the in-cylinder charge mass and improves the thermodynamic conditions at the end of compression. Meanwhile, diesel pilot ignition facilitates concentrated heat release of hydrogen mixture in a narrow crank angle range, further boosting temperature rise during main combustion. The temperature discrepancies under different conditions are mainly distributed around the peak, while the temperature trends in early compression and late expansion are basically identical. The peak temperature phase slightly advances from 384° ECA (0.10 MPa) to 382° ECA (0.18 MPa). In general, increasing intake pressure enhances in-cylinder </w:t>
      </w:r>
      <w:r w:rsidRPr="00AB1F59">
        <w:rPr>
          <w:rFonts w:ascii="Arial" w:hAnsi="Arial" w:cs="Arial"/>
          <w:lang w:eastAsia="zh-CN"/>
        </w:rPr>
        <w:lastRenderedPageBreak/>
        <w:t>combustion intensity and peak temperature, with limited effects on the basic temperature variation characteristics and peak timing.</w:t>
      </w:r>
    </w:p>
    <w:p w14:paraId="1ADDB7C9" w14:textId="77777777" w:rsidR="00236E4F" w:rsidRPr="00AB1F59" w:rsidRDefault="00236E4F"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3A6198" w14:paraId="5DA410CE" w14:textId="77777777" w:rsidTr="00881FBA">
        <w:tc>
          <w:tcPr>
            <w:tcW w:w="4099" w:type="dxa"/>
          </w:tcPr>
          <w:p w14:paraId="782738DC" w14:textId="05700509" w:rsidR="003A6198" w:rsidRDefault="003A6198" w:rsidP="003A6198">
            <w:pPr>
              <w:jc w:val="center"/>
              <w:rPr>
                <w:lang w:eastAsia="zh-CN"/>
              </w:rPr>
            </w:pPr>
            <w:r w:rsidRPr="003A6198">
              <w:rPr>
                <w:noProof/>
                <w:lang w:eastAsia="zh-CN"/>
              </w:rPr>
              <w:drawing>
                <wp:inline distT="0" distB="0" distL="0" distR="0" wp14:anchorId="357DD940" wp14:editId="3175E2CA">
                  <wp:extent cx="2157477" cy="1800000"/>
                  <wp:effectExtent l="0" t="0" r="0" b="0"/>
                  <wp:docPr id="583897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7796" name=""/>
                          <pic:cNvPicPr/>
                        </pic:nvPicPr>
                        <pic:blipFill>
                          <a:blip r:embed="rId120"/>
                          <a:stretch>
                            <a:fillRect/>
                          </a:stretch>
                        </pic:blipFill>
                        <pic:spPr>
                          <a:xfrm>
                            <a:off x="0" y="0"/>
                            <a:ext cx="2157477" cy="1800000"/>
                          </a:xfrm>
                          <a:prstGeom prst="rect">
                            <a:avLst/>
                          </a:prstGeom>
                        </pic:spPr>
                      </pic:pic>
                    </a:graphicData>
                  </a:graphic>
                </wp:inline>
              </w:drawing>
            </w:r>
          </w:p>
        </w:tc>
        <w:tc>
          <w:tcPr>
            <w:tcW w:w="4099" w:type="dxa"/>
          </w:tcPr>
          <w:p w14:paraId="13BD3B99" w14:textId="06F6E11E" w:rsidR="003A6198" w:rsidRDefault="00C97DB2" w:rsidP="00C97DB2">
            <w:pPr>
              <w:jc w:val="center"/>
              <w:rPr>
                <w:lang w:eastAsia="zh-CN"/>
              </w:rPr>
            </w:pPr>
            <w:r w:rsidRPr="00C97DB2">
              <w:rPr>
                <w:noProof/>
                <w:lang w:eastAsia="zh-CN"/>
              </w:rPr>
              <w:drawing>
                <wp:inline distT="0" distB="0" distL="0" distR="0" wp14:anchorId="4826E017" wp14:editId="2FC226D8">
                  <wp:extent cx="2407920" cy="1843491"/>
                  <wp:effectExtent l="0" t="0" r="0" b="4445"/>
                  <wp:docPr id="12892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060" name=""/>
                          <pic:cNvPicPr/>
                        </pic:nvPicPr>
                        <pic:blipFill>
                          <a:blip r:embed="rId121"/>
                          <a:stretch>
                            <a:fillRect/>
                          </a:stretch>
                        </pic:blipFill>
                        <pic:spPr>
                          <a:xfrm>
                            <a:off x="0" y="0"/>
                            <a:ext cx="2411144" cy="1845959"/>
                          </a:xfrm>
                          <a:prstGeom prst="rect">
                            <a:avLst/>
                          </a:prstGeom>
                        </pic:spPr>
                      </pic:pic>
                    </a:graphicData>
                  </a:graphic>
                </wp:inline>
              </w:drawing>
            </w:r>
          </w:p>
        </w:tc>
      </w:tr>
      <w:tr w:rsidR="003A6198" w14:paraId="684565FE" w14:textId="77777777" w:rsidTr="00881FBA">
        <w:tc>
          <w:tcPr>
            <w:tcW w:w="4099" w:type="dxa"/>
          </w:tcPr>
          <w:p w14:paraId="7A259FD3" w14:textId="059C9134" w:rsidR="003A6198" w:rsidRPr="00881FBA" w:rsidRDefault="00C97DB2" w:rsidP="00881FBA">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8A2401" w:rsidRPr="00881FBA">
              <w:rPr>
                <w:rFonts w:ascii="Arial" w:eastAsiaTheme="minorEastAsia" w:hAnsi="Arial" w:hint="eastAsia"/>
                <w:b/>
                <w:bCs/>
                <w:sz w:val="20"/>
                <w:lang w:eastAsia="zh-CN"/>
              </w:rPr>
              <w:t>Pressure</w:t>
            </w:r>
          </w:p>
        </w:tc>
        <w:tc>
          <w:tcPr>
            <w:tcW w:w="4099" w:type="dxa"/>
          </w:tcPr>
          <w:p w14:paraId="10715E90" w14:textId="6B05A97B" w:rsidR="003A6198" w:rsidRPr="00881FBA" w:rsidRDefault="008A2401" w:rsidP="00881FBA">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rsidR="00467354" w:rsidRPr="00881FBA">
              <w:rPr>
                <w:rFonts w:ascii="Arial" w:eastAsiaTheme="minorEastAsia" w:hAnsi="Arial" w:hint="eastAsia"/>
                <w:b/>
                <w:bCs/>
                <w:sz w:val="20"/>
                <w:lang w:eastAsia="zh-CN"/>
              </w:rPr>
              <w:t>T</w:t>
            </w:r>
            <w:r w:rsidR="00467354" w:rsidRPr="00881FBA">
              <w:rPr>
                <w:rFonts w:ascii="Arial" w:eastAsiaTheme="minorEastAsia" w:hAnsi="Arial"/>
                <w:b/>
                <w:bCs/>
                <w:sz w:val="20"/>
                <w:lang w:eastAsia="zh-CN"/>
              </w:rPr>
              <w:t>emperature</w:t>
            </w:r>
          </w:p>
        </w:tc>
      </w:tr>
      <w:tr w:rsidR="00467354" w14:paraId="3BCB9B75" w14:textId="77777777" w:rsidTr="00881FBA">
        <w:tc>
          <w:tcPr>
            <w:tcW w:w="8198" w:type="dxa"/>
            <w:gridSpan w:val="2"/>
          </w:tcPr>
          <w:p w14:paraId="0580DDDA" w14:textId="287FC64A" w:rsidR="00467354" w:rsidRPr="00881FBA" w:rsidRDefault="00881FBA" w:rsidP="00881FBA">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DA53BC">
              <w:rPr>
                <w:rFonts w:ascii="Arial" w:eastAsiaTheme="minorEastAsia" w:hAnsi="Arial" w:hint="eastAsia"/>
                <w:b/>
                <w:bCs/>
                <w:sz w:val="20"/>
                <w:lang w:eastAsia="zh-CN"/>
              </w:rPr>
              <w:t>6</w:t>
            </w:r>
            <w:r w:rsidRPr="00192972">
              <w:rPr>
                <w:rFonts w:ascii="Arial" w:eastAsiaTheme="minorEastAsia" w:hAnsi="Arial" w:hint="eastAsia"/>
                <w:b/>
                <w:bCs/>
                <w:sz w:val="20"/>
                <w:lang w:eastAsia="zh-CN"/>
              </w:rPr>
              <w:t xml:space="preserve"> </w:t>
            </w:r>
            <w:r w:rsidRPr="00881FBA">
              <w:rPr>
                <w:rFonts w:ascii="Arial" w:eastAsiaTheme="minorEastAsia" w:hAnsi="Arial"/>
                <w:b/>
                <w:bCs/>
                <w:sz w:val="20"/>
                <w:lang w:eastAsia="zh-CN"/>
              </w:rPr>
              <w:t>In-cylinder pressure and temperature under different intake pressures</w:t>
            </w:r>
          </w:p>
        </w:tc>
      </w:tr>
    </w:tbl>
    <w:p w14:paraId="09623D89" w14:textId="77777777" w:rsidR="00F45FB4" w:rsidRPr="00AB1F59" w:rsidRDefault="00F45FB4" w:rsidP="00AB1F59">
      <w:pPr>
        <w:jc w:val="both"/>
        <w:rPr>
          <w:rFonts w:ascii="Arial" w:hAnsi="Arial" w:cs="Arial"/>
          <w:lang w:eastAsia="zh-CN"/>
        </w:rPr>
      </w:pPr>
    </w:p>
    <w:p w14:paraId="3A02D0CC" w14:textId="76B084F8" w:rsidR="006A729A" w:rsidRPr="00AB1F59" w:rsidRDefault="006A729A" w:rsidP="002A5850">
      <w:pPr>
        <w:jc w:val="both"/>
        <w:rPr>
          <w:rFonts w:ascii="Arial" w:hAnsi="Arial" w:cs="Arial"/>
          <w:lang w:eastAsia="zh-CN"/>
        </w:rPr>
      </w:pPr>
      <w:r w:rsidRPr="00AB1F59">
        <w:rPr>
          <w:rFonts w:ascii="Arial" w:hAnsi="Arial" w:cs="Arial"/>
          <w:lang w:eastAsia="zh-CN"/>
        </w:rPr>
        <w:t xml:space="preserve">Figures </w:t>
      </w:r>
      <w:r w:rsidR="00E06928">
        <w:rPr>
          <w:rFonts w:ascii="Arial" w:hAnsi="Arial" w:cs="Arial" w:hint="eastAsia"/>
          <w:lang w:eastAsia="zh-CN"/>
        </w:rPr>
        <w:t>7</w:t>
      </w:r>
      <w:r w:rsidRPr="00AB1F59">
        <w:rPr>
          <w:rFonts w:ascii="Arial" w:hAnsi="Arial" w:cs="Arial"/>
          <w:lang w:eastAsia="zh-CN"/>
        </w:rPr>
        <w:t xml:space="preserve">(a) and </w:t>
      </w:r>
      <w:r w:rsidR="00E06928">
        <w:rPr>
          <w:rFonts w:ascii="Arial" w:hAnsi="Arial" w:cs="Arial" w:hint="eastAsia"/>
          <w:lang w:eastAsia="zh-CN"/>
        </w:rPr>
        <w:t>7</w:t>
      </w:r>
      <w:r w:rsidRPr="00AB1F59">
        <w:rPr>
          <w:rFonts w:ascii="Arial" w:hAnsi="Arial" w:cs="Arial"/>
          <w:lang w:eastAsia="zh-CN"/>
        </w:rPr>
        <w:t>(b) show the variations of heat release rate and cumulative heat release with crank angle under different intake pressures.</w:t>
      </w:r>
    </w:p>
    <w:p w14:paraId="25F7CDD4" w14:textId="77777777" w:rsidR="006A729A" w:rsidRPr="00AB1F59" w:rsidRDefault="006A729A" w:rsidP="00AB1F59">
      <w:pPr>
        <w:jc w:val="both"/>
        <w:rPr>
          <w:rFonts w:ascii="Arial" w:hAnsi="Arial" w:cs="Arial"/>
          <w:lang w:eastAsia="zh-CN"/>
        </w:rPr>
      </w:pPr>
    </w:p>
    <w:p w14:paraId="3990629E" w14:textId="47E77C4E" w:rsidR="006A729A" w:rsidRPr="00AB1F59" w:rsidRDefault="006A729A" w:rsidP="002A5850">
      <w:pPr>
        <w:jc w:val="both"/>
        <w:rPr>
          <w:rFonts w:ascii="Arial" w:hAnsi="Arial" w:cs="Arial"/>
          <w:lang w:eastAsia="zh-CN"/>
        </w:rPr>
      </w:pPr>
      <w:r w:rsidRPr="00AB1F59">
        <w:rPr>
          <w:rFonts w:ascii="Arial" w:hAnsi="Arial" w:cs="Arial"/>
          <w:lang w:eastAsia="zh-CN"/>
        </w:rPr>
        <w:t xml:space="preserve">The heat release rate curves share similar trends. It stays low during early and </w:t>
      </w:r>
      <w:proofErr w:type="spellStart"/>
      <w:r w:rsidRPr="00AB1F59">
        <w:rPr>
          <w:rFonts w:ascii="Arial" w:hAnsi="Arial" w:cs="Arial"/>
          <w:lang w:eastAsia="zh-CN"/>
        </w:rPr>
        <w:t>mid compression</w:t>
      </w:r>
      <w:proofErr w:type="spellEnd"/>
      <w:r w:rsidRPr="00AB1F59">
        <w:rPr>
          <w:rFonts w:ascii="Arial" w:hAnsi="Arial" w:cs="Arial"/>
          <w:lang w:eastAsia="zh-CN"/>
        </w:rPr>
        <w:t>, rises sharply near top dead center, peaks at 378–379° ECA and then drops rapidly. As intake pressure increases from 0.10 MPa to 0.18 MPa, peak heat release rate reaches 112.34, 114.26, 115.33, 116.26 and 117.15 J/deg respectively. Higher intake pressure enhances instantaneous heat release in main combustion and exerts slight influence on combustion starting phase.</w:t>
      </w:r>
    </w:p>
    <w:p w14:paraId="0E396A1D" w14:textId="77777777" w:rsidR="006A729A" w:rsidRPr="00AB1F59" w:rsidRDefault="006A729A" w:rsidP="00AB1F59">
      <w:pPr>
        <w:jc w:val="both"/>
        <w:rPr>
          <w:rFonts w:ascii="Arial" w:hAnsi="Arial" w:cs="Arial"/>
          <w:lang w:eastAsia="zh-CN"/>
        </w:rPr>
      </w:pPr>
    </w:p>
    <w:p w14:paraId="732413AC" w14:textId="77777777" w:rsidR="006A729A" w:rsidRPr="00AB1F59" w:rsidRDefault="006A729A" w:rsidP="002A5850">
      <w:pPr>
        <w:jc w:val="both"/>
        <w:rPr>
          <w:rFonts w:ascii="Arial" w:hAnsi="Arial" w:cs="Arial"/>
          <w:lang w:eastAsia="zh-CN"/>
        </w:rPr>
      </w:pPr>
      <w:r w:rsidRPr="00AB1F59">
        <w:rPr>
          <w:rFonts w:ascii="Arial" w:hAnsi="Arial" w:cs="Arial"/>
          <w:lang w:eastAsia="zh-CN"/>
        </w:rPr>
        <w:t>Cumulative heat release changes mildly before combustion, rises rapidly after 372° ECA and levels off after 390° ECA. The overall curve shifts upward with growing intake pressure, and the final values are 642.32, 646.18, 649.82, 652.43 and 654.02 J. Raising intake pressure intensifies in-cylinder combustion with more concentrated heat release and higher total heat output, which conforms to the rising trend of in-cylinder pressure and temperature.</w:t>
      </w:r>
    </w:p>
    <w:p w14:paraId="4A13AA3D" w14:textId="77777777" w:rsidR="006A729A" w:rsidRPr="00AB1F59" w:rsidRDefault="006A729A" w:rsidP="00AB1F59">
      <w:pPr>
        <w:jc w:val="both"/>
        <w:rPr>
          <w:rFonts w:ascii="Arial" w:hAnsi="Arial" w:cs="Arial"/>
          <w:lang w:eastAsia="zh-CN"/>
        </w:rPr>
      </w:pPr>
    </w:p>
    <w:p w14:paraId="606CC993" w14:textId="6F76D0A1" w:rsidR="003646E6" w:rsidRPr="00AB1F59" w:rsidRDefault="006A729A" w:rsidP="002A5850">
      <w:pPr>
        <w:jc w:val="both"/>
        <w:rPr>
          <w:rFonts w:ascii="Arial" w:hAnsi="Arial" w:cs="Arial"/>
          <w:lang w:eastAsia="zh-CN"/>
        </w:rPr>
      </w:pPr>
      <w:r w:rsidRPr="00AB1F59">
        <w:rPr>
          <w:rFonts w:ascii="Arial" w:hAnsi="Arial" w:cs="Arial"/>
          <w:lang w:eastAsia="zh-CN"/>
        </w:rPr>
        <w:t>The growth of heat release parameters coincides with the increase of peak pressure and temperature. It proves that elevated intake pressure strengthens combustion reaction and energy release, improving overall combustion performance.</w:t>
      </w:r>
    </w:p>
    <w:p w14:paraId="16D3ADD1" w14:textId="77777777" w:rsidR="006A729A" w:rsidRPr="00AB1F59" w:rsidRDefault="006A729A"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6A729A" w14:paraId="0B223964" w14:textId="77777777" w:rsidTr="00944B9D">
        <w:tc>
          <w:tcPr>
            <w:tcW w:w="4099" w:type="dxa"/>
          </w:tcPr>
          <w:p w14:paraId="66EFC2CE" w14:textId="34EC4106" w:rsidR="006A729A" w:rsidRDefault="00645FCC" w:rsidP="00944B9D">
            <w:pPr>
              <w:jc w:val="center"/>
              <w:rPr>
                <w:lang w:eastAsia="zh-CN"/>
              </w:rPr>
            </w:pPr>
            <w:r w:rsidRPr="00645FCC">
              <w:rPr>
                <w:noProof/>
                <w:lang w:eastAsia="zh-CN"/>
              </w:rPr>
              <w:drawing>
                <wp:inline distT="0" distB="0" distL="0" distR="0" wp14:anchorId="668748B6" wp14:editId="6F438451">
                  <wp:extent cx="2351114" cy="1800000"/>
                  <wp:effectExtent l="0" t="0" r="0" b="0"/>
                  <wp:docPr id="525981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81672" name=""/>
                          <pic:cNvPicPr/>
                        </pic:nvPicPr>
                        <pic:blipFill>
                          <a:blip r:embed="rId122"/>
                          <a:stretch>
                            <a:fillRect/>
                          </a:stretch>
                        </pic:blipFill>
                        <pic:spPr>
                          <a:xfrm>
                            <a:off x="0" y="0"/>
                            <a:ext cx="2351114" cy="1800000"/>
                          </a:xfrm>
                          <a:prstGeom prst="rect">
                            <a:avLst/>
                          </a:prstGeom>
                        </pic:spPr>
                      </pic:pic>
                    </a:graphicData>
                  </a:graphic>
                </wp:inline>
              </w:drawing>
            </w:r>
          </w:p>
        </w:tc>
        <w:tc>
          <w:tcPr>
            <w:tcW w:w="4099" w:type="dxa"/>
          </w:tcPr>
          <w:p w14:paraId="17113B72" w14:textId="45E5A03D" w:rsidR="006A729A" w:rsidRDefault="00E074B8" w:rsidP="00944B9D">
            <w:pPr>
              <w:jc w:val="center"/>
              <w:rPr>
                <w:lang w:eastAsia="zh-CN"/>
              </w:rPr>
            </w:pPr>
            <w:r w:rsidRPr="00E074B8">
              <w:rPr>
                <w:noProof/>
                <w:lang w:eastAsia="zh-CN"/>
              </w:rPr>
              <w:drawing>
                <wp:inline distT="0" distB="0" distL="0" distR="0" wp14:anchorId="15412AF7" wp14:editId="62382F53">
                  <wp:extent cx="2351114" cy="1800000"/>
                  <wp:effectExtent l="0" t="0" r="0" b="0"/>
                  <wp:docPr id="1228476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76129" name=""/>
                          <pic:cNvPicPr/>
                        </pic:nvPicPr>
                        <pic:blipFill>
                          <a:blip r:embed="rId123"/>
                          <a:stretch>
                            <a:fillRect/>
                          </a:stretch>
                        </pic:blipFill>
                        <pic:spPr>
                          <a:xfrm>
                            <a:off x="0" y="0"/>
                            <a:ext cx="2351114" cy="1800000"/>
                          </a:xfrm>
                          <a:prstGeom prst="rect">
                            <a:avLst/>
                          </a:prstGeom>
                        </pic:spPr>
                      </pic:pic>
                    </a:graphicData>
                  </a:graphic>
                </wp:inline>
              </w:drawing>
            </w:r>
          </w:p>
        </w:tc>
      </w:tr>
      <w:tr w:rsidR="006A729A" w14:paraId="4C64B71C" w14:textId="77777777" w:rsidTr="00944B9D">
        <w:tc>
          <w:tcPr>
            <w:tcW w:w="4099" w:type="dxa"/>
          </w:tcPr>
          <w:p w14:paraId="3B0074EA" w14:textId="4E2A2AA6" w:rsidR="006A729A" w:rsidRPr="00881FBA" w:rsidRDefault="006A729A"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E074B8" w:rsidRPr="00192972">
              <w:rPr>
                <w:rFonts w:ascii="Arial" w:eastAsiaTheme="minorEastAsia" w:hAnsi="Arial"/>
                <w:b/>
                <w:bCs/>
                <w:sz w:val="20"/>
                <w:lang w:eastAsia="zh-CN"/>
              </w:rPr>
              <w:t xml:space="preserve"> Heat release rate</w:t>
            </w:r>
          </w:p>
        </w:tc>
        <w:tc>
          <w:tcPr>
            <w:tcW w:w="4099" w:type="dxa"/>
          </w:tcPr>
          <w:p w14:paraId="1B9208B5" w14:textId="200EF6F6" w:rsidR="006A729A" w:rsidRPr="00881FBA" w:rsidRDefault="006A729A"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rsidR="00E074B8">
              <w:t xml:space="preserve"> </w:t>
            </w:r>
            <w:r w:rsidR="00E074B8" w:rsidRPr="00E074B8">
              <w:rPr>
                <w:rFonts w:ascii="Arial" w:eastAsiaTheme="minorEastAsia" w:hAnsi="Arial"/>
                <w:b/>
                <w:bCs/>
                <w:sz w:val="20"/>
                <w:lang w:eastAsia="zh-CN"/>
              </w:rPr>
              <w:t>Accumulated heat release</w:t>
            </w:r>
          </w:p>
        </w:tc>
      </w:tr>
      <w:tr w:rsidR="006A729A" w14:paraId="560A5D36" w14:textId="77777777" w:rsidTr="00944B9D">
        <w:tc>
          <w:tcPr>
            <w:tcW w:w="8198" w:type="dxa"/>
            <w:gridSpan w:val="2"/>
          </w:tcPr>
          <w:p w14:paraId="4ED17F38" w14:textId="595D6F03" w:rsidR="006A729A" w:rsidRPr="00881FBA" w:rsidRDefault="006A729A"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DA53BC">
              <w:rPr>
                <w:rFonts w:ascii="Arial" w:eastAsiaTheme="minorEastAsia" w:hAnsi="Arial" w:hint="eastAsia"/>
                <w:b/>
                <w:bCs/>
                <w:sz w:val="20"/>
                <w:lang w:eastAsia="zh-CN"/>
              </w:rPr>
              <w:t>7</w:t>
            </w:r>
            <w:r w:rsidRPr="00192972">
              <w:rPr>
                <w:rFonts w:ascii="Arial" w:eastAsiaTheme="minorEastAsia" w:hAnsi="Arial" w:hint="eastAsia"/>
                <w:b/>
                <w:bCs/>
                <w:sz w:val="20"/>
                <w:lang w:eastAsia="zh-CN"/>
              </w:rPr>
              <w:t xml:space="preserve"> </w:t>
            </w:r>
            <w:r w:rsidR="004023AB" w:rsidRPr="004023AB">
              <w:rPr>
                <w:rFonts w:ascii="Arial" w:eastAsiaTheme="minorEastAsia" w:hAnsi="Arial"/>
                <w:b/>
                <w:bCs/>
                <w:sz w:val="20"/>
                <w:lang w:eastAsia="zh-CN"/>
              </w:rPr>
              <w:t>Heat release rate and cumulative heat release under different intake pressures</w:t>
            </w:r>
          </w:p>
        </w:tc>
      </w:tr>
    </w:tbl>
    <w:p w14:paraId="620EA8CA" w14:textId="77A3D698" w:rsidR="00084442" w:rsidRDefault="00084442" w:rsidP="00084442">
      <w:pPr>
        <w:pStyle w:val="Body"/>
        <w:spacing w:after="0"/>
        <w:jc w:val="left"/>
        <w:rPr>
          <w:rFonts w:ascii="Arial" w:hAnsi="Arial" w:cs="Arial"/>
        </w:rPr>
      </w:pPr>
      <w:r>
        <w:rPr>
          <w:rFonts w:ascii="Arial" w:hAnsi="Arial" w:cs="Arial" w:hint="eastAsia"/>
          <w:b/>
          <w:caps/>
          <w:sz w:val="22"/>
          <w:lang w:eastAsia="zh-CN"/>
        </w:rPr>
        <w:lastRenderedPageBreak/>
        <w:t>4</w:t>
      </w:r>
      <w:r w:rsidRPr="00C30A0F">
        <w:rPr>
          <w:rFonts w:ascii="Arial" w:hAnsi="Arial" w:cs="Arial"/>
          <w:b/>
          <w:caps/>
          <w:sz w:val="22"/>
        </w:rPr>
        <w:t>.</w:t>
      </w:r>
      <w:r>
        <w:rPr>
          <w:rFonts w:ascii="Arial" w:hAnsi="Arial" w:cs="Arial" w:hint="eastAsia"/>
          <w:b/>
          <w:caps/>
          <w:sz w:val="22"/>
          <w:lang w:eastAsia="zh-CN"/>
        </w:rPr>
        <w:t xml:space="preserve">2 </w:t>
      </w:r>
      <w:r w:rsidRPr="00084442">
        <w:rPr>
          <w:rFonts w:ascii="Arial" w:hAnsi="Arial" w:cs="Arial"/>
          <w:b/>
          <w:sz w:val="22"/>
        </w:rPr>
        <w:t xml:space="preserve">Heat transfer </w:t>
      </w:r>
      <w:r w:rsidR="00A30933">
        <w:rPr>
          <w:rFonts w:ascii="Arial" w:hAnsi="Arial" w:cs="Arial" w:hint="eastAsia"/>
          <w:b/>
          <w:sz w:val="22"/>
          <w:lang w:eastAsia="zh-CN"/>
        </w:rPr>
        <w:t>C</w:t>
      </w:r>
      <w:r w:rsidRPr="00084442">
        <w:rPr>
          <w:rFonts w:ascii="Arial" w:hAnsi="Arial" w:cs="Arial"/>
          <w:b/>
          <w:sz w:val="22"/>
        </w:rPr>
        <w:t>haracteristics</w:t>
      </w:r>
    </w:p>
    <w:p w14:paraId="05B467BD" w14:textId="77777777" w:rsidR="006A729A" w:rsidRPr="00AB1F59" w:rsidRDefault="006A729A" w:rsidP="00AB1F59">
      <w:pPr>
        <w:jc w:val="both"/>
        <w:rPr>
          <w:rFonts w:ascii="Arial" w:hAnsi="Arial" w:cs="Arial"/>
          <w:lang w:eastAsia="zh-CN"/>
        </w:rPr>
      </w:pPr>
    </w:p>
    <w:p w14:paraId="1132D2B7" w14:textId="6D0EF5FA" w:rsidR="006C1B82" w:rsidRPr="00AB1F59" w:rsidRDefault="006C1B82" w:rsidP="006C1B82">
      <w:pPr>
        <w:jc w:val="both"/>
        <w:rPr>
          <w:rFonts w:ascii="Arial" w:hAnsi="Arial" w:cs="Arial"/>
          <w:lang w:eastAsia="zh-CN"/>
        </w:rPr>
      </w:pPr>
      <w:r w:rsidRPr="00AB1F59">
        <w:rPr>
          <w:rFonts w:ascii="Arial" w:hAnsi="Arial" w:cs="Arial"/>
          <w:lang w:eastAsia="zh-CN"/>
        </w:rPr>
        <w:t xml:space="preserve">Figure </w:t>
      </w:r>
      <w:r w:rsidR="00E06928">
        <w:rPr>
          <w:rFonts w:ascii="Arial" w:hAnsi="Arial" w:cs="Arial" w:hint="eastAsia"/>
          <w:lang w:eastAsia="zh-CN"/>
        </w:rPr>
        <w:t>8</w:t>
      </w:r>
      <w:r w:rsidRPr="00AB1F59">
        <w:rPr>
          <w:rFonts w:ascii="Arial" w:hAnsi="Arial" w:cs="Arial" w:hint="eastAsia"/>
          <w:lang w:eastAsia="zh-CN"/>
        </w:rPr>
        <w:t>(a)</w:t>
      </w:r>
      <w:r w:rsidRPr="00AB1F59">
        <w:rPr>
          <w:rFonts w:ascii="Arial" w:hAnsi="Arial" w:cs="Arial"/>
          <w:lang w:eastAsia="zh-CN"/>
        </w:rPr>
        <w:t xml:space="preserve"> presents the in-cylinder heat transfer coefficient variations with crank angle under different intake pressures. All cases share the same variation trend. The coefficient remains low and stable in the early compression stage, rises sharply after 350° ECA, peaks at 378–379° ECA, and then decays steadily in the late expansion stage. The low-pressure difference among conditions is slight before 340° ECA. The rapid growth of in-cylinder pressure, temperature and flow intensity near the top dead center enlarges the wall temperature gradient and enhances convective heat transfer, resulting in a sharp rise in the heat transfer coefficient.</w:t>
      </w:r>
    </w:p>
    <w:p w14:paraId="323CC40C" w14:textId="77777777" w:rsidR="006C1B82" w:rsidRPr="00AB1F59" w:rsidRDefault="006C1B82" w:rsidP="00AB1F59">
      <w:pPr>
        <w:jc w:val="both"/>
        <w:rPr>
          <w:rFonts w:ascii="Arial" w:hAnsi="Arial" w:cs="Arial"/>
          <w:lang w:eastAsia="zh-CN"/>
        </w:rPr>
      </w:pPr>
    </w:p>
    <w:p w14:paraId="65CA6E4D" w14:textId="77777777" w:rsidR="006C1B82" w:rsidRPr="00AB1F59" w:rsidRDefault="006C1B82" w:rsidP="002A5850">
      <w:pPr>
        <w:jc w:val="both"/>
        <w:rPr>
          <w:rFonts w:ascii="Arial" w:hAnsi="Arial" w:cs="Arial"/>
          <w:lang w:eastAsia="zh-CN"/>
        </w:rPr>
      </w:pPr>
      <w:r w:rsidRPr="00AB1F59">
        <w:rPr>
          <w:rFonts w:ascii="Arial" w:hAnsi="Arial" w:cs="Arial"/>
          <w:lang w:eastAsia="zh-CN"/>
        </w:rPr>
        <w:t>As intake pressure increases from 0.10 MPa to 0.18 MPa, the heat transfer coefficient curve shifts upward, with peak values of 2744.96, 2832.66, 2901.83, 2965.84 and 3061.01, respectively. The differences among various conditions mainly occur in the peak region, while the variation characteristics in early compression and late expansion stages are nearly consistent. Increased intake pressure effectively improves the peak heat transfer coefficient and overall heat transfer capacity, with negligible influence on the peak occurrence angle.</w:t>
      </w:r>
    </w:p>
    <w:p w14:paraId="7D0D50FD" w14:textId="77777777" w:rsidR="006C1B82" w:rsidRPr="00AB1F59" w:rsidRDefault="006C1B82" w:rsidP="00AB1F59">
      <w:pPr>
        <w:jc w:val="both"/>
        <w:rPr>
          <w:rFonts w:ascii="Arial" w:hAnsi="Arial" w:cs="Arial"/>
          <w:lang w:eastAsia="zh-CN"/>
        </w:rPr>
      </w:pPr>
    </w:p>
    <w:p w14:paraId="21F6662D" w14:textId="6E4AEB57" w:rsidR="006C1B82" w:rsidRPr="00AB1F59" w:rsidRDefault="006C1B82" w:rsidP="002A5850">
      <w:pPr>
        <w:jc w:val="both"/>
        <w:rPr>
          <w:rFonts w:ascii="Arial" w:hAnsi="Arial" w:cs="Arial"/>
          <w:lang w:eastAsia="zh-CN"/>
        </w:rPr>
      </w:pPr>
      <w:r w:rsidRPr="00AB1F59">
        <w:rPr>
          <w:rFonts w:ascii="Arial" w:hAnsi="Arial" w:cs="Arial"/>
          <w:lang w:eastAsia="zh-CN"/>
        </w:rPr>
        <w:t xml:space="preserve">Figure </w:t>
      </w:r>
      <w:r w:rsidR="00E06928">
        <w:rPr>
          <w:rFonts w:ascii="Arial" w:hAnsi="Arial" w:cs="Arial" w:hint="eastAsia"/>
          <w:lang w:eastAsia="zh-CN"/>
        </w:rPr>
        <w:t>8</w:t>
      </w:r>
      <w:r w:rsidRPr="00AB1F59">
        <w:rPr>
          <w:rFonts w:ascii="Arial" w:hAnsi="Arial" w:cs="Arial" w:hint="eastAsia"/>
          <w:lang w:eastAsia="zh-CN"/>
        </w:rPr>
        <w:t>(b)</w:t>
      </w:r>
      <w:r w:rsidRPr="00AB1F59">
        <w:rPr>
          <w:rFonts w:ascii="Arial" w:hAnsi="Arial" w:cs="Arial"/>
          <w:lang w:eastAsia="zh-CN"/>
        </w:rPr>
        <w:t xml:space="preserve"> shows the in-cylinder heat flux evolution under different intake pressures. The heat flux stays at low positive values during early compression, drops rapidly to negative values near the top dead center, and gradually recovers after reaching the negative peak. Heat flux remains stable at a low level within 258–345° ECA, declines sharply after 345° ECA, and reaches the negative peak at 380–382° ECA. Intense combustion strengthens the heat exchange between high-temperature gas and chamber wall, substantially increasing the near-top-dead-center wall heat loss.</w:t>
      </w:r>
    </w:p>
    <w:p w14:paraId="4FB0F3C1" w14:textId="77777777" w:rsidR="002A5850" w:rsidRPr="00AB1F59" w:rsidRDefault="002A5850" w:rsidP="002A5850">
      <w:pPr>
        <w:jc w:val="both"/>
        <w:rPr>
          <w:rFonts w:ascii="Arial" w:hAnsi="Arial" w:cs="Arial"/>
          <w:lang w:eastAsia="zh-CN"/>
        </w:rPr>
      </w:pPr>
    </w:p>
    <w:p w14:paraId="04BA9CE6" w14:textId="77777777" w:rsidR="006C1B82" w:rsidRPr="00AB1F59" w:rsidRDefault="006C1B82" w:rsidP="002A5850">
      <w:pPr>
        <w:jc w:val="both"/>
        <w:rPr>
          <w:rFonts w:ascii="Arial" w:hAnsi="Arial" w:cs="Arial"/>
          <w:lang w:eastAsia="zh-CN"/>
        </w:rPr>
      </w:pPr>
      <w:r w:rsidRPr="00AB1F59">
        <w:rPr>
          <w:rFonts w:ascii="Arial" w:hAnsi="Arial" w:cs="Arial"/>
          <w:lang w:eastAsia="zh-CN"/>
        </w:rPr>
        <w:t>With the intake pressure rising from 0.10 MPa to 0.18 MPa, the absolute values of heat flux negative peak increase continuously, which are −24805.50 W, −25297.06 W, −25806.72 W, −26226.28 W and −27152.04 W. Higher intake pressure enhances instantaneous wall heat transfer during main combustion and aggravates cylinder heat loss. The discrepancies of heat flux under different pressures are concentrated around the negative peak, while its variation timing and recovery characteristics are barely affected by intake pressure.</w:t>
      </w:r>
    </w:p>
    <w:p w14:paraId="60BFBDCC" w14:textId="77777777" w:rsidR="00A30933" w:rsidRPr="00AB1F59" w:rsidRDefault="00A30933"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2A5850" w14:paraId="02A4E8E3" w14:textId="77777777" w:rsidTr="00944B9D">
        <w:tc>
          <w:tcPr>
            <w:tcW w:w="4099" w:type="dxa"/>
          </w:tcPr>
          <w:p w14:paraId="1E8F1675" w14:textId="1CDD1112" w:rsidR="002A5850" w:rsidRDefault="00951AE6" w:rsidP="00944B9D">
            <w:pPr>
              <w:jc w:val="center"/>
              <w:rPr>
                <w:lang w:eastAsia="zh-CN"/>
              </w:rPr>
            </w:pPr>
            <w:r w:rsidRPr="00951AE6">
              <w:rPr>
                <w:noProof/>
                <w:lang w:eastAsia="zh-CN"/>
              </w:rPr>
              <w:drawing>
                <wp:inline distT="0" distB="0" distL="0" distR="0" wp14:anchorId="67E4AB37" wp14:editId="0B5F0F5F">
                  <wp:extent cx="2351114" cy="1800000"/>
                  <wp:effectExtent l="0" t="0" r="0" b="0"/>
                  <wp:docPr id="1528332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2854" name=""/>
                          <pic:cNvPicPr/>
                        </pic:nvPicPr>
                        <pic:blipFill>
                          <a:blip r:embed="rId124"/>
                          <a:stretch>
                            <a:fillRect/>
                          </a:stretch>
                        </pic:blipFill>
                        <pic:spPr>
                          <a:xfrm>
                            <a:off x="0" y="0"/>
                            <a:ext cx="2351114" cy="1800000"/>
                          </a:xfrm>
                          <a:prstGeom prst="rect">
                            <a:avLst/>
                          </a:prstGeom>
                        </pic:spPr>
                      </pic:pic>
                    </a:graphicData>
                  </a:graphic>
                </wp:inline>
              </w:drawing>
            </w:r>
          </w:p>
        </w:tc>
        <w:tc>
          <w:tcPr>
            <w:tcW w:w="4099" w:type="dxa"/>
          </w:tcPr>
          <w:p w14:paraId="725D5C25" w14:textId="5CCF38DB" w:rsidR="002A5850" w:rsidRDefault="002F511E" w:rsidP="00944B9D">
            <w:pPr>
              <w:jc w:val="center"/>
              <w:rPr>
                <w:lang w:eastAsia="zh-CN"/>
              </w:rPr>
            </w:pPr>
            <w:r w:rsidRPr="002F511E">
              <w:rPr>
                <w:noProof/>
                <w:lang w:eastAsia="zh-CN"/>
              </w:rPr>
              <w:drawing>
                <wp:inline distT="0" distB="0" distL="0" distR="0" wp14:anchorId="14C5202C" wp14:editId="299833DF">
                  <wp:extent cx="2351114" cy="1800000"/>
                  <wp:effectExtent l="0" t="0" r="0" b="0"/>
                  <wp:docPr id="1109489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89767" name=""/>
                          <pic:cNvPicPr/>
                        </pic:nvPicPr>
                        <pic:blipFill>
                          <a:blip r:embed="rId125"/>
                          <a:stretch>
                            <a:fillRect/>
                          </a:stretch>
                        </pic:blipFill>
                        <pic:spPr>
                          <a:xfrm>
                            <a:off x="0" y="0"/>
                            <a:ext cx="2351114" cy="1800000"/>
                          </a:xfrm>
                          <a:prstGeom prst="rect">
                            <a:avLst/>
                          </a:prstGeom>
                        </pic:spPr>
                      </pic:pic>
                    </a:graphicData>
                  </a:graphic>
                </wp:inline>
              </w:drawing>
            </w:r>
          </w:p>
        </w:tc>
      </w:tr>
      <w:tr w:rsidR="002A5850" w14:paraId="70B12CA6" w14:textId="77777777" w:rsidTr="00944B9D">
        <w:tc>
          <w:tcPr>
            <w:tcW w:w="4099" w:type="dxa"/>
          </w:tcPr>
          <w:p w14:paraId="0B87003E" w14:textId="638F9331" w:rsidR="002A5850" w:rsidRPr="00881FBA" w:rsidRDefault="002A5850"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Heat </w:t>
            </w:r>
            <w:r w:rsidR="002B0BCA" w:rsidRPr="002B0BCA">
              <w:rPr>
                <w:rFonts w:ascii="Arial" w:eastAsiaTheme="minorEastAsia" w:hAnsi="Arial"/>
                <w:b/>
                <w:bCs/>
                <w:sz w:val="20"/>
                <w:lang w:eastAsia="zh-CN"/>
              </w:rPr>
              <w:t>transfer coefficient</w:t>
            </w:r>
          </w:p>
        </w:tc>
        <w:tc>
          <w:tcPr>
            <w:tcW w:w="4099" w:type="dxa"/>
          </w:tcPr>
          <w:p w14:paraId="552111B5" w14:textId="04F6A83A" w:rsidR="002A5850" w:rsidRPr="00881FBA" w:rsidRDefault="002A5850"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2B0BCA">
              <w:rPr>
                <w:rFonts w:ascii="Arial" w:eastAsiaTheme="minorEastAsia" w:hAnsi="Arial" w:hint="eastAsia"/>
                <w:b/>
                <w:bCs/>
                <w:sz w:val="20"/>
                <w:lang w:eastAsia="zh-CN"/>
              </w:rPr>
              <w:t>H</w:t>
            </w:r>
            <w:r w:rsidR="002B0BCA" w:rsidRPr="002B0BCA">
              <w:rPr>
                <w:rFonts w:ascii="Arial" w:eastAsiaTheme="minorEastAsia" w:hAnsi="Arial"/>
                <w:b/>
                <w:bCs/>
                <w:sz w:val="20"/>
                <w:lang w:eastAsia="zh-CN"/>
              </w:rPr>
              <w:t>eat flux</w:t>
            </w:r>
          </w:p>
        </w:tc>
      </w:tr>
      <w:tr w:rsidR="002A5850" w14:paraId="344FB240" w14:textId="77777777" w:rsidTr="00944B9D">
        <w:tc>
          <w:tcPr>
            <w:tcW w:w="8198" w:type="dxa"/>
            <w:gridSpan w:val="2"/>
          </w:tcPr>
          <w:p w14:paraId="580AE067" w14:textId="5EB61DF8" w:rsidR="002A5850" w:rsidRPr="00881FBA" w:rsidRDefault="002A5850"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DA53BC">
              <w:rPr>
                <w:rFonts w:ascii="Arial" w:eastAsiaTheme="minorEastAsia" w:hAnsi="Arial" w:hint="eastAsia"/>
                <w:b/>
                <w:bCs/>
                <w:sz w:val="20"/>
                <w:lang w:eastAsia="zh-CN"/>
              </w:rPr>
              <w:t>8</w:t>
            </w:r>
            <w:r w:rsidRPr="00192972">
              <w:rPr>
                <w:rFonts w:ascii="Arial" w:eastAsiaTheme="minorEastAsia" w:hAnsi="Arial" w:hint="eastAsia"/>
                <w:b/>
                <w:bCs/>
                <w:sz w:val="20"/>
                <w:lang w:eastAsia="zh-CN"/>
              </w:rPr>
              <w:t xml:space="preserve"> </w:t>
            </w:r>
            <w:r w:rsidR="002B0BCA" w:rsidRPr="002B0BCA">
              <w:rPr>
                <w:rFonts w:ascii="Arial" w:eastAsiaTheme="minorEastAsia" w:hAnsi="Arial"/>
                <w:b/>
                <w:bCs/>
                <w:sz w:val="20"/>
                <w:lang w:eastAsia="zh-CN"/>
              </w:rPr>
              <w:t>Heat transfer coefficient and heat flux under different intake pressures</w:t>
            </w:r>
          </w:p>
        </w:tc>
      </w:tr>
    </w:tbl>
    <w:p w14:paraId="7163AA5D" w14:textId="77777777" w:rsidR="006C1B82" w:rsidRPr="00AB1F59" w:rsidRDefault="006C1B82" w:rsidP="00AB1F59">
      <w:pPr>
        <w:jc w:val="both"/>
        <w:rPr>
          <w:rFonts w:ascii="Arial" w:hAnsi="Arial" w:cs="Arial"/>
          <w:lang w:eastAsia="zh-CN"/>
        </w:rPr>
      </w:pPr>
    </w:p>
    <w:p w14:paraId="43044A7F" w14:textId="0DF82292" w:rsidR="00F8167C" w:rsidRPr="00AB1F59" w:rsidRDefault="00F8167C" w:rsidP="00742497">
      <w:pPr>
        <w:jc w:val="both"/>
        <w:rPr>
          <w:rFonts w:ascii="Arial" w:hAnsi="Arial" w:cs="Arial"/>
          <w:lang w:eastAsia="zh-CN"/>
        </w:rPr>
      </w:pPr>
      <w:r w:rsidRPr="00AB1F59">
        <w:rPr>
          <w:rFonts w:ascii="Arial" w:hAnsi="Arial" w:cs="Arial"/>
          <w:lang w:eastAsia="zh-CN"/>
        </w:rPr>
        <w:t xml:space="preserve">Figure </w:t>
      </w:r>
      <w:r w:rsidR="00E06928">
        <w:rPr>
          <w:rFonts w:ascii="Arial" w:hAnsi="Arial" w:cs="Arial" w:hint="eastAsia"/>
          <w:lang w:eastAsia="zh-CN"/>
        </w:rPr>
        <w:t>9</w:t>
      </w:r>
      <w:r w:rsidRPr="00AB1F59">
        <w:rPr>
          <w:rFonts w:ascii="Arial" w:hAnsi="Arial" w:cs="Arial"/>
          <w:lang w:eastAsia="zh-CN"/>
        </w:rPr>
        <w:t xml:space="preserve">(a) shows identical variation trends of total heat transfer under various conditions. The value declines to negative range in early and </w:t>
      </w:r>
      <w:proofErr w:type="spellStart"/>
      <w:r w:rsidRPr="00AB1F59">
        <w:rPr>
          <w:rFonts w:ascii="Arial" w:hAnsi="Arial" w:cs="Arial"/>
          <w:lang w:eastAsia="zh-CN"/>
        </w:rPr>
        <w:t>mid compression</w:t>
      </w:r>
      <w:proofErr w:type="spellEnd"/>
      <w:r w:rsidRPr="00AB1F59">
        <w:rPr>
          <w:rFonts w:ascii="Arial" w:hAnsi="Arial" w:cs="Arial"/>
          <w:lang w:eastAsia="zh-CN"/>
        </w:rPr>
        <w:t>, rises sharply near top dead center and turns positive at 374–375°ECA. It keeps growing at a slower rate and finally levels off in expansion stage. Weak heat transfer occurs before combustion, while concentrated heat release elevates in-cylinder thermodynamic parameters and flow turbulence, greatly boosting heat exchange between gas and chamber wall.</w:t>
      </w:r>
    </w:p>
    <w:p w14:paraId="16AAC8A0" w14:textId="77777777" w:rsidR="00F8167C" w:rsidRPr="00AB1F59" w:rsidRDefault="00F8167C" w:rsidP="00AB1F59">
      <w:pPr>
        <w:jc w:val="both"/>
        <w:rPr>
          <w:rFonts w:ascii="Arial" w:hAnsi="Arial" w:cs="Arial"/>
          <w:lang w:eastAsia="zh-CN"/>
        </w:rPr>
      </w:pPr>
    </w:p>
    <w:p w14:paraId="30DF577A" w14:textId="77777777" w:rsidR="00F8167C" w:rsidRPr="00AB1F59" w:rsidRDefault="00F8167C" w:rsidP="00AB1F59">
      <w:pPr>
        <w:jc w:val="both"/>
        <w:rPr>
          <w:rFonts w:ascii="Arial" w:hAnsi="Arial" w:cs="Arial"/>
          <w:lang w:eastAsia="zh-CN"/>
        </w:rPr>
      </w:pPr>
      <w:r w:rsidRPr="00AB1F59">
        <w:rPr>
          <w:rFonts w:ascii="Arial" w:hAnsi="Arial" w:cs="Arial"/>
          <w:lang w:eastAsia="zh-CN"/>
        </w:rPr>
        <w:t>The final stable total heat transfer reaches 35.72 J, 36.93 J, 37.65 J, 38.29 J and 38.83 J at intake pressures of 0.10 MPa, 0.12 MPa, 0.14 MPa, 0.16 MPa and 0.18 MPa respectively. The minimum value also rises with increased intake pressure. The overall curve shifts upward and the gap between different conditions widens after 380°ECA, proving higher intake pressure raises both instantaneous and cumulative heat transfer capacity.</w:t>
      </w:r>
    </w:p>
    <w:p w14:paraId="032BA363" w14:textId="77777777" w:rsidR="00F8167C" w:rsidRPr="00AB1F59" w:rsidRDefault="00F8167C" w:rsidP="00AB1F59">
      <w:pPr>
        <w:jc w:val="both"/>
        <w:rPr>
          <w:rFonts w:ascii="Arial" w:hAnsi="Arial" w:cs="Arial"/>
          <w:lang w:eastAsia="zh-CN"/>
        </w:rPr>
      </w:pPr>
    </w:p>
    <w:p w14:paraId="0DE03E8C" w14:textId="209AA3DC" w:rsidR="002B0BCA" w:rsidRPr="00AB1F59" w:rsidRDefault="00F8167C" w:rsidP="00AB1F59">
      <w:pPr>
        <w:jc w:val="both"/>
        <w:rPr>
          <w:rFonts w:ascii="Arial" w:hAnsi="Arial" w:cs="Arial"/>
          <w:lang w:eastAsia="zh-CN"/>
        </w:rPr>
      </w:pPr>
      <w:r w:rsidRPr="00AB1F59">
        <w:rPr>
          <w:rFonts w:ascii="Arial" w:hAnsi="Arial" w:cs="Arial"/>
          <w:lang w:eastAsia="zh-CN"/>
        </w:rPr>
        <w:t xml:space="preserve">Figure </w:t>
      </w:r>
      <w:r w:rsidR="00E06928">
        <w:rPr>
          <w:rFonts w:ascii="Arial" w:hAnsi="Arial" w:cs="Arial" w:hint="eastAsia"/>
          <w:lang w:eastAsia="zh-CN"/>
        </w:rPr>
        <w:t>9</w:t>
      </w:r>
      <w:r w:rsidRPr="00AB1F59">
        <w:rPr>
          <w:rFonts w:ascii="Arial" w:hAnsi="Arial" w:cs="Arial"/>
          <w:lang w:eastAsia="zh-CN"/>
        </w:rPr>
        <w:t>(b) intuitively presents the final total heat transfer values, which increase mildly and monotonously with growing intake pressure. Elevated mixture density, temperature and pressure strengthen convective heat transfer, leading to higher heat loss. The dynamic evolution and final quantitative results mutually verify that intake pressure exerts obvious effects on total heat transfer. Higher intake pressure improves combustion performance yet aggravates wall heat loss, which agrees well with the previous variation rules of heat transfer coefficient and heat flux.</w:t>
      </w:r>
    </w:p>
    <w:p w14:paraId="3DA8D2B6" w14:textId="77777777" w:rsidR="00742497" w:rsidRPr="00AB1F59" w:rsidRDefault="00742497"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742497" w14:paraId="71FF2C15" w14:textId="77777777" w:rsidTr="00944B9D">
        <w:tc>
          <w:tcPr>
            <w:tcW w:w="4099" w:type="dxa"/>
          </w:tcPr>
          <w:p w14:paraId="66911A5B" w14:textId="688F19E7" w:rsidR="00742497" w:rsidRDefault="007C05B8" w:rsidP="00944B9D">
            <w:pPr>
              <w:jc w:val="center"/>
              <w:rPr>
                <w:lang w:eastAsia="zh-CN"/>
              </w:rPr>
            </w:pPr>
            <w:r w:rsidRPr="007C05B8">
              <w:rPr>
                <w:noProof/>
                <w:lang w:eastAsia="zh-CN"/>
              </w:rPr>
              <w:drawing>
                <wp:inline distT="0" distB="0" distL="0" distR="0" wp14:anchorId="54E1B24C" wp14:editId="0C3CAFE1">
                  <wp:extent cx="2351114" cy="1800000"/>
                  <wp:effectExtent l="0" t="0" r="0" b="0"/>
                  <wp:docPr id="915753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3266" name=""/>
                          <pic:cNvPicPr/>
                        </pic:nvPicPr>
                        <pic:blipFill>
                          <a:blip r:embed="rId126"/>
                          <a:stretch>
                            <a:fillRect/>
                          </a:stretch>
                        </pic:blipFill>
                        <pic:spPr>
                          <a:xfrm>
                            <a:off x="0" y="0"/>
                            <a:ext cx="2351114" cy="1800000"/>
                          </a:xfrm>
                          <a:prstGeom prst="rect">
                            <a:avLst/>
                          </a:prstGeom>
                        </pic:spPr>
                      </pic:pic>
                    </a:graphicData>
                  </a:graphic>
                </wp:inline>
              </w:drawing>
            </w:r>
          </w:p>
        </w:tc>
        <w:tc>
          <w:tcPr>
            <w:tcW w:w="4099" w:type="dxa"/>
          </w:tcPr>
          <w:p w14:paraId="67ACF9FC" w14:textId="6F0020CB" w:rsidR="00742497" w:rsidRDefault="00F72BEB" w:rsidP="00944B9D">
            <w:pPr>
              <w:jc w:val="center"/>
              <w:rPr>
                <w:lang w:eastAsia="zh-CN"/>
              </w:rPr>
            </w:pPr>
            <w:r w:rsidRPr="00F72BEB">
              <w:rPr>
                <w:noProof/>
                <w:lang w:eastAsia="zh-CN"/>
              </w:rPr>
              <w:drawing>
                <wp:inline distT="0" distB="0" distL="0" distR="0" wp14:anchorId="72F7119B" wp14:editId="242BD592">
                  <wp:extent cx="2351114" cy="1800000"/>
                  <wp:effectExtent l="0" t="0" r="0" b="0"/>
                  <wp:docPr id="32367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77787" name=""/>
                          <pic:cNvPicPr/>
                        </pic:nvPicPr>
                        <pic:blipFill>
                          <a:blip r:embed="rId127"/>
                          <a:stretch>
                            <a:fillRect/>
                          </a:stretch>
                        </pic:blipFill>
                        <pic:spPr>
                          <a:xfrm>
                            <a:off x="0" y="0"/>
                            <a:ext cx="2351114" cy="1800000"/>
                          </a:xfrm>
                          <a:prstGeom prst="rect">
                            <a:avLst/>
                          </a:prstGeom>
                        </pic:spPr>
                      </pic:pic>
                    </a:graphicData>
                  </a:graphic>
                </wp:inline>
              </w:drawing>
            </w:r>
          </w:p>
        </w:tc>
      </w:tr>
      <w:tr w:rsidR="00742497" w14:paraId="0D6144F5" w14:textId="77777777" w:rsidTr="00944B9D">
        <w:tc>
          <w:tcPr>
            <w:tcW w:w="4099" w:type="dxa"/>
          </w:tcPr>
          <w:p w14:paraId="654B2547" w14:textId="1214BF8A" w:rsidR="00742497" w:rsidRPr="00881FBA" w:rsidRDefault="00742497"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w:t>
            </w:r>
            <w:r w:rsidR="00253B2B" w:rsidRPr="00253B2B">
              <w:rPr>
                <w:rFonts w:ascii="Arial" w:eastAsiaTheme="minorEastAsia" w:hAnsi="Arial"/>
                <w:b/>
                <w:bCs/>
                <w:sz w:val="20"/>
                <w:lang w:eastAsia="zh-CN"/>
              </w:rPr>
              <w:t>Total heat transfer curve</w:t>
            </w:r>
          </w:p>
        </w:tc>
        <w:tc>
          <w:tcPr>
            <w:tcW w:w="4099" w:type="dxa"/>
          </w:tcPr>
          <w:p w14:paraId="0EE1F42E" w14:textId="5CF56F42" w:rsidR="00742497" w:rsidRPr="00881FBA" w:rsidRDefault="00742497"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253B2B" w:rsidRPr="00253B2B">
              <w:rPr>
                <w:rFonts w:ascii="Arial" w:eastAsiaTheme="minorEastAsia" w:hAnsi="Arial"/>
                <w:b/>
                <w:bCs/>
                <w:sz w:val="20"/>
                <w:lang w:eastAsia="zh-CN"/>
              </w:rPr>
              <w:t>Bar graph of total heat transfer</w:t>
            </w:r>
          </w:p>
        </w:tc>
      </w:tr>
      <w:tr w:rsidR="00742497" w14:paraId="5E9AA3C4" w14:textId="77777777" w:rsidTr="00944B9D">
        <w:tc>
          <w:tcPr>
            <w:tcW w:w="8198" w:type="dxa"/>
            <w:gridSpan w:val="2"/>
          </w:tcPr>
          <w:p w14:paraId="679F1FFA" w14:textId="5C55FCF1" w:rsidR="00742497" w:rsidRPr="00881FBA" w:rsidRDefault="00742497"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DA53BC">
              <w:rPr>
                <w:rFonts w:ascii="Arial" w:eastAsiaTheme="minorEastAsia" w:hAnsi="Arial" w:hint="eastAsia"/>
                <w:b/>
                <w:bCs/>
                <w:sz w:val="20"/>
                <w:lang w:eastAsia="zh-CN"/>
              </w:rPr>
              <w:t>9</w:t>
            </w:r>
            <w:r w:rsidRPr="00192972">
              <w:rPr>
                <w:rFonts w:ascii="Arial" w:eastAsiaTheme="minorEastAsia" w:hAnsi="Arial" w:hint="eastAsia"/>
                <w:b/>
                <w:bCs/>
                <w:sz w:val="20"/>
                <w:lang w:eastAsia="zh-CN"/>
              </w:rPr>
              <w:t xml:space="preserve"> </w:t>
            </w:r>
            <w:r w:rsidR="00253B2B" w:rsidRPr="00253B2B">
              <w:rPr>
                <w:rFonts w:ascii="Arial" w:eastAsiaTheme="minorEastAsia" w:hAnsi="Arial"/>
                <w:b/>
                <w:bCs/>
                <w:sz w:val="20"/>
                <w:lang w:eastAsia="zh-CN"/>
              </w:rPr>
              <w:t>Total heat transfer under different inlet pressures</w:t>
            </w:r>
          </w:p>
        </w:tc>
      </w:tr>
    </w:tbl>
    <w:p w14:paraId="12E0B147" w14:textId="77777777" w:rsidR="00742497" w:rsidRDefault="00742497" w:rsidP="00F8167C">
      <w:pPr>
        <w:rPr>
          <w:lang w:eastAsia="zh-CN"/>
        </w:rPr>
      </w:pPr>
    </w:p>
    <w:p w14:paraId="5B4D2267" w14:textId="1ACEFC21" w:rsidR="0012033F" w:rsidRDefault="0012033F" w:rsidP="0012033F">
      <w:pPr>
        <w:pStyle w:val="Body"/>
        <w:spacing w:after="0"/>
        <w:jc w:val="left"/>
        <w:rPr>
          <w:rFonts w:ascii="Arial" w:hAnsi="Arial" w:cs="Arial"/>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 xml:space="preserve">3 </w:t>
      </w:r>
      <w:r>
        <w:rPr>
          <w:rFonts w:ascii="Arial" w:hAnsi="Arial" w:cs="Arial" w:hint="eastAsia"/>
          <w:b/>
          <w:sz w:val="22"/>
          <w:lang w:eastAsia="zh-CN"/>
        </w:rPr>
        <w:t>E</w:t>
      </w:r>
      <w:r w:rsidRPr="0012033F">
        <w:rPr>
          <w:rFonts w:ascii="Arial" w:hAnsi="Arial" w:cs="Arial"/>
          <w:b/>
          <w:sz w:val="22"/>
        </w:rPr>
        <w:t xml:space="preserve">nergy </w:t>
      </w:r>
      <w:r>
        <w:rPr>
          <w:rFonts w:ascii="Arial" w:hAnsi="Arial" w:cs="Arial" w:hint="eastAsia"/>
          <w:b/>
          <w:sz w:val="22"/>
          <w:lang w:eastAsia="zh-CN"/>
        </w:rPr>
        <w:t>C</w:t>
      </w:r>
      <w:r w:rsidRPr="0012033F">
        <w:rPr>
          <w:rFonts w:ascii="Arial" w:hAnsi="Arial" w:cs="Arial"/>
          <w:b/>
          <w:sz w:val="22"/>
        </w:rPr>
        <w:t>hange</w:t>
      </w:r>
    </w:p>
    <w:p w14:paraId="11EEBC53" w14:textId="77777777" w:rsidR="0012033F" w:rsidRPr="00AB1F59" w:rsidRDefault="0012033F" w:rsidP="00AB1F59">
      <w:pPr>
        <w:jc w:val="both"/>
        <w:rPr>
          <w:rFonts w:ascii="Arial" w:hAnsi="Arial" w:cs="Arial"/>
          <w:lang w:eastAsia="zh-CN"/>
        </w:rPr>
      </w:pPr>
    </w:p>
    <w:p w14:paraId="4A2DE852" w14:textId="061F2B58" w:rsidR="00921983" w:rsidRPr="00AB1F59" w:rsidRDefault="00921983" w:rsidP="00AB1F59">
      <w:pPr>
        <w:jc w:val="both"/>
        <w:rPr>
          <w:rFonts w:ascii="Arial" w:hAnsi="Arial" w:cs="Arial"/>
          <w:lang w:eastAsia="zh-CN"/>
        </w:rPr>
      </w:pPr>
      <w:r w:rsidRPr="00AB1F59">
        <w:rPr>
          <w:rFonts w:ascii="Arial" w:hAnsi="Arial" w:cs="Arial"/>
          <w:lang w:eastAsia="zh-CN"/>
        </w:rPr>
        <w:t xml:space="preserve">Figure </w:t>
      </w:r>
      <w:r w:rsidR="00E06928">
        <w:rPr>
          <w:rFonts w:ascii="Arial" w:hAnsi="Arial" w:cs="Arial" w:hint="eastAsia"/>
          <w:lang w:eastAsia="zh-CN"/>
        </w:rPr>
        <w:t>10</w:t>
      </w:r>
      <w:r w:rsidRPr="00AB1F59">
        <w:rPr>
          <w:rFonts w:ascii="Arial" w:hAnsi="Arial" w:cs="Arial"/>
          <w:lang w:eastAsia="zh-CN"/>
        </w:rPr>
        <w:t>(a) displays P-V indicator diagrams under different intake pressures. All curves follow similar trends. In the compression stroke, cylinder volume shrinks while pressure rises to the peak near the minimum volume, then drops during expansion. Differences mainly exist in the high-pressure small-volume zone, and curves tend to overlap in late expansion.</w:t>
      </w:r>
    </w:p>
    <w:p w14:paraId="5E365C57" w14:textId="77777777" w:rsidR="00921983" w:rsidRPr="00AB1F59" w:rsidRDefault="00921983" w:rsidP="00AB1F59">
      <w:pPr>
        <w:jc w:val="both"/>
        <w:rPr>
          <w:rFonts w:ascii="Arial" w:hAnsi="Arial" w:cs="Arial"/>
          <w:lang w:eastAsia="zh-CN"/>
        </w:rPr>
      </w:pPr>
    </w:p>
    <w:p w14:paraId="66816B8A" w14:textId="77777777" w:rsidR="00921983" w:rsidRPr="00AB1F59" w:rsidRDefault="00921983" w:rsidP="00AB1F59">
      <w:pPr>
        <w:jc w:val="both"/>
        <w:rPr>
          <w:rFonts w:ascii="Arial" w:hAnsi="Arial" w:cs="Arial"/>
          <w:lang w:eastAsia="zh-CN"/>
        </w:rPr>
      </w:pPr>
      <w:r w:rsidRPr="00AB1F59">
        <w:rPr>
          <w:rFonts w:ascii="Arial" w:hAnsi="Arial" w:cs="Arial"/>
          <w:lang w:eastAsia="zh-CN"/>
        </w:rPr>
        <w:t>As intake pressure rises from 0.10 MPa to 0.18 MPa, the P-V diagram shifts upward with enlarged enclosed area, which means increased single-cycle indicated work and mean indicated pressure. Higher intake pressure boosts power output, yet raises peak pressure and brings larger mechanical load and heat loss.</w:t>
      </w:r>
    </w:p>
    <w:p w14:paraId="0E078998" w14:textId="77777777" w:rsidR="00921983" w:rsidRPr="00AB1F59" w:rsidRDefault="00921983" w:rsidP="00AB1F59">
      <w:pPr>
        <w:jc w:val="both"/>
        <w:rPr>
          <w:rFonts w:ascii="Arial" w:hAnsi="Arial" w:cs="Arial"/>
          <w:lang w:eastAsia="zh-CN"/>
        </w:rPr>
      </w:pPr>
    </w:p>
    <w:p w14:paraId="52363461" w14:textId="4EA68934" w:rsidR="00921983" w:rsidRPr="00AB1F59" w:rsidRDefault="00921983" w:rsidP="00AB1F59">
      <w:pPr>
        <w:jc w:val="both"/>
        <w:rPr>
          <w:rFonts w:ascii="Arial" w:hAnsi="Arial" w:cs="Arial"/>
          <w:lang w:eastAsia="zh-CN"/>
        </w:rPr>
      </w:pPr>
      <w:r w:rsidRPr="00AB1F59">
        <w:rPr>
          <w:rFonts w:ascii="Arial" w:hAnsi="Arial" w:cs="Arial"/>
          <w:lang w:eastAsia="zh-CN"/>
        </w:rPr>
        <w:t xml:space="preserve">Indicated thermal efficiency reflects fuel energy conversion efficiency, and mean indicated pressure evaluates cylinder working capacity. Figure </w:t>
      </w:r>
      <w:r w:rsidR="00D23701">
        <w:rPr>
          <w:rFonts w:ascii="Arial" w:hAnsi="Arial" w:cs="Arial" w:hint="eastAsia"/>
          <w:lang w:eastAsia="zh-CN"/>
        </w:rPr>
        <w:t>10</w:t>
      </w:r>
      <w:r w:rsidRPr="00AB1F59">
        <w:rPr>
          <w:rFonts w:ascii="Arial" w:hAnsi="Arial" w:cs="Arial"/>
          <w:lang w:eastAsia="zh-CN"/>
        </w:rPr>
        <w:t>(b) shows both parameters rise with growing intake pressure. The mean indicated pressure reaches 0.5866 MPa, 0.6186 MPa, 0.6313 MPa, 0.6423 MPa and 0.6446 MPa correspondingly. The indicated thermal efficiency is 41.999%, 44.031%, 44.683%, 45.274% and 45.329%. Raised intake pressure optimizes combustion and energy utilization.</w:t>
      </w:r>
    </w:p>
    <w:p w14:paraId="048454DE" w14:textId="77777777" w:rsidR="00921983" w:rsidRPr="00AB1F59" w:rsidRDefault="00921983" w:rsidP="00AB1F59">
      <w:pPr>
        <w:jc w:val="both"/>
        <w:rPr>
          <w:rFonts w:ascii="Arial" w:hAnsi="Arial" w:cs="Arial"/>
          <w:lang w:eastAsia="zh-CN"/>
        </w:rPr>
      </w:pPr>
    </w:p>
    <w:p w14:paraId="51FE6E02" w14:textId="63B88424" w:rsidR="0012033F" w:rsidRPr="00AB1F59" w:rsidRDefault="00921983" w:rsidP="00F95AFD">
      <w:pPr>
        <w:jc w:val="both"/>
        <w:rPr>
          <w:rFonts w:ascii="Arial" w:hAnsi="Arial" w:cs="Arial"/>
          <w:lang w:eastAsia="zh-CN"/>
        </w:rPr>
      </w:pPr>
      <w:r w:rsidRPr="00AB1F59">
        <w:rPr>
          <w:rFonts w:ascii="Arial" w:hAnsi="Arial" w:cs="Arial"/>
          <w:lang w:eastAsia="zh-CN"/>
        </w:rPr>
        <w:t xml:space="preserve">Obvious growth occurs within 0.10–0.16 MPa, while the improvement slows down at 0.18 MPa. Proper intake pressure enhancement increases charge mass and strengthens combustion. Nevertheless, performance improvement becomes limited under high intake pressure. </w:t>
      </w:r>
      <w:r w:rsidRPr="00AB1F59">
        <w:rPr>
          <w:rFonts w:ascii="Arial" w:hAnsi="Arial" w:cs="Arial"/>
          <w:lang w:eastAsia="zh-CN"/>
        </w:rPr>
        <w:lastRenderedPageBreak/>
        <w:t>Generally, increasing intake pressure improves engine power and fuel economy with gradually reduced promotion effect at high pressure levels.</w:t>
      </w:r>
    </w:p>
    <w:p w14:paraId="276ACE1A" w14:textId="77777777" w:rsidR="0098606F" w:rsidRDefault="0098606F" w:rsidP="00921983">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921983" w14:paraId="7FE4C686" w14:textId="77777777" w:rsidTr="00944B9D">
        <w:tc>
          <w:tcPr>
            <w:tcW w:w="4099" w:type="dxa"/>
          </w:tcPr>
          <w:p w14:paraId="450E9A22" w14:textId="47A766BA" w:rsidR="00921983" w:rsidRDefault="001E5560" w:rsidP="00944B9D">
            <w:pPr>
              <w:jc w:val="center"/>
              <w:rPr>
                <w:lang w:eastAsia="zh-CN"/>
              </w:rPr>
            </w:pPr>
            <w:r w:rsidRPr="001E5560">
              <w:rPr>
                <w:noProof/>
                <w:lang w:eastAsia="zh-CN"/>
              </w:rPr>
              <w:drawing>
                <wp:inline distT="0" distB="0" distL="0" distR="0" wp14:anchorId="7C1CCA07" wp14:editId="037FDC7A">
                  <wp:extent cx="2351114" cy="1800000"/>
                  <wp:effectExtent l="0" t="0" r="0" b="0"/>
                  <wp:docPr id="551347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7138" name=""/>
                          <pic:cNvPicPr/>
                        </pic:nvPicPr>
                        <pic:blipFill>
                          <a:blip r:embed="rId128"/>
                          <a:stretch>
                            <a:fillRect/>
                          </a:stretch>
                        </pic:blipFill>
                        <pic:spPr>
                          <a:xfrm>
                            <a:off x="0" y="0"/>
                            <a:ext cx="2351114" cy="1800000"/>
                          </a:xfrm>
                          <a:prstGeom prst="rect">
                            <a:avLst/>
                          </a:prstGeom>
                        </pic:spPr>
                      </pic:pic>
                    </a:graphicData>
                  </a:graphic>
                </wp:inline>
              </w:drawing>
            </w:r>
          </w:p>
        </w:tc>
        <w:tc>
          <w:tcPr>
            <w:tcW w:w="4099" w:type="dxa"/>
          </w:tcPr>
          <w:p w14:paraId="5C3BDEF2" w14:textId="207590C0" w:rsidR="00921983" w:rsidRDefault="00D7060F" w:rsidP="00944B9D">
            <w:pPr>
              <w:jc w:val="center"/>
              <w:rPr>
                <w:lang w:eastAsia="zh-CN"/>
              </w:rPr>
            </w:pPr>
            <w:r w:rsidRPr="00D7060F">
              <w:rPr>
                <w:noProof/>
                <w:lang w:eastAsia="zh-CN"/>
              </w:rPr>
              <w:drawing>
                <wp:inline distT="0" distB="0" distL="0" distR="0" wp14:anchorId="593EE4CC" wp14:editId="66AC45CE">
                  <wp:extent cx="2351114" cy="1800000"/>
                  <wp:effectExtent l="0" t="0" r="0" b="0"/>
                  <wp:docPr id="538120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0840" name=""/>
                          <pic:cNvPicPr/>
                        </pic:nvPicPr>
                        <pic:blipFill>
                          <a:blip r:embed="rId129"/>
                          <a:stretch>
                            <a:fillRect/>
                          </a:stretch>
                        </pic:blipFill>
                        <pic:spPr>
                          <a:xfrm>
                            <a:off x="0" y="0"/>
                            <a:ext cx="2351114" cy="1800000"/>
                          </a:xfrm>
                          <a:prstGeom prst="rect">
                            <a:avLst/>
                          </a:prstGeom>
                        </pic:spPr>
                      </pic:pic>
                    </a:graphicData>
                  </a:graphic>
                </wp:inline>
              </w:drawing>
            </w:r>
          </w:p>
        </w:tc>
      </w:tr>
      <w:tr w:rsidR="00921983" w14:paraId="6CB14DBE" w14:textId="77777777" w:rsidTr="00944B9D">
        <w:tc>
          <w:tcPr>
            <w:tcW w:w="4099" w:type="dxa"/>
          </w:tcPr>
          <w:p w14:paraId="06A0F001" w14:textId="63D4D1D9" w:rsidR="00921983" w:rsidRPr="00881FBA" w:rsidRDefault="00921983"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w:t>
            </w:r>
            <w:r w:rsidR="00187EAB" w:rsidRPr="00187EAB">
              <w:rPr>
                <w:rFonts w:ascii="Arial" w:eastAsiaTheme="minorEastAsia" w:hAnsi="Arial"/>
                <w:b/>
                <w:bCs/>
                <w:sz w:val="20"/>
                <w:lang w:eastAsia="zh-CN"/>
              </w:rPr>
              <w:t>P-V indicator diagram</w:t>
            </w:r>
          </w:p>
        </w:tc>
        <w:tc>
          <w:tcPr>
            <w:tcW w:w="4099" w:type="dxa"/>
          </w:tcPr>
          <w:p w14:paraId="67240A70" w14:textId="77FE149A" w:rsidR="00921983" w:rsidRPr="00881FBA" w:rsidRDefault="00921983"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341CAF" w:rsidRPr="00341CAF">
              <w:rPr>
                <w:rFonts w:ascii="Arial" w:eastAsiaTheme="minorEastAsia" w:hAnsi="Arial"/>
                <w:b/>
                <w:bCs/>
                <w:sz w:val="20"/>
                <w:lang w:eastAsia="zh-CN"/>
              </w:rPr>
              <w:t>Average indicated pressure and indicated thermal efficiency</w:t>
            </w:r>
          </w:p>
        </w:tc>
      </w:tr>
      <w:tr w:rsidR="00921983" w14:paraId="4C28E67F" w14:textId="77777777" w:rsidTr="00944B9D">
        <w:tc>
          <w:tcPr>
            <w:tcW w:w="8198" w:type="dxa"/>
            <w:gridSpan w:val="2"/>
          </w:tcPr>
          <w:p w14:paraId="690050CE" w14:textId="428D9F3F" w:rsidR="00921983" w:rsidRPr="00881FBA" w:rsidRDefault="00921983"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DA53BC">
              <w:rPr>
                <w:rFonts w:ascii="Arial" w:eastAsiaTheme="minorEastAsia" w:hAnsi="Arial" w:hint="eastAsia"/>
                <w:b/>
                <w:bCs/>
                <w:sz w:val="20"/>
                <w:lang w:eastAsia="zh-CN"/>
              </w:rPr>
              <w:t>10</w:t>
            </w:r>
            <w:r w:rsidRPr="00192972">
              <w:rPr>
                <w:rFonts w:ascii="Arial" w:eastAsiaTheme="minorEastAsia" w:hAnsi="Arial" w:hint="eastAsia"/>
                <w:b/>
                <w:bCs/>
                <w:sz w:val="20"/>
                <w:lang w:eastAsia="zh-CN"/>
              </w:rPr>
              <w:t xml:space="preserve"> </w:t>
            </w:r>
            <w:r w:rsidR="0098606F" w:rsidRPr="0098606F">
              <w:rPr>
                <w:rFonts w:ascii="Arial" w:eastAsiaTheme="minorEastAsia" w:hAnsi="Arial"/>
                <w:b/>
                <w:bCs/>
                <w:sz w:val="20"/>
                <w:lang w:eastAsia="zh-CN"/>
              </w:rPr>
              <w:t>P-V diagram, average indicated pressure, and indicated thermal efficiency under different intake pressures</w:t>
            </w:r>
          </w:p>
        </w:tc>
      </w:tr>
    </w:tbl>
    <w:p w14:paraId="36E9793B" w14:textId="77777777" w:rsidR="00921983" w:rsidRDefault="00921983" w:rsidP="00921983">
      <w:pPr>
        <w:rPr>
          <w:lang w:eastAsia="zh-CN"/>
        </w:rPr>
      </w:pPr>
    </w:p>
    <w:p w14:paraId="6EB96AE2" w14:textId="5C7DADC7" w:rsidR="008C6788" w:rsidRPr="005D6BDB" w:rsidRDefault="008D02D4" w:rsidP="00921983">
      <w:pPr>
        <w:rPr>
          <w:rFonts w:ascii="Arial" w:hAnsi="Arial"/>
          <w:b/>
          <w:sz w:val="22"/>
          <w:lang w:eastAsia="zh-CN"/>
        </w:rPr>
      </w:pPr>
      <w:r w:rsidRPr="005D6BDB">
        <w:rPr>
          <w:rFonts w:ascii="Arial" w:hAnsi="Arial" w:hint="eastAsia"/>
          <w:b/>
          <w:sz w:val="22"/>
          <w:lang w:eastAsia="zh-CN"/>
        </w:rPr>
        <w:t xml:space="preserve">4.4 </w:t>
      </w:r>
      <w:r w:rsidR="005D6BDB" w:rsidRPr="005D6BDB">
        <w:rPr>
          <w:rFonts w:ascii="Arial" w:hAnsi="Arial" w:hint="eastAsia"/>
          <w:b/>
          <w:sz w:val="22"/>
          <w:lang w:eastAsia="zh-CN"/>
        </w:rPr>
        <w:t>Emission C</w:t>
      </w:r>
      <w:r w:rsidR="005D6BDB" w:rsidRPr="005D6BDB">
        <w:rPr>
          <w:rFonts w:ascii="Arial" w:hAnsi="Arial"/>
          <w:b/>
          <w:sz w:val="22"/>
          <w:lang w:eastAsia="zh-CN"/>
        </w:rPr>
        <w:t>haracteristics</w:t>
      </w:r>
    </w:p>
    <w:p w14:paraId="40C33FCC" w14:textId="77777777" w:rsidR="008C6788" w:rsidRDefault="008C6788" w:rsidP="00441B6F">
      <w:pPr>
        <w:pStyle w:val="Body"/>
        <w:spacing w:after="0"/>
        <w:rPr>
          <w:rFonts w:ascii="Arial" w:hAnsi="Arial" w:cs="Arial"/>
          <w:lang w:eastAsia="zh-CN"/>
        </w:rPr>
      </w:pPr>
    </w:p>
    <w:p w14:paraId="085DF2FC" w14:textId="7076339B" w:rsidR="002D7DA6" w:rsidRPr="00F95AFD" w:rsidRDefault="002D7DA6" w:rsidP="00F95AFD">
      <w:pPr>
        <w:jc w:val="both"/>
        <w:rPr>
          <w:rFonts w:ascii="Arial" w:hAnsi="Arial"/>
          <w:lang w:eastAsia="zh-CN"/>
        </w:rPr>
      </w:pPr>
      <w:r w:rsidRPr="00F95AFD">
        <w:rPr>
          <w:rFonts w:ascii="Arial" w:hAnsi="Arial"/>
          <w:lang w:eastAsia="zh-CN"/>
        </w:rPr>
        <w:t xml:space="preserve">Figure </w:t>
      </w:r>
      <w:r w:rsidR="00F95AFD">
        <w:rPr>
          <w:rFonts w:ascii="Arial" w:hAnsi="Arial" w:hint="eastAsia"/>
          <w:lang w:eastAsia="zh-CN"/>
        </w:rPr>
        <w:t>1</w:t>
      </w:r>
      <w:r w:rsidR="00D23701">
        <w:rPr>
          <w:rFonts w:ascii="Arial" w:hAnsi="Arial" w:hint="eastAsia"/>
          <w:lang w:eastAsia="zh-CN"/>
        </w:rPr>
        <w:t>1</w:t>
      </w:r>
      <w:r w:rsidR="00F95AFD">
        <w:rPr>
          <w:rFonts w:ascii="Arial" w:hAnsi="Arial" w:hint="eastAsia"/>
          <w:lang w:eastAsia="zh-CN"/>
        </w:rPr>
        <w:t>(a)</w:t>
      </w:r>
      <w:r w:rsidRPr="00F95AFD">
        <w:rPr>
          <w:rFonts w:ascii="Arial" w:hAnsi="Arial"/>
          <w:lang w:eastAsia="zh-CN"/>
        </w:rPr>
        <w:t xml:space="preserve"> illustrates NO mass fraction variations against crank angle under different intake pressures. NO fraction remains zero in early compression and initial combustion due to low in-cylinder temperature incapable of NO formation. It rises sharply around 380° ECA and then stays stable, revealing NO is mainly produced in high-temperature zones after heat release. Intake pressure barely changes the initial formation timing.</w:t>
      </w:r>
    </w:p>
    <w:p w14:paraId="173F65E5" w14:textId="77777777" w:rsidR="002D7DA6" w:rsidRPr="00F95AFD" w:rsidRDefault="002D7DA6" w:rsidP="00F95AFD">
      <w:pPr>
        <w:jc w:val="both"/>
        <w:rPr>
          <w:rFonts w:ascii="Arial" w:hAnsi="Arial"/>
          <w:lang w:eastAsia="zh-CN"/>
        </w:rPr>
      </w:pPr>
    </w:p>
    <w:p w14:paraId="7634CC71" w14:textId="76B4B267" w:rsidR="002D7DA6" w:rsidRPr="00F95AFD" w:rsidRDefault="002D7DA6" w:rsidP="00F95AFD">
      <w:pPr>
        <w:jc w:val="both"/>
        <w:rPr>
          <w:rFonts w:ascii="Arial" w:hAnsi="Arial"/>
          <w:lang w:eastAsia="zh-CN"/>
        </w:rPr>
      </w:pPr>
      <w:r w:rsidRPr="00F95AFD">
        <w:rPr>
          <w:rFonts w:ascii="Arial" w:hAnsi="Arial"/>
          <w:lang w:eastAsia="zh-CN"/>
        </w:rPr>
        <w:t>The stable NO mass fraction rises steadily as intake pressure increases from 0.10 MPa to 0.18 MPa, with values of 2.664</w:t>
      </w:r>
      <w:r w:rsidR="00BB0CFB">
        <w:rPr>
          <w:rFonts w:ascii="Arial" w:hAnsi="Arial" w:hint="eastAsia"/>
          <w:lang w:eastAsia="zh-CN"/>
        </w:rPr>
        <w:t>×</w:t>
      </w:r>
      <w:r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2.811</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2.899</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2.973</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xml:space="preserve"> and 3.043</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-4</w:t>
      </w:r>
      <w:r w:rsidRPr="00F95AFD">
        <w:rPr>
          <w:rFonts w:ascii="Arial" w:hAnsi="Arial"/>
          <w:lang w:eastAsia="zh-CN"/>
        </w:rPr>
        <w:t xml:space="preserve"> respectively. Higher intake pressure expands high-temperature regions and intensifies combustion, leading to increased NO emissions.</w:t>
      </w:r>
    </w:p>
    <w:p w14:paraId="62940B7A" w14:textId="77777777" w:rsidR="002D7DA6" w:rsidRPr="00F95AFD" w:rsidRDefault="002D7DA6" w:rsidP="00F95AFD">
      <w:pPr>
        <w:jc w:val="both"/>
        <w:rPr>
          <w:rFonts w:ascii="Arial" w:hAnsi="Arial"/>
          <w:lang w:eastAsia="zh-CN"/>
        </w:rPr>
      </w:pPr>
    </w:p>
    <w:p w14:paraId="64892E0C" w14:textId="74FBB4AD" w:rsidR="002D7DA6" w:rsidRPr="00F95AFD" w:rsidRDefault="002D7DA6" w:rsidP="00F95AFD">
      <w:pPr>
        <w:jc w:val="both"/>
        <w:rPr>
          <w:rFonts w:ascii="Arial" w:hAnsi="Arial"/>
          <w:lang w:eastAsia="zh-CN"/>
        </w:rPr>
      </w:pPr>
      <w:r w:rsidRPr="00F95AFD">
        <w:rPr>
          <w:rFonts w:ascii="Arial" w:hAnsi="Arial"/>
          <w:lang w:eastAsia="zh-CN"/>
        </w:rPr>
        <w:t xml:space="preserve">Figure </w:t>
      </w:r>
      <w:r w:rsidR="00F95AFD">
        <w:rPr>
          <w:rFonts w:ascii="Arial" w:hAnsi="Arial" w:hint="eastAsia"/>
          <w:lang w:eastAsia="zh-CN"/>
        </w:rPr>
        <w:t>1</w:t>
      </w:r>
      <w:r w:rsidR="00D23701">
        <w:rPr>
          <w:rFonts w:ascii="Arial" w:hAnsi="Arial" w:hint="eastAsia"/>
          <w:lang w:eastAsia="zh-CN"/>
        </w:rPr>
        <w:t>1</w:t>
      </w:r>
      <w:r w:rsidR="00F95AFD">
        <w:rPr>
          <w:rFonts w:ascii="Arial" w:hAnsi="Arial" w:hint="eastAsia"/>
          <w:lang w:eastAsia="zh-CN"/>
        </w:rPr>
        <w:t>(b)</w:t>
      </w:r>
      <w:r w:rsidRPr="00F95AFD">
        <w:rPr>
          <w:rFonts w:ascii="Arial" w:hAnsi="Arial"/>
          <w:lang w:eastAsia="zh-CN"/>
        </w:rPr>
        <w:t xml:space="preserve"> depicts soot mass fraction evolution under varied intake pressures. Soot content keeps zero before combustion, surges to the peak near 380° ECA, then declines and levels off. Soot generation and oxidation mainly occur during main combustion, and peak occurrence angle is insensitive to intake pressure change.</w:t>
      </w:r>
    </w:p>
    <w:p w14:paraId="20704EB1" w14:textId="77777777" w:rsidR="00F95AFD" w:rsidRPr="00F95AFD" w:rsidRDefault="00F95AFD" w:rsidP="00F95AFD">
      <w:pPr>
        <w:jc w:val="both"/>
        <w:rPr>
          <w:rFonts w:ascii="Arial" w:hAnsi="Arial"/>
          <w:lang w:eastAsia="zh-CN"/>
        </w:rPr>
      </w:pPr>
    </w:p>
    <w:p w14:paraId="25942870" w14:textId="1363237B" w:rsidR="002D7DA6" w:rsidRDefault="002D7DA6" w:rsidP="002D7DA6">
      <w:pPr>
        <w:pStyle w:val="Body"/>
        <w:spacing w:after="0"/>
        <w:rPr>
          <w:rFonts w:ascii="Arial" w:hAnsi="Arial" w:cs="Arial"/>
          <w:lang w:eastAsia="zh-CN"/>
        </w:rPr>
      </w:pPr>
      <w:r w:rsidRPr="002D7DA6">
        <w:rPr>
          <w:rFonts w:ascii="Arial" w:hAnsi="Arial" w:cs="Arial"/>
          <w:lang w:eastAsia="zh-CN"/>
        </w:rPr>
        <w:t>Peak soot mass fraction drops continuously with rising intake pressure, recorded as 1.857</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1.552</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1.330</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1.141</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xml:space="preserve"> and 9.556</w:t>
      </w:r>
      <w:r w:rsidR="00C1667F">
        <w:rPr>
          <w:rFonts w:ascii="Arial" w:hAnsi="Arial" w:hint="eastAsia"/>
          <w:lang w:eastAsia="zh-CN"/>
        </w:rPr>
        <w:t>×</w:t>
      </w:r>
      <w:r w:rsidR="00C1667F" w:rsidRPr="00F95AFD">
        <w:rPr>
          <w:rFonts w:ascii="Arial" w:hAnsi="Arial"/>
          <w:lang w:eastAsia="zh-CN"/>
        </w:rPr>
        <w:t>10</w:t>
      </w:r>
      <w:r w:rsidR="00C1667F" w:rsidRPr="00BB0CFB">
        <w:rPr>
          <w:rFonts w:ascii="Arial" w:hAnsi="Arial" w:hint="eastAsia"/>
          <w:vertAlign w:val="superscript"/>
          <w:lang w:eastAsia="zh-CN"/>
        </w:rPr>
        <w:t>-1</w:t>
      </w:r>
      <w:r w:rsidR="00C1667F">
        <w:rPr>
          <w:rFonts w:ascii="Arial" w:hAnsi="Arial" w:hint="eastAsia"/>
          <w:vertAlign w:val="superscript"/>
          <w:lang w:eastAsia="zh-CN"/>
        </w:rPr>
        <w:t>3</w:t>
      </w:r>
      <w:r w:rsidRPr="002D7DA6">
        <w:rPr>
          <w:rFonts w:ascii="Arial" w:hAnsi="Arial" w:cs="Arial"/>
          <w:lang w:eastAsia="zh-CN"/>
        </w:rPr>
        <w:t>. Residual soot also presents a downward trend. Elevated air charge provides sufficient oxygen, optimizes mixture formation and oxidation environment, restrains soot generation and accelerates soot oxidation, thus reducing soot emissions.</w:t>
      </w:r>
    </w:p>
    <w:p w14:paraId="60B5A2E8" w14:textId="77777777" w:rsidR="00C1667F" w:rsidRDefault="00C1667F" w:rsidP="002D7DA6">
      <w:pPr>
        <w:pStyle w:val="Body"/>
        <w:spacing w:after="0"/>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C1667F" w14:paraId="14802ECE" w14:textId="77777777" w:rsidTr="00944B9D">
        <w:tc>
          <w:tcPr>
            <w:tcW w:w="4099" w:type="dxa"/>
          </w:tcPr>
          <w:p w14:paraId="69854B5A" w14:textId="18B97339" w:rsidR="00C1667F" w:rsidRDefault="00393738" w:rsidP="00944B9D">
            <w:pPr>
              <w:jc w:val="center"/>
              <w:rPr>
                <w:lang w:eastAsia="zh-CN"/>
              </w:rPr>
            </w:pPr>
            <w:r w:rsidRPr="00393738">
              <w:rPr>
                <w:noProof/>
                <w:lang w:eastAsia="zh-CN"/>
              </w:rPr>
              <w:lastRenderedPageBreak/>
              <w:drawing>
                <wp:inline distT="0" distB="0" distL="0" distR="0" wp14:anchorId="1D8618BE" wp14:editId="779F7B50">
                  <wp:extent cx="2351114" cy="1800000"/>
                  <wp:effectExtent l="0" t="0" r="0" b="0"/>
                  <wp:docPr id="1487965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5231" name=""/>
                          <pic:cNvPicPr/>
                        </pic:nvPicPr>
                        <pic:blipFill>
                          <a:blip r:embed="rId130"/>
                          <a:stretch>
                            <a:fillRect/>
                          </a:stretch>
                        </pic:blipFill>
                        <pic:spPr>
                          <a:xfrm>
                            <a:off x="0" y="0"/>
                            <a:ext cx="2351114" cy="1800000"/>
                          </a:xfrm>
                          <a:prstGeom prst="rect">
                            <a:avLst/>
                          </a:prstGeom>
                        </pic:spPr>
                      </pic:pic>
                    </a:graphicData>
                  </a:graphic>
                </wp:inline>
              </w:drawing>
            </w:r>
          </w:p>
        </w:tc>
        <w:tc>
          <w:tcPr>
            <w:tcW w:w="4099" w:type="dxa"/>
          </w:tcPr>
          <w:p w14:paraId="39A89C47" w14:textId="6EEEDB77" w:rsidR="00C1667F" w:rsidRDefault="00393738" w:rsidP="00944B9D">
            <w:pPr>
              <w:jc w:val="center"/>
              <w:rPr>
                <w:lang w:eastAsia="zh-CN"/>
              </w:rPr>
            </w:pPr>
            <w:r w:rsidRPr="00393738">
              <w:rPr>
                <w:noProof/>
                <w:lang w:eastAsia="zh-CN"/>
              </w:rPr>
              <w:drawing>
                <wp:inline distT="0" distB="0" distL="0" distR="0" wp14:anchorId="5C66573E" wp14:editId="79BD5625">
                  <wp:extent cx="2351114" cy="1800000"/>
                  <wp:effectExtent l="0" t="0" r="0" b="0"/>
                  <wp:docPr id="1180334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4890" name=""/>
                          <pic:cNvPicPr/>
                        </pic:nvPicPr>
                        <pic:blipFill>
                          <a:blip r:embed="rId131"/>
                          <a:stretch>
                            <a:fillRect/>
                          </a:stretch>
                        </pic:blipFill>
                        <pic:spPr>
                          <a:xfrm>
                            <a:off x="0" y="0"/>
                            <a:ext cx="2351114" cy="1800000"/>
                          </a:xfrm>
                          <a:prstGeom prst="rect">
                            <a:avLst/>
                          </a:prstGeom>
                        </pic:spPr>
                      </pic:pic>
                    </a:graphicData>
                  </a:graphic>
                </wp:inline>
              </w:drawing>
            </w:r>
          </w:p>
        </w:tc>
      </w:tr>
      <w:tr w:rsidR="00C1667F" w14:paraId="294C39C2" w14:textId="77777777" w:rsidTr="00944B9D">
        <w:tc>
          <w:tcPr>
            <w:tcW w:w="4099" w:type="dxa"/>
          </w:tcPr>
          <w:p w14:paraId="1490549A" w14:textId="7E1A1BC4" w:rsidR="00C1667F" w:rsidRPr="00881FBA" w:rsidRDefault="00C1667F"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097CEC">
              <w:t xml:space="preserve"> </w:t>
            </w:r>
            <w:r w:rsidR="00097CEC" w:rsidRPr="00097CEC">
              <w:rPr>
                <w:rFonts w:ascii="Arial" w:eastAsiaTheme="minorEastAsia" w:hAnsi="Arial"/>
                <w:b/>
                <w:bCs/>
                <w:sz w:val="20"/>
                <w:lang w:eastAsia="zh-CN"/>
              </w:rPr>
              <w:t>NO quality score</w:t>
            </w:r>
          </w:p>
        </w:tc>
        <w:tc>
          <w:tcPr>
            <w:tcW w:w="4099" w:type="dxa"/>
          </w:tcPr>
          <w:p w14:paraId="000A6187" w14:textId="653403F6" w:rsidR="00C1667F" w:rsidRPr="00881FBA" w:rsidRDefault="00C1667F"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393738" w:rsidRPr="00393738">
              <w:rPr>
                <w:rFonts w:ascii="Arial" w:eastAsiaTheme="minorEastAsia" w:hAnsi="Arial"/>
                <w:b/>
                <w:bCs/>
                <w:sz w:val="20"/>
                <w:lang w:eastAsia="zh-CN"/>
              </w:rPr>
              <w:t>Soot quality score</w:t>
            </w:r>
          </w:p>
        </w:tc>
      </w:tr>
      <w:tr w:rsidR="00C1667F" w14:paraId="68418E29" w14:textId="77777777" w:rsidTr="00944B9D">
        <w:tc>
          <w:tcPr>
            <w:tcW w:w="8198" w:type="dxa"/>
            <w:gridSpan w:val="2"/>
          </w:tcPr>
          <w:p w14:paraId="6C50866A" w14:textId="32EEFD71" w:rsidR="00C1667F" w:rsidRPr="00881FBA" w:rsidRDefault="00C1667F"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097CEC">
              <w:rPr>
                <w:rFonts w:ascii="Arial" w:eastAsiaTheme="minorEastAsia" w:hAnsi="Arial" w:hint="eastAsia"/>
                <w:b/>
                <w:bCs/>
                <w:sz w:val="20"/>
                <w:lang w:eastAsia="zh-CN"/>
              </w:rPr>
              <w:t>1</w:t>
            </w:r>
            <w:r w:rsidR="00DA53BC">
              <w:rPr>
                <w:rFonts w:ascii="Arial" w:eastAsiaTheme="minorEastAsia" w:hAnsi="Arial" w:hint="eastAsia"/>
                <w:b/>
                <w:bCs/>
                <w:sz w:val="20"/>
                <w:lang w:eastAsia="zh-CN"/>
              </w:rPr>
              <w:t>1</w:t>
            </w:r>
            <w:r w:rsidRPr="00192972">
              <w:rPr>
                <w:rFonts w:ascii="Arial" w:eastAsiaTheme="minorEastAsia" w:hAnsi="Arial" w:hint="eastAsia"/>
                <w:b/>
                <w:bCs/>
                <w:sz w:val="20"/>
                <w:lang w:eastAsia="zh-CN"/>
              </w:rPr>
              <w:t xml:space="preserve"> </w:t>
            </w:r>
            <w:r w:rsidR="00D67E32" w:rsidRPr="00D67E32">
              <w:rPr>
                <w:rFonts w:ascii="Arial" w:eastAsiaTheme="minorEastAsia" w:hAnsi="Arial"/>
                <w:b/>
                <w:bCs/>
                <w:sz w:val="20"/>
                <w:lang w:eastAsia="zh-CN"/>
              </w:rPr>
              <w:t xml:space="preserve">NO </w:t>
            </w:r>
            <w:r w:rsidR="00D67E32" w:rsidRPr="00097CEC">
              <w:rPr>
                <w:rFonts w:ascii="Arial" w:eastAsiaTheme="minorEastAsia" w:hAnsi="Arial"/>
                <w:b/>
                <w:bCs/>
                <w:sz w:val="20"/>
                <w:lang w:eastAsia="zh-CN"/>
              </w:rPr>
              <w:t>quality score</w:t>
            </w:r>
            <w:r w:rsidR="00D67E32" w:rsidRPr="00D67E32">
              <w:rPr>
                <w:rFonts w:ascii="Arial" w:eastAsiaTheme="minorEastAsia" w:hAnsi="Arial"/>
                <w:b/>
                <w:bCs/>
                <w:sz w:val="20"/>
                <w:lang w:eastAsia="zh-CN"/>
              </w:rPr>
              <w:t xml:space="preserve"> and soot </w:t>
            </w:r>
            <w:r w:rsidR="00D67E32" w:rsidRPr="00097CEC">
              <w:rPr>
                <w:rFonts w:ascii="Arial" w:eastAsiaTheme="minorEastAsia" w:hAnsi="Arial"/>
                <w:b/>
                <w:bCs/>
                <w:sz w:val="20"/>
                <w:lang w:eastAsia="zh-CN"/>
              </w:rPr>
              <w:t>quality score</w:t>
            </w:r>
            <w:r w:rsidR="00D67E32" w:rsidRPr="00D67E32">
              <w:rPr>
                <w:rFonts w:ascii="Arial" w:eastAsiaTheme="minorEastAsia" w:hAnsi="Arial"/>
                <w:b/>
                <w:bCs/>
                <w:sz w:val="20"/>
                <w:lang w:eastAsia="zh-CN"/>
              </w:rPr>
              <w:t xml:space="preserve"> under different intake pressures</w:t>
            </w:r>
          </w:p>
        </w:tc>
      </w:tr>
    </w:tbl>
    <w:p w14:paraId="66948E9F" w14:textId="10B3308F" w:rsidR="00C1667F" w:rsidRDefault="00C1667F" w:rsidP="002D7DA6">
      <w:pPr>
        <w:pStyle w:val="Body"/>
        <w:spacing w:after="0"/>
        <w:rPr>
          <w:rFonts w:ascii="Arial" w:hAnsi="Arial" w:cs="Arial"/>
          <w:lang w:eastAsia="zh-CN"/>
        </w:rPr>
      </w:pPr>
    </w:p>
    <w:p w14:paraId="12FF7DDA" w14:textId="6D2B30C9" w:rsidR="00F4607C" w:rsidRPr="005D6BDB" w:rsidRDefault="00F4607C" w:rsidP="00F4607C">
      <w:pPr>
        <w:rPr>
          <w:rFonts w:ascii="Arial" w:hAnsi="Arial"/>
          <w:b/>
          <w:sz w:val="22"/>
          <w:lang w:eastAsia="zh-CN"/>
        </w:rPr>
      </w:pPr>
      <w:r w:rsidRPr="005D6BDB">
        <w:rPr>
          <w:rFonts w:ascii="Arial" w:hAnsi="Arial" w:hint="eastAsia"/>
          <w:b/>
          <w:sz w:val="22"/>
          <w:lang w:eastAsia="zh-CN"/>
        </w:rPr>
        <w:t xml:space="preserve">4.4 </w:t>
      </w:r>
      <w:r>
        <w:rPr>
          <w:rFonts w:ascii="Arial" w:hAnsi="Arial" w:hint="eastAsia"/>
          <w:b/>
          <w:sz w:val="22"/>
          <w:lang w:eastAsia="zh-CN"/>
        </w:rPr>
        <w:t>O</w:t>
      </w:r>
      <w:r w:rsidRPr="00F4607C">
        <w:rPr>
          <w:rFonts w:ascii="Arial" w:hAnsi="Arial"/>
          <w:b/>
          <w:sz w:val="22"/>
          <w:lang w:eastAsia="zh-CN"/>
        </w:rPr>
        <w:t xml:space="preserve">ptimization </w:t>
      </w:r>
      <w:r>
        <w:rPr>
          <w:rFonts w:ascii="Arial" w:hAnsi="Arial" w:hint="eastAsia"/>
          <w:b/>
          <w:sz w:val="22"/>
          <w:lang w:eastAsia="zh-CN"/>
        </w:rPr>
        <w:t>P</w:t>
      </w:r>
      <w:r w:rsidRPr="00F4607C">
        <w:rPr>
          <w:rFonts w:ascii="Arial" w:hAnsi="Arial"/>
          <w:b/>
          <w:sz w:val="22"/>
          <w:lang w:eastAsia="zh-CN"/>
        </w:rPr>
        <w:t>lan</w:t>
      </w:r>
    </w:p>
    <w:p w14:paraId="2CEAF7C0" w14:textId="77777777" w:rsidR="00D67E32" w:rsidRDefault="00D67E32" w:rsidP="002D7DA6">
      <w:pPr>
        <w:pStyle w:val="Body"/>
        <w:spacing w:after="0"/>
        <w:rPr>
          <w:rFonts w:ascii="Arial" w:hAnsi="Arial" w:cs="Arial"/>
          <w:lang w:eastAsia="zh-CN"/>
        </w:rPr>
      </w:pPr>
    </w:p>
    <w:p w14:paraId="578B1F86" w14:textId="77777777" w:rsidR="00B94F44" w:rsidRPr="003F4F81" w:rsidRDefault="00B94F44" w:rsidP="003F4F81">
      <w:pPr>
        <w:jc w:val="both"/>
        <w:rPr>
          <w:rFonts w:ascii="Arial" w:hAnsi="Arial"/>
          <w:lang w:eastAsia="zh-CN"/>
        </w:rPr>
      </w:pPr>
      <w:r w:rsidRPr="003F4F81">
        <w:rPr>
          <w:rFonts w:ascii="Arial" w:hAnsi="Arial"/>
          <w:lang w:eastAsia="zh-CN"/>
        </w:rPr>
        <w:t>This paper assesses linear engines from three dimensions, namely power performance, fuel economy and emission characteristics. Mean indicated pressure is adopted to reflect power performance, indicated thermal efficiency stands for fuel economy, and NO mass fraction is taken as the emission evaluation indicator. In practical engine operation, it is expected to improve power and economic efficiency while cutting pollutant emissions.</w:t>
      </w:r>
    </w:p>
    <w:p w14:paraId="0F452D8D" w14:textId="77777777" w:rsidR="00B94F44" w:rsidRPr="003F4F81" w:rsidRDefault="00B94F44" w:rsidP="003F4F81">
      <w:pPr>
        <w:jc w:val="both"/>
        <w:rPr>
          <w:rFonts w:ascii="Arial" w:hAnsi="Arial"/>
          <w:lang w:eastAsia="zh-CN"/>
        </w:rPr>
      </w:pPr>
    </w:p>
    <w:p w14:paraId="014C4D83" w14:textId="6BF133D7" w:rsidR="00B94F44" w:rsidRPr="00F74A5A" w:rsidRDefault="00B94F44" w:rsidP="00F74A5A">
      <w:pPr>
        <w:pStyle w:val="Body"/>
        <w:spacing w:after="0"/>
        <w:rPr>
          <w:rFonts w:ascii="Arial" w:hAnsi="Arial" w:cs="Arial"/>
          <w:lang w:eastAsia="zh-CN"/>
        </w:rPr>
      </w:pPr>
      <w:r w:rsidRPr="00F74A5A">
        <w:rPr>
          <w:rFonts w:ascii="Arial" w:hAnsi="Arial" w:cs="Arial"/>
          <w:lang w:eastAsia="zh-CN"/>
        </w:rPr>
        <w:t>Accordingly, the research object is a multi-objective optimization problem rather than a single-objective one. Distinct differences exist in solution acquisition due to diversified evaluation indices. A satisfactory solution for one index may not achieve favorable performance for others, and conflicting results even frequently occur. Consequently, it is hardly possible to acquire an optimal solution that simultaneously maximizes the power, economy and emission performance of free-piston hydrogen engines. For this reason, the linear weighting method is employed to integrate the three sub-objective functions, and the combined formula is given as follows:</w:t>
      </w:r>
    </w:p>
    <w:p w14:paraId="37B27581" w14:textId="5BBB47CC" w:rsidR="00B94F44" w:rsidRDefault="00B94F44" w:rsidP="00B94F44">
      <w:pPr>
        <w:pStyle w:val="MTDisplayEquation"/>
        <w:rPr>
          <w:lang w:eastAsia="zh-CN"/>
        </w:rPr>
      </w:pPr>
      <w:r>
        <w:rPr>
          <w:lang w:eastAsia="zh-CN"/>
        </w:rPr>
        <w:tab/>
      </w:r>
      <w:r w:rsidRPr="00B94F44">
        <w:rPr>
          <w:position w:val="-12"/>
          <w:lang w:eastAsia="zh-CN"/>
        </w:rPr>
        <w:object w:dxaOrig="3820" w:dyaOrig="360" w14:anchorId="241DEDCB">
          <v:shape id="_x0000_i1077" type="#_x0000_t75" style="width:190.75pt;height:18.25pt" o:ole="">
            <v:imagedata r:id="rId132" o:title=""/>
          </v:shape>
          <o:OLEObject Type="Embed" ProgID="Equation.DSMT4" ShapeID="_x0000_i1077" DrawAspect="Content" ObjectID="_1841662284" r:id="rId133"/>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10</w:instrText>
      </w:r>
      <w:r>
        <w:rPr>
          <w:lang w:eastAsia="zh-CN"/>
        </w:rPr>
        <w:fldChar w:fldCharType="end"/>
      </w:r>
      <w:r>
        <w:rPr>
          <w:lang w:eastAsia="zh-CN"/>
        </w:rPr>
        <w:instrText>)</w:instrText>
      </w:r>
      <w:r>
        <w:rPr>
          <w:lang w:eastAsia="zh-CN"/>
        </w:rPr>
        <w:fldChar w:fldCharType="end"/>
      </w:r>
    </w:p>
    <w:p w14:paraId="0272944A" w14:textId="53822ABB" w:rsidR="00B94F44" w:rsidRDefault="00257AA5" w:rsidP="00F74A5A">
      <w:pPr>
        <w:pStyle w:val="Body"/>
        <w:spacing w:after="0"/>
        <w:rPr>
          <w:rFonts w:ascii="Arial" w:hAnsi="Arial" w:cs="Arial"/>
          <w:lang w:eastAsia="zh-CN"/>
        </w:rPr>
      </w:pPr>
      <w:r w:rsidRPr="00257AA5">
        <w:rPr>
          <w:rFonts w:ascii="Arial" w:hAnsi="Arial" w:cs="Arial"/>
          <w:lang w:eastAsia="zh-CN"/>
        </w:rPr>
        <w:t xml:space="preserve">In Formula </w:t>
      </w:r>
      <w:r w:rsidR="00E31E87">
        <w:rPr>
          <w:rFonts w:ascii="Arial" w:hAnsi="Arial" w:cs="Arial" w:hint="eastAsia"/>
          <w:lang w:eastAsia="zh-CN"/>
        </w:rPr>
        <w:t>(</w:t>
      </w:r>
      <w:r w:rsidRPr="00257AA5">
        <w:rPr>
          <w:rFonts w:ascii="Arial" w:hAnsi="Arial" w:cs="Arial"/>
          <w:lang w:eastAsia="zh-CN"/>
        </w:rPr>
        <w:t>10</w:t>
      </w:r>
      <w:r w:rsidR="00E31E87">
        <w:rPr>
          <w:rFonts w:ascii="Arial" w:hAnsi="Arial" w:cs="Arial" w:hint="eastAsia"/>
          <w:lang w:eastAsia="zh-CN"/>
        </w:rPr>
        <w:t>)</w:t>
      </w:r>
      <w:r w:rsidRPr="00257AA5">
        <w:rPr>
          <w:rFonts w:ascii="Arial" w:hAnsi="Arial" w:cs="Arial"/>
          <w:lang w:eastAsia="zh-CN"/>
        </w:rPr>
        <w:t xml:space="preserve">, </w:t>
      </w:r>
      <w:r w:rsidR="00E31E87" w:rsidRPr="00944B9D">
        <w:rPr>
          <w:rFonts w:hint="eastAsia"/>
          <w:position w:val="-10"/>
        </w:rPr>
        <w:object w:dxaOrig="540" w:dyaOrig="320" w14:anchorId="4763B312">
          <v:shape id="_x0000_i1078" type="#_x0000_t75" style="width:27.6pt;height:16.35pt" o:ole="">
            <v:imagedata r:id="rId134" o:title=""/>
          </v:shape>
          <o:OLEObject Type="Embed" ProgID="Equation.DSMT4" ShapeID="_x0000_i1078" DrawAspect="Content" ObjectID="_1841662285" r:id="rId135"/>
        </w:object>
      </w:r>
      <w:r w:rsidRPr="00257AA5">
        <w:rPr>
          <w:rFonts w:ascii="Arial" w:hAnsi="Arial" w:cs="Arial"/>
          <w:lang w:eastAsia="zh-CN"/>
        </w:rPr>
        <w:t xml:space="preserve"> represents the multi-objective optimization function; </w:t>
      </w:r>
      <w:r w:rsidR="00E31E87" w:rsidRPr="00E31E87">
        <w:rPr>
          <w:rFonts w:ascii="Arial" w:hAnsi="Arial" w:cs="Arial"/>
          <w:position w:val="-12"/>
          <w:lang w:eastAsia="zh-CN"/>
        </w:rPr>
        <w:object w:dxaOrig="1080" w:dyaOrig="360" w14:anchorId="585B5520">
          <v:shape id="_x0000_i1079" type="#_x0000_t75" style="width:54.7pt;height:18.25pt" o:ole="">
            <v:imagedata r:id="rId136" o:title=""/>
          </v:shape>
          <o:OLEObject Type="Embed" ProgID="Equation.DSMT4" ShapeID="_x0000_i1079" DrawAspect="Content" ObjectID="_1841662286" r:id="rId137"/>
        </w:object>
      </w:r>
      <w:r w:rsidR="00E31E87">
        <w:rPr>
          <w:rFonts w:ascii="Arial" w:hAnsi="Arial" w:cs="Arial"/>
          <w:lang w:eastAsia="zh-CN"/>
        </w:rPr>
        <w:t xml:space="preserve"> </w:t>
      </w:r>
      <w:r w:rsidRPr="00257AA5">
        <w:rPr>
          <w:rFonts w:ascii="Arial" w:hAnsi="Arial" w:cs="Arial"/>
          <w:lang w:eastAsia="zh-CN"/>
        </w:rPr>
        <w:t xml:space="preserve">denotes the weight coefficient; </w:t>
      </w:r>
      <w:r w:rsidR="006345F2" w:rsidRPr="00944B9D">
        <w:rPr>
          <w:rFonts w:hint="eastAsia"/>
          <w:position w:val="-12"/>
        </w:rPr>
        <w:object w:dxaOrig="600" w:dyaOrig="360" w14:anchorId="5F8AC6BF">
          <v:shape id="_x0000_i1080" type="#_x0000_t75" style="width:29.9pt;height:18.25pt" o:ole="">
            <v:imagedata r:id="rId138" o:title=""/>
          </v:shape>
          <o:OLEObject Type="Embed" ProgID="Equation.DSMT4" ShapeID="_x0000_i1080" DrawAspect="Content" ObjectID="_1841662287" r:id="rId139"/>
        </w:object>
      </w:r>
      <w:r w:rsidRPr="00257AA5">
        <w:rPr>
          <w:rFonts w:ascii="Arial" w:hAnsi="Arial" w:cs="Arial"/>
          <w:lang w:eastAsia="zh-CN"/>
        </w:rPr>
        <w:t xml:space="preserve"> stands for the average indicated pressure function; </w:t>
      </w:r>
      <w:r w:rsidR="006345F2" w:rsidRPr="00944B9D">
        <w:rPr>
          <w:rFonts w:hint="eastAsia"/>
          <w:position w:val="-12"/>
        </w:rPr>
        <w:object w:dxaOrig="620" w:dyaOrig="360" w14:anchorId="608A3C69">
          <v:shape id="_x0000_i1081" type="#_x0000_t75" style="width:30.4pt;height:18.25pt" o:ole="">
            <v:imagedata r:id="rId140" o:title=""/>
          </v:shape>
          <o:OLEObject Type="Embed" ProgID="Equation.DSMT4" ShapeID="_x0000_i1081" DrawAspect="Content" ObjectID="_1841662288" r:id="rId141"/>
        </w:object>
      </w:r>
      <w:r w:rsidRPr="00257AA5">
        <w:rPr>
          <w:rFonts w:ascii="Arial" w:hAnsi="Arial" w:cs="Arial"/>
          <w:lang w:eastAsia="zh-CN"/>
        </w:rPr>
        <w:t xml:space="preserve"> signifies the indicated thermal efficiency function; and </w:t>
      </w:r>
      <w:r w:rsidR="006345F2" w:rsidRPr="00944B9D">
        <w:rPr>
          <w:rFonts w:hint="eastAsia"/>
          <w:position w:val="-12"/>
        </w:rPr>
        <w:object w:dxaOrig="600" w:dyaOrig="360" w14:anchorId="29F63E94">
          <v:shape id="_x0000_i1082" type="#_x0000_t75" style="width:29.9pt;height:18.25pt" o:ole="">
            <v:imagedata r:id="rId142" o:title=""/>
          </v:shape>
          <o:OLEObject Type="Embed" ProgID="Equation.DSMT4" ShapeID="_x0000_i1082" DrawAspect="Content" ObjectID="_1841662289" r:id="rId143"/>
        </w:object>
      </w:r>
      <w:r w:rsidRPr="00257AA5">
        <w:rPr>
          <w:rFonts w:ascii="Arial" w:hAnsi="Arial" w:cs="Arial"/>
          <w:lang w:eastAsia="zh-CN"/>
        </w:rPr>
        <w:t xml:space="preserve"> is the mass fraction function of NO.</w:t>
      </w:r>
    </w:p>
    <w:p w14:paraId="1B658745" w14:textId="77777777" w:rsidR="00F74A5A" w:rsidRDefault="00F74A5A" w:rsidP="00F74A5A">
      <w:pPr>
        <w:pStyle w:val="Body"/>
        <w:spacing w:after="0"/>
        <w:rPr>
          <w:rFonts w:ascii="Arial" w:hAnsi="Arial" w:cs="Arial"/>
          <w:lang w:eastAsia="zh-CN"/>
        </w:rPr>
      </w:pPr>
    </w:p>
    <w:p w14:paraId="3B59CE35" w14:textId="2727CE08" w:rsidR="00FB2EB9" w:rsidRPr="00FB2EB9" w:rsidRDefault="00FB2EB9" w:rsidP="00F74A5A">
      <w:pPr>
        <w:pStyle w:val="Body"/>
        <w:spacing w:after="0"/>
        <w:rPr>
          <w:rFonts w:ascii="Arial" w:hAnsi="Arial" w:cs="Arial"/>
          <w:lang w:eastAsia="zh-CN"/>
        </w:rPr>
      </w:pPr>
      <w:r w:rsidRPr="00FB2EB9">
        <w:rPr>
          <w:rFonts w:ascii="Arial" w:hAnsi="Arial" w:cs="Arial"/>
          <w:lang w:eastAsia="zh-CN"/>
        </w:rPr>
        <w:t xml:space="preserve">Power performance and fuel economy are critical criteria for assessing engine quality, and higher values of both indicators stand for better performance. Conversely, NO emission is an unfavorable factor, which needs to be minimized. Based on the above principles, the objectives are defined as </w:t>
      </w:r>
      <w:r w:rsidR="006F1332" w:rsidRPr="000230DB">
        <w:rPr>
          <w:position w:val="-12"/>
        </w:rPr>
        <w:object w:dxaOrig="920" w:dyaOrig="360" w14:anchorId="14156FC1">
          <v:shape id="_x0000_i1083" type="#_x0000_t75" style="width:45.8pt;height:18.25pt" o:ole="">
            <v:imagedata r:id="rId144" o:title=""/>
          </v:shape>
          <o:OLEObject Type="Embed" ProgID="Equation.DSMT4" ShapeID="_x0000_i1083" DrawAspect="Content" ObjectID="_1841662290" r:id="rId145"/>
        </w:object>
      </w:r>
      <w:r w:rsidRPr="00FB2EB9">
        <w:rPr>
          <w:rFonts w:ascii="Arial" w:hAnsi="Arial" w:cs="Arial"/>
          <w:lang w:eastAsia="zh-CN"/>
        </w:rPr>
        <w:t xml:space="preserve">, </w:t>
      </w:r>
      <w:r w:rsidR="006F1332" w:rsidRPr="000230DB">
        <w:rPr>
          <w:position w:val="-12"/>
        </w:rPr>
        <w:object w:dxaOrig="940" w:dyaOrig="360" w14:anchorId="79F03F89">
          <v:shape id="_x0000_i1084" type="#_x0000_t75" style="width:46.75pt;height:18.25pt" o:ole="">
            <v:imagedata r:id="rId146" o:title=""/>
          </v:shape>
          <o:OLEObject Type="Embed" ProgID="Equation.DSMT4" ShapeID="_x0000_i1084" DrawAspect="Content" ObjectID="_1841662291" r:id="rId147"/>
        </w:object>
      </w:r>
      <w:r w:rsidRPr="00FB2EB9">
        <w:rPr>
          <w:rFonts w:ascii="Arial" w:hAnsi="Arial" w:cs="Arial"/>
          <w:lang w:eastAsia="zh-CN"/>
        </w:rPr>
        <w:t xml:space="preserve"> and </w:t>
      </w:r>
      <w:r w:rsidR="006F1332" w:rsidRPr="000230DB">
        <w:rPr>
          <w:position w:val="-12"/>
        </w:rPr>
        <w:object w:dxaOrig="940" w:dyaOrig="360" w14:anchorId="0FA77B09">
          <v:shape id="_x0000_i1085" type="#_x0000_t75" style="width:46.75pt;height:18.25pt" o:ole="">
            <v:imagedata r:id="rId148" o:title=""/>
          </v:shape>
          <o:OLEObject Type="Embed" ProgID="Equation.DSMT4" ShapeID="_x0000_i1085" DrawAspect="Content" ObjectID="_1841662292" r:id="rId149"/>
        </w:object>
      </w:r>
      <w:r w:rsidRPr="00FB2EB9">
        <w:rPr>
          <w:rFonts w:ascii="Arial" w:hAnsi="Arial" w:cs="Arial"/>
          <w:lang w:eastAsia="zh-CN"/>
        </w:rPr>
        <w:t xml:space="preserve"> respectively.</w:t>
      </w:r>
    </w:p>
    <w:p w14:paraId="7F489BFF" w14:textId="77777777" w:rsidR="00FB2EB9" w:rsidRPr="00FB2EB9" w:rsidRDefault="00FB2EB9" w:rsidP="00F74A5A">
      <w:pPr>
        <w:pStyle w:val="Body"/>
        <w:spacing w:after="0"/>
        <w:rPr>
          <w:rFonts w:ascii="Arial" w:hAnsi="Arial" w:cs="Arial"/>
          <w:lang w:eastAsia="zh-CN"/>
        </w:rPr>
      </w:pPr>
    </w:p>
    <w:p w14:paraId="1F957030"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Experiments on the free-piston hydrogen engine are carried out under medium load conditions. The optimization aims to enhance power output, improve fuel economy and reduce pollutant emissions simultaneously. Accordingly, weight coefficients are set as 0.4 for power performance and fuel economy, and 0.2 for emission performance. This allocation balances multiple objectives effectively.</w:t>
      </w:r>
    </w:p>
    <w:p w14:paraId="42FDA04D" w14:textId="77777777" w:rsidR="00FB2EB9" w:rsidRPr="00FB2EB9" w:rsidRDefault="00FB2EB9" w:rsidP="00F74A5A">
      <w:pPr>
        <w:pStyle w:val="Body"/>
        <w:spacing w:after="0"/>
        <w:rPr>
          <w:rFonts w:ascii="Arial" w:hAnsi="Arial" w:cs="Arial"/>
          <w:lang w:eastAsia="zh-CN"/>
        </w:rPr>
      </w:pPr>
    </w:p>
    <w:p w14:paraId="16FB9306"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 xml:space="preserve">The integrated objective function is obtained by weighted summation of sub-objective functions. However, these functions differ in physical significance and dimension. Direct </w:t>
      </w:r>
      <w:r w:rsidRPr="00FB2EB9">
        <w:rPr>
          <w:rFonts w:ascii="Arial" w:hAnsi="Arial" w:cs="Arial"/>
          <w:lang w:eastAsia="zh-CN"/>
        </w:rPr>
        <w:lastRenderedPageBreak/>
        <w:t>summation of data with inconsistent dimensions and magnitudes cannot produce valid results or reflect actual index contributions. Hence, dimensionless processing is indispensable before weighting calculation.</w:t>
      </w:r>
    </w:p>
    <w:p w14:paraId="4C4419FB" w14:textId="77777777" w:rsidR="00FB2EB9" w:rsidRPr="00FB2EB9" w:rsidRDefault="00FB2EB9" w:rsidP="00F74A5A">
      <w:pPr>
        <w:pStyle w:val="Body"/>
        <w:spacing w:after="0"/>
        <w:rPr>
          <w:rFonts w:ascii="Arial" w:hAnsi="Arial" w:cs="Arial"/>
          <w:lang w:eastAsia="zh-CN"/>
        </w:rPr>
      </w:pPr>
    </w:p>
    <w:p w14:paraId="6BA592FD"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Such processing standardizes raw data via mathematical transformation, eliminating interference caused by dimensional and numerical differences to facilitate unified comparison and comprehensive evaluation. Common methods include standardization, extremum treatment, linear scaling, normalization, vector normalization and efficacy coefficient method.</w:t>
      </w:r>
    </w:p>
    <w:p w14:paraId="4A04E7D3" w14:textId="77777777" w:rsidR="00FB2EB9" w:rsidRPr="00FB2EB9" w:rsidRDefault="00FB2EB9" w:rsidP="00F74A5A">
      <w:pPr>
        <w:pStyle w:val="Body"/>
        <w:spacing w:after="0"/>
        <w:rPr>
          <w:rFonts w:ascii="Arial" w:hAnsi="Arial" w:cs="Arial"/>
          <w:lang w:eastAsia="zh-CN"/>
        </w:rPr>
      </w:pPr>
    </w:p>
    <w:p w14:paraId="2939CB2E" w14:textId="393E637E" w:rsidR="00FB2EB9" w:rsidRDefault="00FB2EB9" w:rsidP="00F74A5A">
      <w:pPr>
        <w:pStyle w:val="Body"/>
        <w:spacing w:after="0"/>
        <w:rPr>
          <w:rFonts w:ascii="Arial" w:hAnsi="Arial" w:cs="Arial"/>
          <w:lang w:eastAsia="zh-CN"/>
        </w:rPr>
      </w:pPr>
      <w:r w:rsidRPr="00FB2EB9">
        <w:rPr>
          <w:rFonts w:ascii="Arial" w:hAnsi="Arial" w:cs="Arial"/>
          <w:lang w:eastAsia="zh-CN"/>
        </w:rPr>
        <w:t>Considering limited data samples and definite maximum and minimum values within the research range, the extremum method is adopted for dimensionless treatment. This method features simple calculation and satisfactory applicability. The specific calculation formula is shown below:</w:t>
      </w:r>
    </w:p>
    <w:p w14:paraId="395F63D3" w14:textId="03641738" w:rsidR="006F1332" w:rsidRDefault="006F1332" w:rsidP="006F1332">
      <w:pPr>
        <w:pStyle w:val="MTDisplayEquation"/>
        <w:rPr>
          <w:lang w:eastAsia="zh-CN"/>
        </w:rPr>
      </w:pPr>
      <w:r>
        <w:rPr>
          <w:lang w:eastAsia="zh-CN"/>
        </w:rPr>
        <w:tab/>
      </w:r>
      <w:r w:rsidRPr="006F1332">
        <w:rPr>
          <w:position w:val="-30"/>
          <w:lang w:eastAsia="zh-CN"/>
        </w:rPr>
        <w:object w:dxaOrig="1260" w:dyaOrig="680" w14:anchorId="6AA1A879">
          <v:shape id="_x0000_i1086" type="#_x0000_t75" style="width:62.2pt;height:34.15pt" o:ole="">
            <v:imagedata r:id="rId150" o:title=""/>
          </v:shape>
          <o:OLEObject Type="Embed" ProgID="Equation.DSMT4" ShapeID="_x0000_i1086" DrawAspect="Content" ObjectID="_1841662293" r:id="rId151"/>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11</w:instrText>
      </w:r>
      <w:r>
        <w:rPr>
          <w:lang w:eastAsia="zh-CN"/>
        </w:rPr>
        <w:fldChar w:fldCharType="end"/>
      </w:r>
      <w:r>
        <w:rPr>
          <w:lang w:eastAsia="zh-CN"/>
        </w:rPr>
        <w:instrText>)</w:instrText>
      </w:r>
      <w:r>
        <w:rPr>
          <w:lang w:eastAsia="zh-CN"/>
        </w:rPr>
        <w:fldChar w:fldCharType="end"/>
      </w:r>
    </w:p>
    <w:p w14:paraId="50A26C0D" w14:textId="1DE35402" w:rsidR="006F1332" w:rsidRDefault="008E4698" w:rsidP="00F74A5A">
      <w:pPr>
        <w:pStyle w:val="Body"/>
        <w:spacing w:after="0"/>
        <w:rPr>
          <w:rFonts w:ascii="Arial" w:hAnsi="Arial" w:cs="Arial"/>
          <w:lang w:eastAsia="zh-CN"/>
        </w:rPr>
      </w:pPr>
      <w:r w:rsidRPr="008E4698">
        <w:rPr>
          <w:rFonts w:ascii="Arial" w:hAnsi="Arial" w:cs="Arial"/>
          <w:lang w:eastAsia="zh-CN"/>
        </w:rPr>
        <w:t xml:space="preserve">In Formula </w:t>
      </w:r>
      <w:r>
        <w:rPr>
          <w:rFonts w:ascii="Arial" w:hAnsi="Arial" w:cs="Arial" w:hint="eastAsia"/>
          <w:lang w:eastAsia="zh-CN"/>
        </w:rPr>
        <w:t>(</w:t>
      </w:r>
      <w:r w:rsidRPr="008E4698">
        <w:rPr>
          <w:rFonts w:ascii="Arial" w:hAnsi="Arial" w:cs="Arial"/>
          <w:lang w:eastAsia="zh-CN"/>
        </w:rPr>
        <w:t>11</w:t>
      </w:r>
      <w:r>
        <w:rPr>
          <w:rFonts w:ascii="Arial" w:hAnsi="Arial" w:cs="Arial" w:hint="eastAsia"/>
          <w:lang w:eastAsia="zh-CN"/>
        </w:rPr>
        <w:t>)</w:t>
      </w:r>
      <w:r w:rsidRPr="008E4698">
        <w:rPr>
          <w:rFonts w:ascii="Arial" w:hAnsi="Arial" w:cs="Arial"/>
          <w:lang w:eastAsia="zh-CN"/>
        </w:rPr>
        <w:t xml:space="preserve">, </w:t>
      </w:r>
      <w:r w:rsidRPr="000230DB">
        <w:rPr>
          <w:position w:val="-12"/>
        </w:rPr>
        <w:object w:dxaOrig="220" w:dyaOrig="360" w14:anchorId="26AB3C6F">
          <v:shape id="_x0000_i1087" type="#_x0000_t75" style="width:11.2pt;height:18.25pt" o:ole="">
            <v:imagedata r:id="rId152" o:title=""/>
          </v:shape>
          <o:OLEObject Type="Embed" ProgID="Equation.DSMT4" ShapeID="_x0000_i1087" DrawAspect="Content" ObjectID="_1841662294" r:id="rId153"/>
        </w:object>
      </w:r>
      <w:r w:rsidRPr="008E4698">
        <w:rPr>
          <w:rFonts w:ascii="Arial" w:hAnsi="Arial" w:cs="Arial"/>
          <w:lang w:eastAsia="zh-CN"/>
        </w:rPr>
        <w:t xml:space="preserve"> represents the non-</w:t>
      </w:r>
      <w:proofErr w:type="spellStart"/>
      <w:r w:rsidRPr="008E4698">
        <w:rPr>
          <w:rFonts w:ascii="Arial" w:hAnsi="Arial" w:cs="Arial"/>
          <w:lang w:eastAsia="zh-CN"/>
        </w:rPr>
        <w:t>dimensionalized</w:t>
      </w:r>
      <w:proofErr w:type="spellEnd"/>
      <w:r w:rsidRPr="008E4698">
        <w:rPr>
          <w:rFonts w:ascii="Arial" w:hAnsi="Arial" w:cs="Arial"/>
          <w:lang w:eastAsia="zh-CN"/>
        </w:rPr>
        <w:t xml:space="preserve"> data; </w:t>
      </w:r>
      <w:r w:rsidRPr="000230DB">
        <w:rPr>
          <w:position w:val="-14"/>
        </w:rPr>
        <w:object w:dxaOrig="1660" w:dyaOrig="400" w14:anchorId="101F2F70">
          <v:shape id="_x0000_i1088" type="#_x0000_t75" style="width:83.2pt;height:20.55pt" o:ole="">
            <v:imagedata r:id="rId154" o:title=""/>
          </v:shape>
          <o:OLEObject Type="Embed" ProgID="Equation.DSMT4" ShapeID="_x0000_i1088" DrawAspect="Content" ObjectID="_1841662295" r:id="rId155"/>
        </w:object>
      </w:r>
      <w:r w:rsidRPr="008E4698">
        <w:rPr>
          <w:rFonts w:ascii="Arial" w:hAnsi="Arial" w:cs="Arial"/>
          <w:lang w:eastAsia="zh-CN"/>
        </w:rPr>
        <w:t xml:space="preserve"> represents the maximum value in the data; and </w:t>
      </w:r>
      <w:r w:rsidRPr="000230DB">
        <w:rPr>
          <w:position w:val="-14"/>
        </w:rPr>
        <w:object w:dxaOrig="1560" w:dyaOrig="400" w14:anchorId="4BD0A1FD">
          <v:shape id="_x0000_i1089" type="#_x0000_t75" style="width:77.15pt;height:20.55pt" o:ole="">
            <v:imagedata r:id="rId156" o:title=""/>
          </v:shape>
          <o:OLEObject Type="Embed" ProgID="Equation.DSMT4" ShapeID="_x0000_i1089" DrawAspect="Content" ObjectID="_1841662296" r:id="rId157"/>
        </w:object>
      </w:r>
      <w:r w:rsidRPr="008E4698">
        <w:rPr>
          <w:rFonts w:ascii="Arial" w:hAnsi="Arial" w:cs="Arial"/>
          <w:lang w:eastAsia="zh-CN"/>
        </w:rPr>
        <w:t xml:space="preserve"> represents the minimum value in the data.</w:t>
      </w:r>
    </w:p>
    <w:p w14:paraId="5E3BB558" w14:textId="77777777" w:rsidR="00F74A5A" w:rsidRDefault="00F74A5A" w:rsidP="00F74A5A">
      <w:pPr>
        <w:pStyle w:val="Body"/>
        <w:spacing w:after="0"/>
        <w:rPr>
          <w:rFonts w:ascii="Arial" w:hAnsi="Arial" w:cs="Arial"/>
          <w:lang w:eastAsia="zh-CN"/>
        </w:rPr>
      </w:pPr>
    </w:p>
    <w:p w14:paraId="1101EF08" w14:textId="23ED8DCA" w:rsidR="00B2383F" w:rsidRDefault="00B2383F" w:rsidP="003F4F81">
      <w:pPr>
        <w:jc w:val="both"/>
        <w:rPr>
          <w:rFonts w:ascii="Arial" w:hAnsi="Arial"/>
          <w:lang w:eastAsia="zh-CN"/>
        </w:rPr>
      </w:pPr>
      <w:r w:rsidRPr="003F4F81">
        <w:rPr>
          <w:rFonts w:ascii="Arial" w:hAnsi="Arial"/>
          <w:lang w:eastAsia="zh-CN"/>
        </w:rPr>
        <w:t>For calculation convenience, the indicated thermal efficiency of all operating conditions is multiplied by 100, and NO mass fraction values are multiplied by</w:t>
      </w:r>
      <w:r w:rsidRPr="003F4F81">
        <w:rPr>
          <w:rFonts w:ascii="Arial" w:hAnsi="Arial" w:hint="eastAsia"/>
          <w:lang w:eastAsia="zh-CN"/>
        </w:rPr>
        <w:t>106</w:t>
      </w:r>
      <w:r w:rsidRPr="003F4F81">
        <w:rPr>
          <w:rFonts w:ascii="Arial" w:hAnsi="Arial"/>
          <w:lang w:eastAsia="zh-CN"/>
        </w:rPr>
        <w:t>. The sub-objective data under different intake pressures are normalized via Formula (</w:t>
      </w:r>
      <w:r w:rsidRPr="003F4F81">
        <w:rPr>
          <w:rFonts w:ascii="Arial" w:hAnsi="Arial" w:hint="eastAsia"/>
          <w:lang w:eastAsia="zh-CN"/>
        </w:rPr>
        <w:t>11</w:t>
      </w:r>
      <w:r w:rsidRPr="003F4F81">
        <w:rPr>
          <w:rFonts w:ascii="Arial" w:hAnsi="Arial"/>
          <w:lang w:eastAsia="zh-CN"/>
        </w:rPr>
        <w:t>), and the results are listed in Table 3.</w:t>
      </w:r>
    </w:p>
    <w:p w14:paraId="033783EF" w14:textId="77777777" w:rsidR="003F4F81" w:rsidRDefault="003F4F81" w:rsidP="003F4F81">
      <w:pPr>
        <w:jc w:val="both"/>
        <w:rPr>
          <w:rFonts w:ascii="Arial" w:hAnsi="Arial"/>
          <w:lang w:eastAsia="zh-CN"/>
        </w:rPr>
      </w:pPr>
    </w:p>
    <w:p w14:paraId="41F7265B" w14:textId="25D2E29B" w:rsidR="003441FF" w:rsidRPr="00C32F1C" w:rsidRDefault="003441FF" w:rsidP="00C32F1C">
      <w:pPr>
        <w:jc w:val="center"/>
        <w:rPr>
          <w:rFonts w:ascii="Arial" w:hAnsi="Arial" w:cs="SimSun"/>
          <w:b/>
          <w:bCs/>
          <w:noProof/>
          <w:snapToGrid w:val="0"/>
          <w:color w:val="000000"/>
          <w:szCs w:val="21"/>
        </w:rPr>
      </w:pPr>
      <w:r w:rsidRPr="00C32F1C">
        <w:rPr>
          <w:rFonts w:ascii="Arial" w:hAnsi="Arial" w:cs="SimSun" w:hint="eastAsia"/>
          <w:b/>
          <w:bCs/>
          <w:noProof/>
          <w:snapToGrid w:val="0"/>
          <w:color w:val="000000"/>
          <w:szCs w:val="21"/>
        </w:rPr>
        <w:t>Table</w:t>
      </w:r>
      <w:r w:rsidRPr="00C32F1C">
        <w:rPr>
          <w:rFonts w:ascii="Arial" w:hAnsi="Arial" w:cs="SimSun" w:hint="eastAsia"/>
          <w:b/>
          <w:bCs/>
          <w:noProof/>
          <w:snapToGrid w:val="0"/>
          <w:color w:val="000000"/>
          <w:szCs w:val="21"/>
          <w:lang w:eastAsia="zh-CN"/>
        </w:rPr>
        <w:t xml:space="preserve"> 3</w:t>
      </w:r>
      <w:r w:rsidRPr="00C32F1C">
        <w:rPr>
          <w:rFonts w:ascii="Arial" w:hAnsi="Arial" w:cs="SimSun" w:hint="eastAsia"/>
          <w:b/>
          <w:bCs/>
          <w:noProof/>
          <w:snapToGrid w:val="0"/>
          <w:color w:val="000000"/>
          <w:szCs w:val="21"/>
        </w:rPr>
        <w:t xml:space="preserve"> Dimensionless evaluation indicators under different intake pressures</w:t>
      </w:r>
    </w:p>
    <w:p w14:paraId="2E87E784" w14:textId="77777777" w:rsidR="003441FF" w:rsidRPr="003F4F81" w:rsidRDefault="003441FF" w:rsidP="003F4F81">
      <w:pPr>
        <w:jc w:val="both"/>
        <w:rPr>
          <w:rFonts w:ascii="Arial" w:hAnsi="Arial"/>
          <w:lang w:eastAsia="zh-CN"/>
        </w:rPr>
      </w:pPr>
    </w:p>
    <w:tbl>
      <w:tblPr>
        <w:tblStyle w:val="TableGrid"/>
        <w:tblW w:w="0" w:type="auto"/>
        <w:tblLook w:val="04A0" w:firstRow="1" w:lastRow="0" w:firstColumn="1" w:lastColumn="0" w:noHBand="0" w:noVBand="1"/>
      </w:tblPr>
      <w:tblGrid>
        <w:gridCol w:w="2049"/>
        <w:gridCol w:w="2049"/>
        <w:gridCol w:w="2050"/>
        <w:gridCol w:w="2050"/>
      </w:tblGrid>
      <w:tr w:rsidR="00AB0BB1" w:rsidRPr="003F4F81" w14:paraId="206BD573" w14:textId="77777777" w:rsidTr="003441FF">
        <w:tc>
          <w:tcPr>
            <w:tcW w:w="2049" w:type="dxa"/>
            <w:vMerge w:val="restart"/>
            <w:vAlign w:val="center"/>
          </w:tcPr>
          <w:p w14:paraId="300579E0" w14:textId="0C3221D2" w:rsidR="00AB0BB1" w:rsidRPr="00FB5A7B" w:rsidRDefault="00AB0BB1"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I</w:t>
            </w:r>
            <w:r w:rsidRPr="00FB5A7B">
              <w:rPr>
                <w:rFonts w:ascii="Arial" w:eastAsiaTheme="minorEastAsia" w:hAnsi="Arial"/>
                <w:b/>
                <w:bCs/>
                <w:sz w:val="20"/>
                <w:szCs w:val="20"/>
                <w:lang w:eastAsia="zh-CN"/>
              </w:rPr>
              <w:t>ntake pressure</w:t>
            </w:r>
            <w:r w:rsidRPr="00FB5A7B">
              <w:rPr>
                <w:rFonts w:ascii="Arial" w:eastAsiaTheme="minorEastAsia" w:hAnsi="Arial" w:hint="eastAsia"/>
                <w:b/>
                <w:bCs/>
                <w:sz w:val="20"/>
                <w:szCs w:val="20"/>
                <w:lang w:eastAsia="zh-CN"/>
              </w:rPr>
              <w:t>/MPa</w:t>
            </w:r>
          </w:p>
        </w:tc>
        <w:tc>
          <w:tcPr>
            <w:tcW w:w="6149" w:type="dxa"/>
            <w:gridSpan w:val="3"/>
            <w:vAlign w:val="center"/>
          </w:tcPr>
          <w:p w14:paraId="1EBEFFE6" w14:textId="79B92979" w:rsidR="00AB0BB1" w:rsidRPr="00FB5A7B" w:rsidRDefault="00AB0BB1"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E</w:t>
            </w:r>
            <w:r w:rsidRPr="00FB5A7B">
              <w:rPr>
                <w:rFonts w:ascii="Arial" w:eastAsiaTheme="minorEastAsia" w:hAnsi="Arial"/>
                <w:b/>
                <w:bCs/>
                <w:sz w:val="20"/>
                <w:szCs w:val="20"/>
                <w:lang w:eastAsia="zh-CN"/>
              </w:rPr>
              <w:t>valuation metric</w:t>
            </w:r>
          </w:p>
        </w:tc>
      </w:tr>
      <w:tr w:rsidR="00D76647" w:rsidRPr="003F4F81" w14:paraId="1D737227" w14:textId="77777777" w:rsidTr="003441FF">
        <w:tc>
          <w:tcPr>
            <w:tcW w:w="2049" w:type="dxa"/>
            <w:vMerge/>
            <w:vAlign w:val="center"/>
          </w:tcPr>
          <w:p w14:paraId="63E86DC6" w14:textId="77777777" w:rsidR="00D76647" w:rsidRPr="00FB5A7B" w:rsidRDefault="00D76647" w:rsidP="003441FF">
            <w:pPr>
              <w:jc w:val="center"/>
              <w:rPr>
                <w:rFonts w:ascii="Arial" w:eastAsiaTheme="minorEastAsia" w:hAnsi="Arial"/>
                <w:b/>
                <w:bCs/>
                <w:sz w:val="20"/>
                <w:szCs w:val="20"/>
                <w:lang w:eastAsia="zh-CN"/>
              </w:rPr>
            </w:pPr>
          </w:p>
        </w:tc>
        <w:tc>
          <w:tcPr>
            <w:tcW w:w="2049" w:type="dxa"/>
            <w:vAlign w:val="center"/>
          </w:tcPr>
          <w:p w14:paraId="66C82C54" w14:textId="218A4989"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b/>
                <w:bCs/>
                <w:sz w:val="20"/>
                <w:szCs w:val="20"/>
                <w:lang w:eastAsia="zh-CN"/>
              </w:rPr>
              <w:t>Average indicated pressure</w:t>
            </w:r>
          </w:p>
        </w:tc>
        <w:tc>
          <w:tcPr>
            <w:tcW w:w="2050" w:type="dxa"/>
            <w:vAlign w:val="center"/>
          </w:tcPr>
          <w:p w14:paraId="285985D5" w14:textId="7D1473C5"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I</w:t>
            </w:r>
            <w:r w:rsidRPr="00FB5A7B">
              <w:rPr>
                <w:rFonts w:ascii="Arial" w:eastAsiaTheme="minorEastAsia" w:hAnsi="Arial"/>
                <w:b/>
                <w:bCs/>
                <w:sz w:val="20"/>
                <w:szCs w:val="20"/>
                <w:lang w:eastAsia="zh-CN"/>
              </w:rPr>
              <w:t>ndicated thermal efficiency</w:t>
            </w:r>
          </w:p>
        </w:tc>
        <w:tc>
          <w:tcPr>
            <w:tcW w:w="2050" w:type="dxa"/>
            <w:vAlign w:val="center"/>
          </w:tcPr>
          <w:p w14:paraId="0D7004C3" w14:textId="7CD247E3"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b/>
                <w:bCs/>
                <w:sz w:val="20"/>
                <w:szCs w:val="20"/>
                <w:lang w:eastAsia="zh-CN"/>
              </w:rPr>
              <w:t>NO quality score</w:t>
            </w:r>
          </w:p>
        </w:tc>
      </w:tr>
      <w:tr w:rsidR="003441FF" w:rsidRPr="003F4F81" w14:paraId="214E399E" w14:textId="77777777" w:rsidTr="003441FF">
        <w:tc>
          <w:tcPr>
            <w:tcW w:w="2049" w:type="dxa"/>
            <w:vAlign w:val="center"/>
          </w:tcPr>
          <w:p w14:paraId="70EEF651" w14:textId="48A0B174"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w:t>
            </w:r>
          </w:p>
        </w:tc>
        <w:tc>
          <w:tcPr>
            <w:tcW w:w="2049" w:type="dxa"/>
            <w:vAlign w:val="center"/>
          </w:tcPr>
          <w:p w14:paraId="1A6C6B74" w14:textId="57C49D49"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c>
          <w:tcPr>
            <w:tcW w:w="2050" w:type="dxa"/>
            <w:vAlign w:val="center"/>
          </w:tcPr>
          <w:p w14:paraId="4C62F584" w14:textId="2CD2D3C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c>
          <w:tcPr>
            <w:tcW w:w="2050" w:type="dxa"/>
            <w:vAlign w:val="center"/>
          </w:tcPr>
          <w:p w14:paraId="0B71A186" w14:textId="2F14815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r>
      <w:tr w:rsidR="003441FF" w:rsidRPr="003F4F81" w14:paraId="49471B72" w14:textId="77777777" w:rsidTr="003441FF">
        <w:tc>
          <w:tcPr>
            <w:tcW w:w="2049" w:type="dxa"/>
            <w:vAlign w:val="center"/>
          </w:tcPr>
          <w:p w14:paraId="5105351E" w14:textId="5E493E9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0.12</w:t>
            </w:r>
          </w:p>
        </w:tc>
        <w:tc>
          <w:tcPr>
            <w:tcW w:w="2049" w:type="dxa"/>
            <w:vAlign w:val="center"/>
          </w:tcPr>
          <w:p w14:paraId="4FD3AE1E" w14:textId="3AF33B70"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0.55</w:t>
            </w:r>
            <w:r w:rsidRPr="003441FF">
              <w:rPr>
                <w:rFonts w:ascii="Arial" w:eastAsiaTheme="minorEastAsia" w:hAnsi="Arial" w:hint="eastAsia"/>
                <w:sz w:val="20"/>
                <w:szCs w:val="20"/>
                <w:lang w:eastAsia="zh-CN"/>
              </w:rPr>
              <w:t>3</w:t>
            </w:r>
          </w:p>
        </w:tc>
        <w:tc>
          <w:tcPr>
            <w:tcW w:w="2050" w:type="dxa"/>
            <w:vAlign w:val="center"/>
          </w:tcPr>
          <w:p w14:paraId="06CB9629" w14:textId="203C18F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0.610</w:t>
            </w:r>
          </w:p>
        </w:tc>
        <w:tc>
          <w:tcPr>
            <w:tcW w:w="2050" w:type="dxa"/>
            <w:vAlign w:val="center"/>
          </w:tcPr>
          <w:p w14:paraId="4B4C4D87" w14:textId="3C95CCE9"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0.610</w:t>
            </w:r>
          </w:p>
        </w:tc>
      </w:tr>
      <w:tr w:rsidR="003441FF" w:rsidRPr="003F4F81" w14:paraId="643F154C" w14:textId="77777777" w:rsidTr="003441FF">
        <w:tc>
          <w:tcPr>
            <w:tcW w:w="2049" w:type="dxa"/>
            <w:vAlign w:val="center"/>
          </w:tcPr>
          <w:p w14:paraId="47F4B15E" w14:textId="59E2EE0B"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0.14</w:t>
            </w:r>
          </w:p>
        </w:tc>
        <w:tc>
          <w:tcPr>
            <w:tcW w:w="2049" w:type="dxa"/>
            <w:vAlign w:val="center"/>
          </w:tcPr>
          <w:p w14:paraId="11452B88" w14:textId="71D30F4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0.771</w:t>
            </w:r>
          </w:p>
        </w:tc>
        <w:tc>
          <w:tcPr>
            <w:tcW w:w="2050" w:type="dxa"/>
            <w:vAlign w:val="center"/>
          </w:tcPr>
          <w:p w14:paraId="25A3C5B8" w14:textId="48FF3871"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0.806</w:t>
            </w:r>
          </w:p>
        </w:tc>
        <w:tc>
          <w:tcPr>
            <w:tcW w:w="2050" w:type="dxa"/>
            <w:vAlign w:val="center"/>
          </w:tcPr>
          <w:p w14:paraId="16E4D7FF" w14:textId="022532E0"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w:t>
            </w:r>
            <w:r w:rsidRPr="003441FF">
              <w:rPr>
                <w:rFonts w:ascii="Arial" w:eastAsiaTheme="minorEastAsia" w:hAnsi="Arial" w:hint="eastAsia"/>
                <w:sz w:val="20"/>
                <w:szCs w:val="20"/>
                <w:lang w:eastAsia="zh-CN"/>
              </w:rPr>
              <w:t>20</w:t>
            </w:r>
          </w:p>
        </w:tc>
      </w:tr>
      <w:tr w:rsidR="003441FF" w:rsidRPr="003F4F81" w14:paraId="607370A4" w14:textId="77777777" w:rsidTr="003441FF">
        <w:tc>
          <w:tcPr>
            <w:tcW w:w="2049" w:type="dxa"/>
            <w:vAlign w:val="center"/>
          </w:tcPr>
          <w:p w14:paraId="6320DF45" w14:textId="681D7D76"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0.16</w:t>
            </w:r>
          </w:p>
        </w:tc>
        <w:tc>
          <w:tcPr>
            <w:tcW w:w="2049" w:type="dxa"/>
            <w:vAlign w:val="center"/>
          </w:tcPr>
          <w:p w14:paraId="7F225206" w14:textId="4E62F9A7"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0.959</w:t>
            </w:r>
          </w:p>
        </w:tc>
        <w:tc>
          <w:tcPr>
            <w:tcW w:w="2050" w:type="dxa"/>
            <w:vAlign w:val="center"/>
          </w:tcPr>
          <w:p w14:paraId="62B1A8F6" w14:textId="461047B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0.983</w:t>
            </w:r>
          </w:p>
        </w:tc>
        <w:tc>
          <w:tcPr>
            <w:tcW w:w="2050" w:type="dxa"/>
            <w:vAlign w:val="center"/>
          </w:tcPr>
          <w:p w14:paraId="54ABDE13" w14:textId="799C45B1"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0.81</w:t>
            </w:r>
            <w:r w:rsidRPr="003441FF">
              <w:rPr>
                <w:rFonts w:ascii="Arial" w:eastAsiaTheme="minorEastAsia" w:hAnsi="Arial" w:hint="eastAsia"/>
                <w:sz w:val="20"/>
                <w:szCs w:val="20"/>
                <w:lang w:eastAsia="zh-CN"/>
              </w:rPr>
              <w:t>7</w:t>
            </w:r>
          </w:p>
        </w:tc>
      </w:tr>
      <w:tr w:rsidR="003441FF" w:rsidRPr="003F4F81" w14:paraId="23E20436" w14:textId="77777777" w:rsidTr="003441FF">
        <w:tc>
          <w:tcPr>
            <w:tcW w:w="2049" w:type="dxa"/>
            <w:vAlign w:val="center"/>
          </w:tcPr>
          <w:p w14:paraId="47B53971" w14:textId="7B2A8E0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0.18</w:t>
            </w:r>
          </w:p>
        </w:tc>
        <w:tc>
          <w:tcPr>
            <w:tcW w:w="2049" w:type="dxa"/>
            <w:vAlign w:val="center"/>
          </w:tcPr>
          <w:p w14:paraId="0E69732E" w14:textId="2A98D1E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c>
          <w:tcPr>
            <w:tcW w:w="2050" w:type="dxa"/>
            <w:vAlign w:val="center"/>
          </w:tcPr>
          <w:p w14:paraId="7E7457FD" w14:textId="43B97FE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c>
          <w:tcPr>
            <w:tcW w:w="2050" w:type="dxa"/>
            <w:vAlign w:val="center"/>
          </w:tcPr>
          <w:p w14:paraId="50609286" w14:textId="3E6BC955"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r>
    </w:tbl>
    <w:p w14:paraId="02E470D5" w14:textId="77777777" w:rsidR="00B2383F" w:rsidRDefault="00B2383F" w:rsidP="003F4F81">
      <w:pPr>
        <w:jc w:val="both"/>
        <w:rPr>
          <w:rFonts w:ascii="Arial" w:hAnsi="Arial"/>
          <w:lang w:eastAsia="zh-CN"/>
        </w:rPr>
      </w:pPr>
    </w:p>
    <w:p w14:paraId="348D0EF4" w14:textId="7FC8A80C" w:rsidR="00FB5A7B" w:rsidRDefault="00FB5A7B" w:rsidP="003F4F81">
      <w:pPr>
        <w:jc w:val="both"/>
        <w:rPr>
          <w:rFonts w:ascii="Arial" w:hAnsi="Arial"/>
          <w:lang w:eastAsia="zh-CN"/>
        </w:rPr>
      </w:pPr>
      <w:r w:rsidRPr="00FB5A7B">
        <w:rPr>
          <w:rFonts w:ascii="Arial" w:hAnsi="Arial"/>
          <w:lang w:eastAsia="zh-CN"/>
        </w:rPr>
        <w:t>Substitute the data into Formula (</w:t>
      </w:r>
      <w:r>
        <w:rPr>
          <w:rFonts w:ascii="Arial" w:hAnsi="Arial" w:hint="eastAsia"/>
          <w:lang w:eastAsia="zh-CN"/>
        </w:rPr>
        <w:t>10</w:t>
      </w:r>
      <w:r w:rsidRPr="00FB5A7B">
        <w:rPr>
          <w:rFonts w:ascii="Arial" w:hAnsi="Arial"/>
          <w:lang w:eastAsia="zh-CN"/>
        </w:rPr>
        <w:t>). The optimization results under various intake pressures at medium load are presented as follows:</w:t>
      </w:r>
    </w:p>
    <w:p w14:paraId="6C0C1DF2" w14:textId="77777777" w:rsidR="00D96361" w:rsidRDefault="00D96361" w:rsidP="003F4F81">
      <w:pPr>
        <w:jc w:val="both"/>
        <w:rPr>
          <w:rFonts w:ascii="Arial" w:hAnsi="Arial"/>
          <w:lang w:eastAsia="zh-CN"/>
        </w:rPr>
      </w:pPr>
    </w:p>
    <w:p w14:paraId="016D0F33" w14:textId="3977DDBC" w:rsidR="00FB5A7B" w:rsidRDefault="009431FB" w:rsidP="009431FB">
      <w:pPr>
        <w:jc w:val="both"/>
      </w:pPr>
      <w:r w:rsidRPr="009431FB">
        <w:rPr>
          <w:position w:val="-82"/>
        </w:rPr>
        <w:object w:dxaOrig="5380" w:dyaOrig="1760" w14:anchorId="43AA09B7">
          <v:shape id="_x0000_i1090" type="#_x0000_t75" style="width:268.85pt;height:88.35pt" o:ole="">
            <v:imagedata r:id="rId158" o:title=""/>
          </v:shape>
          <o:OLEObject Type="Embed" ProgID="Equation.DSMT4" ShapeID="_x0000_i1090" DrawAspect="Content" ObjectID="_1841662297" r:id="rId159"/>
        </w:object>
      </w:r>
    </w:p>
    <w:p w14:paraId="121B9F81" w14:textId="77777777" w:rsidR="00D96361" w:rsidRDefault="00D96361" w:rsidP="003F4F81">
      <w:pPr>
        <w:jc w:val="both"/>
      </w:pPr>
    </w:p>
    <w:p w14:paraId="7E8E551E" w14:textId="77777777" w:rsidR="00EB6087" w:rsidRPr="00EB6087" w:rsidRDefault="00EB6087" w:rsidP="00EB6087">
      <w:pPr>
        <w:jc w:val="both"/>
        <w:rPr>
          <w:rFonts w:ascii="Arial" w:hAnsi="Arial"/>
          <w:lang w:eastAsia="zh-CN"/>
        </w:rPr>
      </w:pPr>
      <w:r w:rsidRPr="00EB6087">
        <w:rPr>
          <w:rFonts w:ascii="Arial" w:hAnsi="Arial"/>
          <w:lang w:eastAsia="zh-CN"/>
        </w:rPr>
        <w:t xml:space="preserve">It can be observed from the final optimization results that the maximum value corresponds to 0.16 MPa intake pressure, representing the optimal comprehensive performance. Under this operating condition, indicated power and thermal efficiency maintain relatively high levels, </w:t>
      </w:r>
      <w:r w:rsidRPr="00EB6087">
        <w:rPr>
          <w:rFonts w:ascii="Arial" w:hAnsi="Arial"/>
          <w:lang w:eastAsia="zh-CN"/>
        </w:rPr>
        <w:lastRenderedPageBreak/>
        <w:t>while NO mass fraction remains low, which well satisfies the comprehensive requirements on power, economy and emission performance.</w:t>
      </w:r>
    </w:p>
    <w:p w14:paraId="3564680B" w14:textId="77777777" w:rsidR="00EB6087" w:rsidRPr="00EB6087" w:rsidRDefault="00EB6087" w:rsidP="00EB6087">
      <w:pPr>
        <w:jc w:val="both"/>
        <w:rPr>
          <w:rFonts w:ascii="Arial" w:hAnsi="Arial"/>
          <w:lang w:eastAsia="zh-CN"/>
        </w:rPr>
      </w:pPr>
    </w:p>
    <w:p w14:paraId="67F8497B" w14:textId="77777777" w:rsidR="00EB6087" w:rsidRPr="00EB6087" w:rsidRDefault="00EB6087" w:rsidP="00EB6087">
      <w:pPr>
        <w:jc w:val="both"/>
        <w:rPr>
          <w:rFonts w:ascii="Arial" w:hAnsi="Arial"/>
          <w:lang w:eastAsia="zh-CN"/>
        </w:rPr>
      </w:pPr>
      <w:r w:rsidRPr="00EB6087">
        <w:rPr>
          <w:rFonts w:ascii="Arial" w:hAnsi="Arial"/>
          <w:lang w:eastAsia="zh-CN"/>
        </w:rPr>
        <w:t>Among the five selected intake pressures, 0.16 MPa delivers the best overall performance and is regarded as the optimal pressure within the research scope. The actual optimal value may lie in the interval of 0.14–0.16 MPa or 0.16–0.18 MPa rather than the discrete sampling points. More precise results can be acquired by reducing pressure interval and calculating denser working points.</w:t>
      </w:r>
    </w:p>
    <w:p w14:paraId="3B27EB92" w14:textId="77777777" w:rsidR="00EB6087" w:rsidRPr="00EB6087" w:rsidRDefault="00EB6087" w:rsidP="00EB6087">
      <w:pPr>
        <w:jc w:val="both"/>
        <w:rPr>
          <w:rFonts w:ascii="Arial" w:hAnsi="Arial"/>
          <w:lang w:eastAsia="zh-CN"/>
        </w:rPr>
      </w:pPr>
    </w:p>
    <w:p w14:paraId="15FA1B3E" w14:textId="05850B7F" w:rsidR="00EB6087" w:rsidRDefault="00EB6087" w:rsidP="00EB6087">
      <w:pPr>
        <w:jc w:val="both"/>
        <w:rPr>
          <w:rFonts w:ascii="Arial" w:hAnsi="Arial"/>
          <w:lang w:eastAsia="zh-CN"/>
        </w:rPr>
      </w:pPr>
      <w:r w:rsidRPr="00EB6087">
        <w:rPr>
          <w:rFonts w:ascii="Arial" w:hAnsi="Arial"/>
          <w:lang w:eastAsia="zh-CN"/>
        </w:rPr>
        <w:t>Restricted by research scope and computational workload, further refined analysis is not conducted. Consequently, 0.16 MPa is determined as the representative optimal intake pressure.</w:t>
      </w:r>
    </w:p>
    <w:p w14:paraId="0E59D842" w14:textId="77777777" w:rsidR="003C3E94" w:rsidRDefault="003C3E94" w:rsidP="00EB6087">
      <w:pPr>
        <w:jc w:val="both"/>
        <w:rPr>
          <w:rFonts w:ascii="Arial" w:hAnsi="Arial"/>
          <w:lang w:eastAsia="zh-CN"/>
        </w:rPr>
      </w:pPr>
    </w:p>
    <w:p w14:paraId="150A2194" w14:textId="11B3D647" w:rsidR="003C3E94" w:rsidRPr="00C32F1C" w:rsidRDefault="00D96361" w:rsidP="003C3E94">
      <w:pPr>
        <w:rPr>
          <w:rFonts w:ascii="Arial" w:hAnsi="Arial"/>
          <w:b/>
          <w:bCs/>
          <w:sz w:val="22"/>
          <w:szCs w:val="22"/>
          <w:lang w:eastAsia="zh-CN"/>
        </w:rPr>
      </w:pPr>
      <w:r w:rsidRPr="00C32F1C">
        <w:rPr>
          <w:rFonts w:ascii="Arial" w:hAnsi="Arial" w:hint="eastAsia"/>
          <w:b/>
          <w:bCs/>
          <w:sz w:val="22"/>
          <w:szCs w:val="22"/>
          <w:lang w:eastAsia="zh-CN"/>
        </w:rPr>
        <w:t>5</w:t>
      </w:r>
      <w:r w:rsidR="003C3E94" w:rsidRPr="00C32F1C">
        <w:rPr>
          <w:rFonts w:ascii="Arial" w:hAnsi="Arial"/>
          <w:b/>
          <w:bCs/>
          <w:sz w:val="22"/>
          <w:szCs w:val="22"/>
          <w:lang w:eastAsia="zh-CN"/>
        </w:rPr>
        <w:t>. CONCLUSION</w:t>
      </w:r>
    </w:p>
    <w:p w14:paraId="542B56EF" w14:textId="77777777" w:rsidR="003C3E94" w:rsidRDefault="003C3E94" w:rsidP="003C3E94">
      <w:pPr>
        <w:jc w:val="both"/>
        <w:rPr>
          <w:rFonts w:ascii="Arial" w:hAnsi="Arial"/>
          <w:lang w:eastAsia="zh-CN"/>
        </w:rPr>
      </w:pPr>
    </w:p>
    <w:p w14:paraId="5BF8F0C8" w14:textId="30DA3542" w:rsidR="003C3E94" w:rsidRDefault="00C32F1C" w:rsidP="003C3E94">
      <w:pPr>
        <w:jc w:val="both"/>
        <w:rPr>
          <w:rFonts w:ascii="Arial" w:hAnsi="Arial"/>
          <w:lang w:eastAsia="zh-CN"/>
        </w:rPr>
      </w:pPr>
      <w:r>
        <w:rPr>
          <w:rFonts w:ascii="Arial" w:hAnsi="Arial" w:hint="eastAsia"/>
          <w:lang w:eastAsia="zh-CN"/>
        </w:rPr>
        <w:t>1.</w:t>
      </w:r>
      <w:r w:rsidR="00A50A54" w:rsidRPr="00A50A54">
        <w:rPr>
          <w:rFonts w:ascii="Arial" w:hAnsi="Arial"/>
          <w:lang w:eastAsia="zh-CN"/>
        </w:rPr>
        <w:t>With the rise of intake pressure, in-cylinder pressure, temperature, heat release rate and cumulative heat release all increase, while the peak phase barely changes. Higher intake pressure increases cylinder charge and mixture density, intensifies combustion and concentrates heat release during main combustion stage. Meanwhile, the P-V diagram shifts upward with larger enclosed area, proving improved cyclic work capacity.</w:t>
      </w:r>
    </w:p>
    <w:p w14:paraId="2BDBB3E3" w14:textId="77777777" w:rsidR="00A50A54" w:rsidRDefault="00A50A54" w:rsidP="003C3E94">
      <w:pPr>
        <w:jc w:val="both"/>
        <w:rPr>
          <w:rFonts w:ascii="Arial" w:hAnsi="Arial"/>
          <w:lang w:eastAsia="zh-CN"/>
        </w:rPr>
      </w:pPr>
    </w:p>
    <w:p w14:paraId="467F4209" w14:textId="2D34450B" w:rsidR="00E63568" w:rsidRDefault="00C32F1C" w:rsidP="003C3E94">
      <w:pPr>
        <w:jc w:val="both"/>
        <w:rPr>
          <w:rFonts w:ascii="Arial" w:hAnsi="Arial"/>
          <w:lang w:eastAsia="zh-CN"/>
        </w:rPr>
      </w:pPr>
      <w:r>
        <w:rPr>
          <w:rFonts w:ascii="Arial" w:hAnsi="Arial" w:hint="eastAsia"/>
          <w:lang w:eastAsia="zh-CN"/>
        </w:rPr>
        <w:t>2.</w:t>
      </w:r>
      <w:r w:rsidR="00E63568" w:rsidRPr="00E63568">
        <w:rPr>
          <w:rFonts w:ascii="Arial" w:hAnsi="Arial"/>
          <w:lang w:eastAsia="zh-CN"/>
        </w:rPr>
        <w:t>In terms of heat transfer, the heat transfer coefficient, absolute heat flux and total heat transfer rise with increasing intake pressure. Enhanced combustion leads to greater wall heat loss. The total heat transfer increases from 35.72 J at 0.10 MPa to 38.83 J at 0.18 MPa, which indicates higher intake pressure aggravates cyclic heat loss.</w:t>
      </w:r>
    </w:p>
    <w:p w14:paraId="54AE2284" w14:textId="77777777" w:rsidR="00E63568" w:rsidRDefault="00E63568" w:rsidP="003C3E94">
      <w:pPr>
        <w:jc w:val="both"/>
        <w:rPr>
          <w:rFonts w:ascii="Arial" w:hAnsi="Arial"/>
          <w:lang w:eastAsia="zh-CN"/>
        </w:rPr>
      </w:pPr>
    </w:p>
    <w:p w14:paraId="24E16282" w14:textId="46C9EFFF" w:rsidR="00E63568" w:rsidRDefault="00C32F1C" w:rsidP="003C3E94">
      <w:pPr>
        <w:jc w:val="both"/>
        <w:rPr>
          <w:rFonts w:ascii="Arial" w:hAnsi="Arial"/>
          <w:lang w:eastAsia="zh-CN"/>
        </w:rPr>
      </w:pPr>
      <w:r>
        <w:rPr>
          <w:rFonts w:ascii="Arial" w:hAnsi="Arial" w:hint="eastAsia"/>
          <w:lang w:eastAsia="zh-CN"/>
        </w:rPr>
        <w:t>3.</w:t>
      </w:r>
      <w:r w:rsidR="00E63568" w:rsidRPr="00E63568">
        <w:rPr>
          <w:rFonts w:ascii="Arial" w:hAnsi="Arial"/>
          <w:lang w:eastAsia="zh-CN"/>
        </w:rPr>
        <w:t xml:space="preserve">In terms of power performance and fuel economy, both </w:t>
      </w:r>
      <w:proofErr w:type="gramStart"/>
      <w:r w:rsidR="00E63568" w:rsidRPr="00E63568">
        <w:rPr>
          <w:rFonts w:ascii="Arial" w:hAnsi="Arial"/>
          <w:lang w:eastAsia="zh-CN"/>
        </w:rPr>
        <w:t>mean</w:t>
      </w:r>
      <w:proofErr w:type="gramEnd"/>
      <w:r w:rsidR="00E63568" w:rsidRPr="00E63568">
        <w:rPr>
          <w:rFonts w:ascii="Arial" w:hAnsi="Arial"/>
          <w:lang w:eastAsia="zh-CN"/>
        </w:rPr>
        <w:t xml:space="preserve"> indicated pressure and indicated thermal efficiency rise as intake pressure increases from 0.10 MPa to 0.18 MPa. The mean indicated pressure grows from 0.5866 MPa to 0.6446 MPa, verifying higher intake pressure enhances the work capacity per unit cylinder volume. The indicated thermal efficiency rises from 41.999% to 45.329%, which facilitates in-cylinder energy release and conversion into effective indicated work. Overall performance improves with elevated intake pressure, yet the growth rate gradually declines at high pressure levels.</w:t>
      </w:r>
    </w:p>
    <w:p w14:paraId="75825259" w14:textId="77777777" w:rsidR="00736F68" w:rsidRDefault="00736F68" w:rsidP="003C3E94">
      <w:pPr>
        <w:jc w:val="both"/>
        <w:rPr>
          <w:rFonts w:ascii="Arial" w:hAnsi="Arial"/>
          <w:lang w:eastAsia="zh-CN"/>
        </w:rPr>
      </w:pPr>
    </w:p>
    <w:p w14:paraId="66902B8D" w14:textId="442BDDA2" w:rsidR="00736F68" w:rsidRDefault="00C32F1C" w:rsidP="003C3E94">
      <w:pPr>
        <w:jc w:val="both"/>
        <w:rPr>
          <w:rFonts w:ascii="Arial" w:hAnsi="Arial"/>
          <w:lang w:eastAsia="zh-CN"/>
        </w:rPr>
      </w:pPr>
      <w:r>
        <w:rPr>
          <w:rFonts w:ascii="Arial" w:hAnsi="Arial" w:hint="eastAsia"/>
          <w:lang w:eastAsia="zh-CN"/>
        </w:rPr>
        <w:t>4.</w:t>
      </w:r>
      <w:r w:rsidR="00736F68" w:rsidRPr="00736F68">
        <w:rPr>
          <w:rFonts w:ascii="Arial" w:hAnsi="Arial"/>
          <w:lang w:eastAsia="zh-CN"/>
        </w:rPr>
        <w:t>In terms of emissions, NO mass fraction rises obviously while soot mass fraction decreases continuously with growing intake pressure. Higher intake pressure elevates in-cylinder temperature and expands high-temperature zones, accelerating NO formation. Meanwhile, improved air supply, uniform mixture formation and enhanced oxidation restrain soot generation. Intake pressure exerts dual effects on emission characteristics. Increasing intake pressure reduces soot emission yet raises NO emission simultaneously.</w:t>
      </w:r>
    </w:p>
    <w:p w14:paraId="628EF0CA" w14:textId="77777777" w:rsidR="00736F68" w:rsidRDefault="00736F68" w:rsidP="003C3E94">
      <w:pPr>
        <w:jc w:val="both"/>
        <w:rPr>
          <w:rFonts w:ascii="Arial" w:hAnsi="Arial"/>
          <w:lang w:eastAsia="zh-CN"/>
        </w:rPr>
      </w:pPr>
    </w:p>
    <w:p w14:paraId="4DF36109" w14:textId="37324E6F" w:rsidR="000245A4" w:rsidRPr="00100B22" w:rsidRDefault="00100B22" w:rsidP="00100B22">
      <w:pPr>
        <w:rPr>
          <w:rFonts w:ascii="Arial" w:hAnsi="Arial"/>
          <w:b/>
          <w:bCs/>
          <w:sz w:val="22"/>
          <w:szCs w:val="22"/>
          <w:lang w:eastAsia="zh-CN"/>
        </w:rPr>
      </w:pPr>
      <w:r w:rsidRPr="00100B22">
        <w:rPr>
          <w:rFonts w:ascii="Arial" w:hAnsi="Arial"/>
          <w:b/>
          <w:bCs/>
          <w:sz w:val="22"/>
          <w:szCs w:val="22"/>
          <w:lang w:eastAsia="zh-CN"/>
        </w:rPr>
        <w:t>6. Limitations and Future Work</w:t>
      </w:r>
    </w:p>
    <w:p w14:paraId="6CFBB1B5" w14:textId="77777777" w:rsidR="005D00BD" w:rsidRDefault="005D00BD" w:rsidP="005D00BD">
      <w:pPr>
        <w:jc w:val="both"/>
        <w:rPr>
          <w:rFonts w:ascii="Arial" w:hAnsi="Arial"/>
          <w:lang w:eastAsia="zh-CN"/>
        </w:rPr>
      </w:pPr>
    </w:p>
    <w:p w14:paraId="28DEF25E" w14:textId="12B3BF81" w:rsidR="00551951" w:rsidRDefault="001A67C3" w:rsidP="000245A4">
      <w:pPr>
        <w:jc w:val="both"/>
        <w:rPr>
          <w:rFonts w:ascii="Arial" w:hAnsi="Arial"/>
          <w:lang w:eastAsia="zh-CN"/>
        </w:rPr>
      </w:pPr>
      <w:r w:rsidRPr="001A67C3">
        <w:rPr>
          <w:rFonts w:ascii="Arial" w:hAnsi="Arial"/>
          <w:lang w:eastAsia="zh-CN"/>
        </w:rPr>
        <w:t>When selecting the intake pressure parameters in this paper, the value intervals are still relatively large, and the parameter division is not detailed enough. This, to some extent, affects the accuracy of the optimal intake pressure determination results. Therefore, the optimal parameter values determined in this paper are closer to the relatively optimal results under the current discrete operating conditions, while their true optimal values may lie before, after, or between adjacent parameter points. It is still necessary to further reduce the parameter step size in subsequent research to improve the accuracy of the optimal parameter selection results.</w:t>
      </w:r>
    </w:p>
    <w:p w14:paraId="1E9FF149" w14:textId="77777777" w:rsidR="001A67C3" w:rsidRPr="005D00BD" w:rsidRDefault="001A67C3" w:rsidP="000245A4">
      <w:pPr>
        <w:jc w:val="both"/>
        <w:rPr>
          <w:rFonts w:ascii="Arial" w:hAnsi="Arial"/>
          <w:lang w:eastAsia="zh-CN"/>
        </w:rPr>
      </w:pPr>
    </w:p>
    <w:p w14:paraId="00D8A712" w14:textId="7B3A6E18" w:rsidR="00551951" w:rsidRDefault="00551951" w:rsidP="00551951">
      <w:pPr>
        <w:pStyle w:val="ReferHead"/>
        <w:spacing w:after="0"/>
        <w:jc w:val="both"/>
        <w:rPr>
          <w:rFonts w:ascii="Arial" w:hAnsi="Arial" w:cs="Arial"/>
          <w:bCs/>
        </w:rPr>
      </w:pPr>
      <w:r w:rsidRPr="002B685A">
        <w:rPr>
          <w:rFonts w:ascii="Arial" w:hAnsi="Arial" w:cs="Arial"/>
          <w:bCs/>
        </w:rPr>
        <w:t>Consent</w:t>
      </w:r>
    </w:p>
    <w:p w14:paraId="247BE7BB" w14:textId="77777777" w:rsidR="00551951" w:rsidRDefault="00551951" w:rsidP="00551951">
      <w:pPr>
        <w:jc w:val="both"/>
        <w:rPr>
          <w:rFonts w:ascii="Arial" w:hAnsi="Arial" w:cs="Arial"/>
          <w:lang w:eastAsia="zh-CN"/>
        </w:rPr>
      </w:pPr>
    </w:p>
    <w:p w14:paraId="680832E3" w14:textId="4875DE23" w:rsidR="00551951" w:rsidRDefault="00EC2EBD" w:rsidP="00551951">
      <w:pPr>
        <w:jc w:val="both"/>
        <w:rPr>
          <w:rFonts w:ascii="Arial" w:hAnsi="Arial" w:cs="Arial"/>
        </w:rPr>
      </w:pPr>
      <w:r w:rsidRPr="00EC2EBD">
        <w:rPr>
          <w:rFonts w:ascii="Arial" w:hAnsi="Arial" w:cs="Arial"/>
        </w:rPr>
        <w:lastRenderedPageBreak/>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704D2FF" w14:textId="77777777" w:rsidR="00333B1F" w:rsidRDefault="00333B1F" w:rsidP="00551951">
      <w:pPr>
        <w:jc w:val="both"/>
        <w:rPr>
          <w:rFonts w:ascii="Arial" w:hAnsi="Arial" w:cs="Arial"/>
        </w:rPr>
      </w:pPr>
    </w:p>
    <w:p w14:paraId="7CCD7416" w14:textId="77777777" w:rsidR="00333B1F" w:rsidRPr="00333B1F" w:rsidRDefault="00333B1F" w:rsidP="00333B1F">
      <w:pPr>
        <w:jc w:val="both"/>
        <w:rPr>
          <w:rFonts w:ascii="Arial" w:hAnsi="Arial" w:cs="Arial"/>
        </w:rPr>
      </w:pPr>
      <w:r w:rsidRPr="00333B1F">
        <w:rPr>
          <w:rFonts w:ascii="Arial" w:hAnsi="Arial" w:cs="Arial"/>
        </w:rPr>
        <w:t>COMPETING INTERESTS DISCLAIMER:</w:t>
      </w:r>
    </w:p>
    <w:p w14:paraId="0B9C19C6" w14:textId="70EB58D0" w:rsidR="00333B1F" w:rsidRDefault="00333B1F" w:rsidP="00333B1F">
      <w:pPr>
        <w:jc w:val="both"/>
        <w:rPr>
          <w:rFonts w:ascii="Arial" w:hAnsi="Arial" w:cs="Arial"/>
        </w:rPr>
      </w:pPr>
      <w:r w:rsidRPr="00333B1F">
        <w:rPr>
          <w:rFonts w:ascii="Arial" w:hAnsi="Arial" w:cs="Arial"/>
        </w:rPr>
        <w:t>Authors have declared that they have no known competing financial interests OR non-financial interests OR personal relationships that could have appeared to influence the work reported in this paper.</w:t>
      </w:r>
    </w:p>
    <w:p w14:paraId="5110AAD0" w14:textId="77777777" w:rsidR="00EC2EBD" w:rsidRDefault="00EC2EBD" w:rsidP="00551951">
      <w:pPr>
        <w:jc w:val="both"/>
        <w:rPr>
          <w:rFonts w:ascii="Arial" w:hAnsi="Arial" w:cs="Arial"/>
          <w:lang w:eastAsia="zh-CN"/>
        </w:rPr>
      </w:pPr>
    </w:p>
    <w:p w14:paraId="13AAF76E" w14:textId="77777777" w:rsidR="00E13CFD" w:rsidRDefault="00E13CFD" w:rsidP="00551951">
      <w:pPr>
        <w:jc w:val="both"/>
        <w:rPr>
          <w:rFonts w:ascii="Arial" w:hAnsi="Arial" w:cs="Arial"/>
          <w:lang w:eastAsia="zh-CN"/>
        </w:rPr>
      </w:pPr>
    </w:p>
    <w:p w14:paraId="5E06521B" w14:textId="77777777" w:rsidR="00E13CFD" w:rsidRPr="00E13CFD" w:rsidRDefault="00E13CFD" w:rsidP="00DA53BC">
      <w:pPr>
        <w:pStyle w:val="ReferHead"/>
        <w:spacing w:after="0"/>
        <w:jc w:val="both"/>
        <w:rPr>
          <w:rFonts w:ascii="Times New Roman" w:eastAsia="Calibri" w:hAnsi="Times New Roman"/>
          <w:kern w:val="2"/>
          <w:szCs w:val="22"/>
          <w:highlight w:val="yellow"/>
        </w:rPr>
      </w:pPr>
      <w:bookmarkStart w:id="1" w:name="_Hlk198031404"/>
      <w:bookmarkStart w:id="2" w:name="_Hlk219125673"/>
      <w:r w:rsidRPr="00DA53BC">
        <w:rPr>
          <w:rFonts w:ascii="Arial" w:hAnsi="Arial" w:cs="Arial"/>
          <w:bCs/>
        </w:rPr>
        <w:t>Disclaimer (Artificial intelligence)</w:t>
      </w:r>
    </w:p>
    <w:p w14:paraId="3388C66D" w14:textId="77777777" w:rsidR="00E13CFD" w:rsidRPr="00E13CFD" w:rsidRDefault="00E13CFD" w:rsidP="00E13CFD">
      <w:pPr>
        <w:rPr>
          <w:rFonts w:ascii="Times New Roman" w:eastAsia="Calibri" w:hAnsi="Times New Roman"/>
          <w:kern w:val="2"/>
          <w:sz w:val="22"/>
          <w:szCs w:val="22"/>
          <w:highlight w:val="yellow"/>
        </w:rPr>
      </w:pPr>
    </w:p>
    <w:p w14:paraId="21311DAA" w14:textId="77777777" w:rsidR="00E13CFD" w:rsidRPr="00DA53BC" w:rsidRDefault="00E13CFD" w:rsidP="00DA53BC">
      <w:pPr>
        <w:jc w:val="both"/>
        <w:rPr>
          <w:rFonts w:ascii="Arial" w:hAnsi="Arial" w:cs="Arial"/>
        </w:rPr>
      </w:pPr>
      <w:r w:rsidRPr="00DA53BC">
        <w:rPr>
          <w:rFonts w:ascii="Arial" w:hAnsi="Arial" w:cs="Arial"/>
        </w:rPr>
        <w:t xml:space="preserve">Author(s) hereby </w:t>
      </w:r>
      <w:proofErr w:type="gramStart"/>
      <w:r w:rsidRPr="00DA53BC">
        <w:rPr>
          <w:rFonts w:ascii="Arial" w:hAnsi="Arial" w:cs="Arial"/>
        </w:rPr>
        <w:t>declare</w:t>
      </w:r>
      <w:proofErr w:type="gramEnd"/>
      <w:r w:rsidRPr="00DA53BC">
        <w:rPr>
          <w:rFonts w:ascii="Arial" w:hAnsi="Arial" w:cs="Arial"/>
        </w:rPr>
        <w:t xml:space="preserve"> that NO generative AI technologies such as Large Language Models (ChatGPT, COPILOT, etc.) and text-to-image generators have been used during the writing or editing of this manuscript. </w:t>
      </w:r>
    </w:p>
    <w:bookmarkEnd w:id="1"/>
    <w:p w14:paraId="744BC2F8" w14:textId="77777777" w:rsidR="00E13CFD" w:rsidRPr="00E13CFD" w:rsidRDefault="00E13CFD" w:rsidP="00E13CFD">
      <w:pPr>
        <w:spacing w:after="200" w:line="276" w:lineRule="auto"/>
        <w:rPr>
          <w:rFonts w:asciiTheme="minorHAnsi" w:eastAsiaTheme="minorHAnsi" w:hAnsiTheme="minorHAnsi" w:cstheme="minorBidi"/>
          <w:sz w:val="28"/>
          <w:szCs w:val="22"/>
        </w:rPr>
      </w:pPr>
    </w:p>
    <w:bookmarkEnd w:id="2"/>
    <w:p w14:paraId="3AE14C87" w14:textId="77777777" w:rsidR="00E13CFD" w:rsidRDefault="00E13CFD" w:rsidP="00551951">
      <w:pPr>
        <w:jc w:val="both"/>
        <w:rPr>
          <w:rFonts w:ascii="Arial" w:hAnsi="Arial" w:cs="Arial"/>
          <w:lang w:eastAsia="zh-CN"/>
        </w:rPr>
      </w:pPr>
    </w:p>
    <w:p w14:paraId="28BA7290" w14:textId="77777777" w:rsidR="005E6FDD" w:rsidRDefault="005E6FDD" w:rsidP="005E6FDD">
      <w:pPr>
        <w:pStyle w:val="ReferHead"/>
        <w:spacing w:after="0"/>
        <w:jc w:val="both"/>
        <w:rPr>
          <w:rFonts w:ascii="Arial" w:hAnsi="Arial" w:cs="Arial"/>
        </w:rPr>
      </w:pPr>
      <w:r w:rsidRPr="00FB3A86">
        <w:rPr>
          <w:rFonts w:ascii="Arial" w:hAnsi="Arial" w:cs="Arial"/>
        </w:rPr>
        <w:t>References</w:t>
      </w:r>
    </w:p>
    <w:p w14:paraId="475F95BF" w14:textId="77777777" w:rsidR="00EC2EBD" w:rsidRDefault="00EC2EBD" w:rsidP="00551951">
      <w:pPr>
        <w:jc w:val="both"/>
        <w:rPr>
          <w:rFonts w:ascii="Arial" w:hAnsi="Arial" w:cs="Arial"/>
          <w:lang w:eastAsia="zh-CN"/>
        </w:rPr>
      </w:pPr>
    </w:p>
    <w:p w14:paraId="57013654" w14:textId="497CD213" w:rsidR="00961B38" w:rsidRDefault="00961B38" w:rsidP="00BC20B5">
      <w:pPr>
        <w:pStyle w:val="ListParagraph"/>
        <w:numPr>
          <w:ilvl w:val="0"/>
          <w:numId w:val="31"/>
        </w:numPr>
        <w:ind w:firstLineChars="0"/>
        <w:jc w:val="both"/>
        <w:rPr>
          <w:lang w:eastAsia="zh-CN"/>
        </w:rPr>
      </w:pPr>
      <w:bookmarkStart w:id="3" w:name="_Ref230564052"/>
      <w:r w:rsidRPr="003C7FF0">
        <w:t>AGARWAL A K, MOUNAÏM-ROUSSELLE C, BREQUIGNY P, et al. Future of internal combustion engines using sustainable, scalable, and storable E-fuels and biofuels for decarbonizing transport and enabling advanced combustion technologies[J]. Progress in Energy and Combustion Science, 2025, 110: 101236. DOI: 10.1016/j.pecs.2025.101236</w:t>
      </w:r>
      <w:r>
        <w:rPr>
          <w:rFonts w:hint="eastAsia"/>
          <w:lang w:eastAsia="zh-CN"/>
        </w:rPr>
        <w:t>.</w:t>
      </w:r>
      <w:bookmarkEnd w:id="3"/>
    </w:p>
    <w:p w14:paraId="74E62DE8" w14:textId="77777777" w:rsidR="00961B38" w:rsidRDefault="00961B38" w:rsidP="00551951">
      <w:pPr>
        <w:jc w:val="both"/>
        <w:rPr>
          <w:lang w:eastAsia="zh-CN"/>
        </w:rPr>
      </w:pPr>
    </w:p>
    <w:p w14:paraId="419AC61E" w14:textId="34C08613" w:rsidR="00961B38" w:rsidRDefault="00961B38" w:rsidP="00BC20B5">
      <w:pPr>
        <w:pStyle w:val="ListParagraph"/>
        <w:numPr>
          <w:ilvl w:val="0"/>
          <w:numId w:val="31"/>
        </w:numPr>
        <w:ind w:firstLineChars="0"/>
        <w:jc w:val="both"/>
      </w:pPr>
      <w:bookmarkStart w:id="4" w:name="_Ref225152392"/>
      <w:r w:rsidRPr="00E13CFD">
        <w:rPr>
          <w:lang w:val="fr-FR"/>
        </w:rPr>
        <w:t xml:space="preserve">MAO J, ZUO Z, LI W, et al. </w:t>
      </w:r>
      <w:r w:rsidRPr="003C7FF0">
        <w:t xml:space="preserve">Multi-dimensional scavenging analysis of a free-piston linear alternator based on numerical simulation[J]. Applied Energy, 2011, 88(4): 1140-1152. </w:t>
      </w:r>
      <w:proofErr w:type="gramStart"/>
      <w:r w:rsidRPr="003C7FF0">
        <w:t>DOI:10.1016/j.apenergy</w:t>
      </w:r>
      <w:proofErr w:type="gramEnd"/>
      <w:r w:rsidRPr="003C7FF0">
        <w:t>.2010.10.003.</w:t>
      </w:r>
      <w:bookmarkEnd w:id="4"/>
    </w:p>
    <w:p w14:paraId="1F8D372C" w14:textId="77777777" w:rsidR="00A852E4" w:rsidRDefault="00A852E4" w:rsidP="00551951">
      <w:pPr>
        <w:jc w:val="both"/>
        <w:rPr>
          <w:lang w:eastAsia="zh-CN"/>
        </w:rPr>
      </w:pPr>
    </w:p>
    <w:p w14:paraId="48E750EF" w14:textId="1F99DE21" w:rsidR="00A852E4" w:rsidRDefault="00A852E4" w:rsidP="00BC20B5">
      <w:pPr>
        <w:pStyle w:val="ListParagraph"/>
        <w:numPr>
          <w:ilvl w:val="0"/>
          <w:numId w:val="31"/>
        </w:numPr>
        <w:ind w:firstLineChars="0"/>
        <w:jc w:val="both"/>
      </w:pPr>
      <w:bookmarkStart w:id="5" w:name="_Ref230564074"/>
      <w:r w:rsidRPr="00E13CFD">
        <w:rPr>
          <w:lang w:val="fr-FR"/>
        </w:rPr>
        <w:t xml:space="preserve">HAAG J, FERRARI C, STARCKE J H, et al. </w:t>
      </w:r>
      <w:r w:rsidRPr="003C7FF0">
        <w:t>Numerical and experimental investigation of in-cylinder flow in a loop-scavenged two-stroke free piston engine[C]//2012 Small Engine Technology Conference &amp; Exhibition. Warrendale, PA: SAE International, 2012. DOI:10.4271/2012-32-0114.</w:t>
      </w:r>
      <w:bookmarkEnd w:id="5"/>
    </w:p>
    <w:p w14:paraId="125416C1" w14:textId="77777777" w:rsidR="00A852E4" w:rsidRDefault="00A852E4" w:rsidP="00551951">
      <w:pPr>
        <w:jc w:val="both"/>
        <w:rPr>
          <w:lang w:eastAsia="zh-CN"/>
        </w:rPr>
      </w:pPr>
    </w:p>
    <w:p w14:paraId="4C549106" w14:textId="19166AB8" w:rsidR="00A852E4" w:rsidRDefault="00A852E4" w:rsidP="00BC20B5">
      <w:pPr>
        <w:pStyle w:val="ListParagraph"/>
        <w:numPr>
          <w:ilvl w:val="0"/>
          <w:numId w:val="31"/>
        </w:numPr>
        <w:ind w:firstLineChars="0"/>
        <w:jc w:val="both"/>
      </w:pPr>
      <w:bookmarkStart w:id="6" w:name="_Ref230564097"/>
      <w:r w:rsidRPr="00E13CFD">
        <w:rPr>
          <w:lang w:val="fr-FR"/>
        </w:rPr>
        <w:t xml:space="preserve">WU </w:t>
      </w:r>
      <w:proofErr w:type="spellStart"/>
      <w:r w:rsidRPr="00E13CFD">
        <w:rPr>
          <w:lang w:val="fr-FR"/>
        </w:rPr>
        <w:t>Y</w:t>
      </w:r>
      <w:proofErr w:type="spellEnd"/>
      <w:r w:rsidRPr="00E13CFD">
        <w:rPr>
          <w:lang w:val="fr-FR"/>
        </w:rPr>
        <w:t xml:space="preserve">, WANG </w:t>
      </w:r>
      <w:proofErr w:type="spellStart"/>
      <w:r w:rsidRPr="00E13CFD">
        <w:rPr>
          <w:lang w:val="fr-FR"/>
        </w:rPr>
        <w:t>Y</w:t>
      </w:r>
      <w:proofErr w:type="spellEnd"/>
      <w:r w:rsidRPr="00E13CFD">
        <w:rPr>
          <w:lang w:val="fr-FR"/>
        </w:rPr>
        <w:t xml:space="preserve">, ZHEN X, et al. </w:t>
      </w:r>
      <w:r w:rsidRPr="003C7FF0">
        <w:t xml:space="preserve">Three-dimensional CFD (computational fluid dynamics) analysis of scavenging process in a two-stroke free-piston engine[J]. Energy, 2014, 68: 167-173. </w:t>
      </w:r>
      <w:proofErr w:type="gramStart"/>
      <w:r w:rsidRPr="003C7FF0">
        <w:t>DOI:10.1016/j.energy</w:t>
      </w:r>
      <w:proofErr w:type="gramEnd"/>
      <w:r w:rsidRPr="003C7FF0">
        <w:t>.2014.02.107.</w:t>
      </w:r>
      <w:bookmarkEnd w:id="6"/>
    </w:p>
    <w:p w14:paraId="1938C352" w14:textId="77777777" w:rsidR="00A852E4" w:rsidRDefault="00A852E4" w:rsidP="00551951">
      <w:pPr>
        <w:jc w:val="both"/>
        <w:rPr>
          <w:rFonts w:ascii="Arial" w:hAnsi="Arial" w:cs="Arial"/>
          <w:lang w:eastAsia="zh-CN"/>
        </w:rPr>
      </w:pPr>
    </w:p>
    <w:p w14:paraId="62E1B8FA" w14:textId="53DBA989" w:rsidR="00A852E4" w:rsidRDefault="00A852E4" w:rsidP="00BC20B5">
      <w:pPr>
        <w:pStyle w:val="ListParagraph"/>
        <w:numPr>
          <w:ilvl w:val="0"/>
          <w:numId w:val="31"/>
        </w:numPr>
        <w:ind w:firstLineChars="0"/>
        <w:jc w:val="both"/>
      </w:pPr>
      <w:bookmarkStart w:id="7" w:name="_Ref230564108"/>
      <w:r w:rsidRPr="003C7FF0">
        <w:t xml:space="preserve">HUNG N B, SUNG J, LIM O. A study of the scavenging process in a two-stroke free piston linear engine using CFD[J]. Energy Procedia, 2017, 142: 1353-1360. </w:t>
      </w:r>
      <w:proofErr w:type="gramStart"/>
      <w:r w:rsidRPr="003C7FF0">
        <w:t>DOI:10.1016/j.egypro</w:t>
      </w:r>
      <w:proofErr w:type="gramEnd"/>
      <w:r w:rsidRPr="003C7FF0">
        <w:t>.2017.12.519.</w:t>
      </w:r>
      <w:bookmarkEnd w:id="7"/>
    </w:p>
    <w:p w14:paraId="3514CD9B" w14:textId="77777777" w:rsidR="00A852E4" w:rsidRDefault="00A852E4" w:rsidP="00551951">
      <w:pPr>
        <w:jc w:val="both"/>
        <w:rPr>
          <w:rFonts w:ascii="Arial" w:hAnsi="Arial" w:cs="Arial"/>
          <w:lang w:eastAsia="zh-CN"/>
        </w:rPr>
      </w:pPr>
    </w:p>
    <w:p w14:paraId="44A386BD" w14:textId="7844593C" w:rsidR="00A852E4" w:rsidRDefault="00A852E4" w:rsidP="00BC20B5">
      <w:pPr>
        <w:pStyle w:val="ListParagraph"/>
        <w:numPr>
          <w:ilvl w:val="0"/>
          <w:numId w:val="31"/>
        </w:numPr>
        <w:ind w:firstLineChars="0"/>
        <w:jc w:val="both"/>
      </w:pPr>
      <w:bookmarkStart w:id="8" w:name="_Ref230564123"/>
      <w:r w:rsidRPr="00E13CFD">
        <w:rPr>
          <w:lang w:val="fr-FR"/>
        </w:rPr>
        <w:t xml:space="preserve">SOFIANOPOULOS A, ZHOU Y, LAWLER B, et al. </w:t>
      </w:r>
      <w:r w:rsidRPr="003C7FF0">
        <w:t xml:space="preserve">Gas exchange processes of a small HCCI free piston engine: A computational study[J]. Applied Thermal Engineering, 2017, 127: 1582-1597. </w:t>
      </w:r>
      <w:proofErr w:type="gramStart"/>
      <w:r w:rsidRPr="003C7FF0">
        <w:t>DOI:10.1016/j.applthermaleng</w:t>
      </w:r>
      <w:proofErr w:type="gramEnd"/>
      <w:r w:rsidRPr="003C7FF0">
        <w:t>.2017.08.089.</w:t>
      </w:r>
      <w:bookmarkEnd w:id="8"/>
    </w:p>
    <w:p w14:paraId="3C6270C0" w14:textId="77777777" w:rsidR="00A852E4" w:rsidRDefault="00A852E4" w:rsidP="00551951">
      <w:pPr>
        <w:jc w:val="both"/>
        <w:rPr>
          <w:rFonts w:ascii="Arial" w:hAnsi="Arial" w:cs="Arial"/>
          <w:lang w:eastAsia="zh-CN"/>
        </w:rPr>
      </w:pPr>
    </w:p>
    <w:p w14:paraId="58C0B0DD" w14:textId="63AAACFD" w:rsidR="00A852E4" w:rsidRDefault="00A852E4" w:rsidP="00BC20B5">
      <w:pPr>
        <w:pStyle w:val="ListParagraph"/>
        <w:numPr>
          <w:ilvl w:val="0"/>
          <w:numId w:val="31"/>
        </w:numPr>
        <w:ind w:firstLineChars="0"/>
        <w:jc w:val="both"/>
      </w:pPr>
      <w:bookmarkStart w:id="9" w:name="_Ref230564127"/>
      <w:r w:rsidRPr="003C7FF0">
        <w:t xml:space="preserve">YUAN C, REN H, XU J. </w:t>
      </w:r>
      <w:proofErr w:type="spellStart"/>
      <w:r w:rsidRPr="003C7FF0">
        <w:t>Co</w:t>
      </w:r>
      <w:r>
        <w:t>MPa</w:t>
      </w:r>
      <w:r w:rsidRPr="003C7FF0">
        <w:t>rison</w:t>
      </w:r>
      <w:proofErr w:type="spellEnd"/>
      <w:r w:rsidRPr="003C7FF0">
        <w:t xml:space="preserve"> of the gas exchange of a loop scavenged free-piston engine alternator and the conventional engine[J]. Applied Thermal Engineering, 2017, 127: 638-649. </w:t>
      </w:r>
      <w:proofErr w:type="gramStart"/>
      <w:r w:rsidRPr="003C7FF0">
        <w:t>DOI:10.1016/j.applthermaleng</w:t>
      </w:r>
      <w:proofErr w:type="gramEnd"/>
      <w:r w:rsidRPr="003C7FF0">
        <w:t>.2017.08.059.</w:t>
      </w:r>
      <w:bookmarkEnd w:id="9"/>
    </w:p>
    <w:p w14:paraId="45EE20EA" w14:textId="77777777" w:rsidR="00A852E4" w:rsidRDefault="00A852E4" w:rsidP="00551951">
      <w:pPr>
        <w:jc w:val="both"/>
        <w:rPr>
          <w:rFonts w:ascii="Arial" w:hAnsi="Arial" w:cs="Arial"/>
          <w:lang w:eastAsia="zh-CN"/>
        </w:rPr>
      </w:pPr>
    </w:p>
    <w:p w14:paraId="2EA6F153" w14:textId="4A6B9B63" w:rsidR="00A852E4" w:rsidRDefault="00A852E4" w:rsidP="00BC20B5">
      <w:pPr>
        <w:pStyle w:val="ListParagraph"/>
        <w:numPr>
          <w:ilvl w:val="0"/>
          <w:numId w:val="31"/>
        </w:numPr>
        <w:ind w:firstLineChars="0"/>
        <w:jc w:val="both"/>
      </w:pPr>
      <w:bookmarkStart w:id="10" w:name="_Ref225152396"/>
      <w:r w:rsidRPr="00E13CFD">
        <w:rPr>
          <w:lang w:val="fr-FR"/>
        </w:rPr>
        <w:lastRenderedPageBreak/>
        <w:t xml:space="preserve">JIA B, WANG </w:t>
      </w:r>
      <w:proofErr w:type="spellStart"/>
      <w:r w:rsidRPr="00E13CFD">
        <w:rPr>
          <w:lang w:val="fr-FR"/>
        </w:rPr>
        <w:t>Y</w:t>
      </w:r>
      <w:proofErr w:type="spellEnd"/>
      <w:r w:rsidRPr="00E13CFD">
        <w:rPr>
          <w:lang w:val="fr-FR"/>
        </w:rPr>
        <w:t xml:space="preserve">, SMALLBONE A, et al. </w:t>
      </w:r>
      <w:r w:rsidRPr="003C7FF0">
        <w:t>Analysis of the scavenging process of a two-stroke free-piston engine based on the selection of scavenging ports or valves[J]. Energies, 2018, 11(2): 324. DOI:10.3390/en11020324.</w:t>
      </w:r>
      <w:bookmarkEnd w:id="10"/>
    </w:p>
    <w:p w14:paraId="483DF541" w14:textId="77777777" w:rsidR="008425FF" w:rsidRDefault="008425FF" w:rsidP="00551951">
      <w:pPr>
        <w:jc w:val="both"/>
        <w:rPr>
          <w:lang w:eastAsia="zh-CN"/>
        </w:rPr>
      </w:pPr>
    </w:p>
    <w:p w14:paraId="539D29B3" w14:textId="2EB07B1B" w:rsidR="008425FF" w:rsidRDefault="008425FF" w:rsidP="00BC20B5">
      <w:pPr>
        <w:pStyle w:val="ListParagraph"/>
        <w:numPr>
          <w:ilvl w:val="0"/>
          <w:numId w:val="31"/>
        </w:numPr>
        <w:ind w:firstLineChars="0"/>
        <w:jc w:val="both"/>
      </w:pPr>
      <w:bookmarkStart w:id="11" w:name="_Ref225152409"/>
      <w:r w:rsidRPr="003C7FF0">
        <w:t xml:space="preserve">YUAN C, JING Y, HE Y. Coupled dynamic effect of combustion variation on gas exchange stability of a free piston linear engine[J]. Applied Thermal Engineering, 2020, 173: 115201. </w:t>
      </w:r>
      <w:proofErr w:type="gramStart"/>
      <w:r w:rsidRPr="003C7FF0">
        <w:t>DOI:10.1016/j.applthermaleng</w:t>
      </w:r>
      <w:proofErr w:type="gramEnd"/>
      <w:r w:rsidRPr="003C7FF0">
        <w:t>.2020.115201.</w:t>
      </w:r>
      <w:bookmarkEnd w:id="11"/>
    </w:p>
    <w:p w14:paraId="6E57F6FF" w14:textId="77777777" w:rsidR="008425FF" w:rsidRDefault="008425FF" w:rsidP="00551951">
      <w:pPr>
        <w:jc w:val="both"/>
      </w:pPr>
    </w:p>
    <w:p w14:paraId="2F712343" w14:textId="79704A22" w:rsidR="008425FF" w:rsidRDefault="008425FF" w:rsidP="00BC20B5">
      <w:pPr>
        <w:pStyle w:val="ListParagraph"/>
        <w:numPr>
          <w:ilvl w:val="0"/>
          <w:numId w:val="31"/>
        </w:numPr>
        <w:ind w:firstLineChars="0"/>
        <w:jc w:val="both"/>
      </w:pPr>
      <w:bookmarkStart w:id="12" w:name="_Ref230564197"/>
      <w:r w:rsidRPr="00E13CFD">
        <w:rPr>
          <w:lang w:val="fr-FR"/>
        </w:rPr>
        <w:t xml:space="preserve">CHENG Z, JIA B, XIN Z, et al. </w:t>
      </w:r>
      <w:r w:rsidRPr="003C7FF0">
        <w:t xml:space="preserve">Investigation of performance of free-piston engine generator with variable-scavenging-timing technology under unsteady operation condition[J]. Applied Thermal Engineering, 2021, 196: 117288. </w:t>
      </w:r>
      <w:proofErr w:type="gramStart"/>
      <w:r w:rsidRPr="003C7FF0">
        <w:t>DOI:10.1016/j.applthermaleng</w:t>
      </w:r>
      <w:proofErr w:type="gramEnd"/>
      <w:r w:rsidRPr="003C7FF0">
        <w:t>.2021.117288.</w:t>
      </w:r>
      <w:bookmarkEnd w:id="12"/>
    </w:p>
    <w:p w14:paraId="6DE81CB6" w14:textId="77777777" w:rsidR="008425FF" w:rsidRDefault="008425FF" w:rsidP="00551951">
      <w:pPr>
        <w:jc w:val="both"/>
        <w:rPr>
          <w:lang w:eastAsia="zh-CN"/>
        </w:rPr>
      </w:pPr>
    </w:p>
    <w:p w14:paraId="27FF197B" w14:textId="00DF46AF" w:rsidR="008425FF" w:rsidRDefault="008425FF" w:rsidP="00BC20B5">
      <w:pPr>
        <w:pStyle w:val="ListParagraph"/>
        <w:numPr>
          <w:ilvl w:val="0"/>
          <w:numId w:val="31"/>
        </w:numPr>
        <w:ind w:firstLineChars="0"/>
        <w:jc w:val="both"/>
      </w:pPr>
      <w:bookmarkStart w:id="13" w:name="_Ref230564205"/>
      <w:r w:rsidRPr="003C7FF0">
        <w:t xml:space="preserve">LI J, YUAN C, HE Y, et al. A multi process coupled gas exchange model of free piston power system for scavenging control applications[J]. Applied Thermal Engineering, 2021, 194: 117101. </w:t>
      </w:r>
      <w:proofErr w:type="gramStart"/>
      <w:r w:rsidRPr="003C7FF0">
        <w:t>DOI:10.1016/j.applthermaleng</w:t>
      </w:r>
      <w:proofErr w:type="gramEnd"/>
      <w:r w:rsidRPr="003C7FF0">
        <w:t>.2021.117101.</w:t>
      </w:r>
      <w:bookmarkEnd w:id="13"/>
    </w:p>
    <w:p w14:paraId="71CE25DA" w14:textId="77777777" w:rsidR="008425FF" w:rsidRDefault="008425FF" w:rsidP="00551951">
      <w:pPr>
        <w:jc w:val="both"/>
      </w:pPr>
    </w:p>
    <w:p w14:paraId="2779C7CC" w14:textId="0A7BFB62" w:rsidR="008425FF" w:rsidRDefault="008425FF" w:rsidP="00BC20B5">
      <w:pPr>
        <w:pStyle w:val="ListParagraph"/>
        <w:numPr>
          <w:ilvl w:val="0"/>
          <w:numId w:val="31"/>
        </w:numPr>
        <w:ind w:firstLineChars="0"/>
        <w:jc w:val="both"/>
      </w:pPr>
      <w:bookmarkStart w:id="14" w:name="_Ref230564266"/>
      <w:r w:rsidRPr="003C7FF0">
        <w:t xml:space="preserve">YUAN C, LIU D, ZENG S. The multi-field coupling effect of fuel injection duration on gas exchange stability for a free piston engine generator[J]. Applied Thermal Engineering, 2022, 202: 117892. </w:t>
      </w:r>
      <w:proofErr w:type="gramStart"/>
      <w:r w:rsidRPr="003C7FF0">
        <w:t>DOI:10.1016/j.applthermaleng</w:t>
      </w:r>
      <w:proofErr w:type="gramEnd"/>
      <w:r w:rsidRPr="003C7FF0">
        <w:t>.2021.117892.</w:t>
      </w:r>
      <w:bookmarkEnd w:id="14"/>
    </w:p>
    <w:p w14:paraId="4EFA308E" w14:textId="77777777" w:rsidR="008425FF" w:rsidRDefault="008425FF" w:rsidP="00551951">
      <w:pPr>
        <w:jc w:val="both"/>
      </w:pPr>
    </w:p>
    <w:p w14:paraId="2B67A2DF" w14:textId="616DE6A1" w:rsidR="008425FF" w:rsidRDefault="008425FF" w:rsidP="00BC20B5">
      <w:pPr>
        <w:pStyle w:val="ListParagraph"/>
        <w:numPr>
          <w:ilvl w:val="0"/>
          <w:numId w:val="31"/>
        </w:numPr>
        <w:ind w:firstLineChars="0"/>
        <w:jc w:val="both"/>
      </w:pPr>
      <w:r w:rsidRPr="00E13CFD">
        <w:rPr>
          <w:lang w:val="fr-FR"/>
        </w:rPr>
        <w:t xml:space="preserve">YUAN C, LI S, QIN Z, et al. </w:t>
      </w:r>
      <w:r w:rsidRPr="003C7FF0">
        <w:t xml:space="preserve">A multi-process coupling study of scavenging pressure effect on gas exchange of a linear engine[J]. Applied Thermal Engineering, 2022, 217: 119254. </w:t>
      </w:r>
      <w:proofErr w:type="gramStart"/>
      <w:r w:rsidRPr="003C7FF0">
        <w:t>DOI:10.1016/j.applthermaleng</w:t>
      </w:r>
      <w:proofErr w:type="gramEnd"/>
      <w:r w:rsidRPr="003C7FF0">
        <w:t>.2022.119254.</w:t>
      </w:r>
    </w:p>
    <w:p w14:paraId="096702AA" w14:textId="77777777" w:rsidR="008425FF" w:rsidRDefault="008425FF" w:rsidP="00551951">
      <w:pPr>
        <w:jc w:val="both"/>
        <w:rPr>
          <w:lang w:eastAsia="zh-CN"/>
        </w:rPr>
      </w:pPr>
    </w:p>
    <w:p w14:paraId="2A7D7134" w14:textId="09A67F3F" w:rsidR="008425FF" w:rsidRDefault="008425FF" w:rsidP="00BC20B5">
      <w:pPr>
        <w:pStyle w:val="ListParagraph"/>
        <w:numPr>
          <w:ilvl w:val="0"/>
          <w:numId w:val="31"/>
        </w:numPr>
        <w:ind w:firstLineChars="0"/>
        <w:jc w:val="both"/>
      </w:pPr>
      <w:r w:rsidRPr="00E13CFD">
        <w:rPr>
          <w:lang w:val="fr-FR"/>
        </w:rPr>
        <w:t xml:space="preserve">LIU S, XU Z, CHEN L, et al. </w:t>
      </w:r>
      <w:proofErr w:type="spellStart"/>
      <w:r w:rsidRPr="003C7FF0">
        <w:t>Co</w:t>
      </w:r>
      <w:r>
        <w:t>MPa</w:t>
      </w:r>
      <w:r w:rsidRPr="003C7FF0">
        <w:t>rison</w:t>
      </w:r>
      <w:proofErr w:type="spellEnd"/>
      <w:r w:rsidRPr="003C7FF0">
        <w:t xml:space="preserve"> of an opposed-piston free-piston engine using single and dual channel uniflow scavenging[J]. Applied Thermal Engineering, 2022, 201: 117813. </w:t>
      </w:r>
      <w:proofErr w:type="gramStart"/>
      <w:r w:rsidRPr="003C7FF0">
        <w:t>DOI:10.1016/j.applthermaleng</w:t>
      </w:r>
      <w:proofErr w:type="gramEnd"/>
      <w:r w:rsidRPr="003C7FF0">
        <w:t>.2021.117813.</w:t>
      </w:r>
    </w:p>
    <w:p w14:paraId="3DB000A4" w14:textId="77777777" w:rsidR="003B2587" w:rsidRDefault="003B2587" w:rsidP="00551951">
      <w:pPr>
        <w:jc w:val="both"/>
      </w:pPr>
    </w:p>
    <w:p w14:paraId="7A8557E2" w14:textId="1C32481D" w:rsidR="008425FF" w:rsidRDefault="008425FF" w:rsidP="00BC20B5">
      <w:pPr>
        <w:pStyle w:val="ListParagraph"/>
        <w:numPr>
          <w:ilvl w:val="0"/>
          <w:numId w:val="31"/>
        </w:numPr>
        <w:ind w:firstLineChars="0"/>
        <w:jc w:val="both"/>
        <w:rPr>
          <w:lang w:eastAsia="zh-CN"/>
        </w:rPr>
      </w:pPr>
      <w:r w:rsidRPr="003C7FF0">
        <w:t>LI S, YUAN C. The effect of electromagnetic load fluctuation on the gas exchange stability of a free-piston hybrid power system[J]. Proceedings of the Institution of Mechanical Engineers, Part A: Journal of Power and Energy, 2022, 236(5): 853. DOI:10.1177/09576509221075462</w:t>
      </w:r>
      <w:r>
        <w:rPr>
          <w:rFonts w:hint="eastAsia"/>
          <w:lang w:eastAsia="zh-CN"/>
        </w:rPr>
        <w:t>.</w:t>
      </w:r>
    </w:p>
    <w:p w14:paraId="4085D3B7" w14:textId="77777777" w:rsidR="008425FF" w:rsidRDefault="008425FF" w:rsidP="00551951">
      <w:pPr>
        <w:jc w:val="both"/>
        <w:rPr>
          <w:rFonts w:ascii="Arial" w:hAnsi="Arial" w:cs="Arial"/>
          <w:lang w:eastAsia="zh-CN"/>
        </w:rPr>
      </w:pPr>
    </w:p>
    <w:p w14:paraId="00F36A9B" w14:textId="33E36AA4" w:rsidR="008425FF" w:rsidRDefault="008425FF" w:rsidP="00BC20B5">
      <w:pPr>
        <w:pStyle w:val="ListParagraph"/>
        <w:numPr>
          <w:ilvl w:val="0"/>
          <w:numId w:val="31"/>
        </w:numPr>
        <w:ind w:firstLineChars="0"/>
        <w:jc w:val="both"/>
      </w:pPr>
      <w:r w:rsidRPr="003C7FF0">
        <w:t>ZHOU L, YUAN C, ZENG S. Gas exchange stability of linear engine generator under fuel injection quantity fluctuation[J]. Proceedings of the Institution of Mechanical Engineers, Part D: Journal of Automobile Engineering, 2023, 237(1): 112-125. DOI:10.1177/09544070221075428.</w:t>
      </w:r>
    </w:p>
    <w:p w14:paraId="42E0EC53" w14:textId="77777777" w:rsidR="003B2587" w:rsidRDefault="003B2587" w:rsidP="00551951">
      <w:pPr>
        <w:jc w:val="both"/>
      </w:pPr>
    </w:p>
    <w:p w14:paraId="3B36D011" w14:textId="5B98962F" w:rsidR="008425FF" w:rsidRPr="00BC20B5" w:rsidRDefault="008425FF" w:rsidP="00BC20B5">
      <w:pPr>
        <w:pStyle w:val="ListParagraph"/>
        <w:numPr>
          <w:ilvl w:val="0"/>
          <w:numId w:val="31"/>
        </w:numPr>
        <w:ind w:firstLineChars="0"/>
        <w:jc w:val="both"/>
        <w:rPr>
          <w:rFonts w:ascii="Arial" w:hAnsi="Arial" w:cs="Arial"/>
          <w:lang w:eastAsia="zh-CN"/>
        </w:rPr>
      </w:pPr>
      <w:bookmarkStart w:id="15" w:name="_Ref225152412"/>
      <w:r w:rsidRPr="003C7FF0">
        <w:t>HE L, WANG L, YUAN C. Coupled effect of injection position variation on gas exchange stability of a free-piston engine[J]. International Journal of Engine Research, 2024, 25(6): 1235-1247. DOI:10.1177/14680874241227979.</w:t>
      </w:r>
      <w:bookmarkEnd w:id="15"/>
    </w:p>
    <w:sectPr w:rsidR="008425FF" w:rsidRPr="00BC20B5" w:rsidSect="00D75C3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40272" w14:textId="77777777" w:rsidR="000515FD" w:rsidRDefault="000515FD" w:rsidP="00C37E61">
      <w:r>
        <w:separator/>
      </w:r>
    </w:p>
  </w:endnote>
  <w:endnote w:type="continuationSeparator" w:id="0">
    <w:p w14:paraId="55474A45" w14:textId="77777777" w:rsidR="000515FD" w:rsidRDefault="000515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A341" w14:textId="77777777" w:rsidR="009E048A" w:rsidRDefault="009E048A">
    <w:pPr>
      <w:pStyle w:val="Footer"/>
      <w:rPr>
        <w:rFonts w:ascii="Arial" w:hAnsi="Arial" w:cs="Arial"/>
        <w:sz w:val="16"/>
      </w:rPr>
    </w:pPr>
  </w:p>
  <w:p w14:paraId="004FC29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EE9DE40" w14:textId="77777777" w:rsidR="009E048A" w:rsidRDefault="009E048A">
    <w:pPr>
      <w:pStyle w:val="Footer"/>
      <w:rPr>
        <w:rFonts w:ascii="Arial" w:hAnsi="Arial" w:cs="Arial"/>
        <w:sz w:val="16"/>
      </w:rPr>
    </w:pPr>
  </w:p>
  <w:p w14:paraId="3CFFEF3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56F70" w14:textId="77777777" w:rsidR="000515FD" w:rsidRDefault="000515FD" w:rsidP="00C37E61">
      <w:r>
        <w:separator/>
      </w:r>
    </w:p>
  </w:footnote>
  <w:footnote w:type="continuationSeparator" w:id="0">
    <w:p w14:paraId="31EFE015" w14:textId="77777777" w:rsidR="000515FD" w:rsidRDefault="000515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A95D" w14:textId="081057CF" w:rsidR="001F21D5" w:rsidRDefault="00000000">
    <w:pPr>
      <w:pStyle w:val="Header"/>
    </w:pPr>
    <w:r>
      <w:rPr>
        <w:noProof/>
      </w:rPr>
      <w:pict w14:anchorId="573E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8D07C" w14:textId="22B689F1" w:rsidR="001F21D5" w:rsidRDefault="00000000">
    <w:pPr>
      <w:pStyle w:val="Header"/>
    </w:pPr>
    <w:r>
      <w:rPr>
        <w:noProof/>
      </w:rPr>
      <w:pict w14:anchorId="67A79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E536" w14:textId="6E455034" w:rsidR="00296529" w:rsidRPr="00296529" w:rsidRDefault="00000000" w:rsidP="00296529">
    <w:pPr>
      <w:ind w:left="2160"/>
      <w:jc w:val="center"/>
      <w:rPr>
        <w:rFonts w:ascii="Times New Roman" w:eastAsia="Calibri" w:hAnsi="Times New Roman"/>
        <w:i/>
        <w:sz w:val="18"/>
        <w:szCs w:val="22"/>
      </w:rPr>
    </w:pPr>
    <w:r>
      <w:rPr>
        <w:noProof/>
      </w:rPr>
      <w:pict w14:anchorId="23D99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BB07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2382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C50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C65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1296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1FCA0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30381E"/>
    <w:multiLevelType w:val="hybridMultilevel"/>
    <w:tmpl w:val="34D66754"/>
    <w:lvl w:ilvl="0" w:tplc="95869B0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47472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55821470">
    <w:abstractNumId w:val="16"/>
  </w:num>
  <w:num w:numId="3" w16cid:durableId="1890989652">
    <w:abstractNumId w:val="24"/>
  </w:num>
  <w:num w:numId="4" w16cid:durableId="39959401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41456393">
    <w:abstractNumId w:val="7"/>
  </w:num>
  <w:num w:numId="6" w16cid:durableId="1398700003">
    <w:abstractNumId w:val="6"/>
  </w:num>
  <w:num w:numId="7" w16cid:durableId="1034036600">
    <w:abstractNumId w:val="1"/>
  </w:num>
  <w:num w:numId="8" w16cid:durableId="347873789">
    <w:abstractNumId w:val="12"/>
  </w:num>
  <w:num w:numId="9" w16cid:durableId="1040210146">
    <w:abstractNumId w:val="26"/>
  </w:num>
  <w:num w:numId="10" w16cid:durableId="943995319">
    <w:abstractNumId w:val="2"/>
  </w:num>
  <w:num w:numId="11" w16cid:durableId="1133520973">
    <w:abstractNumId w:val="19"/>
  </w:num>
  <w:num w:numId="12" w16cid:durableId="658113937">
    <w:abstractNumId w:val="3"/>
  </w:num>
  <w:num w:numId="13" w16cid:durableId="612134299">
    <w:abstractNumId w:val="18"/>
  </w:num>
  <w:num w:numId="14" w16cid:durableId="1142969070">
    <w:abstractNumId w:val="8"/>
  </w:num>
  <w:num w:numId="15" w16cid:durableId="1490754730">
    <w:abstractNumId w:val="22"/>
  </w:num>
  <w:num w:numId="16" w16cid:durableId="1968004504">
    <w:abstractNumId w:val="5"/>
  </w:num>
  <w:num w:numId="17" w16cid:durableId="1382438064">
    <w:abstractNumId w:val="23"/>
  </w:num>
  <w:num w:numId="18" w16cid:durableId="691035149">
    <w:abstractNumId w:val="14"/>
  </w:num>
  <w:num w:numId="19" w16cid:durableId="1064524988">
    <w:abstractNumId w:val="29"/>
  </w:num>
  <w:num w:numId="20" w16cid:durableId="224730110">
    <w:abstractNumId w:val="11"/>
  </w:num>
  <w:num w:numId="21" w16cid:durableId="418020090">
    <w:abstractNumId w:val="9"/>
  </w:num>
  <w:num w:numId="22" w16cid:durableId="372728262">
    <w:abstractNumId w:val="13"/>
  </w:num>
  <w:num w:numId="23" w16cid:durableId="1606644805">
    <w:abstractNumId w:val="20"/>
  </w:num>
  <w:num w:numId="24" w16cid:durableId="948315301">
    <w:abstractNumId w:val="27"/>
  </w:num>
  <w:num w:numId="25" w16cid:durableId="186717253">
    <w:abstractNumId w:val="4"/>
  </w:num>
  <w:num w:numId="26" w16cid:durableId="819618660">
    <w:abstractNumId w:val="17"/>
  </w:num>
  <w:num w:numId="27" w16cid:durableId="843710962">
    <w:abstractNumId w:val="21"/>
  </w:num>
  <w:num w:numId="28" w16cid:durableId="1663780029">
    <w:abstractNumId w:val="28"/>
  </w:num>
  <w:num w:numId="29" w16cid:durableId="1333530774">
    <w:abstractNumId w:val="25"/>
  </w:num>
  <w:num w:numId="30" w16cid:durableId="479542313">
    <w:abstractNumId w:val="10"/>
  </w:num>
  <w:num w:numId="31" w16cid:durableId="9643830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9F8"/>
    <w:rsid w:val="000153C1"/>
    <w:rsid w:val="00015520"/>
    <w:rsid w:val="000245A4"/>
    <w:rsid w:val="00030174"/>
    <w:rsid w:val="00030949"/>
    <w:rsid w:val="000410C2"/>
    <w:rsid w:val="0004579C"/>
    <w:rsid w:val="000515FD"/>
    <w:rsid w:val="00064D16"/>
    <w:rsid w:val="00067606"/>
    <w:rsid w:val="000753E0"/>
    <w:rsid w:val="00084442"/>
    <w:rsid w:val="00097540"/>
    <w:rsid w:val="00097CEC"/>
    <w:rsid w:val="000A47FA"/>
    <w:rsid w:val="000A65D3"/>
    <w:rsid w:val="000B1E33"/>
    <w:rsid w:val="000B522E"/>
    <w:rsid w:val="000D689F"/>
    <w:rsid w:val="000E7B7B"/>
    <w:rsid w:val="000E7D62"/>
    <w:rsid w:val="00100B22"/>
    <w:rsid w:val="00103357"/>
    <w:rsid w:val="00104335"/>
    <w:rsid w:val="0012033F"/>
    <w:rsid w:val="00123C9F"/>
    <w:rsid w:val="00126190"/>
    <w:rsid w:val="00130F17"/>
    <w:rsid w:val="001320BF"/>
    <w:rsid w:val="00153F49"/>
    <w:rsid w:val="00160218"/>
    <w:rsid w:val="00163BC4"/>
    <w:rsid w:val="00172059"/>
    <w:rsid w:val="00184082"/>
    <w:rsid w:val="00187EAB"/>
    <w:rsid w:val="00191062"/>
    <w:rsid w:val="00192972"/>
    <w:rsid w:val="00192B72"/>
    <w:rsid w:val="001A29D8"/>
    <w:rsid w:val="001A5CAA"/>
    <w:rsid w:val="001A67C3"/>
    <w:rsid w:val="001B0427"/>
    <w:rsid w:val="001C3A7B"/>
    <w:rsid w:val="001D3A51"/>
    <w:rsid w:val="001E10D2"/>
    <w:rsid w:val="001E25B4"/>
    <w:rsid w:val="001E44FE"/>
    <w:rsid w:val="001E5560"/>
    <w:rsid w:val="001F1D9E"/>
    <w:rsid w:val="001F21D5"/>
    <w:rsid w:val="001F5D8D"/>
    <w:rsid w:val="00200595"/>
    <w:rsid w:val="0020248D"/>
    <w:rsid w:val="00204835"/>
    <w:rsid w:val="0022070D"/>
    <w:rsid w:val="00221108"/>
    <w:rsid w:val="00221F18"/>
    <w:rsid w:val="00222951"/>
    <w:rsid w:val="00226BDD"/>
    <w:rsid w:val="00231920"/>
    <w:rsid w:val="0023195C"/>
    <w:rsid w:val="0023266B"/>
    <w:rsid w:val="002357A8"/>
    <w:rsid w:val="00236E4F"/>
    <w:rsid w:val="0024282C"/>
    <w:rsid w:val="002460DC"/>
    <w:rsid w:val="00250985"/>
    <w:rsid w:val="00253B2B"/>
    <w:rsid w:val="002556F6"/>
    <w:rsid w:val="00257AA5"/>
    <w:rsid w:val="002601FA"/>
    <w:rsid w:val="00264AAC"/>
    <w:rsid w:val="00274606"/>
    <w:rsid w:val="00283105"/>
    <w:rsid w:val="00284C4C"/>
    <w:rsid w:val="00287E68"/>
    <w:rsid w:val="00296529"/>
    <w:rsid w:val="002A5850"/>
    <w:rsid w:val="002B0BCA"/>
    <w:rsid w:val="002B27FB"/>
    <w:rsid w:val="002B5079"/>
    <w:rsid w:val="002B566A"/>
    <w:rsid w:val="002B600E"/>
    <w:rsid w:val="002B685A"/>
    <w:rsid w:val="002C57D2"/>
    <w:rsid w:val="002D4160"/>
    <w:rsid w:val="002D7DA6"/>
    <w:rsid w:val="002E03E6"/>
    <w:rsid w:val="002E0D56"/>
    <w:rsid w:val="002E1896"/>
    <w:rsid w:val="002F479D"/>
    <w:rsid w:val="002F511E"/>
    <w:rsid w:val="00305746"/>
    <w:rsid w:val="00311BAA"/>
    <w:rsid w:val="00315186"/>
    <w:rsid w:val="00315379"/>
    <w:rsid w:val="00324278"/>
    <w:rsid w:val="003300DC"/>
    <w:rsid w:val="0033343E"/>
    <w:rsid w:val="00333B1F"/>
    <w:rsid w:val="00335915"/>
    <w:rsid w:val="00341C51"/>
    <w:rsid w:val="00341CAF"/>
    <w:rsid w:val="00343E64"/>
    <w:rsid w:val="003441FF"/>
    <w:rsid w:val="003512C2"/>
    <w:rsid w:val="0035732F"/>
    <w:rsid w:val="003646E6"/>
    <w:rsid w:val="003714AE"/>
    <w:rsid w:val="00371FB6"/>
    <w:rsid w:val="003763C1"/>
    <w:rsid w:val="00376BBE"/>
    <w:rsid w:val="00382AEF"/>
    <w:rsid w:val="0038714D"/>
    <w:rsid w:val="0039224F"/>
    <w:rsid w:val="00393738"/>
    <w:rsid w:val="003940F1"/>
    <w:rsid w:val="0039736B"/>
    <w:rsid w:val="003A43A4"/>
    <w:rsid w:val="003A60C4"/>
    <w:rsid w:val="003A6198"/>
    <w:rsid w:val="003A7E18"/>
    <w:rsid w:val="003B2587"/>
    <w:rsid w:val="003C3E94"/>
    <w:rsid w:val="003C4C86"/>
    <w:rsid w:val="003C53D9"/>
    <w:rsid w:val="003C6258"/>
    <w:rsid w:val="003E2904"/>
    <w:rsid w:val="003F4F81"/>
    <w:rsid w:val="00401927"/>
    <w:rsid w:val="004023AB"/>
    <w:rsid w:val="0041027F"/>
    <w:rsid w:val="00412475"/>
    <w:rsid w:val="00413808"/>
    <w:rsid w:val="00414416"/>
    <w:rsid w:val="00423789"/>
    <w:rsid w:val="00427B13"/>
    <w:rsid w:val="004309BB"/>
    <w:rsid w:val="00440F43"/>
    <w:rsid w:val="00441B6F"/>
    <w:rsid w:val="00442B3B"/>
    <w:rsid w:val="00446221"/>
    <w:rsid w:val="00450E62"/>
    <w:rsid w:val="004539DB"/>
    <w:rsid w:val="00467354"/>
    <w:rsid w:val="00471A80"/>
    <w:rsid w:val="00473AD4"/>
    <w:rsid w:val="0049549E"/>
    <w:rsid w:val="004B4E1B"/>
    <w:rsid w:val="004D2485"/>
    <w:rsid w:val="004D305E"/>
    <w:rsid w:val="004D4277"/>
    <w:rsid w:val="004E0FC8"/>
    <w:rsid w:val="00502516"/>
    <w:rsid w:val="00505F06"/>
    <w:rsid w:val="00506828"/>
    <w:rsid w:val="005159C6"/>
    <w:rsid w:val="0053056E"/>
    <w:rsid w:val="005447F9"/>
    <w:rsid w:val="00551951"/>
    <w:rsid w:val="00552B27"/>
    <w:rsid w:val="00554FDA"/>
    <w:rsid w:val="00561CD8"/>
    <w:rsid w:val="005825F7"/>
    <w:rsid w:val="00591A79"/>
    <w:rsid w:val="0059678E"/>
    <w:rsid w:val="00596A55"/>
    <w:rsid w:val="005B1152"/>
    <w:rsid w:val="005C291E"/>
    <w:rsid w:val="005C784C"/>
    <w:rsid w:val="005D00BD"/>
    <w:rsid w:val="005D13EF"/>
    <w:rsid w:val="005D17F6"/>
    <w:rsid w:val="005D3318"/>
    <w:rsid w:val="005D6BDB"/>
    <w:rsid w:val="005E4DD3"/>
    <w:rsid w:val="005E5539"/>
    <w:rsid w:val="005E6FDD"/>
    <w:rsid w:val="005F1EE7"/>
    <w:rsid w:val="00602BF5"/>
    <w:rsid w:val="00617FDD"/>
    <w:rsid w:val="00633614"/>
    <w:rsid w:val="00633F68"/>
    <w:rsid w:val="006345F2"/>
    <w:rsid w:val="00636BD9"/>
    <w:rsid w:val="00636EB2"/>
    <w:rsid w:val="006375B8"/>
    <w:rsid w:val="00645FCC"/>
    <w:rsid w:val="006524E9"/>
    <w:rsid w:val="00655333"/>
    <w:rsid w:val="006556A2"/>
    <w:rsid w:val="0065627C"/>
    <w:rsid w:val="0066510A"/>
    <w:rsid w:val="006707DD"/>
    <w:rsid w:val="00673F9F"/>
    <w:rsid w:val="006851BD"/>
    <w:rsid w:val="00686953"/>
    <w:rsid w:val="00687DEA"/>
    <w:rsid w:val="00687E67"/>
    <w:rsid w:val="006967F7"/>
    <w:rsid w:val="006979EE"/>
    <w:rsid w:val="006A250C"/>
    <w:rsid w:val="006A729A"/>
    <w:rsid w:val="006B0DA8"/>
    <w:rsid w:val="006B21D3"/>
    <w:rsid w:val="006B57D0"/>
    <w:rsid w:val="006C1B82"/>
    <w:rsid w:val="006C487C"/>
    <w:rsid w:val="006D30FF"/>
    <w:rsid w:val="006D6940"/>
    <w:rsid w:val="006E1328"/>
    <w:rsid w:val="006F11EC"/>
    <w:rsid w:val="006F1332"/>
    <w:rsid w:val="006F3FC8"/>
    <w:rsid w:val="006F7D63"/>
    <w:rsid w:val="0070082C"/>
    <w:rsid w:val="00701B39"/>
    <w:rsid w:val="00711F9D"/>
    <w:rsid w:val="007165D7"/>
    <w:rsid w:val="007369E6"/>
    <w:rsid w:val="00736F68"/>
    <w:rsid w:val="00742497"/>
    <w:rsid w:val="0074541D"/>
    <w:rsid w:val="00746E59"/>
    <w:rsid w:val="007507CA"/>
    <w:rsid w:val="00753931"/>
    <w:rsid w:val="00754C9A"/>
    <w:rsid w:val="0075599A"/>
    <w:rsid w:val="00761D52"/>
    <w:rsid w:val="00766652"/>
    <w:rsid w:val="00773C66"/>
    <w:rsid w:val="0077749E"/>
    <w:rsid w:val="00790869"/>
    <w:rsid w:val="00790ADA"/>
    <w:rsid w:val="007C05B8"/>
    <w:rsid w:val="007D2288"/>
    <w:rsid w:val="007E088F"/>
    <w:rsid w:val="007E6BEE"/>
    <w:rsid w:val="007F4099"/>
    <w:rsid w:val="007F6311"/>
    <w:rsid w:val="007F7B32"/>
    <w:rsid w:val="00804BC2"/>
    <w:rsid w:val="00810A02"/>
    <w:rsid w:val="008114EA"/>
    <w:rsid w:val="0081431A"/>
    <w:rsid w:val="008217D9"/>
    <w:rsid w:val="0083216F"/>
    <w:rsid w:val="008425FF"/>
    <w:rsid w:val="00844323"/>
    <w:rsid w:val="00860000"/>
    <w:rsid w:val="00862050"/>
    <w:rsid w:val="00863BD3"/>
    <w:rsid w:val="008641ED"/>
    <w:rsid w:val="00866D66"/>
    <w:rsid w:val="008671C6"/>
    <w:rsid w:val="00871B42"/>
    <w:rsid w:val="0087377A"/>
    <w:rsid w:val="00875803"/>
    <w:rsid w:val="00881FBA"/>
    <w:rsid w:val="00883BBB"/>
    <w:rsid w:val="00894E7D"/>
    <w:rsid w:val="008A2401"/>
    <w:rsid w:val="008A599A"/>
    <w:rsid w:val="008B091F"/>
    <w:rsid w:val="008B2DAC"/>
    <w:rsid w:val="008B459E"/>
    <w:rsid w:val="008B703B"/>
    <w:rsid w:val="008C6788"/>
    <w:rsid w:val="008C7EC9"/>
    <w:rsid w:val="008D02D4"/>
    <w:rsid w:val="008E13AE"/>
    <w:rsid w:val="008E1506"/>
    <w:rsid w:val="008E4698"/>
    <w:rsid w:val="008E710C"/>
    <w:rsid w:val="008F69D6"/>
    <w:rsid w:val="00902823"/>
    <w:rsid w:val="009148A7"/>
    <w:rsid w:val="00915CA6"/>
    <w:rsid w:val="00921983"/>
    <w:rsid w:val="009232C3"/>
    <w:rsid w:val="00927834"/>
    <w:rsid w:val="00935A07"/>
    <w:rsid w:val="009431FB"/>
    <w:rsid w:val="009500A6"/>
    <w:rsid w:val="00951AE6"/>
    <w:rsid w:val="00952512"/>
    <w:rsid w:val="009573AD"/>
    <w:rsid w:val="00957BA5"/>
    <w:rsid w:val="00957C18"/>
    <w:rsid w:val="00961B38"/>
    <w:rsid w:val="009659BA"/>
    <w:rsid w:val="0098016A"/>
    <w:rsid w:val="00983040"/>
    <w:rsid w:val="00985F41"/>
    <w:rsid w:val="0098606F"/>
    <w:rsid w:val="00990AF5"/>
    <w:rsid w:val="00996E58"/>
    <w:rsid w:val="009A541F"/>
    <w:rsid w:val="009B3FB9"/>
    <w:rsid w:val="009C2465"/>
    <w:rsid w:val="009D35A0"/>
    <w:rsid w:val="009D7EB7"/>
    <w:rsid w:val="009E048A"/>
    <w:rsid w:val="009E08E9"/>
    <w:rsid w:val="009E3DB9"/>
    <w:rsid w:val="009E6E35"/>
    <w:rsid w:val="009F0EDA"/>
    <w:rsid w:val="00A03B96"/>
    <w:rsid w:val="00A05B19"/>
    <w:rsid w:val="00A1134E"/>
    <w:rsid w:val="00A117BE"/>
    <w:rsid w:val="00A24912"/>
    <w:rsid w:val="00A24E7E"/>
    <w:rsid w:val="00A258C3"/>
    <w:rsid w:val="00A26FAB"/>
    <w:rsid w:val="00A30933"/>
    <w:rsid w:val="00A32209"/>
    <w:rsid w:val="00A347C0"/>
    <w:rsid w:val="00A50A54"/>
    <w:rsid w:val="00A51431"/>
    <w:rsid w:val="00A539AD"/>
    <w:rsid w:val="00A60206"/>
    <w:rsid w:val="00A8007E"/>
    <w:rsid w:val="00A84170"/>
    <w:rsid w:val="00A852E4"/>
    <w:rsid w:val="00A94063"/>
    <w:rsid w:val="00AA6219"/>
    <w:rsid w:val="00AA74E0"/>
    <w:rsid w:val="00AB0BB1"/>
    <w:rsid w:val="00AB1F59"/>
    <w:rsid w:val="00AB703F"/>
    <w:rsid w:val="00AC0C05"/>
    <w:rsid w:val="00AC6BB8"/>
    <w:rsid w:val="00AD2419"/>
    <w:rsid w:val="00AD70C8"/>
    <w:rsid w:val="00AE008F"/>
    <w:rsid w:val="00B01FCD"/>
    <w:rsid w:val="00B154FD"/>
    <w:rsid w:val="00B15759"/>
    <w:rsid w:val="00B1776C"/>
    <w:rsid w:val="00B2383F"/>
    <w:rsid w:val="00B24D16"/>
    <w:rsid w:val="00B52583"/>
    <w:rsid w:val="00B52896"/>
    <w:rsid w:val="00B65DB1"/>
    <w:rsid w:val="00B66B57"/>
    <w:rsid w:val="00B80C53"/>
    <w:rsid w:val="00B8740C"/>
    <w:rsid w:val="00B94F44"/>
    <w:rsid w:val="00B95236"/>
    <w:rsid w:val="00B96BD9"/>
    <w:rsid w:val="00BA1B01"/>
    <w:rsid w:val="00BA2641"/>
    <w:rsid w:val="00BA61CB"/>
    <w:rsid w:val="00BB0CFB"/>
    <w:rsid w:val="00BB1170"/>
    <w:rsid w:val="00BB37AA"/>
    <w:rsid w:val="00BC20B5"/>
    <w:rsid w:val="00BC53A0"/>
    <w:rsid w:val="00BC768C"/>
    <w:rsid w:val="00BE62AD"/>
    <w:rsid w:val="00BF121F"/>
    <w:rsid w:val="00BF1F80"/>
    <w:rsid w:val="00BF2171"/>
    <w:rsid w:val="00BF45A6"/>
    <w:rsid w:val="00C004F6"/>
    <w:rsid w:val="00C13C2B"/>
    <w:rsid w:val="00C149E1"/>
    <w:rsid w:val="00C1667F"/>
    <w:rsid w:val="00C166EF"/>
    <w:rsid w:val="00C17EB0"/>
    <w:rsid w:val="00C27F5F"/>
    <w:rsid w:val="00C30A0F"/>
    <w:rsid w:val="00C32F1C"/>
    <w:rsid w:val="00C37E61"/>
    <w:rsid w:val="00C42727"/>
    <w:rsid w:val="00C459ED"/>
    <w:rsid w:val="00C45FC4"/>
    <w:rsid w:val="00C549F6"/>
    <w:rsid w:val="00C70F1B"/>
    <w:rsid w:val="00C71A47"/>
    <w:rsid w:val="00C7464C"/>
    <w:rsid w:val="00C85588"/>
    <w:rsid w:val="00C9363C"/>
    <w:rsid w:val="00C946A1"/>
    <w:rsid w:val="00C97DB2"/>
    <w:rsid w:val="00CA79AA"/>
    <w:rsid w:val="00CB3097"/>
    <w:rsid w:val="00CD6755"/>
    <w:rsid w:val="00CD6856"/>
    <w:rsid w:val="00CE0089"/>
    <w:rsid w:val="00CE7589"/>
    <w:rsid w:val="00CE793C"/>
    <w:rsid w:val="00CF193C"/>
    <w:rsid w:val="00D173F1"/>
    <w:rsid w:val="00D22264"/>
    <w:rsid w:val="00D23701"/>
    <w:rsid w:val="00D41C14"/>
    <w:rsid w:val="00D67E32"/>
    <w:rsid w:val="00D7060F"/>
    <w:rsid w:val="00D74CB0"/>
    <w:rsid w:val="00D75C3A"/>
    <w:rsid w:val="00D76647"/>
    <w:rsid w:val="00D8295D"/>
    <w:rsid w:val="00D92886"/>
    <w:rsid w:val="00D96361"/>
    <w:rsid w:val="00DA53BC"/>
    <w:rsid w:val="00DC2A65"/>
    <w:rsid w:val="00DC3E49"/>
    <w:rsid w:val="00DC502B"/>
    <w:rsid w:val="00DD00C6"/>
    <w:rsid w:val="00DE156E"/>
    <w:rsid w:val="00DE15F0"/>
    <w:rsid w:val="00DE5663"/>
    <w:rsid w:val="00DE7350"/>
    <w:rsid w:val="00DE78AA"/>
    <w:rsid w:val="00DF0FD9"/>
    <w:rsid w:val="00E053D0"/>
    <w:rsid w:val="00E06928"/>
    <w:rsid w:val="00E074B8"/>
    <w:rsid w:val="00E13CFD"/>
    <w:rsid w:val="00E15994"/>
    <w:rsid w:val="00E17A7B"/>
    <w:rsid w:val="00E21069"/>
    <w:rsid w:val="00E216FB"/>
    <w:rsid w:val="00E3114E"/>
    <w:rsid w:val="00E31A70"/>
    <w:rsid w:val="00E31E87"/>
    <w:rsid w:val="00E35B02"/>
    <w:rsid w:val="00E547C2"/>
    <w:rsid w:val="00E57BE6"/>
    <w:rsid w:val="00E63568"/>
    <w:rsid w:val="00E66496"/>
    <w:rsid w:val="00E66B35"/>
    <w:rsid w:val="00E66E10"/>
    <w:rsid w:val="00E672C0"/>
    <w:rsid w:val="00E769F6"/>
    <w:rsid w:val="00E8407C"/>
    <w:rsid w:val="00E84F3C"/>
    <w:rsid w:val="00E969C9"/>
    <w:rsid w:val="00EA012C"/>
    <w:rsid w:val="00EB6087"/>
    <w:rsid w:val="00EC2EBD"/>
    <w:rsid w:val="00EC6A55"/>
    <w:rsid w:val="00ED0288"/>
    <w:rsid w:val="00ED4EAC"/>
    <w:rsid w:val="00ED6A93"/>
    <w:rsid w:val="00EE52CB"/>
    <w:rsid w:val="00EF09AE"/>
    <w:rsid w:val="00EF581D"/>
    <w:rsid w:val="00EF7FD8"/>
    <w:rsid w:val="00F06F59"/>
    <w:rsid w:val="00F110C7"/>
    <w:rsid w:val="00F17988"/>
    <w:rsid w:val="00F252FD"/>
    <w:rsid w:val="00F2661F"/>
    <w:rsid w:val="00F27450"/>
    <w:rsid w:val="00F412BA"/>
    <w:rsid w:val="00F4173B"/>
    <w:rsid w:val="00F45FB4"/>
    <w:rsid w:val="00F4607C"/>
    <w:rsid w:val="00F469F0"/>
    <w:rsid w:val="00F53273"/>
    <w:rsid w:val="00F6214D"/>
    <w:rsid w:val="00F7045F"/>
    <w:rsid w:val="00F72BEB"/>
    <w:rsid w:val="00F74A5A"/>
    <w:rsid w:val="00F755E4"/>
    <w:rsid w:val="00F77D02"/>
    <w:rsid w:val="00F8017D"/>
    <w:rsid w:val="00F8167C"/>
    <w:rsid w:val="00F837ED"/>
    <w:rsid w:val="00F921BD"/>
    <w:rsid w:val="00F93C2A"/>
    <w:rsid w:val="00F95AFD"/>
    <w:rsid w:val="00FA07C8"/>
    <w:rsid w:val="00FA2DE7"/>
    <w:rsid w:val="00FB2EB9"/>
    <w:rsid w:val="00FB3A86"/>
    <w:rsid w:val="00FB4BB1"/>
    <w:rsid w:val="00FB5A7B"/>
    <w:rsid w:val="00FB71A5"/>
    <w:rsid w:val="00FC0A32"/>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91B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0FD9"/>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71B42"/>
    <w:rPr>
      <w:rFonts w:ascii="Times New Roman" w:hAnsi="Times New Roman"/>
      <w:sz w:val="24"/>
      <w:szCs w:val="24"/>
    </w:rPr>
  </w:style>
  <w:style w:type="character" w:customStyle="1" w:styleId="MTEquationSection">
    <w:name w:val="MTEquationSection"/>
    <w:basedOn w:val="DefaultParagraphFont"/>
    <w:rsid w:val="000753E0"/>
    <w:rPr>
      <w:rFonts w:ascii="Arial" w:hAnsi="Arial" w:cs="Arial"/>
      <w:vanish/>
      <w:color w:val="FF0000"/>
    </w:rPr>
  </w:style>
  <w:style w:type="paragraph" w:customStyle="1" w:styleId="MTDisplayEquation">
    <w:name w:val="MTDisplayEquation"/>
    <w:basedOn w:val="Body"/>
    <w:next w:val="Normal"/>
    <w:link w:val="MTDisplayEquation0"/>
    <w:rsid w:val="000753E0"/>
    <w:pPr>
      <w:tabs>
        <w:tab w:val="center" w:pos="4100"/>
        <w:tab w:val="right" w:pos="8200"/>
      </w:tabs>
      <w:spacing w:after="0"/>
      <w:jc w:val="center"/>
    </w:pPr>
  </w:style>
  <w:style w:type="character" w:customStyle="1" w:styleId="Body0">
    <w:name w:val="Body 字符"/>
    <w:basedOn w:val="DefaultParagraphFont"/>
    <w:link w:val="Body"/>
    <w:rsid w:val="000753E0"/>
    <w:rPr>
      <w:rFonts w:ascii="Helvetica" w:hAnsi="Helvetica"/>
    </w:rPr>
  </w:style>
  <w:style w:type="character" w:customStyle="1" w:styleId="MTDisplayEquation0">
    <w:name w:val="MTDisplayEquation 字符"/>
    <w:basedOn w:val="Body0"/>
    <w:link w:val="MTDisplayEquation"/>
    <w:rsid w:val="000753E0"/>
    <w:rPr>
      <w:rFonts w:ascii="Helvetica" w:hAnsi="Helvetica"/>
    </w:rPr>
  </w:style>
  <w:style w:type="character" w:styleId="PlaceholderText">
    <w:name w:val="Placeholder Text"/>
    <w:basedOn w:val="DefaultParagraphFont"/>
    <w:uiPriority w:val="99"/>
    <w:semiHidden/>
    <w:rsid w:val="00F8017D"/>
    <w:rPr>
      <w:color w:val="666666"/>
    </w:rPr>
  </w:style>
  <w:style w:type="character" w:customStyle="1" w:styleId="Heading3Char">
    <w:name w:val="Heading 3 Char"/>
    <w:basedOn w:val="DefaultParagraphFont"/>
    <w:link w:val="Heading3"/>
    <w:semiHidden/>
    <w:rsid w:val="00DF0FD9"/>
    <w:rPr>
      <w:rFonts w:ascii="Helvetica" w:hAnsi="Helvetica"/>
      <w:b/>
      <w:bCs/>
      <w:sz w:val="32"/>
      <w:szCs w:val="32"/>
    </w:rPr>
  </w:style>
  <w:style w:type="paragraph" w:styleId="ListParagraph">
    <w:name w:val="List Paragraph"/>
    <w:basedOn w:val="Normal"/>
    <w:uiPriority w:val="34"/>
    <w:qFormat/>
    <w:rsid w:val="00A50A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7.wmf"/><Relationship Id="rId63" Type="http://schemas.openxmlformats.org/officeDocument/2006/relationships/oleObject" Target="embeddings/oleObject23.bin"/><Relationship Id="rId84" Type="http://schemas.openxmlformats.org/officeDocument/2006/relationships/image" Target="media/image38.wmf"/><Relationship Id="rId138" Type="http://schemas.openxmlformats.org/officeDocument/2006/relationships/image" Target="media/image72.wmf"/><Relationship Id="rId159" Type="http://schemas.openxmlformats.org/officeDocument/2006/relationships/oleObject" Target="embeddings/oleObject64.bin"/><Relationship Id="rId107" Type="http://schemas.openxmlformats.org/officeDocument/2006/relationships/oleObject" Target="embeddings/oleObject45.bin"/><Relationship Id="rId11" Type="http://schemas.openxmlformats.org/officeDocument/2006/relationships/footer" Target="footer1.xml"/><Relationship Id="rId32" Type="http://schemas.openxmlformats.org/officeDocument/2006/relationships/image" Target="media/image12.wmf"/><Relationship Id="rId53" Type="http://schemas.openxmlformats.org/officeDocument/2006/relationships/oleObject" Target="embeddings/oleObject18.bin"/><Relationship Id="rId74" Type="http://schemas.openxmlformats.org/officeDocument/2006/relationships/image" Target="media/image33.wmf"/><Relationship Id="rId128" Type="http://schemas.openxmlformats.org/officeDocument/2006/relationships/image" Target="media/image65.png"/><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fontTable" Target="fontTable.xml"/><Relationship Id="rId22" Type="http://schemas.openxmlformats.org/officeDocument/2006/relationships/image" Target="media/image7.wmf"/><Relationship Id="rId43" Type="http://schemas.openxmlformats.org/officeDocument/2006/relationships/oleObject" Target="embeddings/oleObject13.bin"/><Relationship Id="rId64" Type="http://schemas.openxmlformats.org/officeDocument/2006/relationships/image" Target="media/image28.wmf"/><Relationship Id="rId118" Type="http://schemas.openxmlformats.org/officeDocument/2006/relationships/image" Target="media/image55.png"/><Relationship Id="rId139" Type="http://schemas.openxmlformats.org/officeDocument/2006/relationships/oleObject" Target="embeddings/oleObject54.bin"/><Relationship Id="rId85" Type="http://schemas.openxmlformats.org/officeDocument/2006/relationships/oleObject" Target="embeddings/oleObject34.bin"/><Relationship Id="rId150" Type="http://schemas.openxmlformats.org/officeDocument/2006/relationships/image" Target="media/image78.wmf"/><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oleObject" Target="embeddings/oleObject8.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50.wmf"/><Relationship Id="rId124" Type="http://schemas.openxmlformats.org/officeDocument/2006/relationships/image" Target="media/image61.png"/><Relationship Id="rId129" Type="http://schemas.openxmlformats.org/officeDocument/2006/relationships/image" Target="media/image66.png"/><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4.wmf"/><Relationship Id="rId140" Type="http://schemas.openxmlformats.org/officeDocument/2006/relationships/image" Target="media/image73.wmf"/><Relationship Id="rId145" Type="http://schemas.openxmlformats.org/officeDocument/2006/relationships/oleObject" Target="embeddings/oleObject57.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image" Target="media/image53.wmf"/><Relationship Id="rId119" Type="http://schemas.openxmlformats.org/officeDocument/2006/relationships/image" Target="media/image56.png"/><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9.wmf"/><Relationship Id="rId130" Type="http://schemas.openxmlformats.org/officeDocument/2006/relationships/image" Target="media/image67.png"/><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81.wmf"/><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image" Target="media/image34.wmf"/><Relationship Id="rId97" Type="http://schemas.openxmlformats.org/officeDocument/2006/relationships/oleObject" Target="embeddings/oleObject40.bin"/><Relationship Id="rId104" Type="http://schemas.openxmlformats.org/officeDocument/2006/relationships/image" Target="media/image48.wmf"/><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oleObject" Target="embeddings/oleObject55.bin"/><Relationship Id="rId146" Type="http://schemas.openxmlformats.org/officeDocument/2006/relationships/image" Target="media/image76.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1.wmf"/><Relationship Id="rId115" Type="http://schemas.openxmlformats.org/officeDocument/2006/relationships/oleObject" Target="embeddings/oleObject49.bin"/><Relationship Id="rId131" Type="http://schemas.openxmlformats.org/officeDocument/2006/relationships/image" Target="media/image68.png"/><Relationship Id="rId136" Type="http://schemas.openxmlformats.org/officeDocument/2006/relationships/image" Target="media/image71.wmf"/><Relationship Id="rId157" Type="http://schemas.openxmlformats.org/officeDocument/2006/relationships/oleObject" Target="embeddings/oleObject63.bin"/><Relationship Id="rId61" Type="http://schemas.openxmlformats.org/officeDocument/2006/relationships/oleObject" Target="embeddings/oleObject22.bin"/><Relationship Id="rId82" Type="http://schemas.openxmlformats.org/officeDocument/2006/relationships/image" Target="media/image37.wmf"/><Relationship Id="rId152" Type="http://schemas.openxmlformats.org/officeDocument/2006/relationships/image" Target="media/image79.wmf"/><Relationship Id="rId19" Type="http://schemas.openxmlformats.org/officeDocument/2006/relationships/package" Target="embeddings/Microsoft_Visio_Drawing1.vsdx"/><Relationship Id="rId14" Type="http://schemas.openxmlformats.org/officeDocument/2006/relationships/package" Target="embeddings/Microsoft_Visio_Drawing.vsdx"/><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6.wmf"/><Relationship Id="rId105" Type="http://schemas.openxmlformats.org/officeDocument/2006/relationships/oleObject" Target="embeddings/oleObject44.bin"/><Relationship Id="rId126" Type="http://schemas.openxmlformats.org/officeDocument/2006/relationships/image" Target="media/image63.png"/><Relationship Id="rId147" Type="http://schemas.openxmlformats.org/officeDocument/2006/relationships/oleObject" Target="embeddings/oleObject58.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oleObject" Target="embeddings/oleObject38.bin"/><Relationship Id="rId98" Type="http://schemas.openxmlformats.org/officeDocument/2006/relationships/image" Target="media/image45.wmf"/><Relationship Id="rId121" Type="http://schemas.openxmlformats.org/officeDocument/2006/relationships/image" Target="media/image58.png"/><Relationship Id="rId142" Type="http://schemas.openxmlformats.org/officeDocument/2006/relationships/image" Target="media/image74.w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image" Target="media/image54.wmf"/><Relationship Id="rId137" Type="http://schemas.openxmlformats.org/officeDocument/2006/relationships/oleObject" Target="embeddings/oleObject53.bin"/><Relationship Id="rId158" Type="http://schemas.openxmlformats.org/officeDocument/2006/relationships/image" Target="media/image82.wmf"/><Relationship Id="rId20" Type="http://schemas.openxmlformats.org/officeDocument/2006/relationships/image" Target="media/image6.wmf"/><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oleObject" Target="embeddings/oleObject33.bin"/><Relationship Id="rId88" Type="http://schemas.openxmlformats.org/officeDocument/2006/relationships/image" Target="media/image40.wmf"/><Relationship Id="rId111" Type="http://schemas.openxmlformats.org/officeDocument/2006/relationships/oleObject" Target="embeddings/oleObject47.bin"/><Relationship Id="rId132" Type="http://schemas.openxmlformats.org/officeDocument/2006/relationships/image" Target="media/image69.wmf"/><Relationship Id="rId153" Type="http://schemas.openxmlformats.org/officeDocument/2006/relationships/oleObject" Target="embeddings/oleObject61.bin"/><Relationship Id="rId15" Type="http://schemas.openxmlformats.org/officeDocument/2006/relationships/image" Target="media/image3.wmf"/><Relationship Id="rId36" Type="http://schemas.openxmlformats.org/officeDocument/2006/relationships/image" Target="media/image14.wmf"/><Relationship Id="rId57" Type="http://schemas.openxmlformats.org/officeDocument/2006/relationships/oleObject" Target="embeddings/oleObject20.bin"/><Relationship Id="rId106" Type="http://schemas.openxmlformats.org/officeDocument/2006/relationships/image" Target="media/image49.wmf"/><Relationship Id="rId127" Type="http://schemas.openxmlformats.org/officeDocument/2006/relationships/image" Target="media/image64.png"/><Relationship Id="rId10" Type="http://schemas.openxmlformats.org/officeDocument/2006/relationships/header" Target="header3.xml"/><Relationship Id="rId31" Type="http://schemas.openxmlformats.org/officeDocument/2006/relationships/oleObject" Target="embeddings/oleObject7.bin"/><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9.png"/><Relationship Id="rId143" Type="http://schemas.openxmlformats.org/officeDocument/2006/relationships/oleObject" Target="embeddings/oleObject56.bin"/><Relationship Id="rId148"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image" Target="media/image30.wmf"/><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oleObject" Target="embeddings/oleObject51.bin"/><Relationship Id="rId154" Type="http://schemas.openxmlformats.org/officeDocument/2006/relationships/image" Target="media/image80.wmf"/><Relationship Id="rId16" Type="http://schemas.openxmlformats.org/officeDocument/2006/relationships/oleObject" Target="embeddings/oleObject1.bin"/><Relationship Id="rId37" Type="http://schemas.openxmlformats.org/officeDocument/2006/relationships/oleObject" Target="embeddings/oleObject10.bin"/><Relationship Id="rId58" Type="http://schemas.openxmlformats.org/officeDocument/2006/relationships/image" Target="media/image25.wmf"/><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image" Target="media/image60.png"/><Relationship Id="rId144" Type="http://schemas.openxmlformats.org/officeDocument/2006/relationships/image" Target="media/image75.wmf"/><Relationship Id="rId90" Type="http://schemas.openxmlformats.org/officeDocument/2006/relationships/image" Target="media/image41.wmf"/><Relationship Id="rId27" Type="http://schemas.openxmlformats.org/officeDocument/2006/relationships/oleObject" Target="embeddings/oleObject5.bin"/><Relationship Id="rId48" Type="http://schemas.openxmlformats.org/officeDocument/2006/relationships/image" Target="media/image20.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70.wmf"/><Relationship Id="rId80" Type="http://schemas.openxmlformats.org/officeDocument/2006/relationships/image" Target="media/image36.wmf"/><Relationship Id="rId155" Type="http://schemas.openxmlformats.org/officeDocument/2006/relationships/oleObject" Target="embeddings/oleObject6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383</TotalTime>
  <Pages>18</Pages>
  <Words>6803</Words>
  <Characters>38780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45493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21</cp:revision>
  <cp:lastPrinted>2026-05-23T12:10:00Z</cp:lastPrinted>
  <dcterms:created xsi:type="dcterms:W3CDTF">2026-05-24T06:41:00Z</dcterms:created>
  <dcterms:modified xsi:type="dcterms:W3CDTF">2026-05-30T10:33:00Z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nNumsOnRight">
    <vt:bool>true</vt:bool>
  </property>
  <property fmtid="{D5CDD505-2E9C-101B-9397-08002B2CF9AE}" pid="5" name="MTEquationSection">
    <vt:lpwstr>1</vt:lpwstr>
  </property>
</Properties>
</file>