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C852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Knowledge of Farmers on Organic Farming in Bundelkhand Region of Uttar Pradesh</w:t>
      </w:r>
    </w:p>
    <w:p w14:paraId="229BEFB6">
      <w:pPr>
        <w:spacing w:after="0" w:line="360" w:lineRule="auto"/>
        <w:jc w:val="center"/>
        <w:rPr>
          <w:rFonts w:ascii="Times New Roman" w:hAnsi="Times New Roman" w:cs="Times New Roman"/>
          <w:b/>
          <w:bCs/>
          <w:sz w:val="24"/>
          <w:szCs w:val="24"/>
        </w:rPr>
      </w:pPr>
    </w:p>
    <w:p w14:paraId="77015990">
      <w:pPr>
        <w:spacing w:after="0" w:line="360" w:lineRule="auto"/>
        <w:jc w:val="center"/>
        <w:rPr>
          <w:rFonts w:ascii="Times New Roman" w:hAnsi="Times New Roman" w:cs="Times New Roman"/>
          <w:b/>
          <w:bCs/>
          <w:sz w:val="24"/>
          <w:szCs w:val="24"/>
        </w:rPr>
      </w:pPr>
    </w:p>
    <w:p w14:paraId="3698B885">
      <w:pPr>
        <w:spacing w:after="0" w:line="360" w:lineRule="auto"/>
        <w:jc w:val="center"/>
        <w:rPr>
          <w:rFonts w:ascii="Times New Roman" w:hAnsi="Times New Roman"/>
          <w:b/>
          <w:bCs/>
          <w:sz w:val="24"/>
          <w:szCs w:val="24"/>
        </w:rPr>
      </w:pPr>
    </w:p>
    <w:p w14:paraId="363E74CE">
      <w:pPr>
        <w:spacing w:after="0" w:line="360" w:lineRule="auto"/>
        <w:jc w:val="center"/>
        <w:rPr>
          <w:rFonts w:ascii="Times New Roman" w:hAnsi="Times New Roman"/>
          <w:b/>
          <w:bCs/>
          <w:sz w:val="24"/>
          <w:szCs w:val="24"/>
        </w:rPr>
      </w:pPr>
    </w:p>
    <w:p w14:paraId="1156C7A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14EE9FB5">
      <w:pPr>
        <w:pStyle w:val="9"/>
        <w:keepNext w:val="0"/>
        <w:keepLines w:val="0"/>
        <w:widowControl/>
        <w:suppressLineNumbers w:val="0"/>
        <w:spacing w:line="360" w:lineRule="auto"/>
        <w:jc w:val="both"/>
        <w:rPr>
          <w:color w:val="FF0000"/>
        </w:rPr>
      </w:pPr>
      <w:r>
        <w:rPr>
          <w:color w:val="FF0000"/>
        </w:rPr>
        <w:t>The natural resources are considered as valuable assets of the nation and for their sustainable agricultural development, proper planning and management of these resources are essential. In this context, the present study was conducted in Hamirpur district of Bundelkhand region in Uttar Pradesh for assessing the knowledge of farmers regarding organic farming practices. The research applied an ex-post facto research design. A total of 120 respondents were selected from the two blocks by simple random sampling in proportion to size of the sample from selected villages. Data were collected using a structured interview schedule consisting of 22 knowledge items on various aspects of organic farming such as organic inputs, farmyard manure, vermicompost, bio-fertilizers, bio-pesticides, organic certification, disease management, alternatives to chemical fertilisers and pesticides and marketing management. The data collected were analysed by frequency, percentage, mean and ranking method. The results revealed that most of the respondents had medium level of knowledge of organic farming (81.66%). Nine per cent (9.16) respondents had high level and 9.16 per cent had low level of knowledge. The study revealed that farmers have moderate level of awareness regarding organic farming practices but there is a need for effective training, extension support and awareness programmes to improve their knowledge and adoption of sustainable organic farming technologies in the Bundelkhand region.</w:t>
      </w:r>
    </w:p>
    <w:p w14:paraId="4936C110">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14:paraId="549969C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Knowledge,</w:t>
      </w:r>
      <w:r>
        <w:rPr>
          <w:rFonts w:hint="default" w:ascii="Times New Roman" w:hAnsi="Times New Roman" w:cs="Times New Roman"/>
          <w:sz w:val="24"/>
          <w:szCs w:val="24"/>
          <w:lang w:val="en-US"/>
        </w:rPr>
        <w:t xml:space="preserve"> B</w:t>
      </w:r>
      <w:r>
        <w:rPr>
          <w:rFonts w:hint="default" w:ascii="Times New Roman" w:hAnsi="Times New Roman" w:cs="Times New Roman"/>
        </w:rPr>
        <w:t>io-fertilizers</w:t>
      </w:r>
      <w:r>
        <w:rPr>
          <w:rFonts w:hint="default" w:ascii="Times New Roman" w:hAnsi="Times New Roman" w:cs="Times New Roman"/>
          <w:lang w:val="en-US"/>
        </w:rPr>
        <w:t>,</w:t>
      </w:r>
      <w:r>
        <w:rPr>
          <w:rFonts w:ascii="Times New Roman" w:hAnsi="Times New Roman" w:cs="Times New Roman"/>
          <w:sz w:val="24"/>
          <w:szCs w:val="24"/>
        </w:rPr>
        <w:t xml:space="preserve"> Organic farming practices, </w:t>
      </w:r>
      <w:r>
        <w:rPr>
          <w:rFonts w:hint="default" w:ascii="Times New Roman" w:hAnsi="Times New Roman" w:cs="Times New Roman"/>
          <w:sz w:val="24"/>
          <w:szCs w:val="24"/>
          <w:lang w:val="en-US"/>
        </w:rPr>
        <w:t>O</w:t>
      </w:r>
      <w:r>
        <w:rPr>
          <w:rFonts w:hint="default" w:ascii="Times New Roman" w:hAnsi="Times New Roman" w:cs="Times New Roman"/>
        </w:rPr>
        <w:t>rganic certification</w:t>
      </w:r>
    </w:p>
    <w:p w14:paraId="1C7B4DB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4160F9DC">
      <w:pPr>
        <w:spacing w:after="0" w:line="360" w:lineRule="auto"/>
        <w:jc w:val="both"/>
        <w:rPr>
          <w:rFonts w:ascii="Times New Roman" w:hAnsi="Times New Roman" w:cs="Times New Roman"/>
          <w:sz w:val="24"/>
          <w:szCs w:val="24"/>
        </w:rPr>
      </w:pPr>
      <w:r>
        <w:rPr>
          <w:rFonts w:hint="default" w:ascii="Times New Roman" w:hAnsi="Times New Roman" w:cs="Times New Roman"/>
          <w:sz w:val="24"/>
          <w:szCs w:val="24"/>
        </w:rPr>
        <w:t xml:space="preserve">The growth of population and the increase in income will lead to a rise in demand for food grains as well as for the various agricultural-based raw materials, which are needed for running the industries in the future. At present, in India, 140 million hectares will have to meet the future increases in such demands; area under cultivation, obviously, cannot be increased. There is a strong reason for even a decline in the cultivated area because of </w:t>
      </w:r>
      <w:r>
        <w:rPr>
          <w:rFonts w:hint="default" w:ascii="Times New Roman" w:hAnsi="Times New Roman" w:cs="Times New Roman"/>
          <w:sz w:val="24"/>
          <w:szCs w:val="24"/>
          <w:lang w:val="en-US"/>
        </w:rPr>
        <w:t>urbanization</w:t>
      </w:r>
      <w:r>
        <w:rPr>
          <w:rFonts w:hint="default" w:ascii="Times New Roman" w:hAnsi="Times New Roman" w:cs="Times New Roman"/>
          <w:sz w:val="24"/>
          <w:szCs w:val="24"/>
        </w:rPr>
        <w:t xml:space="preserve"> and </w:t>
      </w:r>
      <w:r>
        <w:rPr>
          <w:rFonts w:hint="default" w:ascii="Times New Roman" w:hAnsi="Times New Roman" w:cs="Times New Roman"/>
          <w:sz w:val="24"/>
          <w:szCs w:val="24"/>
          <w:lang w:val="en-US"/>
        </w:rPr>
        <w:t>industrialization</w:t>
      </w:r>
      <w:r>
        <w:rPr>
          <w:rFonts w:hint="default" w:ascii="Times New Roman" w:hAnsi="Times New Roman" w:cs="Times New Roman"/>
          <w:sz w:val="24"/>
          <w:szCs w:val="24"/>
        </w:rPr>
        <w:t>, which in turn will exert much pressure on the existing, cropped area. Organic cultivation is attracting farmers the world over due to its various advantages over modern agricultural practices. Essentially, it is a farming system that supports and strengthens biological processes without recourse to inorganic remedies such as chemicals or genetically modified organisms. Natural resources of countries are their national property; proper planning is required to make the most use of them. As a result, appropriate management measures are urgently required to safeguard agricultural areas' productive potential. The key to achieving sustained high production, food security, and environmental safety is effective management and maintenance of soil health/quality. As a result of the rapidly shrinking land area for agriculture, deteriorating soil fertility, and increasing soil degradation, as well as incorrect land use policies and irrational and imbalanced input utilisation, soil is receiving increased attention. All of these reasons necessitate a research shift away from maximal crop output and toward a "sustainable crop production system" that does not degrade soil health or environmental quality. The essential requirement of the era is to develop and implement an ideal management system that can maintain or improve the quality of natural resources. One of the possibilities for improving natural resources or even damaged land is to use an organic management system. The Indian agriculture switched over to the conventional system of production with the advent of the green revolution after 1966. Following the commencement of the green revolution in India, the use of improved crop types and higher levels of inputs, fertilisers, and plant protection chemicals resulted in a significant increase in food grain production. However, it has recently been shown that the boost in productivity came at the expense of soil health. In fact, indiscriminate use of irrigation water, pesticides, and chemical fertilisers adversely affects around 60% of our currently cultivated agricultural area. The increased usage of fertilisers is one of the major causes of the increase in food production during the green revolution period. Organic farming is a type of farming that avoids or limits the use of synthetically produced fertilisers, pesticides, growth regulators, and livestock feed additives. Crop rotations, crop residues, animal manures, legumes, green manures, off-farm organic wastes, mechanical cultivation, mineral-bearing rocks, and aspects of biological pest control are used to maintain soil productivity and tilt, supply plant nutrients, and control insects, weeds, and other pests to the greatest extent possible in organic farming systems.</w:t>
      </w:r>
    </w:p>
    <w:p w14:paraId="405E5659">
      <w:pPr>
        <w:pStyle w:val="12"/>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7E235D9C">
      <w:pPr>
        <w:pStyle w:val="12"/>
        <w:spacing w:after="0" w:line="360" w:lineRule="auto"/>
        <w:ind w:left="0"/>
        <w:jc w:val="both"/>
        <w:rPr>
          <w:rFonts w:ascii="Times New Roman" w:hAnsi="Times New Roman" w:cs="Times New Roman"/>
          <w:sz w:val="24"/>
          <w:szCs w:val="24"/>
        </w:rPr>
      </w:pPr>
      <w:r>
        <w:rPr>
          <w:rFonts w:hint="default" w:ascii="Times New Roman" w:hAnsi="Times New Roman" w:cs="Times New Roman"/>
          <w:sz w:val="24"/>
          <w:szCs w:val="24"/>
        </w:rPr>
        <w:t>For the present study Ex-post-facto research design was used and Hamirpur district was selected purposively. Out of seven blocks, two blocks, i.e. Sarila, Sumerpur were selected for the present study. The scheme covered around 7000 acres (1000 acers in each blocks) of land in 140 clusters (20 in each block), around 7000 farmer’s (50 farmers in each cluster) were benefited with this scheme.  Two blocks namely Sarila and Sumerpur, were selected randomly. Further, from the list of cluster/ village ten villages (five from each block), namely Devgaun, Paraojhi, Chandaukhi, Kalauliteer and Tikarauli from Sumerpur block and Chhibauli, Rigwara Kala, Pahara, Bhaisaye and Turna from Sarila block were selected randomly for the present study. Further, the list of beneficiary farmers of selected villages was collected from the Department of Agriculture as well as certifying agencies i.e. PGS India.  A list of beneficiary farmers of each selected cluster/ village was prepared. Among these twelve beneficiaries, about 25 per cent from each cluster/ village have been selected as respondents. Altogether, the total sample size of 120 respondents was selected randomly from the beneficiaries of the scheme. Knowledge about organic farming practices was measured with the help of structured schedule, which was specially developed in consultation with the expert and teachers of the Department of Agricultural Extension and Agricultural Economics, College of Agriculture, BUAT, Banda. Items selected for this purpose have been presented in the appendix. The schedule consisted of 22 items from different aspects of organic farming practices like inputs, manures, vermi copostes,  organic certification, disease management, bio pesticides, bio fertilizers, alternatives to chemical fertilisers and pesticides and marketing management, etc.</w:t>
      </w:r>
      <w:bookmarkStart w:id="1" w:name="_GoBack"/>
      <w:bookmarkEnd w:id="1"/>
    </w:p>
    <w:p w14:paraId="2DCB1C3D">
      <w:pPr>
        <w:pStyle w:val="12"/>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64071FA8">
      <w:pPr>
        <w:pStyle w:val="12"/>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Socio-economic profile of the respondents</w:t>
      </w:r>
    </w:p>
    <w:p w14:paraId="00566586">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The findings revealed that (Table 1) the majority (72.50%) of respondents was belonged to 39-56 years age group and greater part (45.83) of respondents were educated intermediate education level.  Common (78.33%) of respondents were belonging from joint family system and preponderance (48.33%) of respondents were belonging from medium family. Maximum (40.83%) of the respondents were belonged to medium (4-10 ha) land holding size. Most (64.16%) of the respondents were engaging in only Agriculture + Dairying. Maximum (91.66%) of the respondents come under above 100000 rupees per annum category. Highest (76.67%) of respondents come under member of at least one organization social participation category. Greater part (95.83%) of the respondents has more than 10 years farming experience. Upper limit (95.83%) of the respondents was belonging to medium level of extension contact. Maximum (94.16%) of the respondent belonging to medium level of extension contact. Most (83.34%) of the respondents belonging to medium level of scientific orientation.</w:t>
      </w:r>
    </w:p>
    <w:p w14:paraId="0D8171F7">
      <w:pPr>
        <w:pStyle w:val="12"/>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1: Socio-demographic profile of the respondents (n=120)</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010"/>
        <w:gridCol w:w="3645"/>
        <w:gridCol w:w="1406"/>
        <w:gridCol w:w="1438"/>
      </w:tblGrid>
      <w:tr w14:paraId="31B4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14:paraId="39FDD19F">
            <w:pPr>
              <w:pStyle w:val="12"/>
              <w:spacing w:after="0" w:line="360" w:lineRule="auto"/>
              <w:ind w:left="0"/>
              <w:jc w:val="center"/>
              <w:rPr>
                <w:rFonts w:ascii="Times New Roman" w:hAnsi="Times New Roman" w:cs="Times New Roman"/>
                <w:b/>
                <w:sz w:val="24"/>
                <w:szCs w:val="24"/>
                <w:lang w:val="en-IN"/>
              </w:rPr>
            </w:pPr>
            <w:r>
              <w:rPr>
                <w:rFonts w:ascii="Times New Roman" w:hAnsi="Times New Roman" w:cs="Times New Roman"/>
                <w:b/>
                <w:sz w:val="24"/>
                <w:szCs w:val="24"/>
                <w:lang w:val="en-IN"/>
              </w:rPr>
              <w:t>Sl. No.</w:t>
            </w:r>
          </w:p>
        </w:tc>
        <w:tc>
          <w:tcPr>
            <w:tcW w:w="2010" w:type="dxa"/>
          </w:tcPr>
          <w:p w14:paraId="595F8E25">
            <w:pPr>
              <w:pStyle w:val="12"/>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Profile characteristics</w:t>
            </w:r>
          </w:p>
        </w:tc>
        <w:tc>
          <w:tcPr>
            <w:tcW w:w="3645" w:type="dxa"/>
          </w:tcPr>
          <w:p w14:paraId="41DCF523">
            <w:pPr>
              <w:pStyle w:val="12"/>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Category</w:t>
            </w:r>
          </w:p>
        </w:tc>
        <w:tc>
          <w:tcPr>
            <w:tcW w:w="1406" w:type="dxa"/>
          </w:tcPr>
          <w:p w14:paraId="54B5156F">
            <w:pPr>
              <w:pStyle w:val="12"/>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Frequency</w:t>
            </w:r>
          </w:p>
        </w:tc>
        <w:tc>
          <w:tcPr>
            <w:tcW w:w="1438" w:type="dxa"/>
          </w:tcPr>
          <w:p w14:paraId="4204155F">
            <w:pPr>
              <w:pStyle w:val="12"/>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Percentage</w:t>
            </w:r>
          </w:p>
        </w:tc>
      </w:tr>
      <w:tr w14:paraId="5E51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4" w:type="dxa"/>
            <w:vMerge w:val="restart"/>
          </w:tcPr>
          <w:p w14:paraId="7C527038">
            <w:pPr>
              <w:spacing w:after="0" w:line="360" w:lineRule="auto"/>
              <w:jc w:val="center"/>
              <w:rPr>
                <w:rFonts w:ascii="Times New Roman" w:hAnsi="Times New Roman" w:cs="Times New Roman"/>
                <w:b/>
                <w:sz w:val="24"/>
                <w:szCs w:val="24"/>
                <w:lang w:val="en-IN"/>
              </w:rPr>
            </w:pPr>
            <w:r>
              <w:rPr>
                <w:rFonts w:ascii="Times New Roman" w:hAnsi="Times New Roman" w:cs="Times New Roman"/>
                <w:b/>
                <w:sz w:val="24"/>
                <w:szCs w:val="24"/>
                <w:lang w:val="en-IN"/>
              </w:rPr>
              <w:t>1.</w:t>
            </w:r>
          </w:p>
        </w:tc>
        <w:tc>
          <w:tcPr>
            <w:tcW w:w="2010" w:type="dxa"/>
            <w:vMerge w:val="restart"/>
          </w:tcPr>
          <w:p w14:paraId="01A80856">
            <w:pPr>
              <w:pStyle w:val="12"/>
              <w:spacing w:after="0" w:line="360" w:lineRule="auto"/>
              <w:ind w:left="0"/>
              <w:jc w:val="both"/>
              <w:rPr>
                <w:rFonts w:ascii="Times New Roman" w:hAnsi="Times New Roman" w:cs="Times New Roman"/>
                <w:b/>
                <w:bCs/>
                <w:sz w:val="24"/>
                <w:szCs w:val="24"/>
              </w:rPr>
            </w:pPr>
            <w:r>
              <w:rPr>
                <w:rFonts w:ascii="Times New Roman" w:hAnsi="Times New Roman" w:cs="Times New Roman"/>
                <w:sz w:val="24"/>
                <w:szCs w:val="24"/>
              </w:rPr>
              <w:t>Age</w:t>
            </w:r>
          </w:p>
          <w:p w14:paraId="2654859D">
            <w:pPr>
              <w:spacing w:after="0" w:line="360" w:lineRule="auto"/>
              <w:jc w:val="both"/>
              <w:rPr>
                <w:rFonts w:ascii="Times New Roman" w:hAnsi="Times New Roman" w:cs="Times New Roman"/>
                <w:sz w:val="24"/>
                <w:szCs w:val="24"/>
              </w:rPr>
            </w:pPr>
          </w:p>
        </w:tc>
        <w:tc>
          <w:tcPr>
            <w:tcW w:w="3645" w:type="dxa"/>
          </w:tcPr>
          <w:p w14:paraId="13969E9F">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Young &lt; 39)</w:t>
            </w:r>
          </w:p>
        </w:tc>
        <w:tc>
          <w:tcPr>
            <w:tcW w:w="1406" w:type="dxa"/>
          </w:tcPr>
          <w:p w14:paraId="144FFCCA">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1438" w:type="dxa"/>
          </w:tcPr>
          <w:p w14:paraId="5BA183FF">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r>
      <w:tr w14:paraId="687B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4" w:type="dxa"/>
            <w:vMerge w:val="continue"/>
          </w:tcPr>
          <w:p w14:paraId="7EB687E6">
            <w:pPr>
              <w:spacing w:after="0" w:line="360" w:lineRule="auto"/>
              <w:jc w:val="center"/>
              <w:rPr>
                <w:rFonts w:ascii="Times New Roman" w:hAnsi="Times New Roman" w:cs="Times New Roman"/>
                <w:b/>
                <w:sz w:val="24"/>
                <w:szCs w:val="24"/>
                <w:lang w:val="en-IN"/>
              </w:rPr>
            </w:pPr>
          </w:p>
        </w:tc>
        <w:tc>
          <w:tcPr>
            <w:tcW w:w="2010" w:type="dxa"/>
            <w:vMerge w:val="continue"/>
          </w:tcPr>
          <w:p w14:paraId="3B888980">
            <w:pPr>
              <w:pStyle w:val="12"/>
              <w:spacing w:after="0" w:line="360" w:lineRule="auto"/>
              <w:ind w:left="0"/>
              <w:jc w:val="both"/>
              <w:rPr>
                <w:rFonts w:ascii="Times New Roman" w:hAnsi="Times New Roman" w:cs="Times New Roman"/>
                <w:sz w:val="24"/>
                <w:szCs w:val="24"/>
              </w:rPr>
            </w:pPr>
          </w:p>
        </w:tc>
        <w:tc>
          <w:tcPr>
            <w:tcW w:w="3645" w:type="dxa"/>
          </w:tcPr>
          <w:p w14:paraId="000FD297">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Middle Age 39 to 56</w:t>
            </w:r>
          </w:p>
        </w:tc>
        <w:tc>
          <w:tcPr>
            <w:tcW w:w="1406" w:type="dxa"/>
          </w:tcPr>
          <w:p w14:paraId="7A0E8B39">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87</w:t>
            </w:r>
          </w:p>
        </w:tc>
        <w:tc>
          <w:tcPr>
            <w:tcW w:w="1438" w:type="dxa"/>
          </w:tcPr>
          <w:p w14:paraId="1AFFF588">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72.5</w:t>
            </w:r>
          </w:p>
        </w:tc>
      </w:tr>
      <w:tr w14:paraId="14AD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4" w:type="dxa"/>
            <w:vMerge w:val="continue"/>
          </w:tcPr>
          <w:p w14:paraId="5941DFE3">
            <w:pPr>
              <w:spacing w:after="0" w:line="360" w:lineRule="auto"/>
              <w:jc w:val="center"/>
              <w:rPr>
                <w:rFonts w:ascii="Times New Roman" w:hAnsi="Times New Roman" w:cs="Times New Roman"/>
                <w:b/>
                <w:sz w:val="24"/>
                <w:szCs w:val="24"/>
                <w:lang w:val="en-IN"/>
              </w:rPr>
            </w:pPr>
          </w:p>
        </w:tc>
        <w:tc>
          <w:tcPr>
            <w:tcW w:w="2010" w:type="dxa"/>
            <w:vMerge w:val="continue"/>
          </w:tcPr>
          <w:p w14:paraId="4F36EFFD">
            <w:pPr>
              <w:pStyle w:val="12"/>
              <w:spacing w:after="0" w:line="360" w:lineRule="auto"/>
              <w:ind w:left="0"/>
              <w:jc w:val="both"/>
              <w:rPr>
                <w:rFonts w:ascii="Times New Roman" w:hAnsi="Times New Roman" w:cs="Times New Roman"/>
                <w:sz w:val="24"/>
                <w:szCs w:val="24"/>
              </w:rPr>
            </w:pPr>
          </w:p>
        </w:tc>
        <w:tc>
          <w:tcPr>
            <w:tcW w:w="3645" w:type="dxa"/>
          </w:tcPr>
          <w:p w14:paraId="09A1A5AA">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Old Age &gt; 56)</w:t>
            </w:r>
          </w:p>
        </w:tc>
        <w:tc>
          <w:tcPr>
            <w:tcW w:w="1406" w:type="dxa"/>
          </w:tcPr>
          <w:p w14:paraId="195D1BB0">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438" w:type="dxa"/>
          </w:tcPr>
          <w:p w14:paraId="23FBF9DE">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12.5</w:t>
            </w:r>
          </w:p>
        </w:tc>
      </w:tr>
      <w:tr w14:paraId="7DA2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4" w:type="dxa"/>
            <w:vMerge w:val="restart"/>
          </w:tcPr>
          <w:p w14:paraId="5FEF0BE0">
            <w:pPr>
              <w:pStyle w:val="12"/>
              <w:spacing w:after="0" w:line="360" w:lineRule="auto"/>
              <w:ind w:left="0"/>
              <w:jc w:val="center"/>
              <w:rPr>
                <w:rFonts w:ascii="Times New Roman" w:hAnsi="Times New Roman" w:cs="Times New Roman"/>
                <w:b/>
                <w:sz w:val="24"/>
                <w:szCs w:val="24"/>
                <w:lang w:val="en-IN"/>
              </w:rPr>
            </w:pPr>
            <w:r>
              <w:rPr>
                <w:rFonts w:ascii="Times New Roman" w:hAnsi="Times New Roman" w:cs="Times New Roman"/>
                <w:b/>
                <w:sz w:val="24"/>
                <w:szCs w:val="24"/>
                <w:lang w:val="en-IN"/>
              </w:rPr>
              <w:t>2.</w:t>
            </w:r>
          </w:p>
        </w:tc>
        <w:tc>
          <w:tcPr>
            <w:tcW w:w="2010" w:type="dxa"/>
            <w:vMerge w:val="restart"/>
          </w:tcPr>
          <w:p w14:paraId="70A78722">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Education</w:t>
            </w:r>
          </w:p>
        </w:tc>
        <w:tc>
          <w:tcPr>
            <w:tcW w:w="3645" w:type="dxa"/>
          </w:tcPr>
          <w:p w14:paraId="65F81FBB">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Illiterate</w:t>
            </w:r>
          </w:p>
        </w:tc>
        <w:tc>
          <w:tcPr>
            <w:tcW w:w="1406" w:type="dxa"/>
          </w:tcPr>
          <w:p w14:paraId="7AE636DA">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438" w:type="dxa"/>
          </w:tcPr>
          <w:p w14:paraId="6CD334F1">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2.50</w:t>
            </w:r>
          </w:p>
        </w:tc>
      </w:tr>
      <w:tr w14:paraId="40B1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4" w:type="dxa"/>
            <w:vMerge w:val="continue"/>
          </w:tcPr>
          <w:p w14:paraId="6CF24F9F">
            <w:pPr>
              <w:pStyle w:val="12"/>
              <w:spacing w:after="0" w:line="360" w:lineRule="auto"/>
              <w:ind w:left="0"/>
              <w:jc w:val="center"/>
              <w:rPr>
                <w:rFonts w:ascii="Times New Roman" w:hAnsi="Times New Roman" w:cs="Times New Roman"/>
                <w:b/>
                <w:sz w:val="24"/>
                <w:szCs w:val="24"/>
                <w:lang w:val="en-IN"/>
              </w:rPr>
            </w:pPr>
          </w:p>
        </w:tc>
        <w:tc>
          <w:tcPr>
            <w:tcW w:w="2010" w:type="dxa"/>
            <w:vMerge w:val="continue"/>
          </w:tcPr>
          <w:p w14:paraId="26E586F7">
            <w:pPr>
              <w:pStyle w:val="12"/>
              <w:spacing w:after="0" w:line="360" w:lineRule="auto"/>
              <w:ind w:left="0"/>
              <w:jc w:val="both"/>
              <w:rPr>
                <w:rFonts w:ascii="Times New Roman" w:hAnsi="Times New Roman" w:cs="Times New Roman"/>
                <w:sz w:val="24"/>
                <w:szCs w:val="24"/>
              </w:rPr>
            </w:pPr>
          </w:p>
        </w:tc>
        <w:tc>
          <w:tcPr>
            <w:tcW w:w="3645" w:type="dxa"/>
          </w:tcPr>
          <w:p w14:paraId="4E77837A">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Primary school</w:t>
            </w:r>
          </w:p>
        </w:tc>
        <w:tc>
          <w:tcPr>
            <w:tcW w:w="1406" w:type="dxa"/>
          </w:tcPr>
          <w:p w14:paraId="59FBBFAD">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438" w:type="dxa"/>
          </w:tcPr>
          <w:p w14:paraId="29F54051">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1.66</w:t>
            </w:r>
          </w:p>
        </w:tc>
      </w:tr>
      <w:tr w14:paraId="17D6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4" w:type="dxa"/>
            <w:vMerge w:val="continue"/>
          </w:tcPr>
          <w:p w14:paraId="687A230A">
            <w:pPr>
              <w:pStyle w:val="12"/>
              <w:spacing w:after="0" w:line="360" w:lineRule="auto"/>
              <w:ind w:left="0"/>
              <w:jc w:val="center"/>
              <w:rPr>
                <w:rFonts w:ascii="Times New Roman" w:hAnsi="Times New Roman" w:cs="Times New Roman"/>
                <w:b/>
                <w:sz w:val="24"/>
                <w:szCs w:val="24"/>
                <w:lang w:val="en-IN"/>
              </w:rPr>
            </w:pPr>
          </w:p>
        </w:tc>
        <w:tc>
          <w:tcPr>
            <w:tcW w:w="2010" w:type="dxa"/>
            <w:vMerge w:val="continue"/>
          </w:tcPr>
          <w:p w14:paraId="309F2946">
            <w:pPr>
              <w:pStyle w:val="12"/>
              <w:spacing w:after="0" w:line="360" w:lineRule="auto"/>
              <w:ind w:left="0"/>
              <w:jc w:val="both"/>
              <w:rPr>
                <w:rFonts w:ascii="Times New Roman" w:hAnsi="Times New Roman" w:cs="Times New Roman"/>
                <w:sz w:val="24"/>
                <w:szCs w:val="24"/>
              </w:rPr>
            </w:pPr>
          </w:p>
        </w:tc>
        <w:tc>
          <w:tcPr>
            <w:tcW w:w="3645" w:type="dxa"/>
          </w:tcPr>
          <w:p w14:paraId="64FF38D2">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Middle school</w:t>
            </w:r>
          </w:p>
          <w:p w14:paraId="2E33BAB0">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High school</w:t>
            </w:r>
          </w:p>
        </w:tc>
        <w:tc>
          <w:tcPr>
            <w:tcW w:w="1406" w:type="dxa"/>
          </w:tcPr>
          <w:p w14:paraId="118DC915">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p w14:paraId="0767E7A0">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1438" w:type="dxa"/>
          </w:tcPr>
          <w:p w14:paraId="382D930F">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9.16</w:t>
            </w:r>
          </w:p>
          <w:p w14:paraId="476F6730">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30.83</w:t>
            </w:r>
          </w:p>
        </w:tc>
      </w:tr>
      <w:tr w14:paraId="6429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dxa"/>
            <w:vMerge w:val="continue"/>
          </w:tcPr>
          <w:p w14:paraId="1928579B">
            <w:pPr>
              <w:pStyle w:val="12"/>
              <w:spacing w:after="0" w:line="360" w:lineRule="auto"/>
              <w:ind w:left="0"/>
              <w:jc w:val="center"/>
              <w:rPr>
                <w:rFonts w:ascii="Times New Roman" w:hAnsi="Times New Roman" w:cs="Times New Roman"/>
                <w:b/>
                <w:sz w:val="24"/>
                <w:szCs w:val="24"/>
                <w:lang w:val="en-IN"/>
              </w:rPr>
            </w:pPr>
          </w:p>
        </w:tc>
        <w:tc>
          <w:tcPr>
            <w:tcW w:w="2010" w:type="dxa"/>
            <w:vMerge w:val="continue"/>
          </w:tcPr>
          <w:p w14:paraId="3BB5991F">
            <w:pPr>
              <w:pStyle w:val="12"/>
              <w:spacing w:after="0" w:line="360" w:lineRule="auto"/>
              <w:ind w:left="0"/>
              <w:jc w:val="both"/>
              <w:rPr>
                <w:rFonts w:ascii="Times New Roman" w:hAnsi="Times New Roman" w:cs="Times New Roman"/>
                <w:sz w:val="24"/>
                <w:szCs w:val="24"/>
              </w:rPr>
            </w:pPr>
          </w:p>
        </w:tc>
        <w:tc>
          <w:tcPr>
            <w:tcW w:w="3645" w:type="dxa"/>
          </w:tcPr>
          <w:p w14:paraId="40BFFC80">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Intermediate</w:t>
            </w:r>
          </w:p>
        </w:tc>
        <w:tc>
          <w:tcPr>
            <w:tcW w:w="1406" w:type="dxa"/>
          </w:tcPr>
          <w:p w14:paraId="204683DB">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55</w:t>
            </w:r>
          </w:p>
        </w:tc>
        <w:tc>
          <w:tcPr>
            <w:tcW w:w="1438" w:type="dxa"/>
          </w:tcPr>
          <w:p w14:paraId="4C3D3BBB">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45.83</w:t>
            </w:r>
          </w:p>
        </w:tc>
      </w:tr>
      <w:tr w14:paraId="7300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44" w:type="dxa"/>
            <w:vMerge w:val="continue"/>
          </w:tcPr>
          <w:p w14:paraId="1D922CB1">
            <w:pPr>
              <w:pStyle w:val="12"/>
              <w:spacing w:after="0" w:line="360" w:lineRule="auto"/>
              <w:ind w:left="0"/>
              <w:jc w:val="center"/>
              <w:rPr>
                <w:rFonts w:ascii="Times New Roman" w:hAnsi="Times New Roman" w:cs="Times New Roman"/>
                <w:b/>
                <w:sz w:val="24"/>
                <w:szCs w:val="24"/>
                <w:lang w:val="en-IN"/>
              </w:rPr>
            </w:pPr>
          </w:p>
        </w:tc>
        <w:tc>
          <w:tcPr>
            <w:tcW w:w="2010" w:type="dxa"/>
            <w:vMerge w:val="continue"/>
          </w:tcPr>
          <w:p w14:paraId="0BC9558D">
            <w:pPr>
              <w:pStyle w:val="12"/>
              <w:spacing w:after="0" w:line="360" w:lineRule="auto"/>
              <w:ind w:left="0"/>
              <w:jc w:val="both"/>
              <w:rPr>
                <w:rFonts w:ascii="Times New Roman" w:hAnsi="Times New Roman" w:cs="Times New Roman"/>
                <w:sz w:val="24"/>
                <w:szCs w:val="24"/>
              </w:rPr>
            </w:pPr>
          </w:p>
        </w:tc>
        <w:tc>
          <w:tcPr>
            <w:tcW w:w="3645" w:type="dxa"/>
          </w:tcPr>
          <w:p w14:paraId="45E3AE21">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College Education</w:t>
            </w:r>
          </w:p>
        </w:tc>
        <w:tc>
          <w:tcPr>
            <w:tcW w:w="1406" w:type="dxa"/>
          </w:tcPr>
          <w:p w14:paraId="4A9C12C3">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438" w:type="dxa"/>
          </w:tcPr>
          <w:p w14:paraId="60889675">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r>
      <w:tr w14:paraId="71CF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14:paraId="07C1B292">
            <w:pPr>
              <w:pStyle w:val="12"/>
              <w:spacing w:after="0" w:line="360" w:lineRule="auto"/>
              <w:ind w:left="0"/>
              <w:jc w:val="center"/>
              <w:rPr>
                <w:rFonts w:ascii="Times New Roman" w:hAnsi="Times New Roman" w:cs="Times New Roman"/>
                <w:b/>
                <w:sz w:val="24"/>
                <w:szCs w:val="24"/>
                <w:lang w:val="en-IN"/>
              </w:rPr>
            </w:pPr>
            <w:r>
              <w:rPr>
                <w:rFonts w:ascii="Times New Roman" w:hAnsi="Times New Roman" w:cs="Times New Roman"/>
                <w:b/>
                <w:sz w:val="24"/>
                <w:szCs w:val="24"/>
                <w:lang w:val="en-IN"/>
              </w:rPr>
              <w:t>3.</w:t>
            </w:r>
          </w:p>
        </w:tc>
        <w:tc>
          <w:tcPr>
            <w:tcW w:w="2010" w:type="dxa"/>
          </w:tcPr>
          <w:p w14:paraId="2CEC3A52">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Family type</w:t>
            </w:r>
          </w:p>
        </w:tc>
        <w:tc>
          <w:tcPr>
            <w:tcW w:w="3645" w:type="dxa"/>
          </w:tcPr>
          <w:p w14:paraId="7D8626DD">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Nuclear Family</w:t>
            </w:r>
          </w:p>
          <w:p w14:paraId="1E8DECA4">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Joint Family</w:t>
            </w:r>
          </w:p>
        </w:tc>
        <w:tc>
          <w:tcPr>
            <w:tcW w:w="1406" w:type="dxa"/>
          </w:tcPr>
          <w:p w14:paraId="45BC08E6">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p w14:paraId="59AE37AB">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94</w:t>
            </w:r>
          </w:p>
        </w:tc>
        <w:tc>
          <w:tcPr>
            <w:tcW w:w="1438" w:type="dxa"/>
          </w:tcPr>
          <w:p w14:paraId="0B9A8C57">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21.66</w:t>
            </w:r>
          </w:p>
          <w:p w14:paraId="4306AAB1">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78.33</w:t>
            </w:r>
          </w:p>
        </w:tc>
      </w:tr>
      <w:tr w14:paraId="4243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744" w:type="dxa"/>
          </w:tcPr>
          <w:p w14:paraId="2F5573AB">
            <w:pPr>
              <w:pStyle w:val="12"/>
              <w:spacing w:after="0" w:line="360" w:lineRule="auto"/>
              <w:ind w:left="0"/>
              <w:jc w:val="center"/>
              <w:rPr>
                <w:rFonts w:ascii="Times New Roman" w:hAnsi="Times New Roman" w:cs="Times New Roman"/>
                <w:b/>
                <w:sz w:val="24"/>
                <w:szCs w:val="24"/>
                <w:lang w:val="en-IN"/>
              </w:rPr>
            </w:pPr>
            <w:r>
              <w:rPr>
                <w:rFonts w:ascii="Times New Roman" w:hAnsi="Times New Roman" w:cs="Times New Roman"/>
                <w:b/>
                <w:sz w:val="24"/>
                <w:szCs w:val="24"/>
                <w:lang w:val="en-IN"/>
              </w:rPr>
              <w:t>4.</w:t>
            </w:r>
          </w:p>
        </w:tc>
        <w:tc>
          <w:tcPr>
            <w:tcW w:w="2010" w:type="dxa"/>
          </w:tcPr>
          <w:p w14:paraId="7C4340A8">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Family size</w:t>
            </w:r>
          </w:p>
        </w:tc>
        <w:tc>
          <w:tcPr>
            <w:tcW w:w="3645" w:type="dxa"/>
          </w:tcPr>
          <w:p w14:paraId="3B146F8F">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Small family &lt; 5</w:t>
            </w:r>
          </w:p>
          <w:p w14:paraId="1A08849D">
            <w:pPr>
              <w:pStyle w:val="12"/>
              <w:spacing w:after="0" w:line="360" w:lineRule="auto"/>
              <w:ind w:left="-42"/>
              <w:jc w:val="both"/>
              <w:rPr>
                <w:rFonts w:ascii="Times New Roman" w:hAnsi="Times New Roman" w:cs="Times New Roman"/>
                <w:sz w:val="24"/>
                <w:szCs w:val="24"/>
              </w:rPr>
            </w:pPr>
            <w:r>
              <w:rPr>
                <w:rFonts w:ascii="Times New Roman" w:hAnsi="Times New Roman" w:cs="Times New Roman"/>
                <w:sz w:val="24"/>
                <w:szCs w:val="24"/>
              </w:rPr>
              <w:t>Medium family 6-10</w:t>
            </w:r>
          </w:p>
          <w:p w14:paraId="53D42F56">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Large family &gt;11</w:t>
            </w:r>
          </w:p>
          <w:p w14:paraId="0E28C7D8">
            <w:pPr>
              <w:pStyle w:val="12"/>
              <w:spacing w:after="0" w:line="360" w:lineRule="auto"/>
              <w:ind w:left="0"/>
              <w:jc w:val="both"/>
              <w:rPr>
                <w:rFonts w:ascii="Times New Roman" w:hAnsi="Times New Roman" w:cs="Times New Roman"/>
                <w:sz w:val="24"/>
                <w:szCs w:val="24"/>
              </w:rPr>
            </w:pPr>
          </w:p>
        </w:tc>
        <w:tc>
          <w:tcPr>
            <w:tcW w:w="1406" w:type="dxa"/>
          </w:tcPr>
          <w:p w14:paraId="4D875587">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36</w:t>
            </w:r>
          </w:p>
          <w:p w14:paraId="5BE8EE63">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59</w:t>
            </w:r>
          </w:p>
          <w:p w14:paraId="120E3DB6">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1438" w:type="dxa"/>
          </w:tcPr>
          <w:p w14:paraId="47621841">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p w14:paraId="194944BE">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49.16</w:t>
            </w:r>
          </w:p>
          <w:p w14:paraId="2ADED94F">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20.84</w:t>
            </w:r>
          </w:p>
        </w:tc>
      </w:tr>
      <w:tr w14:paraId="7A5D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14:paraId="2FA99BDF">
            <w:pPr>
              <w:pStyle w:val="12"/>
              <w:spacing w:after="0" w:line="360" w:lineRule="auto"/>
              <w:ind w:left="0"/>
              <w:jc w:val="center"/>
              <w:rPr>
                <w:rFonts w:ascii="Times New Roman" w:hAnsi="Times New Roman" w:cs="Times New Roman"/>
                <w:b/>
                <w:sz w:val="24"/>
                <w:szCs w:val="24"/>
                <w:lang w:val="en-IN"/>
              </w:rPr>
            </w:pPr>
            <w:r>
              <w:rPr>
                <w:rFonts w:ascii="Times New Roman" w:hAnsi="Times New Roman" w:cs="Times New Roman"/>
                <w:b/>
                <w:sz w:val="24"/>
                <w:szCs w:val="24"/>
                <w:lang w:val="en-IN"/>
              </w:rPr>
              <w:t>5.</w:t>
            </w:r>
          </w:p>
        </w:tc>
        <w:tc>
          <w:tcPr>
            <w:tcW w:w="2010" w:type="dxa"/>
          </w:tcPr>
          <w:p w14:paraId="18CD8AA3">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Land holding</w:t>
            </w:r>
          </w:p>
        </w:tc>
        <w:tc>
          <w:tcPr>
            <w:tcW w:w="3645" w:type="dxa"/>
          </w:tcPr>
          <w:p w14:paraId="204C53C7">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Marginal &lt; 1 ha.</w:t>
            </w:r>
          </w:p>
          <w:p w14:paraId="2B36B47D">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Small 1-2 ha.</w:t>
            </w:r>
          </w:p>
          <w:p w14:paraId="6CB6E5EA">
            <w:pPr>
              <w:pStyle w:val="12"/>
              <w:spacing w:after="0" w:line="360" w:lineRule="auto"/>
              <w:ind w:left="-42" w:right="436" w:firstLine="42"/>
              <w:jc w:val="both"/>
              <w:rPr>
                <w:rFonts w:ascii="Times New Roman" w:hAnsi="Times New Roman" w:cs="Times New Roman"/>
                <w:sz w:val="24"/>
                <w:szCs w:val="24"/>
              </w:rPr>
            </w:pPr>
            <w:r>
              <w:rPr>
                <w:rFonts w:ascii="Times New Roman" w:hAnsi="Times New Roman" w:cs="Times New Roman"/>
                <w:sz w:val="24"/>
                <w:szCs w:val="24"/>
              </w:rPr>
              <w:t>Semi–Medium 2–4 ha.</w:t>
            </w:r>
          </w:p>
          <w:p w14:paraId="3F9F3F4A">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Medium 4- 10 ha.        Large &gt; 10 ha</w:t>
            </w:r>
          </w:p>
        </w:tc>
        <w:tc>
          <w:tcPr>
            <w:tcW w:w="1406" w:type="dxa"/>
          </w:tcPr>
          <w:p w14:paraId="5B4BC855">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p w14:paraId="0551458A">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p w14:paraId="19E57EC0">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33</w:t>
            </w:r>
          </w:p>
          <w:p w14:paraId="143C4765">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49</w:t>
            </w:r>
          </w:p>
          <w:p w14:paraId="678BB7A5">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1438" w:type="dxa"/>
          </w:tcPr>
          <w:p w14:paraId="7611197E">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1.66</w:t>
            </w:r>
          </w:p>
          <w:p w14:paraId="090BEDD7">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7.50</w:t>
            </w:r>
          </w:p>
          <w:p w14:paraId="29AFF659">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27.50</w:t>
            </w:r>
          </w:p>
          <w:p w14:paraId="5E8A725F">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40.83</w:t>
            </w:r>
          </w:p>
          <w:p w14:paraId="00528FA4">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22.50</w:t>
            </w:r>
          </w:p>
        </w:tc>
      </w:tr>
      <w:tr w14:paraId="4F05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14:paraId="64A0273C">
            <w:pPr>
              <w:pStyle w:val="12"/>
              <w:spacing w:after="0" w:line="360" w:lineRule="auto"/>
              <w:ind w:left="0"/>
              <w:jc w:val="center"/>
              <w:rPr>
                <w:rFonts w:ascii="Times New Roman" w:hAnsi="Times New Roman" w:cs="Times New Roman"/>
                <w:b/>
                <w:sz w:val="24"/>
                <w:szCs w:val="24"/>
                <w:lang w:val="en-IN"/>
              </w:rPr>
            </w:pPr>
            <w:r>
              <w:rPr>
                <w:rFonts w:ascii="Times New Roman" w:hAnsi="Times New Roman" w:cs="Times New Roman"/>
                <w:b/>
                <w:sz w:val="24"/>
                <w:szCs w:val="24"/>
                <w:lang w:val="en-IN"/>
              </w:rPr>
              <w:t>6.</w:t>
            </w:r>
          </w:p>
        </w:tc>
        <w:tc>
          <w:tcPr>
            <w:tcW w:w="2010" w:type="dxa"/>
          </w:tcPr>
          <w:p w14:paraId="6F0E052E">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Occupation</w:t>
            </w:r>
          </w:p>
        </w:tc>
        <w:tc>
          <w:tcPr>
            <w:tcW w:w="3645" w:type="dxa"/>
          </w:tcPr>
          <w:p w14:paraId="07E9B47E">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Agriculture</w:t>
            </w:r>
          </w:p>
          <w:p w14:paraId="2BBE0623">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Dairying</w:t>
            </w:r>
          </w:p>
          <w:p w14:paraId="33FE47AE">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Agriculture+Dairying</w:t>
            </w:r>
          </w:p>
          <w:p w14:paraId="3D10A552">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Agriculture + Service</w:t>
            </w:r>
          </w:p>
          <w:p w14:paraId="42A2FCBA">
            <w:pPr>
              <w:pStyle w:val="12"/>
              <w:spacing w:after="0" w:line="360" w:lineRule="auto"/>
              <w:ind w:left="0" w:right="861"/>
              <w:jc w:val="both"/>
              <w:rPr>
                <w:rFonts w:ascii="Times New Roman" w:hAnsi="Times New Roman" w:cs="Times New Roman"/>
                <w:sz w:val="24"/>
                <w:szCs w:val="24"/>
              </w:rPr>
            </w:pPr>
            <w:r>
              <w:rPr>
                <w:rFonts w:ascii="Times New Roman" w:hAnsi="Times New Roman" w:cs="Times New Roman"/>
                <w:sz w:val="24"/>
                <w:szCs w:val="24"/>
              </w:rPr>
              <w:t>Agriculture+Dairying +Service</w:t>
            </w:r>
          </w:p>
        </w:tc>
        <w:tc>
          <w:tcPr>
            <w:tcW w:w="1406" w:type="dxa"/>
          </w:tcPr>
          <w:p w14:paraId="01C63F6B">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36</w:t>
            </w:r>
          </w:p>
          <w:p w14:paraId="2D7BA92A">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p w14:paraId="7C157A10">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77</w:t>
            </w:r>
          </w:p>
          <w:p w14:paraId="5EF8A56E">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p w14:paraId="03EF6347">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438" w:type="dxa"/>
          </w:tcPr>
          <w:p w14:paraId="11C04701">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p w14:paraId="1870AB49">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p w14:paraId="3567D2A8">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64.16</w:t>
            </w:r>
          </w:p>
          <w:p w14:paraId="6B094747">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1.66</w:t>
            </w:r>
          </w:p>
          <w:p w14:paraId="5E005D3C">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1.66</w:t>
            </w:r>
          </w:p>
        </w:tc>
      </w:tr>
      <w:tr w14:paraId="085B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14:paraId="2A34ADBF">
            <w:pPr>
              <w:pStyle w:val="12"/>
              <w:spacing w:after="0" w:line="360" w:lineRule="auto"/>
              <w:ind w:left="0"/>
              <w:jc w:val="center"/>
              <w:rPr>
                <w:rFonts w:ascii="Times New Roman" w:hAnsi="Times New Roman" w:cs="Times New Roman"/>
                <w:b/>
                <w:sz w:val="24"/>
                <w:szCs w:val="24"/>
                <w:lang w:val="en-IN"/>
              </w:rPr>
            </w:pPr>
            <w:r>
              <w:rPr>
                <w:rFonts w:ascii="Times New Roman" w:hAnsi="Times New Roman" w:cs="Times New Roman"/>
                <w:b/>
                <w:sz w:val="24"/>
                <w:szCs w:val="24"/>
                <w:lang w:val="en-IN"/>
              </w:rPr>
              <w:t>7.</w:t>
            </w:r>
          </w:p>
        </w:tc>
        <w:tc>
          <w:tcPr>
            <w:tcW w:w="2010" w:type="dxa"/>
          </w:tcPr>
          <w:p w14:paraId="41FA324E">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Farming Experience</w:t>
            </w:r>
          </w:p>
        </w:tc>
        <w:tc>
          <w:tcPr>
            <w:tcW w:w="3645" w:type="dxa"/>
          </w:tcPr>
          <w:p w14:paraId="3668C3D6">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&lt;10 years</w:t>
            </w:r>
          </w:p>
          <w:p w14:paraId="6C2DB8FD">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&gt;10 years</w:t>
            </w:r>
          </w:p>
        </w:tc>
        <w:tc>
          <w:tcPr>
            <w:tcW w:w="1406" w:type="dxa"/>
          </w:tcPr>
          <w:p w14:paraId="311EB05B">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p w14:paraId="01606303">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103</w:t>
            </w:r>
          </w:p>
        </w:tc>
        <w:tc>
          <w:tcPr>
            <w:tcW w:w="1438" w:type="dxa"/>
          </w:tcPr>
          <w:p w14:paraId="69C3164C">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14.16</w:t>
            </w:r>
          </w:p>
          <w:p w14:paraId="7C3B41E4">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95.83</w:t>
            </w:r>
          </w:p>
        </w:tc>
      </w:tr>
      <w:tr w14:paraId="0CA8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14:paraId="4266800D">
            <w:pPr>
              <w:pStyle w:val="12"/>
              <w:spacing w:after="0" w:line="360" w:lineRule="auto"/>
              <w:ind w:left="0"/>
              <w:jc w:val="center"/>
              <w:rPr>
                <w:rFonts w:ascii="Times New Roman" w:hAnsi="Times New Roman" w:cs="Times New Roman"/>
                <w:b/>
                <w:sz w:val="24"/>
                <w:szCs w:val="24"/>
                <w:lang w:val="en-IN"/>
              </w:rPr>
            </w:pPr>
            <w:r>
              <w:rPr>
                <w:rFonts w:ascii="Times New Roman" w:hAnsi="Times New Roman" w:cs="Times New Roman"/>
                <w:b/>
                <w:sz w:val="24"/>
                <w:szCs w:val="24"/>
                <w:lang w:val="en-IN"/>
              </w:rPr>
              <w:t>8.</w:t>
            </w:r>
          </w:p>
        </w:tc>
        <w:tc>
          <w:tcPr>
            <w:tcW w:w="2010" w:type="dxa"/>
          </w:tcPr>
          <w:p w14:paraId="714B576C">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Annual income</w:t>
            </w:r>
          </w:p>
        </w:tc>
        <w:tc>
          <w:tcPr>
            <w:tcW w:w="3645" w:type="dxa"/>
          </w:tcPr>
          <w:p w14:paraId="7265CF3B">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&lt; 100000</w:t>
            </w:r>
          </w:p>
          <w:p w14:paraId="46CBF428">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&gt; 100000</w:t>
            </w:r>
          </w:p>
        </w:tc>
        <w:tc>
          <w:tcPr>
            <w:tcW w:w="1406" w:type="dxa"/>
          </w:tcPr>
          <w:p w14:paraId="196287C3">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p w14:paraId="73FF0686">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110</w:t>
            </w:r>
          </w:p>
        </w:tc>
        <w:tc>
          <w:tcPr>
            <w:tcW w:w="1438" w:type="dxa"/>
          </w:tcPr>
          <w:p w14:paraId="19AA35D9">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8.33</w:t>
            </w:r>
          </w:p>
          <w:p w14:paraId="31E0805A">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91.66</w:t>
            </w:r>
          </w:p>
        </w:tc>
      </w:tr>
      <w:tr w14:paraId="509C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14:paraId="436F00A0">
            <w:pPr>
              <w:pStyle w:val="12"/>
              <w:spacing w:after="0" w:line="360" w:lineRule="auto"/>
              <w:ind w:left="0"/>
              <w:jc w:val="center"/>
              <w:rPr>
                <w:rFonts w:ascii="Times New Roman" w:hAnsi="Times New Roman" w:cs="Times New Roman"/>
                <w:b/>
                <w:sz w:val="24"/>
                <w:szCs w:val="24"/>
                <w:lang w:val="en-IN"/>
              </w:rPr>
            </w:pPr>
            <w:r>
              <w:rPr>
                <w:rFonts w:ascii="Times New Roman" w:hAnsi="Times New Roman" w:cs="Times New Roman"/>
                <w:b/>
                <w:sz w:val="24"/>
                <w:szCs w:val="24"/>
                <w:lang w:val="en-IN"/>
              </w:rPr>
              <w:t>9.</w:t>
            </w:r>
          </w:p>
        </w:tc>
        <w:tc>
          <w:tcPr>
            <w:tcW w:w="2010" w:type="dxa"/>
          </w:tcPr>
          <w:p w14:paraId="1477C535">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Social Participation</w:t>
            </w:r>
          </w:p>
        </w:tc>
        <w:tc>
          <w:tcPr>
            <w:tcW w:w="3645" w:type="dxa"/>
          </w:tcPr>
          <w:p w14:paraId="51D535E1">
            <w:pPr>
              <w:pStyle w:val="12"/>
              <w:spacing w:after="0" w:line="360" w:lineRule="auto"/>
              <w:ind w:left="0" w:right="1242"/>
              <w:jc w:val="both"/>
              <w:rPr>
                <w:rFonts w:ascii="Times New Roman" w:hAnsi="Times New Roman" w:cs="Times New Roman"/>
                <w:sz w:val="24"/>
                <w:szCs w:val="24"/>
              </w:rPr>
            </w:pPr>
            <w:r>
              <w:rPr>
                <w:rFonts w:ascii="Times New Roman" w:hAnsi="Times New Roman" w:cs="Times New Roman"/>
                <w:sz w:val="24"/>
                <w:szCs w:val="24"/>
              </w:rPr>
              <w:t>Not a member of any organization</w:t>
            </w:r>
          </w:p>
          <w:p w14:paraId="7B80D858">
            <w:pPr>
              <w:pStyle w:val="12"/>
              <w:spacing w:after="0" w:line="360" w:lineRule="auto"/>
              <w:ind w:left="13" w:right="-33"/>
              <w:jc w:val="both"/>
              <w:rPr>
                <w:rFonts w:ascii="Times New Roman" w:hAnsi="Times New Roman" w:cs="Times New Roman"/>
                <w:sz w:val="24"/>
                <w:szCs w:val="24"/>
              </w:rPr>
            </w:pPr>
            <w:r>
              <w:rPr>
                <w:rFonts w:ascii="Times New Roman" w:hAnsi="Times New Roman" w:cs="Times New Roman"/>
                <w:sz w:val="24"/>
                <w:szCs w:val="24"/>
              </w:rPr>
              <w:t>Members of at least one organization</w:t>
            </w:r>
          </w:p>
          <w:p w14:paraId="18F89F7B">
            <w:pPr>
              <w:pStyle w:val="12"/>
              <w:spacing w:after="0" w:line="360" w:lineRule="auto"/>
              <w:ind w:left="13" w:right="-33"/>
              <w:jc w:val="both"/>
              <w:rPr>
                <w:rFonts w:ascii="Times New Roman" w:hAnsi="Times New Roman" w:cs="Times New Roman"/>
                <w:sz w:val="24"/>
                <w:szCs w:val="24"/>
              </w:rPr>
            </w:pPr>
            <w:r>
              <w:rPr>
                <w:rFonts w:ascii="Times New Roman" w:hAnsi="Times New Roman" w:cs="Times New Roman"/>
                <w:sz w:val="24"/>
                <w:szCs w:val="24"/>
              </w:rPr>
              <w:t>Member of more than one organizations</w:t>
            </w:r>
          </w:p>
          <w:p w14:paraId="150B00BC">
            <w:pPr>
              <w:pStyle w:val="12"/>
              <w:spacing w:after="0" w:line="360" w:lineRule="auto"/>
              <w:ind w:left="13" w:right="-33"/>
              <w:jc w:val="both"/>
              <w:rPr>
                <w:rFonts w:ascii="Times New Roman" w:hAnsi="Times New Roman" w:cs="Times New Roman"/>
                <w:sz w:val="24"/>
                <w:szCs w:val="24"/>
              </w:rPr>
            </w:pPr>
            <w:r>
              <w:rPr>
                <w:rFonts w:ascii="Times New Roman" w:hAnsi="Times New Roman" w:cs="Times New Roman"/>
                <w:sz w:val="24"/>
                <w:szCs w:val="24"/>
              </w:rPr>
              <w:t>Office bearer</w:t>
            </w:r>
          </w:p>
        </w:tc>
        <w:tc>
          <w:tcPr>
            <w:tcW w:w="1406" w:type="dxa"/>
          </w:tcPr>
          <w:p w14:paraId="6227F7F9">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p w14:paraId="3260F6D5">
            <w:pPr>
              <w:pStyle w:val="12"/>
              <w:spacing w:after="0" w:line="360" w:lineRule="auto"/>
              <w:ind w:left="0"/>
              <w:jc w:val="center"/>
              <w:rPr>
                <w:rFonts w:ascii="Times New Roman" w:hAnsi="Times New Roman" w:cs="Times New Roman"/>
                <w:sz w:val="24"/>
                <w:szCs w:val="24"/>
              </w:rPr>
            </w:pPr>
          </w:p>
          <w:p w14:paraId="4CEA0805">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92</w:t>
            </w:r>
          </w:p>
          <w:p w14:paraId="49427BF6">
            <w:pPr>
              <w:pStyle w:val="12"/>
              <w:spacing w:after="0" w:line="360" w:lineRule="auto"/>
              <w:ind w:left="0"/>
              <w:jc w:val="center"/>
              <w:rPr>
                <w:rFonts w:ascii="Times New Roman" w:hAnsi="Times New Roman" w:cs="Times New Roman"/>
                <w:sz w:val="24"/>
                <w:szCs w:val="24"/>
              </w:rPr>
            </w:pPr>
          </w:p>
          <w:p w14:paraId="169A6589">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p w14:paraId="3C35F217">
            <w:pPr>
              <w:pStyle w:val="12"/>
              <w:spacing w:after="0" w:line="360" w:lineRule="auto"/>
              <w:ind w:left="0"/>
              <w:jc w:val="center"/>
              <w:rPr>
                <w:rFonts w:ascii="Times New Roman" w:hAnsi="Times New Roman" w:cs="Times New Roman"/>
                <w:sz w:val="24"/>
                <w:szCs w:val="24"/>
              </w:rPr>
            </w:pPr>
          </w:p>
          <w:p w14:paraId="7C953478">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438" w:type="dxa"/>
          </w:tcPr>
          <w:p w14:paraId="030AD0D0">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0.00</w:t>
            </w:r>
          </w:p>
          <w:p w14:paraId="50F980B8">
            <w:pPr>
              <w:pStyle w:val="12"/>
              <w:spacing w:after="0" w:line="360" w:lineRule="auto"/>
              <w:ind w:left="0"/>
              <w:jc w:val="center"/>
              <w:rPr>
                <w:rFonts w:ascii="Times New Roman" w:hAnsi="Times New Roman" w:cs="Times New Roman"/>
                <w:sz w:val="24"/>
                <w:szCs w:val="24"/>
              </w:rPr>
            </w:pPr>
          </w:p>
          <w:p w14:paraId="0ECC05CA">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76.67</w:t>
            </w:r>
          </w:p>
          <w:p w14:paraId="4406D2ED">
            <w:pPr>
              <w:pStyle w:val="12"/>
              <w:spacing w:after="0" w:line="360" w:lineRule="auto"/>
              <w:ind w:left="0"/>
              <w:jc w:val="center"/>
              <w:rPr>
                <w:rFonts w:ascii="Times New Roman" w:hAnsi="Times New Roman" w:cs="Times New Roman"/>
                <w:sz w:val="24"/>
                <w:szCs w:val="24"/>
              </w:rPr>
            </w:pPr>
          </w:p>
          <w:p w14:paraId="54D69EF2">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p w14:paraId="489C8361">
            <w:pPr>
              <w:pStyle w:val="12"/>
              <w:spacing w:after="0" w:line="360" w:lineRule="auto"/>
              <w:ind w:left="0"/>
              <w:jc w:val="center"/>
              <w:rPr>
                <w:rFonts w:ascii="Times New Roman" w:hAnsi="Times New Roman" w:cs="Times New Roman"/>
                <w:sz w:val="24"/>
                <w:szCs w:val="24"/>
              </w:rPr>
            </w:pPr>
          </w:p>
          <w:p w14:paraId="3768F56F">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13.33</w:t>
            </w:r>
          </w:p>
        </w:tc>
      </w:tr>
      <w:tr w14:paraId="31A8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14:paraId="1BC0055C">
            <w:pPr>
              <w:pStyle w:val="12"/>
              <w:spacing w:after="0" w:line="360" w:lineRule="auto"/>
              <w:ind w:left="0"/>
              <w:jc w:val="center"/>
              <w:rPr>
                <w:rFonts w:ascii="Times New Roman" w:hAnsi="Times New Roman" w:cs="Times New Roman"/>
                <w:b/>
                <w:sz w:val="24"/>
                <w:szCs w:val="24"/>
                <w:lang w:val="en-IN"/>
              </w:rPr>
            </w:pPr>
            <w:r>
              <w:rPr>
                <w:rFonts w:ascii="Times New Roman" w:hAnsi="Times New Roman" w:cs="Times New Roman"/>
                <w:b/>
                <w:sz w:val="24"/>
                <w:szCs w:val="24"/>
                <w:lang w:val="en-IN"/>
              </w:rPr>
              <w:t>10.</w:t>
            </w:r>
          </w:p>
        </w:tc>
        <w:tc>
          <w:tcPr>
            <w:tcW w:w="2010" w:type="dxa"/>
          </w:tcPr>
          <w:p w14:paraId="309A516C">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Extension contact</w:t>
            </w:r>
          </w:p>
        </w:tc>
        <w:tc>
          <w:tcPr>
            <w:tcW w:w="3645" w:type="dxa"/>
          </w:tcPr>
          <w:p w14:paraId="2B325C26">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Low</w:t>
            </w:r>
          </w:p>
          <w:p w14:paraId="4605F552">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Medium</w:t>
            </w:r>
          </w:p>
          <w:p w14:paraId="6DA12A9F">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High</w:t>
            </w:r>
          </w:p>
        </w:tc>
        <w:tc>
          <w:tcPr>
            <w:tcW w:w="1406" w:type="dxa"/>
          </w:tcPr>
          <w:p w14:paraId="5AECFBD0">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p w14:paraId="508543B0">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115</w:t>
            </w:r>
          </w:p>
          <w:p w14:paraId="23828AB6">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438" w:type="dxa"/>
          </w:tcPr>
          <w:p w14:paraId="62101E70">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2.50</w:t>
            </w:r>
          </w:p>
          <w:p w14:paraId="1F6CA2FB">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95.83</w:t>
            </w:r>
          </w:p>
          <w:p w14:paraId="25B52711">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1.67</w:t>
            </w:r>
          </w:p>
        </w:tc>
      </w:tr>
      <w:tr w14:paraId="2E38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14:paraId="2574F5D1">
            <w:pPr>
              <w:spacing w:after="0" w:line="360" w:lineRule="auto"/>
              <w:jc w:val="center"/>
              <w:rPr>
                <w:rFonts w:ascii="Times New Roman" w:hAnsi="Times New Roman" w:cs="Times New Roman"/>
                <w:b/>
                <w:sz w:val="24"/>
                <w:szCs w:val="24"/>
                <w:lang w:val="en-IN"/>
              </w:rPr>
            </w:pPr>
            <w:r>
              <w:rPr>
                <w:rFonts w:ascii="Times New Roman" w:hAnsi="Times New Roman" w:cs="Times New Roman"/>
                <w:b/>
                <w:sz w:val="24"/>
                <w:szCs w:val="24"/>
                <w:lang w:val="en-IN"/>
              </w:rPr>
              <w:t>11.</w:t>
            </w:r>
          </w:p>
        </w:tc>
        <w:tc>
          <w:tcPr>
            <w:tcW w:w="2010" w:type="dxa"/>
          </w:tcPr>
          <w:p w14:paraId="13070F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Mass media exposure</w:t>
            </w:r>
          </w:p>
        </w:tc>
        <w:tc>
          <w:tcPr>
            <w:tcW w:w="3645" w:type="dxa"/>
          </w:tcPr>
          <w:p w14:paraId="10DDBFF6">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Low</w:t>
            </w:r>
          </w:p>
          <w:p w14:paraId="261A03F4">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Medium</w:t>
            </w:r>
          </w:p>
          <w:p w14:paraId="4F167B56">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High</w:t>
            </w:r>
          </w:p>
        </w:tc>
        <w:tc>
          <w:tcPr>
            <w:tcW w:w="1406" w:type="dxa"/>
          </w:tcPr>
          <w:p w14:paraId="2C8667F6">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p w14:paraId="3B4F1A6A">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113</w:t>
            </w:r>
          </w:p>
          <w:p w14:paraId="64B52A60">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438" w:type="dxa"/>
          </w:tcPr>
          <w:p w14:paraId="152784DC">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2.50</w:t>
            </w:r>
          </w:p>
          <w:p w14:paraId="2820B98D">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94.16</w:t>
            </w:r>
          </w:p>
          <w:p w14:paraId="0A7B1098">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3.33</w:t>
            </w:r>
          </w:p>
        </w:tc>
      </w:tr>
      <w:tr w14:paraId="08AA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14:paraId="43735F5C">
            <w:pPr>
              <w:pStyle w:val="12"/>
              <w:spacing w:after="0" w:line="360" w:lineRule="auto"/>
              <w:ind w:left="0"/>
              <w:jc w:val="center"/>
              <w:rPr>
                <w:rFonts w:ascii="Times New Roman" w:hAnsi="Times New Roman" w:cs="Times New Roman"/>
                <w:b/>
                <w:sz w:val="24"/>
                <w:szCs w:val="24"/>
                <w:lang w:val="en-IN"/>
              </w:rPr>
            </w:pPr>
            <w:r>
              <w:rPr>
                <w:rFonts w:ascii="Times New Roman" w:hAnsi="Times New Roman" w:cs="Times New Roman"/>
                <w:b/>
                <w:sz w:val="24"/>
                <w:szCs w:val="24"/>
                <w:lang w:val="en-IN"/>
              </w:rPr>
              <w:t>12.</w:t>
            </w:r>
          </w:p>
        </w:tc>
        <w:tc>
          <w:tcPr>
            <w:tcW w:w="2010" w:type="dxa"/>
          </w:tcPr>
          <w:p w14:paraId="3C1E16C0">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Scientific orientation</w:t>
            </w:r>
          </w:p>
        </w:tc>
        <w:tc>
          <w:tcPr>
            <w:tcW w:w="3645" w:type="dxa"/>
          </w:tcPr>
          <w:p w14:paraId="695BA4C8">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Low</w:t>
            </w:r>
          </w:p>
          <w:p w14:paraId="7BCD6F1C">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Medium</w:t>
            </w:r>
          </w:p>
          <w:p w14:paraId="132C78F0">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High</w:t>
            </w:r>
          </w:p>
        </w:tc>
        <w:tc>
          <w:tcPr>
            <w:tcW w:w="1406" w:type="dxa"/>
          </w:tcPr>
          <w:p w14:paraId="2C285B17">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p w14:paraId="233B5B46">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p w14:paraId="37293EB5">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438" w:type="dxa"/>
          </w:tcPr>
          <w:p w14:paraId="44577B06">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12.50</w:t>
            </w:r>
          </w:p>
          <w:p w14:paraId="6B1763C7">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83.34</w:t>
            </w:r>
          </w:p>
          <w:p w14:paraId="7B5BB7E2">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4.16</w:t>
            </w:r>
          </w:p>
        </w:tc>
      </w:tr>
    </w:tbl>
    <w:p w14:paraId="0AC6505D">
      <w:pPr>
        <w:pStyle w:val="12"/>
        <w:spacing w:after="0" w:line="360" w:lineRule="auto"/>
        <w:ind w:left="0"/>
        <w:jc w:val="both"/>
        <w:rPr>
          <w:rFonts w:ascii="Times New Roman" w:hAnsi="Times New Roman" w:cs="Times New Roman"/>
          <w:sz w:val="24"/>
          <w:szCs w:val="24"/>
        </w:rPr>
      </w:pPr>
    </w:p>
    <w:p w14:paraId="7505A34C">
      <w:pPr>
        <w:pStyle w:val="12"/>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Knowledge of respondents on organic farming practices</w:t>
      </w:r>
    </w:p>
    <w:p w14:paraId="74569E8E">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is clearly evident from the Table 2 that the majority 81.67 percent of respondents had a medium level of knowledge about organic farming, whereas 9.16 percent and 9.16 percent respondents having a high and low level of knowledge regarding organic farming respectively. This finding could be due to that time to time up-to-date information related to organic farming has been provided by the input agencies (certification agencies), NGOs, department of agriculture and horticulture through training, farmer’s fair, Kisan goshthi, demonstration, kinds of literature and other means of technology transfer to the doorsteps of farmers. Another probable reason may be due to that the majority of the respondents having more than 10 years of farming experience, so over time, they have also gained knowledge. The table categorizes respondents based on their knowledge scores into three levels: low, medium, and high. The </w:t>
      </w:r>
      <w:r>
        <w:rPr>
          <w:rStyle w:val="10"/>
          <w:rFonts w:ascii="Times New Roman" w:hAnsi="Times New Roman" w:cs="Times New Roman"/>
          <w:b w:val="0"/>
          <w:bCs w:val="0"/>
          <w:sz w:val="24"/>
          <w:szCs w:val="24"/>
        </w:rPr>
        <w:t>mean score</w:t>
      </w:r>
      <w:r>
        <w:rPr>
          <w:rFonts w:ascii="Times New Roman" w:hAnsi="Times New Roman" w:cs="Times New Roman"/>
          <w:sz w:val="24"/>
          <w:szCs w:val="24"/>
        </w:rPr>
        <w:t xml:space="preserve"> is </w:t>
      </w:r>
      <w:r>
        <w:rPr>
          <w:rStyle w:val="10"/>
          <w:rFonts w:ascii="Times New Roman" w:hAnsi="Times New Roman" w:cs="Times New Roman"/>
          <w:b w:val="0"/>
          <w:bCs w:val="0"/>
          <w:sz w:val="24"/>
          <w:szCs w:val="24"/>
        </w:rPr>
        <w:t>32.15</w:t>
      </w:r>
      <w:r>
        <w:rPr>
          <w:rFonts w:ascii="Times New Roman" w:hAnsi="Times New Roman" w:cs="Times New Roman"/>
          <w:sz w:val="24"/>
          <w:szCs w:val="24"/>
        </w:rPr>
        <w:t xml:space="preserve"> with a </w:t>
      </w:r>
      <w:r>
        <w:rPr>
          <w:rStyle w:val="10"/>
          <w:rFonts w:ascii="Times New Roman" w:hAnsi="Times New Roman" w:cs="Times New Roman"/>
          <w:b w:val="0"/>
          <w:bCs w:val="0"/>
          <w:sz w:val="24"/>
          <w:szCs w:val="24"/>
        </w:rPr>
        <w:t>standard deviation (SD) of 1.87</w:t>
      </w:r>
      <w:r>
        <w:rPr>
          <w:rFonts w:ascii="Times New Roman" w:hAnsi="Times New Roman" w:cs="Times New Roman"/>
          <w:sz w:val="24"/>
          <w:szCs w:val="24"/>
        </w:rPr>
        <w:t xml:space="preserve">. Respondents with scores </w:t>
      </w:r>
      <w:r>
        <w:rPr>
          <w:rStyle w:val="10"/>
          <w:rFonts w:ascii="Times New Roman" w:hAnsi="Times New Roman" w:cs="Times New Roman"/>
          <w:b w:val="0"/>
          <w:bCs w:val="0"/>
          <w:sz w:val="24"/>
          <w:szCs w:val="24"/>
        </w:rPr>
        <w:t>below 30.28</w:t>
      </w:r>
      <w:r>
        <w:rPr>
          <w:rFonts w:ascii="Times New Roman" w:hAnsi="Times New Roman" w:cs="Times New Roman"/>
          <w:sz w:val="24"/>
          <w:szCs w:val="24"/>
        </w:rPr>
        <w:t xml:space="preserve"> (Mean - SD) are classified as having </w:t>
      </w:r>
      <w:r>
        <w:rPr>
          <w:rStyle w:val="10"/>
          <w:rFonts w:ascii="Times New Roman" w:hAnsi="Times New Roman" w:cs="Times New Roman"/>
          <w:b w:val="0"/>
          <w:bCs w:val="0"/>
          <w:sz w:val="24"/>
          <w:szCs w:val="24"/>
        </w:rPr>
        <w:t>low knowledge</w:t>
      </w:r>
      <w:r>
        <w:rPr>
          <w:rFonts w:ascii="Times New Roman" w:hAnsi="Times New Roman" w:cs="Times New Roman"/>
          <w:sz w:val="24"/>
          <w:szCs w:val="24"/>
        </w:rPr>
        <w:t xml:space="preserve">, comprising </w:t>
      </w:r>
      <w:r>
        <w:rPr>
          <w:rStyle w:val="10"/>
          <w:rFonts w:ascii="Times New Roman" w:hAnsi="Times New Roman" w:cs="Times New Roman"/>
          <w:b w:val="0"/>
          <w:bCs w:val="0"/>
          <w:sz w:val="24"/>
          <w:szCs w:val="24"/>
        </w:rPr>
        <w:t>11 individuals</w:t>
      </w:r>
      <w:r>
        <w:rPr>
          <w:rFonts w:ascii="Times New Roman" w:hAnsi="Times New Roman" w:cs="Times New Roman"/>
          <w:sz w:val="24"/>
          <w:szCs w:val="24"/>
        </w:rPr>
        <w:t xml:space="preserve"> or </w:t>
      </w:r>
      <w:r>
        <w:rPr>
          <w:rStyle w:val="10"/>
          <w:rFonts w:ascii="Times New Roman" w:hAnsi="Times New Roman" w:cs="Times New Roman"/>
          <w:b w:val="0"/>
          <w:bCs w:val="0"/>
          <w:sz w:val="24"/>
          <w:szCs w:val="24"/>
        </w:rPr>
        <w:t>9.16%</w:t>
      </w:r>
      <w:r>
        <w:rPr>
          <w:rFonts w:ascii="Times New Roman" w:hAnsi="Times New Roman" w:cs="Times New Roman"/>
          <w:sz w:val="24"/>
          <w:szCs w:val="24"/>
        </w:rPr>
        <w:t xml:space="preserve"> of the total. Those scoring between </w:t>
      </w:r>
      <w:r>
        <w:rPr>
          <w:rStyle w:val="10"/>
          <w:rFonts w:ascii="Times New Roman" w:hAnsi="Times New Roman" w:cs="Times New Roman"/>
          <w:b w:val="0"/>
          <w:bCs w:val="0"/>
          <w:sz w:val="24"/>
          <w:szCs w:val="24"/>
        </w:rPr>
        <w:t>30.28 and 34.02</w:t>
      </w:r>
      <w:r>
        <w:rPr>
          <w:rFonts w:ascii="Times New Roman" w:hAnsi="Times New Roman" w:cs="Times New Roman"/>
          <w:sz w:val="24"/>
          <w:szCs w:val="24"/>
        </w:rPr>
        <w:t xml:space="preserve"> (Mean ± SD) fall under the </w:t>
      </w:r>
      <w:r>
        <w:rPr>
          <w:rStyle w:val="10"/>
          <w:rFonts w:ascii="Times New Roman" w:hAnsi="Times New Roman" w:cs="Times New Roman"/>
          <w:b w:val="0"/>
          <w:bCs w:val="0"/>
          <w:sz w:val="24"/>
          <w:szCs w:val="24"/>
        </w:rPr>
        <w:t>medium knowledge</w:t>
      </w:r>
      <w:r>
        <w:rPr>
          <w:rFonts w:ascii="Times New Roman" w:hAnsi="Times New Roman" w:cs="Times New Roman"/>
          <w:sz w:val="24"/>
          <w:szCs w:val="24"/>
        </w:rPr>
        <w:t xml:space="preserve"> category, representing the </w:t>
      </w:r>
      <w:r>
        <w:rPr>
          <w:rStyle w:val="10"/>
          <w:rFonts w:ascii="Times New Roman" w:hAnsi="Times New Roman" w:cs="Times New Roman"/>
          <w:b w:val="0"/>
          <w:bCs w:val="0"/>
          <w:sz w:val="24"/>
          <w:szCs w:val="24"/>
        </w:rPr>
        <w:t>majority with 98 individuals</w:t>
      </w:r>
      <w:r>
        <w:rPr>
          <w:rFonts w:ascii="Times New Roman" w:hAnsi="Times New Roman" w:cs="Times New Roman"/>
          <w:sz w:val="24"/>
          <w:szCs w:val="24"/>
        </w:rPr>
        <w:t xml:space="preserve"> or </w:t>
      </w:r>
      <w:r>
        <w:rPr>
          <w:rStyle w:val="10"/>
          <w:rFonts w:ascii="Times New Roman" w:hAnsi="Times New Roman" w:cs="Times New Roman"/>
          <w:b w:val="0"/>
          <w:bCs w:val="0"/>
          <w:sz w:val="24"/>
          <w:szCs w:val="24"/>
        </w:rPr>
        <w:t>81.66%</w:t>
      </w:r>
      <w:r>
        <w:rPr>
          <w:rFonts w:ascii="Times New Roman" w:hAnsi="Times New Roman" w:cs="Times New Roman"/>
          <w:sz w:val="24"/>
          <w:szCs w:val="24"/>
        </w:rPr>
        <w:t xml:space="preserve">. Finally, respondents scoring </w:t>
      </w:r>
      <w:r>
        <w:rPr>
          <w:rStyle w:val="10"/>
          <w:rFonts w:ascii="Times New Roman" w:hAnsi="Times New Roman" w:cs="Times New Roman"/>
          <w:b w:val="0"/>
          <w:bCs w:val="0"/>
          <w:sz w:val="24"/>
          <w:szCs w:val="24"/>
        </w:rPr>
        <w:t>above 34.02</w:t>
      </w:r>
      <w:r>
        <w:rPr>
          <w:rFonts w:ascii="Times New Roman" w:hAnsi="Times New Roman" w:cs="Times New Roman"/>
          <w:sz w:val="24"/>
          <w:szCs w:val="24"/>
        </w:rPr>
        <w:t xml:space="preserve"> (Mean + SD) are considered to have </w:t>
      </w:r>
      <w:r>
        <w:rPr>
          <w:rStyle w:val="10"/>
          <w:rFonts w:ascii="Times New Roman" w:hAnsi="Times New Roman" w:cs="Times New Roman"/>
          <w:b w:val="0"/>
          <w:bCs w:val="0"/>
          <w:sz w:val="24"/>
          <w:szCs w:val="24"/>
        </w:rPr>
        <w:t>high knowledge</w:t>
      </w:r>
      <w:r>
        <w:rPr>
          <w:rFonts w:ascii="Times New Roman" w:hAnsi="Times New Roman" w:cs="Times New Roman"/>
          <w:sz w:val="24"/>
          <w:szCs w:val="24"/>
        </w:rPr>
        <w:t xml:space="preserve">, again comprising </w:t>
      </w:r>
      <w:r>
        <w:rPr>
          <w:rStyle w:val="10"/>
          <w:rFonts w:ascii="Times New Roman" w:hAnsi="Times New Roman" w:cs="Times New Roman"/>
          <w:b w:val="0"/>
          <w:bCs w:val="0"/>
          <w:sz w:val="24"/>
          <w:szCs w:val="24"/>
        </w:rPr>
        <w:t>11 individuals</w:t>
      </w:r>
      <w:r>
        <w:rPr>
          <w:rFonts w:ascii="Times New Roman" w:hAnsi="Times New Roman" w:cs="Times New Roman"/>
          <w:sz w:val="24"/>
          <w:szCs w:val="24"/>
        </w:rPr>
        <w:t xml:space="preserve"> or </w:t>
      </w:r>
      <w:r>
        <w:rPr>
          <w:rStyle w:val="10"/>
          <w:rFonts w:ascii="Times New Roman" w:hAnsi="Times New Roman" w:cs="Times New Roman"/>
          <w:b w:val="0"/>
          <w:bCs w:val="0"/>
          <w:sz w:val="24"/>
          <w:szCs w:val="24"/>
        </w:rPr>
        <w:t>9.16%</w:t>
      </w:r>
      <w:r>
        <w:rPr>
          <w:rFonts w:ascii="Times New Roman" w:hAnsi="Times New Roman" w:cs="Times New Roman"/>
          <w:sz w:val="24"/>
          <w:szCs w:val="24"/>
        </w:rPr>
        <w:t xml:space="preserve">. This distribution indicates that most respondents possess a moderate level of knowledge, with fewer individuals at the extremes. </w:t>
      </w:r>
    </w:p>
    <w:p w14:paraId="3A0DA8D8">
      <w:pPr>
        <w:pStyle w:val="12"/>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Table 2: Distribution of the Respondents according to knowledge on organic farming (n=120)</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3618"/>
        <w:gridCol w:w="1575"/>
        <w:gridCol w:w="1633"/>
        <w:gridCol w:w="1412"/>
      </w:tblGrid>
      <w:tr w14:paraId="4361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98" w:type="dxa"/>
          </w:tcPr>
          <w:p w14:paraId="391338AA">
            <w:pPr>
              <w:pStyle w:val="12"/>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S.No.</w:t>
            </w:r>
          </w:p>
        </w:tc>
        <w:tc>
          <w:tcPr>
            <w:tcW w:w="3618" w:type="dxa"/>
          </w:tcPr>
          <w:p w14:paraId="3171B590">
            <w:pPr>
              <w:pStyle w:val="12"/>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Category</w:t>
            </w:r>
          </w:p>
        </w:tc>
        <w:tc>
          <w:tcPr>
            <w:tcW w:w="1575" w:type="dxa"/>
          </w:tcPr>
          <w:p w14:paraId="724F2D0D">
            <w:pPr>
              <w:pStyle w:val="12"/>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Score range</w:t>
            </w:r>
          </w:p>
        </w:tc>
        <w:tc>
          <w:tcPr>
            <w:tcW w:w="1633" w:type="dxa"/>
          </w:tcPr>
          <w:p w14:paraId="62804076">
            <w:pPr>
              <w:pStyle w:val="12"/>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412" w:type="dxa"/>
          </w:tcPr>
          <w:p w14:paraId="6D35C8B4">
            <w:pPr>
              <w:pStyle w:val="12"/>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Percentage</w:t>
            </w:r>
          </w:p>
        </w:tc>
      </w:tr>
      <w:tr w14:paraId="7B33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98" w:type="dxa"/>
          </w:tcPr>
          <w:p w14:paraId="1247C424">
            <w:pPr>
              <w:pStyle w:val="12"/>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3618" w:type="dxa"/>
          </w:tcPr>
          <w:p w14:paraId="663C4EE0">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Low knowledge</w:t>
            </w:r>
          </w:p>
          <w:p w14:paraId="32AAD140">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(&lt;Mean-S.D)</w:t>
            </w:r>
          </w:p>
        </w:tc>
        <w:tc>
          <w:tcPr>
            <w:tcW w:w="1575" w:type="dxa"/>
          </w:tcPr>
          <w:p w14:paraId="5E2A50FA">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&lt;30</w:t>
            </w:r>
          </w:p>
        </w:tc>
        <w:tc>
          <w:tcPr>
            <w:tcW w:w="1633" w:type="dxa"/>
          </w:tcPr>
          <w:p w14:paraId="187160A9">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p w14:paraId="50960511">
            <w:pPr>
              <w:pStyle w:val="12"/>
              <w:spacing w:after="0" w:line="360" w:lineRule="auto"/>
              <w:ind w:left="0"/>
              <w:jc w:val="center"/>
              <w:rPr>
                <w:rFonts w:ascii="Times New Roman" w:hAnsi="Times New Roman" w:cs="Times New Roman"/>
                <w:sz w:val="24"/>
                <w:szCs w:val="24"/>
              </w:rPr>
            </w:pPr>
          </w:p>
        </w:tc>
        <w:tc>
          <w:tcPr>
            <w:tcW w:w="1412" w:type="dxa"/>
          </w:tcPr>
          <w:p w14:paraId="264D3691">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9.16</w:t>
            </w:r>
          </w:p>
        </w:tc>
      </w:tr>
      <w:tr w14:paraId="0443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98" w:type="dxa"/>
          </w:tcPr>
          <w:p w14:paraId="746837AB">
            <w:pPr>
              <w:pStyle w:val="12"/>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3618" w:type="dxa"/>
          </w:tcPr>
          <w:p w14:paraId="5D2C8D89">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Medium knowledge</w:t>
            </w:r>
          </w:p>
          <w:p w14:paraId="113EA8B3">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(Mean + S.D)</w:t>
            </w:r>
          </w:p>
        </w:tc>
        <w:tc>
          <w:tcPr>
            <w:tcW w:w="1575" w:type="dxa"/>
          </w:tcPr>
          <w:p w14:paraId="2BDA8C08">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31-34</w:t>
            </w:r>
          </w:p>
        </w:tc>
        <w:tc>
          <w:tcPr>
            <w:tcW w:w="1633" w:type="dxa"/>
          </w:tcPr>
          <w:p w14:paraId="7A3AE0CD">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98</w:t>
            </w:r>
          </w:p>
        </w:tc>
        <w:tc>
          <w:tcPr>
            <w:tcW w:w="1412" w:type="dxa"/>
          </w:tcPr>
          <w:p w14:paraId="3FCF06C4">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81.67</w:t>
            </w:r>
          </w:p>
        </w:tc>
      </w:tr>
      <w:tr w14:paraId="02CC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98" w:type="dxa"/>
          </w:tcPr>
          <w:p w14:paraId="2AFCC9D7">
            <w:pPr>
              <w:pStyle w:val="12"/>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3.</w:t>
            </w:r>
          </w:p>
        </w:tc>
        <w:tc>
          <w:tcPr>
            <w:tcW w:w="3618" w:type="dxa"/>
          </w:tcPr>
          <w:p w14:paraId="3ED7FE85">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High knowledge</w:t>
            </w:r>
          </w:p>
          <w:p w14:paraId="7F4BFDBE">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(&gt;Mean+S.D)</w:t>
            </w:r>
          </w:p>
        </w:tc>
        <w:tc>
          <w:tcPr>
            <w:tcW w:w="1575" w:type="dxa"/>
          </w:tcPr>
          <w:p w14:paraId="21526287">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&gt;34</w:t>
            </w:r>
          </w:p>
        </w:tc>
        <w:tc>
          <w:tcPr>
            <w:tcW w:w="1633" w:type="dxa"/>
          </w:tcPr>
          <w:p w14:paraId="709A9C4C">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412" w:type="dxa"/>
          </w:tcPr>
          <w:p w14:paraId="766B05D8">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9.16</w:t>
            </w:r>
          </w:p>
        </w:tc>
      </w:tr>
      <w:tr w14:paraId="09D5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98" w:type="dxa"/>
          </w:tcPr>
          <w:p w14:paraId="6C31438B">
            <w:pPr>
              <w:pStyle w:val="12"/>
              <w:spacing w:after="0" w:line="360" w:lineRule="auto"/>
              <w:ind w:left="0"/>
              <w:jc w:val="center"/>
              <w:rPr>
                <w:rFonts w:ascii="Times New Roman" w:hAnsi="Times New Roman" w:cs="Times New Roman"/>
                <w:b/>
                <w:sz w:val="24"/>
                <w:szCs w:val="24"/>
              </w:rPr>
            </w:pPr>
          </w:p>
        </w:tc>
        <w:tc>
          <w:tcPr>
            <w:tcW w:w="3618" w:type="dxa"/>
          </w:tcPr>
          <w:p w14:paraId="38F9135A">
            <w:pPr>
              <w:pStyle w:val="12"/>
              <w:spacing w:after="0" w:line="360" w:lineRule="auto"/>
              <w:ind w:left="0"/>
              <w:jc w:val="both"/>
              <w:rPr>
                <w:rFonts w:ascii="Times New Roman" w:hAnsi="Times New Roman" w:cs="Times New Roman"/>
                <w:sz w:val="24"/>
                <w:szCs w:val="24"/>
              </w:rPr>
            </w:pPr>
          </w:p>
        </w:tc>
        <w:tc>
          <w:tcPr>
            <w:tcW w:w="1575" w:type="dxa"/>
          </w:tcPr>
          <w:p w14:paraId="466824CF">
            <w:pPr>
              <w:pStyle w:val="12"/>
              <w:spacing w:after="0" w:line="360" w:lineRule="auto"/>
              <w:ind w:left="0"/>
              <w:jc w:val="center"/>
              <w:rPr>
                <w:rFonts w:ascii="Times New Roman" w:hAnsi="Times New Roman" w:cs="Times New Roman"/>
                <w:sz w:val="24"/>
                <w:szCs w:val="24"/>
              </w:rPr>
            </w:pPr>
          </w:p>
        </w:tc>
        <w:tc>
          <w:tcPr>
            <w:tcW w:w="1633" w:type="dxa"/>
          </w:tcPr>
          <w:p w14:paraId="2458ED1F">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120</w:t>
            </w:r>
          </w:p>
        </w:tc>
        <w:tc>
          <w:tcPr>
            <w:tcW w:w="1412" w:type="dxa"/>
          </w:tcPr>
          <w:p w14:paraId="028D8287">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bl>
    <w:p w14:paraId="4E7B0AC7">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Mean:32.15, SD:1.87</w:t>
      </w:r>
    </w:p>
    <w:p w14:paraId="615960B4">
      <w:pPr>
        <w:pStyle w:val="12"/>
        <w:spacing w:after="0" w:line="360" w:lineRule="auto"/>
        <w:ind w:left="0"/>
        <w:jc w:val="center"/>
        <w:rPr>
          <w:rFonts w:ascii="Times New Roman" w:hAnsi="Times New Roman" w:cs="Times New Roman"/>
          <w:b/>
          <w:bCs/>
          <w:sz w:val="24"/>
          <w:szCs w:val="24"/>
        </w:rPr>
      </w:pPr>
    </w:p>
    <w:p w14:paraId="3CDFC3F0">
      <w:pPr>
        <w:pStyle w:val="12"/>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Table 3: Relationship between socio-demographic profile of the respondents and knowledge on organic farming practices (n=120)</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4648"/>
        <w:gridCol w:w="3349"/>
      </w:tblGrid>
      <w:tr w14:paraId="270D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2" w:type="pct"/>
          </w:tcPr>
          <w:p w14:paraId="6F6CB343">
            <w:pPr>
              <w:pStyle w:val="12"/>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S.No.</w:t>
            </w:r>
          </w:p>
        </w:tc>
        <w:tc>
          <w:tcPr>
            <w:tcW w:w="2515" w:type="pct"/>
          </w:tcPr>
          <w:p w14:paraId="382612D1">
            <w:pPr>
              <w:pStyle w:val="12"/>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Variables</w:t>
            </w:r>
          </w:p>
        </w:tc>
        <w:tc>
          <w:tcPr>
            <w:tcW w:w="1812" w:type="pct"/>
          </w:tcPr>
          <w:p w14:paraId="27ACB0F9">
            <w:pPr>
              <w:pStyle w:val="12"/>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Correlation (‘r’-value)</w:t>
            </w:r>
          </w:p>
        </w:tc>
      </w:tr>
      <w:tr w14:paraId="2363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2" w:type="pct"/>
          </w:tcPr>
          <w:p w14:paraId="5E427EC3">
            <w:pPr>
              <w:pStyle w:val="12"/>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2515" w:type="pct"/>
          </w:tcPr>
          <w:p w14:paraId="3805DB74">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Age</w:t>
            </w:r>
          </w:p>
        </w:tc>
        <w:tc>
          <w:tcPr>
            <w:tcW w:w="1812" w:type="pct"/>
          </w:tcPr>
          <w:p w14:paraId="53C0B819">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0.323</w:t>
            </w:r>
            <w:r>
              <w:rPr>
                <w:rFonts w:ascii="Times New Roman" w:hAnsi="Times New Roman" w:cs="Times New Roman"/>
                <w:sz w:val="24"/>
                <w:szCs w:val="24"/>
                <w:vertAlign w:val="superscript"/>
              </w:rPr>
              <w:t>*</w:t>
            </w:r>
          </w:p>
        </w:tc>
      </w:tr>
      <w:tr w14:paraId="68D8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2" w:type="pct"/>
          </w:tcPr>
          <w:p w14:paraId="3903FE80">
            <w:pPr>
              <w:pStyle w:val="12"/>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2515" w:type="pct"/>
          </w:tcPr>
          <w:p w14:paraId="69475767">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Education</w:t>
            </w:r>
          </w:p>
        </w:tc>
        <w:tc>
          <w:tcPr>
            <w:tcW w:w="1812" w:type="pct"/>
          </w:tcPr>
          <w:p w14:paraId="70F101A0">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0.431</w:t>
            </w:r>
            <w:r>
              <w:rPr>
                <w:rFonts w:ascii="Times New Roman" w:hAnsi="Times New Roman" w:cs="Times New Roman"/>
                <w:sz w:val="24"/>
                <w:szCs w:val="24"/>
                <w:vertAlign w:val="superscript"/>
              </w:rPr>
              <w:t>**</w:t>
            </w:r>
          </w:p>
        </w:tc>
      </w:tr>
      <w:tr w14:paraId="1E0A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2" w:type="pct"/>
          </w:tcPr>
          <w:p w14:paraId="4E8CA3FC">
            <w:pPr>
              <w:pStyle w:val="12"/>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3.</w:t>
            </w:r>
          </w:p>
        </w:tc>
        <w:tc>
          <w:tcPr>
            <w:tcW w:w="2515" w:type="pct"/>
          </w:tcPr>
          <w:p w14:paraId="047BD01E">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Family type</w:t>
            </w:r>
          </w:p>
        </w:tc>
        <w:tc>
          <w:tcPr>
            <w:tcW w:w="1812" w:type="pct"/>
          </w:tcPr>
          <w:p w14:paraId="1CEBD303">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-0.183</w:t>
            </w:r>
            <w:r>
              <w:rPr>
                <w:rFonts w:ascii="Times New Roman" w:hAnsi="Times New Roman" w:cs="Times New Roman"/>
                <w:sz w:val="24"/>
                <w:szCs w:val="24"/>
                <w:vertAlign w:val="superscript"/>
              </w:rPr>
              <w:t>*</w:t>
            </w:r>
          </w:p>
        </w:tc>
      </w:tr>
      <w:tr w14:paraId="0C4B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2" w:type="pct"/>
          </w:tcPr>
          <w:p w14:paraId="2020DDFA">
            <w:pPr>
              <w:pStyle w:val="12"/>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4.</w:t>
            </w:r>
          </w:p>
        </w:tc>
        <w:tc>
          <w:tcPr>
            <w:tcW w:w="2515" w:type="pct"/>
          </w:tcPr>
          <w:p w14:paraId="27F0947E">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Family size</w:t>
            </w:r>
          </w:p>
        </w:tc>
        <w:tc>
          <w:tcPr>
            <w:tcW w:w="1812" w:type="pct"/>
          </w:tcPr>
          <w:p w14:paraId="537D62FD">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-.021</w:t>
            </w:r>
            <w:r>
              <w:rPr>
                <w:rFonts w:ascii="Times New Roman" w:hAnsi="Times New Roman" w:cs="Times New Roman"/>
                <w:sz w:val="24"/>
                <w:szCs w:val="24"/>
                <w:vertAlign w:val="superscript"/>
              </w:rPr>
              <w:t xml:space="preserve"> NS</w:t>
            </w:r>
          </w:p>
        </w:tc>
      </w:tr>
      <w:tr w14:paraId="6360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2" w:type="pct"/>
          </w:tcPr>
          <w:p w14:paraId="44A5A5E9">
            <w:pPr>
              <w:pStyle w:val="12"/>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5.</w:t>
            </w:r>
          </w:p>
        </w:tc>
        <w:tc>
          <w:tcPr>
            <w:tcW w:w="2515" w:type="pct"/>
          </w:tcPr>
          <w:p w14:paraId="21DAB436">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Land holding</w:t>
            </w:r>
          </w:p>
        </w:tc>
        <w:tc>
          <w:tcPr>
            <w:tcW w:w="1812" w:type="pct"/>
          </w:tcPr>
          <w:p w14:paraId="5E4049EA">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0.746</w:t>
            </w:r>
            <w:r>
              <w:rPr>
                <w:rFonts w:ascii="Times New Roman" w:hAnsi="Times New Roman" w:cs="Times New Roman"/>
                <w:sz w:val="24"/>
                <w:szCs w:val="24"/>
                <w:vertAlign w:val="superscript"/>
              </w:rPr>
              <w:t>**</w:t>
            </w:r>
          </w:p>
        </w:tc>
      </w:tr>
      <w:tr w14:paraId="1AAE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2" w:type="pct"/>
          </w:tcPr>
          <w:p w14:paraId="0A5E5394">
            <w:pPr>
              <w:pStyle w:val="12"/>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6.</w:t>
            </w:r>
          </w:p>
        </w:tc>
        <w:tc>
          <w:tcPr>
            <w:tcW w:w="2515" w:type="pct"/>
          </w:tcPr>
          <w:p w14:paraId="5FB90FA8">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Occupation</w:t>
            </w:r>
          </w:p>
        </w:tc>
        <w:tc>
          <w:tcPr>
            <w:tcW w:w="1812" w:type="pct"/>
          </w:tcPr>
          <w:p w14:paraId="599A9764">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-.018</w:t>
            </w:r>
            <w:r>
              <w:rPr>
                <w:rFonts w:ascii="Times New Roman" w:hAnsi="Times New Roman" w:cs="Times New Roman"/>
                <w:sz w:val="24"/>
                <w:szCs w:val="24"/>
                <w:vertAlign w:val="superscript"/>
              </w:rPr>
              <w:t xml:space="preserve"> NS</w:t>
            </w:r>
          </w:p>
        </w:tc>
      </w:tr>
      <w:tr w14:paraId="24D3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2" w:type="pct"/>
          </w:tcPr>
          <w:p w14:paraId="3CD7D8E3">
            <w:pPr>
              <w:pStyle w:val="12"/>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7.</w:t>
            </w:r>
          </w:p>
        </w:tc>
        <w:tc>
          <w:tcPr>
            <w:tcW w:w="2515" w:type="pct"/>
          </w:tcPr>
          <w:p w14:paraId="3FA844D9">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Annual income</w:t>
            </w:r>
          </w:p>
        </w:tc>
        <w:tc>
          <w:tcPr>
            <w:tcW w:w="1812" w:type="pct"/>
          </w:tcPr>
          <w:p w14:paraId="3565FE24">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0.272</w:t>
            </w:r>
            <w:r>
              <w:rPr>
                <w:rFonts w:ascii="Times New Roman" w:hAnsi="Times New Roman" w:cs="Times New Roman"/>
                <w:sz w:val="24"/>
                <w:szCs w:val="24"/>
                <w:vertAlign w:val="superscript"/>
              </w:rPr>
              <w:t>**</w:t>
            </w:r>
          </w:p>
        </w:tc>
      </w:tr>
      <w:tr w14:paraId="2205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2" w:type="pct"/>
          </w:tcPr>
          <w:p w14:paraId="61B8DBE1">
            <w:pPr>
              <w:pStyle w:val="12"/>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8.</w:t>
            </w:r>
          </w:p>
        </w:tc>
        <w:tc>
          <w:tcPr>
            <w:tcW w:w="2515" w:type="pct"/>
          </w:tcPr>
          <w:p w14:paraId="0BD82168">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Social Participation</w:t>
            </w:r>
          </w:p>
        </w:tc>
        <w:tc>
          <w:tcPr>
            <w:tcW w:w="1812" w:type="pct"/>
          </w:tcPr>
          <w:p w14:paraId="7D863E03">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0.518</w:t>
            </w:r>
            <w:r>
              <w:rPr>
                <w:rFonts w:ascii="Times New Roman" w:hAnsi="Times New Roman" w:cs="Times New Roman"/>
                <w:sz w:val="24"/>
                <w:szCs w:val="24"/>
                <w:vertAlign w:val="superscript"/>
              </w:rPr>
              <w:t>**</w:t>
            </w:r>
          </w:p>
        </w:tc>
      </w:tr>
      <w:tr w14:paraId="152E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2" w:type="pct"/>
          </w:tcPr>
          <w:p w14:paraId="591CF0B8">
            <w:pPr>
              <w:pStyle w:val="12"/>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9.</w:t>
            </w:r>
          </w:p>
        </w:tc>
        <w:tc>
          <w:tcPr>
            <w:tcW w:w="2515" w:type="pct"/>
          </w:tcPr>
          <w:p w14:paraId="464BB496">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Farming Experience </w:t>
            </w:r>
          </w:p>
        </w:tc>
        <w:tc>
          <w:tcPr>
            <w:tcW w:w="1812" w:type="pct"/>
          </w:tcPr>
          <w:p w14:paraId="615BADFD">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0.443</w:t>
            </w:r>
            <w:r>
              <w:rPr>
                <w:rFonts w:ascii="Times New Roman" w:hAnsi="Times New Roman" w:cs="Times New Roman"/>
                <w:sz w:val="24"/>
                <w:szCs w:val="24"/>
                <w:vertAlign w:val="superscript"/>
              </w:rPr>
              <w:t>**</w:t>
            </w:r>
          </w:p>
        </w:tc>
      </w:tr>
      <w:tr w14:paraId="3249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2" w:type="pct"/>
          </w:tcPr>
          <w:p w14:paraId="3C64F3B3">
            <w:pPr>
              <w:pStyle w:val="12"/>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10.</w:t>
            </w:r>
          </w:p>
        </w:tc>
        <w:tc>
          <w:tcPr>
            <w:tcW w:w="2515" w:type="pct"/>
          </w:tcPr>
          <w:p w14:paraId="07E60148">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Extension contact</w:t>
            </w:r>
          </w:p>
        </w:tc>
        <w:tc>
          <w:tcPr>
            <w:tcW w:w="1812" w:type="pct"/>
          </w:tcPr>
          <w:p w14:paraId="1DCBE62C">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0.336</w:t>
            </w:r>
            <w:r>
              <w:rPr>
                <w:rFonts w:ascii="Times New Roman" w:hAnsi="Times New Roman" w:cs="Times New Roman"/>
                <w:sz w:val="24"/>
                <w:szCs w:val="24"/>
                <w:vertAlign w:val="superscript"/>
              </w:rPr>
              <w:t>**</w:t>
            </w:r>
          </w:p>
        </w:tc>
      </w:tr>
      <w:tr w14:paraId="7144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2" w:type="pct"/>
          </w:tcPr>
          <w:p w14:paraId="5A86833B">
            <w:pPr>
              <w:pStyle w:val="12"/>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11.</w:t>
            </w:r>
          </w:p>
        </w:tc>
        <w:tc>
          <w:tcPr>
            <w:tcW w:w="2515" w:type="pct"/>
          </w:tcPr>
          <w:p w14:paraId="75654FFD">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Mass media exposure  </w:t>
            </w:r>
          </w:p>
        </w:tc>
        <w:tc>
          <w:tcPr>
            <w:tcW w:w="1812" w:type="pct"/>
          </w:tcPr>
          <w:p w14:paraId="4ABA89C8">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-.136</w:t>
            </w:r>
            <w:r>
              <w:rPr>
                <w:rFonts w:ascii="Times New Roman" w:hAnsi="Times New Roman" w:cs="Times New Roman"/>
                <w:sz w:val="24"/>
                <w:szCs w:val="24"/>
                <w:vertAlign w:val="superscript"/>
              </w:rPr>
              <w:t>NS</w:t>
            </w:r>
          </w:p>
        </w:tc>
      </w:tr>
      <w:tr w14:paraId="4DCA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72" w:type="pct"/>
          </w:tcPr>
          <w:p w14:paraId="6F0779B8">
            <w:pPr>
              <w:pStyle w:val="12"/>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12.</w:t>
            </w:r>
          </w:p>
        </w:tc>
        <w:tc>
          <w:tcPr>
            <w:tcW w:w="2515" w:type="pct"/>
          </w:tcPr>
          <w:p w14:paraId="0CD58ABF">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Scientific orientation </w:t>
            </w:r>
          </w:p>
        </w:tc>
        <w:tc>
          <w:tcPr>
            <w:tcW w:w="1812" w:type="pct"/>
          </w:tcPr>
          <w:p w14:paraId="77388173">
            <w:pPr>
              <w:pStyle w:val="12"/>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0.335</w:t>
            </w:r>
            <w:r>
              <w:rPr>
                <w:rFonts w:ascii="Times New Roman" w:hAnsi="Times New Roman" w:cs="Times New Roman"/>
                <w:sz w:val="24"/>
                <w:szCs w:val="24"/>
                <w:vertAlign w:val="superscript"/>
              </w:rPr>
              <w:t>**</w:t>
            </w:r>
          </w:p>
        </w:tc>
      </w:tr>
    </w:tbl>
    <w:p w14:paraId="7F87F52C">
      <w:pPr>
        <w:spacing w:after="0" w:line="360" w:lineRule="auto"/>
        <w:jc w:val="right"/>
        <w:rPr>
          <w:rFonts w:ascii="Times New Roman" w:hAnsi="Times New Roman" w:cs="Times New Roman"/>
          <w:sz w:val="24"/>
          <w:szCs w:val="24"/>
        </w:rPr>
      </w:pPr>
      <w:r>
        <w:rPr>
          <w:rFonts w:ascii="Times New Roman" w:hAnsi="Times New Roman" w:cs="Times New Roman"/>
          <w:sz w:val="24"/>
          <w:szCs w:val="24"/>
          <w:vertAlign w:val="superscript"/>
        </w:rPr>
        <w:t>*</w:t>
      </w:r>
      <w:r>
        <w:rPr>
          <w:rFonts w:ascii="Times New Roman" w:hAnsi="Times New Roman" w:cs="Times New Roman"/>
          <w:sz w:val="24"/>
          <w:szCs w:val="24"/>
        </w:rPr>
        <w:t xml:space="preserve"> Significant at 5% level   </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Significant at 1 % level, </w:t>
      </w:r>
      <w:r>
        <w:rPr>
          <w:rFonts w:ascii="Times New Roman" w:hAnsi="Times New Roman" w:cs="Times New Roman"/>
          <w:sz w:val="24"/>
          <w:szCs w:val="24"/>
          <w:vertAlign w:val="superscript"/>
        </w:rPr>
        <w:t>NS</w:t>
      </w:r>
      <w:r>
        <w:rPr>
          <w:rFonts w:ascii="Times New Roman" w:hAnsi="Times New Roman" w:cs="Times New Roman"/>
          <w:sz w:val="24"/>
          <w:szCs w:val="24"/>
        </w:rPr>
        <w:t xml:space="preserve">Non Significant </w:t>
      </w:r>
    </w:p>
    <w:p w14:paraId="1DD58DBA">
      <w:pPr>
        <w:pStyle w:val="9"/>
        <w:spacing w:line="360" w:lineRule="auto"/>
        <w:jc w:val="both"/>
      </w:pPr>
      <w:r>
        <w:t>The correlation analysis indicates the kind and degree of associations between the chosen independent variables and the dependent, demonstrating the impact of various socio-economic and psychological characteristics on the results of knowledge, adoption, or attitude. There is a positive significant relationship (r = 0.323) at the 5% level between age and experience indicating that as age increases, the respondents are likely to be more experienced and understand more, which positively relates to the dependent variable</w:t>
      </w:r>
      <w:r>
        <w:rPr>
          <w:rFonts w:hint="default"/>
          <w:lang w:val="en-US"/>
        </w:rPr>
        <w:t>(</w:t>
      </w:r>
      <w:r>
        <w:rPr>
          <w:rFonts w:hint="default" w:ascii="Times New Roman" w:hAnsi="Times New Roman" w:cs="Times New Roman"/>
          <w:color w:val="FF0000"/>
          <w:sz w:val="24"/>
          <w:szCs w:val="24"/>
        </w:rPr>
        <w:t>Nalubwama</w:t>
      </w:r>
      <w:r>
        <w:rPr>
          <w:rFonts w:hint="default" w:cs="Times New Roman"/>
          <w:color w:val="FF0000"/>
          <w:sz w:val="24"/>
          <w:szCs w:val="24"/>
          <w:lang w:val="en-US"/>
        </w:rPr>
        <w:t xml:space="preserve"> et al.,2024)</w:t>
      </w:r>
      <w:r>
        <w:t xml:space="preserve">. Education shows a greater positive and significantly significant relationship (r = 0.431**), which means that the higher the level of education, the more awareness, understanding and </w:t>
      </w:r>
      <w:r>
        <w:rPr>
          <w:lang w:val="en-US"/>
        </w:rPr>
        <w:t>up-taking</w:t>
      </w:r>
      <w:r>
        <w:t xml:space="preserve"> of better agricultural practices. Conversely, the type of family correlates negatively and significantly (r = -0.183), which means that the respondents of the joint families might have a comparatively lower autonomy in decision making than their counterparts of nuclear families and this variable can affect the adoption behavior. The family size (r = -0.021 NS) and occupation (r = -0.018 NS) do not have any significant relationship, which means that these variables do not affect the dependent variable in any meaningful way. Annual income (r = 0.272**) also has a positive and significant relationship as well as land holding (r = 0.746**), implying that respondents with sufficient finances are more likely to use better practices. There is a strong positive, and statistically significant relationship between social participation (r = 0.518) and information, motivation, meanwhile, farming experience (r = 0.443) is also positively correlated, showing that the experienced farmers have practical knowledge that would make better decisions. There is a significant positive relationship with extension contact (r = 0.336) and a negative non-significant relationship with mass media exposure (r = -0.136 NS), indicating that direct exposure to extension personnel is not always associated with effective knowledge and adoption. Lastly, scientific orientation (r = 0.335) is positively and significantly correlated, which means that the respondents who have a scientific orientation are more willing to accept and adopt new technologies. In general, the analysis shows that the variables of land holding, social participation, education, and farming experience are significant, whereas the variables of family size, occupation, and mass media exposure have minimal or no impact on the dependent variable</w:t>
      </w:r>
      <w:r>
        <w:rPr>
          <w:rFonts w:hint="default"/>
          <w:lang w:val="en-US"/>
        </w:rPr>
        <w:t>(</w:t>
      </w:r>
      <w:r>
        <w:rPr>
          <w:rFonts w:hint="default" w:ascii="Times New Roman" w:hAnsi="Times New Roman" w:cs="Times New Roman"/>
          <w:color w:val="FF0000"/>
          <w:sz w:val="24"/>
          <w:szCs w:val="24"/>
        </w:rPr>
        <w:t>Vyas</w:t>
      </w:r>
      <w:r>
        <w:rPr>
          <w:rFonts w:hint="default" w:cs="Times New Roman"/>
          <w:color w:val="FF0000"/>
          <w:sz w:val="24"/>
          <w:szCs w:val="24"/>
          <w:lang w:val="en-US"/>
        </w:rPr>
        <w:t xml:space="preserve"> et al., 2026)</w:t>
      </w:r>
      <w:r>
        <w:t>.</w:t>
      </w:r>
    </w:p>
    <w:p w14:paraId="24AACC0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4762BA08">
      <w:pPr>
        <w:pStyle w:val="9"/>
        <w:spacing w:line="360" w:lineRule="auto"/>
        <w:jc w:val="both"/>
      </w:pPr>
      <w:r>
        <w:t>The current research within Hamirpur district of Bundelkhand region the</w:t>
      </w:r>
      <w:r>
        <w:rPr>
          <w:lang w:val="en-US"/>
        </w:rPr>
        <w:t xml:space="preserve"> finding show that</w:t>
      </w:r>
      <w:r>
        <w:t xml:space="preserve"> knowledge of farmers on the practice of organic farming and the determinants of the same. The findings revealed that the medium level of knowledge was recorded in 81.66 percent of the respondents with low and high levels being 9.16 percent. This shows that the farmers possess elementary awareness, yet they require enhancement. The medium level of knowledge could be attributed to the initiatives of the extension agencies, certification agencies, and the agricultural departments in terms of training, demonstration, and farmer meetings. Besides that, the majority of respondents possessed over 10 years of experience in farming and this assisted them in acquiring practical knowledge. The socio-economic profile indicated that majority of the farmers were middle aged, moderately educated and undertook agriculture and dairying. The number of respondents with medium landholding and greater annual income was high, which indicated their ability to implement better practices. Social high participation and extension contact also assisted farmers to gain access to information and enhance their knowledge. Correlation analysis revealed that there was a positive and significant relationship between land holding, social participation, farming experience, education, extension contact, scientific orientation, age and annual income and knowledge. The most powerful of them was land holding. Larger landowners had a bigger probability of acquiring and using knowledge. There was also the social participation and education, which was important to raise awareness and exposure. The relationship between family type and the decision-making process was negative but significant. Family size, occupation, and exposure to mass media, on the other hand, were also found to be non-significant. This implies that there is not much impact of these factors on knowledge in this field of study. The lack of significance of the mass media also reflects the necessity to have more direct and interactive means of extension. In general, it is indicated that farmers possess an average knowledge about organic farming. More focused training and the need to strengthen the extension services should be implemented. Participatory approaches and capacity building should be advised. Such initiatives will contribute to the increase in knowledge and organic farming practices. This will also facilitate sustainable farming and improved livelihoods to farmers.</w:t>
      </w:r>
    </w:p>
    <w:p w14:paraId="6AC463DD">
      <w:pPr>
        <w:pStyle w:val="9"/>
        <w:spacing w:line="360" w:lineRule="auto"/>
        <w:jc w:val="both"/>
      </w:pPr>
    </w:p>
    <w:p w14:paraId="39A3CA79">
      <w:pPr>
        <w:pStyle w:val="14"/>
        <w:rPr>
          <w:rFonts w:ascii="Arial" w:hAnsi="Arial" w:cs="Arial"/>
          <w:highlight w:val="yellow"/>
        </w:rPr>
      </w:pPr>
      <w:bookmarkStart w:id="0" w:name="_Hlk198031404"/>
      <w:r>
        <w:rPr>
          <w:rFonts w:ascii="Arial" w:hAnsi="Arial" w:cs="Arial"/>
          <w:highlight w:val="yellow"/>
        </w:rPr>
        <w:t>Disclaimer (Artificial intelligence)</w:t>
      </w:r>
    </w:p>
    <w:p w14:paraId="5B9B697C">
      <w:pPr>
        <w:pStyle w:val="14"/>
        <w:rPr>
          <w:rFonts w:ascii="Arial" w:hAnsi="Arial" w:cs="Arial"/>
          <w:highlight w:val="yellow"/>
        </w:rPr>
      </w:pPr>
    </w:p>
    <w:p w14:paraId="742A989B">
      <w:pPr>
        <w:pStyle w:val="14"/>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7EFC8C6A">
      <w:pPr>
        <w:pStyle w:val="9"/>
        <w:spacing w:line="360" w:lineRule="auto"/>
        <w:jc w:val="both"/>
      </w:pPr>
    </w:p>
    <w:p w14:paraId="31879E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3F3431C3">
      <w:pPr>
        <w:numPr>
          <w:ilvl w:val="0"/>
          <w:numId w:val="0"/>
        </w:numPr>
        <w:spacing w:after="0" w:line="360" w:lineRule="auto"/>
        <w:ind w:leftChars="0"/>
        <w:jc w:val="both"/>
        <w:rPr>
          <w:rFonts w:ascii="Times New Roman" w:hAnsi="Times New Roman" w:eastAsia="sans-serif" w:cs="Times New Roman"/>
          <w:sz w:val="24"/>
          <w:szCs w:val="24"/>
          <w:shd w:val="clear" w:color="auto" w:fill="FFFFFF"/>
        </w:rPr>
      </w:pPr>
    </w:p>
    <w:p w14:paraId="34D51F54">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Ahmad. S. K, and S.Dam. Roy, (2013). A Study on Knowledge Grain, Adoption and Attitude towards Training of Farm Woman in Port Balir, Andaman. Indian  Journal of Extension Education Vol. 49, No. (1&amp;2) (67-72) </w:t>
      </w:r>
    </w:p>
    <w:p w14:paraId="0013304B">
      <w:pPr>
        <w:numPr>
          <w:ilvl w:val="0"/>
          <w:numId w:val="1"/>
        </w:numPr>
        <w:spacing w:after="0" w:line="360" w:lineRule="auto"/>
        <w:jc w:val="both"/>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 xml:space="preserve">Ashrit, R.R. and Joshi, S. (2024). Farmer’s understanding and adoption of agricultural practices in southern part of India. </w:t>
      </w:r>
      <w:r>
        <w:rPr>
          <w:rStyle w:val="4"/>
          <w:rFonts w:hint="default" w:ascii="Times New Roman" w:hAnsi="Times New Roman" w:cs="Times New Roman"/>
          <w:color w:val="FF0000"/>
          <w:sz w:val="24"/>
          <w:szCs w:val="24"/>
        </w:rPr>
        <w:t>Discover Agriculture</w:t>
      </w:r>
      <w:r>
        <w:rPr>
          <w:rFonts w:hint="default" w:ascii="Times New Roman" w:hAnsi="Times New Roman" w:cs="Times New Roman"/>
          <w:color w:val="FF0000"/>
          <w:sz w:val="24"/>
          <w:szCs w:val="24"/>
        </w:rPr>
        <w:t xml:space="preserve">, 2(5). </w:t>
      </w:r>
    </w:p>
    <w:p w14:paraId="0B176B7B">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Chanpaneri, H. C. (2012). Adoption of organic farming practices by the tribal farmers of North Gujarat. M.Sc. (Agri.) Thesis (Unpublished), SDAU, Sardarkrushinagar, Gujarat.</w:t>
      </w:r>
    </w:p>
    <w:p w14:paraId="4EDBFA63">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Dobariya. J. B, and N. B. Chauhan, (2012). Knowledge of Postgraduate Research Scholars of Anand Agriculture University about Global Warming. Indian Journal of Extension Education Vol. 48, No. (1&amp;2) (56-59)</w:t>
      </w:r>
    </w:p>
    <w:p w14:paraId="50AB1C41">
      <w:pPr>
        <w:numPr>
          <w:ilvl w:val="0"/>
          <w:numId w:val="1"/>
        </w:numPr>
        <w:spacing w:after="0" w:line="360" w:lineRule="auto"/>
        <w:jc w:val="both"/>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 xml:space="preserve">Gopalkrishnan, S. and Taur, A. (2025). Media perceptions of organic farming and insights on sustainability messaging from an urban and rural district in India. </w:t>
      </w:r>
      <w:r>
        <w:rPr>
          <w:rStyle w:val="4"/>
          <w:rFonts w:hint="default" w:ascii="Times New Roman" w:hAnsi="Times New Roman" w:cs="Times New Roman"/>
          <w:color w:val="FF0000"/>
          <w:sz w:val="24"/>
          <w:szCs w:val="24"/>
        </w:rPr>
        <w:t>Discover Sustainability</w:t>
      </w:r>
      <w:r>
        <w:rPr>
          <w:rFonts w:hint="default" w:ascii="Times New Roman" w:hAnsi="Times New Roman" w:cs="Times New Roman"/>
          <w:color w:val="FF0000"/>
          <w:sz w:val="24"/>
          <w:szCs w:val="24"/>
        </w:rPr>
        <w:t xml:space="preserve">, 6:1158.  </w:t>
      </w:r>
    </w:p>
    <w:p w14:paraId="29BA2A12">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Kavaskar, M. (2012). Profile characteristics and knowledge level of paddy growers about organic farming practices in Tamil Nadu. Research J. Agril. Sci. 3(2): 385-388.</w:t>
      </w:r>
    </w:p>
    <w:p w14:paraId="45C52736">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Kumar, M., R. K. Doharey, D. K. Singh, Satyapriya, R. P. Singh, (2020). Knowledge of Mango   grower about management practices Mango Grower of western uttar Pradesh. Indian  Journal of Extension Education Vol. 56, No. 4, (104-108)</w:t>
      </w:r>
    </w:p>
    <w:p w14:paraId="35593A8D">
      <w:pPr>
        <w:numPr>
          <w:ilvl w:val="0"/>
          <w:numId w:val="1"/>
        </w:numPr>
        <w:spacing w:after="0" w:line="360" w:lineRule="auto"/>
        <w:jc w:val="both"/>
        <w:rPr>
          <w:rFonts w:ascii="Times New Roman" w:hAnsi="Times New Roman" w:eastAsia="sans-serif" w:cs="Times New Roman"/>
          <w:sz w:val="24"/>
          <w:szCs w:val="24"/>
          <w:shd w:val="clear" w:color="auto" w:fill="FFFFFF"/>
        </w:rPr>
      </w:pPr>
      <w:r>
        <w:rPr>
          <w:rFonts w:ascii="Times New Roman" w:hAnsi="Times New Roman" w:cs="Times New Roman"/>
          <w:sz w:val="24"/>
          <w:szCs w:val="24"/>
        </w:rPr>
        <w:t>Kumar, S.; Singh, S. R. K. and Sharma, R. C. (2014). Farmers Knowledge Level on Organic Cultivation in Madhya Pradesh. Indian Res. J. Ext. Edu. 14(3): 131-133.</w:t>
      </w:r>
    </w:p>
    <w:p w14:paraId="40975573">
      <w:pPr>
        <w:numPr>
          <w:ilvl w:val="0"/>
          <w:numId w:val="1"/>
        </w:numPr>
        <w:spacing w:after="0" w:line="360" w:lineRule="auto"/>
        <w:jc w:val="both"/>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 xml:space="preserve">Nalubwama, S., Bagamba, F., Kabi, F., Nampijja, Z. and Nasaka, J. (2024). Knowledge and perceptions towards organic farming: A case of pineapple farmers in central Uganda. </w:t>
      </w:r>
      <w:r>
        <w:rPr>
          <w:rStyle w:val="4"/>
          <w:rFonts w:hint="default" w:ascii="Times New Roman" w:hAnsi="Times New Roman" w:cs="Times New Roman"/>
          <w:color w:val="FF0000"/>
          <w:sz w:val="24"/>
          <w:szCs w:val="24"/>
        </w:rPr>
        <w:t>Discover Agriculture</w:t>
      </w:r>
      <w:r>
        <w:rPr>
          <w:rFonts w:hint="default" w:ascii="Times New Roman" w:hAnsi="Times New Roman" w:cs="Times New Roman"/>
          <w:color w:val="FF0000"/>
          <w:sz w:val="24"/>
          <w:szCs w:val="24"/>
        </w:rPr>
        <w:t xml:space="preserve">, 2:77. </w:t>
      </w:r>
    </w:p>
    <w:p w14:paraId="729A3C2F">
      <w:pPr>
        <w:numPr>
          <w:ilvl w:val="0"/>
          <w:numId w:val="1"/>
        </w:numPr>
        <w:spacing w:after="0" w:line="360" w:lineRule="auto"/>
        <w:jc w:val="both"/>
        <w:rPr>
          <w:rFonts w:ascii="Times New Roman" w:hAnsi="Times New Roman" w:eastAsia="sans-serif" w:cs="Times New Roman"/>
          <w:sz w:val="24"/>
          <w:szCs w:val="24"/>
          <w:shd w:val="clear" w:color="auto" w:fill="FFFFFF"/>
        </w:rPr>
      </w:pPr>
      <w:r>
        <w:rPr>
          <w:rFonts w:ascii="Times New Roman" w:hAnsi="Times New Roman" w:cs="Times New Roman"/>
          <w:sz w:val="24"/>
          <w:szCs w:val="24"/>
        </w:rPr>
        <w:t xml:space="preserve">Pandey. S. K., U. S. Gautam, D. P. Rai, and Mohd. (2011) Mustafa, Knowledge and Adoption of Gram Production Technology. Indian Journal of Extension Education Vol. 47, No.(3&amp;4) (37-39). </w:t>
      </w:r>
    </w:p>
    <w:p w14:paraId="2DA0577C">
      <w:pPr>
        <w:numPr>
          <w:ilvl w:val="0"/>
          <w:numId w:val="1"/>
        </w:numPr>
        <w:spacing w:after="0" w:line="360" w:lineRule="auto"/>
        <w:jc w:val="both"/>
        <w:rPr>
          <w:rFonts w:ascii="Times New Roman" w:hAnsi="Times New Roman" w:eastAsia="sans-serif" w:cs="Times New Roman"/>
          <w:sz w:val="24"/>
          <w:szCs w:val="24"/>
          <w:shd w:val="clear" w:color="auto" w:fill="FFFFFF"/>
        </w:rPr>
      </w:pPr>
      <w:r>
        <w:rPr>
          <w:rFonts w:ascii="Times New Roman" w:hAnsi="Times New Roman" w:cs="Times New Roman"/>
          <w:sz w:val="24"/>
          <w:szCs w:val="24"/>
        </w:rPr>
        <w:t>Sangutha, O. S., N. narmatha, V. Uma, D. Thirunavukkarasu,S. Karthikeyan,(2019). Knowledge of Smallholder Dairy farmers about green fodder Innovation in Namakkal District of Tamil Nadu.  Indian  Journal of Extension Education Vol. 55, No. 1, 2019 (50-54)</w:t>
      </w:r>
    </w:p>
    <w:p w14:paraId="41068E83">
      <w:pPr>
        <w:numPr>
          <w:ilvl w:val="0"/>
          <w:numId w:val="1"/>
        </w:numPr>
        <w:spacing w:after="0" w:line="360" w:lineRule="auto"/>
        <w:jc w:val="both"/>
        <w:rPr>
          <w:rFonts w:hint="default" w:ascii="Times New Roman" w:hAnsi="Times New Roman" w:cs="Times New Roman"/>
          <w:sz w:val="24"/>
          <w:szCs w:val="24"/>
        </w:rPr>
      </w:pPr>
      <w:r>
        <w:rPr>
          <w:rFonts w:ascii="Times New Roman" w:hAnsi="Times New Roman" w:cs="Times New Roman"/>
          <w:sz w:val="24"/>
          <w:szCs w:val="24"/>
        </w:rPr>
        <w:t>Singh, A.K., D. Singh, A. Singh, A. Singh, M. Singh, and A. Kumar, (2016). Knowledge and Attitude of the farmers towards raised bed and other Improved Production technology of pigeonpea (Cajanus cajan) for Climate Resilient Agriculture. Indian  Journal of Extension Education Vol. 52, No.(3&amp;4) (135-140)</w:t>
      </w:r>
    </w:p>
    <w:p w14:paraId="23470F1F">
      <w:pPr>
        <w:numPr>
          <w:ilvl w:val="0"/>
          <w:numId w:val="1"/>
        </w:numPr>
        <w:spacing w:after="0" w:line="360" w:lineRule="auto"/>
        <w:jc w:val="both"/>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 xml:space="preserve">Vyas, D., Bharti, A.K., Singh, H.C., Gupta, P.K. and Singh, S. (2025). A study on farmers’ knowledge of organic farming practices in Jhansi district of Uttar Pradesh, India. </w:t>
      </w:r>
      <w:r>
        <w:rPr>
          <w:rStyle w:val="4"/>
          <w:rFonts w:hint="default" w:ascii="Times New Roman" w:hAnsi="Times New Roman" w:cs="Times New Roman"/>
          <w:color w:val="FF0000"/>
          <w:sz w:val="24"/>
          <w:szCs w:val="24"/>
        </w:rPr>
        <w:t>Journal of Scientific Research and Reports</w:t>
      </w:r>
      <w:r>
        <w:rPr>
          <w:rFonts w:hint="default" w:ascii="Times New Roman" w:hAnsi="Times New Roman" w:cs="Times New Roman"/>
          <w:color w:val="FF0000"/>
          <w:sz w:val="24"/>
          <w:szCs w:val="24"/>
        </w:rPr>
        <w:t xml:space="preserve">, 31(4): 297–305. https://doi.org/10.9734/jsrr/2025/v31i42950 </w:t>
      </w:r>
    </w:p>
    <w:p w14:paraId="0115534F">
      <w:pPr>
        <w:numPr>
          <w:ilvl w:val="0"/>
          <w:numId w:val="1"/>
        </w:numPr>
        <w:spacing w:after="0" w:line="360" w:lineRule="auto"/>
        <w:jc w:val="both"/>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 xml:space="preserve">Walia, S.S., Sidhu, A.S., Aulakh, C.S. and Kumar, N. (2025). Insights from organic farmers in Punjab: A survey on practices, challenges and market access. </w:t>
      </w:r>
      <w:r>
        <w:rPr>
          <w:rStyle w:val="4"/>
          <w:rFonts w:hint="default" w:ascii="Times New Roman" w:hAnsi="Times New Roman" w:cs="Times New Roman"/>
          <w:color w:val="FF0000"/>
          <w:sz w:val="24"/>
          <w:szCs w:val="24"/>
        </w:rPr>
        <w:t>The Indian Journal of Agricultural Sciences</w:t>
      </w:r>
      <w:r>
        <w:rPr>
          <w:rFonts w:hint="default" w:ascii="Times New Roman" w:hAnsi="Times New Roman" w:cs="Times New Roman"/>
          <w:color w:val="FF0000"/>
          <w:sz w:val="24"/>
          <w:szCs w:val="24"/>
        </w:rPr>
        <w:t xml:space="preserve">, 95(3): 292–297. </w:t>
      </w:r>
    </w:p>
    <w:sectPr>
      <w:headerReference r:id="rId7" w:type="first"/>
      <w:footerReference r:id="rId10" w:type="first"/>
      <w:headerReference r:id="rId5" w:type="default"/>
      <w:footerReference r:id="rId8" w:type="default"/>
      <w:headerReference r:id="rId6" w:type="even"/>
      <w:footerReference r:id="rId9" w:type="even"/>
      <w:pgSz w:w="11907" w:h="16839"/>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3D8B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B40E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76A40">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70DED">
    <w:pPr>
      <w:pStyle w:val="6"/>
    </w:pPr>
    <w:r>
      <w:pict>
        <v:shape id="_x0000_s1029" o:spid="_x0000_s1029" o:spt="136" type="#_x0000_t136" style="position:absolute;left:0pt;height:100.95pt;width:535.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1212D">
    <w:pPr>
      <w:pStyle w:val="6"/>
    </w:pPr>
    <w:r>
      <w:pict>
        <v:shape id="_x0000_s1030" o:spid="_x0000_s1030" o:spt="136" type="#_x0000_t136" style="position:absolute;left:0pt;height:100.95pt;width:535.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D82B1">
    <w:pPr>
      <w:pStyle w:val="6"/>
    </w:pPr>
    <w:r>
      <w:pict>
        <v:shape id="_x0000_s1028" o:spid="_x0000_s1028" o:spt="136" type="#_x0000_t136" style="position:absolute;left:0pt;height:100.95pt;width:535.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BF7D8"/>
    <w:multiLevelType w:val="singleLevel"/>
    <w:tmpl w:val="20DBF7D8"/>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A5A"/>
    <w:rsid w:val="000069A4"/>
    <w:rsid w:val="00046D37"/>
    <w:rsid w:val="0005327D"/>
    <w:rsid w:val="00075596"/>
    <w:rsid w:val="000E0F89"/>
    <w:rsid w:val="000E6137"/>
    <w:rsid w:val="00101179"/>
    <w:rsid w:val="00120F30"/>
    <w:rsid w:val="00163F2E"/>
    <w:rsid w:val="001D09F7"/>
    <w:rsid w:val="001F45CC"/>
    <w:rsid w:val="0025536C"/>
    <w:rsid w:val="00257DEC"/>
    <w:rsid w:val="00262E4C"/>
    <w:rsid w:val="00267B7B"/>
    <w:rsid w:val="00292CBE"/>
    <w:rsid w:val="002945CA"/>
    <w:rsid w:val="002A148C"/>
    <w:rsid w:val="002C729F"/>
    <w:rsid w:val="00300DBB"/>
    <w:rsid w:val="003100BF"/>
    <w:rsid w:val="003A6C73"/>
    <w:rsid w:val="004262EF"/>
    <w:rsid w:val="00427F7C"/>
    <w:rsid w:val="00431ECA"/>
    <w:rsid w:val="004C5119"/>
    <w:rsid w:val="004D6EB3"/>
    <w:rsid w:val="00527B30"/>
    <w:rsid w:val="00570902"/>
    <w:rsid w:val="005872D3"/>
    <w:rsid w:val="005B0BD3"/>
    <w:rsid w:val="005E1335"/>
    <w:rsid w:val="006813A6"/>
    <w:rsid w:val="006E1397"/>
    <w:rsid w:val="006E573A"/>
    <w:rsid w:val="007050E3"/>
    <w:rsid w:val="007562E2"/>
    <w:rsid w:val="00787D52"/>
    <w:rsid w:val="007A4452"/>
    <w:rsid w:val="007D3287"/>
    <w:rsid w:val="007D3B8E"/>
    <w:rsid w:val="007D72FC"/>
    <w:rsid w:val="007E060A"/>
    <w:rsid w:val="007F5135"/>
    <w:rsid w:val="007F6676"/>
    <w:rsid w:val="00804F34"/>
    <w:rsid w:val="00837340"/>
    <w:rsid w:val="008377E7"/>
    <w:rsid w:val="00875864"/>
    <w:rsid w:val="008B5EFD"/>
    <w:rsid w:val="008B77F5"/>
    <w:rsid w:val="008D3D60"/>
    <w:rsid w:val="008F096C"/>
    <w:rsid w:val="009162B1"/>
    <w:rsid w:val="00944581"/>
    <w:rsid w:val="0094524D"/>
    <w:rsid w:val="009510F4"/>
    <w:rsid w:val="0095680D"/>
    <w:rsid w:val="00966724"/>
    <w:rsid w:val="009830F3"/>
    <w:rsid w:val="009B6C99"/>
    <w:rsid w:val="009E4C89"/>
    <w:rsid w:val="009E4D56"/>
    <w:rsid w:val="009F1975"/>
    <w:rsid w:val="00A66281"/>
    <w:rsid w:val="00A86E08"/>
    <w:rsid w:val="00A9483E"/>
    <w:rsid w:val="00AF7613"/>
    <w:rsid w:val="00B12299"/>
    <w:rsid w:val="00B41A28"/>
    <w:rsid w:val="00B528B6"/>
    <w:rsid w:val="00B70228"/>
    <w:rsid w:val="00B75134"/>
    <w:rsid w:val="00BA1A5A"/>
    <w:rsid w:val="00BF231A"/>
    <w:rsid w:val="00C1342F"/>
    <w:rsid w:val="00C46BC2"/>
    <w:rsid w:val="00C712CD"/>
    <w:rsid w:val="00C715EB"/>
    <w:rsid w:val="00CE1106"/>
    <w:rsid w:val="00CE160A"/>
    <w:rsid w:val="00CE7502"/>
    <w:rsid w:val="00D130A9"/>
    <w:rsid w:val="00D555BE"/>
    <w:rsid w:val="00D567FB"/>
    <w:rsid w:val="00DA3824"/>
    <w:rsid w:val="00DB5976"/>
    <w:rsid w:val="00E10861"/>
    <w:rsid w:val="00E458D3"/>
    <w:rsid w:val="00E53228"/>
    <w:rsid w:val="00E70EDD"/>
    <w:rsid w:val="00E90DA7"/>
    <w:rsid w:val="00EC1BE3"/>
    <w:rsid w:val="00EC5977"/>
    <w:rsid w:val="00EE05D4"/>
    <w:rsid w:val="00F4080E"/>
    <w:rsid w:val="00F52E5F"/>
    <w:rsid w:val="00F83D97"/>
    <w:rsid w:val="00F94ABB"/>
    <w:rsid w:val="00F94EFE"/>
    <w:rsid w:val="00FD038A"/>
    <w:rsid w:val="00FD5699"/>
    <w:rsid w:val="00FF2575"/>
    <w:rsid w:val="122B384C"/>
    <w:rsid w:val="2D4E2AAD"/>
    <w:rsid w:val="2F180F38"/>
    <w:rsid w:val="5A6E268D"/>
    <w:rsid w:val="6C3F1EAF"/>
    <w:rsid w:val="6FCB0B58"/>
    <w:rsid w:val="76DF580D"/>
    <w:rsid w:val="7FE1571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lang w:val="en-US" w:eastAsia="en-US" w:bidi="hi-IN"/>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6"/>
    <w:unhideWhenUsed/>
    <w:qFormat/>
    <w:uiPriority w:val="99"/>
    <w:pPr>
      <w:tabs>
        <w:tab w:val="center" w:pos="4680"/>
        <w:tab w:val="right" w:pos="9360"/>
      </w:tabs>
      <w:spacing w:after="0" w:line="240" w:lineRule="auto"/>
    </w:pPr>
  </w:style>
  <w:style w:type="paragraph" w:styleId="6">
    <w:name w:val="header"/>
    <w:basedOn w:val="1"/>
    <w:link w:val="15"/>
    <w:unhideWhenUsed/>
    <w:qFormat/>
    <w:uiPriority w:val="99"/>
    <w:pPr>
      <w:tabs>
        <w:tab w:val="center" w:pos="4680"/>
        <w:tab w:val="right" w:pos="9360"/>
      </w:tabs>
      <w:spacing w:after="0" w:line="240" w:lineRule="auto"/>
    </w:pPr>
  </w:style>
  <w:style w:type="character" w:styleId="7">
    <w:name w:val="HTML Code"/>
    <w:basedOn w:val="2"/>
    <w:semiHidden/>
    <w:unhideWhenUsed/>
    <w:qFormat/>
    <w:uiPriority w:val="99"/>
    <w:rPr>
      <w:rFonts w:ascii="Courier New" w:hAnsi="Courier New" w:eastAsia="Times New Roman" w:cs="Courier New"/>
      <w:sz w:val="20"/>
      <w:szCs w:val="20"/>
    </w:rPr>
  </w:style>
  <w:style w:type="character" w:styleId="8">
    <w:name w:val="Hyperlink"/>
    <w:basedOn w:val="2"/>
    <w:unhideWhenUsed/>
    <w:qFormat/>
    <w:uiPriority w:val="99"/>
    <w:rPr>
      <w:color w:val="0000FF"/>
      <w:u w:val="single"/>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IN" w:eastAsia="en-IN" w:bidi="ar-SA"/>
    </w:rPr>
  </w:style>
  <w:style w:type="character" w:styleId="10">
    <w:name w:val="Strong"/>
    <w:basedOn w:val="2"/>
    <w:qFormat/>
    <w:uiPriority w:val="22"/>
    <w:rPr>
      <w:b/>
      <w:bCs/>
    </w:rPr>
  </w:style>
  <w:style w:type="table" w:styleId="11">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2">
    <w:name w:val="List Paragraph"/>
    <w:basedOn w:val="1"/>
    <w:qFormat/>
    <w:uiPriority w:val="34"/>
    <w:pPr>
      <w:ind w:left="720"/>
      <w:contextualSpacing/>
    </w:pPr>
  </w:style>
  <w:style w:type="table" w:customStyle="1" w:styleId="13">
    <w:name w:val="Light Shading1"/>
    <w:basedOn w:val="3"/>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styleId="14">
    <w:name w:val="No Spacing"/>
    <w:qFormat/>
    <w:uiPriority w:val="1"/>
    <w:rPr>
      <w:rFonts w:asciiTheme="minorHAnsi" w:hAnsiTheme="minorHAnsi" w:eastAsiaTheme="minorHAnsi" w:cstheme="minorBidi"/>
      <w:sz w:val="22"/>
      <w:lang w:val="en-US" w:eastAsia="en-US" w:bidi="hi-IN"/>
    </w:rPr>
  </w:style>
  <w:style w:type="character" w:customStyle="1" w:styleId="15">
    <w:name w:val="Header Char"/>
    <w:basedOn w:val="2"/>
    <w:link w:val="6"/>
    <w:qFormat/>
    <w:uiPriority w:val="99"/>
  </w:style>
  <w:style w:type="character" w:customStyle="1" w:styleId="16">
    <w:name w:val="Footer Char"/>
    <w:basedOn w:val="2"/>
    <w:link w:val="5"/>
    <w:qFormat/>
    <w:uiPriority w:val="99"/>
  </w:style>
  <w:style w:type="character" w:customStyle="1" w:styleId="17">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9"/>
    <customShpInfo spid="_x0000_s1030"/>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63A406-C796-412A-87F4-0AA40EE1E5BA}">
  <ds:schemaRefs/>
</ds:datastoreItem>
</file>

<file path=docProps/app.xml><?xml version="1.0" encoding="utf-8"?>
<Properties xmlns="http://schemas.openxmlformats.org/officeDocument/2006/extended-properties" xmlns:vt="http://schemas.openxmlformats.org/officeDocument/2006/docPropsVTypes">
  <Template>Normal</Template>
  <Pages>10</Pages>
  <Words>2925</Words>
  <Characters>16819</Characters>
  <Lines>141</Lines>
  <Paragraphs>39</Paragraphs>
  <TotalTime>14</TotalTime>
  <ScaleCrop>false</ScaleCrop>
  <LinksUpToDate>false</LinksUpToDate>
  <CharactersWithSpaces>19630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2025-05-06T09:42:00Z</dcterms:created>
  <dc:creator>dell</dc:creator>
  <cp:lastModifiedBy>somdutt tripathi</cp:lastModifiedBy>
  <dcterms:modified xsi:type="dcterms:W3CDTF">2026-05-24T17:42:47Z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AFE36FDAC5E44A9EBC229551781BA08F_12</vt:lpwstr>
  </property>
  <property fmtid="{D5CDD505-2E9C-101B-9397-08002B2CF9AE}" pid="4" name="KSOTemplateDocerSaveRecord">
    <vt:lpwstr>eyJoZGlkIjoiOTBhZTBiZWM5NDBhYzIxMThhZjZiMTRmMTQ4MjA4MWMiLCJ1c2VySWQiOiI1NjcyMDQ5NDI3OTEifQ==</vt:lpwstr>
  </property>
</Properties>
</file>