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5FAA" w14:textId="0834A740" w:rsidR="007A5668" w:rsidRPr="001A74B8" w:rsidRDefault="007A5668" w:rsidP="00FE6136">
      <w:pPr>
        <w:jc w:val="both"/>
        <w:rPr>
          <w:rFonts w:ascii="Arial" w:hAnsi="Arial" w:cs="Arial"/>
          <w:sz w:val="48"/>
          <w:szCs w:val="48"/>
        </w:rPr>
      </w:pPr>
      <w:r w:rsidRPr="001A74B8">
        <w:rPr>
          <w:rFonts w:ascii="Arial" w:hAnsi="Arial" w:cs="Arial"/>
          <w:sz w:val="48"/>
          <w:szCs w:val="48"/>
        </w:rPr>
        <w:t>Cerebral Venous Thrombosis</w:t>
      </w:r>
      <w:r w:rsidR="006B1809" w:rsidRPr="001A74B8">
        <w:rPr>
          <w:rFonts w:ascii="Arial" w:hAnsi="Arial" w:cs="Arial"/>
          <w:sz w:val="48"/>
          <w:szCs w:val="48"/>
        </w:rPr>
        <w:t xml:space="preserve"> </w:t>
      </w:r>
      <w:r w:rsidR="003E59D8" w:rsidRPr="001A74B8">
        <w:rPr>
          <w:rFonts w:ascii="Arial" w:hAnsi="Arial" w:cs="Arial"/>
          <w:sz w:val="48"/>
          <w:szCs w:val="48"/>
        </w:rPr>
        <w:t xml:space="preserve">Presenting </w:t>
      </w:r>
      <w:r w:rsidR="0046632D">
        <w:rPr>
          <w:rFonts w:ascii="Arial" w:hAnsi="Arial" w:cs="Arial"/>
          <w:sz w:val="48"/>
          <w:szCs w:val="48"/>
        </w:rPr>
        <w:t>a</w:t>
      </w:r>
      <w:r w:rsidR="003E59D8" w:rsidRPr="001A74B8">
        <w:rPr>
          <w:rFonts w:ascii="Arial" w:hAnsi="Arial" w:cs="Arial"/>
          <w:sz w:val="48"/>
          <w:szCs w:val="48"/>
        </w:rPr>
        <w:t>s</w:t>
      </w:r>
      <w:r w:rsidR="006B1809" w:rsidRPr="001A74B8">
        <w:rPr>
          <w:rFonts w:ascii="Arial" w:hAnsi="Arial" w:cs="Arial"/>
          <w:sz w:val="48"/>
          <w:szCs w:val="48"/>
        </w:rPr>
        <w:t xml:space="preserve"> Optic Neuropathy</w:t>
      </w:r>
      <w:r w:rsidRPr="001A74B8">
        <w:rPr>
          <w:rFonts w:ascii="Arial" w:hAnsi="Arial" w:cs="Arial"/>
          <w:sz w:val="48"/>
          <w:szCs w:val="48"/>
        </w:rPr>
        <w:t>: A Case Report</w:t>
      </w:r>
    </w:p>
    <w:p w14:paraId="59232BCD" w14:textId="32F8BFB1" w:rsidR="0037549F" w:rsidRDefault="0037549F" w:rsidP="00FE6136">
      <w:pPr>
        <w:jc w:val="both"/>
        <w:rPr>
          <w:rFonts w:ascii="Arial" w:hAnsi="Arial" w:cs="Arial"/>
          <w:b/>
          <w:bCs/>
          <w:szCs w:val="22"/>
        </w:rPr>
        <w:sectPr w:rsidR="003754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Arial" w:hAnsi="Arial" w:cs="Arial"/>
          <w:b/>
          <w:bCs/>
          <w:szCs w:val="22"/>
        </w:rPr>
        <w:t xml:space="preserve"> </w:t>
      </w:r>
    </w:p>
    <w:p w14:paraId="5C286618" w14:textId="5B66CA06" w:rsidR="007A5668" w:rsidRPr="00276117" w:rsidRDefault="007A5668" w:rsidP="00FE6136">
      <w:pPr>
        <w:jc w:val="both"/>
        <w:rPr>
          <w:rFonts w:ascii="Arial" w:hAnsi="Arial" w:cs="Arial"/>
          <w:b/>
          <w:bCs/>
          <w:szCs w:val="22"/>
        </w:rPr>
      </w:pPr>
      <w:r w:rsidRPr="00276117">
        <w:rPr>
          <w:rFonts w:ascii="Arial" w:hAnsi="Arial" w:cs="Arial"/>
          <w:b/>
          <w:bCs/>
          <w:szCs w:val="22"/>
        </w:rPr>
        <w:lastRenderedPageBreak/>
        <w:t>ABSTRACT</w:t>
      </w:r>
    </w:p>
    <w:p w14:paraId="2DAE35DA" w14:textId="60D1773F" w:rsidR="007A5668" w:rsidRPr="00276117" w:rsidRDefault="007A5668" w:rsidP="00FE6136">
      <w:pPr>
        <w:jc w:val="both"/>
        <w:rPr>
          <w:rFonts w:ascii="Arial" w:hAnsi="Arial" w:cs="Arial"/>
          <w:sz w:val="20"/>
          <w:szCs w:val="20"/>
        </w:rPr>
      </w:pPr>
      <w:r w:rsidRPr="00276117">
        <w:rPr>
          <w:rFonts w:ascii="Arial" w:hAnsi="Arial" w:cs="Arial"/>
          <w:sz w:val="20"/>
          <w:szCs w:val="20"/>
        </w:rPr>
        <w:t>Background: Cerebral Venous Thrombosis (CVT) is an uncommon cerebrovascular disorder with a highly variable clinical spectrum. While headache is the most prevalent symptom, acute and severe visual impairment as the dominant presenting feature is rare and constitutes a neuro-ophthalmic emergency.</w:t>
      </w:r>
    </w:p>
    <w:p w14:paraId="3E2AA7E3" w14:textId="7640E1D9"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Case Presentation: We report the case of a 63-year-old male with a chronic smoking history who presented with sudden-onset, progressive visual deterioration over three days, culminating in complete bilateral vision loss, accompanied by headache. An ophthalmology consultation revealed bilateral </w:t>
      </w:r>
      <w:r w:rsidR="009A578A" w:rsidRPr="00276117">
        <w:rPr>
          <w:rFonts w:ascii="Arial" w:hAnsi="Arial" w:cs="Arial"/>
          <w:sz w:val="20"/>
          <w:szCs w:val="20"/>
        </w:rPr>
        <w:t>dis</w:t>
      </w:r>
      <w:r w:rsidR="001531C8">
        <w:rPr>
          <w:rFonts w:ascii="Arial" w:hAnsi="Arial" w:cs="Arial"/>
          <w:sz w:val="20"/>
          <w:szCs w:val="20"/>
        </w:rPr>
        <w:t xml:space="preserve">c </w:t>
      </w:r>
      <w:proofErr w:type="spellStart"/>
      <w:r w:rsidR="001531C8" w:rsidRPr="00276117">
        <w:rPr>
          <w:rFonts w:ascii="Arial" w:hAnsi="Arial" w:cs="Arial"/>
          <w:sz w:val="20"/>
          <w:szCs w:val="20"/>
        </w:rPr>
        <w:t>hyperemia</w:t>
      </w:r>
      <w:proofErr w:type="spellEnd"/>
      <w:r w:rsidRPr="00276117">
        <w:rPr>
          <w:rFonts w:ascii="Arial" w:hAnsi="Arial" w:cs="Arial"/>
          <w:sz w:val="20"/>
          <w:szCs w:val="20"/>
        </w:rPr>
        <w:t>. Neuroimaging, including Magnetic Resonance Imaging (MRI) and MR Venography, confirmed partial thrombosis involving the venous sinus confluence, posterior superior sagittal sinus, right transverse and sigmoid sinuses, and the right proximal internal jugular vein. The patient was managed with systemic anticoagulation and a course of high-dose corticosteroids for suspected compressive optic neuropathy. Clinical stabilization was achieved, and he was discharged on warfarin and a tapering dose of prednisolone.</w:t>
      </w:r>
    </w:p>
    <w:p w14:paraId="55C1682C" w14:textId="724A7920"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Discussion: This case details an atypical manifestation of CVT. The pathophysiology of acute visual failure likely involves compressive optic neuropathy, corroborated by the ophthalmoscopic finding of bilateral </w:t>
      </w:r>
      <w:r w:rsidR="009A578A" w:rsidRPr="00276117">
        <w:rPr>
          <w:rFonts w:ascii="Arial" w:hAnsi="Arial" w:cs="Arial"/>
          <w:sz w:val="20"/>
          <w:szCs w:val="20"/>
        </w:rPr>
        <w:t>disc</w:t>
      </w:r>
      <w:r w:rsidRPr="00276117">
        <w:rPr>
          <w:rFonts w:ascii="Arial" w:hAnsi="Arial" w:cs="Arial"/>
          <w:sz w:val="20"/>
          <w:szCs w:val="20"/>
        </w:rPr>
        <w:t xml:space="preserve"> </w:t>
      </w:r>
      <w:proofErr w:type="spellStart"/>
      <w:r w:rsidRPr="00276117">
        <w:rPr>
          <w:rFonts w:ascii="Arial" w:hAnsi="Arial" w:cs="Arial"/>
          <w:sz w:val="20"/>
          <w:szCs w:val="20"/>
        </w:rPr>
        <w:t>hyperemia</w:t>
      </w:r>
      <w:proofErr w:type="spellEnd"/>
      <w:r w:rsidRPr="00276117">
        <w:rPr>
          <w:rFonts w:ascii="Arial" w:hAnsi="Arial" w:cs="Arial"/>
          <w:sz w:val="20"/>
          <w:szCs w:val="20"/>
        </w:rPr>
        <w:t xml:space="preserve">, and possible venous congestion of the optic nerves. Management necessitates a dual strategy: immediate anticoagulation to arrest thrombus propagation and corticosteroids to mitigate secondary optic nerve insult. </w:t>
      </w:r>
    </w:p>
    <w:p w14:paraId="0A63084D" w14:textId="3632BB3B" w:rsidR="007A5668" w:rsidRPr="00276117" w:rsidRDefault="007A5668" w:rsidP="00FE6136">
      <w:pPr>
        <w:jc w:val="both"/>
        <w:rPr>
          <w:rFonts w:ascii="Arial" w:hAnsi="Arial" w:cs="Arial"/>
          <w:sz w:val="24"/>
          <w:szCs w:val="24"/>
        </w:rPr>
      </w:pPr>
      <w:r w:rsidRPr="00276117">
        <w:rPr>
          <w:rFonts w:ascii="Arial" w:hAnsi="Arial" w:cs="Arial"/>
          <w:sz w:val="20"/>
          <w:szCs w:val="20"/>
        </w:rPr>
        <w:t>Conclusion: CVT should be considered in the differential diagnosis of acute, profound vision loss, particularly when accompanied by headache. Prompt diagnosis via MR Venography and expeditious, targeted intervention are critical to optimize neurological outcomes.</w:t>
      </w:r>
    </w:p>
    <w:p w14:paraId="14423722" w14:textId="77777777" w:rsidR="007A5668" w:rsidRPr="00276117" w:rsidRDefault="007A5668" w:rsidP="00FE6136">
      <w:pPr>
        <w:jc w:val="both"/>
        <w:rPr>
          <w:rFonts w:ascii="Arial" w:hAnsi="Arial" w:cs="Arial"/>
          <w:sz w:val="24"/>
          <w:szCs w:val="24"/>
        </w:rPr>
      </w:pPr>
    </w:p>
    <w:p w14:paraId="4B49DFEE" w14:textId="6E76068D" w:rsidR="007A5668" w:rsidRPr="00276117" w:rsidRDefault="007A5668" w:rsidP="00FE6136">
      <w:pPr>
        <w:jc w:val="both"/>
        <w:rPr>
          <w:rFonts w:ascii="Arial" w:hAnsi="Arial" w:cs="Arial"/>
          <w:sz w:val="20"/>
          <w:szCs w:val="20"/>
        </w:rPr>
      </w:pPr>
      <w:r w:rsidRPr="00276117">
        <w:rPr>
          <w:rFonts w:ascii="Arial" w:hAnsi="Arial" w:cs="Arial"/>
          <w:sz w:val="20"/>
          <w:szCs w:val="20"/>
        </w:rPr>
        <w:t>Keywords: Cerebral venous thrombosis</w:t>
      </w:r>
      <w:r w:rsidR="0054220B">
        <w:rPr>
          <w:rFonts w:ascii="Arial" w:hAnsi="Arial" w:cs="Arial"/>
          <w:sz w:val="20"/>
          <w:szCs w:val="20"/>
        </w:rPr>
        <w:t>,</w:t>
      </w:r>
      <w:r w:rsidRPr="00276117">
        <w:rPr>
          <w:rFonts w:ascii="Arial" w:hAnsi="Arial" w:cs="Arial"/>
          <w:sz w:val="20"/>
          <w:szCs w:val="20"/>
        </w:rPr>
        <w:t xml:space="preserve"> CVT</w:t>
      </w:r>
      <w:r w:rsidR="0054220B">
        <w:rPr>
          <w:rFonts w:ascii="Arial" w:hAnsi="Arial" w:cs="Arial"/>
          <w:sz w:val="20"/>
          <w:szCs w:val="20"/>
        </w:rPr>
        <w:t>,</w:t>
      </w:r>
      <w:r w:rsidRPr="00276117">
        <w:rPr>
          <w:rFonts w:ascii="Arial" w:hAnsi="Arial" w:cs="Arial"/>
          <w:sz w:val="20"/>
          <w:szCs w:val="20"/>
        </w:rPr>
        <w:t xml:space="preserve"> acute blindness</w:t>
      </w:r>
      <w:r w:rsidR="0054220B">
        <w:rPr>
          <w:rFonts w:ascii="Arial" w:hAnsi="Arial" w:cs="Arial"/>
          <w:sz w:val="20"/>
          <w:szCs w:val="20"/>
        </w:rPr>
        <w:t>,</w:t>
      </w:r>
      <w:r w:rsidRPr="00276117">
        <w:rPr>
          <w:rFonts w:ascii="Arial" w:hAnsi="Arial" w:cs="Arial"/>
          <w:sz w:val="20"/>
          <w:szCs w:val="20"/>
        </w:rPr>
        <w:t xml:space="preserve"> optic neuropathy</w:t>
      </w:r>
      <w:r w:rsidR="0054220B">
        <w:rPr>
          <w:rFonts w:ascii="Arial" w:hAnsi="Arial" w:cs="Arial"/>
          <w:sz w:val="20"/>
          <w:szCs w:val="20"/>
        </w:rPr>
        <w:t>,</w:t>
      </w:r>
      <w:r w:rsidRPr="00276117">
        <w:rPr>
          <w:rFonts w:ascii="Arial" w:hAnsi="Arial" w:cs="Arial"/>
          <w:sz w:val="20"/>
          <w:szCs w:val="20"/>
        </w:rPr>
        <w:t xml:space="preserve"> anticoagulation.</w:t>
      </w:r>
    </w:p>
    <w:p w14:paraId="6C20795C" w14:textId="77777777" w:rsidR="007A5668" w:rsidRPr="00276117" w:rsidRDefault="007A5668" w:rsidP="00FE6136">
      <w:pPr>
        <w:jc w:val="both"/>
        <w:rPr>
          <w:rFonts w:ascii="Arial" w:hAnsi="Arial" w:cs="Arial"/>
          <w:sz w:val="24"/>
          <w:szCs w:val="24"/>
        </w:rPr>
      </w:pPr>
    </w:p>
    <w:p w14:paraId="1788C264" w14:textId="12CBE72C" w:rsidR="007A5668" w:rsidRPr="00276117" w:rsidRDefault="007A5668" w:rsidP="00FE6136">
      <w:pPr>
        <w:jc w:val="both"/>
        <w:rPr>
          <w:rFonts w:ascii="Arial" w:hAnsi="Arial" w:cs="Arial"/>
          <w:b/>
          <w:bCs/>
          <w:szCs w:val="22"/>
        </w:rPr>
      </w:pPr>
      <w:r w:rsidRPr="00276117">
        <w:rPr>
          <w:rFonts w:ascii="Arial" w:hAnsi="Arial" w:cs="Arial"/>
          <w:b/>
          <w:bCs/>
          <w:szCs w:val="22"/>
        </w:rPr>
        <w:t>INTRODUCTION</w:t>
      </w:r>
    </w:p>
    <w:p w14:paraId="43DF26B1" w14:textId="035EB0F1"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Cerebral venous thrombosis (CVT) is a distinct cerebrovascular condition accounting for approximately 0.5-1.0% of all strokes, characterized by thrombosis of the cerebral veins and dural venous sinuses </w:t>
      </w:r>
      <w:r w:rsidR="001A74B8" w:rsidRPr="00276117">
        <w:rPr>
          <w:rFonts w:ascii="Arial" w:hAnsi="Arial" w:cs="Arial"/>
          <w:sz w:val="20"/>
          <w:szCs w:val="20"/>
        </w:rPr>
        <w:t>(</w:t>
      </w:r>
      <w:proofErr w:type="spellStart"/>
      <w:r w:rsidR="001A74B8" w:rsidRPr="00276117">
        <w:rPr>
          <w:rFonts w:ascii="Arial" w:hAnsi="Arial" w:cs="Arial"/>
          <w:sz w:val="20"/>
          <w:szCs w:val="20"/>
        </w:rPr>
        <w:t>Saposnik</w:t>
      </w:r>
      <w:proofErr w:type="spellEnd"/>
      <w:r w:rsidR="001A74B8" w:rsidRPr="00276117">
        <w:rPr>
          <w:rFonts w:ascii="Arial" w:hAnsi="Arial" w:cs="Arial"/>
          <w:sz w:val="20"/>
          <w:szCs w:val="20"/>
        </w:rPr>
        <w:t xml:space="preserve"> G et al.</w:t>
      </w:r>
      <w:r w:rsidRPr="00276117">
        <w:rPr>
          <w:rFonts w:ascii="Arial" w:hAnsi="Arial" w:cs="Arial"/>
          <w:sz w:val="20"/>
          <w:szCs w:val="20"/>
        </w:rPr>
        <w:t>,</w:t>
      </w:r>
      <w:r w:rsidR="001A74B8" w:rsidRPr="00276117">
        <w:rPr>
          <w:rFonts w:ascii="Arial" w:hAnsi="Arial" w:cs="Arial"/>
          <w:sz w:val="20"/>
          <w:szCs w:val="20"/>
        </w:rPr>
        <w:t xml:space="preserve">2011, Stam J </w:t>
      </w:r>
      <w:r w:rsidRPr="00276117">
        <w:rPr>
          <w:rFonts w:ascii="Arial" w:hAnsi="Arial" w:cs="Arial"/>
          <w:sz w:val="20"/>
          <w:szCs w:val="20"/>
        </w:rPr>
        <w:t>2</w:t>
      </w:r>
      <w:r w:rsidR="001A74B8" w:rsidRPr="00276117">
        <w:rPr>
          <w:rFonts w:ascii="Arial" w:hAnsi="Arial" w:cs="Arial"/>
          <w:sz w:val="20"/>
          <w:szCs w:val="20"/>
        </w:rPr>
        <w:t>005)</w:t>
      </w:r>
      <w:r w:rsidRPr="00276117">
        <w:rPr>
          <w:rFonts w:ascii="Arial" w:hAnsi="Arial" w:cs="Arial"/>
          <w:sz w:val="20"/>
          <w:szCs w:val="20"/>
        </w:rPr>
        <w:t xml:space="preserve">. Its clinical presentation is notoriously protean, often leading to diagnostic delays. The most common and frequently the earliest symptom is headache, reported in over 90% of patients, attributed to raised intracranial pressure (ICP) or meningeal irritation </w:t>
      </w:r>
      <w:r w:rsidR="001A74B8" w:rsidRPr="00276117">
        <w:rPr>
          <w:rFonts w:ascii="Arial" w:hAnsi="Arial" w:cs="Arial"/>
          <w:sz w:val="20"/>
          <w:szCs w:val="20"/>
        </w:rPr>
        <w:t>(</w:t>
      </w:r>
      <w:proofErr w:type="spellStart"/>
      <w:r w:rsidR="001A74B8" w:rsidRPr="00276117">
        <w:rPr>
          <w:rFonts w:ascii="Arial" w:hAnsi="Arial" w:cs="Arial"/>
          <w:sz w:val="20"/>
          <w:szCs w:val="20"/>
        </w:rPr>
        <w:t>Bousser</w:t>
      </w:r>
      <w:proofErr w:type="spellEnd"/>
      <w:r w:rsidR="001A74B8" w:rsidRPr="00276117">
        <w:rPr>
          <w:rFonts w:ascii="Arial" w:hAnsi="Arial" w:cs="Arial"/>
          <w:sz w:val="20"/>
          <w:szCs w:val="20"/>
        </w:rPr>
        <w:t xml:space="preserve"> MG et al., 2007)</w:t>
      </w:r>
      <w:r w:rsidRPr="00276117">
        <w:rPr>
          <w:rFonts w:ascii="Arial" w:hAnsi="Arial" w:cs="Arial"/>
          <w:sz w:val="20"/>
          <w:szCs w:val="20"/>
        </w:rPr>
        <w:t xml:space="preserve">. Other manifestations can include seizures, focal neurological deficits, encephalopathy, and signs of intracranial hypertension such as papilledema, which may manifest as transient visual </w:t>
      </w:r>
      <w:proofErr w:type="spellStart"/>
      <w:r w:rsidRPr="00276117">
        <w:rPr>
          <w:rFonts w:ascii="Arial" w:hAnsi="Arial" w:cs="Arial"/>
          <w:sz w:val="20"/>
          <w:szCs w:val="20"/>
        </w:rPr>
        <w:t>obscurations</w:t>
      </w:r>
      <w:proofErr w:type="spellEnd"/>
      <w:r w:rsidRPr="00276117">
        <w:rPr>
          <w:rFonts w:ascii="Arial" w:hAnsi="Arial" w:cs="Arial"/>
          <w:sz w:val="20"/>
          <w:szCs w:val="20"/>
        </w:rPr>
        <w:t xml:space="preserve"> or blurred vision </w:t>
      </w:r>
      <w:r w:rsidR="001A74B8" w:rsidRPr="00276117">
        <w:rPr>
          <w:rFonts w:ascii="Arial" w:hAnsi="Arial" w:cs="Arial"/>
          <w:sz w:val="20"/>
          <w:szCs w:val="20"/>
        </w:rPr>
        <w:t>(</w:t>
      </w:r>
      <w:proofErr w:type="spellStart"/>
      <w:r w:rsidR="001A74B8" w:rsidRPr="00276117">
        <w:rPr>
          <w:rFonts w:ascii="Arial" w:hAnsi="Arial" w:cs="Arial"/>
          <w:sz w:val="20"/>
          <w:szCs w:val="20"/>
        </w:rPr>
        <w:t>Einhäupl</w:t>
      </w:r>
      <w:proofErr w:type="spellEnd"/>
      <w:r w:rsidR="001A74B8" w:rsidRPr="00276117">
        <w:rPr>
          <w:rFonts w:ascii="Arial" w:hAnsi="Arial" w:cs="Arial"/>
          <w:sz w:val="20"/>
          <w:szCs w:val="20"/>
        </w:rPr>
        <w:t xml:space="preserve"> K et al., 2006).</w:t>
      </w:r>
    </w:p>
    <w:p w14:paraId="34786607" w14:textId="13B67477" w:rsidR="007A5668" w:rsidRPr="00276117" w:rsidRDefault="007A5668" w:rsidP="00FE6136">
      <w:pPr>
        <w:jc w:val="both"/>
        <w:rPr>
          <w:rFonts w:ascii="Arial" w:hAnsi="Arial" w:cs="Arial"/>
          <w:sz w:val="20"/>
          <w:szCs w:val="20"/>
        </w:rPr>
      </w:pPr>
      <w:r w:rsidRPr="00276117">
        <w:rPr>
          <w:rFonts w:ascii="Arial" w:hAnsi="Arial" w:cs="Arial"/>
          <w:sz w:val="20"/>
          <w:szCs w:val="20"/>
        </w:rPr>
        <w:t>While chronic papilledema from sustained ICP elevation is a well-recognized complication, acute and complete vision loss as the initial and predominant symptom is a rare and severe presentation. This typically signifies profound optic nerve compromise, either from extreme compressive optic neuropathy secondary to fulminant intracranial hypertension or from direct venous ischemia or infarction of the optic nerves</w:t>
      </w:r>
      <w:r w:rsidR="001A74B8" w:rsidRPr="00276117">
        <w:rPr>
          <w:rFonts w:ascii="Arial" w:hAnsi="Arial" w:cs="Arial"/>
          <w:sz w:val="20"/>
          <w:szCs w:val="20"/>
        </w:rPr>
        <w:t xml:space="preserve"> (Purvin VA et al., 2001)</w:t>
      </w:r>
      <w:r w:rsidRPr="00276117">
        <w:rPr>
          <w:rFonts w:ascii="Arial" w:hAnsi="Arial" w:cs="Arial"/>
          <w:sz w:val="20"/>
          <w:szCs w:val="20"/>
        </w:rPr>
        <w:t>.</w:t>
      </w:r>
      <w:r w:rsidR="00524EF6">
        <w:rPr>
          <w:rFonts w:ascii="Arial" w:hAnsi="Arial" w:cs="Arial"/>
          <w:sz w:val="20"/>
          <w:szCs w:val="20"/>
        </w:rPr>
        <w:t xml:space="preserve"> </w:t>
      </w:r>
      <w:r w:rsidR="00524EF6" w:rsidRPr="00524EF6">
        <w:rPr>
          <w:rFonts w:ascii="Arial" w:hAnsi="Arial" w:cs="Arial"/>
          <w:sz w:val="20"/>
          <w:szCs w:val="20"/>
        </w:rPr>
        <w:t>Optic neuropathy can serve as an early warning sign for cerebral venous sinus thrombosis and may also indicate an underlying dural arteriovenous fistula, underscoring the need for comprehensive neurovascular evaluation in patients presenting with unexplained visual loss (Xiao and Huang, 2022).</w:t>
      </w:r>
      <w:r w:rsidRPr="00276117">
        <w:rPr>
          <w:rFonts w:ascii="Arial" w:hAnsi="Arial" w:cs="Arial"/>
          <w:sz w:val="20"/>
          <w:szCs w:val="20"/>
        </w:rPr>
        <w:t xml:space="preserve"> We present a case of a patient who presented with acute bilateral blindness, subsequently diagnosed with </w:t>
      </w:r>
      <w:r w:rsidR="00E12FA6" w:rsidRPr="00276117">
        <w:rPr>
          <w:rFonts w:ascii="Arial" w:hAnsi="Arial" w:cs="Arial"/>
          <w:sz w:val="20"/>
          <w:szCs w:val="20"/>
        </w:rPr>
        <w:t>subacute</w:t>
      </w:r>
      <w:r w:rsidRPr="00276117">
        <w:rPr>
          <w:rFonts w:ascii="Arial" w:hAnsi="Arial" w:cs="Arial"/>
          <w:sz w:val="20"/>
          <w:szCs w:val="20"/>
        </w:rPr>
        <w:t xml:space="preserve"> CVT, and discuss the diagnostic and therapeutic challenges involved.</w:t>
      </w:r>
    </w:p>
    <w:p w14:paraId="09EEDD75" w14:textId="77777777" w:rsidR="007A5668" w:rsidRPr="00276117" w:rsidRDefault="007A5668" w:rsidP="00FE6136">
      <w:pPr>
        <w:jc w:val="both"/>
        <w:rPr>
          <w:rFonts w:ascii="Arial" w:hAnsi="Arial" w:cs="Arial"/>
          <w:sz w:val="24"/>
          <w:szCs w:val="24"/>
        </w:rPr>
      </w:pPr>
    </w:p>
    <w:p w14:paraId="7762BE6B" w14:textId="77777777" w:rsidR="00B15B92" w:rsidRDefault="00B15B92" w:rsidP="00FE6136">
      <w:pPr>
        <w:jc w:val="both"/>
        <w:rPr>
          <w:rFonts w:ascii="Arial" w:hAnsi="Arial" w:cs="Arial"/>
          <w:b/>
          <w:bCs/>
          <w:szCs w:val="22"/>
        </w:rPr>
      </w:pPr>
    </w:p>
    <w:p w14:paraId="2BB28CD9" w14:textId="53FBA12B" w:rsidR="007A5668" w:rsidRPr="00276117" w:rsidRDefault="007A5668" w:rsidP="00FE6136">
      <w:pPr>
        <w:jc w:val="both"/>
        <w:rPr>
          <w:rFonts w:ascii="Arial" w:hAnsi="Arial" w:cs="Arial"/>
          <w:b/>
          <w:bCs/>
          <w:szCs w:val="22"/>
        </w:rPr>
      </w:pPr>
      <w:r w:rsidRPr="00276117">
        <w:rPr>
          <w:rFonts w:ascii="Arial" w:hAnsi="Arial" w:cs="Arial"/>
          <w:b/>
          <w:bCs/>
          <w:szCs w:val="22"/>
        </w:rPr>
        <w:lastRenderedPageBreak/>
        <w:t>CASE PRESENTATION</w:t>
      </w:r>
    </w:p>
    <w:p w14:paraId="31272A84" w14:textId="14BAF044" w:rsidR="006B1809" w:rsidRPr="00276117" w:rsidRDefault="006B1809" w:rsidP="00FE6136">
      <w:pPr>
        <w:jc w:val="both"/>
        <w:rPr>
          <w:rFonts w:ascii="Arial" w:hAnsi="Arial" w:cs="Arial"/>
          <w:sz w:val="20"/>
          <w:szCs w:val="20"/>
        </w:rPr>
      </w:pPr>
      <w:r w:rsidRPr="00276117">
        <w:rPr>
          <w:rFonts w:ascii="Arial" w:hAnsi="Arial" w:cs="Arial"/>
          <w:sz w:val="20"/>
          <w:szCs w:val="20"/>
        </w:rPr>
        <w:t xml:space="preserve">A 63-year-old male with no significant chronic illnesses and no long-term medications presented to our hospital with a chief complaint of sudden-onset, progressively worsening vision over three days, which ultimately led to complete bilateral vision loss with no perception of light. He also reported a persistent </w:t>
      </w:r>
      <w:proofErr w:type="spellStart"/>
      <w:r w:rsidRPr="00276117">
        <w:rPr>
          <w:rFonts w:ascii="Arial" w:hAnsi="Arial" w:cs="Arial"/>
          <w:sz w:val="20"/>
          <w:szCs w:val="20"/>
        </w:rPr>
        <w:t>holocranial</w:t>
      </w:r>
      <w:proofErr w:type="spellEnd"/>
      <w:r w:rsidRPr="00276117">
        <w:rPr>
          <w:rFonts w:ascii="Arial" w:hAnsi="Arial" w:cs="Arial"/>
          <w:sz w:val="20"/>
          <w:szCs w:val="20"/>
        </w:rPr>
        <w:t xml:space="preserve"> headache. His social history was significant for chronic smoking.</w:t>
      </w:r>
    </w:p>
    <w:p w14:paraId="4696E6CA" w14:textId="4DFC5AD1" w:rsidR="006B1809" w:rsidRPr="00276117" w:rsidRDefault="006B1809" w:rsidP="00FE6136">
      <w:pPr>
        <w:jc w:val="both"/>
        <w:rPr>
          <w:rFonts w:ascii="Arial" w:hAnsi="Arial" w:cs="Arial"/>
          <w:sz w:val="20"/>
          <w:szCs w:val="20"/>
        </w:rPr>
      </w:pPr>
      <w:r w:rsidRPr="00276117">
        <w:rPr>
          <w:rFonts w:ascii="Arial" w:hAnsi="Arial" w:cs="Arial"/>
          <w:sz w:val="20"/>
          <w:szCs w:val="20"/>
        </w:rPr>
        <w:t xml:space="preserve">On admission, his vital signs were within normal limits. </w:t>
      </w:r>
      <w:r w:rsidR="00464B52" w:rsidRPr="00276117">
        <w:rPr>
          <w:rFonts w:ascii="Arial" w:hAnsi="Arial" w:cs="Arial"/>
          <w:sz w:val="20"/>
          <w:szCs w:val="20"/>
        </w:rPr>
        <w:t>Aside from the complete bilateral vision loss, a general physical and systemic neurological examination revealed no other focal motor or sensory deficits.</w:t>
      </w:r>
      <w:r w:rsidRPr="00276117">
        <w:rPr>
          <w:rFonts w:ascii="Arial" w:hAnsi="Arial" w:cs="Arial"/>
          <w:sz w:val="20"/>
          <w:szCs w:val="20"/>
        </w:rPr>
        <w:t xml:space="preserve"> Given the acute and profound visual failure, an urgent ophthalmology consultation</w:t>
      </w:r>
      <w:r w:rsidR="00464B52" w:rsidRPr="00276117">
        <w:rPr>
          <w:rFonts w:ascii="Arial" w:hAnsi="Arial" w:cs="Arial"/>
          <w:sz w:val="20"/>
          <w:szCs w:val="20"/>
        </w:rPr>
        <w:t xml:space="preserve"> was sought</w:t>
      </w:r>
      <w:r w:rsidRPr="00276117">
        <w:rPr>
          <w:rFonts w:ascii="Arial" w:hAnsi="Arial" w:cs="Arial"/>
          <w:sz w:val="20"/>
          <w:szCs w:val="20"/>
        </w:rPr>
        <w:t xml:space="preserve">. Fundoscopic examination showed bilateral optic disc </w:t>
      </w:r>
      <w:proofErr w:type="spellStart"/>
      <w:r w:rsidRPr="00276117">
        <w:rPr>
          <w:rFonts w:ascii="Arial" w:hAnsi="Arial" w:cs="Arial"/>
          <w:sz w:val="20"/>
          <w:szCs w:val="20"/>
        </w:rPr>
        <w:t>hyperemia</w:t>
      </w:r>
      <w:proofErr w:type="spellEnd"/>
      <w:r w:rsidRPr="00276117">
        <w:rPr>
          <w:rFonts w:ascii="Arial" w:hAnsi="Arial" w:cs="Arial"/>
          <w:sz w:val="20"/>
          <w:szCs w:val="20"/>
        </w:rPr>
        <w:t>, with no other orbital or retinal pathology noted. To further evaluate the visual pathway, a visual evoked potential study was performed, which revealed absent P100 latency on both sides. Initial laboratory investigations, including a complete blood count and basic metabolic panel, were unremarkable.</w:t>
      </w:r>
    </w:p>
    <w:p w14:paraId="6708353B" w14:textId="55D5CFC7" w:rsidR="006B1809" w:rsidRPr="004308BF" w:rsidRDefault="006B1809" w:rsidP="00FE6136">
      <w:pPr>
        <w:jc w:val="both"/>
        <w:rPr>
          <w:rFonts w:ascii="Arial" w:hAnsi="Arial" w:cs="Arial"/>
          <w:sz w:val="20"/>
          <w:szCs w:val="20"/>
        </w:rPr>
      </w:pPr>
      <w:r w:rsidRPr="00276117">
        <w:rPr>
          <w:rFonts w:ascii="Arial" w:hAnsi="Arial" w:cs="Arial"/>
          <w:sz w:val="20"/>
          <w:szCs w:val="20"/>
        </w:rPr>
        <w:t xml:space="preserve">Because the patient’s presentation raised concern for a possible cerebrovascular event, we proceeded with neuroimaging. An MRI of the brain with dedicated orbital cuts was performed to exclude primary orbital pathology. The orbits were reported as normal, but the brain MRI revealed a central filling defect with peripheral enhancement in the venous sinus confluence, suggestive of </w:t>
      </w:r>
      <w:r w:rsidR="00464B52" w:rsidRPr="00276117">
        <w:rPr>
          <w:rFonts w:ascii="Arial" w:hAnsi="Arial" w:cs="Arial"/>
          <w:sz w:val="20"/>
          <w:szCs w:val="20"/>
        </w:rPr>
        <w:t xml:space="preserve">subacute partial </w:t>
      </w:r>
      <w:r w:rsidRPr="00276117">
        <w:rPr>
          <w:rFonts w:ascii="Arial" w:hAnsi="Arial" w:cs="Arial"/>
          <w:sz w:val="20"/>
          <w:szCs w:val="20"/>
        </w:rPr>
        <w:t xml:space="preserve">thrombosis. Involvement was also noted in the right transverse sinus, right sigmoid sinus, and right proximal internal jugular vein. </w:t>
      </w:r>
      <w:r w:rsidR="00464B52" w:rsidRPr="00276117">
        <w:rPr>
          <w:rFonts w:ascii="Arial" w:hAnsi="Arial" w:cs="Arial"/>
          <w:sz w:val="20"/>
          <w:szCs w:val="20"/>
        </w:rPr>
        <w:t xml:space="preserve">He was started on high dose </w:t>
      </w:r>
      <w:r w:rsidR="003E59D8" w:rsidRPr="00276117">
        <w:rPr>
          <w:rFonts w:ascii="Arial" w:hAnsi="Arial" w:cs="Arial"/>
          <w:sz w:val="20"/>
          <w:szCs w:val="20"/>
        </w:rPr>
        <w:t>intravenous m</w:t>
      </w:r>
      <w:r w:rsidR="00464B52" w:rsidRPr="00276117">
        <w:rPr>
          <w:rFonts w:ascii="Arial" w:hAnsi="Arial" w:cs="Arial"/>
          <w:sz w:val="20"/>
          <w:szCs w:val="20"/>
        </w:rPr>
        <w:t xml:space="preserve">ethylprednisolone </w:t>
      </w:r>
      <w:r w:rsidR="003E59D8" w:rsidRPr="00276117">
        <w:rPr>
          <w:rFonts w:ascii="Arial" w:hAnsi="Arial" w:cs="Arial"/>
          <w:sz w:val="20"/>
          <w:szCs w:val="20"/>
        </w:rPr>
        <w:t>(</w:t>
      </w:r>
      <w:r w:rsidR="00464B52" w:rsidRPr="00276117">
        <w:rPr>
          <w:rFonts w:ascii="Arial" w:hAnsi="Arial" w:cs="Arial"/>
          <w:sz w:val="20"/>
          <w:szCs w:val="20"/>
        </w:rPr>
        <w:t>1g once daily</w:t>
      </w:r>
      <w:r w:rsidR="003E59D8" w:rsidRPr="00276117">
        <w:rPr>
          <w:rFonts w:ascii="Arial" w:hAnsi="Arial" w:cs="Arial"/>
          <w:sz w:val="20"/>
          <w:szCs w:val="20"/>
        </w:rPr>
        <w:t xml:space="preserve"> x 3 days)</w:t>
      </w:r>
      <w:r w:rsidR="00464B52" w:rsidRPr="00276117">
        <w:rPr>
          <w:rFonts w:ascii="Arial" w:hAnsi="Arial" w:cs="Arial"/>
          <w:sz w:val="20"/>
          <w:szCs w:val="20"/>
        </w:rPr>
        <w:t xml:space="preserve">, for suspicion of compressive optic neuropathy. </w:t>
      </w:r>
      <w:r w:rsidR="003E59D8" w:rsidRPr="00276117">
        <w:rPr>
          <w:rFonts w:ascii="Arial" w:hAnsi="Arial" w:cs="Arial"/>
          <w:sz w:val="20"/>
          <w:szCs w:val="20"/>
        </w:rPr>
        <w:t>After two days of steroid therapy, the patient’s headache had resolved and vision improved minimally to mildly; to delineate the full extent of venous sinus involvement,  a contrast-enhanced MR venogram was performed.</w:t>
      </w:r>
      <w:r w:rsidRPr="00276117">
        <w:rPr>
          <w:rFonts w:ascii="Arial" w:hAnsi="Arial" w:cs="Arial"/>
          <w:sz w:val="20"/>
          <w:szCs w:val="20"/>
        </w:rPr>
        <w:t xml:space="preserve"> This confirmed the diagnosis of partial cerebral venous thrombosis, demonstrating non-opacification of the venous sinus confluence, the posterior part of the superior sagittal sinus, the right transverse sinus, the right sigmoid sinus, and the right proximal internal jugular vein.</w:t>
      </w:r>
      <w:r w:rsidR="004308BF">
        <w:rPr>
          <w:rFonts w:ascii="Arial" w:hAnsi="Arial" w:cs="Arial"/>
          <w:sz w:val="20"/>
          <w:szCs w:val="20"/>
        </w:rPr>
        <w:t xml:space="preserve"> </w:t>
      </w:r>
      <w:r w:rsidR="004308BF" w:rsidRPr="004308BF">
        <w:rPr>
          <w:rFonts w:ascii="Arial" w:hAnsi="Arial" w:cs="Arial"/>
          <w:sz w:val="20"/>
          <w:szCs w:val="20"/>
        </w:rPr>
        <w:t>During the course of high-dose intravenous methylprednisolone, the patient developed steroid</w:t>
      </w:r>
      <w:r w:rsidR="004308BF" w:rsidRPr="004308BF">
        <w:rPr>
          <w:rFonts w:ascii="Arial" w:hAnsi="Arial" w:cs="Arial"/>
          <w:sz w:val="20"/>
          <w:szCs w:val="20"/>
        </w:rPr>
        <w:noBreakHyphen/>
        <w:t xml:space="preserve">induced </w:t>
      </w:r>
      <w:proofErr w:type="spellStart"/>
      <w:r w:rsidR="004308BF" w:rsidRPr="004308BF">
        <w:rPr>
          <w:rFonts w:ascii="Arial" w:hAnsi="Arial" w:cs="Arial"/>
          <w:sz w:val="20"/>
          <w:szCs w:val="20"/>
        </w:rPr>
        <w:t>hyperglycemia</w:t>
      </w:r>
      <w:proofErr w:type="spellEnd"/>
      <w:r w:rsidR="004308BF" w:rsidRPr="004308BF">
        <w:rPr>
          <w:rFonts w:ascii="Arial" w:hAnsi="Arial" w:cs="Arial"/>
          <w:sz w:val="20"/>
          <w:szCs w:val="20"/>
        </w:rPr>
        <w:t xml:space="preserve">, which was managed with subcutaneous injections of human </w:t>
      </w:r>
      <w:proofErr w:type="spellStart"/>
      <w:r w:rsidR="004308BF" w:rsidRPr="004308BF">
        <w:rPr>
          <w:rFonts w:ascii="Arial" w:hAnsi="Arial" w:cs="Arial"/>
          <w:sz w:val="20"/>
          <w:szCs w:val="20"/>
        </w:rPr>
        <w:t>Actrapid</w:t>
      </w:r>
      <w:proofErr w:type="spellEnd"/>
      <w:r w:rsidR="004308BF" w:rsidRPr="004308BF">
        <w:rPr>
          <w:rFonts w:ascii="Arial" w:hAnsi="Arial" w:cs="Arial"/>
          <w:sz w:val="20"/>
          <w:szCs w:val="20"/>
        </w:rPr>
        <w:t xml:space="preserve"> insulin (regular insulin) as per the hospital's sliding scale protocol.</w:t>
      </w:r>
    </w:p>
    <w:p w14:paraId="0705DDF6" w14:textId="77777777" w:rsidR="00B15B92" w:rsidRDefault="006B1809" w:rsidP="00FE6136">
      <w:pPr>
        <w:jc w:val="both"/>
        <w:rPr>
          <w:rFonts w:ascii="Arial" w:hAnsi="Arial" w:cs="Arial"/>
          <w:sz w:val="20"/>
          <w:szCs w:val="20"/>
        </w:rPr>
      </w:pPr>
      <w:r w:rsidRPr="00276117">
        <w:rPr>
          <w:rFonts w:ascii="Arial" w:hAnsi="Arial" w:cs="Arial"/>
          <w:sz w:val="20"/>
          <w:szCs w:val="20"/>
        </w:rPr>
        <w:t>Based on these imaging findings, we initiated therapeutic anticoagulation. The patient was started on subcutaneous enoxaparin at therapeutic dosages</w:t>
      </w:r>
      <w:r w:rsidR="004308BF">
        <w:rPr>
          <w:rFonts w:ascii="Arial" w:hAnsi="Arial" w:cs="Arial"/>
          <w:sz w:val="20"/>
          <w:szCs w:val="20"/>
        </w:rPr>
        <w:t xml:space="preserve"> (60mg BD)</w:t>
      </w:r>
      <w:r w:rsidR="00464B52" w:rsidRPr="00276117">
        <w:rPr>
          <w:rFonts w:ascii="Arial" w:hAnsi="Arial" w:cs="Arial"/>
          <w:sz w:val="20"/>
          <w:szCs w:val="20"/>
        </w:rPr>
        <w:t xml:space="preserve">. </w:t>
      </w:r>
      <w:r w:rsidRPr="00276117">
        <w:rPr>
          <w:rFonts w:ascii="Arial" w:hAnsi="Arial" w:cs="Arial"/>
          <w:sz w:val="20"/>
          <w:szCs w:val="20"/>
        </w:rPr>
        <w:t xml:space="preserve"> After clinical stabilization, we transitioned the patient from enoxaparin to oral warfarin 3 mg once daily. His headache resolved, and his overall clinical status stabilized, with</w:t>
      </w:r>
      <w:r w:rsidR="00464B52" w:rsidRPr="00276117">
        <w:rPr>
          <w:rFonts w:ascii="Arial" w:hAnsi="Arial" w:cs="Arial"/>
          <w:sz w:val="20"/>
          <w:szCs w:val="20"/>
        </w:rPr>
        <w:t xml:space="preserve"> </w:t>
      </w:r>
      <w:r w:rsidRPr="00276117">
        <w:rPr>
          <w:rFonts w:ascii="Arial" w:hAnsi="Arial" w:cs="Arial"/>
          <w:sz w:val="20"/>
          <w:szCs w:val="20"/>
        </w:rPr>
        <w:t xml:space="preserve">moderate improvement in visual acuity documented during the short hospital stay. </w:t>
      </w:r>
    </w:p>
    <w:p w14:paraId="40EF0647" w14:textId="24962DEC" w:rsidR="006B1809" w:rsidRDefault="00B15B92" w:rsidP="00FE6136">
      <w:pPr>
        <w:jc w:val="both"/>
        <w:rPr>
          <w:rFonts w:ascii="Arial" w:hAnsi="Arial" w:cs="Arial"/>
          <w:sz w:val="20"/>
          <w:szCs w:val="20"/>
        </w:rPr>
      </w:pPr>
      <w:r w:rsidRPr="00B15B92">
        <w:rPr>
          <w:rFonts w:ascii="Arial" w:hAnsi="Arial" w:cs="Arial"/>
          <w:sz w:val="20"/>
          <w:szCs w:val="20"/>
        </w:rPr>
        <w:t>After clinical stabilization, the patient’s headache had completely resolved and visual function had improved moderately. In the absence of persistent symptoms or signs of intracranial hypertension, the treating team decided against performing a lumbar puncture, as it would not have altered the ongoing management. The patient was discharged on warfarin with instructions for regular INR monitoring, along with an oral prednisolone taper (50 mg once daily for 7 days, then 20 mg once daily for 3 days).</w:t>
      </w:r>
    </w:p>
    <w:tbl>
      <w:tblPr>
        <w:tblStyle w:val="TableGrid"/>
        <w:tblW w:w="9087" w:type="dxa"/>
        <w:tblLook w:val="04A0" w:firstRow="1" w:lastRow="0" w:firstColumn="1" w:lastColumn="0" w:noHBand="0" w:noVBand="1"/>
      </w:tblPr>
      <w:tblGrid>
        <w:gridCol w:w="1798"/>
        <w:gridCol w:w="1938"/>
        <w:gridCol w:w="1678"/>
        <w:gridCol w:w="1876"/>
        <w:gridCol w:w="1797"/>
      </w:tblGrid>
      <w:tr w:rsidR="004308BF" w14:paraId="2B3CFABB" w14:textId="77777777" w:rsidTr="004308BF">
        <w:trPr>
          <w:trHeight w:val="506"/>
        </w:trPr>
        <w:tc>
          <w:tcPr>
            <w:tcW w:w="1798" w:type="dxa"/>
          </w:tcPr>
          <w:p w14:paraId="4AD267B3" w14:textId="77777777" w:rsidR="004308BF" w:rsidRDefault="004308BF" w:rsidP="00FE6136">
            <w:pPr>
              <w:jc w:val="both"/>
              <w:rPr>
                <w:rFonts w:ascii="Arial" w:hAnsi="Arial" w:cs="Arial"/>
                <w:sz w:val="20"/>
                <w:szCs w:val="20"/>
              </w:rPr>
            </w:pPr>
          </w:p>
        </w:tc>
        <w:tc>
          <w:tcPr>
            <w:tcW w:w="1938" w:type="dxa"/>
          </w:tcPr>
          <w:p w14:paraId="04E12954" w14:textId="6C0E3E06" w:rsidR="004308BF" w:rsidRDefault="004308BF" w:rsidP="00FE6136">
            <w:pPr>
              <w:jc w:val="both"/>
              <w:rPr>
                <w:rFonts w:ascii="Arial" w:hAnsi="Arial" w:cs="Arial"/>
                <w:sz w:val="20"/>
                <w:szCs w:val="20"/>
              </w:rPr>
            </w:pPr>
            <w:r>
              <w:rPr>
                <w:rFonts w:ascii="Arial" w:hAnsi="Arial" w:cs="Arial"/>
                <w:sz w:val="20"/>
                <w:szCs w:val="20"/>
              </w:rPr>
              <w:t>TOTAL COUNTS (cells/mm³)</w:t>
            </w:r>
          </w:p>
        </w:tc>
        <w:tc>
          <w:tcPr>
            <w:tcW w:w="1678" w:type="dxa"/>
          </w:tcPr>
          <w:p w14:paraId="74D4131B" w14:textId="7BE1262F" w:rsidR="004308BF" w:rsidRDefault="004308BF" w:rsidP="00FE6136">
            <w:pPr>
              <w:jc w:val="both"/>
              <w:rPr>
                <w:rFonts w:ascii="Arial" w:hAnsi="Arial" w:cs="Arial"/>
                <w:sz w:val="20"/>
                <w:szCs w:val="20"/>
              </w:rPr>
            </w:pPr>
            <w:r>
              <w:rPr>
                <w:rFonts w:ascii="Arial" w:hAnsi="Arial" w:cs="Arial"/>
                <w:sz w:val="20"/>
                <w:szCs w:val="20"/>
              </w:rPr>
              <w:t>FBS (mg/dl)</w:t>
            </w:r>
          </w:p>
        </w:tc>
        <w:tc>
          <w:tcPr>
            <w:tcW w:w="1876" w:type="dxa"/>
          </w:tcPr>
          <w:p w14:paraId="4E76F777" w14:textId="3517EFA2" w:rsidR="004308BF" w:rsidRDefault="004308BF" w:rsidP="00FE6136">
            <w:pPr>
              <w:jc w:val="both"/>
              <w:rPr>
                <w:rFonts w:ascii="Arial" w:hAnsi="Arial" w:cs="Arial"/>
                <w:sz w:val="20"/>
                <w:szCs w:val="20"/>
              </w:rPr>
            </w:pPr>
            <w:r>
              <w:rPr>
                <w:rFonts w:ascii="Arial" w:hAnsi="Arial" w:cs="Arial"/>
                <w:sz w:val="20"/>
                <w:szCs w:val="20"/>
              </w:rPr>
              <w:t xml:space="preserve">D DIMER </w:t>
            </w:r>
          </w:p>
          <w:p w14:paraId="4CFB3330" w14:textId="4CF3F5DC" w:rsidR="00B15B92" w:rsidRDefault="00B15B92" w:rsidP="00FE6136">
            <w:pPr>
              <w:jc w:val="both"/>
              <w:rPr>
                <w:rFonts w:ascii="Arial" w:hAnsi="Arial" w:cs="Arial"/>
                <w:sz w:val="20"/>
                <w:szCs w:val="20"/>
              </w:rPr>
            </w:pPr>
            <w:r>
              <w:rPr>
                <w:rFonts w:ascii="Arial" w:hAnsi="Arial" w:cs="Arial"/>
                <w:sz w:val="20"/>
                <w:szCs w:val="20"/>
              </w:rPr>
              <w:t>(&lt;250ng/ml)</w:t>
            </w:r>
          </w:p>
        </w:tc>
        <w:tc>
          <w:tcPr>
            <w:tcW w:w="1797" w:type="dxa"/>
          </w:tcPr>
          <w:p w14:paraId="5BE790B4" w14:textId="55295320" w:rsidR="004308BF" w:rsidRDefault="004308BF" w:rsidP="00FE6136">
            <w:pPr>
              <w:jc w:val="both"/>
              <w:rPr>
                <w:rFonts w:ascii="Arial" w:hAnsi="Arial" w:cs="Arial"/>
                <w:sz w:val="20"/>
                <w:szCs w:val="20"/>
              </w:rPr>
            </w:pPr>
            <w:r>
              <w:rPr>
                <w:rFonts w:ascii="Arial" w:hAnsi="Arial" w:cs="Arial"/>
                <w:sz w:val="20"/>
                <w:szCs w:val="20"/>
              </w:rPr>
              <w:t>INR</w:t>
            </w:r>
          </w:p>
        </w:tc>
      </w:tr>
      <w:tr w:rsidR="004308BF" w14:paraId="3D7E21FC" w14:textId="77777777" w:rsidTr="004308BF">
        <w:trPr>
          <w:trHeight w:val="253"/>
        </w:trPr>
        <w:tc>
          <w:tcPr>
            <w:tcW w:w="1798" w:type="dxa"/>
          </w:tcPr>
          <w:p w14:paraId="5D6BA0FD" w14:textId="129028E0" w:rsidR="004308BF" w:rsidRDefault="004308BF" w:rsidP="00FE6136">
            <w:pPr>
              <w:jc w:val="both"/>
              <w:rPr>
                <w:rFonts w:ascii="Arial" w:hAnsi="Arial" w:cs="Arial"/>
                <w:sz w:val="20"/>
                <w:szCs w:val="20"/>
              </w:rPr>
            </w:pPr>
            <w:r>
              <w:rPr>
                <w:rFonts w:ascii="Arial" w:hAnsi="Arial" w:cs="Arial"/>
                <w:sz w:val="20"/>
                <w:szCs w:val="20"/>
              </w:rPr>
              <w:t>DAY 1 (Steroids started)</w:t>
            </w:r>
          </w:p>
        </w:tc>
        <w:tc>
          <w:tcPr>
            <w:tcW w:w="1938" w:type="dxa"/>
          </w:tcPr>
          <w:p w14:paraId="050BE793" w14:textId="64BB00A9" w:rsidR="004308BF" w:rsidRDefault="004308BF" w:rsidP="00FE6136">
            <w:pPr>
              <w:jc w:val="both"/>
              <w:rPr>
                <w:rFonts w:ascii="Arial" w:hAnsi="Arial" w:cs="Arial"/>
                <w:sz w:val="20"/>
                <w:szCs w:val="20"/>
              </w:rPr>
            </w:pPr>
            <w:r>
              <w:rPr>
                <w:rFonts w:ascii="Arial" w:hAnsi="Arial" w:cs="Arial"/>
                <w:sz w:val="20"/>
                <w:szCs w:val="20"/>
              </w:rPr>
              <w:t>14800</w:t>
            </w:r>
          </w:p>
        </w:tc>
        <w:tc>
          <w:tcPr>
            <w:tcW w:w="1678" w:type="dxa"/>
          </w:tcPr>
          <w:p w14:paraId="71B8E0F4" w14:textId="49A33418" w:rsidR="004308BF" w:rsidRDefault="004308BF" w:rsidP="00FE6136">
            <w:pPr>
              <w:jc w:val="both"/>
              <w:rPr>
                <w:rFonts w:ascii="Arial" w:hAnsi="Arial" w:cs="Arial"/>
                <w:sz w:val="20"/>
                <w:szCs w:val="20"/>
              </w:rPr>
            </w:pPr>
            <w:r>
              <w:rPr>
                <w:rFonts w:ascii="Arial" w:hAnsi="Arial" w:cs="Arial"/>
                <w:sz w:val="20"/>
                <w:szCs w:val="20"/>
              </w:rPr>
              <w:t>145</w:t>
            </w:r>
          </w:p>
        </w:tc>
        <w:tc>
          <w:tcPr>
            <w:tcW w:w="1876" w:type="dxa"/>
          </w:tcPr>
          <w:p w14:paraId="34BFA7D4" w14:textId="06EDF411" w:rsidR="004308BF" w:rsidRDefault="004308BF" w:rsidP="00FE6136">
            <w:pPr>
              <w:jc w:val="both"/>
              <w:rPr>
                <w:rFonts w:ascii="Arial" w:hAnsi="Arial" w:cs="Arial"/>
                <w:sz w:val="20"/>
                <w:szCs w:val="20"/>
              </w:rPr>
            </w:pPr>
          </w:p>
        </w:tc>
        <w:tc>
          <w:tcPr>
            <w:tcW w:w="1797" w:type="dxa"/>
          </w:tcPr>
          <w:p w14:paraId="3796370C" w14:textId="77777777" w:rsidR="004308BF" w:rsidRDefault="004308BF" w:rsidP="00FE6136">
            <w:pPr>
              <w:jc w:val="both"/>
              <w:rPr>
                <w:rFonts w:ascii="Arial" w:hAnsi="Arial" w:cs="Arial"/>
                <w:sz w:val="20"/>
                <w:szCs w:val="20"/>
              </w:rPr>
            </w:pPr>
          </w:p>
        </w:tc>
      </w:tr>
      <w:tr w:rsidR="004308BF" w14:paraId="07832E8F" w14:textId="77777777" w:rsidTr="004308BF">
        <w:trPr>
          <w:trHeight w:val="253"/>
        </w:trPr>
        <w:tc>
          <w:tcPr>
            <w:tcW w:w="1798" w:type="dxa"/>
          </w:tcPr>
          <w:p w14:paraId="2AEA8DE0" w14:textId="6B393272" w:rsidR="004308BF" w:rsidRDefault="004308BF" w:rsidP="00FE6136">
            <w:pPr>
              <w:jc w:val="both"/>
              <w:rPr>
                <w:rFonts w:ascii="Arial" w:hAnsi="Arial" w:cs="Arial"/>
                <w:sz w:val="20"/>
                <w:szCs w:val="20"/>
              </w:rPr>
            </w:pPr>
            <w:r>
              <w:rPr>
                <w:rFonts w:ascii="Arial" w:hAnsi="Arial" w:cs="Arial"/>
                <w:sz w:val="20"/>
                <w:szCs w:val="20"/>
              </w:rPr>
              <w:t>DAY 3 (LMWH started)</w:t>
            </w:r>
          </w:p>
        </w:tc>
        <w:tc>
          <w:tcPr>
            <w:tcW w:w="1938" w:type="dxa"/>
          </w:tcPr>
          <w:p w14:paraId="03518F3D" w14:textId="4999F959" w:rsidR="004308BF" w:rsidRDefault="004308BF" w:rsidP="00FE6136">
            <w:pPr>
              <w:jc w:val="both"/>
              <w:rPr>
                <w:rFonts w:ascii="Arial" w:hAnsi="Arial" w:cs="Arial"/>
                <w:sz w:val="20"/>
                <w:szCs w:val="20"/>
              </w:rPr>
            </w:pPr>
          </w:p>
        </w:tc>
        <w:tc>
          <w:tcPr>
            <w:tcW w:w="1678" w:type="dxa"/>
          </w:tcPr>
          <w:p w14:paraId="3AC3B215" w14:textId="5CCAE679" w:rsidR="004308BF" w:rsidRDefault="004308BF" w:rsidP="00FE6136">
            <w:pPr>
              <w:jc w:val="both"/>
              <w:rPr>
                <w:rFonts w:ascii="Arial" w:hAnsi="Arial" w:cs="Arial"/>
                <w:sz w:val="20"/>
                <w:szCs w:val="20"/>
              </w:rPr>
            </w:pPr>
            <w:r>
              <w:rPr>
                <w:rFonts w:ascii="Arial" w:hAnsi="Arial" w:cs="Arial"/>
                <w:sz w:val="20"/>
                <w:szCs w:val="20"/>
              </w:rPr>
              <w:t>226</w:t>
            </w:r>
          </w:p>
        </w:tc>
        <w:tc>
          <w:tcPr>
            <w:tcW w:w="1876" w:type="dxa"/>
          </w:tcPr>
          <w:p w14:paraId="6AF0C7DC" w14:textId="5C9AD3FE" w:rsidR="004308BF" w:rsidRDefault="004308BF" w:rsidP="00FE6136">
            <w:pPr>
              <w:jc w:val="both"/>
              <w:rPr>
                <w:rFonts w:ascii="Arial" w:hAnsi="Arial" w:cs="Arial"/>
                <w:sz w:val="20"/>
                <w:szCs w:val="20"/>
              </w:rPr>
            </w:pPr>
            <w:r>
              <w:rPr>
                <w:rFonts w:ascii="Arial" w:hAnsi="Arial" w:cs="Arial"/>
                <w:sz w:val="20"/>
                <w:szCs w:val="20"/>
              </w:rPr>
              <w:t>329</w:t>
            </w:r>
          </w:p>
        </w:tc>
        <w:tc>
          <w:tcPr>
            <w:tcW w:w="1797" w:type="dxa"/>
          </w:tcPr>
          <w:p w14:paraId="323045AD" w14:textId="4B09F39A" w:rsidR="004308BF" w:rsidRDefault="004308BF" w:rsidP="00FE6136">
            <w:pPr>
              <w:jc w:val="both"/>
              <w:rPr>
                <w:rFonts w:ascii="Arial" w:hAnsi="Arial" w:cs="Arial"/>
                <w:sz w:val="20"/>
                <w:szCs w:val="20"/>
              </w:rPr>
            </w:pPr>
            <w:r>
              <w:rPr>
                <w:rFonts w:ascii="Arial" w:hAnsi="Arial" w:cs="Arial"/>
                <w:sz w:val="20"/>
                <w:szCs w:val="20"/>
              </w:rPr>
              <w:t>1.09</w:t>
            </w:r>
          </w:p>
        </w:tc>
      </w:tr>
      <w:tr w:rsidR="004308BF" w14:paraId="41F512C1" w14:textId="77777777" w:rsidTr="004308BF">
        <w:trPr>
          <w:trHeight w:val="253"/>
        </w:trPr>
        <w:tc>
          <w:tcPr>
            <w:tcW w:w="1798" w:type="dxa"/>
          </w:tcPr>
          <w:p w14:paraId="4E9DD015" w14:textId="2DD271D6" w:rsidR="004308BF" w:rsidRDefault="004308BF" w:rsidP="00FE6136">
            <w:pPr>
              <w:jc w:val="both"/>
              <w:rPr>
                <w:rFonts w:ascii="Arial" w:hAnsi="Arial" w:cs="Arial"/>
                <w:sz w:val="20"/>
                <w:szCs w:val="20"/>
              </w:rPr>
            </w:pPr>
            <w:r>
              <w:rPr>
                <w:rFonts w:ascii="Arial" w:hAnsi="Arial" w:cs="Arial"/>
                <w:sz w:val="20"/>
                <w:szCs w:val="20"/>
              </w:rPr>
              <w:t>DAY 5 (Bridged to oral warfarin)</w:t>
            </w:r>
          </w:p>
        </w:tc>
        <w:tc>
          <w:tcPr>
            <w:tcW w:w="1938" w:type="dxa"/>
          </w:tcPr>
          <w:p w14:paraId="17448EF2" w14:textId="77777777" w:rsidR="004308BF" w:rsidRDefault="004308BF" w:rsidP="00FE6136">
            <w:pPr>
              <w:jc w:val="both"/>
              <w:rPr>
                <w:rFonts w:ascii="Arial" w:hAnsi="Arial" w:cs="Arial"/>
                <w:sz w:val="20"/>
                <w:szCs w:val="20"/>
              </w:rPr>
            </w:pPr>
          </w:p>
        </w:tc>
        <w:tc>
          <w:tcPr>
            <w:tcW w:w="1678" w:type="dxa"/>
          </w:tcPr>
          <w:p w14:paraId="3A2CE589" w14:textId="4B51B294" w:rsidR="004308BF" w:rsidRDefault="004308BF" w:rsidP="00FE6136">
            <w:pPr>
              <w:jc w:val="both"/>
              <w:rPr>
                <w:rFonts w:ascii="Arial" w:hAnsi="Arial" w:cs="Arial"/>
                <w:sz w:val="20"/>
                <w:szCs w:val="20"/>
              </w:rPr>
            </w:pPr>
            <w:r>
              <w:rPr>
                <w:rFonts w:ascii="Arial" w:hAnsi="Arial" w:cs="Arial"/>
                <w:sz w:val="20"/>
                <w:szCs w:val="20"/>
              </w:rPr>
              <w:t>132</w:t>
            </w:r>
          </w:p>
        </w:tc>
        <w:tc>
          <w:tcPr>
            <w:tcW w:w="1876" w:type="dxa"/>
          </w:tcPr>
          <w:p w14:paraId="3C2CA12C" w14:textId="00939E4F" w:rsidR="004308BF" w:rsidRDefault="004308BF" w:rsidP="00FE6136">
            <w:pPr>
              <w:jc w:val="both"/>
              <w:rPr>
                <w:rFonts w:ascii="Arial" w:hAnsi="Arial" w:cs="Arial"/>
                <w:sz w:val="20"/>
                <w:szCs w:val="20"/>
              </w:rPr>
            </w:pPr>
          </w:p>
        </w:tc>
        <w:tc>
          <w:tcPr>
            <w:tcW w:w="1797" w:type="dxa"/>
          </w:tcPr>
          <w:p w14:paraId="172FE4DC" w14:textId="3C460FF9" w:rsidR="004308BF" w:rsidRDefault="004308BF" w:rsidP="00FE6136">
            <w:pPr>
              <w:jc w:val="both"/>
              <w:rPr>
                <w:rFonts w:ascii="Arial" w:hAnsi="Arial" w:cs="Arial"/>
                <w:sz w:val="20"/>
                <w:szCs w:val="20"/>
              </w:rPr>
            </w:pPr>
            <w:r>
              <w:rPr>
                <w:rFonts w:ascii="Arial" w:hAnsi="Arial" w:cs="Arial"/>
                <w:sz w:val="20"/>
                <w:szCs w:val="20"/>
              </w:rPr>
              <w:t>0.98</w:t>
            </w:r>
          </w:p>
        </w:tc>
      </w:tr>
    </w:tbl>
    <w:p w14:paraId="4B6EF5CC" w14:textId="1C53C00E" w:rsidR="00AB1C7A" w:rsidRPr="00276117" w:rsidRDefault="00B15B92" w:rsidP="00FE6136">
      <w:pPr>
        <w:jc w:val="both"/>
        <w:rPr>
          <w:rFonts w:ascii="Arial" w:hAnsi="Arial" w:cs="Arial"/>
          <w:sz w:val="20"/>
          <w:szCs w:val="20"/>
        </w:rPr>
      </w:pPr>
      <w:r>
        <w:rPr>
          <w:rFonts w:ascii="Arial" w:hAnsi="Arial" w:cs="Arial"/>
          <w:sz w:val="20"/>
          <w:szCs w:val="20"/>
        </w:rPr>
        <w:t>Table 1: Lab investigations during hospitalization.</w:t>
      </w:r>
    </w:p>
    <w:p w14:paraId="62D0015F" w14:textId="77777777" w:rsidR="00D9212D" w:rsidRPr="00276117" w:rsidRDefault="00D9212D" w:rsidP="00FE6136">
      <w:pPr>
        <w:jc w:val="both"/>
        <w:rPr>
          <w:rFonts w:ascii="Arial" w:hAnsi="Arial" w:cs="Arial"/>
          <w:sz w:val="24"/>
          <w:szCs w:val="24"/>
        </w:rPr>
      </w:pPr>
    </w:p>
    <w:p w14:paraId="51A7AEA2" w14:textId="1C8D8052" w:rsidR="007A5668" w:rsidRPr="00276117" w:rsidRDefault="007A5668" w:rsidP="00FE6136">
      <w:pPr>
        <w:jc w:val="both"/>
        <w:rPr>
          <w:rFonts w:ascii="Arial" w:hAnsi="Arial" w:cs="Arial"/>
          <w:b/>
          <w:bCs/>
          <w:szCs w:val="22"/>
        </w:rPr>
      </w:pPr>
      <w:r w:rsidRPr="00276117">
        <w:rPr>
          <w:rFonts w:ascii="Arial" w:hAnsi="Arial" w:cs="Arial"/>
          <w:b/>
          <w:bCs/>
          <w:szCs w:val="22"/>
        </w:rPr>
        <w:t>DISCUSSION</w:t>
      </w:r>
    </w:p>
    <w:p w14:paraId="338D40F7" w14:textId="57B9143A"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This case illustrates </w:t>
      </w:r>
      <w:r w:rsidR="00E12FA6" w:rsidRPr="00276117">
        <w:rPr>
          <w:rFonts w:ascii="Arial" w:hAnsi="Arial" w:cs="Arial"/>
          <w:sz w:val="20"/>
          <w:szCs w:val="20"/>
        </w:rPr>
        <w:t>the</w:t>
      </w:r>
      <w:r w:rsidRPr="00276117">
        <w:rPr>
          <w:rFonts w:ascii="Arial" w:hAnsi="Arial" w:cs="Arial"/>
          <w:sz w:val="20"/>
          <w:szCs w:val="20"/>
        </w:rPr>
        <w:t xml:space="preserve"> atypical presentation of cerebral venous thrombosis, where acute bilateral blindness was the dominant clinical feature. The absence of more common focal neurological deficits </w:t>
      </w:r>
      <w:r w:rsidRPr="00276117">
        <w:rPr>
          <w:rFonts w:ascii="Arial" w:hAnsi="Arial" w:cs="Arial"/>
          <w:sz w:val="20"/>
          <w:szCs w:val="20"/>
        </w:rPr>
        <w:lastRenderedPageBreak/>
        <w:t xml:space="preserve">made the initial diagnosis challenging, reinforcing the necessity for a high index of suspicion for CVT in patients presenting with unexplained headache and profound visual symptoms </w:t>
      </w:r>
      <w:r w:rsidR="001A74B8" w:rsidRPr="00276117">
        <w:rPr>
          <w:rFonts w:ascii="Arial" w:hAnsi="Arial" w:cs="Arial"/>
          <w:sz w:val="20"/>
          <w:szCs w:val="20"/>
        </w:rPr>
        <w:t>(Kato Y et al</w:t>
      </w:r>
      <w:r w:rsidR="00B855FB" w:rsidRPr="00276117">
        <w:rPr>
          <w:rFonts w:ascii="Arial" w:hAnsi="Arial" w:cs="Arial"/>
          <w:sz w:val="20"/>
          <w:szCs w:val="20"/>
        </w:rPr>
        <w:t>.</w:t>
      </w:r>
      <w:r w:rsidR="001A74B8" w:rsidRPr="00276117">
        <w:rPr>
          <w:rFonts w:ascii="Arial" w:hAnsi="Arial" w:cs="Arial"/>
          <w:sz w:val="20"/>
          <w:szCs w:val="20"/>
        </w:rPr>
        <w:t>, 2016).</w:t>
      </w:r>
      <w:r w:rsidR="00AB1C7A">
        <w:rPr>
          <w:rFonts w:ascii="Arial" w:hAnsi="Arial" w:cs="Arial"/>
          <w:sz w:val="20"/>
          <w:szCs w:val="20"/>
        </w:rPr>
        <w:t xml:space="preserve"> </w:t>
      </w:r>
      <w:r w:rsidR="00AB1C7A" w:rsidRPr="00AB1C7A">
        <w:rPr>
          <w:rFonts w:ascii="Arial" w:hAnsi="Arial" w:cs="Arial"/>
          <w:sz w:val="20"/>
          <w:szCs w:val="20"/>
        </w:rPr>
        <w:t> Similar to our findings, isolated visual symptoms may be the sole initial manifestation of CVT, and visual loss in CVT can be acute and severe, often out of proportion to other neurological signs (Kato et al., 2016; Purvin et al., 2001). Moreover, optic neuropathy in the setting of cerebral venous sinus thrombosis may coexist with or precede the diagnosis of a dural arteriovenous fistula, a potentially treatable cause of venous hypertension, reinforcing the importance of considering both CVT and underlying fistulae when optic neuropathy is the presenting feature, even in the absence of typical headache or focal deficits (Xiao and Huang, 2022).</w:t>
      </w:r>
    </w:p>
    <w:p w14:paraId="75E994CE" w14:textId="6E415376" w:rsidR="00FE6136" w:rsidRDefault="00FE6136" w:rsidP="00FE6136">
      <w:pPr>
        <w:jc w:val="both"/>
        <w:rPr>
          <w:rFonts w:ascii="Arial" w:hAnsi="Arial" w:cs="Arial"/>
          <w:sz w:val="20"/>
          <w:szCs w:val="20"/>
        </w:rPr>
      </w:pPr>
      <w:r w:rsidRPr="00276117">
        <w:rPr>
          <w:rFonts w:ascii="Arial" w:hAnsi="Arial" w:cs="Arial"/>
          <w:sz w:val="20"/>
          <w:szCs w:val="20"/>
        </w:rPr>
        <w:t xml:space="preserve">The pathophysiology of acute visual failure in this case is likely multifactorial. First, extensive thrombosis of the posterior superior sagittal sinus and the venous sinus confluence </w:t>
      </w:r>
      <w:proofErr w:type="gramStart"/>
      <w:r w:rsidRPr="00276117">
        <w:rPr>
          <w:rFonts w:ascii="Arial" w:hAnsi="Arial" w:cs="Arial"/>
          <w:sz w:val="20"/>
          <w:szCs w:val="20"/>
        </w:rPr>
        <w:t>impairs</w:t>
      </w:r>
      <w:proofErr w:type="gramEnd"/>
      <w:r w:rsidRPr="00276117">
        <w:rPr>
          <w:rFonts w:ascii="Arial" w:hAnsi="Arial" w:cs="Arial"/>
          <w:sz w:val="20"/>
          <w:szCs w:val="20"/>
        </w:rPr>
        <w:t xml:space="preserve"> cerebral venous drainage, leading to fulminant intracranial hypertension. This elevated pressure is transmitted to the optic nerve sheaths, causing compressive optic neuropathy and disc </w:t>
      </w:r>
      <w:proofErr w:type="spellStart"/>
      <w:r w:rsidRPr="00276117">
        <w:rPr>
          <w:rFonts w:ascii="Arial" w:hAnsi="Arial" w:cs="Arial"/>
          <w:sz w:val="20"/>
          <w:szCs w:val="20"/>
        </w:rPr>
        <w:t>edema</w:t>
      </w:r>
      <w:proofErr w:type="spellEnd"/>
      <w:r w:rsidRPr="00276117">
        <w:rPr>
          <w:rFonts w:ascii="Arial" w:hAnsi="Arial" w:cs="Arial"/>
          <w:sz w:val="20"/>
          <w:szCs w:val="20"/>
        </w:rPr>
        <w:t xml:space="preserve"> — clinically evident as bilateral disc </w:t>
      </w:r>
      <w:proofErr w:type="spellStart"/>
      <w:r w:rsidRPr="00276117">
        <w:rPr>
          <w:rFonts w:ascii="Arial" w:hAnsi="Arial" w:cs="Arial"/>
          <w:sz w:val="20"/>
          <w:szCs w:val="20"/>
        </w:rPr>
        <w:t>hyperemi</w:t>
      </w:r>
      <w:r w:rsidR="001A74B8" w:rsidRPr="00276117">
        <w:rPr>
          <w:rFonts w:ascii="Arial" w:hAnsi="Arial" w:cs="Arial"/>
          <w:sz w:val="20"/>
          <w:szCs w:val="20"/>
        </w:rPr>
        <w:t>a</w:t>
      </w:r>
      <w:proofErr w:type="spellEnd"/>
      <w:r w:rsidR="001A74B8" w:rsidRPr="00276117">
        <w:rPr>
          <w:rFonts w:ascii="Arial" w:hAnsi="Arial" w:cs="Arial"/>
          <w:sz w:val="20"/>
          <w:szCs w:val="20"/>
        </w:rPr>
        <w:t xml:space="preserve"> (Hayreh SS, 2016)</w:t>
      </w:r>
      <w:r w:rsidRPr="00276117">
        <w:rPr>
          <w:rFonts w:ascii="Arial" w:hAnsi="Arial" w:cs="Arial"/>
          <w:sz w:val="20"/>
          <w:szCs w:val="20"/>
        </w:rPr>
        <w:t>.</w:t>
      </w:r>
      <w:r w:rsidR="001A74B8" w:rsidRPr="00276117">
        <w:rPr>
          <w:rFonts w:ascii="Arial" w:hAnsi="Arial" w:cs="Arial"/>
          <w:sz w:val="20"/>
          <w:szCs w:val="20"/>
        </w:rPr>
        <w:t xml:space="preserve"> </w:t>
      </w:r>
      <w:r w:rsidRPr="00276117">
        <w:rPr>
          <w:rFonts w:ascii="Arial" w:hAnsi="Arial" w:cs="Arial"/>
          <w:sz w:val="20"/>
          <w:szCs w:val="20"/>
        </w:rPr>
        <w:t xml:space="preserve">Second, thrombosis involving the transverse and sigmoid sinuses may directly compromise the venous drainage of the optic nerves themselves, resulting in ischemic optic neuropathy independent of elevated intracranial pressure. The rapid onset of complete blindness with no light perception, rather than gradual visual decline, </w:t>
      </w:r>
      <w:proofErr w:type="spellStart"/>
      <w:r w:rsidRPr="00276117">
        <w:rPr>
          <w:rFonts w:ascii="Arial" w:hAnsi="Arial" w:cs="Arial"/>
          <w:sz w:val="20"/>
          <w:szCs w:val="20"/>
        </w:rPr>
        <w:t>favors</w:t>
      </w:r>
      <w:proofErr w:type="spellEnd"/>
      <w:r w:rsidRPr="00276117">
        <w:rPr>
          <w:rFonts w:ascii="Arial" w:hAnsi="Arial" w:cs="Arial"/>
          <w:sz w:val="20"/>
          <w:szCs w:val="20"/>
        </w:rPr>
        <w:t xml:space="preserve"> a significant ischemic component. The normal orbital MRI effectively ruled out primary optic neuritis or other intrinsic optic nerve pathologies.</w:t>
      </w:r>
    </w:p>
    <w:p w14:paraId="57E263D9" w14:textId="3A82F598" w:rsidR="00D63CB1" w:rsidRPr="00D63CB1" w:rsidRDefault="00D63CB1" w:rsidP="00FE6136">
      <w:pPr>
        <w:jc w:val="both"/>
        <w:rPr>
          <w:rFonts w:ascii="Arial" w:hAnsi="Arial" w:cs="Arial"/>
          <w:sz w:val="20"/>
          <w:szCs w:val="20"/>
        </w:rPr>
      </w:pPr>
      <w:r w:rsidRPr="00D63CB1">
        <w:rPr>
          <w:rFonts w:ascii="Arial" w:hAnsi="Arial" w:cs="Arial"/>
          <w:sz w:val="20"/>
          <w:szCs w:val="20"/>
        </w:rPr>
        <w:t>In our patient, as in the cases reported by Kato et al. (2016) and Purvin et al. (2001), visual failure was disproportionately severe compared to other neurological symptoms. Unlike some previously described patients who had unilateral or transient visual loss, our patient progressed rapidly to complete bilateral blindness with no light perception, highlighting the potential for devastating visual outcomes in CVT. Similar to the patient described by Xiao and Huang (2022), optic neuropathy was the dominant presenting feature, but our case did not have an associated dural arteriovenous fistula on MR venography.</w:t>
      </w:r>
    </w:p>
    <w:p w14:paraId="70BFB2E5" w14:textId="1B1A7D6D" w:rsidR="00B855FB" w:rsidRDefault="005409E9" w:rsidP="00FE6136">
      <w:pPr>
        <w:jc w:val="both"/>
        <w:rPr>
          <w:rFonts w:ascii="Arial" w:hAnsi="Arial" w:cs="Arial"/>
          <w:sz w:val="20"/>
          <w:szCs w:val="20"/>
        </w:rPr>
      </w:pPr>
      <w:r w:rsidRPr="005409E9">
        <w:rPr>
          <w:rFonts w:ascii="Arial" w:hAnsi="Arial" w:cs="Arial"/>
          <w:sz w:val="20"/>
          <w:szCs w:val="20"/>
        </w:rPr>
        <w:t xml:space="preserve">The diagnosis was supported by clinical findings of complete bilateral vision loss with no light perception, bilateral disc </w:t>
      </w:r>
      <w:proofErr w:type="spellStart"/>
      <w:r w:rsidRPr="005409E9">
        <w:rPr>
          <w:rFonts w:ascii="Arial" w:hAnsi="Arial" w:cs="Arial"/>
          <w:sz w:val="20"/>
          <w:szCs w:val="20"/>
        </w:rPr>
        <w:t>hyperemia</w:t>
      </w:r>
      <w:proofErr w:type="spellEnd"/>
      <w:r w:rsidRPr="005409E9">
        <w:rPr>
          <w:rFonts w:ascii="Arial" w:hAnsi="Arial" w:cs="Arial"/>
          <w:sz w:val="20"/>
          <w:szCs w:val="20"/>
        </w:rPr>
        <w:t xml:space="preserve"> on fundoscopy, absent P100 latency on visual evoked potentials, and neuroimaging (MRI and MRV) confirming partial thrombosis of the venous sinuses and jugular vein. </w:t>
      </w:r>
      <w:r w:rsidR="007A5668" w:rsidRPr="00276117">
        <w:rPr>
          <w:rFonts w:ascii="Arial" w:hAnsi="Arial" w:cs="Arial"/>
          <w:sz w:val="20"/>
          <w:szCs w:val="20"/>
        </w:rPr>
        <w:t>The treatment strategy was appropriately multifaceted. Anticoagulation with heparin, followed by vitamin K antagonists</w:t>
      </w:r>
      <w:r w:rsidR="001A74B8" w:rsidRPr="00276117">
        <w:rPr>
          <w:rFonts w:ascii="Arial" w:hAnsi="Arial" w:cs="Arial"/>
          <w:sz w:val="20"/>
          <w:szCs w:val="20"/>
        </w:rPr>
        <w:t xml:space="preserve"> (Coutinho JM et al.</w:t>
      </w:r>
      <w:r w:rsidR="007A5668" w:rsidRPr="00276117">
        <w:rPr>
          <w:rFonts w:ascii="Arial" w:hAnsi="Arial" w:cs="Arial"/>
          <w:sz w:val="20"/>
          <w:szCs w:val="20"/>
        </w:rPr>
        <w:t>,</w:t>
      </w:r>
      <w:r w:rsidR="001A74B8" w:rsidRPr="00276117">
        <w:rPr>
          <w:rFonts w:ascii="Arial" w:hAnsi="Arial" w:cs="Arial"/>
          <w:sz w:val="20"/>
          <w:szCs w:val="20"/>
        </w:rPr>
        <w:t xml:space="preserve"> 2011)</w:t>
      </w:r>
      <w:r w:rsidR="007A5668" w:rsidRPr="00276117">
        <w:rPr>
          <w:rFonts w:ascii="Arial" w:hAnsi="Arial" w:cs="Arial"/>
          <w:sz w:val="20"/>
          <w:szCs w:val="20"/>
        </w:rPr>
        <w:t xml:space="preserve"> remains the cornerstone of CVT management, as it prevents thrombus propagation and promotes recanalization, even in the presence of </w:t>
      </w:r>
      <w:proofErr w:type="spellStart"/>
      <w:r w:rsidR="007A5668" w:rsidRPr="00276117">
        <w:rPr>
          <w:rFonts w:ascii="Arial" w:hAnsi="Arial" w:cs="Arial"/>
          <w:sz w:val="20"/>
          <w:szCs w:val="20"/>
        </w:rPr>
        <w:t>hemorrhagic</w:t>
      </w:r>
      <w:proofErr w:type="spellEnd"/>
      <w:r w:rsidR="007A5668" w:rsidRPr="00276117">
        <w:rPr>
          <w:rFonts w:ascii="Arial" w:hAnsi="Arial" w:cs="Arial"/>
          <w:sz w:val="20"/>
          <w:szCs w:val="20"/>
        </w:rPr>
        <w:t xml:space="preserve"> venous infarcts </w:t>
      </w:r>
      <w:r w:rsidR="00723B2F" w:rsidRPr="00276117">
        <w:rPr>
          <w:rFonts w:ascii="Arial" w:hAnsi="Arial" w:cs="Arial"/>
          <w:sz w:val="20"/>
          <w:szCs w:val="20"/>
        </w:rPr>
        <w:t>(Ferro JM et al.,</w:t>
      </w:r>
      <w:r w:rsidR="001A74B8" w:rsidRPr="00276117">
        <w:rPr>
          <w:rFonts w:ascii="Arial" w:hAnsi="Arial" w:cs="Arial"/>
          <w:sz w:val="20"/>
          <w:szCs w:val="20"/>
        </w:rPr>
        <w:t xml:space="preserve"> 2017)</w:t>
      </w:r>
      <w:r w:rsidR="00B855FB" w:rsidRPr="00276117">
        <w:rPr>
          <w:rFonts w:ascii="Arial" w:hAnsi="Arial" w:cs="Arial"/>
          <w:sz w:val="20"/>
          <w:szCs w:val="20"/>
        </w:rPr>
        <w:t xml:space="preserve">. </w:t>
      </w:r>
      <w:r w:rsidR="007A5668" w:rsidRPr="00276117">
        <w:rPr>
          <w:rFonts w:ascii="Arial" w:hAnsi="Arial" w:cs="Arial"/>
          <w:sz w:val="20"/>
          <w:szCs w:val="20"/>
        </w:rPr>
        <w:t xml:space="preserve">The addition of high-dose corticosteroids is not a standard recommendation for all CVT cases. However, in this specific scenario with acute, severe vision loss and objective evidence of optic neuropathy (disc </w:t>
      </w:r>
      <w:proofErr w:type="spellStart"/>
      <w:r w:rsidR="007A5668" w:rsidRPr="00276117">
        <w:rPr>
          <w:rFonts w:ascii="Arial" w:hAnsi="Arial" w:cs="Arial"/>
          <w:sz w:val="20"/>
          <w:szCs w:val="20"/>
        </w:rPr>
        <w:t>hyperemia</w:t>
      </w:r>
      <w:proofErr w:type="spellEnd"/>
      <w:r w:rsidR="007A5668" w:rsidRPr="00276117">
        <w:rPr>
          <w:rFonts w:ascii="Arial" w:hAnsi="Arial" w:cs="Arial"/>
          <w:sz w:val="20"/>
          <w:szCs w:val="20"/>
        </w:rPr>
        <w:t xml:space="preserve">), a short course of steroids was employed as a therapeutic trial to reduce vasogenic </w:t>
      </w:r>
      <w:proofErr w:type="spellStart"/>
      <w:r w:rsidR="007A5668" w:rsidRPr="00276117">
        <w:rPr>
          <w:rFonts w:ascii="Arial" w:hAnsi="Arial" w:cs="Arial"/>
          <w:sz w:val="20"/>
          <w:szCs w:val="20"/>
        </w:rPr>
        <w:t>edema</w:t>
      </w:r>
      <w:proofErr w:type="spellEnd"/>
      <w:r w:rsidR="007A5668" w:rsidRPr="00276117">
        <w:rPr>
          <w:rFonts w:ascii="Arial" w:hAnsi="Arial" w:cs="Arial"/>
          <w:sz w:val="20"/>
          <w:szCs w:val="20"/>
        </w:rPr>
        <w:t xml:space="preserve"> and inflammation of the optic nerve, potentially salvaging neuronal function </w:t>
      </w:r>
      <w:r w:rsidR="00723B2F" w:rsidRPr="00276117">
        <w:rPr>
          <w:rFonts w:ascii="Arial" w:hAnsi="Arial" w:cs="Arial"/>
          <w:sz w:val="20"/>
          <w:szCs w:val="20"/>
        </w:rPr>
        <w:t>(</w:t>
      </w:r>
      <w:r w:rsidR="00723B2F" w:rsidRPr="00723B2F">
        <w:rPr>
          <w:rFonts w:ascii="Arial" w:hAnsi="Arial" w:cs="Arial"/>
          <w:sz w:val="20"/>
          <w:szCs w:val="20"/>
        </w:rPr>
        <w:t>Ko</w:t>
      </w:r>
      <w:r w:rsidR="00723B2F" w:rsidRPr="00276117">
        <w:rPr>
          <w:rFonts w:ascii="Arial" w:hAnsi="Arial" w:cs="Arial"/>
          <w:sz w:val="20"/>
          <w:szCs w:val="20"/>
        </w:rPr>
        <w:t xml:space="preserve"> </w:t>
      </w:r>
      <w:r w:rsidR="00723B2F" w:rsidRPr="00723B2F">
        <w:rPr>
          <w:rFonts w:ascii="Arial" w:hAnsi="Arial" w:cs="Arial"/>
          <w:sz w:val="20"/>
          <w:szCs w:val="20"/>
        </w:rPr>
        <w:t>M. W</w:t>
      </w:r>
      <w:r w:rsidR="00723B2F" w:rsidRPr="00276117">
        <w:rPr>
          <w:rFonts w:ascii="Arial" w:hAnsi="Arial" w:cs="Arial"/>
          <w:sz w:val="20"/>
          <w:szCs w:val="20"/>
        </w:rPr>
        <w:t xml:space="preserve"> et al., 2017).</w:t>
      </w:r>
      <w:r>
        <w:rPr>
          <w:rFonts w:ascii="Arial" w:hAnsi="Arial" w:cs="Arial"/>
          <w:sz w:val="20"/>
          <w:szCs w:val="20"/>
        </w:rPr>
        <w:t xml:space="preserve"> </w:t>
      </w:r>
      <w:r w:rsidRPr="005409E9">
        <w:rPr>
          <w:rFonts w:ascii="Arial" w:hAnsi="Arial" w:cs="Arial"/>
          <w:sz w:val="20"/>
          <w:szCs w:val="20"/>
        </w:rPr>
        <w:t>These data firmly support the conclusion that CVT must be considered in patients presenting with acute profound vision loss, and that prompt diagnosis via MR Venography followed by early anticoagulation is beneficial.</w:t>
      </w:r>
    </w:p>
    <w:p w14:paraId="62887D97" w14:textId="73007184" w:rsidR="00D63CB1" w:rsidRPr="00D63CB1" w:rsidRDefault="001531C8" w:rsidP="00D63CB1">
      <w:pPr>
        <w:jc w:val="both"/>
        <w:rPr>
          <w:rFonts w:ascii="Arial" w:hAnsi="Arial" w:cs="Arial"/>
          <w:sz w:val="24"/>
          <w:szCs w:val="24"/>
        </w:rPr>
      </w:pPr>
      <w:r w:rsidRPr="001531C8">
        <w:rPr>
          <w:rFonts w:ascii="Arial" w:hAnsi="Arial" w:cs="Arial"/>
          <w:sz w:val="20"/>
          <w:szCs w:val="20"/>
        </w:rPr>
        <w:t xml:space="preserve">This case report has several limitations. First, the degree of visual recovery was modest and documented over a short hospital stay; long-term outcomes are not available. Second, </w:t>
      </w:r>
      <w:r w:rsidR="00B15B92">
        <w:rPr>
          <w:rFonts w:ascii="Arial" w:hAnsi="Arial" w:cs="Arial"/>
          <w:sz w:val="20"/>
          <w:szCs w:val="20"/>
        </w:rPr>
        <w:t>w</w:t>
      </w:r>
      <w:r w:rsidR="00B15B92" w:rsidRPr="00B15B92">
        <w:rPr>
          <w:rFonts w:ascii="Arial" w:hAnsi="Arial" w:cs="Arial"/>
          <w:sz w:val="20"/>
          <w:szCs w:val="20"/>
        </w:rPr>
        <w:t>e acknowledge that in selected cases with persistent papilledema or progressive visual loss despite adequate anticoagulation, a lumbar puncture and subsequent addition of acetazolamide may be considered. However, in our patient, the clinical course did not support such intervention</w:t>
      </w:r>
      <w:r w:rsidRPr="001531C8">
        <w:rPr>
          <w:rFonts w:ascii="Arial" w:hAnsi="Arial" w:cs="Arial"/>
          <w:sz w:val="20"/>
          <w:szCs w:val="20"/>
        </w:rPr>
        <w:t>. Third, due to  financial constraints, only a screening MRI and MRV were performed, and the images were available only in video format; therefore, static image figures could not be included in this report. Despite this, the radiology report and the treating team’s review of the dynamic images confirmed the diagnosis.</w:t>
      </w:r>
    </w:p>
    <w:p w14:paraId="09DE0DD7" w14:textId="5C2D3789" w:rsidR="007A5668" w:rsidRPr="00276117" w:rsidRDefault="007A5668" w:rsidP="00FE6136">
      <w:pPr>
        <w:jc w:val="both"/>
        <w:rPr>
          <w:rFonts w:ascii="Arial" w:hAnsi="Arial" w:cs="Arial"/>
          <w:b/>
          <w:bCs/>
          <w:szCs w:val="22"/>
        </w:rPr>
      </w:pPr>
      <w:r w:rsidRPr="00276117">
        <w:rPr>
          <w:rFonts w:ascii="Arial" w:hAnsi="Arial" w:cs="Arial"/>
          <w:b/>
          <w:bCs/>
          <w:szCs w:val="22"/>
        </w:rPr>
        <w:t>CONCLUSION</w:t>
      </w:r>
    </w:p>
    <w:p w14:paraId="06BDC003" w14:textId="65D0E027"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This case report highlights cerebral venous thrombosis as a critical, though uncommon, </w:t>
      </w:r>
      <w:proofErr w:type="spellStart"/>
      <w:r w:rsidRPr="00276117">
        <w:rPr>
          <w:rFonts w:ascii="Arial" w:hAnsi="Arial" w:cs="Arial"/>
          <w:sz w:val="20"/>
          <w:szCs w:val="20"/>
        </w:rPr>
        <w:t>etiology</w:t>
      </w:r>
      <w:proofErr w:type="spellEnd"/>
      <w:r w:rsidRPr="00276117">
        <w:rPr>
          <w:rFonts w:ascii="Arial" w:hAnsi="Arial" w:cs="Arial"/>
          <w:sz w:val="20"/>
          <w:szCs w:val="20"/>
        </w:rPr>
        <w:t xml:space="preserve"> of acute, severe vision loss. It emphasizes the necessity for clinicians to maintain a high index of suspicion for CVT in patients presenting with headache and unexplained visual failure. Early diagnosis through MR Venography is paramount. Prompt initiation of anticoagulation remains the mainstay of therapy, and </w:t>
      </w:r>
      <w:r w:rsidRPr="00276117">
        <w:rPr>
          <w:rFonts w:ascii="Arial" w:hAnsi="Arial" w:cs="Arial"/>
          <w:sz w:val="20"/>
          <w:szCs w:val="20"/>
        </w:rPr>
        <w:lastRenderedPageBreak/>
        <w:t xml:space="preserve">in selected cases with evidence of optic nerve compromise, a short course of corticosteroids may be considered. </w:t>
      </w:r>
    </w:p>
    <w:p w14:paraId="465C9396" w14:textId="77777777" w:rsidR="0046632D" w:rsidRPr="0046632D" w:rsidRDefault="0046632D" w:rsidP="0046632D">
      <w:pPr>
        <w:pStyle w:val="NoSpacing"/>
        <w:rPr>
          <w:rFonts w:ascii="Arial" w:hAnsi="Arial" w:cs="Arial"/>
          <w:b/>
          <w:bCs/>
          <w:lang w:val="en-IN"/>
        </w:rPr>
      </w:pPr>
      <w:bookmarkStart w:id="0" w:name="_Hlk198031404"/>
      <w:r w:rsidRPr="0046632D">
        <w:rPr>
          <w:rFonts w:ascii="Arial" w:hAnsi="Arial" w:cs="Arial"/>
          <w:b/>
          <w:bCs/>
          <w:lang w:val="en-IN"/>
        </w:rPr>
        <w:t xml:space="preserve">Consent </w:t>
      </w:r>
    </w:p>
    <w:p w14:paraId="792CEC47" w14:textId="6896BD21" w:rsidR="002C47F8" w:rsidRDefault="0046632D" w:rsidP="0046632D">
      <w:pPr>
        <w:pStyle w:val="NoSpacing"/>
        <w:rPr>
          <w:rFonts w:ascii="Arial" w:hAnsi="Arial" w:cs="Arial"/>
          <w:lang w:val="en-IN"/>
        </w:rPr>
      </w:pPr>
      <w:r w:rsidRPr="0046632D">
        <w:rPr>
          <w:rFonts w:ascii="Arial" w:hAnsi="Arial" w:cs="Arial"/>
          <w:lang w:val="en-IN"/>
        </w:rPr>
        <w:t>As per international standards or university standards, patient(s) written consent has been collected and preserved by the author(s).</w:t>
      </w:r>
    </w:p>
    <w:p w14:paraId="582B2109" w14:textId="77777777" w:rsidR="0046632D" w:rsidRDefault="0046632D" w:rsidP="0046632D">
      <w:pPr>
        <w:pStyle w:val="NoSpacing"/>
        <w:rPr>
          <w:rFonts w:ascii="Arial" w:hAnsi="Arial" w:cs="Arial"/>
          <w:highlight w:val="yellow"/>
          <w:lang w:val="en-IN"/>
        </w:rPr>
      </w:pPr>
    </w:p>
    <w:bookmarkEnd w:id="0"/>
    <w:p w14:paraId="2FC0A3C8" w14:textId="1DF99296" w:rsidR="00D13531" w:rsidRPr="002C47F8" w:rsidRDefault="002C47F8" w:rsidP="00D13531">
      <w:pPr>
        <w:jc w:val="both"/>
        <w:rPr>
          <w:rFonts w:ascii="Arial" w:hAnsi="Arial" w:cs="Arial"/>
          <w:b/>
          <w:bCs/>
          <w:szCs w:val="22"/>
        </w:rPr>
      </w:pPr>
      <w:r w:rsidRPr="002C47F8">
        <w:rPr>
          <w:rFonts w:ascii="Arial" w:hAnsi="Arial" w:cs="Arial"/>
          <w:b/>
          <w:bCs/>
          <w:szCs w:val="22"/>
        </w:rPr>
        <w:t>ACKNOWLEDGEMENT</w:t>
      </w:r>
    </w:p>
    <w:p w14:paraId="6BB4C51A" w14:textId="41509DD4" w:rsidR="002C47F8" w:rsidRDefault="002C47F8" w:rsidP="00D13531">
      <w:pPr>
        <w:jc w:val="both"/>
        <w:rPr>
          <w:rFonts w:ascii="Arial" w:hAnsi="Arial" w:cs="Arial"/>
          <w:sz w:val="20"/>
          <w:szCs w:val="20"/>
        </w:rPr>
      </w:pPr>
      <w:r>
        <w:rPr>
          <w:rFonts w:ascii="Arial" w:hAnsi="Arial" w:cs="Arial"/>
          <w:sz w:val="20"/>
          <w:szCs w:val="20"/>
        </w:rPr>
        <w:t>The author(s) would like to thank Department of Neurology, Lourde’s Hospital and St. Joseph’s College of Pharmacy for their support and encouragement throughout this period.</w:t>
      </w:r>
    </w:p>
    <w:p w14:paraId="6E215803" w14:textId="77777777" w:rsidR="0046632D" w:rsidRDefault="0046632D" w:rsidP="00D13531">
      <w:pPr>
        <w:jc w:val="both"/>
        <w:rPr>
          <w:rFonts w:ascii="Arial" w:hAnsi="Arial" w:cs="Arial"/>
          <w:sz w:val="20"/>
          <w:szCs w:val="20"/>
        </w:rPr>
      </w:pPr>
    </w:p>
    <w:p w14:paraId="2579F966" w14:textId="77777777" w:rsidR="0046632D" w:rsidRPr="0046632D" w:rsidRDefault="0046632D" w:rsidP="0046632D">
      <w:pPr>
        <w:jc w:val="both"/>
        <w:rPr>
          <w:rFonts w:ascii="Arial" w:hAnsi="Arial" w:cs="Arial"/>
          <w:b/>
          <w:bCs/>
          <w:sz w:val="20"/>
          <w:szCs w:val="20"/>
        </w:rPr>
      </w:pPr>
      <w:r w:rsidRPr="0046632D">
        <w:rPr>
          <w:rFonts w:ascii="Arial" w:hAnsi="Arial" w:cs="Arial"/>
          <w:b/>
          <w:bCs/>
          <w:sz w:val="20"/>
          <w:szCs w:val="20"/>
        </w:rPr>
        <w:t>Disclaimer (Artificial intelligence)</w:t>
      </w:r>
    </w:p>
    <w:p w14:paraId="2CEDC583" w14:textId="5F6F3BFF" w:rsidR="0046632D" w:rsidRPr="00276117" w:rsidRDefault="0046632D" w:rsidP="0046632D">
      <w:pPr>
        <w:jc w:val="both"/>
        <w:rPr>
          <w:rFonts w:ascii="Arial" w:hAnsi="Arial" w:cs="Arial"/>
          <w:sz w:val="20"/>
          <w:szCs w:val="20"/>
        </w:rPr>
      </w:pPr>
      <w:r w:rsidRPr="0046632D">
        <w:rPr>
          <w:rFonts w:ascii="Arial" w:hAnsi="Arial" w:cs="Arial"/>
          <w:sz w:val="20"/>
          <w:szCs w:val="20"/>
        </w:rPr>
        <w:t xml:space="preserve">Author(s) hereby </w:t>
      </w:r>
      <w:proofErr w:type="gramStart"/>
      <w:r w:rsidRPr="0046632D">
        <w:rPr>
          <w:rFonts w:ascii="Arial" w:hAnsi="Arial" w:cs="Arial"/>
          <w:sz w:val="20"/>
          <w:szCs w:val="20"/>
        </w:rPr>
        <w:t>declare</w:t>
      </w:r>
      <w:proofErr w:type="gramEnd"/>
      <w:r w:rsidRPr="0046632D">
        <w:rPr>
          <w:rFonts w:ascii="Arial" w:hAnsi="Arial" w:cs="Arial"/>
          <w:sz w:val="20"/>
          <w:szCs w:val="20"/>
        </w:rPr>
        <w:t xml:space="preserve"> that NO generative AI technologies such as Large Language Models (ChatGPT, COPILOT, etc.) and text-to-image generators have been used during the writing or editing of this manuscript.</w:t>
      </w:r>
    </w:p>
    <w:p w14:paraId="23BF94DE" w14:textId="77777777" w:rsidR="00D13531" w:rsidRPr="00276117" w:rsidRDefault="00D13531" w:rsidP="00D13531">
      <w:pPr>
        <w:jc w:val="both"/>
        <w:rPr>
          <w:rFonts w:ascii="Arial" w:hAnsi="Arial" w:cs="Arial"/>
          <w:sz w:val="24"/>
          <w:szCs w:val="24"/>
        </w:rPr>
      </w:pPr>
    </w:p>
    <w:p w14:paraId="11C7BFB1" w14:textId="66B62569" w:rsidR="00723B2F" w:rsidRPr="00276117" w:rsidRDefault="007A5668" w:rsidP="00FE6136">
      <w:pPr>
        <w:jc w:val="both"/>
        <w:rPr>
          <w:rFonts w:ascii="Arial" w:hAnsi="Arial" w:cs="Arial"/>
          <w:b/>
          <w:bCs/>
          <w:szCs w:val="22"/>
        </w:rPr>
      </w:pPr>
      <w:r w:rsidRPr="00276117">
        <w:rPr>
          <w:rFonts w:ascii="Arial" w:hAnsi="Arial" w:cs="Arial"/>
          <w:b/>
          <w:bCs/>
          <w:szCs w:val="22"/>
        </w:rPr>
        <w:t>REFERENCES</w:t>
      </w:r>
    </w:p>
    <w:p w14:paraId="20A159D3" w14:textId="29A94502" w:rsidR="00723B2F" w:rsidRPr="0046632D" w:rsidRDefault="00723B2F" w:rsidP="0046632D">
      <w:pPr>
        <w:pStyle w:val="ListParagraph"/>
        <w:numPr>
          <w:ilvl w:val="0"/>
          <w:numId w:val="3"/>
        </w:numPr>
        <w:jc w:val="both"/>
        <w:rPr>
          <w:rFonts w:ascii="Arial" w:hAnsi="Arial" w:cs="Arial"/>
          <w:sz w:val="20"/>
          <w:szCs w:val="20"/>
        </w:rPr>
      </w:pPr>
      <w:proofErr w:type="spellStart"/>
      <w:r w:rsidRPr="0046632D">
        <w:rPr>
          <w:rFonts w:ascii="Arial" w:hAnsi="Arial" w:cs="Arial"/>
          <w:sz w:val="20"/>
          <w:szCs w:val="20"/>
        </w:rPr>
        <w:t>Bousser</w:t>
      </w:r>
      <w:proofErr w:type="spellEnd"/>
      <w:r w:rsidRPr="0046632D">
        <w:rPr>
          <w:rFonts w:ascii="Arial" w:hAnsi="Arial" w:cs="Arial"/>
          <w:sz w:val="20"/>
          <w:szCs w:val="20"/>
        </w:rPr>
        <w:t xml:space="preserve"> M. G, &amp; Ferro J. M. (2007). Cerebral venous thrombosis: An update. </w:t>
      </w:r>
      <w:r w:rsidRPr="0046632D">
        <w:rPr>
          <w:rFonts w:ascii="Arial" w:hAnsi="Arial" w:cs="Arial"/>
          <w:i/>
          <w:iCs/>
          <w:sz w:val="20"/>
          <w:szCs w:val="20"/>
        </w:rPr>
        <w:t>The</w:t>
      </w:r>
      <w:r w:rsidR="00276117" w:rsidRPr="0046632D">
        <w:rPr>
          <w:rFonts w:ascii="Arial" w:hAnsi="Arial" w:cs="Arial"/>
          <w:i/>
          <w:iCs/>
          <w:sz w:val="20"/>
          <w:szCs w:val="20"/>
        </w:rPr>
        <w:t xml:space="preserve"> </w:t>
      </w:r>
      <w:r w:rsidRPr="0046632D">
        <w:rPr>
          <w:rFonts w:ascii="Arial" w:hAnsi="Arial" w:cs="Arial"/>
          <w:i/>
          <w:iCs/>
          <w:sz w:val="20"/>
          <w:szCs w:val="20"/>
        </w:rPr>
        <w:t>Lancet Neurology</w:t>
      </w:r>
      <w:r w:rsidRPr="0046632D">
        <w:rPr>
          <w:rFonts w:ascii="Arial" w:hAnsi="Arial" w:cs="Arial"/>
          <w:sz w:val="20"/>
          <w:szCs w:val="20"/>
        </w:rPr>
        <w:t>, 6(2), 162-170.</w:t>
      </w:r>
    </w:p>
    <w:p w14:paraId="68FFA4F4" w14:textId="16513D7E" w:rsidR="00723B2F" w:rsidRPr="0046632D" w:rsidRDefault="00723B2F" w:rsidP="0046632D">
      <w:pPr>
        <w:pStyle w:val="ListParagraph"/>
        <w:numPr>
          <w:ilvl w:val="0"/>
          <w:numId w:val="3"/>
        </w:numPr>
        <w:jc w:val="both"/>
        <w:rPr>
          <w:rFonts w:ascii="Arial" w:hAnsi="Arial" w:cs="Arial"/>
          <w:sz w:val="20"/>
          <w:szCs w:val="20"/>
        </w:rPr>
      </w:pPr>
      <w:r w:rsidRPr="0046632D">
        <w:rPr>
          <w:rFonts w:ascii="Arial" w:hAnsi="Arial" w:cs="Arial"/>
          <w:sz w:val="20"/>
          <w:szCs w:val="20"/>
        </w:rPr>
        <w:t xml:space="preserve">Coutinho J. M, </w:t>
      </w:r>
      <w:proofErr w:type="spellStart"/>
      <w:r w:rsidRPr="0046632D">
        <w:rPr>
          <w:rFonts w:ascii="Arial" w:hAnsi="Arial" w:cs="Arial"/>
          <w:sz w:val="20"/>
          <w:szCs w:val="20"/>
        </w:rPr>
        <w:t>deBruijn</w:t>
      </w:r>
      <w:proofErr w:type="spellEnd"/>
      <w:r w:rsidRPr="0046632D">
        <w:rPr>
          <w:rFonts w:ascii="Arial" w:hAnsi="Arial" w:cs="Arial"/>
          <w:sz w:val="20"/>
          <w:szCs w:val="20"/>
        </w:rPr>
        <w:t xml:space="preserve"> S. F, </w:t>
      </w:r>
      <w:proofErr w:type="spellStart"/>
      <w:r w:rsidRPr="0046632D">
        <w:rPr>
          <w:rFonts w:ascii="Arial" w:hAnsi="Arial" w:cs="Arial"/>
          <w:sz w:val="20"/>
          <w:szCs w:val="20"/>
        </w:rPr>
        <w:t>deVeber</w:t>
      </w:r>
      <w:proofErr w:type="spellEnd"/>
      <w:r w:rsidRPr="0046632D">
        <w:rPr>
          <w:rFonts w:ascii="Arial" w:hAnsi="Arial" w:cs="Arial"/>
          <w:sz w:val="20"/>
          <w:szCs w:val="20"/>
        </w:rPr>
        <w:t xml:space="preserve"> G, &amp; Stam J. (2011). Anticoagulation for cerebral venous sinus thrombosis. </w:t>
      </w:r>
      <w:r w:rsidRPr="0046632D">
        <w:rPr>
          <w:rFonts w:ascii="Arial" w:hAnsi="Arial" w:cs="Arial"/>
          <w:i/>
          <w:iCs/>
          <w:sz w:val="20"/>
          <w:szCs w:val="20"/>
        </w:rPr>
        <w:t>Cochrane Database of Systematic Reviews</w:t>
      </w:r>
      <w:r w:rsidRPr="0046632D">
        <w:rPr>
          <w:rFonts w:ascii="Arial" w:hAnsi="Arial" w:cs="Arial"/>
          <w:sz w:val="20"/>
          <w:szCs w:val="20"/>
        </w:rPr>
        <w:t>, (8), CD002005.</w:t>
      </w:r>
    </w:p>
    <w:p w14:paraId="32681269" w14:textId="7833B203" w:rsidR="00723B2F" w:rsidRPr="0046632D" w:rsidRDefault="00723B2F" w:rsidP="0046632D">
      <w:pPr>
        <w:pStyle w:val="ListParagraph"/>
        <w:numPr>
          <w:ilvl w:val="0"/>
          <w:numId w:val="3"/>
        </w:numPr>
        <w:jc w:val="both"/>
        <w:rPr>
          <w:rFonts w:ascii="Arial" w:hAnsi="Arial" w:cs="Arial"/>
          <w:sz w:val="20"/>
          <w:szCs w:val="20"/>
        </w:rPr>
      </w:pPr>
      <w:proofErr w:type="spellStart"/>
      <w:r w:rsidRPr="0046632D">
        <w:rPr>
          <w:rFonts w:ascii="Arial" w:hAnsi="Arial" w:cs="Arial"/>
          <w:sz w:val="20"/>
          <w:szCs w:val="20"/>
        </w:rPr>
        <w:t>Einhäupl</w:t>
      </w:r>
      <w:proofErr w:type="spellEnd"/>
      <w:r w:rsidRPr="0046632D">
        <w:rPr>
          <w:rFonts w:ascii="Arial" w:hAnsi="Arial" w:cs="Arial"/>
          <w:sz w:val="20"/>
          <w:szCs w:val="20"/>
        </w:rPr>
        <w:t xml:space="preserve"> K, Stam J, </w:t>
      </w:r>
      <w:proofErr w:type="spellStart"/>
      <w:r w:rsidRPr="0046632D">
        <w:rPr>
          <w:rFonts w:ascii="Arial" w:hAnsi="Arial" w:cs="Arial"/>
          <w:sz w:val="20"/>
          <w:szCs w:val="20"/>
        </w:rPr>
        <w:t>Bousser</w:t>
      </w:r>
      <w:proofErr w:type="spellEnd"/>
      <w:r w:rsidRPr="0046632D">
        <w:rPr>
          <w:rFonts w:ascii="Arial" w:hAnsi="Arial" w:cs="Arial"/>
          <w:sz w:val="20"/>
          <w:szCs w:val="20"/>
        </w:rPr>
        <w:t xml:space="preserve"> M. G, De Bruijn S. F, Ferro J. M, Martinelli I., &amp; </w:t>
      </w:r>
      <w:proofErr w:type="spellStart"/>
      <w:r w:rsidRPr="0046632D">
        <w:rPr>
          <w:rFonts w:ascii="Arial" w:hAnsi="Arial" w:cs="Arial"/>
          <w:sz w:val="20"/>
          <w:szCs w:val="20"/>
        </w:rPr>
        <w:t>Masuhr</w:t>
      </w:r>
      <w:proofErr w:type="spellEnd"/>
      <w:r w:rsidRPr="0046632D">
        <w:rPr>
          <w:rFonts w:ascii="Arial" w:hAnsi="Arial" w:cs="Arial"/>
          <w:sz w:val="20"/>
          <w:szCs w:val="20"/>
        </w:rPr>
        <w:t xml:space="preserve"> F. (2006). EFNS guideline on the treatment of cerebral venous and sinus thrombosis in adult patients. </w:t>
      </w:r>
      <w:r w:rsidRPr="0046632D">
        <w:rPr>
          <w:rFonts w:ascii="Arial" w:hAnsi="Arial" w:cs="Arial"/>
          <w:i/>
          <w:iCs/>
          <w:sz w:val="20"/>
          <w:szCs w:val="20"/>
        </w:rPr>
        <w:t>European Journal of Neurology</w:t>
      </w:r>
      <w:r w:rsidRPr="0046632D">
        <w:rPr>
          <w:rFonts w:ascii="Arial" w:hAnsi="Arial" w:cs="Arial"/>
          <w:sz w:val="20"/>
          <w:szCs w:val="20"/>
        </w:rPr>
        <w:t>, 13(6), 553-559.</w:t>
      </w:r>
    </w:p>
    <w:p w14:paraId="7317495E" w14:textId="3E935CD2" w:rsidR="00AF6152" w:rsidRPr="0046632D" w:rsidRDefault="00723B2F" w:rsidP="0046632D">
      <w:pPr>
        <w:pStyle w:val="ListParagraph"/>
        <w:numPr>
          <w:ilvl w:val="0"/>
          <w:numId w:val="3"/>
        </w:numPr>
        <w:jc w:val="both"/>
        <w:rPr>
          <w:rFonts w:ascii="Times New Roman" w:eastAsia="Times New Roman" w:hAnsi="Times New Roman" w:cs="Times New Roman"/>
          <w:kern w:val="0"/>
          <w:szCs w:val="22"/>
          <w:lang w:val="en-US" w:eastAsia="el-GR" w:bidi="ar-SA"/>
          <w14:ligatures w14:val="none"/>
        </w:rPr>
      </w:pPr>
      <w:r w:rsidRPr="0046632D">
        <w:rPr>
          <w:rFonts w:ascii="Arial" w:hAnsi="Arial" w:cs="Arial"/>
          <w:sz w:val="20"/>
          <w:szCs w:val="20"/>
        </w:rPr>
        <w:t xml:space="preserve">Ferro J. M., </w:t>
      </w:r>
      <w:proofErr w:type="spellStart"/>
      <w:r w:rsidRPr="0046632D">
        <w:rPr>
          <w:rFonts w:ascii="Arial" w:hAnsi="Arial" w:cs="Arial"/>
          <w:sz w:val="20"/>
          <w:szCs w:val="20"/>
        </w:rPr>
        <w:t>Bousser</w:t>
      </w:r>
      <w:proofErr w:type="spellEnd"/>
      <w:r w:rsidRPr="0046632D">
        <w:rPr>
          <w:rFonts w:ascii="Arial" w:hAnsi="Arial" w:cs="Arial"/>
          <w:sz w:val="20"/>
          <w:szCs w:val="20"/>
        </w:rPr>
        <w:t xml:space="preserve"> M. G., Canhão P., Coutinho J. M., </w:t>
      </w:r>
      <w:proofErr w:type="spellStart"/>
      <w:r w:rsidRPr="0046632D">
        <w:rPr>
          <w:rFonts w:ascii="Arial" w:hAnsi="Arial" w:cs="Arial"/>
          <w:sz w:val="20"/>
          <w:szCs w:val="20"/>
        </w:rPr>
        <w:t>Crassard</w:t>
      </w:r>
      <w:proofErr w:type="spellEnd"/>
      <w:r w:rsidRPr="0046632D">
        <w:rPr>
          <w:rFonts w:ascii="Arial" w:hAnsi="Arial" w:cs="Arial"/>
          <w:sz w:val="20"/>
          <w:szCs w:val="20"/>
        </w:rPr>
        <w:t xml:space="preserve"> I., </w:t>
      </w:r>
      <w:proofErr w:type="spellStart"/>
      <w:r w:rsidRPr="0046632D">
        <w:rPr>
          <w:rFonts w:ascii="Arial" w:hAnsi="Arial" w:cs="Arial"/>
          <w:sz w:val="20"/>
          <w:szCs w:val="20"/>
        </w:rPr>
        <w:t>Dentali</w:t>
      </w:r>
      <w:proofErr w:type="spellEnd"/>
      <w:r w:rsidRPr="0046632D">
        <w:rPr>
          <w:rFonts w:ascii="Arial" w:hAnsi="Arial" w:cs="Arial"/>
          <w:sz w:val="20"/>
          <w:szCs w:val="20"/>
        </w:rPr>
        <w:t xml:space="preserve"> F., et al. (2017). European Stroke Organization guideline for the diagnosis and treatment of cerebral venous thrombosis – endorsed by the European Academy of Neurology.</w:t>
      </w:r>
      <w:r w:rsidR="00B15B92" w:rsidRPr="0046632D">
        <w:rPr>
          <w:rFonts w:ascii="Arial" w:hAnsi="Arial" w:cs="Arial"/>
          <w:sz w:val="20"/>
          <w:szCs w:val="20"/>
          <w:lang w:val="en-US"/>
        </w:rPr>
        <w:t xml:space="preserve"> </w:t>
      </w:r>
      <w:r w:rsidR="00B15B92" w:rsidRPr="0046632D">
        <w:rPr>
          <w:rFonts w:ascii="Arial" w:hAnsi="Arial" w:cs="Arial"/>
          <w:i/>
          <w:iCs/>
          <w:sz w:val="20"/>
          <w:szCs w:val="20"/>
          <w:lang w:val="en-US"/>
        </w:rPr>
        <w:t>European Journal of Neurology</w:t>
      </w:r>
      <w:r w:rsidRPr="0046632D">
        <w:rPr>
          <w:rFonts w:ascii="Arial" w:hAnsi="Arial" w:cs="Arial"/>
          <w:sz w:val="20"/>
          <w:szCs w:val="20"/>
        </w:rPr>
        <w:t>, 2(3), 195-221.</w:t>
      </w:r>
      <w:r w:rsidR="00AF6152" w:rsidRPr="0046632D">
        <w:rPr>
          <w:rFonts w:ascii="Times New Roman" w:eastAsia="Times New Roman" w:hAnsi="Times New Roman" w:cs="Times New Roman"/>
          <w:kern w:val="0"/>
          <w:szCs w:val="22"/>
          <w:lang w:val="en-US" w:eastAsia="el-GR" w:bidi="ar-SA"/>
          <w14:ligatures w14:val="none"/>
        </w:rPr>
        <w:t xml:space="preserve"> </w:t>
      </w:r>
    </w:p>
    <w:p w14:paraId="0A4B315E" w14:textId="6FCFEFB9" w:rsidR="00723B2F" w:rsidRPr="0046632D" w:rsidRDefault="00723B2F" w:rsidP="0046632D">
      <w:pPr>
        <w:pStyle w:val="ListParagraph"/>
        <w:numPr>
          <w:ilvl w:val="0"/>
          <w:numId w:val="3"/>
        </w:numPr>
        <w:jc w:val="both"/>
        <w:rPr>
          <w:rFonts w:ascii="Arial" w:hAnsi="Arial" w:cs="Arial"/>
          <w:sz w:val="20"/>
          <w:szCs w:val="20"/>
        </w:rPr>
      </w:pPr>
      <w:r w:rsidRPr="0046632D">
        <w:rPr>
          <w:rFonts w:ascii="Arial" w:hAnsi="Arial" w:cs="Arial"/>
          <w:sz w:val="20"/>
          <w:szCs w:val="20"/>
        </w:rPr>
        <w:t xml:space="preserve">Hayreh S. S. (2016). Pathogenesis of optic disc </w:t>
      </w:r>
      <w:proofErr w:type="spellStart"/>
      <w:r w:rsidRPr="0046632D">
        <w:rPr>
          <w:rFonts w:ascii="Arial" w:hAnsi="Arial" w:cs="Arial"/>
          <w:sz w:val="20"/>
          <w:szCs w:val="20"/>
        </w:rPr>
        <w:t>edema</w:t>
      </w:r>
      <w:proofErr w:type="spellEnd"/>
      <w:r w:rsidRPr="0046632D">
        <w:rPr>
          <w:rFonts w:ascii="Arial" w:hAnsi="Arial" w:cs="Arial"/>
          <w:sz w:val="20"/>
          <w:szCs w:val="20"/>
        </w:rPr>
        <w:t xml:space="preserve"> in raised intracranial pressure. </w:t>
      </w:r>
      <w:r w:rsidRPr="0046632D">
        <w:rPr>
          <w:rFonts w:ascii="Arial" w:hAnsi="Arial" w:cs="Arial"/>
          <w:i/>
          <w:iCs/>
          <w:sz w:val="20"/>
          <w:szCs w:val="20"/>
        </w:rPr>
        <w:t>Progress in Retinal and Eye Research</w:t>
      </w:r>
      <w:r w:rsidRPr="0046632D">
        <w:rPr>
          <w:rFonts w:ascii="Arial" w:hAnsi="Arial" w:cs="Arial"/>
          <w:sz w:val="20"/>
          <w:szCs w:val="20"/>
        </w:rPr>
        <w:t>, 50, 108-144.</w:t>
      </w:r>
    </w:p>
    <w:p w14:paraId="01B1A1F1" w14:textId="2F0128B4" w:rsidR="00723B2F" w:rsidRPr="0046632D" w:rsidRDefault="00723B2F" w:rsidP="0046632D">
      <w:pPr>
        <w:pStyle w:val="ListParagraph"/>
        <w:numPr>
          <w:ilvl w:val="0"/>
          <w:numId w:val="3"/>
        </w:numPr>
        <w:jc w:val="both"/>
        <w:rPr>
          <w:rFonts w:ascii="Arial" w:hAnsi="Arial" w:cs="Arial"/>
          <w:sz w:val="20"/>
          <w:szCs w:val="20"/>
        </w:rPr>
      </w:pPr>
      <w:r w:rsidRPr="0046632D">
        <w:rPr>
          <w:rFonts w:ascii="Arial" w:hAnsi="Arial" w:cs="Arial"/>
          <w:sz w:val="20"/>
          <w:szCs w:val="20"/>
        </w:rPr>
        <w:t xml:space="preserve">Kato Y., Takeda H., Dembo T., &amp; </w:t>
      </w:r>
      <w:proofErr w:type="spellStart"/>
      <w:r w:rsidRPr="0046632D">
        <w:rPr>
          <w:rFonts w:ascii="Arial" w:hAnsi="Arial" w:cs="Arial"/>
          <w:sz w:val="20"/>
          <w:szCs w:val="20"/>
        </w:rPr>
        <w:t>Tanahashi</w:t>
      </w:r>
      <w:proofErr w:type="spellEnd"/>
      <w:r w:rsidRPr="0046632D">
        <w:rPr>
          <w:rFonts w:ascii="Arial" w:hAnsi="Arial" w:cs="Arial"/>
          <w:sz w:val="20"/>
          <w:szCs w:val="20"/>
        </w:rPr>
        <w:t xml:space="preserve"> N. (2016). Isolated visual symptoms as the initial manifestation of cerebral venous thrombosis. </w:t>
      </w:r>
      <w:r w:rsidRPr="0046632D">
        <w:rPr>
          <w:rFonts w:ascii="Arial" w:hAnsi="Arial" w:cs="Arial"/>
          <w:i/>
          <w:iCs/>
          <w:sz w:val="20"/>
          <w:szCs w:val="20"/>
        </w:rPr>
        <w:t>Journal of Stroke and Cerebrovascular Diseases</w:t>
      </w:r>
      <w:r w:rsidRPr="0046632D">
        <w:rPr>
          <w:rFonts w:ascii="Arial" w:hAnsi="Arial" w:cs="Arial"/>
          <w:sz w:val="20"/>
          <w:szCs w:val="20"/>
        </w:rPr>
        <w:t>, 25(4), e53-e55.</w:t>
      </w:r>
    </w:p>
    <w:p w14:paraId="169E5646" w14:textId="172C8DE9" w:rsidR="00723B2F" w:rsidRPr="0046632D" w:rsidRDefault="00723B2F" w:rsidP="0046632D">
      <w:pPr>
        <w:pStyle w:val="ListParagraph"/>
        <w:numPr>
          <w:ilvl w:val="0"/>
          <w:numId w:val="3"/>
        </w:numPr>
        <w:jc w:val="both"/>
        <w:rPr>
          <w:rFonts w:ascii="Arial" w:hAnsi="Arial" w:cs="Arial"/>
          <w:sz w:val="20"/>
          <w:szCs w:val="20"/>
        </w:rPr>
      </w:pPr>
      <w:r w:rsidRPr="0046632D">
        <w:rPr>
          <w:rFonts w:ascii="Arial" w:hAnsi="Arial" w:cs="Arial"/>
          <w:sz w:val="20"/>
          <w:szCs w:val="20"/>
        </w:rPr>
        <w:t xml:space="preserve">Ko M. W., &amp; Chang D. (2017). Optic disc </w:t>
      </w:r>
      <w:proofErr w:type="spellStart"/>
      <w:r w:rsidRPr="0046632D">
        <w:rPr>
          <w:rFonts w:ascii="Arial" w:hAnsi="Arial" w:cs="Arial"/>
          <w:sz w:val="20"/>
          <w:szCs w:val="20"/>
        </w:rPr>
        <w:t>edema</w:t>
      </w:r>
      <w:proofErr w:type="spellEnd"/>
      <w:r w:rsidRPr="0046632D">
        <w:rPr>
          <w:rFonts w:ascii="Arial" w:hAnsi="Arial" w:cs="Arial"/>
          <w:sz w:val="20"/>
          <w:szCs w:val="20"/>
        </w:rPr>
        <w:t xml:space="preserve"> from elevated intracranial pressure. </w:t>
      </w:r>
      <w:r w:rsidRPr="0046632D">
        <w:rPr>
          <w:rFonts w:ascii="Arial" w:hAnsi="Arial" w:cs="Arial"/>
          <w:i/>
          <w:iCs/>
          <w:sz w:val="20"/>
          <w:szCs w:val="20"/>
        </w:rPr>
        <w:t>Neurologic Clinics</w:t>
      </w:r>
      <w:r w:rsidRPr="0046632D">
        <w:rPr>
          <w:rFonts w:ascii="Arial" w:hAnsi="Arial" w:cs="Arial"/>
          <w:sz w:val="20"/>
          <w:szCs w:val="20"/>
        </w:rPr>
        <w:t>, 35(1), 115-132.</w:t>
      </w:r>
    </w:p>
    <w:p w14:paraId="536065FE" w14:textId="3E25F68D" w:rsidR="00723B2F" w:rsidRPr="0046632D" w:rsidRDefault="00723B2F" w:rsidP="0046632D">
      <w:pPr>
        <w:pStyle w:val="ListParagraph"/>
        <w:numPr>
          <w:ilvl w:val="0"/>
          <w:numId w:val="3"/>
        </w:numPr>
        <w:jc w:val="both"/>
        <w:rPr>
          <w:rFonts w:ascii="Arial" w:hAnsi="Arial" w:cs="Arial"/>
          <w:sz w:val="20"/>
          <w:szCs w:val="20"/>
        </w:rPr>
      </w:pPr>
      <w:r w:rsidRPr="0046632D">
        <w:rPr>
          <w:rFonts w:ascii="Arial" w:hAnsi="Arial" w:cs="Arial"/>
          <w:sz w:val="20"/>
          <w:szCs w:val="20"/>
        </w:rPr>
        <w:t xml:space="preserve">Purvin V. A., Trobe J. D., &amp; </w:t>
      </w:r>
      <w:proofErr w:type="spellStart"/>
      <w:r w:rsidRPr="0046632D">
        <w:rPr>
          <w:rFonts w:ascii="Arial" w:hAnsi="Arial" w:cs="Arial"/>
          <w:sz w:val="20"/>
          <w:szCs w:val="20"/>
        </w:rPr>
        <w:t>Kosmorsky</w:t>
      </w:r>
      <w:proofErr w:type="spellEnd"/>
      <w:r w:rsidRPr="0046632D">
        <w:rPr>
          <w:rFonts w:ascii="Arial" w:hAnsi="Arial" w:cs="Arial"/>
          <w:sz w:val="20"/>
          <w:szCs w:val="20"/>
        </w:rPr>
        <w:t xml:space="preserve"> G. (2001). Neuro-ophthalmic features of cerebral venous thrombosis. </w:t>
      </w:r>
      <w:r w:rsidRPr="0046632D">
        <w:rPr>
          <w:rFonts w:ascii="Arial" w:hAnsi="Arial" w:cs="Arial"/>
          <w:i/>
          <w:iCs/>
          <w:sz w:val="20"/>
          <w:szCs w:val="20"/>
        </w:rPr>
        <w:t>Archives of Neurology</w:t>
      </w:r>
      <w:r w:rsidRPr="0046632D">
        <w:rPr>
          <w:rFonts w:ascii="Arial" w:hAnsi="Arial" w:cs="Arial"/>
          <w:sz w:val="20"/>
          <w:szCs w:val="20"/>
        </w:rPr>
        <w:t>, 58(5), 771-776.</w:t>
      </w:r>
    </w:p>
    <w:p w14:paraId="34359259" w14:textId="515A4B57" w:rsidR="00723B2F" w:rsidRPr="0046632D" w:rsidRDefault="00723B2F" w:rsidP="0046632D">
      <w:pPr>
        <w:pStyle w:val="ListParagraph"/>
        <w:numPr>
          <w:ilvl w:val="0"/>
          <w:numId w:val="3"/>
        </w:numPr>
        <w:jc w:val="both"/>
        <w:rPr>
          <w:rFonts w:ascii="Arial" w:hAnsi="Arial" w:cs="Arial"/>
          <w:sz w:val="20"/>
          <w:szCs w:val="20"/>
        </w:rPr>
      </w:pPr>
      <w:proofErr w:type="spellStart"/>
      <w:r w:rsidRPr="0046632D">
        <w:rPr>
          <w:rFonts w:ascii="Arial" w:hAnsi="Arial" w:cs="Arial"/>
          <w:sz w:val="20"/>
          <w:szCs w:val="20"/>
        </w:rPr>
        <w:t>Saposnik</w:t>
      </w:r>
      <w:proofErr w:type="spellEnd"/>
      <w:r w:rsidRPr="0046632D">
        <w:rPr>
          <w:rFonts w:ascii="Arial" w:hAnsi="Arial" w:cs="Arial"/>
          <w:sz w:val="20"/>
          <w:szCs w:val="20"/>
        </w:rPr>
        <w:t xml:space="preserve"> G., </w:t>
      </w:r>
      <w:proofErr w:type="spellStart"/>
      <w:r w:rsidRPr="0046632D">
        <w:rPr>
          <w:rFonts w:ascii="Arial" w:hAnsi="Arial" w:cs="Arial"/>
          <w:sz w:val="20"/>
          <w:szCs w:val="20"/>
        </w:rPr>
        <w:t>Barinagarrementeria</w:t>
      </w:r>
      <w:proofErr w:type="spellEnd"/>
      <w:r w:rsidRPr="0046632D">
        <w:rPr>
          <w:rFonts w:ascii="Arial" w:hAnsi="Arial" w:cs="Arial"/>
          <w:sz w:val="20"/>
          <w:szCs w:val="20"/>
        </w:rPr>
        <w:t xml:space="preserve"> F., Brown R. D., Bushnell C. D., Cucchiara B., Cushman M., et al. (2011). Diagnosis and management of cerebral venous thrombosis: A statement for healthcare professionals from the American Heart Association/American Stroke Association. </w:t>
      </w:r>
      <w:r w:rsidRPr="0046632D">
        <w:rPr>
          <w:rFonts w:ascii="Arial" w:hAnsi="Arial" w:cs="Arial"/>
          <w:i/>
          <w:iCs/>
          <w:sz w:val="20"/>
          <w:szCs w:val="20"/>
        </w:rPr>
        <w:t>Stroke</w:t>
      </w:r>
      <w:r w:rsidRPr="0046632D">
        <w:rPr>
          <w:rFonts w:ascii="Arial" w:hAnsi="Arial" w:cs="Arial"/>
          <w:sz w:val="20"/>
          <w:szCs w:val="20"/>
        </w:rPr>
        <w:t>, 42(4), 1158-1192.</w:t>
      </w:r>
    </w:p>
    <w:p w14:paraId="063C2858" w14:textId="10091B41" w:rsidR="00723B2F" w:rsidRPr="0046632D" w:rsidRDefault="00723B2F" w:rsidP="0046632D">
      <w:pPr>
        <w:pStyle w:val="ListParagraph"/>
        <w:numPr>
          <w:ilvl w:val="0"/>
          <w:numId w:val="3"/>
        </w:numPr>
        <w:jc w:val="both"/>
        <w:rPr>
          <w:rFonts w:ascii="Arial" w:hAnsi="Arial" w:cs="Arial"/>
          <w:sz w:val="20"/>
          <w:szCs w:val="20"/>
        </w:rPr>
      </w:pPr>
      <w:r w:rsidRPr="0046632D">
        <w:rPr>
          <w:rFonts w:ascii="Arial" w:hAnsi="Arial" w:cs="Arial"/>
          <w:sz w:val="20"/>
          <w:szCs w:val="20"/>
        </w:rPr>
        <w:t>Stam J. (2005). Thrombosis of the cerebral veins and sinuses. </w:t>
      </w:r>
      <w:r w:rsidRPr="0046632D">
        <w:rPr>
          <w:rFonts w:ascii="Arial" w:hAnsi="Arial" w:cs="Arial"/>
          <w:i/>
          <w:iCs/>
          <w:sz w:val="20"/>
          <w:szCs w:val="20"/>
        </w:rPr>
        <w:t>New England Journal of Medicine</w:t>
      </w:r>
      <w:r w:rsidRPr="0046632D">
        <w:rPr>
          <w:rFonts w:ascii="Arial" w:hAnsi="Arial" w:cs="Arial"/>
          <w:sz w:val="20"/>
          <w:szCs w:val="20"/>
        </w:rPr>
        <w:t>, 352(17), 1791-1798.</w:t>
      </w:r>
    </w:p>
    <w:p w14:paraId="4CE45A6F" w14:textId="203F7987" w:rsidR="00723B2F" w:rsidRPr="0046632D" w:rsidRDefault="00723B2F" w:rsidP="0046632D">
      <w:pPr>
        <w:pStyle w:val="ListParagraph"/>
        <w:numPr>
          <w:ilvl w:val="0"/>
          <w:numId w:val="3"/>
        </w:numPr>
        <w:jc w:val="both"/>
        <w:rPr>
          <w:rFonts w:ascii="Arial" w:hAnsi="Arial" w:cs="Arial"/>
          <w:sz w:val="20"/>
          <w:szCs w:val="20"/>
        </w:rPr>
      </w:pPr>
      <w:r w:rsidRPr="0046632D">
        <w:rPr>
          <w:rFonts w:ascii="Arial" w:hAnsi="Arial" w:cs="Arial"/>
          <w:sz w:val="20"/>
          <w:szCs w:val="20"/>
        </w:rPr>
        <w:t xml:space="preserve">Wasay M., Kojan S., Dai A. I., </w:t>
      </w:r>
      <w:proofErr w:type="spellStart"/>
      <w:r w:rsidRPr="0046632D">
        <w:rPr>
          <w:rFonts w:ascii="Arial" w:hAnsi="Arial" w:cs="Arial"/>
          <w:sz w:val="20"/>
          <w:szCs w:val="20"/>
        </w:rPr>
        <w:t>Bobustuc</w:t>
      </w:r>
      <w:proofErr w:type="spellEnd"/>
      <w:r w:rsidRPr="0046632D">
        <w:rPr>
          <w:rFonts w:ascii="Arial" w:hAnsi="Arial" w:cs="Arial"/>
          <w:sz w:val="20"/>
          <w:szCs w:val="20"/>
        </w:rPr>
        <w:t xml:space="preserve"> G., &amp; Sheikh Z. (2010). Headache in cerebral venous thrombosis: Incidence, pattern and location in 246 consecutive patients. </w:t>
      </w:r>
      <w:r w:rsidRPr="0046632D">
        <w:rPr>
          <w:rFonts w:ascii="Arial" w:hAnsi="Arial" w:cs="Arial"/>
          <w:i/>
          <w:iCs/>
          <w:sz w:val="20"/>
          <w:szCs w:val="20"/>
        </w:rPr>
        <w:t>Journal of Headache and Pain</w:t>
      </w:r>
      <w:r w:rsidRPr="0046632D">
        <w:rPr>
          <w:rFonts w:ascii="Arial" w:hAnsi="Arial" w:cs="Arial"/>
          <w:sz w:val="20"/>
          <w:szCs w:val="20"/>
        </w:rPr>
        <w:t>, 11(2), 137-139.</w:t>
      </w:r>
    </w:p>
    <w:p w14:paraId="66C8266D" w14:textId="0C156BBE" w:rsidR="00524EF6" w:rsidRPr="0046632D" w:rsidRDefault="00524EF6" w:rsidP="0046632D">
      <w:pPr>
        <w:pStyle w:val="ListParagraph"/>
        <w:numPr>
          <w:ilvl w:val="0"/>
          <w:numId w:val="3"/>
        </w:numPr>
        <w:jc w:val="both"/>
        <w:rPr>
          <w:rFonts w:ascii="Arial" w:hAnsi="Arial" w:cs="Arial"/>
          <w:sz w:val="20"/>
          <w:szCs w:val="20"/>
        </w:rPr>
      </w:pPr>
      <w:r w:rsidRPr="0046632D">
        <w:rPr>
          <w:rFonts w:ascii="Arial" w:hAnsi="Arial" w:cs="Arial"/>
          <w:sz w:val="20"/>
          <w:szCs w:val="20"/>
        </w:rPr>
        <w:t xml:space="preserve">Xiao M, Huang X. (2022). Optic neuropathy, a warning for cerebral venous sinus thrombosis and underlying dural arteriovenous fistulae. </w:t>
      </w:r>
      <w:r w:rsidRPr="0046632D">
        <w:rPr>
          <w:rFonts w:ascii="Arial" w:hAnsi="Arial" w:cs="Arial"/>
          <w:i/>
          <w:iCs/>
          <w:sz w:val="20"/>
          <w:szCs w:val="20"/>
        </w:rPr>
        <w:t>J Int Med Res</w:t>
      </w:r>
      <w:r w:rsidRPr="0046632D">
        <w:rPr>
          <w:rFonts w:ascii="Arial" w:hAnsi="Arial" w:cs="Arial"/>
          <w:sz w:val="20"/>
          <w:szCs w:val="20"/>
        </w:rPr>
        <w:t>. Jul;50(7):3000605221078071.</w:t>
      </w:r>
    </w:p>
    <w:p w14:paraId="3D8F63BC" w14:textId="77777777" w:rsidR="00723B2F" w:rsidRPr="00FE6136" w:rsidRDefault="00723B2F" w:rsidP="00FE6136">
      <w:pPr>
        <w:jc w:val="both"/>
        <w:rPr>
          <w:rFonts w:ascii="Times New Roman" w:hAnsi="Times New Roman" w:cs="Times New Roman"/>
          <w:sz w:val="24"/>
          <w:szCs w:val="24"/>
        </w:rPr>
      </w:pPr>
    </w:p>
    <w:sectPr w:rsidR="00723B2F" w:rsidRPr="00FE61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D722" w14:textId="77777777" w:rsidR="00B453EA" w:rsidRDefault="00B453EA" w:rsidP="00F567B3">
      <w:pPr>
        <w:spacing w:after="0" w:line="240" w:lineRule="auto"/>
      </w:pPr>
      <w:r>
        <w:separator/>
      </w:r>
    </w:p>
  </w:endnote>
  <w:endnote w:type="continuationSeparator" w:id="0">
    <w:p w14:paraId="161C8F8A" w14:textId="77777777" w:rsidR="00B453EA" w:rsidRDefault="00B453EA" w:rsidP="00F5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E22" w14:textId="77777777" w:rsidR="00F567B3" w:rsidRDefault="00F5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1730" w14:textId="77777777" w:rsidR="00F567B3" w:rsidRDefault="00F56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0CC5" w14:textId="77777777" w:rsidR="00F567B3" w:rsidRDefault="00F5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A3ED" w14:textId="77777777" w:rsidR="00B453EA" w:rsidRDefault="00B453EA" w:rsidP="00F567B3">
      <w:pPr>
        <w:spacing w:after="0" w:line="240" w:lineRule="auto"/>
      </w:pPr>
      <w:r>
        <w:separator/>
      </w:r>
    </w:p>
  </w:footnote>
  <w:footnote w:type="continuationSeparator" w:id="0">
    <w:p w14:paraId="7539E644" w14:textId="77777777" w:rsidR="00B453EA" w:rsidRDefault="00B453EA" w:rsidP="00F5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838E" w14:textId="50C54A7D" w:rsidR="00F567B3" w:rsidRDefault="00000000">
    <w:pPr>
      <w:pStyle w:val="Header"/>
    </w:pPr>
    <w:r>
      <w:rPr>
        <w:noProof/>
      </w:rPr>
      <w:pict w14:anchorId="7691C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3"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67E0" w14:textId="2EB8A053" w:rsidR="00F567B3" w:rsidRDefault="00000000">
    <w:pPr>
      <w:pStyle w:val="Header"/>
    </w:pPr>
    <w:r>
      <w:rPr>
        <w:noProof/>
      </w:rPr>
      <w:pict w14:anchorId="1D7F1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4"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AEDD" w14:textId="753218C5" w:rsidR="00F567B3" w:rsidRDefault="00000000">
    <w:pPr>
      <w:pStyle w:val="Header"/>
    </w:pPr>
    <w:r>
      <w:rPr>
        <w:noProof/>
      </w:rPr>
      <w:pict w14:anchorId="40E6E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2"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E99"/>
    <w:multiLevelType w:val="hybridMultilevel"/>
    <w:tmpl w:val="DD20A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D45DB"/>
    <w:multiLevelType w:val="multilevel"/>
    <w:tmpl w:val="61A0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E0593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9842216">
    <w:abstractNumId w:val="1"/>
  </w:num>
  <w:num w:numId="2" w16cid:durableId="85348310">
    <w:abstractNumId w:val="2"/>
  </w:num>
  <w:num w:numId="3" w16cid:durableId="31588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5E"/>
    <w:rsid w:val="00106C7E"/>
    <w:rsid w:val="00140806"/>
    <w:rsid w:val="001531C8"/>
    <w:rsid w:val="001A74B8"/>
    <w:rsid w:val="00270D8F"/>
    <w:rsid w:val="00276117"/>
    <w:rsid w:val="002C47F8"/>
    <w:rsid w:val="002F744A"/>
    <w:rsid w:val="00353113"/>
    <w:rsid w:val="0037549F"/>
    <w:rsid w:val="003A55AC"/>
    <w:rsid w:val="003E59D8"/>
    <w:rsid w:val="004308BF"/>
    <w:rsid w:val="00464B52"/>
    <w:rsid w:val="0046632D"/>
    <w:rsid w:val="00524EF6"/>
    <w:rsid w:val="005409E9"/>
    <w:rsid w:val="0054220B"/>
    <w:rsid w:val="005A5A9E"/>
    <w:rsid w:val="0066575C"/>
    <w:rsid w:val="006851D6"/>
    <w:rsid w:val="006B1809"/>
    <w:rsid w:val="006F4C6C"/>
    <w:rsid w:val="00723B2F"/>
    <w:rsid w:val="00780E20"/>
    <w:rsid w:val="007A5668"/>
    <w:rsid w:val="008D334A"/>
    <w:rsid w:val="00902D04"/>
    <w:rsid w:val="0091471A"/>
    <w:rsid w:val="009A578A"/>
    <w:rsid w:val="009C6409"/>
    <w:rsid w:val="009E5C22"/>
    <w:rsid w:val="009F5BAA"/>
    <w:rsid w:val="00A511C4"/>
    <w:rsid w:val="00AB1C7A"/>
    <w:rsid w:val="00AB32B1"/>
    <w:rsid w:val="00AF6152"/>
    <w:rsid w:val="00B15B92"/>
    <w:rsid w:val="00B453EA"/>
    <w:rsid w:val="00B625A0"/>
    <w:rsid w:val="00B8474D"/>
    <w:rsid w:val="00B855FB"/>
    <w:rsid w:val="00BE201A"/>
    <w:rsid w:val="00BE61E6"/>
    <w:rsid w:val="00C526EF"/>
    <w:rsid w:val="00D13531"/>
    <w:rsid w:val="00D54343"/>
    <w:rsid w:val="00D63CB1"/>
    <w:rsid w:val="00D823CA"/>
    <w:rsid w:val="00D9212D"/>
    <w:rsid w:val="00E12FA6"/>
    <w:rsid w:val="00E2546F"/>
    <w:rsid w:val="00E64BED"/>
    <w:rsid w:val="00E7525E"/>
    <w:rsid w:val="00E849C0"/>
    <w:rsid w:val="00EE08A2"/>
    <w:rsid w:val="00F23544"/>
    <w:rsid w:val="00F567B3"/>
    <w:rsid w:val="00FE613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440C"/>
  <w15:chartTrackingRefBased/>
  <w15:docId w15:val="{85FF3577-29B4-4B9F-8273-301AD9EF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25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7525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7525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75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25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7525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7525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75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25E"/>
    <w:rPr>
      <w:rFonts w:eastAsiaTheme="majorEastAsia" w:cstheme="majorBidi"/>
      <w:color w:val="272727" w:themeColor="text1" w:themeTint="D8"/>
    </w:rPr>
  </w:style>
  <w:style w:type="paragraph" w:styleId="Title">
    <w:name w:val="Title"/>
    <w:basedOn w:val="Normal"/>
    <w:next w:val="Normal"/>
    <w:link w:val="TitleChar"/>
    <w:uiPriority w:val="10"/>
    <w:qFormat/>
    <w:rsid w:val="00E7525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7525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7525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7525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7525E"/>
    <w:pPr>
      <w:spacing w:before="160"/>
      <w:jc w:val="center"/>
    </w:pPr>
    <w:rPr>
      <w:i/>
      <w:iCs/>
      <w:color w:val="404040" w:themeColor="text1" w:themeTint="BF"/>
    </w:rPr>
  </w:style>
  <w:style w:type="character" w:customStyle="1" w:styleId="QuoteChar">
    <w:name w:val="Quote Char"/>
    <w:basedOn w:val="DefaultParagraphFont"/>
    <w:link w:val="Quote"/>
    <w:uiPriority w:val="29"/>
    <w:rsid w:val="00E7525E"/>
    <w:rPr>
      <w:i/>
      <w:iCs/>
      <w:color w:val="404040" w:themeColor="text1" w:themeTint="BF"/>
    </w:rPr>
  </w:style>
  <w:style w:type="paragraph" w:styleId="ListParagraph">
    <w:name w:val="List Paragraph"/>
    <w:basedOn w:val="Normal"/>
    <w:uiPriority w:val="34"/>
    <w:qFormat/>
    <w:rsid w:val="00E7525E"/>
    <w:pPr>
      <w:ind w:left="720"/>
      <w:contextualSpacing/>
    </w:pPr>
  </w:style>
  <w:style w:type="character" w:styleId="IntenseEmphasis">
    <w:name w:val="Intense Emphasis"/>
    <w:basedOn w:val="DefaultParagraphFont"/>
    <w:uiPriority w:val="21"/>
    <w:qFormat/>
    <w:rsid w:val="00E7525E"/>
    <w:rPr>
      <w:i/>
      <w:iCs/>
      <w:color w:val="0F4761" w:themeColor="accent1" w:themeShade="BF"/>
    </w:rPr>
  </w:style>
  <w:style w:type="paragraph" w:styleId="IntenseQuote">
    <w:name w:val="Intense Quote"/>
    <w:basedOn w:val="Normal"/>
    <w:next w:val="Normal"/>
    <w:link w:val="IntenseQuoteChar"/>
    <w:uiPriority w:val="30"/>
    <w:qFormat/>
    <w:rsid w:val="00E75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25E"/>
    <w:rPr>
      <w:i/>
      <w:iCs/>
      <w:color w:val="0F4761" w:themeColor="accent1" w:themeShade="BF"/>
    </w:rPr>
  </w:style>
  <w:style w:type="character" w:styleId="IntenseReference">
    <w:name w:val="Intense Reference"/>
    <w:basedOn w:val="DefaultParagraphFont"/>
    <w:uiPriority w:val="32"/>
    <w:qFormat/>
    <w:rsid w:val="00E7525E"/>
    <w:rPr>
      <w:b/>
      <w:bCs/>
      <w:smallCaps/>
      <w:color w:val="0F4761" w:themeColor="accent1" w:themeShade="BF"/>
      <w:spacing w:val="5"/>
    </w:rPr>
  </w:style>
  <w:style w:type="character" w:styleId="Hyperlink">
    <w:name w:val="Hyperlink"/>
    <w:basedOn w:val="DefaultParagraphFont"/>
    <w:uiPriority w:val="99"/>
    <w:unhideWhenUsed/>
    <w:rsid w:val="0054220B"/>
    <w:rPr>
      <w:color w:val="467886" w:themeColor="hyperlink"/>
      <w:u w:val="single"/>
    </w:rPr>
  </w:style>
  <w:style w:type="character" w:styleId="UnresolvedMention">
    <w:name w:val="Unresolved Mention"/>
    <w:basedOn w:val="DefaultParagraphFont"/>
    <w:uiPriority w:val="99"/>
    <w:semiHidden/>
    <w:unhideWhenUsed/>
    <w:rsid w:val="0054220B"/>
    <w:rPr>
      <w:color w:val="605E5C"/>
      <w:shd w:val="clear" w:color="auto" w:fill="E1DFDD"/>
    </w:rPr>
  </w:style>
  <w:style w:type="paragraph" w:styleId="Header">
    <w:name w:val="header"/>
    <w:basedOn w:val="Normal"/>
    <w:link w:val="HeaderChar"/>
    <w:uiPriority w:val="99"/>
    <w:unhideWhenUsed/>
    <w:rsid w:val="00F5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B3"/>
  </w:style>
  <w:style w:type="paragraph" w:styleId="Footer">
    <w:name w:val="footer"/>
    <w:basedOn w:val="Normal"/>
    <w:link w:val="FooterChar"/>
    <w:uiPriority w:val="99"/>
    <w:unhideWhenUsed/>
    <w:rsid w:val="00F56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B3"/>
  </w:style>
  <w:style w:type="paragraph" w:styleId="NoSpacing">
    <w:name w:val="No Spacing"/>
    <w:uiPriority w:val="1"/>
    <w:qFormat/>
    <w:rsid w:val="00D54343"/>
    <w:pPr>
      <w:spacing w:after="0" w:line="240" w:lineRule="auto"/>
    </w:pPr>
    <w:rPr>
      <w:kern w:val="0"/>
      <w:szCs w:val="22"/>
      <w:lang w:val="en-GB" w:bidi="ar-SA"/>
      <w14:ligatures w14:val="none"/>
    </w:rPr>
  </w:style>
  <w:style w:type="table" w:styleId="TableGrid">
    <w:name w:val="Table Grid"/>
    <w:basedOn w:val="TableNormal"/>
    <w:uiPriority w:val="39"/>
    <w:rsid w:val="00AB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Joyal Joshy</dc:creator>
  <cp:keywords/>
  <dc:description/>
  <cp:lastModifiedBy>Editor-1183</cp:lastModifiedBy>
  <cp:revision>39</cp:revision>
  <dcterms:created xsi:type="dcterms:W3CDTF">2026-03-08T15:21:00Z</dcterms:created>
  <dcterms:modified xsi:type="dcterms:W3CDTF">2026-06-01T05:27:00Z</dcterms:modified>
</cp:coreProperties>
</file>