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CF6CD" w14:textId="7C59A154" w:rsidR="00576C5C" w:rsidRPr="0014301B" w:rsidRDefault="00576C5C" w:rsidP="00E65266">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48"/>
          <w:szCs w:val="48"/>
          <w:u w:val="single"/>
          <w:lang w:val="en-US" w:eastAsia="fr-FR"/>
        </w:rPr>
      </w:pPr>
      <w:r w:rsidRPr="0014301B">
        <w:rPr>
          <w:rFonts w:ascii="Times New Roman" w:eastAsia="Times New Roman" w:hAnsi="Times New Roman" w:cs="Times New Roman"/>
          <w:b/>
          <w:bCs/>
          <w:color w:val="000000" w:themeColor="text1"/>
          <w:kern w:val="36"/>
          <w:sz w:val="48"/>
          <w:szCs w:val="48"/>
          <w:u w:val="single"/>
          <w:lang w:val="en-US" w:eastAsia="fr-FR"/>
        </w:rPr>
        <w:t>Case report</w:t>
      </w:r>
    </w:p>
    <w:p w14:paraId="73CE425D" w14:textId="421FABB2" w:rsidR="00157068" w:rsidRPr="006B53F9" w:rsidRDefault="006B53F9" w:rsidP="006B53F9">
      <w:pPr>
        <w:pStyle w:val="Heading2"/>
        <w:rPr>
          <w:bCs w:val="0"/>
          <w:sz w:val="48"/>
          <w:szCs w:val="48"/>
          <w:lang w:val="en-GB" w:eastAsia="en-US"/>
        </w:rPr>
      </w:pPr>
      <w:r w:rsidRPr="006E0D30">
        <w:rPr>
          <w:bCs w:val="0"/>
          <w:sz w:val="48"/>
          <w:szCs w:val="48"/>
          <w:shd w:val="clear" w:color="auto" w:fill="FFFF00"/>
          <w:lang w:val="en-GB" w:eastAsia="en-US"/>
        </w:rPr>
        <w:t xml:space="preserve">Late isolated abdominal wall recurrence of uterine carcinosarcoma: A </w:t>
      </w:r>
      <w:proofErr w:type="spellStart"/>
      <w:r w:rsidRPr="006E0D30">
        <w:rPr>
          <w:bCs w:val="0"/>
          <w:sz w:val="48"/>
          <w:szCs w:val="48"/>
          <w:shd w:val="clear" w:color="auto" w:fill="FFFF00"/>
          <w:lang w:val="en-GB" w:eastAsia="en-US"/>
        </w:rPr>
        <w:t>favorable</w:t>
      </w:r>
      <w:proofErr w:type="spellEnd"/>
      <w:r w:rsidRPr="006E0D30">
        <w:rPr>
          <w:bCs w:val="0"/>
          <w:sz w:val="48"/>
          <w:szCs w:val="48"/>
          <w:shd w:val="clear" w:color="auto" w:fill="FFFF00"/>
          <w:lang w:val="en-GB" w:eastAsia="en-US"/>
        </w:rPr>
        <w:t xml:space="preserve"> Outcome of a case report treated with wide surgical excision and prosthetic reconstruction</w:t>
      </w:r>
    </w:p>
    <w:p w14:paraId="513AD921" w14:textId="2B0D642E" w:rsidR="00E65266" w:rsidRPr="006B53F9" w:rsidRDefault="00000000" w:rsidP="00157068">
      <w:pPr>
        <w:spacing w:after="0" w:line="240" w:lineRule="auto"/>
        <w:rPr>
          <w:rFonts w:ascii="Times New Roman" w:eastAsia="Times New Roman" w:hAnsi="Times New Roman" w:cs="Times New Roman"/>
          <w:b/>
          <w:color w:val="000000" w:themeColor="text1"/>
          <w:sz w:val="48"/>
          <w:szCs w:val="48"/>
          <w:lang w:eastAsia="fr-FR"/>
        </w:rPr>
      </w:pPr>
      <w:r>
        <w:rPr>
          <w:rFonts w:ascii="Times New Roman" w:eastAsia="Times New Roman" w:hAnsi="Times New Roman" w:cs="Times New Roman"/>
          <w:b/>
          <w:noProof/>
          <w:color w:val="000000" w:themeColor="text1"/>
          <w:sz w:val="48"/>
          <w:szCs w:val="48"/>
          <w:lang w:eastAsia="fr-FR"/>
        </w:rPr>
        <w:pict w14:anchorId="237CFC2F">
          <v:rect id="_x0000_i1025" alt="" style="width:451.3pt;height:.05pt;mso-width-percent:0;mso-height-percent:0;mso-width-percent:0;mso-height-percent:0" o:hralign="center" o:hrstd="t" o:hr="t" fillcolor="#a0a0a0" stroked="f"/>
        </w:pict>
      </w:r>
    </w:p>
    <w:p w14:paraId="59A8A206" w14:textId="77777777" w:rsidR="00E65266" w:rsidRPr="00412BCF" w:rsidRDefault="00E65266" w:rsidP="00E65266">
      <w:pPr>
        <w:spacing w:before="100" w:beforeAutospacing="1" w:after="100" w:afterAutospacing="1" w:line="240" w:lineRule="auto"/>
        <w:outlineLvl w:val="1"/>
        <w:rPr>
          <w:rFonts w:ascii="Times New Roman" w:eastAsia="Times New Roman" w:hAnsi="Times New Roman" w:cs="Times New Roman"/>
          <w:b/>
          <w:bCs/>
          <w:color w:val="000000" w:themeColor="text1"/>
          <w:sz w:val="36"/>
          <w:szCs w:val="36"/>
          <w:lang w:val="en-US" w:eastAsia="fr-FR"/>
        </w:rPr>
      </w:pPr>
      <w:bookmarkStart w:id="0" w:name="_Hlk220766929"/>
      <w:r w:rsidRPr="00412BCF">
        <w:rPr>
          <w:rFonts w:ascii="Times New Roman" w:eastAsia="Times New Roman" w:hAnsi="Times New Roman" w:cs="Times New Roman"/>
          <w:b/>
          <w:bCs/>
          <w:color w:val="000000" w:themeColor="text1"/>
          <w:sz w:val="36"/>
          <w:szCs w:val="36"/>
          <w:lang w:val="en-US" w:eastAsia="fr-FR"/>
        </w:rPr>
        <w:t>Abstract</w:t>
      </w:r>
    </w:p>
    <w:p w14:paraId="4FE2811E" w14:textId="3E57B813" w:rsidR="00CA721E" w:rsidRPr="006E0D30" w:rsidRDefault="00412BCF" w:rsidP="006E0D30">
      <w:pPr>
        <w:pStyle w:val="NormalWeb"/>
        <w:rPr>
          <w:b/>
          <w:bCs/>
          <w:color w:val="000000" w:themeColor="text1"/>
          <w:sz w:val="36"/>
          <w:szCs w:val="36"/>
          <w:lang w:val="en-US"/>
        </w:rPr>
      </w:pPr>
      <w:r>
        <w:rPr>
          <w:rStyle w:val="Strong"/>
          <w:color w:val="000000" w:themeColor="text1"/>
          <w:sz w:val="36"/>
          <w:szCs w:val="36"/>
          <w:lang w:val="en-US"/>
        </w:rPr>
        <w:t>Introduction</w:t>
      </w:r>
      <w:r w:rsidR="00CA721E" w:rsidRPr="006E0D30">
        <w:rPr>
          <w:color w:val="000000" w:themeColor="text1"/>
          <w:lang w:val="en-US"/>
        </w:rPr>
        <w:br/>
      </w:r>
      <w:r w:rsidR="00E24190" w:rsidRPr="006E0D30">
        <w:rPr>
          <w:lang w:val="en-US"/>
        </w:rPr>
        <w:t>Uterine carcinosarcoma is a rare and highly aggressive malignancy with a high risk of recurrence. Recurrences typically involve the pelvis or distant organs, while isolated abdominal wall recurrence is exceptionally rare. We report a case of late isolated abdominal wall recurre</w:t>
      </w:r>
      <w:r w:rsidR="006E0D30">
        <w:rPr>
          <w:lang w:val="en-US"/>
        </w:rPr>
        <w:t xml:space="preserve">nce </w:t>
      </w:r>
      <w:r w:rsidR="006E0D30" w:rsidRPr="006E0D30">
        <w:rPr>
          <w:shd w:val="clear" w:color="auto" w:fill="FFFF00"/>
          <w:lang w:val="en-US"/>
        </w:rPr>
        <w:t>and its surgical management. This presentation emphasizes the necessity of prolonged and vigilant follow-up in affected patients.</w:t>
      </w:r>
    </w:p>
    <w:p w14:paraId="6EA3633F" w14:textId="614E9CA8" w:rsidR="00E24190" w:rsidRPr="006E0D30" w:rsidRDefault="00CA721E" w:rsidP="00CA721E">
      <w:pPr>
        <w:rPr>
          <w:rStyle w:val="Strong"/>
          <w:rFonts w:ascii="Times New Roman" w:hAnsi="Times New Roman" w:cs="Times New Roman"/>
          <w:color w:val="000000" w:themeColor="text1"/>
          <w:sz w:val="36"/>
          <w:szCs w:val="36"/>
          <w:lang w:val="en-US"/>
        </w:rPr>
      </w:pPr>
      <w:r w:rsidRPr="006E0D30">
        <w:rPr>
          <w:rStyle w:val="Strong"/>
          <w:rFonts w:ascii="Times New Roman" w:hAnsi="Times New Roman" w:cs="Times New Roman"/>
          <w:color w:val="000000" w:themeColor="text1"/>
          <w:sz w:val="36"/>
          <w:szCs w:val="36"/>
          <w:lang w:val="en-US"/>
        </w:rPr>
        <w:t>Case report:</w:t>
      </w:r>
    </w:p>
    <w:p w14:paraId="079F02FD" w14:textId="1093C560" w:rsidR="00E65266" w:rsidRPr="006E0D30" w:rsidRDefault="00E24190" w:rsidP="00412BCF">
      <w:pPr>
        <w:shd w:val="clear" w:color="auto" w:fill="FFFFFF" w:themeFill="background1"/>
        <w:rPr>
          <w:color w:val="000000" w:themeColor="text1"/>
          <w:lang w:val="en-US"/>
        </w:rPr>
      </w:pPr>
      <w:r w:rsidRPr="006E0D30">
        <w:rPr>
          <w:lang w:val="en-US"/>
        </w:rPr>
        <w:t xml:space="preserve"> A 71-year-old postmenopausal woman presented with metrorrhagia. Diagnostic curettage revealed grade 2 endometrioid adenocarcinoma. She underwent radical hysterectomy with bilateral </w:t>
      </w:r>
      <w:proofErr w:type="spellStart"/>
      <w:r w:rsidRPr="006E0D30">
        <w:rPr>
          <w:lang w:val="en-US"/>
        </w:rPr>
        <w:t>salpingo</w:t>
      </w:r>
      <w:proofErr w:type="spellEnd"/>
      <w:r w:rsidRPr="006E0D30">
        <w:rPr>
          <w:lang w:val="en-US"/>
        </w:rPr>
        <w:t xml:space="preserve">-oophorectomy and pelvic lymphadenectomy. Final histopathology confirmed uterine carcinosarcoma, and the patient received adjuvant radiotherapy, brachytherapy, and chemotherapy. After more than two years of complete remission, she developed an isolated sub-umbilical abdominal wall mass. Histopathological and immunohistochemical analyses confirmed recurrence of a poorly differentiated carcinoma of gynecologic origin. </w:t>
      </w:r>
      <w:r w:rsidRPr="00412BCF">
        <w:rPr>
          <w:shd w:val="clear" w:color="auto" w:fill="FFFF00"/>
          <w:lang w:val="en-US"/>
        </w:rPr>
        <w:t>The patient underwent wide en bloc resection with dual-layer mesh reconstruction. The postoperative course was uneventful, with no evidence of recurrence at follow-up</w:t>
      </w:r>
      <w:r w:rsidRPr="006E0D30">
        <w:rPr>
          <w:lang w:val="en-US"/>
        </w:rPr>
        <w:t>.</w:t>
      </w:r>
    </w:p>
    <w:p w14:paraId="6EE24930" w14:textId="77777777" w:rsidR="006A25BF" w:rsidRPr="006E0D30" w:rsidRDefault="00E65266" w:rsidP="006A25BF">
      <w:pPr>
        <w:pStyle w:val="Heading2"/>
        <w:rPr>
          <w:rFonts w:asciiTheme="minorHAnsi" w:hAnsiTheme="minorHAnsi" w:cstheme="minorHAnsi"/>
          <w:b w:val="0"/>
          <w:bCs w:val="0"/>
          <w:sz w:val="22"/>
          <w:szCs w:val="22"/>
          <w:lang w:val="en-US"/>
        </w:rPr>
      </w:pPr>
      <w:r w:rsidRPr="006E0D30">
        <w:rPr>
          <w:color w:val="000000" w:themeColor="text1"/>
          <w:lang w:val="en-US"/>
        </w:rPr>
        <w:t>Conclusion:</w:t>
      </w:r>
      <w:r w:rsidRPr="006E0D30">
        <w:rPr>
          <w:color w:val="000000" w:themeColor="text1"/>
          <w:lang w:val="en-US"/>
        </w:rPr>
        <w:br/>
      </w:r>
      <w:r w:rsidR="006A25BF" w:rsidRPr="006E0D30">
        <w:rPr>
          <w:rFonts w:asciiTheme="minorHAnsi" w:hAnsiTheme="minorHAnsi" w:cstheme="minorHAnsi"/>
          <w:b w:val="0"/>
          <w:bCs w:val="0"/>
          <w:sz w:val="22"/>
          <w:szCs w:val="22"/>
          <w:lang w:val="en-US"/>
        </w:rPr>
        <w:t>Isolated abdominal wall recurrence of uterine carcinosarcoma is rare. Aggressive surgical resection with prosthetic reconstruction may provide effective local control in selected patients. Long-term surveillance is essential due to the aggressive nature of this malignancy</w:t>
      </w:r>
    </w:p>
    <w:p w14:paraId="10D9FA4D" w14:textId="2FA32C55" w:rsidR="00990F1C" w:rsidRPr="006E0D30" w:rsidRDefault="006A25BF" w:rsidP="006A25BF">
      <w:pPr>
        <w:pStyle w:val="Heading2"/>
        <w:rPr>
          <w:rFonts w:asciiTheme="minorHAnsi" w:hAnsiTheme="minorHAnsi" w:cstheme="minorHAnsi"/>
          <w:b w:val="0"/>
          <w:bCs w:val="0"/>
          <w:sz w:val="22"/>
          <w:szCs w:val="22"/>
          <w:lang w:val="en-US"/>
        </w:rPr>
      </w:pPr>
      <w:proofErr w:type="gramStart"/>
      <w:r w:rsidRPr="006E0D30">
        <w:rPr>
          <w:rFonts w:asciiTheme="minorHAnsi" w:hAnsiTheme="minorHAnsi" w:cstheme="minorHAnsi"/>
          <w:b w:val="0"/>
          <w:bCs w:val="0"/>
          <w:sz w:val="22"/>
          <w:szCs w:val="22"/>
          <w:lang w:val="en-US"/>
        </w:rPr>
        <w:t>.</w:t>
      </w:r>
      <w:bookmarkEnd w:id="0"/>
      <w:r w:rsidR="00990F1C" w:rsidRPr="006E0D30">
        <w:rPr>
          <w:color w:val="000000" w:themeColor="text1"/>
          <w:lang w:val="en-US"/>
        </w:rPr>
        <w:t>Keywords</w:t>
      </w:r>
      <w:proofErr w:type="gramEnd"/>
      <w:r w:rsidR="00990F1C" w:rsidRPr="006E0D30">
        <w:rPr>
          <w:color w:val="000000" w:themeColor="text1"/>
          <w:lang w:val="en-US"/>
        </w:rPr>
        <w:t>:</w:t>
      </w:r>
      <w:r w:rsidR="00990F1C" w:rsidRPr="006E0D30">
        <w:rPr>
          <w:color w:val="000000" w:themeColor="text1"/>
          <w:lang w:val="en-US"/>
        </w:rPr>
        <w:br/>
      </w:r>
      <w:r w:rsidR="00990F1C" w:rsidRPr="006E0D30">
        <w:rPr>
          <w:rFonts w:asciiTheme="minorHAnsi" w:hAnsiTheme="minorHAnsi" w:cstheme="minorHAnsi"/>
          <w:b w:val="0"/>
          <w:bCs w:val="0"/>
          <w:color w:val="000000" w:themeColor="text1"/>
          <w:sz w:val="22"/>
          <w:szCs w:val="22"/>
          <w:lang w:val="en-US"/>
        </w:rPr>
        <w:t>Uterine carcinosarcoma; Abdominal wall recurrence; Prosthetic reconstruction; Immunohistochemistry; Case report</w:t>
      </w:r>
      <w:r w:rsidR="0046101A" w:rsidRPr="006E0D30">
        <w:rPr>
          <w:rFonts w:asciiTheme="minorHAnsi" w:hAnsiTheme="minorHAnsi" w:cstheme="minorHAnsi"/>
          <w:b w:val="0"/>
          <w:bCs w:val="0"/>
          <w:color w:val="000000" w:themeColor="text1"/>
          <w:sz w:val="22"/>
          <w:szCs w:val="22"/>
          <w:lang w:val="en-US"/>
        </w:rPr>
        <w:t>.</w:t>
      </w:r>
    </w:p>
    <w:p w14:paraId="32BD4C00" w14:textId="77777777" w:rsidR="006A25BF" w:rsidRPr="006E0D30" w:rsidRDefault="006A25BF" w:rsidP="00990F1C">
      <w:pPr>
        <w:pStyle w:val="NormalWeb"/>
        <w:rPr>
          <w:b/>
          <w:bCs/>
          <w:color w:val="000000" w:themeColor="text1"/>
          <w:sz w:val="36"/>
          <w:szCs w:val="36"/>
          <w:lang w:val="en-US"/>
        </w:rPr>
      </w:pPr>
    </w:p>
    <w:p w14:paraId="15642435" w14:textId="1A07A7CE" w:rsidR="00914459" w:rsidRPr="006E0D30" w:rsidRDefault="00914459" w:rsidP="00990F1C">
      <w:pPr>
        <w:pStyle w:val="NormalWeb"/>
        <w:rPr>
          <w:b/>
          <w:bCs/>
          <w:color w:val="000000" w:themeColor="text1"/>
          <w:sz w:val="36"/>
          <w:szCs w:val="36"/>
          <w:lang w:val="en-US"/>
        </w:rPr>
      </w:pPr>
      <w:r w:rsidRPr="006E0D30">
        <w:rPr>
          <w:b/>
          <w:bCs/>
          <w:color w:val="000000" w:themeColor="text1"/>
          <w:sz w:val="36"/>
          <w:szCs w:val="36"/>
          <w:lang w:val="en-US"/>
        </w:rPr>
        <w:t>Introduction</w:t>
      </w:r>
    </w:p>
    <w:p w14:paraId="188B1378" w14:textId="22AB202E" w:rsidR="0055147E" w:rsidRPr="0014301B" w:rsidRDefault="0055147E" w:rsidP="0014301B">
      <w:pPr>
        <w:pStyle w:val="Heading2"/>
        <w:rPr>
          <w:rFonts w:asciiTheme="minorHAnsi" w:hAnsiTheme="minorHAnsi" w:cstheme="minorHAnsi"/>
          <w:b w:val="0"/>
          <w:bCs w:val="0"/>
          <w:sz w:val="22"/>
          <w:szCs w:val="22"/>
          <w:lang w:val="en-US"/>
        </w:rPr>
      </w:pPr>
      <w:r w:rsidRPr="006E0D30">
        <w:rPr>
          <w:rFonts w:asciiTheme="minorHAnsi" w:hAnsiTheme="minorHAnsi" w:cstheme="minorHAnsi"/>
          <w:b w:val="0"/>
          <w:bCs w:val="0"/>
          <w:sz w:val="22"/>
          <w:szCs w:val="22"/>
          <w:lang w:val="en-US"/>
        </w:rPr>
        <w:t xml:space="preserve">Uterine carcinosarcoma, also known as malignant mixed Müllerian tumor, accounts for less than 5% of uterine malignancies but is responsible for a disproportionate number of uterine </w:t>
      </w:r>
      <w:proofErr w:type="gramStart"/>
      <w:r w:rsidRPr="006E0D30">
        <w:rPr>
          <w:rFonts w:asciiTheme="minorHAnsi" w:hAnsiTheme="minorHAnsi" w:cstheme="minorHAnsi"/>
          <w:b w:val="0"/>
          <w:bCs w:val="0"/>
          <w:sz w:val="22"/>
          <w:szCs w:val="22"/>
          <w:lang w:val="en-US"/>
        </w:rPr>
        <w:t>cancer</w:t>
      </w:r>
      <w:proofErr w:type="gramEnd"/>
      <w:r w:rsidRPr="006E0D30">
        <w:rPr>
          <w:rFonts w:asciiTheme="minorHAnsi" w:hAnsiTheme="minorHAnsi" w:cstheme="minorHAnsi"/>
          <w:b w:val="0"/>
          <w:bCs w:val="0"/>
          <w:sz w:val="22"/>
          <w:szCs w:val="22"/>
          <w:lang w:val="en-US"/>
        </w:rPr>
        <w:t xml:space="preserve">–related </w:t>
      </w:r>
      <w:r w:rsidR="0014301B">
        <w:rPr>
          <w:rFonts w:asciiTheme="minorHAnsi" w:hAnsiTheme="minorHAnsi" w:cstheme="minorHAnsi"/>
          <w:b w:val="0"/>
          <w:bCs w:val="0"/>
          <w:sz w:val="22"/>
          <w:szCs w:val="22"/>
          <w:lang w:val="en-US"/>
        </w:rPr>
        <w:t>mortality</w:t>
      </w:r>
      <w:r w:rsidRPr="006E0D30">
        <w:rPr>
          <w:rFonts w:asciiTheme="minorHAnsi" w:hAnsiTheme="minorHAnsi" w:cstheme="minorHAnsi"/>
          <w:b w:val="0"/>
          <w:bCs w:val="0"/>
          <w:sz w:val="22"/>
          <w:szCs w:val="22"/>
          <w:lang w:val="en-US"/>
        </w:rPr>
        <w:t xml:space="preserve"> [1,2]. It is currently classified as a high-grade endometrial carcinoma due to its aggressive clinical behavior and poor prognosis [3]. Despite advances in multimodal treatment strategies, recurrence rates remain high [4], with most relapses occurring in the pelvis or at distant sites such as the lungs and peritoneum [5]. </w:t>
      </w:r>
      <w:r w:rsidRPr="0014301B">
        <w:rPr>
          <w:rFonts w:asciiTheme="minorHAnsi" w:hAnsiTheme="minorHAnsi" w:cstheme="minorHAnsi"/>
          <w:b w:val="0"/>
          <w:bCs w:val="0"/>
          <w:sz w:val="22"/>
          <w:szCs w:val="22"/>
          <w:shd w:val="clear" w:color="auto" w:fill="FFFF00"/>
          <w:lang w:val="en-US"/>
        </w:rPr>
        <w:t>In contrast, isolated abdominal wall recurrence is exceptionally rare and has been reported only sporadically in the literature [6].</w:t>
      </w:r>
      <w:r w:rsidR="0014301B">
        <w:rPr>
          <w:rFonts w:asciiTheme="minorHAnsi" w:hAnsiTheme="minorHAnsi" w:cstheme="minorHAnsi"/>
          <w:b w:val="0"/>
          <w:bCs w:val="0"/>
          <w:sz w:val="22"/>
          <w:szCs w:val="22"/>
          <w:lang w:val="en-US"/>
        </w:rPr>
        <w:t xml:space="preserve"> </w:t>
      </w:r>
      <w:r w:rsidR="0014301B" w:rsidRPr="0014301B">
        <w:rPr>
          <w:rFonts w:asciiTheme="minorHAnsi" w:hAnsiTheme="minorHAnsi" w:cstheme="minorHAnsi"/>
          <w:b w:val="0"/>
          <w:bCs w:val="0"/>
          <w:sz w:val="22"/>
          <w:szCs w:val="22"/>
          <w:shd w:val="clear" w:color="auto" w:fill="FFFF00"/>
          <w:lang w:val="en-US"/>
        </w:rPr>
        <w:t>The aim of this case report is to describe the clinical presentation, diagnostic approach, and surgical management of this rare pattern of recurrence, and to highlight its therapeutic implications.</w:t>
      </w:r>
    </w:p>
    <w:p w14:paraId="18CA28E2" w14:textId="2EAC06BC" w:rsidR="00170D4A" w:rsidRPr="006E0D30" w:rsidRDefault="00170D4A" w:rsidP="00170D4A">
      <w:pPr>
        <w:pStyle w:val="Heading2"/>
        <w:rPr>
          <w:color w:val="000000" w:themeColor="text1"/>
          <w:lang w:val="en-US"/>
        </w:rPr>
      </w:pPr>
      <w:r w:rsidRPr="006E0D30">
        <w:rPr>
          <w:rStyle w:val="Strong"/>
          <w:b/>
          <w:bCs/>
          <w:color w:val="000000" w:themeColor="text1"/>
          <w:lang w:val="en-US"/>
        </w:rPr>
        <w:t>Case report</w:t>
      </w:r>
    </w:p>
    <w:p w14:paraId="1E8F2904" w14:textId="77777777" w:rsidR="00170D4A" w:rsidRPr="006E0D30" w:rsidRDefault="00170D4A" w:rsidP="00170D4A">
      <w:pPr>
        <w:pStyle w:val="NormalWeb"/>
        <w:rPr>
          <w:color w:val="000000" w:themeColor="text1"/>
          <w:lang w:val="en-US"/>
        </w:rPr>
      </w:pPr>
      <w:r w:rsidRPr="006E0D30">
        <w:rPr>
          <w:color w:val="000000" w:themeColor="text1"/>
          <w:lang w:val="en-US"/>
        </w:rPr>
        <w:t>A 71-year-old postmenopausal woman with a history of hypertension and gout presented with postmenopausal bleeding. Endometrial biopsy revealed grade 2 endometrioid adenocarcinoma. Pelvic magnetic resonance imaging suggested stage IA disease.</w:t>
      </w:r>
    </w:p>
    <w:p w14:paraId="752539CB" w14:textId="7C2E1388" w:rsidR="00170D4A" w:rsidRPr="006E0D30" w:rsidRDefault="00170D4A" w:rsidP="0014301B">
      <w:pPr>
        <w:pStyle w:val="NormalWeb"/>
        <w:rPr>
          <w:color w:val="000000" w:themeColor="text1"/>
          <w:lang w:val="en-US"/>
        </w:rPr>
      </w:pPr>
      <w:r w:rsidRPr="006E0D30">
        <w:rPr>
          <w:color w:val="000000" w:themeColor="text1"/>
          <w:lang w:val="en-US"/>
        </w:rPr>
        <w:t xml:space="preserve">In July 2021, she underwent radical hysterectomy with bilateral </w:t>
      </w:r>
      <w:proofErr w:type="spellStart"/>
      <w:r w:rsidRPr="006E0D30">
        <w:rPr>
          <w:color w:val="000000" w:themeColor="text1"/>
          <w:lang w:val="en-US"/>
        </w:rPr>
        <w:t>salpingo</w:t>
      </w:r>
      <w:proofErr w:type="spellEnd"/>
      <w:r w:rsidRPr="006E0D30">
        <w:rPr>
          <w:color w:val="000000" w:themeColor="text1"/>
          <w:lang w:val="en-US"/>
        </w:rPr>
        <w:t xml:space="preserve">-oophorectomy and bilateral pelvic lymphadenectomy. Final histopathological examination revealed uterine carcinosarcoma with a predominant endometrioid carcinomatous component, myometrial invasion greater than 50%, cervical stromal involvement, </w:t>
      </w:r>
      <w:proofErr w:type="spellStart"/>
      <w:r w:rsidRPr="006E0D30">
        <w:rPr>
          <w:color w:val="000000" w:themeColor="text1"/>
          <w:lang w:val="en-US"/>
        </w:rPr>
        <w:t>lymphovascular</w:t>
      </w:r>
      <w:proofErr w:type="spellEnd"/>
      <w:r w:rsidRPr="006E0D30">
        <w:rPr>
          <w:color w:val="000000" w:themeColor="text1"/>
          <w:lang w:val="en-US"/>
        </w:rPr>
        <w:t xml:space="preserve"> space invasion, negative pelvic lymph nodes, and clear vaginal margins. The tumor was staged pT2 according to the TNM 2017</w:t>
      </w:r>
      <w:r w:rsidR="0014301B" w:rsidRPr="0014301B">
        <w:rPr>
          <w:color w:val="000000" w:themeColor="text1"/>
          <w:lang w:val="en-US"/>
        </w:rPr>
        <w:t xml:space="preserve"> </w:t>
      </w:r>
      <w:r w:rsidR="0014301B" w:rsidRPr="0014301B">
        <w:rPr>
          <w:color w:val="000000" w:themeColor="text1"/>
          <w:shd w:val="clear" w:color="auto" w:fill="FFFF00"/>
          <w:lang w:val="en-US"/>
        </w:rPr>
        <w:t>classification</w:t>
      </w:r>
      <w:r w:rsidRPr="0014301B">
        <w:rPr>
          <w:color w:val="000000" w:themeColor="text1"/>
          <w:shd w:val="clear" w:color="auto" w:fill="FFFF00"/>
          <w:lang w:val="en-US"/>
        </w:rPr>
        <w:t xml:space="preserve"> </w:t>
      </w:r>
      <w:r w:rsidR="0014301B" w:rsidRPr="0014301B">
        <w:rPr>
          <w:color w:val="000000" w:themeColor="text1"/>
          <w:shd w:val="clear" w:color="auto" w:fill="FFFF00"/>
          <w:lang w:val="en-US"/>
        </w:rPr>
        <w:t xml:space="preserve">of the </w:t>
      </w:r>
      <w:r w:rsidR="0014301B" w:rsidRPr="0014301B">
        <w:rPr>
          <w:rStyle w:val="whitespace-normal"/>
          <w:shd w:val="clear" w:color="auto" w:fill="FFFF00"/>
          <w:lang w:val="en-US"/>
        </w:rPr>
        <w:t>American Joint Committee on Cancer</w:t>
      </w:r>
      <w:r w:rsidR="0014301B" w:rsidRPr="0014301B">
        <w:rPr>
          <w:shd w:val="clear" w:color="auto" w:fill="FFFF00"/>
          <w:lang w:val="en-US"/>
        </w:rPr>
        <w:t xml:space="preserve"> (AJCC), </w:t>
      </w:r>
      <w:r w:rsidR="0014301B" w:rsidRPr="0014301B">
        <w:rPr>
          <w:color w:val="000000" w:themeColor="text1"/>
          <w:shd w:val="clear" w:color="auto" w:fill="FFFF00"/>
          <w:lang w:val="en-US"/>
        </w:rPr>
        <w:t>8th edition</w:t>
      </w:r>
      <w:r w:rsidRPr="006E0D30">
        <w:rPr>
          <w:color w:val="000000" w:themeColor="text1"/>
          <w:lang w:val="en-US"/>
        </w:rPr>
        <w:t>.</w:t>
      </w:r>
    </w:p>
    <w:p w14:paraId="30271B8E" w14:textId="77777777" w:rsidR="00170D4A" w:rsidRPr="006E0D30" w:rsidRDefault="00170D4A" w:rsidP="00170D4A">
      <w:pPr>
        <w:pStyle w:val="NormalWeb"/>
        <w:rPr>
          <w:color w:val="000000" w:themeColor="text1"/>
          <w:lang w:val="en-US"/>
        </w:rPr>
      </w:pPr>
      <w:r w:rsidRPr="006E0D30">
        <w:rPr>
          <w:color w:val="000000" w:themeColor="text1"/>
          <w:lang w:val="en-US"/>
        </w:rPr>
        <w:t>After multidisciplinary discussion, adjuvant treatment consisting of external beam pelvic radiotherapy, vaginal brachytherapy, and six cycles of paclitaxel–carboplatin chemotherapy was administered and completed in April 2022. Follow-up remained uneventful for more than two years.</w:t>
      </w:r>
    </w:p>
    <w:p w14:paraId="00EC772A" w14:textId="0AA443A1" w:rsidR="00B365A3" w:rsidRPr="006E0D30" w:rsidRDefault="00170D4A" w:rsidP="00170D4A">
      <w:pPr>
        <w:pStyle w:val="NormalWeb"/>
        <w:rPr>
          <w:color w:val="000000" w:themeColor="text1"/>
          <w:lang w:val="en-US"/>
        </w:rPr>
      </w:pPr>
      <w:r w:rsidRPr="006E0D30">
        <w:rPr>
          <w:color w:val="000000" w:themeColor="text1"/>
          <w:lang w:val="en-US"/>
        </w:rPr>
        <w:t>In March 2025, routine surveillance imaging revealed a median sub-umbilical abdominal wall mass that was not present on previous examinations. Abdominal magnetic resonance imaging demonstrated a parietal lesion hypointense on T2-weighted sequences, with peripheral enhancement after gadolinium administration and diffusion restriction, suggestive of abdominal wall metastasis</w:t>
      </w:r>
      <w:r w:rsidR="00D23846" w:rsidRPr="006E0D30">
        <w:rPr>
          <w:color w:val="000000" w:themeColor="text1"/>
          <w:lang w:val="en-US"/>
        </w:rPr>
        <w:t xml:space="preserve"> </w:t>
      </w:r>
      <w:r w:rsidR="00D23846" w:rsidRPr="006E0D30">
        <w:rPr>
          <w:b/>
          <w:bCs/>
          <w:color w:val="000000" w:themeColor="text1"/>
          <w:lang w:val="en-US"/>
        </w:rPr>
        <w:t>(Fig</w:t>
      </w:r>
      <w:r w:rsidR="00233930" w:rsidRPr="006E0D30">
        <w:rPr>
          <w:b/>
          <w:bCs/>
          <w:color w:val="000000" w:themeColor="text1"/>
          <w:lang w:val="en-US"/>
        </w:rPr>
        <w:t>.</w:t>
      </w:r>
      <w:r w:rsidR="00D23846" w:rsidRPr="006E0D30">
        <w:rPr>
          <w:b/>
          <w:bCs/>
          <w:color w:val="000000" w:themeColor="text1"/>
          <w:lang w:val="en-US"/>
        </w:rPr>
        <w:t>1)</w:t>
      </w:r>
      <w:r w:rsidRPr="006E0D30">
        <w:rPr>
          <w:color w:val="000000" w:themeColor="text1"/>
          <w:lang w:val="en-US"/>
        </w:rPr>
        <w:t>.</w:t>
      </w:r>
    </w:p>
    <w:p w14:paraId="5AC321E6" w14:textId="0ABCDA57" w:rsidR="00B365A3" w:rsidRPr="00B94425" w:rsidRDefault="00B365A3" w:rsidP="00170D4A">
      <w:pPr>
        <w:pStyle w:val="NormalWeb"/>
        <w:rPr>
          <w:color w:val="000000" w:themeColor="text1"/>
        </w:rPr>
      </w:pPr>
      <w:r w:rsidRPr="00B94425">
        <w:rPr>
          <w:noProof/>
          <w:color w:val="000000" w:themeColor="text1"/>
        </w:rPr>
        <w:lastRenderedPageBreak/>
        <w:drawing>
          <wp:inline distT="0" distB="0" distL="0" distR="0" wp14:anchorId="0A10FB60" wp14:editId="48883517">
            <wp:extent cx="4921250" cy="4038600"/>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1250" cy="4038600"/>
                    </a:xfrm>
                    <a:prstGeom prst="rect">
                      <a:avLst/>
                    </a:prstGeom>
                    <a:noFill/>
                    <a:ln>
                      <a:noFill/>
                    </a:ln>
                  </pic:spPr>
                </pic:pic>
              </a:graphicData>
            </a:graphic>
          </wp:inline>
        </w:drawing>
      </w:r>
    </w:p>
    <w:p w14:paraId="1E62E5AD" w14:textId="6396FC36" w:rsidR="00B365A3" w:rsidRPr="006E0D30" w:rsidRDefault="00B365A3" w:rsidP="00B365A3">
      <w:pPr>
        <w:rPr>
          <w:color w:val="000000" w:themeColor="text1"/>
          <w:lang w:val="en-US"/>
        </w:rPr>
      </w:pPr>
      <w:r w:rsidRPr="006E0D30">
        <w:rPr>
          <w:rFonts w:ascii="Times New Roman" w:hAnsi="Times New Roman" w:cs="Times New Roman"/>
          <w:b/>
          <w:bCs/>
          <w:color w:val="000000" w:themeColor="text1"/>
          <w:sz w:val="24"/>
          <w:szCs w:val="24"/>
          <w:lang w:val="en-US"/>
        </w:rPr>
        <w:t>Fig.</w:t>
      </w:r>
      <w:proofErr w:type="gramStart"/>
      <w:r w:rsidRPr="006E0D30">
        <w:rPr>
          <w:rFonts w:ascii="Times New Roman" w:hAnsi="Times New Roman" w:cs="Times New Roman"/>
          <w:b/>
          <w:bCs/>
          <w:color w:val="000000" w:themeColor="text1"/>
          <w:sz w:val="24"/>
          <w:szCs w:val="24"/>
          <w:lang w:val="en-US"/>
        </w:rPr>
        <w:t>1</w:t>
      </w:r>
      <w:r w:rsidR="00180501" w:rsidRPr="006E0D30">
        <w:rPr>
          <w:b/>
          <w:bCs/>
          <w:color w:val="000000" w:themeColor="text1"/>
          <w:lang w:val="en-US"/>
        </w:rPr>
        <w:t> </w:t>
      </w:r>
      <w:r w:rsidR="00180501" w:rsidRPr="006E0D30">
        <w:rPr>
          <w:color w:val="000000" w:themeColor="text1"/>
          <w:lang w:val="en-US"/>
        </w:rPr>
        <w:t>:</w:t>
      </w:r>
      <w:proofErr w:type="gramEnd"/>
      <w:r w:rsidRPr="006E0D30">
        <w:rPr>
          <w:color w:val="000000" w:themeColor="text1"/>
          <w:lang w:val="en-US"/>
        </w:rPr>
        <w:t xml:space="preserve"> Preoperative abdominal magnetic resonance imaging (MRI) showing a median abdominal wall mass.</w:t>
      </w:r>
    </w:p>
    <w:p w14:paraId="5311CDA7" w14:textId="77777777" w:rsidR="00B365A3" w:rsidRPr="006E0D30" w:rsidRDefault="00B365A3" w:rsidP="00B365A3">
      <w:pPr>
        <w:rPr>
          <w:color w:val="000000" w:themeColor="text1"/>
          <w:lang w:val="en-US"/>
        </w:rPr>
      </w:pPr>
      <w:r w:rsidRPr="006E0D30">
        <w:rPr>
          <w:color w:val="000000" w:themeColor="text1"/>
          <w:lang w:val="en-US"/>
        </w:rPr>
        <w:t>(A) Axial T2-weighted sequence without fat suppression demonstrating a hypointense parietal lesion.</w:t>
      </w:r>
    </w:p>
    <w:p w14:paraId="6D0B5529" w14:textId="77777777" w:rsidR="00B365A3" w:rsidRPr="006E0D30" w:rsidRDefault="00B365A3" w:rsidP="00B365A3">
      <w:pPr>
        <w:rPr>
          <w:color w:val="000000" w:themeColor="text1"/>
          <w:lang w:val="en-US"/>
        </w:rPr>
      </w:pPr>
      <w:r w:rsidRPr="006E0D30">
        <w:rPr>
          <w:color w:val="000000" w:themeColor="text1"/>
          <w:lang w:val="en-US"/>
        </w:rPr>
        <w:t>(B) Sagittal T2-weighted sequence confirming the anterior abdominal wall location.</w:t>
      </w:r>
    </w:p>
    <w:p w14:paraId="66CEE966" w14:textId="77777777" w:rsidR="00B365A3" w:rsidRPr="006E0D30" w:rsidRDefault="00B365A3" w:rsidP="00B365A3">
      <w:pPr>
        <w:rPr>
          <w:color w:val="000000" w:themeColor="text1"/>
          <w:lang w:val="en-US"/>
        </w:rPr>
      </w:pPr>
      <w:r w:rsidRPr="006E0D30">
        <w:rPr>
          <w:color w:val="000000" w:themeColor="text1"/>
          <w:lang w:val="en-US"/>
        </w:rPr>
        <w:t>(C) T1-weighted sequence after gadolinium administration showing peripheral enhancement.</w:t>
      </w:r>
    </w:p>
    <w:p w14:paraId="2ADCD04A" w14:textId="77777777" w:rsidR="00B365A3" w:rsidRPr="006E0D30" w:rsidRDefault="00B365A3" w:rsidP="00B365A3">
      <w:pPr>
        <w:rPr>
          <w:color w:val="000000" w:themeColor="text1"/>
          <w:lang w:val="en-US"/>
        </w:rPr>
      </w:pPr>
      <w:r w:rsidRPr="006E0D30">
        <w:rPr>
          <w:color w:val="000000" w:themeColor="text1"/>
          <w:lang w:val="en-US"/>
        </w:rPr>
        <w:t>(D) Diffusion-weighted imaging demonstrating peripheral diffusion restriction, consistent with abdominal wall metastasis</w:t>
      </w:r>
    </w:p>
    <w:p w14:paraId="4C36DF6C" w14:textId="77777777" w:rsidR="00B365A3" w:rsidRPr="006E0D30" w:rsidRDefault="00B365A3" w:rsidP="00170D4A">
      <w:pPr>
        <w:pStyle w:val="NormalWeb"/>
        <w:rPr>
          <w:color w:val="000000" w:themeColor="text1"/>
          <w:lang w:val="en-US"/>
        </w:rPr>
      </w:pPr>
    </w:p>
    <w:p w14:paraId="6758E555" w14:textId="4081BCDA" w:rsidR="00170D4A" w:rsidRPr="006E0D30" w:rsidRDefault="00170D4A" w:rsidP="00170D4A">
      <w:pPr>
        <w:pStyle w:val="NormalWeb"/>
        <w:rPr>
          <w:color w:val="000000" w:themeColor="text1"/>
          <w:lang w:val="en-US"/>
        </w:rPr>
      </w:pPr>
      <w:r w:rsidRPr="006E0D30">
        <w:rPr>
          <w:color w:val="000000" w:themeColor="text1"/>
          <w:lang w:val="en-US"/>
        </w:rPr>
        <w:t xml:space="preserve"> Core needle biopsy showed a poorly differentiated carcinoma. </w:t>
      </w:r>
      <w:r w:rsidRPr="00A03F8A">
        <w:rPr>
          <w:color w:val="000000" w:themeColor="text1"/>
          <w:shd w:val="clear" w:color="auto" w:fill="FFFF00"/>
          <w:lang w:val="en-US"/>
        </w:rPr>
        <w:t>Immunohistochemical staining revealed positivity for CK7 and PAX8, with negativity for estrogen and progesterone receptors, supporting recurrence of the known gynecologic malignancy.</w:t>
      </w:r>
    </w:p>
    <w:p w14:paraId="4B7B0A19" w14:textId="48852306" w:rsidR="00422389" w:rsidRPr="006E0D30" w:rsidRDefault="00170D4A" w:rsidP="00170D4A">
      <w:pPr>
        <w:pStyle w:val="NormalWeb"/>
        <w:rPr>
          <w:color w:val="000000" w:themeColor="text1"/>
          <w:lang w:val="en-US"/>
        </w:rPr>
      </w:pPr>
      <w:r w:rsidRPr="006E0D30">
        <w:rPr>
          <w:color w:val="000000" w:themeColor="text1"/>
          <w:lang w:val="en-US"/>
        </w:rPr>
        <w:t>Following multidisciplinary discussion, surgical management was recommended. Wide en bloc excision of the abdominal wall tumor was performed through a midline incision</w:t>
      </w:r>
      <w:r w:rsidR="00D23846" w:rsidRPr="006E0D30">
        <w:rPr>
          <w:color w:val="000000" w:themeColor="text1"/>
          <w:lang w:val="en-US"/>
        </w:rPr>
        <w:t xml:space="preserve"> </w:t>
      </w:r>
      <w:r w:rsidR="00D23846" w:rsidRPr="006E0D30">
        <w:rPr>
          <w:b/>
          <w:bCs/>
          <w:color w:val="000000" w:themeColor="text1"/>
          <w:lang w:val="en-US"/>
        </w:rPr>
        <w:t>(Fig</w:t>
      </w:r>
      <w:r w:rsidR="00233930" w:rsidRPr="006E0D30">
        <w:rPr>
          <w:b/>
          <w:bCs/>
          <w:color w:val="000000" w:themeColor="text1"/>
          <w:lang w:val="en-US"/>
        </w:rPr>
        <w:t>.</w:t>
      </w:r>
      <w:r w:rsidR="00D23846" w:rsidRPr="006E0D30">
        <w:rPr>
          <w:b/>
          <w:bCs/>
          <w:color w:val="000000" w:themeColor="text1"/>
          <w:lang w:val="en-US"/>
        </w:rPr>
        <w:t>2)</w:t>
      </w:r>
      <w:r w:rsidRPr="006E0D30">
        <w:rPr>
          <w:color w:val="000000" w:themeColor="text1"/>
          <w:lang w:val="en-US"/>
        </w:rPr>
        <w:t>, including the involved soft tissues and fascia</w:t>
      </w:r>
      <w:r w:rsidR="00D23846" w:rsidRPr="006E0D30">
        <w:rPr>
          <w:color w:val="000000" w:themeColor="text1"/>
          <w:lang w:val="en-US"/>
        </w:rPr>
        <w:t xml:space="preserve"> </w:t>
      </w:r>
      <w:r w:rsidR="00D23846" w:rsidRPr="006E0D30">
        <w:rPr>
          <w:b/>
          <w:bCs/>
          <w:color w:val="000000" w:themeColor="text1"/>
          <w:lang w:val="en-US"/>
        </w:rPr>
        <w:t>(Fig</w:t>
      </w:r>
      <w:r w:rsidR="00233930" w:rsidRPr="006E0D30">
        <w:rPr>
          <w:b/>
          <w:bCs/>
          <w:color w:val="000000" w:themeColor="text1"/>
          <w:lang w:val="en-US"/>
        </w:rPr>
        <w:t>.</w:t>
      </w:r>
      <w:r w:rsidR="00D23846" w:rsidRPr="006E0D30">
        <w:rPr>
          <w:b/>
          <w:bCs/>
          <w:color w:val="000000" w:themeColor="text1"/>
          <w:lang w:val="en-US"/>
        </w:rPr>
        <w:t xml:space="preserve"> 3</w:t>
      </w:r>
      <w:r w:rsidR="003B1785" w:rsidRPr="006E0D30">
        <w:rPr>
          <w:b/>
          <w:bCs/>
          <w:color w:val="000000" w:themeColor="text1"/>
          <w:lang w:val="en-US"/>
        </w:rPr>
        <w:t>-4</w:t>
      </w:r>
      <w:r w:rsidR="00D23846" w:rsidRPr="006E0D30">
        <w:rPr>
          <w:b/>
          <w:bCs/>
          <w:color w:val="000000" w:themeColor="text1"/>
          <w:lang w:val="en-US"/>
        </w:rPr>
        <w:t>)</w:t>
      </w:r>
      <w:r w:rsidRPr="006E0D30">
        <w:rPr>
          <w:color w:val="000000" w:themeColor="text1"/>
          <w:lang w:val="en-US"/>
        </w:rPr>
        <w:t>.</w:t>
      </w:r>
    </w:p>
    <w:p w14:paraId="369D70E0" w14:textId="3110181F" w:rsidR="00422389" w:rsidRPr="00B94425" w:rsidRDefault="00422389" w:rsidP="00170D4A">
      <w:pPr>
        <w:pStyle w:val="NormalWeb"/>
        <w:rPr>
          <w:color w:val="000000" w:themeColor="text1"/>
        </w:rPr>
      </w:pPr>
      <w:r w:rsidRPr="00B94425">
        <w:rPr>
          <w:noProof/>
          <w:color w:val="000000" w:themeColor="text1"/>
        </w:rPr>
        <w:lastRenderedPageBreak/>
        <w:drawing>
          <wp:inline distT="0" distB="0" distL="0" distR="0" wp14:anchorId="517A3B25" wp14:editId="09BF3A1F">
            <wp:extent cx="3219450" cy="2698750"/>
            <wp:effectExtent l="0" t="0" r="0" b="635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450" cy="2698750"/>
                    </a:xfrm>
                    <a:prstGeom prst="rect">
                      <a:avLst/>
                    </a:prstGeom>
                    <a:noFill/>
                    <a:ln>
                      <a:noFill/>
                    </a:ln>
                  </pic:spPr>
                </pic:pic>
              </a:graphicData>
            </a:graphic>
          </wp:inline>
        </w:drawing>
      </w:r>
    </w:p>
    <w:p w14:paraId="7DEE34C5" w14:textId="0415A930" w:rsidR="00180501" w:rsidRPr="006E0D30" w:rsidRDefault="00180501" w:rsidP="00180501">
      <w:pPr>
        <w:rPr>
          <w:color w:val="000000" w:themeColor="text1"/>
          <w:lang w:val="en-US"/>
        </w:rPr>
      </w:pPr>
      <w:r w:rsidRPr="006E0D30">
        <w:rPr>
          <w:rFonts w:ascii="Times New Roman" w:hAnsi="Times New Roman" w:cs="Times New Roman"/>
          <w:b/>
          <w:bCs/>
          <w:color w:val="000000" w:themeColor="text1"/>
          <w:sz w:val="24"/>
          <w:szCs w:val="24"/>
          <w:lang w:val="en-US"/>
        </w:rPr>
        <w:t>Fig.</w:t>
      </w:r>
      <w:proofErr w:type="gramStart"/>
      <w:r w:rsidRPr="006E0D30">
        <w:rPr>
          <w:rFonts w:ascii="Times New Roman" w:hAnsi="Times New Roman" w:cs="Times New Roman"/>
          <w:b/>
          <w:bCs/>
          <w:color w:val="000000" w:themeColor="text1"/>
          <w:sz w:val="24"/>
          <w:szCs w:val="24"/>
          <w:lang w:val="en-US"/>
        </w:rPr>
        <w:t>2</w:t>
      </w:r>
      <w:r w:rsidRPr="006E0D30">
        <w:rPr>
          <w:color w:val="000000" w:themeColor="text1"/>
          <w:lang w:val="en-US"/>
        </w:rPr>
        <w:t> :</w:t>
      </w:r>
      <w:proofErr w:type="gramEnd"/>
      <w:r w:rsidRPr="006E0D30">
        <w:rPr>
          <w:color w:val="000000" w:themeColor="text1"/>
          <w:lang w:val="en-US"/>
        </w:rPr>
        <w:t xml:space="preserve"> Preoperative cutaneous marking of the sub-umbilical abdominal wall recurrence, outlining the planned wide oncologic excision with safety margins.</w:t>
      </w:r>
    </w:p>
    <w:p w14:paraId="23E2EFEE" w14:textId="77777777" w:rsidR="00422389" w:rsidRPr="006E0D30" w:rsidRDefault="00422389" w:rsidP="00170D4A">
      <w:pPr>
        <w:pStyle w:val="NormalWeb"/>
        <w:rPr>
          <w:color w:val="000000" w:themeColor="text1"/>
          <w:lang w:val="en-US"/>
        </w:rPr>
      </w:pPr>
    </w:p>
    <w:p w14:paraId="6917D417" w14:textId="746B6A20" w:rsidR="00422389" w:rsidRPr="00B94425" w:rsidRDefault="00422389" w:rsidP="00170D4A">
      <w:pPr>
        <w:pStyle w:val="NormalWeb"/>
        <w:rPr>
          <w:color w:val="000000" w:themeColor="text1"/>
        </w:rPr>
      </w:pPr>
      <w:r w:rsidRPr="00B94425">
        <w:rPr>
          <w:noProof/>
          <w:color w:val="000000" w:themeColor="text1"/>
        </w:rPr>
        <w:drawing>
          <wp:inline distT="0" distB="0" distL="0" distR="0" wp14:anchorId="061BCD02" wp14:editId="0F441653">
            <wp:extent cx="2959100" cy="202565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100" cy="2025650"/>
                    </a:xfrm>
                    <a:prstGeom prst="rect">
                      <a:avLst/>
                    </a:prstGeom>
                    <a:noFill/>
                    <a:ln>
                      <a:noFill/>
                    </a:ln>
                  </pic:spPr>
                </pic:pic>
              </a:graphicData>
            </a:graphic>
          </wp:inline>
        </w:drawing>
      </w:r>
      <w:r w:rsidR="00180501" w:rsidRPr="00B94425">
        <w:rPr>
          <w:noProof/>
          <w:color w:val="000000" w:themeColor="text1"/>
        </w:rPr>
        <w:drawing>
          <wp:inline distT="0" distB="0" distL="0" distR="0" wp14:anchorId="57D3322D" wp14:editId="540A9F35">
            <wp:extent cx="2978150" cy="2469515"/>
            <wp:effectExtent l="0" t="0" r="0" b="698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8150" cy="2469515"/>
                    </a:xfrm>
                    <a:prstGeom prst="rect">
                      <a:avLst/>
                    </a:prstGeom>
                    <a:noFill/>
                    <a:ln>
                      <a:noFill/>
                    </a:ln>
                  </pic:spPr>
                </pic:pic>
              </a:graphicData>
            </a:graphic>
          </wp:inline>
        </w:drawing>
      </w:r>
    </w:p>
    <w:p w14:paraId="1723AC2F" w14:textId="092D1B42" w:rsidR="00422389" w:rsidRPr="006E0D30" w:rsidRDefault="00180501" w:rsidP="00170D4A">
      <w:pPr>
        <w:pStyle w:val="NormalWeb"/>
        <w:rPr>
          <w:b/>
          <w:bCs/>
          <w:color w:val="000000" w:themeColor="text1"/>
          <w:lang w:val="en-US"/>
        </w:rPr>
      </w:pPr>
      <w:r w:rsidRPr="006E0D30">
        <w:rPr>
          <w:b/>
          <w:bCs/>
          <w:color w:val="000000" w:themeColor="text1"/>
          <w:lang w:val="en-US"/>
        </w:rPr>
        <w:t>Fig</w:t>
      </w:r>
      <w:r w:rsidR="000B2232" w:rsidRPr="006E0D30">
        <w:rPr>
          <w:b/>
          <w:bCs/>
          <w:color w:val="000000" w:themeColor="text1"/>
          <w:lang w:val="en-US"/>
        </w:rPr>
        <w:t xml:space="preserve"> </w:t>
      </w:r>
      <w:r w:rsidRPr="006E0D30">
        <w:rPr>
          <w:b/>
          <w:bCs/>
          <w:color w:val="000000" w:themeColor="text1"/>
          <w:lang w:val="en-US"/>
        </w:rPr>
        <w:t>3</w:t>
      </w:r>
      <w:r w:rsidR="000B2232" w:rsidRPr="006E0D30">
        <w:rPr>
          <w:b/>
          <w:bCs/>
          <w:color w:val="000000" w:themeColor="text1"/>
          <w:lang w:val="en-US"/>
        </w:rPr>
        <w:t xml:space="preserve"> &amp; </w:t>
      </w:r>
      <w:proofErr w:type="gramStart"/>
      <w:r w:rsidRPr="006E0D30">
        <w:rPr>
          <w:b/>
          <w:bCs/>
          <w:color w:val="000000" w:themeColor="text1"/>
          <w:lang w:val="en-US"/>
        </w:rPr>
        <w:t>4 :</w:t>
      </w:r>
      <w:proofErr w:type="gramEnd"/>
      <w:r w:rsidRPr="006E0D30">
        <w:rPr>
          <w:color w:val="000000" w:themeColor="text1"/>
          <w:lang w:val="en-US"/>
        </w:rPr>
        <w:t xml:space="preserve"> Macroscopic appearance of the surgical specimen corresponding to the abdominal wall recurrence, sent for histopathological examination</w:t>
      </w:r>
    </w:p>
    <w:p w14:paraId="3D238A0F" w14:textId="3CDEF069" w:rsidR="00422389" w:rsidRPr="006E0D30" w:rsidRDefault="00422389" w:rsidP="00170D4A">
      <w:pPr>
        <w:pStyle w:val="NormalWeb"/>
        <w:rPr>
          <w:color w:val="000000" w:themeColor="text1"/>
          <w:lang w:val="en-US"/>
        </w:rPr>
      </w:pPr>
    </w:p>
    <w:p w14:paraId="5BBA8440" w14:textId="77777777" w:rsidR="00180501" w:rsidRPr="006E0D30" w:rsidRDefault="00180501" w:rsidP="00170D4A">
      <w:pPr>
        <w:pStyle w:val="NormalWeb"/>
        <w:rPr>
          <w:color w:val="000000" w:themeColor="text1"/>
          <w:lang w:val="en-US"/>
        </w:rPr>
      </w:pPr>
    </w:p>
    <w:p w14:paraId="57AE42F9" w14:textId="3E158C77" w:rsidR="00180501" w:rsidRPr="006E0D30" w:rsidRDefault="00170D4A" w:rsidP="00170D4A">
      <w:pPr>
        <w:pStyle w:val="NormalWeb"/>
        <w:rPr>
          <w:color w:val="000000" w:themeColor="text1"/>
          <w:lang w:val="en-US"/>
        </w:rPr>
      </w:pPr>
      <w:r w:rsidRPr="006E0D30">
        <w:rPr>
          <w:color w:val="000000" w:themeColor="text1"/>
          <w:lang w:val="en-US"/>
        </w:rPr>
        <w:t>No peritoneal carcinomatosis or ascites was observed intraoperatively</w:t>
      </w:r>
      <w:r w:rsidR="00D23846" w:rsidRPr="006E0D30">
        <w:rPr>
          <w:color w:val="000000" w:themeColor="text1"/>
          <w:lang w:val="en-US"/>
        </w:rPr>
        <w:t xml:space="preserve"> </w:t>
      </w:r>
      <w:r w:rsidR="00D23846" w:rsidRPr="006E0D30">
        <w:rPr>
          <w:b/>
          <w:bCs/>
          <w:color w:val="000000" w:themeColor="text1"/>
          <w:lang w:val="en-US"/>
        </w:rPr>
        <w:t>(Fig</w:t>
      </w:r>
      <w:r w:rsidR="00233930" w:rsidRPr="006E0D30">
        <w:rPr>
          <w:b/>
          <w:bCs/>
          <w:color w:val="000000" w:themeColor="text1"/>
          <w:lang w:val="en-US"/>
        </w:rPr>
        <w:t>.</w:t>
      </w:r>
      <w:r w:rsidR="00D23846" w:rsidRPr="006E0D30">
        <w:rPr>
          <w:b/>
          <w:bCs/>
          <w:color w:val="000000" w:themeColor="text1"/>
          <w:lang w:val="en-US"/>
        </w:rPr>
        <w:t xml:space="preserve"> </w:t>
      </w:r>
      <w:r w:rsidR="003B1785" w:rsidRPr="006E0D30">
        <w:rPr>
          <w:b/>
          <w:bCs/>
          <w:color w:val="000000" w:themeColor="text1"/>
          <w:lang w:val="en-US"/>
        </w:rPr>
        <w:t>5</w:t>
      </w:r>
      <w:r w:rsidR="00D23846" w:rsidRPr="006E0D30">
        <w:rPr>
          <w:b/>
          <w:bCs/>
          <w:color w:val="000000" w:themeColor="text1"/>
          <w:lang w:val="en-US"/>
        </w:rPr>
        <w:t>)</w:t>
      </w:r>
      <w:r w:rsidRPr="006E0D30">
        <w:rPr>
          <w:color w:val="000000" w:themeColor="text1"/>
          <w:lang w:val="en-US"/>
        </w:rPr>
        <w:t xml:space="preserve">. </w:t>
      </w:r>
    </w:p>
    <w:p w14:paraId="2A4602C0" w14:textId="77777777" w:rsidR="00180501" w:rsidRPr="006E0D30" w:rsidRDefault="00180501" w:rsidP="00170D4A">
      <w:pPr>
        <w:pStyle w:val="NormalWeb"/>
        <w:rPr>
          <w:color w:val="000000" w:themeColor="text1"/>
          <w:lang w:val="en-US"/>
        </w:rPr>
      </w:pPr>
    </w:p>
    <w:p w14:paraId="0132386A" w14:textId="77777777" w:rsidR="00180501" w:rsidRPr="00B94425" w:rsidRDefault="00180501" w:rsidP="00170D4A">
      <w:pPr>
        <w:pStyle w:val="NormalWeb"/>
        <w:rPr>
          <w:color w:val="000000" w:themeColor="text1"/>
        </w:rPr>
      </w:pPr>
      <w:r w:rsidRPr="00B94425">
        <w:rPr>
          <w:noProof/>
          <w:color w:val="000000" w:themeColor="text1"/>
        </w:rPr>
        <w:drawing>
          <wp:inline distT="0" distB="0" distL="0" distR="0" wp14:anchorId="107CBE0F" wp14:editId="27E889D8">
            <wp:extent cx="2825750" cy="24758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657" cy="2497688"/>
                    </a:xfrm>
                    <a:prstGeom prst="rect">
                      <a:avLst/>
                    </a:prstGeom>
                    <a:noFill/>
                    <a:ln>
                      <a:noFill/>
                    </a:ln>
                  </pic:spPr>
                </pic:pic>
              </a:graphicData>
            </a:graphic>
          </wp:inline>
        </w:drawing>
      </w:r>
    </w:p>
    <w:p w14:paraId="7E676EFE" w14:textId="0145FAAD" w:rsidR="00180501" w:rsidRPr="006E0D30" w:rsidRDefault="005E60DE" w:rsidP="00170D4A">
      <w:pPr>
        <w:pStyle w:val="NormalWeb"/>
        <w:rPr>
          <w:color w:val="000000" w:themeColor="text1"/>
          <w:lang w:val="en-US"/>
        </w:rPr>
      </w:pPr>
      <w:r w:rsidRPr="006E0D30">
        <w:rPr>
          <w:b/>
          <w:bCs/>
          <w:color w:val="000000" w:themeColor="text1"/>
          <w:lang w:val="en-US"/>
        </w:rPr>
        <w:t>Fig.</w:t>
      </w:r>
      <w:proofErr w:type="gramStart"/>
      <w:r w:rsidRPr="006E0D30">
        <w:rPr>
          <w:b/>
          <w:bCs/>
          <w:color w:val="000000" w:themeColor="text1"/>
          <w:lang w:val="en-US"/>
        </w:rPr>
        <w:t>5</w:t>
      </w:r>
      <w:r w:rsidRPr="006E0D30">
        <w:rPr>
          <w:color w:val="000000" w:themeColor="text1"/>
          <w:lang w:val="en-US"/>
        </w:rPr>
        <w:t> </w:t>
      </w:r>
      <w:r w:rsidRPr="006E0D30">
        <w:rPr>
          <w:b/>
          <w:bCs/>
          <w:color w:val="000000" w:themeColor="text1"/>
          <w:lang w:val="en-US"/>
        </w:rPr>
        <w:t>:</w:t>
      </w:r>
      <w:proofErr w:type="gramEnd"/>
      <w:r w:rsidR="00180501" w:rsidRPr="006E0D30">
        <w:rPr>
          <w:b/>
          <w:bCs/>
          <w:color w:val="000000" w:themeColor="text1"/>
          <w:lang w:val="en-US"/>
        </w:rPr>
        <w:t xml:space="preserve"> </w:t>
      </w:r>
      <w:r w:rsidR="00180501" w:rsidRPr="006E0D30">
        <w:rPr>
          <w:color w:val="000000" w:themeColor="text1"/>
          <w:lang w:val="en-US"/>
        </w:rPr>
        <w:t xml:space="preserve">Intraoperative view showing en bloc resection of the abdominal wall tumor through a midline iterative </w:t>
      </w:r>
      <w:r w:rsidRPr="006E0D30">
        <w:rPr>
          <w:color w:val="000000" w:themeColor="text1"/>
          <w:lang w:val="en-US"/>
        </w:rPr>
        <w:t>showing</w:t>
      </w:r>
      <w:r w:rsidR="00180501" w:rsidRPr="006E0D30">
        <w:rPr>
          <w:color w:val="000000" w:themeColor="text1"/>
          <w:lang w:val="en-US"/>
        </w:rPr>
        <w:t xml:space="preserve"> no ascites</w:t>
      </w:r>
      <w:r w:rsidRPr="006E0D30">
        <w:rPr>
          <w:color w:val="000000" w:themeColor="text1"/>
          <w:lang w:val="en-US"/>
        </w:rPr>
        <w:t xml:space="preserve"> and no peritoneal carcinomatosis</w:t>
      </w:r>
      <w:r w:rsidR="00180501" w:rsidRPr="006E0D30">
        <w:rPr>
          <w:color w:val="000000" w:themeColor="text1"/>
          <w:lang w:val="en-US"/>
        </w:rPr>
        <w:t xml:space="preserve"> </w:t>
      </w:r>
    </w:p>
    <w:p w14:paraId="67395B98" w14:textId="77777777" w:rsidR="00180501" w:rsidRPr="006E0D30" w:rsidRDefault="00170D4A" w:rsidP="00170D4A">
      <w:pPr>
        <w:pStyle w:val="NormalWeb"/>
        <w:rPr>
          <w:color w:val="000000" w:themeColor="text1"/>
          <w:lang w:val="en-US"/>
        </w:rPr>
      </w:pPr>
      <w:r w:rsidRPr="006E0D30">
        <w:rPr>
          <w:color w:val="000000" w:themeColor="text1"/>
          <w:lang w:val="en-US"/>
        </w:rPr>
        <w:t>The resulting abdominal wall defect was reconstructed using a dual-layer intraperitoneal mesh measuring 30 × 30 cm</w:t>
      </w:r>
      <w:r w:rsidR="003B1785" w:rsidRPr="006E0D30">
        <w:rPr>
          <w:color w:val="000000" w:themeColor="text1"/>
          <w:lang w:val="en-US"/>
        </w:rPr>
        <w:t xml:space="preserve"> </w:t>
      </w:r>
      <w:r w:rsidR="003B1785" w:rsidRPr="006E0D30">
        <w:rPr>
          <w:b/>
          <w:bCs/>
          <w:color w:val="000000" w:themeColor="text1"/>
          <w:lang w:val="en-US"/>
        </w:rPr>
        <w:t>(Fig</w:t>
      </w:r>
      <w:r w:rsidR="00233930" w:rsidRPr="006E0D30">
        <w:rPr>
          <w:b/>
          <w:bCs/>
          <w:color w:val="000000" w:themeColor="text1"/>
          <w:lang w:val="en-US"/>
        </w:rPr>
        <w:t>.</w:t>
      </w:r>
      <w:r w:rsidR="003B1785" w:rsidRPr="006E0D30">
        <w:rPr>
          <w:b/>
          <w:bCs/>
          <w:color w:val="000000" w:themeColor="text1"/>
          <w:lang w:val="en-US"/>
        </w:rPr>
        <w:t xml:space="preserve"> 6)</w:t>
      </w:r>
      <w:r w:rsidRPr="006E0D30">
        <w:rPr>
          <w:color w:val="000000" w:themeColor="text1"/>
          <w:lang w:val="en-US"/>
        </w:rPr>
        <w:t>.</w:t>
      </w:r>
    </w:p>
    <w:p w14:paraId="689092A9" w14:textId="52165BE8" w:rsidR="00180501" w:rsidRPr="00B94425" w:rsidRDefault="00170D4A" w:rsidP="00170D4A">
      <w:pPr>
        <w:pStyle w:val="NormalWeb"/>
        <w:rPr>
          <w:color w:val="000000" w:themeColor="text1"/>
        </w:rPr>
      </w:pPr>
      <w:r w:rsidRPr="006E0D30">
        <w:rPr>
          <w:color w:val="000000" w:themeColor="text1"/>
          <w:lang w:val="en-US"/>
        </w:rPr>
        <w:t xml:space="preserve"> </w:t>
      </w:r>
      <w:r w:rsidR="00180501" w:rsidRPr="00B94425">
        <w:rPr>
          <w:noProof/>
          <w:color w:val="000000" w:themeColor="text1"/>
        </w:rPr>
        <w:drawing>
          <wp:inline distT="0" distB="0" distL="0" distR="0" wp14:anchorId="3ED0C7A5" wp14:editId="7E322A6D">
            <wp:extent cx="2908300" cy="2882900"/>
            <wp:effectExtent l="0" t="0" r="635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300" cy="2882900"/>
                    </a:xfrm>
                    <a:prstGeom prst="rect">
                      <a:avLst/>
                    </a:prstGeom>
                    <a:noFill/>
                    <a:ln>
                      <a:noFill/>
                    </a:ln>
                  </pic:spPr>
                </pic:pic>
              </a:graphicData>
            </a:graphic>
          </wp:inline>
        </w:drawing>
      </w:r>
    </w:p>
    <w:p w14:paraId="64C0C787" w14:textId="77777777" w:rsidR="005E60DE" w:rsidRPr="006E0D30" w:rsidRDefault="005E60DE" w:rsidP="005E60DE">
      <w:pPr>
        <w:rPr>
          <w:color w:val="000000" w:themeColor="text1"/>
          <w:lang w:val="en-US"/>
        </w:rPr>
      </w:pPr>
      <w:r w:rsidRPr="006E0D30">
        <w:rPr>
          <w:b/>
          <w:bCs/>
          <w:color w:val="000000" w:themeColor="text1"/>
          <w:lang w:val="en-US"/>
        </w:rPr>
        <w:t>Fig.</w:t>
      </w:r>
      <w:proofErr w:type="gramStart"/>
      <w:r w:rsidRPr="006E0D30">
        <w:rPr>
          <w:b/>
          <w:bCs/>
          <w:color w:val="000000" w:themeColor="text1"/>
          <w:lang w:val="en-US"/>
        </w:rPr>
        <w:t>6 :</w:t>
      </w:r>
      <w:proofErr w:type="gramEnd"/>
      <w:r w:rsidRPr="006E0D30">
        <w:rPr>
          <w:color w:val="000000" w:themeColor="text1"/>
          <w:lang w:val="en-US"/>
        </w:rPr>
        <w:t xml:space="preserve"> Abdominal wall reconstruction using a dual-layer intraperitoneal mesh following wide tumor excision.</w:t>
      </w:r>
    </w:p>
    <w:p w14:paraId="2315040E" w14:textId="66E11A74" w:rsidR="00180501" w:rsidRPr="006E0D30" w:rsidRDefault="00170D4A" w:rsidP="005E60DE">
      <w:pPr>
        <w:rPr>
          <w:color w:val="000000" w:themeColor="text1"/>
          <w:lang w:val="en-US"/>
        </w:rPr>
      </w:pPr>
      <w:r w:rsidRPr="006E0D30">
        <w:rPr>
          <w:color w:val="000000" w:themeColor="text1"/>
          <w:lang w:val="en-US"/>
        </w:rPr>
        <w:t>The postoperative course was uneventful.</w:t>
      </w:r>
    </w:p>
    <w:p w14:paraId="11F00AC5" w14:textId="51A787E4" w:rsidR="009C195B" w:rsidRPr="006E0D30" w:rsidRDefault="003D3336" w:rsidP="00170D4A">
      <w:pPr>
        <w:pStyle w:val="NormalWeb"/>
        <w:rPr>
          <w:color w:val="000000" w:themeColor="text1"/>
          <w:lang w:val="en-US"/>
        </w:rPr>
      </w:pPr>
      <w:r w:rsidRPr="006E0D30">
        <w:rPr>
          <w:color w:val="000000" w:themeColor="text1"/>
          <w:lang w:val="en-US"/>
        </w:rPr>
        <w:lastRenderedPageBreak/>
        <w:t xml:space="preserve">Final </w:t>
      </w:r>
      <w:r w:rsidR="009C195B" w:rsidRPr="006E0D30">
        <w:rPr>
          <w:color w:val="000000" w:themeColor="text1"/>
          <w:lang w:val="en-US"/>
        </w:rPr>
        <w:t xml:space="preserve">Histopathological examination of the surgical specimen </w:t>
      </w:r>
      <w:proofErr w:type="gramStart"/>
      <w:r w:rsidR="009C195B" w:rsidRPr="006E0D30">
        <w:rPr>
          <w:color w:val="000000" w:themeColor="text1"/>
          <w:lang w:val="en-US"/>
        </w:rPr>
        <w:t>revealed :</w:t>
      </w:r>
      <w:proofErr w:type="gramEnd"/>
      <w:r w:rsidR="009C195B" w:rsidRPr="006E0D30">
        <w:rPr>
          <w:color w:val="000000" w:themeColor="text1"/>
          <w:lang w:val="en-US"/>
        </w:rPr>
        <w:t xml:space="preserve"> abdominal wall localization of spindle cell sarcoma with heterologous </w:t>
      </w:r>
      <w:proofErr w:type="spellStart"/>
      <w:r w:rsidR="009C195B" w:rsidRPr="006E0D30">
        <w:rPr>
          <w:color w:val="000000" w:themeColor="text1"/>
          <w:lang w:val="en-US"/>
        </w:rPr>
        <w:t>osteosarcomatous</w:t>
      </w:r>
      <w:proofErr w:type="spellEnd"/>
      <w:r w:rsidR="009C195B" w:rsidRPr="006E0D30">
        <w:rPr>
          <w:color w:val="000000" w:themeColor="text1"/>
          <w:lang w:val="en-US"/>
        </w:rPr>
        <w:t xml:space="preserve"> differentiation, without an epithelial </w:t>
      </w:r>
      <w:proofErr w:type="gramStart"/>
      <w:r w:rsidR="009C195B" w:rsidRPr="006E0D30">
        <w:rPr>
          <w:color w:val="000000" w:themeColor="text1"/>
          <w:lang w:val="en-US"/>
        </w:rPr>
        <w:t>component ;</w:t>
      </w:r>
      <w:proofErr w:type="gramEnd"/>
      <w:r w:rsidR="009C195B" w:rsidRPr="006E0D30">
        <w:rPr>
          <w:color w:val="000000" w:themeColor="text1"/>
          <w:lang w:val="en-US"/>
        </w:rPr>
        <w:t xml:space="preserve"> findings that are consistent with metastasis from known gynecologic </w:t>
      </w:r>
      <w:proofErr w:type="gramStart"/>
      <w:r w:rsidR="009C195B" w:rsidRPr="006E0D30">
        <w:rPr>
          <w:color w:val="000000" w:themeColor="text1"/>
          <w:lang w:val="en-US"/>
        </w:rPr>
        <w:t>carcinoma ;</w:t>
      </w:r>
      <w:proofErr w:type="gramEnd"/>
      <w:r w:rsidR="009C195B" w:rsidRPr="006E0D30">
        <w:rPr>
          <w:color w:val="000000" w:themeColor="text1"/>
          <w:lang w:val="en-US"/>
        </w:rPr>
        <w:t xml:space="preserve"> tumor size</w:t>
      </w:r>
      <w:r w:rsidRPr="006E0D30">
        <w:rPr>
          <w:color w:val="000000" w:themeColor="text1"/>
          <w:lang w:val="en-US"/>
        </w:rPr>
        <w:t xml:space="preserve">= </w:t>
      </w:r>
      <w:r w:rsidR="009C195B" w:rsidRPr="006E0D30">
        <w:rPr>
          <w:color w:val="000000" w:themeColor="text1"/>
          <w:lang w:val="en-US"/>
        </w:rPr>
        <w:t>9,6cm and complete surgical resection (R0).</w:t>
      </w:r>
    </w:p>
    <w:p w14:paraId="11DCD98E" w14:textId="77777777" w:rsidR="0031265F" w:rsidRPr="006E0D30" w:rsidRDefault="0031265F" w:rsidP="003D3336">
      <w:pPr>
        <w:pStyle w:val="Heading2"/>
        <w:rPr>
          <w:color w:val="000000" w:themeColor="text1"/>
          <w:lang w:val="en-US"/>
        </w:rPr>
      </w:pPr>
    </w:p>
    <w:p w14:paraId="18FCE5B3" w14:textId="6EE63DC6" w:rsidR="003D3336" w:rsidRPr="006E0D30" w:rsidRDefault="003D3336" w:rsidP="003D3336">
      <w:pPr>
        <w:pStyle w:val="Heading2"/>
        <w:rPr>
          <w:color w:val="000000" w:themeColor="text1"/>
          <w:lang w:val="en-US"/>
        </w:rPr>
      </w:pPr>
      <w:r w:rsidRPr="006E0D30">
        <w:rPr>
          <w:color w:val="000000" w:themeColor="text1"/>
          <w:lang w:val="en-US"/>
        </w:rPr>
        <w:t>Discussion and literature review</w:t>
      </w:r>
    </w:p>
    <w:p w14:paraId="750EAFAB" w14:textId="77777777" w:rsidR="003D3336" w:rsidRPr="006E0D30" w:rsidRDefault="003D3336" w:rsidP="003D3336">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6E0D30">
        <w:rPr>
          <w:rFonts w:ascii="Times New Roman" w:eastAsia="Times New Roman" w:hAnsi="Times New Roman" w:cs="Times New Roman"/>
          <w:color w:val="000000" w:themeColor="text1"/>
          <w:sz w:val="24"/>
          <w:szCs w:val="24"/>
          <w:lang w:val="en-US" w:eastAsia="fr-FR"/>
        </w:rPr>
        <w:t xml:space="preserve">Uterine carcinosarcoma is a rare but highly aggressive gynecologic malignancy associated with poor prognosis and high recurrence rates despite multimodal treatment. Although historically classified as a mixed epithelial–mesenchymal tumor, it is now widely regarded as a high-grade endometrial carcinoma with sarcomatous differentiation. This biological behavior accounts for its aggressive clinical course and propensity for early dissemination and recurrence </w:t>
      </w:r>
      <w:r w:rsidRPr="006E0D30">
        <w:rPr>
          <w:rFonts w:ascii="Times New Roman" w:eastAsia="Times New Roman" w:hAnsi="Times New Roman" w:cs="Times New Roman"/>
          <w:b/>
          <w:bCs/>
          <w:color w:val="000000" w:themeColor="text1"/>
          <w:sz w:val="24"/>
          <w:szCs w:val="24"/>
          <w:lang w:val="en-US" w:eastAsia="fr-FR"/>
        </w:rPr>
        <w:t>[5,6]</w:t>
      </w:r>
      <w:r w:rsidRPr="006E0D30">
        <w:rPr>
          <w:rFonts w:ascii="Times New Roman" w:eastAsia="Times New Roman" w:hAnsi="Times New Roman" w:cs="Times New Roman"/>
          <w:color w:val="000000" w:themeColor="text1"/>
          <w:sz w:val="24"/>
          <w:szCs w:val="24"/>
          <w:lang w:val="en-US" w:eastAsia="fr-FR"/>
        </w:rPr>
        <w:t>.</w:t>
      </w:r>
    </w:p>
    <w:p w14:paraId="4F762709" w14:textId="07E97A38" w:rsidR="003D3336" w:rsidRPr="006E0D30" w:rsidRDefault="003D3336" w:rsidP="003D3336">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6E0D30">
        <w:rPr>
          <w:rFonts w:ascii="Times New Roman" w:eastAsia="Times New Roman" w:hAnsi="Times New Roman" w:cs="Times New Roman"/>
          <w:color w:val="000000" w:themeColor="text1"/>
          <w:sz w:val="24"/>
          <w:szCs w:val="24"/>
          <w:lang w:val="en-US" w:eastAsia="fr-FR"/>
        </w:rPr>
        <w:t>Recurrence of uterine carcinosarcoma most commonly involves the pelvis, peritoneal cavity, lungs, liver, or lymph nodes. In contrast, abdominal wall recurrence is exceedingly rare and</w:t>
      </w:r>
      <w:r w:rsidR="00512456" w:rsidRPr="006E0D30">
        <w:rPr>
          <w:lang w:val="en-US"/>
        </w:rPr>
        <w:t xml:space="preserve"> has only been sporadically reported in the literature</w:t>
      </w:r>
      <w:r w:rsidR="00512456" w:rsidRPr="00A03F8A">
        <w:rPr>
          <w:shd w:val="clear" w:color="auto" w:fill="FFFF00"/>
          <w:lang w:val="en-US"/>
        </w:rPr>
        <w:t xml:space="preserve">. Similarly, uterine carcinosarcoma has demonstrated the ability to metastasize to unusual and unexpected sites, as illustrated by recent reports of isolated gastrointestinal metastasis </w:t>
      </w:r>
      <w:r w:rsidR="00512456" w:rsidRPr="00A03F8A">
        <w:rPr>
          <w:b/>
          <w:bCs/>
          <w:shd w:val="clear" w:color="auto" w:fill="FFFF00"/>
          <w:lang w:val="en-US"/>
        </w:rPr>
        <w:t>[16]</w:t>
      </w:r>
      <w:r w:rsidR="00512456" w:rsidRPr="00A03F8A">
        <w:rPr>
          <w:shd w:val="clear" w:color="auto" w:fill="FFFF00"/>
          <w:lang w:val="en-US"/>
        </w:rPr>
        <w:t>.</w:t>
      </w:r>
      <w:r w:rsidR="00512456" w:rsidRPr="006E0D30">
        <w:rPr>
          <w:lang w:val="en-US"/>
        </w:rPr>
        <w:t xml:space="preserve"> </w:t>
      </w:r>
      <w:r w:rsidR="00512456" w:rsidRPr="00A03F8A">
        <w:rPr>
          <w:shd w:val="clear" w:color="auto" w:fill="FFFF00"/>
          <w:lang w:val="en-US"/>
        </w:rPr>
        <w:t>These observations further emphasize the aggressive and biologically unpredictable nature of this tumor subtype</w:t>
      </w:r>
      <w:r w:rsidRPr="006E0D30">
        <w:rPr>
          <w:rFonts w:ascii="Times New Roman" w:eastAsia="Times New Roman" w:hAnsi="Times New Roman" w:cs="Times New Roman"/>
          <w:color w:val="000000" w:themeColor="text1"/>
          <w:sz w:val="24"/>
          <w:szCs w:val="24"/>
          <w:lang w:val="en-US" w:eastAsia="fr-FR"/>
        </w:rPr>
        <w:t>. The present case is therefore remarkable for a late, isolated abdominal wall recurrence, occurring more than two years after completion of adjuvant therapy and in the absence of intra-abdominal or distant metastases.</w:t>
      </w:r>
    </w:p>
    <w:p w14:paraId="02C45E1D" w14:textId="0BDFB47C" w:rsidR="003D3336" w:rsidRPr="006E0D30" w:rsidRDefault="00512456" w:rsidP="003D3336">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A03F8A">
        <w:rPr>
          <w:rFonts w:ascii="Times New Roman" w:eastAsia="Times New Roman" w:hAnsi="Times New Roman" w:cs="Times New Roman"/>
          <w:color w:val="000000" w:themeColor="text1"/>
          <w:sz w:val="24"/>
          <w:szCs w:val="24"/>
          <w:lang w:val="en-US" w:eastAsia="fr-FR"/>
        </w:rPr>
        <w:t xml:space="preserve">Several mechanisms have been proposed to explain abdominal wall recurrence in gynecologic malignancies, including hematogenous dissemination, lymphatic spread, and iatrogenic tumor implantation during prior surgery. </w:t>
      </w:r>
      <w:r w:rsidRPr="00A03F8A">
        <w:rPr>
          <w:rFonts w:ascii="Times New Roman" w:eastAsia="Times New Roman" w:hAnsi="Times New Roman" w:cs="Times New Roman"/>
          <w:color w:val="000000" w:themeColor="text1"/>
          <w:sz w:val="24"/>
          <w:szCs w:val="24"/>
          <w:shd w:val="clear" w:color="auto" w:fill="FFFF00"/>
          <w:lang w:val="en-US" w:eastAsia="fr-FR"/>
        </w:rPr>
        <w:t>Abdominal wall recurrence has been increasingly recognized in rare case reports involving soft tissue and gynecologic tumors, supporting the hypothesis of tumor seeding along surgical tracts or areas of tissue vulnerability [7,8,15]. In a recently reported case of abdominal wall recurrence in soft tissue sarcoma, complete surgical excision with reconstruction was required, highlighting the complexity of local disease control in this anatomical site [15].</w:t>
      </w:r>
      <w:r w:rsidRPr="00A03F8A">
        <w:rPr>
          <w:rFonts w:ascii="Times New Roman" w:eastAsia="Times New Roman" w:hAnsi="Times New Roman" w:cs="Times New Roman"/>
          <w:color w:val="000000" w:themeColor="text1"/>
          <w:sz w:val="24"/>
          <w:szCs w:val="24"/>
          <w:lang w:val="en-US" w:eastAsia="fr-FR"/>
        </w:rPr>
        <w:t xml:space="preserve"> In the present patient, the absence of peritoneal carcinomatosis and ascites makes direct tumor seeding less likely, favoring hematogenous or lymphatic spread.</w:t>
      </w:r>
    </w:p>
    <w:p w14:paraId="425B29D8" w14:textId="21E88B14" w:rsidR="003D3336" w:rsidRPr="006E0D30" w:rsidRDefault="003D3336" w:rsidP="003D3336">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6E0D30">
        <w:rPr>
          <w:rFonts w:ascii="Times New Roman" w:eastAsia="Times New Roman" w:hAnsi="Times New Roman" w:cs="Times New Roman"/>
          <w:color w:val="000000" w:themeColor="text1"/>
          <w:sz w:val="24"/>
          <w:szCs w:val="24"/>
          <w:lang w:val="en-US" w:eastAsia="fr-FR"/>
        </w:rPr>
        <w:t xml:space="preserve">Diagnosis of abdominal wall recurrence can be challenging, particularly in patients with prolonged remission. Imaging findings are often </w:t>
      </w:r>
      <w:proofErr w:type="spellStart"/>
      <w:r w:rsidRPr="006E0D30">
        <w:rPr>
          <w:rFonts w:ascii="Times New Roman" w:eastAsia="Times New Roman" w:hAnsi="Times New Roman" w:cs="Times New Roman"/>
          <w:color w:val="000000" w:themeColor="text1"/>
          <w:sz w:val="24"/>
          <w:szCs w:val="24"/>
          <w:lang w:val="en-US" w:eastAsia="fr-FR"/>
        </w:rPr>
        <w:t>non</w:t>
      </w:r>
      <w:r w:rsidR="0046101A" w:rsidRPr="006E0D30">
        <w:rPr>
          <w:rFonts w:ascii="Times New Roman" w:eastAsia="Times New Roman" w:hAnsi="Times New Roman" w:cs="Times New Roman"/>
          <w:color w:val="000000" w:themeColor="text1"/>
          <w:sz w:val="24"/>
          <w:szCs w:val="24"/>
          <w:lang w:val="en-US" w:eastAsia="fr-FR"/>
        </w:rPr>
        <w:t xml:space="preserve"> </w:t>
      </w:r>
      <w:r w:rsidRPr="006E0D30">
        <w:rPr>
          <w:rFonts w:ascii="Times New Roman" w:eastAsia="Times New Roman" w:hAnsi="Times New Roman" w:cs="Times New Roman"/>
          <w:color w:val="000000" w:themeColor="text1"/>
          <w:sz w:val="24"/>
          <w:szCs w:val="24"/>
          <w:lang w:val="en-US" w:eastAsia="fr-FR"/>
        </w:rPr>
        <w:t>specific</w:t>
      </w:r>
      <w:proofErr w:type="spellEnd"/>
      <w:r w:rsidRPr="006E0D30">
        <w:rPr>
          <w:rFonts w:ascii="Times New Roman" w:eastAsia="Times New Roman" w:hAnsi="Times New Roman" w:cs="Times New Roman"/>
          <w:color w:val="000000" w:themeColor="text1"/>
          <w:sz w:val="24"/>
          <w:szCs w:val="24"/>
          <w:lang w:val="en-US" w:eastAsia="fr-FR"/>
        </w:rPr>
        <w:t xml:space="preserve">, making histopathological confirmation essential. Immunohistochemistry plays a critical role in distinguishing metastatic gynecologic malignancy from primary soft-tissue tumors or metastases of other origins. </w:t>
      </w:r>
      <w:r w:rsidRPr="00A03F8A">
        <w:rPr>
          <w:rFonts w:ascii="Times New Roman" w:eastAsia="Times New Roman" w:hAnsi="Times New Roman" w:cs="Times New Roman"/>
          <w:color w:val="000000" w:themeColor="text1"/>
          <w:sz w:val="24"/>
          <w:szCs w:val="24"/>
          <w:shd w:val="clear" w:color="auto" w:fill="FFFF00"/>
          <w:lang w:val="en-US" w:eastAsia="fr-FR"/>
        </w:rPr>
        <w:t>In the present case, positivity for CK7 and PAX8, combined with negativity for estrogen and progesterone receptors, supported the gynecologic origin of the lesion</w:t>
      </w:r>
      <w:r w:rsidRPr="006E0D30">
        <w:rPr>
          <w:rFonts w:ascii="Times New Roman" w:eastAsia="Times New Roman" w:hAnsi="Times New Roman" w:cs="Times New Roman"/>
          <w:color w:val="000000" w:themeColor="text1"/>
          <w:sz w:val="24"/>
          <w:szCs w:val="24"/>
          <w:lang w:val="en-US" w:eastAsia="fr-FR"/>
        </w:rPr>
        <w:t xml:space="preserve">, in line with previously published data </w:t>
      </w:r>
      <w:r w:rsidRPr="006E0D30">
        <w:rPr>
          <w:rFonts w:ascii="Times New Roman" w:eastAsia="Times New Roman" w:hAnsi="Times New Roman" w:cs="Times New Roman"/>
          <w:b/>
          <w:bCs/>
          <w:color w:val="000000" w:themeColor="text1"/>
          <w:sz w:val="24"/>
          <w:szCs w:val="24"/>
          <w:lang w:val="en-US" w:eastAsia="fr-FR"/>
        </w:rPr>
        <w:t>[10,11]</w:t>
      </w:r>
      <w:r w:rsidRPr="006E0D30">
        <w:rPr>
          <w:rFonts w:ascii="Times New Roman" w:eastAsia="Times New Roman" w:hAnsi="Times New Roman" w:cs="Times New Roman"/>
          <w:color w:val="000000" w:themeColor="text1"/>
          <w:sz w:val="24"/>
          <w:szCs w:val="24"/>
          <w:lang w:val="en-US" w:eastAsia="fr-FR"/>
        </w:rPr>
        <w:t>.</w:t>
      </w:r>
    </w:p>
    <w:p w14:paraId="3E611CDC" w14:textId="77777777" w:rsidR="003D3336" w:rsidRPr="006E0D30" w:rsidRDefault="003D3336" w:rsidP="003D3336">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6E0D30">
        <w:rPr>
          <w:rFonts w:ascii="Times New Roman" w:eastAsia="Times New Roman" w:hAnsi="Times New Roman" w:cs="Times New Roman"/>
          <w:color w:val="000000" w:themeColor="text1"/>
          <w:sz w:val="24"/>
          <w:szCs w:val="24"/>
          <w:lang w:val="en-US" w:eastAsia="fr-FR"/>
        </w:rPr>
        <w:t xml:space="preserve">Due to the rarity of isolated abdominal wall recurrence, no standardized management strategy exists. Nevertheless, when recurrence is localized and complete resection is achievable, aggressive surgical management with negative margins remains the cornerstone of treatment. Several retrospective studies and case series suggest that secondary cytoreductive surgery </w:t>
      </w:r>
      <w:r w:rsidRPr="006E0D30">
        <w:rPr>
          <w:rFonts w:ascii="Times New Roman" w:eastAsia="Times New Roman" w:hAnsi="Times New Roman" w:cs="Times New Roman"/>
          <w:color w:val="000000" w:themeColor="text1"/>
          <w:sz w:val="24"/>
          <w:szCs w:val="24"/>
          <w:lang w:val="en-US" w:eastAsia="fr-FR"/>
        </w:rPr>
        <w:lastRenderedPageBreak/>
        <w:t xml:space="preserve">may improve local disease control and potentially survival in carefully selected patients with isolated recurrence </w:t>
      </w:r>
      <w:r w:rsidRPr="006E0D30">
        <w:rPr>
          <w:rFonts w:ascii="Times New Roman" w:eastAsia="Times New Roman" w:hAnsi="Times New Roman" w:cs="Times New Roman"/>
          <w:b/>
          <w:bCs/>
          <w:color w:val="000000" w:themeColor="text1"/>
          <w:sz w:val="24"/>
          <w:szCs w:val="24"/>
          <w:lang w:val="en-US" w:eastAsia="fr-FR"/>
        </w:rPr>
        <w:t>[12,13]</w:t>
      </w:r>
      <w:r w:rsidRPr="006E0D30">
        <w:rPr>
          <w:rFonts w:ascii="Times New Roman" w:eastAsia="Times New Roman" w:hAnsi="Times New Roman" w:cs="Times New Roman"/>
          <w:color w:val="000000" w:themeColor="text1"/>
          <w:sz w:val="24"/>
          <w:szCs w:val="24"/>
          <w:lang w:val="en-US" w:eastAsia="fr-FR"/>
        </w:rPr>
        <w:t>.</w:t>
      </w:r>
    </w:p>
    <w:p w14:paraId="2E9D0927" w14:textId="77777777" w:rsidR="003D3336" w:rsidRPr="006E0D30" w:rsidRDefault="003D3336" w:rsidP="003D3336">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6E0D30">
        <w:rPr>
          <w:rFonts w:ascii="Times New Roman" w:eastAsia="Times New Roman" w:hAnsi="Times New Roman" w:cs="Times New Roman"/>
          <w:color w:val="000000" w:themeColor="text1"/>
          <w:sz w:val="24"/>
          <w:szCs w:val="24"/>
          <w:lang w:val="en-US" w:eastAsia="fr-FR"/>
        </w:rPr>
        <w:t xml:space="preserve">Radical resection of abdominal wall tumors frequently results in large parietal defects, necessitating complex reconstruction. Prosthetic mesh reconstruction allows restoration of abdominal wall integrity while preserving acceptable functional and oncologic outcomes. Dual-layer meshes are particularly advantageous when intraperitoneal placement is required, as they reduce the risk of visceral adhesions </w:t>
      </w:r>
      <w:r w:rsidRPr="006E0D30">
        <w:rPr>
          <w:rFonts w:ascii="Times New Roman" w:eastAsia="Times New Roman" w:hAnsi="Times New Roman" w:cs="Times New Roman"/>
          <w:b/>
          <w:bCs/>
          <w:color w:val="000000" w:themeColor="text1"/>
          <w:sz w:val="24"/>
          <w:szCs w:val="24"/>
          <w:lang w:val="en-US" w:eastAsia="fr-FR"/>
        </w:rPr>
        <w:t>[14]</w:t>
      </w:r>
      <w:r w:rsidRPr="006E0D30">
        <w:rPr>
          <w:rFonts w:ascii="Times New Roman" w:eastAsia="Times New Roman" w:hAnsi="Times New Roman" w:cs="Times New Roman"/>
          <w:color w:val="000000" w:themeColor="text1"/>
          <w:sz w:val="24"/>
          <w:szCs w:val="24"/>
          <w:lang w:val="en-US" w:eastAsia="fr-FR"/>
        </w:rPr>
        <w:t>. In this case, prosthetic reconstruction enabled complete oncologic resection without postoperative complications.</w:t>
      </w:r>
    </w:p>
    <w:p w14:paraId="02C882CD" w14:textId="77777777" w:rsidR="006A25BF" w:rsidRPr="006E0D30" w:rsidRDefault="006A25BF" w:rsidP="0050747C">
      <w:pPr>
        <w:pStyle w:val="Heading2"/>
        <w:rPr>
          <w:rStyle w:val="Strong"/>
          <w:b/>
          <w:bCs/>
          <w:lang w:val="en-US"/>
        </w:rPr>
      </w:pPr>
    </w:p>
    <w:p w14:paraId="3141A67B" w14:textId="26541579" w:rsidR="0004253A" w:rsidRPr="006E0D30" w:rsidRDefault="0004253A" w:rsidP="003C451C">
      <w:pPr>
        <w:pStyle w:val="Heading2"/>
        <w:shd w:val="clear" w:color="auto" w:fill="FFFF00"/>
        <w:rPr>
          <w:rFonts w:asciiTheme="minorHAnsi" w:hAnsiTheme="minorHAnsi" w:cstheme="minorHAnsi"/>
          <w:b w:val="0"/>
          <w:bCs w:val="0"/>
          <w:sz w:val="22"/>
          <w:szCs w:val="22"/>
          <w:lang w:val="en-US"/>
        </w:rPr>
      </w:pPr>
      <w:r w:rsidRPr="006E0D30">
        <w:rPr>
          <w:rStyle w:val="Strong"/>
          <w:b/>
          <w:bCs/>
          <w:lang w:val="en-US"/>
        </w:rPr>
        <w:t xml:space="preserve">Limitations </w:t>
      </w:r>
      <w:r w:rsidRPr="006E0D30">
        <w:rPr>
          <w:lang w:val="en-US"/>
        </w:rPr>
        <w:br/>
      </w:r>
    </w:p>
    <w:p w14:paraId="23C8F185" w14:textId="0B7A9BFE" w:rsidR="0031265F" w:rsidRPr="006E0D30" w:rsidRDefault="0004253A" w:rsidP="003C451C">
      <w:pPr>
        <w:pStyle w:val="Heading2"/>
        <w:shd w:val="clear" w:color="auto" w:fill="FFFF00"/>
        <w:rPr>
          <w:rFonts w:asciiTheme="minorHAnsi" w:hAnsiTheme="minorHAnsi" w:cstheme="minorHAnsi"/>
          <w:b w:val="0"/>
          <w:bCs w:val="0"/>
          <w:sz w:val="22"/>
          <w:szCs w:val="22"/>
          <w:lang w:val="en-US"/>
        </w:rPr>
      </w:pPr>
      <w:r w:rsidRPr="006E0D30">
        <w:rPr>
          <w:rFonts w:asciiTheme="minorHAnsi" w:hAnsiTheme="minorHAnsi" w:cstheme="minorHAnsi"/>
          <w:b w:val="0"/>
          <w:bCs w:val="0"/>
          <w:sz w:val="22"/>
          <w:szCs w:val="22"/>
          <w:lang w:val="en-US"/>
        </w:rPr>
        <w:t xml:space="preserve">This report is limited by its single-case nature, which restricts generalizability. Additionally, long-term comparative data are not available, and there are no established standardized guidelines for the management of isolated abdominal wall recurrence of uterine carcinosarcoma. </w:t>
      </w:r>
    </w:p>
    <w:p w14:paraId="4D87EBF7" w14:textId="5BC3CB6A" w:rsidR="004B685B" w:rsidRPr="006E0D30" w:rsidRDefault="004B685B" w:rsidP="0050747C">
      <w:pPr>
        <w:pStyle w:val="Heading2"/>
        <w:rPr>
          <w:lang w:val="en-US"/>
        </w:rPr>
      </w:pPr>
      <w:r w:rsidRPr="006E0D30">
        <w:rPr>
          <w:lang w:val="en-US"/>
        </w:rPr>
        <w:t>conclusion</w:t>
      </w:r>
    </w:p>
    <w:p w14:paraId="6C6C5B0B" w14:textId="4BA3F3F4" w:rsidR="004B685B" w:rsidRDefault="004B685B" w:rsidP="0019030E">
      <w:pPr>
        <w:pStyle w:val="Heading2"/>
        <w:rPr>
          <w:rFonts w:asciiTheme="minorHAnsi" w:hAnsiTheme="minorHAnsi" w:cstheme="minorHAnsi"/>
          <w:b w:val="0"/>
          <w:bCs w:val="0"/>
          <w:sz w:val="22"/>
          <w:szCs w:val="22"/>
          <w:lang w:val="en-US"/>
        </w:rPr>
      </w:pPr>
      <w:r w:rsidRPr="006E0D30">
        <w:rPr>
          <w:rFonts w:asciiTheme="minorHAnsi" w:hAnsiTheme="minorHAnsi" w:cstheme="minorHAnsi"/>
          <w:b w:val="0"/>
          <w:bCs w:val="0"/>
          <w:sz w:val="22"/>
          <w:szCs w:val="22"/>
          <w:lang w:val="en-US"/>
        </w:rPr>
        <w:t xml:space="preserve">Isolated abdominal wall recurrence of uterine carcinosarcoma is an exceptionally rare clinical entity that may occur after a prolonged disease-free interval. This case highlights that, in carefully selected patients, complete surgical excision with negative margins combined with prosthetic abdominal wall reconstruction can achieve effective local disease control. </w:t>
      </w:r>
    </w:p>
    <w:p w14:paraId="7F165472" w14:textId="77777777" w:rsidR="0019030E" w:rsidRPr="006E0D30" w:rsidRDefault="0019030E" w:rsidP="0019030E">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6E0D30">
        <w:rPr>
          <w:rFonts w:ascii="Times New Roman" w:eastAsia="Times New Roman" w:hAnsi="Times New Roman" w:cs="Times New Roman"/>
          <w:color w:val="000000" w:themeColor="text1"/>
          <w:sz w:val="24"/>
          <w:szCs w:val="24"/>
          <w:lang w:val="en-US" w:eastAsia="fr-FR"/>
        </w:rPr>
        <w:t>Given the aggressive nature of uterine carcinosarcoma and its high risk of recurrence, long-term surveillance is essential, even after prolonged disease-free intervals. This case highlights the importance of maintaining a high index of suspicion for atypical recurrence patterns and reinforces the value of a multidisciplinary approach to management.</w:t>
      </w:r>
    </w:p>
    <w:p w14:paraId="57D0C4AF" w14:textId="77777777" w:rsidR="0019030E" w:rsidRPr="006E0D30" w:rsidRDefault="0019030E" w:rsidP="0050747C">
      <w:pPr>
        <w:pStyle w:val="Heading2"/>
        <w:rPr>
          <w:rFonts w:asciiTheme="minorHAnsi" w:hAnsiTheme="minorHAnsi" w:cstheme="minorHAnsi"/>
          <w:b w:val="0"/>
          <w:bCs w:val="0"/>
          <w:sz w:val="22"/>
          <w:szCs w:val="22"/>
          <w:lang w:val="en-US"/>
        </w:rPr>
      </w:pPr>
    </w:p>
    <w:p w14:paraId="080AEDDE" w14:textId="77777777" w:rsidR="006A25BF" w:rsidRPr="006E0D30" w:rsidRDefault="006A25BF" w:rsidP="0050747C">
      <w:pPr>
        <w:pStyle w:val="Heading2"/>
        <w:rPr>
          <w:color w:val="000000" w:themeColor="text1"/>
          <w:lang w:val="en-US"/>
        </w:rPr>
      </w:pPr>
    </w:p>
    <w:p w14:paraId="3B0F6889" w14:textId="2516C9BB" w:rsidR="006B53F9" w:rsidRPr="006E0D30" w:rsidRDefault="0050747C" w:rsidP="0019030E">
      <w:pPr>
        <w:pStyle w:val="Heading2"/>
        <w:shd w:val="clear" w:color="auto" w:fill="FFFF00"/>
        <w:rPr>
          <w:rFonts w:asciiTheme="minorHAnsi" w:hAnsiTheme="minorHAnsi" w:cstheme="minorHAnsi"/>
          <w:b w:val="0"/>
          <w:bCs w:val="0"/>
          <w:sz w:val="22"/>
          <w:szCs w:val="22"/>
          <w:lang w:val="en-US"/>
        </w:rPr>
      </w:pPr>
      <w:r w:rsidRPr="006E0D30">
        <w:rPr>
          <w:color w:val="000000" w:themeColor="text1"/>
          <w:lang w:val="en-US"/>
        </w:rPr>
        <w:t xml:space="preserve">Ethics approval and consent </w:t>
      </w:r>
      <w:r w:rsidR="00DD77B0" w:rsidRPr="006E0D30">
        <w:rPr>
          <w:lang w:val="en-US"/>
        </w:rPr>
        <w:br/>
      </w:r>
    </w:p>
    <w:p w14:paraId="25FFCD21" w14:textId="79FB5C43" w:rsidR="0050747C" w:rsidRPr="006E0D30" w:rsidRDefault="00DD77B0" w:rsidP="0019030E">
      <w:pPr>
        <w:pStyle w:val="Heading2"/>
        <w:shd w:val="clear" w:color="auto" w:fill="FFFF00"/>
        <w:rPr>
          <w:b w:val="0"/>
          <w:bCs w:val="0"/>
          <w:color w:val="000000" w:themeColor="text1"/>
          <w:sz w:val="22"/>
          <w:szCs w:val="22"/>
          <w:lang w:val="en-US"/>
        </w:rPr>
      </w:pPr>
      <w:r w:rsidRPr="006E0D30">
        <w:rPr>
          <w:rFonts w:asciiTheme="minorHAnsi" w:hAnsiTheme="minorHAnsi" w:cstheme="minorHAnsi"/>
          <w:b w:val="0"/>
          <w:bCs w:val="0"/>
          <w:sz w:val="22"/>
          <w:szCs w:val="22"/>
          <w:lang w:val="en-US"/>
        </w:rPr>
        <w:t>Ethical review and approval were waived for this study in accordance with institutional requirements for single case reports. Written informed consent was obtained from the patient for publication of this case report and accompanying images.</w:t>
      </w:r>
    </w:p>
    <w:p w14:paraId="412148C7" w14:textId="77777777" w:rsidR="0050747C" w:rsidRPr="006E0D30" w:rsidRDefault="0050747C" w:rsidP="00F8494F">
      <w:pPr>
        <w:pStyle w:val="Heading2"/>
        <w:rPr>
          <w:rStyle w:val="Strong"/>
          <w:b/>
          <w:bCs/>
          <w:color w:val="000000" w:themeColor="text1"/>
          <w:lang w:val="en-US"/>
        </w:rPr>
      </w:pPr>
    </w:p>
    <w:p w14:paraId="74580DA0" w14:textId="77777777" w:rsidR="00875155" w:rsidRPr="006E0D30" w:rsidRDefault="00875155" w:rsidP="00F8494F">
      <w:pPr>
        <w:pStyle w:val="Heading2"/>
        <w:rPr>
          <w:rStyle w:val="Strong"/>
          <w:b/>
          <w:bCs/>
          <w:color w:val="000000" w:themeColor="text1"/>
          <w:lang w:val="en-US"/>
        </w:rPr>
      </w:pPr>
    </w:p>
    <w:p w14:paraId="5BF50A12" w14:textId="77777777" w:rsidR="0031265F" w:rsidRPr="006E0D30" w:rsidRDefault="0031265F" w:rsidP="00F8494F">
      <w:pPr>
        <w:pStyle w:val="Heading2"/>
        <w:rPr>
          <w:rStyle w:val="Strong"/>
          <w:b/>
          <w:bCs/>
          <w:color w:val="000000" w:themeColor="text1"/>
          <w:lang w:val="en-US"/>
        </w:rPr>
      </w:pPr>
    </w:p>
    <w:p w14:paraId="51C5C019" w14:textId="77777777" w:rsidR="0031265F" w:rsidRPr="006E0D30" w:rsidRDefault="0031265F" w:rsidP="00F8494F">
      <w:pPr>
        <w:pStyle w:val="Heading2"/>
        <w:rPr>
          <w:rStyle w:val="Strong"/>
          <w:b/>
          <w:bCs/>
          <w:color w:val="000000" w:themeColor="text1"/>
          <w:lang w:val="en-US"/>
        </w:rPr>
      </w:pPr>
    </w:p>
    <w:p w14:paraId="2FEB2F25" w14:textId="77777777" w:rsidR="00A511A8" w:rsidRDefault="00A511A8" w:rsidP="00A511A8">
      <w:pPr>
        <w:rPr>
          <w:b/>
          <w:highlight w:val="yellow"/>
        </w:rPr>
      </w:pPr>
      <w:r>
        <w:rPr>
          <w:b/>
          <w:highlight w:val="yellow"/>
        </w:rPr>
        <w:t>Disclaimer (</w:t>
      </w:r>
      <w:proofErr w:type="spellStart"/>
      <w:r>
        <w:rPr>
          <w:b/>
          <w:highlight w:val="yellow"/>
        </w:rPr>
        <w:t>Artificial</w:t>
      </w:r>
      <w:proofErr w:type="spellEnd"/>
      <w:r>
        <w:rPr>
          <w:b/>
          <w:highlight w:val="yellow"/>
        </w:rPr>
        <w:t xml:space="preserve"> intelligence)</w:t>
      </w:r>
    </w:p>
    <w:p w14:paraId="6C7C6D0A" w14:textId="77777777" w:rsidR="00A511A8" w:rsidRDefault="00A511A8" w:rsidP="00A511A8">
      <w:pPr>
        <w:rPr>
          <w:highlight w:val="yellow"/>
        </w:rPr>
      </w:pPr>
      <w:r>
        <w:rPr>
          <w:highlight w:val="yellow"/>
        </w:rPr>
        <w:t xml:space="preserve">Author(s) </w:t>
      </w:r>
      <w:proofErr w:type="spellStart"/>
      <w:r>
        <w:rPr>
          <w:highlight w:val="yellow"/>
        </w:rPr>
        <w:t>hereby</w:t>
      </w:r>
      <w:proofErr w:type="spellEnd"/>
      <w:r>
        <w:rPr>
          <w:highlight w:val="yellow"/>
        </w:rPr>
        <w:t xml:space="preserve"> </w:t>
      </w:r>
      <w:proofErr w:type="spellStart"/>
      <w:r>
        <w:rPr>
          <w:highlight w:val="yellow"/>
        </w:rPr>
        <w:t>declare</w:t>
      </w:r>
      <w:proofErr w:type="spellEnd"/>
      <w:r>
        <w:rPr>
          <w:highlight w:val="yellow"/>
        </w:rPr>
        <w:t xml:space="preserve"> </w:t>
      </w:r>
      <w:proofErr w:type="spellStart"/>
      <w:r>
        <w:rPr>
          <w:highlight w:val="yellow"/>
        </w:rPr>
        <w:t>that</w:t>
      </w:r>
      <w:proofErr w:type="spellEnd"/>
      <w:r>
        <w:rPr>
          <w:highlight w:val="yellow"/>
        </w:rPr>
        <w:t xml:space="preserve"> NO </w:t>
      </w:r>
      <w:proofErr w:type="spellStart"/>
      <w:r>
        <w:rPr>
          <w:highlight w:val="yellow"/>
        </w:rPr>
        <w:t>generative</w:t>
      </w:r>
      <w:proofErr w:type="spellEnd"/>
      <w:r>
        <w:rPr>
          <w:highlight w:val="yellow"/>
        </w:rPr>
        <w:t xml:space="preserve"> AI technologies </w:t>
      </w:r>
      <w:proofErr w:type="spellStart"/>
      <w:r>
        <w:rPr>
          <w:highlight w:val="yellow"/>
        </w:rPr>
        <w:t>such</w:t>
      </w:r>
      <w:proofErr w:type="spellEnd"/>
      <w:r>
        <w:rPr>
          <w:highlight w:val="yellow"/>
        </w:rPr>
        <w:t xml:space="preserve"> as Large </w:t>
      </w:r>
      <w:proofErr w:type="spellStart"/>
      <w:r>
        <w:rPr>
          <w:highlight w:val="yellow"/>
        </w:rPr>
        <w:t>Language</w:t>
      </w:r>
      <w:proofErr w:type="spellEnd"/>
      <w:r>
        <w:rPr>
          <w:highlight w:val="yellow"/>
        </w:rPr>
        <w:t xml:space="preserve"> </w:t>
      </w:r>
      <w:proofErr w:type="spellStart"/>
      <w:r>
        <w:rPr>
          <w:highlight w:val="yellow"/>
        </w:rPr>
        <w:t>Models</w:t>
      </w:r>
      <w:proofErr w:type="spellEnd"/>
      <w:r>
        <w:rPr>
          <w:highlight w:val="yellow"/>
        </w:rPr>
        <w:t xml:space="preserve"> (</w:t>
      </w:r>
      <w:proofErr w:type="spellStart"/>
      <w:r>
        <w:rPr>
          <w:highlight w:val="yellow"/>
        </w:rPr>
        <w:t>ChatGPT</w:t>
      </w:r>
      <w:proofErr w:type="spellEnd"/>
      <w:r>
        <w:rPr>
          <w:highlight w:val="yellow"/>
        </w:rPr>
        <w:t xml:space="preserve">, COPILOT, etc.) and </w:t>
      </w:r>
      <w:proofErr w:type="spellStart"/>
      <w:r>
        <w:rPr>
          <w:highlight w:val="yellow"/>
        </w:rPr>
        <w:t>text</w:t>
      </w:r>
      <w:proofErr w:type="spellEnd"/>
      <w:r>
        <w:rPr>
          <w:highlight w:val="yellow"/>
        </w:rPr>
        <w:t xml:space="preserve">-to-image </w:t>
      </w:r>
      <w:proofErr w:type="spellStart"/>
      <w:r>
        <w:rPr>
          <w:highlight w:val="yellow"/>
        </w:rPr>
        <w:t>generators</w:t>
      </w:r>
      <w:proofErr w:type="spellEnd"/>
      <w:r>
        <w:rPr>
          <w:highlight w:val="yellow"/>
        </w:rPr>
        <w:t xml:space="preserve"> have been </w:t>
      </w:r>
      <w:proofErr w:type="spellStart"/>
      <w:r>
        <w:rPr>
          <w:highlight w:val="yellow"/>
        </w:rPr>
        <w:t>used</w:t>
      </w:r>
      <w:proofErr w:type="spellEnd"/>
      <w:r>
        <w:rPr>
          <w:highlight w:val="yellow"/>
        </w:rPr>
        <w:t xml:space="preserve"> </w:t>
      </w:r>
      <w:proofErr w:type="spellStart"/>
      <w:r>
        <w:rPr>
          <w:highlight w:val="yellow"/>
        </w:rPr>
        <w:t>during</w:t>
      </w:r>
      <w:proofErr w:type="spellEnd"/>
      <w:r>
        <w:rPr>
          <w:highlight w:val="yellow"/>
        </w:rPr>
        <w:t xml:space="preserve"> the </w:t>
      </w:r>
      <w:proofErr w:type="spellStart"/>
      <w:r>
        <w:rPr>
          <w:highlight w:val="yellow"/>
        </w:rPr>
        <w:t>writing</w:t>
      </w:r>
      <w:proofErr w:type="spellEnd"/>
      <w:r>
        <w:rPr>
          <w:highlight w:val="yellow"/>
        </w:rPr>
        <w:t xml:space="preserve"> or </w:t>
      </w:r>
      <w:proofErr w:type="spellStart"/>
      <w:r>
        <w:rPr>
          <w:highlight w:val="yellow"/>
        </w:rPr>
        <w:t>editing</w:t>
      </w:r>
      <w:proofErr w:type="spellEnd"/>
      <w:r>
        <w:rPr>
          <w:highlight w:val="yellow"/>
        </w:rPr>
        <w:t xml:space="preserve"> of </w:t>
      </w:r>
      <w:proofErr w:type="spellStart"/>
      <w:r>
        <w:rPr>
          <w:highlight w:val="yellow"/>
        </w:rPr>
        <w:t>this</w:t>
      </w:r>
      <w:proofErr w:type="spellEnd"/>
      <w:r>
        <w:rPr>
          <w:highlight w:val="yellow"/>
        </w:rPr>
        <w:t xml:space="preserve"> </w:t>
      </w:r>
      <w:proofErr w:type="spellStart"/>
      <w:r>
        <w:rPr>
          <w:highlight w:val="yellow"/>
        </w:rPr>
        <w:t>manuscript</w:t>
      </w:r>
      <w:proofErr w:type="spellEnd"/>
      <w:r>
        <w:rPr>
          <w:highlight w:val="yellow"/>
        </w:rPr>
        <w:t xml:space="preserve">. </w:t>
      </w:r>
    </w:p>
    <w:p w14:paraId="4589BA5E" w14:textId="30F9D3A7" w:rsidR="0031265F" w:rsidRPr="006E0D30" w:rsidRDefault="0031265F" w:rsidP="00F8494F">
      <w:pPr>
        <w:pStyle w:val="Heading2"/>
        <w:rPr>
          <w:rStyle w:val="Strong"/>
          <w:b/>
          <w:bCs/>
          <w:color w:val="000000" w:themeColor="text1"/>
          <w:lang w:val="en-US"/>
        </w:rPr>
      </w:pPr>
    </w:p>
    <w:p w14:paraId="7B398B1A" w14:textId="699A51B0" w:rsidR="0031265F" w:rsidRPr="006E0D30" w:rsidRDefault="0031265F" w:rsidP="00F8494F">
      <w:pPr>
        <w:pStyle w:val="Heading2"/>
        <w:rPr>
          <w:rStyle w:val="Strong"/>
          <w:b/>
          <w:bCs/>
          <w:color w:val="000000" w:themeColor="text1"/>
          <w:lang w:val="en-US"/>
        </w:rPr>
      </w:pPr>
    </w:p>
    <w:p w14:paraId="5ABF39DA" w14:textId="7645C274" w:rsidR="00576C5C" w:rsidRPr="00B94425" w:rsidRDefault="00576C5C" w:rsidP="00576C5C">
      <w:pPr>
        <w:spacing w:after="200" w:line="276" w:lineRule="auto"/>
        <w:rPr>
          <w:rFonts w:ascii="Arial" w:eastAsia="Times New Roman" w:hAnsi="Arial" w:cs="Arial"/>
          <w:b/>
          <w:bCs/>
          <w:color w:val="000000" w:themeColor="text1"/>
          <w:lang w:val="en-GB" w:eastAsia="en-GB"/>
        </w:rPr>
      </w:pPr>
      <w:r w:rsidRPr="00B94425">
        <w:rPr>
          <w:rFonts w:ascii="Arial" w:eastAsia="Times New Roman" w:hAnsi="Arial" w:cs="Arial"/>
          <w:b/>
          <w:bCs/>
          <w:color w:val="000000" w:themeColor="text1"/>
          <w:lang w:val="en-GB" w:eastAsia="en-GB"/>
        </w:rPr>
        <w:t>COMPETING INTERESTS:</w:t>
      </w:r>
    </w:p>
    <w:p w14:paraId="123A9A19" w14:textId="460A53E9" w:rsidR="0031265F" w:rsidRPr="00B94425" w:rsidRDefault="00576C5C" w:rsidP="00576C5C">
      <w:pPr>
        <w:spacing w:after="200" w:line="276" w:lineRule="auto"/>
        <w:rPr>
          <w:rStyle w:val="Strong"/>
          <w:rFonts w:ascii="Calibri" w:eastAsia="Times New Roman" w:hAnsi="Calibri" w:cs="Times New Roman"/>
          <w:b w:val="0"/>
          <w:bCs w:val="0"/>
          <w:color w:val="000000" w:themeColor="text1"/>
          <w:lang w:val="en-GB" w:eastAsia="en-GB"/>
        </w:rPr>
      </w:pPr>
      <w:r w:rsidRPr="00B94425">
        <w:rPr>
          <w:rFonts w:ascii="Arial" w:eastAsia="Times New Roman" w:hAnsi="Arial" w:cs="Arial"/>
          <w:color w:val="000000" w:themeColor="text1"/>
          <w:lang w:val="en-GB" w:eastAsia="en-GB"/>
        </w:rPr>
        <w:t>Authors have declared that they have no known competing financial interests OR non-financial interests OR personal relationships that could have appeared to influence the work reported in this paper.</w:t>
      </w:r>
    </w:p>
    <w:p w14:paraId="288472D1" w14:textId="67430C45" w:rsidR="00F8494F" w:rsidRPr="006E0D30" w:rsidRDefault="00F8494F" w:rsidP="00F8494F">
      <w:pPr>
        <w:pStyle w:val="Heading2"/>
        <w:rPr>
          <w:rStyle w:val="Strong"/>
          <w:b/>
          <w:bCs/>
          <w:color w:val="000000" w:themeColor="text1"/>
          <w:lang w:val="en-GB"/>
        </w:rPr>
      </w:pPr>
      <w:r w:rsidRPr="006E0D30">
        <w:rPr>
          <w:rStyle w:val="Strong"/>
          <w:b/>
          <w:bCs/>
          <w:color w:val="000000" w:themeColor="text1"/>
          <w:lang w:val="en-GB"/>
        </w:rPr>
        <w:t>References</w:t>
      </w:r>
    </w:p>
    <w:p w14:paraId="1C6E41B9" w14:textId="640930F6" w:rsidR="00E61353" w:rsidRPr="006E0D30" w:rsidRDefault="00E61353" w:rsidP="00E61353">
      <w:pPr>
        <w:pStyle w:val="NormalWeb"/>
        <w:rPr>
          <w:lang w:val="en-GB"/>
        </w:rPr>
      </w:pPr>
      <w:r w:rsidRPr="0014301B">
        <w:rPr>
          <w:b/>
          <w:bCs/>
        </w:rPr>
        <w:t>[1]</w:t>
      </w:r>
      <w:r w:rsidR="0095367C">
        <w:t xml:space="preserve"> </w:t>
      </w:r>
      <w:r w:rsidRPr="0014301B">
        <w:t xml:space="preserve">Amant F, </w:t>
      </w:r>
      <w:proofErr w:type="spellStart"/>
      <w:r w:rsidRPr="0014301B">
        <w:t>Cadron</w:t>
      </w:r>
      <w:proofErr w:type="spellEnd"/>
      <w:r w:rsidRPr="0014301B">
        <w:t xml:space="preserve"> I, </w:t>
      </w:r>
      <w:proofErr w:type="spellStart"/>
      <w:r w:rsidRPr="0014301B">
        <w:t>Fuso</w:t>
      </w:r>
      <w:proofErr w:type="spellEnd"/>
      <w:r w:rsidRPr="0014301B">
        <w:t xml:space="preserve"> L, et al. </w:t>
      </w:r>
      <w:r w:rsidRPr="006E0D30">
        <w:rPr>
          <w:lang w:val="en-GB"/>
        </w:rPr>
        <w:t xml:space="preserve">Endometrial cancer. </w:t>
      </w:r>
      <w:r w:rsidRPr="006E0D30">
        <w:rPr>
          <w:i/>
          <w:iCs/>
          <w:lang w:val="en-GB"/>
        </w:rPr>
        <w:t>Lancet Oncol</w:t>
      </w:r>
      <w:r w:rsidRPr="006E0D30">
        <w:rPr>
          <w:lang w:val="en-GB"/>
        </w:rPr>
        <w:t xml:space="preserve">. </w:t>
      </w:r>
      <w:proofErr w:type="gramStart"/>
      <w:r w:rsidRPr="006E0D30">
        <w:rPr>
          <w:lang w:val="en-GB"/>
        </w:rPr>
        <w:t>2005;6:103</w:t>
      </w:r>
      <w:proofErr w:type="gramEnd"/>
      <w:r w:rsidRPr="006E0D30">
        <w:rPr>
          <w:lang w:val="en-GB"/>
        </w:rPr>
        <w:t>–111.</w:t>
      </w:r>
      <w:r w:rsidRPr="006E0D30">
        <w:rPr>
          <w:lang w:val="en-GB"/>
        </w:rPr>
        <w:br/>
        <w:t>doi:10.1016/S1470-2045(05)70089-3</w:t>
      </w:r>
    </w:p>
    <w:p w14:paraId="4CDC1BE4" w14:textId="1746ADC5" w:rsidR="00E61353" w:rsidRPr="006E0D30" w:rsidRDefault="00E61353" w:rsidP="00E61353">
      <w:pPr>
        <w:spacing w:after="0" w:line="240" w:lineRule="auto"/>
        <w:rPr>
          <w:rFonts w:ascii="Times New Roman" w:eastAsia="Times New Roman" w:hAnsi="Times New Roman" w:cs="Times New Roman"/>
          <w:sz w:val="24"/>
          <w:szCs w:val="24"/>
          <w:lang w:val="en-GB" w:eastAsia="fr-FR"/>
        </w:rPr>
      </w:pPr>
    </w:p>
    <w:p w14:paraId="3326D0D2" w14:textId="03AA5DFB" w:rsidR="00E61353" w:rsidRPr="006E0D30"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GB" w:eastAsia="fr-FR"/>
        </w:rPr>
        <w:t>[2]</w:t>
      </w:r>
      <w:r w:rsidR="0095367C">
        <w:rPr>
          <w:rFonts w:ascii="Times New Roman" w:eastAsia="Times New Roman" w:hAnsi="Times New Roman" w:cs="Times New Roman"/>
          <w:sz w:val="24"/>
          <w:szCs w:val="24"/>
          <w:lang w:val="en-GB" w:eastAsia="fr-FR"/>
        </w:rPr>
        <w:t xml:space="preserve"> </w:t>
      </w:r>
      <w:r w:rsidRPr="006E0D30">
        <w:rPr>
          <w:rFonts w:ascii="Times New Roman" w:eastAsia="Times New Roman" w:hAnsi="Times New Roman" w:cs="Times New Roman"/>
          <w:sz w:val="24"/>
          <w:szCs w:val="24"/>
          <w:lang w:val="en-GB" w:eastAsia="fr-FR"/>
        </w:rPr>
        <w:t xml:space="preserve">Cantrell LA, Blank SV, Duska LR. </w:t>
      </w:r>
      <w:r w:rsidRPr="006E0D30">
        <w:rPr>
          <w:rFonts w:ascii="Times New Roman" w:eastAsia="Times New Roman" w:hAnsi="Times New Roman" w:cs="Times New Roman"/>
          <w:sz w:val="24"/>
          <w:szCs w:val="24"/>
          <w:lang w:val="en-US" w:eastAsia="fr-FR"/>
        </w:rPr>
        <w:t xml:space="preserve">Uterine carcinosarcoma: A review of the literature. </w:t>
      </w:r>
      <w:proofErr w:type="spellStart"/>
      <w:r w:rsidRPr="006E0D30">
        <w:rPr>
          <w:rFonts w:ascii="Times New Roman" w:eastAsia="Times New Roman" w:hAnsi="Times New Roman" w:cs="Times New Roman"/>
          <w:i/>
          <w:iCs/>
          <w:sz w:val="24"/>
          <w:szCs w:val="24"/>
          <w:lang w:val="en-US" w:eastAsia="fr-FR"/>
        </w:rPr>
        <w:t>Gynecol</w:t>
      </w:r>
      <w:proofErr w:type="spellEnd"/>
      <w:r w:rsidRPr="006E0D30">
        <w:rPr>
          <w:rFonts w:ascii="Times New Roman" w:eastAsia="Times New Roman" w:hAnsi="Times New Roman" w:cs="Times New Roman"/>
          <w:i/>
          <w:iCs/>
          <w:sz w:val="24"/>
          <w:szCs w:val="24"/>
          <w:lang w:val="en-US" w:eastAsia="fr-FR"/>
        </w:rPr>
        <w:t xml:space="preserve"> Oncol</w:t>
      </w:r>
      <w:r w:rsidRPr="006E0D30">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2015;137:581</w:t>
      </w:r>
      <w:proofErr w:type="gramEnd"/>
      <w:r w:rsidRPr="006E0D30">
        <w:rPr>
          <w:rFonts w:ascii="Times New Roman" w:eastAsia="Times New Roman" w:hAnsi="Times New Roman" w:cs="Times New Roman"/>
          <w:sz w:val="24"/>
          <w:szCs w:val="24"/>
          <w:lang w:val="en-US" w:eastAsia="fr-FR"/>
        </w:rPr>
        <w:t>–588.</w:t>
      </w:r>
      <w:r w:rsidR="0095367C">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doi:10.1016/j.ygyno</w:t>
      </w:r>
      <w:proofErr w:type="gramEnd"/>
      <w:r w:rsidRPr="006E0D30">
        <w:rPr>
          <w:rFonts w:ascii="Times New Roman" w:eastAsia="Times New Roman" w:hAnsi="Times New Roman" w:cs="Times New Roman"/>
          <w:sz w:val="24"/>
          <w:szCs w:val="24"/>
          <w:lang w:val="en-US" w:eastAsia="fr-FR"/>
        </w:rPr>
        <w:t>.2015.03.020</w:t>
      </w:r>
    </w:p>
    <w:p w14:paraId="7325DDB4" w14:textId="000CBD4E" w:rsidR="00E61353" w:rsidRPr="006E0D30" w:rsidRDefault="00E61353" w:rsidP="00E61353">
      <w:pPr>
        <w:spacing w:after="0" w:line="240" w:lineRule="auto"/>
        <w:rPr>
          <w:rFonts w:ascii="Times New Roman" w:eastAsia="Times New Roman" w:hAnsi="Times New Roman" w:cs="Times New Roman"/>
          <w:sz w:val="24"/>
          <w:szCs w:val="24"/>
          <w:lang w:val="en-US" w:eastAsia="fr-FR"/>
        </w:rPr>
      </w:pPr>
    </w:p>
    <w:p w14:paraId="0EB7454B" w14:textId="72BDC738" w:rsidR="00E61353" w:rsidRPr="006E0D30"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US" w:eastAsia="fr-FR"/>
        </w:rPr>
        <w:t>[3]</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Seagle BL, Shilpi A, Buchanan S, et al. Low-grade and high-grade uterine</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carcinosarcoma: A National Cancer Database study. </w:t>
      </w:r>
      <w:proofErr w:type="spellStart"/>
      <w:r w:rsidRPr="006E0D30">
        <w:rPr>
          <w:rFonts w:ascii="Times New Roman" w:eastAsia="Times New Roman" w:hAnsi="Times New Roman" w:cs="Times New Roman"/>
          <w:i/>
          <w:iCs/>
          <w:sz w:val="24"/>
          <w:szCs w:val="24"/>
          <w:lang w:val="en-US" w:eastAsia="fr-FR"/>
        </w:rPr>
        <w:t>Gynecol</w:t>
      </w:r>
      <w:proofErr w:type="spellEnd"/>
      <w:r w:rsidRPr="006E0D30">
        <w:rPr>
          <w:rFonts w:ascii="Times New Roman" w:eastAsia="Times New Roman" w:hAnsi="Times New Roman" w:cs="Times New Roman"/>
          <w:i/>
          <w:iCs/>
          <w:sz w:val="24"/>
          <w:szCs w:val="24"/>
          <w:lang w:val="en-US" w:eastAsia="fr-FR"/>
        </w:rPr>
        <w:t xml:space="preserve"> Oncol</w:t>
      </w:r>
      <w:r w:rsidRPr="006E0D30">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2017;146:254</w:t>
      </w:r>
      <w:proofErr w:type="gramEnd"/>
      <w:r w:rsidRPr="006E0D30">
        <w:rPr>
          <w:rFonts w:ascii="Times New Roman" w:eastAsia="Times New Roman" w:hAnsi="Times New Roman" w:cs="Times New Roman"/>
          <w:sz w:val="24"/>
          <w:szCs w:val="24"/>
          <w:lang w:val="en-US" w:eastAsia="fr-FR"/>
        </w:rPr>
        <w:t>–262.</w:t>
      </w:r>
      <w:r w:rsidRPr="006E0D30">
        <w:rPr>
          <w:rFonts w:ascii="Times New Roman" w:eastAsia="Times New Roman" w:hAnsi="Times New Roman" w:cs="Times New Roman"/>
          <w:sz w:val="24"/>
          <w:szCs w:val="24"/>
          <w:lang w:val="en-US" w:eastAsia="fr-FR"/>
        </w:rPr>
        <w:br/>
      </w:r>
      <w:proofErr w:type="gramStart"/>
      <w:r w:rsidRPr="006E0D30">
        <w:rPr>
          <w:rFonts w:ascii="Times New Roman" w:eastAsia="Times New Roman" w:hAnsi="Times New Roman" w:cs="Times New Roman"/>
          <w:sz w:val="24"/>
          <w:szCs w:val="24"/>
          <w:lang w:val="en-US" w:eastAsia="fr-FR"/>
        </w:rPr>
        <w:t>doi:10.1016/j.ygyno</w:t>
      </w:r>
      <w:proofErr w:type="gramEnd"/>
      <w:r w:rsidRPr="006E0D30">
        <w:rPr>
          <w:rFonts w:ascii="Times New Roman" w:eastAsia="Times New Roman" w:hAnsi="Times New Roman" w:cs="Times New Roman"/>
          <w:sz w:val="24"/>
          <w:szCs w:val="24"/>
          <w:lang w:val="en-US" w:eastAsia="fr-FR"/>
        </w:rPr>
        <w:t>.2017.05.021</w:t>
      </w:r>
    </w:p>
    <w:p w14:paraId="27EA0E50" w14:textId="03C70EEA" w:rsidR="00E61353" w:rsidRPr="006E0D30" w:rsidRDefault="00E61353" w:rsidP="00E61353">
      <w:pPr>
        <w:spacing w:after="0" w:line="240" w:lineRule="auto"/>
        <w:rPr>
          <w:rFonts w:ascii="Times New Roman" w:eastAsia="Times New Roman" w:hAnsi="Times New Roman" w:cs="Times New Roman"/>
          <w:sz w:val="24"/>
          <w:szCs w:val="24"/>
          <w:lang w:val="en-US" w:eastAsia="fr-FR"/>
        </w:rPr>
      </w:pPr>
    </w:p>
    <w:p w14:paraId="5933D227" w14:textId="1AAFF548" w:rsidR="00E61353" w:rsidRPr="0014301B"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US" w:eastAsia="fr-FR"/>
        </w:rPr>
        <w:t>[4]</w:t>
      </w:r>
      <w:r w:rsidR="0095367C">
        <w:rPr>
          <w:rFonts w:ascii="Times New Roman" w:eastAsia="Times New Roman" w:hAnsi="Times New Roman" w:cs="Times New Roman"/>
          <w:sz w:val="24"/>
          <w:szCs w:val="24"/>
          <w:lang w:val="en-US" w:eastAsia="fr-FR"/>
        </w:rPr>
        <w:t xml:space="preserve"> </w:t>
      </w:r>
      <w:proofErr w:type="spellStart"/>
      <w:r w:rsidRPr="006E0D30">
        <w:rPr>
          <w:rFonts w:ascii="Times New Roman" w:eastAsia="Times New Roman" w:hAnsi="Times New Roman" w:cs="Times New Roman"/>
          <w:sz w:val="24"/>
          <w:szCs w:val="24"/>
          <w:lang w:val="en-US" w:eastAsia="fr-FR"/>
        </w:rPr>
        <w:t>Galaal</w:t>
      </w:r>
      <w:proofErr w:type="spellEnd"/>
      <w:r w:rsidRPr="006E0D30">
        <w:rPr>
          <w:rFonts w:ascii="Times New Roman" w:eastAsia="Times New Roman" w:hAnsi="Times New Roman" w:cs="Times New Roman"/>
          <w:sz w:val="24"/>
          <w:szCs w:val="24"/>
          <w:lang w:val="en-US" w:eastAsia="fr-FR"/>
        </w:rPr>
        <w:t xml:space="preserve"> K, van der Heijden E, Godfrey K, et al. Adjuvant chemotherapy and radiotherapy for uterine carcinosarcoma. </w:t>
      </w:r>
      <w:r w:rsidRPr="0014301B">
        <w:rPr>
          <w:rFonts w:ascii="Times New Roman" w:eastAsia="Times New Roman" w:hAnsi="Times New Roman" w:cs="Times New Roman"/>
          <w:i/>
          <w:iCs/>
          <w:sz w:val="24"/>
          <w:szCs w:val="24"/>
          <w:lang w:val="en-US" w:eastAsia="fr-FR"/>
        </w:rPr>
        <w:t>Cochrane Database Syst Rev</w:t>
      </w:r>
      <w:r w:rsidRPr="0014301B">
        <w:rPr>
          <w:rFonts w:ascii="Times New Roman" w:eastAsia="Times New Roman" w:hAnsi="Times New Roman" w:cs="Times New Roman"/>
          <w:sz w:val="24"/>
          <w:szCs w:val="24"/>
          <w:lang w:val="en-US" w:eastAsia="fr-FR"/>
        </w:rPr>
        <w:t xml:space="preserve">. </w:t>
      </w:r>
      <w:proofErr w:type="gramStart"/>
      <w:r w:rsidRPr="0014301B">
        <w:rPr>
          <w:rFonts w:ascii="Times New Roman" w:eastAsia="Times New Roman" w:hAnsi="Times New Roman" w:cs="Times New Roman"/>
          <w:sz w:val="24"/>
          <w:szCs w:val="24"/>
          <w:lang w:val="en-US" w:eastAsia="fr-FR"/>
        </w:rPr>
        <w:t>2013;CD</w:t>
      </w:r>
      <w:proofErr w:type="gramEnd"/>
      <w:r w:rsidRPr="0014301B">
        <w:rPr>
          <w:rFonts w:ascii="Times New Roman" w:eastAsia="Times New Roman" w:hAnsi="Times New Roman" w:cs="Times New Roman"/>
          <w:sz w:val="24"/>
          <w:szCs w:val="24"/>
          <w:lang w:val="en-US" w:eastAsia="fr-FR"/>
        </w:rPr>
        <w:t>006812.</w:t>
      </w:r>
      <w:r w:rsidR="0095367C">
        <w:rPr>
          <w:rFonts w:ascii="Times New Roman" w:eastAsia="Times New Roman" w:hAnsi="Times New Roman" w:cs="Times New Roman"/>
          <w:sz w:val="24"/>
          <w:szCs w:val="24"/>
          <w:lang w:val="en-US" w:eastAsia="fr-FR"/>
        </w:rPr>
        <w:t xml:space="preserve"> </w:t>
      </w:r>
      <w:proofErr w:type="gramStart"/>
      <w:r w:rsidRPr="0014301B">
        <w:rPr>
          <w:rFonts w:ascii="Times New Roman" w:eastAsia="Times New Roman" w:hAnsi="Times New Roman" w:cs="Times New Roman"/>
          <w:sz w:val="24"/>
          <w:szCs w:val="24"/>
          <w:lang w:val="en-US" w:eastAsia="fr-FR"/>
        </w:rPr>
        <w:t>doi:10.1002/14651858.CD006812.pub2</w:t>
      </w:r>
      <w:proofErr w:type="gramEnd"/>
    </w:p>
    <w:p w14:paraId="3411F9C3" w14:textId="0693D59E" w:rsidR="00E61353" w:rsidRPr="0014301B" w:rsidRDefault="00E61353" w:rsidP="00E61353">
      <w:pPr>
        <w:spacing w:after="0" w:line="240" w:lineRule="auto"/>
        <w:rPr>
          <w:rFonts w:ascii="Times New Roman" w:eastAsia="Times New Roman" w:hAnsi="Times New Roman" w:cs="Times New Roman"/>
          <w:sz w:val="24"/>
          <w:szCs w:val="24"/>
          <w:lang w:val="en-US" w:eastAsia="fr-FR"/>
        </w:rPr>
      </w:pPr>
    </w:p>
    <w:p w14:paraId="3179EA1B" w14:textId="77777777" w:rsidR="00683534" w:rsidRPr="0014301B" w:rsidRDefault="00683534" w:rsidP="00E61353">
      <w:pPr>
        <w:spacing w:before="100" w:beforeAutospacing="1" w:after="100" w:afterAutospacing="1" w:line="240" w:lineRule="auto"/>
        <w:rPr>
          <w:rFonts w:ascii="Times New Roman" w:eastAsia="Times New Roman" w:hAnsi="Times New Roman" w:cs="Times New Roman"/>
          <w:b/>
          <w:bCs/>
          <w:sz w:val="24"/>
          <w:szCs w:val="24"/>
          <w:lang w:val="en-US" w:eastAsia="fr-FR"/>
        </w:rPr>
      </w:pPr>
    </w:p>
    <w:p w14:paraId="30A76E48" w14:textId="65DDC18E" w:rsidR="00E61353" w:rsidRPr="006E0D30"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US" w:eastAsia="fr-FR"/>
        </w:rPr>
        <w:lastRenderedPageBreak/>
        <w:t>[5]</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Matsuo K, </w:t>
      </w:r>
      <w:proofErr w:type="spellStart"/>
      <w:r w:rsidRPr="006E0D30">
        <w:rPr>
          <w:rFonts w:ascii="Times New Roman" w:eastAsia="Times New Roman" w:hAnsi="Times New Roman" w:cs="Times New Roman"/>
          <w:sz w:val="24"/>
          <w:szCs w:val="24"/>
          <w:lang w:val="en-US" w:eastAsia="fr-FR"/>
        </w:rPr>
        <w:t>Takazawa</w:t>
      </w:r>
      <w:proofErr w:type="spellEnd"/>
      <w:r w:rsidRPr="006E0D30">
        <w:rPr>
          <w:rFonts w:ascii="Times New Roman" w:eastAsia="Times New Roman" w:hAnsi="Times New Roman" w:cs="Times New Roman"/>
          <w:sz w:val="24"/>
          <w:szCs w:val="24"/>
          <w:lang w:val="en-US" w:eastAsia="fr-FR"/>
        </w:rPr>
        <w:t xml:space="preserve"> Y, Ross MS, et al. Significance of histologic pattern of carcinoma and sarcoma components on survival outcomes of uterine carcinosarcoma. </w:t>
      </w:r>
      <w:proofErr w:type="spellStart"/>
      <w:r w:rsidRPr="006E0D30">
        <w:rPr>
          <w:rFonts w:ascii="Times New Roman" w:eastAsia="Times New Roman" w:hAnsi="Times New Roman" w:cs="Times New Roman"/>
          <w:i/>
          <w:iCs/>
          <w:sz w:val="24"/>
          <w:szCs w:val="24"/>
          <w:lang w:val="en-US" w:eastAsia="fr-FR"/>
        </w:rPr>
        <w:t>Gynecol</w:t>
      </w:r>
      <w:proofErr w:type="spellEnd"/>
      <w:r w:rsidRPr="006E0D30">
        <w:rPr>
          <w:rFonts w:ascii="Times New Roman" w:eastAsia="Times New Roman" w:hAnsi="Times New Roman" w:cs="Times New Roman"/>
          <w:i/>
          <w:iCs/>
          <w:sz w:val="24"/>
          <w:szCs w:val="24"/>
          <w:lang w:val="en-US" w:eastAsia="fr-FR"/>
        </w:rPr>
        <w:t xml:space="preserve"> Oncol</w:t>
      </w:r>
      <w:r w:rsidRPr="006E0D30">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2018;149:547</w:t>
      </w:r>
      <w:proofErr w:type="gramEnd"/>
      <w:r w:rsidRPr="006E0D30">
        <w:rPr>
          <w:rFonts w:ascii="Times New Roman" w:eastAsia="Times New Roman" w:hAnsi="Times New Roman" w:cs="Times New Roman"/>
          <w:sz w:val="24"/>
          <w:szCs w:val="24"/>
          <w:lang w:val="en-US" w:eastAsia="fr-FR"/>
        </w:rPr>
        <w:t>–553.</w:t>
      </w:r>
      <w:r w:rsidR="0095367C">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doi:10.1016/j.ygyno</w:t>
      </w:r>
      <w:proofErr w:type="gramEnd"/>
      <w:r w:rsidRPr="006E0D30">
        <w:rPr>
          <w:rFonts w:ascii="Times New Roman" w:eastAsia="Times New Roman" w:hAnsi="Times New Roman" w:cs="Times New Roman"/>
          <w:sz w:val="24"/>
          <w:szCs w:val="24"/>
          <w:lang w:val="en-US" w:eastAsia="fr-FR"/>
        </w:rPr>
        <w:t>.2018.03.055</w:t>
      </w:r>
    </w:p>
    <w:p w14:paraId="223E7BBA" w14:textId="7076CEC7" w:rsidR="00E61353" w:rsidRPr="006E0D30" w:rsidRDefault="00E61353" w:rsidP="00E61353">
      <w:pPr>
        <w:spacing w:after="0" w:line="240" w:lineRule="auto"/>
        <w:rPr>
          <w:rFonts w:ascii="Times New Roman" w:eastAsia="Times New Roman" w:hAnsi="Times New Roman" w:cs="Times New Roman"/>
          <w:sz w:val="24"/>
          <w:szCs w:val="24"/>
          <w:lang w:val="en-US" w:eastAsia="fr-FR"/>
        </w:rPr>
      </w:pPr>
    </w:p>
    <w:p w14:paraId="521D518E" w14:textId="2B4E1A2F" w:rsidR="00E61353" w:rsidRPr="006E0D30"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US" w:eastAsia="fr-FR"/>
        </w:rPr>
        <w:t>[6]</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Nemani D, Mitra N, Guo M, Lin L. Patterns of recurrence and survival outcomes in uterine carcinosarcoma. </w:t>
      </w:r>
      <w:proofErr w:type="spellStart"/>
      <w:r w:rsidRPr="006E0D30">
        <w:rPr>
          <w:rFonts w:ascii="Times New Roman" w:eastAsia="Times New Roman" w:hAnsi="Times New Roman" w:cs="Times New Roman"/>
          <w:i/>
          <w:iCs/>
          <w:sz w:val="24"/>
          <w:szCs w:val="24"/>
          <w:lang w:val="en-US" w:eastAsia="fr-FR"/>
        </w:rPr>
        <w:t>Gynecol</w:t>
      </w:r>
      <w:proofErr w:type="spellEnd"/>
      <w:r w:rsidRPr="006E0D30">
        <w:rPr>
          <w:rFonts w:ascii="Times New Roman" w:eastAsia="Times New Roman" w:hAnsi="Times New Roman" w:cs="Times New Roman"/>
          <w:i/>
          <w:iCs/>
          <w:sz w:val="24"/>
          <w:szCs w:val="24"/>
          <w:lang w:val="en-US" w:eastAsia="fr-FR"/>
        </w:rPr>
        <w:t xml:space="preserve"> Oncol Rep</w:t>
      </w:r>
      <w:r w:rsidRPr="006E0D30">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2020;33:100610</w:t>
      </w:r>
      <w:proofErr w:type="gramEnd"/>
      <w:r w:rsidRPr="006E0D30">
        <w:rPr>
          <w:rFonts w:ascii="Times New Roman" w:eastAsia="Times New Roman" w:hAnsi="Times New Roman" w:cs="Times New Roman"/>
          <w:sz w:val="24"/>
          <w:szCs w:val="24"/>
          <w:lang w:val="en-US" w:eastAsia="fr-FR"/>
        </w:rPr>
        <w:t>.</w:t>
      </w:r>
      <w:r w:rsidR="0095367C">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doi:10.1016/j.gore</w:t>
      </w:r>
      <w:proofErr w:type="gramEnd"/>
      <w:r w:rsidRPr="006E0D30">
        <w:rPr>
          <w:rFonts w:ascii="Times New Roman" w:eastAsia="Times New Roman" w:hAnsi="Times New Roman" w:cs="Times New Roman"/>
          <w:sz w:val="24"/>
          <w:szCs w:val="24"/>
          <w:lang w:val="en-US" w:eastAsia="fr-FR"/>
        </w:rPr>
        <w:t>.2020.100610</w:t>
      </w:r>
    </w:p>
    <w:p w14:paraId="49CE9D43" w14:textId="18E7A1C6" w:rsidR="00E61353" w:rsidRPr="006E0D30" w:rsidRDefault="00E61353" w:rsidP="00E61353">
      <w:pPr>
        <w:spacing w:after="0" w:line="240" w:lineRule="auto"/>
        <w:rPr>
          <w:rFonts w:ascii="Times New Roman" w:eastAsia="Times New Roman" w:hAnsi="Times New Roman" w:cs="Times New Roman"/>
          <w:sz w:val="24"/>
          <w:szCs w:val="24"/>
          <w:lang w:val="en-US" w:eastAsia="fr-FR"/>
        </w:rPr>
      </w:pPr>
    </w:p>
    <w:p w14:paraId="1673E3AA" w14:textId="71174B19" w:rsidR="00E61353" w:rsidRPr="00E61353" w:rsidRDefault="00E61353" w:rsidP="00E61353">
      <w:pPr>
        <w:spacing w:before="100" w:beforeAutospacing="1" w:after="100" w:afterAutospacing="1" w:line="240" w:lineRule="auto"/>
        <w:rPr>
          <w:rFonts w:ascii="Times New Roman" w:eastAsia="Times New Roman" w:hAnsi="Times New Roman" w:cs="Times New Roman"/>
          <w:sz w:val="24"/>
          <w:szCs w:val="24"/>
          <w:lang w:eastAsia="fr-FR"/>
        </w:rPr>
      </w:pPr>
      <w:r w:rsidRPr="006E0D30">
        <w:rPr>
          <w:rFonts w:ascii="Times New Roman" w:eastAsia="Times New Roman" w:hAnsi="Times New Roman" w:cs="Times New Roman"/>
          <w:b/>
          <w:bCs/>
          <w:sz w:val="24"/>
          <w:szCs w:val="24"/>
          <w:lang w:val="en-US" w:eastAsia="fr-FR"/>
        </w:rPr>
        <w:t>[7]</w:t>
      </w:r>
      <w:r w:rsidR="0095367C">
        <w:rPr>
          <w:rFonts w:ascii="Times New Roman" w:eastAsia="Times New Roman" w:hAnsi="Times New Roman" w:cs="Times New Roman"/>
          <w:sz w:val="24"/>
          <w:szCs w:val="24"/>
          <w:lang w:val="en-US" w:eastAsia="fr-FR"/>
        </w:rPr>
        <w:t xml:space="preserve"> </w:t>
      </w:r>
      <w:proofErr w:type="spellStart"/>
      <w:r w:rsidRPr="006E0D30">
        <w:rPr>
          <w:rFonts w:ascii="Times New Roman" w:eastAsia="Times New Roman" w:hAnsi="Times New Roman" w:cs="Times New Roman"/>
          <w:sz w:val="24"/>
          <w:szCs w:val="24"/>
          <w:lang w:val="en-US" w:eastAsia="fr-FR"/>
        </w:rPr>
        <w:t>Bendifallah</w:t>
      </w:r>
      <w:proofErr w:type="spellEnd"/>
      <w:r w:rsidRPr="006E0D30">
        <w:rPr>
          <w:rFonts w:ascii="Times New Roman" w:eastAsia="Times New Roman" w:hAnsi="Times New Roman" w:cs="Times New Roman"/>
          <w:sz w:val="24"/>
          <w:szCs w:val="24"/>
          <w:lang w:val="en-US" w:eastAsia="fr-FR"/>
        </w:rPr>
        <w:t xml:space="preserve"> S, </w:t>
      </w:r>
      <w:proofErr w:type="spellStart"/>
      <w:r w:rsidRPr="006E0D30">
        <w:rPr>
          <w:rFonts w:ascii="Times New Roman" w:eastAsia="Times New Roman" w:hAnsi="Times New Roman" w:cs="Times New Roman"/>
          <w:sz w:val="24"/>
          <w:szCs w:val="24"/>
          <w:lang w:val="en-US" w:eastAsia="fr-FR"/>
        </w:rPr>
        <w:t>Ouldamer</w:t>
      </w:r>
      <w:proofErr w:type="spellEnd"/>
      <w:r w:rsidRPr="006E0D30">
        <w:rPr>
          <w:rFonts w:ascii="Times New Roman" w:eastAsia="Times New Roman" w:hAnsi="Times New Roman" w:cs="Times New Roman"/>
          <w:sz w:val="24"/>
          <w:szCs w:val="24"/>
          <w:lang w:val="en-US" w:eastAsia="fr-FR"/>
        </w:rPr>
        <w:t xml:space="preserve"> L, </w:t>
      </w:r>
      <w:proofErr w:type="spellStart"/>
      <w:r w:rsidRPr="006E0D30">
        <w:rPr>
          <w:rFonts w:ascii="Times New Roman" w:eastAsia="Times New Roman" w:hAnsi="Times New Roman" w:cs="Times New Roman"/>
          <w:sz w:val="24"/>
          <w:szCs w:val="24"/>
          <w:lang w:val="en-US" w:eastAsia="fr-FR"/>
        </w:rPr>
        <w:t>Lavoue</w:t>
      </w:r>
      <w:proofErr w:type="spellEnd"/>
      <w:r w:rsidRPr="006E0D30">
        <w:rPr>
          <w:rFonts w:ascii="Times New Roman" w:eastAsia="Times New Roman" w:hAnsi="Times New Roman" w:cs="Times New Roman"/>
          <w:sz w:val="24"/>
          <w:szCs w:val="24"/>
          <w:lang w:val="en-US" w:eastAsia="fr-FR"/>
        </w:rPr>
        <w:t xml:space="preserve"> V, et al. Patterns of recurrence and survival after relapse in uterine carcinosarcoma. </w:t>
      </w:r>
      <w:r w:rsidRPr="00E61353">
        <w:rPr>
          <w:rFonts w:ascii="Times New Roman" w:eastAsia="Times New Roman" w:hAnsi="Times New Roman" w:cs="Times New Roman"/>
          <w:i/>
          <w:iCs/>
          <w:sz w:val="24"/>
          <w:szCs w:val="24"/>
          <w:lang w:eastAsia="fr-FR"/>
        </w:rPr>
        <w:t>Ann Surg Oncol</w:t>
      </w:r>
      <w:r w:rsidRPr="00E61353">
        <w:rPr>
          <w:rFonts w:ascii="Times New Roman" w:eastAsia="Times New Roman" w:hAnsi="Times New Roman" w:cs="Times New Roman"/>
          <w:sz w:val="24"/>
          <w:szCs w:val="24"/>
          <w:lang w:eastAsia="fr-FR"/>
        </w:rPr>
        <w:t>. 2019;26:111–120.</w:t>
      </w:r>
      <w:r w:rsidRPr="00E61353">
        <w:rPr>
          <w:rFonts w:ascii="Times New Roman" w:eastAsia="Times New Roman" w:hAnsi="Times New Roman" w:cs="Times New Roman"/>
          <w:sz w:val="24"/>
          <w:szCs w:val="24"/>
          <w:lang w:eastAsia="fr-FR"/>
        </w:rPr>
        <w:br/>
        <w:t>doi:10.1245/s10434-018-6907-3</w:t>
      </w:r>
    </w:p>
    <w:p w14:paraId="76F1BFCE" w14:textId="0935E58D" w:rsidR="00E61353" w:rsidRPr="00E61353" w:rsidRDefault="00E61353" w:rsidP="00E61353">
      <w:pPr>
        <w:spacing w:after="0" w:line="240" w:lineRule="auto"/>
        <w:rPr>
          <w:rFonts w:ascii="Times New Roman" w:eastAsia="Times New Roman" w:hAnsi="Times New Roman" w:cs="Times New Roman"/>
          <w:sz w:val="24"/>
          <w:szCs w:val="24"/>
          <w:lang w:eastAsia="fr-FR"/>
        </w:rPr>
      </w:pPr>
    </w:p>
    <w:p w14:paraId="335833E1" w14:textId="5ABDBB7A" w:rsidR="00E61353" w:rsidRPr="006E0D30"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E61353">
        <w:rPr>
          <w:rFonts w:ascii="Times New Roman" w:eastAsia="Times New Roman" w:hAnsi="Times New Roman" w:cs="Times New Roman"/>
          <w:b/>
          <w:bCs/>
          <w:sz w:val="24"/>
          <w:szCs w:val="24"/>
          <w:lang w:eastAsia="fr-FR"/>
        </w:rPr>
        <w:t>[8]</w:t>
      </w:r>
      <w:r w:rsidR="0095367C">
        <w:rPr>
          <w:rFonts w:ascii="Times New Roman" w:eastAsia="Times New Roman" w:hAnsi="Times New Roman" w:cs="Times New Roman"/>
          <w:sz w:val="24"/>
          <w:szCs w:val="24"/>
          <w:lang w:eastAsia="fr-FR"/>
        </w:rPr>
        <w:t xml:space="preserve"> </w:t>
      </w:r>
      <w:r w:rsidRPr="00E61353">
        <w:rPr>
          <w:rFonts w:ascii="Times New Roman" w:eastAsia="Times New Roman" w:hAnsi="Times New Roman" w:cs="Times New Roman"/>
          <w:sz w:val="24"/>
          <w:szCs w:val="24"/>
          <w:lang w:eastAsia="fr-FR"/>
        </w:rPr>
        <w:t xml:space="preserve">Tanner EJ, Garg K, Leitao MM Jr, et al. </w:t>
      </w:r>
      <w:r w:rsidRPr="006E0D30">
        <w:rPr>
          <w:rFonts w:ascii="Times New Roman" w:eastAsia="Times New Roman" w:hAnsi="Times New Roman" w:cs="Times New Roman"/>
          <w:sz w:val="24"/>
          <w:szCs w:val="24"/>
          <w:lang w:val="en-US" w:eastAsia="fr-FR"/>
        </w:rPr>
        <w:t xml:space="preserve">Histologic features associated with outcomes in uterine carcinosarcoma. </w:t>
      </w:r>
      <w:r w:rsidRPr="006E0D30">
        <w:rPr>
          <w:rFonts w:ascii="Times New Roman" w:eastAsia="Times New Roman" w:hAnsi="Times New Roman" w:cs="Times New Roman"/>
          <w:i/>
          <w:iCs/>
          <w:sz w:val="24"/>
          <w:szCs w:val="24"/>
          <w:lang w:val="en-US" w:eastAsia="fr-FR"/>
        </w:rPr>
        <w:t xml:space="preserve">Int J </w:t>
      </w:r>
      <w:proofErr w:type="spellStart"/>
      <w:r w:rsidRPr="006E0D30">
        <w:rPr>
          <w:rFonts w:ascii="Times New Roman" w:eastAsia="Times New Roman" w:hAnsi="Times New Roman" w:cs="Times New Roman"/>
          <w:i/>
          <w:iCs/>
          <w:sz w:val="24"/>
          <w:szCs w:val="24"/>
          <w:lang w:val="en-US" w:eastAsia="fr-FR"/>
        </w:rPr>
        <w:t>Gynecol</w:t>
      </w:r>
      <w:proofErr w:type="spellEnd"/>
      <w:r w:rsidRPr="006E0D30">
        <w:rPr>
          <w:rFonts w:ascii="Times New Roman" w:eastAsia="Times New Roman" w:hAnsi="Times New Roman" w:cs="Times New Roman"/>
          <w:i/>
          <w:iCs/>
          <w:sz w:val="24"/>
          <w:szCs w:val="24"/>
          <w:lang w:val="en-US" w:eastAsia="fr-FR"/>
        </w:rPr>
        <w:t xml:space="preserve"> Cancer</w:t>
      </w:r>
      <w:r w:rsidRPr="006E0D30">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2012;22:1166</w:t>
      </w:r>
      <w:proofErr w:type="gramEnd"/>
      <w:r w:rsidRPr="006E0D30">
        <w:rPr>
          <w:rFonts w:ascii="Times New Roman" w:eastAsia="Times New Roman" w:hAnsi="Times New Roman" w:cs="Times New Roman"/>
          <w:sz w:val="24"/>
          <w:szCs w:val="24"/>
          <w:lang w:val="en-US" w:eastAsia="fr-FR"/>
        </w:rPr>
        <w:t>–1172.</w:t>
      </w:r>
      <w:r w:rsidRPr="006E0D30">
        <w:rPr>
          <w:rFonts w:ascii="Times New Roman" w:eastAsia="Times New Roman" w:hAnsi="Times New Roman" w:cs="Times New Roman"/>
          <w:sz w:val="24"/>
          <w:szCs w:val="24"/>
          <w:lang w:val="en-US" w:eastAsia="fr-FR"/>
        </w:rPr>
        <w:br/>
        <w:t>doi:10.1097/IGC.0b013e318266a3f0</w:t>
      </w:r>
    </w:p>
    <w:p w14:paraId="59CB03E5" w14:textId="73B403AC" w:rsidR="00E61353" w:rsidRPr="006E0D30" w:rsidRDefault="00E61353" w:rsidP="00E61353">
      <w:pPr>
        <w:spacing w:after="0" w:line="240" w:lineRule="auto"/>
        <w:rPr>
          <w:rFonts w:ascii="Times New Roman" w:eastAsia="Times New Roman" w:hAnsi="Times New Roman" w:cs="Times New Roman"/>
          <w:sz w:val="24"/>
          <w:szCs w:val="24"/>
          <w:lang w:val="en-US" w:eastAsia="fr-FR"/>
        </w:rPr>
      </w:pPr>
    </w:p>
    <w:p w14:paraId="5C615B21" w14:textId="6F88949E" w:rsidR="00E61353" w:rsidRPr="006E0D30"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US" w:eastAsia="fr-FR"/>
        </w:rPr>
        <w:t>[9]</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Berton-Rigaud D, </w:t>
      </w:r>
      <w:proofErr w:type="spellStart"/>
      <w:r w:rsidRPr="006E0D30">
        <w:rPr>
          <w:rFonts w:ascii="Times New Roman" w:eastAsia="Times New Roman" w:hAnsi="Times New Roman" w:cs="Times New Roman"/>
          <w:sz w:val="24"/>
          <w:szCs w:val="24"/>
          <w:lang w:val="en-US" w:eastAsia="fr-FR"/>
        </w:rPr>
        <w:t>Devouassoux-Shisheboran</w:t>
      </w:r>
      <w:proofErr w:type="spellEnd"/>
      <w:r w:rsidRPr="006E0D30">
        <w:rPr>
          <w:rFonts w:ascii="Times New Roman" w:eastAsia="Times New Roman" w:hAnsi="Times New Roman" w:cs="Times New Roman"/>
          <w:sz w:val="24"/>
          <w:szCs w:val="24"/>
          <w:lang w:val="en-US" w:eastAsia="fr-FR"/>
        </w:rPr>
        <w:t xml:space="preserve"> M, Ledermann JA, et al. Gynecologic carcinosarcomas: Clinical and pathological characteristics. </w:t>
      </w:r>
      <w:r w:rsidRPr="006E0D30">
        <w:rPr>
          <w:rFonts w:ascii="Times New Roman" w:eastAsia="Times New Roman" w:hAnsi="Times New Roman" w:cs="Times New Roman"/>
          <w:i/>
          <w:iCs/>
          <w:sz w:val="24"/>
          <w:szCs w:val="24"/>
          <w:lang w:val="en-US" w:eastAsia="fr-FR"/>
        </w:rPr>
        <w:t>Eur J Cancer</w:t>
      </w:r>
      <w:r w:rsidRPr="006E0D30">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2014;50:144</w:t>
      </w:r>
      <w:proofErr w:type="gramEnd"/>
      <w:r w:rsidRPr="006E0D30">
        <w:rPr>
          <w:rFonts w:ascii="Times New Roman" w:eastAsia="Times New Roman" w:hAnsi="Times New Roman" w:cs="Times New Roman"/>
          <w:sz w:val="24"/>
          <w:szCs w:val="24"/>
          <w:lang w:val="en-US" w:eastAsia="fr-FR"/>
        </w:rPr>
        <w:t>–152.</w:t>
      </w:r>
      <w:r w:rsidRPr="006E0D30">
        <w:rPr>
          <w:rFonts w:ascii="Times New Roman" w:eastAsia="Times New Roman" w:hAnsi="Times New Roman" w:cs="Times New Roman"/>
          <w:sz w:val="24"/>
          <w:szCs w:val="24"/>
          <w:lang w:val="en-US" w:eastAsia="fr-FR"/>
        </w:rPr>
        <w:br/>
      </w:r>
      <w:proofErr w:type="gramStart"/>
      <w:r w:rsidRPr="006E0D30">
        <w:rPr>
          <w:rFonts w:ascii="Times New Roman" w:eastAsia="Times New Roman" w:hAnsi="Times New Roman" w:cs="Times New Roman"/>
          <w:sz w:val="24"/>
          <w:szCs w:val="24"/>
          <w:lang w:val="en-US" w:eastAsia="fr-FR"/>
        </w:rPr>
        <w:t>doi:10.1016/j.ejca</w:t>
      </w:r>
      <w:proofErr w:type="gramEnd"/>
      <w:r w:rsidRPr="006E0D30">
        <w:rPr>
          <w:rFonts w:ascii="Times New Roman" w:eastAsia="Times New Roman" w:hAnsi="Times New Roman" w:cs="Times New Roman"/>
          <w:sz w:val="24"/>
          <w:szCs w:val="24"/>
          <w:lang w:val="en-US" w:eastAsia="fr-FR"/>
        </w:rPr>
        <w:t>.2013.09.003</w:t>
      </w:r>
    </w:p>
    <w:p w14:paraId="1DF1F342" w14:textId="5BFDD931" w:rsidR="00E61353" w:rsidRPr="006E0D30" w:rsidRDefault="00E61353" w:rsidP="00E61353">
      <w:pPr>
        <w:spacing w:after="0" w:line="240" w:lineRule="auto"/>
        <w:rPr>
          <w:rFonts w:ascii="Times New Roman" w:eastAsia="Times New Roman" w:hAnsi="Times New Roman" w:cs="Times New Roman"/>
          <w:sz w:val="24"/>
          <w:szCs w:val="24"/>
          <w:lang w:val="en-US" w:eastAsia="fr-FR"/>
        </w:rPr>
      </w:pPr>
    </w:p>
    <w:p w14:paraId="660DDE86" w14:textId="4B9AD300" w:rsidR="00E61353" w:rsidRPr="006E0D30"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US" w:eastAsia="fr-FR"/>
        </w:rPr>
        <w:t>[10]</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Amant F, Mirza MR, </w:t>
      </w:r>
      <w:proofErr w:type="spellStart"/>
      <w:r w:rsidRPr="006E0D30">
        <w:rPr>
          <w:rFonts w:ascii="Times New Roman" w:eastAsia="Times New Roman" w:hAnsi="Times New Roman" w:cs="Times New Roman"/>
          <w:sz w:val="24"/>
          <w:szCs w:val="24"/>
          <w:lang w:val="en-US" w:eastAsia="fr-FR"/>
        </w:rPr>
        <w:t>Koskas</w:t>
      </w:r>
      <w:proofErr w:type="spellEnd"/>
      <w:r w:rsidRPr="006E0D30">
        <w:rPr>
          <w:rFonts w:ascii="Times New Roman" w:eastAsia="Times New Roman" w:hAnsi="Times New Roman" w:cs="Times New Roman"/>
          <w:sz w:val="24"/>
          <w:szCs w:val="24"/>
          <w:lang w:val="en-US" w:eastAsia="fr-FR"/>
        </w:rPr>
        <w:t xml:space="preserve"> M, Creutzberg CL. Cancer of the corpus uteri. </w:t>
      </w:r>
      <w:r w:rsidRPr="006E0D30">
        <w:rPr>
          <w:rFonts w:ascii="Times New Roman" w:eastAsia="Times New Roman" w:hAnsi="Times New Roman" w:cs="Times New Roman"/>
          <w:i/>
          <w:iCs/>
          <w:sz w:val="24"/>
          <w:szCs w:val="24"/>
          <w:lang w:val="en-US" w:eastAsia="fr-FR"/>
        </w:rPr>
        <w:t xml:space="preserve">Int J </w:t>
      </w:r>
      <w:proofErr w:type="spellStart"/>
      <w:r w:rsidRPr="006E0D30">
        <w:rPr>
          <w:rFonts w:ascii="Times New Roman" w:eastAsia="Times New Roman" w:hAnsi="Times New Roman" w:cs="Times New Roman"/>
          <w:i/>
          <w:iCs/>
          <w:sz w:val="24"/>
          <w:szCs w:val="24"/>
          <w:lang w:val="en-US" w:eastAsia="fr-FR"/>
        </w:rPr>
        <w:t>Gynecol</w:t>
      </w:r>
      <w:proofErr w:type="spellEnd"/>
      <w:r w:rsidRPr="006E0D30">
        <w:rPr>
          <w:rFonts w:ascii="Times New Roman" w:eastAsia="Times New Roman" w:hAnsi="Times New Roman" w:cs="Times New Roman"/>
          <w:i/>
          <w:iCs/>
          <w:sz w:val="24"/>
          <w:szCs w:val="24"/>
          <w:lang w:val="en-US" w:eastAsia="fr-FR"/>
        </w:rPr>
        <w:t xml:space="preserve"> Obstet</w:t>
      </w:r>
      <w:r w:rsidRPr="006E0D30">
        <w:rPr>
          <w:rFonts w:ascii="Times New Roman" w:eastAsia="Times New Roman" w:hAnsi="Times New Roman" w:cs="Times New Roman"/>
          <w:sz w:val="24"/>
          <w:szCs w:val="24"/>
          <w:lang w:val="en-US" w:eastAsia="fr-FR"/>
        </w:rPr>
        <w:t>. 2018;143(Suppl 2):37–50.</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doi:10.1002/ijgo.12613</w:t>
      </w:r>
    </w:p>
    <w:p w14:paraId="3D1EB9AF" w14:textId="34820272" w:rsidR="00E61353" w:rsidRPr="006E0D30" w:rsidRDefault="00E61353" w:rsidP="00E61353">
      <w:pPr>
        <w:spacing w:after="0" w:line="240" w:lineRule="auto"/>
        <w:rPr>
          <w:rFonts w:ascii="Times New Roman" w:eastAsia="Times New Roman" w:hAnsi="Times New Roman" w:cs="Times New Roman"/>
          <w:sz w:val="24"/>
          <w:szCs w:val="24"/>
          <w:lang w:val="en-US" w:eastAsia="fr-FR"/>
        </w:rPr>
      </w:pPr>
    </w:p>
    <w:p w14:paraId="5EC643D7" w14:textId="511AFE6B" w:rsidR="00E61353" w:rsidRPr="00E61353" w:rsidRDefault="00E61353" w:rsidP="00E61353">
      <w:pPr>
        <w:spacing w:before="100" w:beforeAutospacing="1" w:after="100" w:afterAutospacing="1" w:line="240" w:lineRule="auto"/>
        <w:rPr>
          <w:rFonts w:ascii="Times New Roman" w:eastAsia="Times New Roman" w:hAnsi="Times New Roman" w:cs="Times New Roman"/>
          <w:sz w:val="24"/>
          <w:szCs w:val="24"/>
          <w:lang w:eastAsia="fr-FR"/>
        </w:rPr>
      </w:pPr>
      <w:r w:rsidRPr="006E0D30">
        <w:rPr>
          <w:rFonts w:ascii="Times New Roman" w:eastAsia="Times New Roman" w:hAnsi="Times New Roman" w:cs="Times New Roman"/>
          <w:b/>
          <w:bCs/>
          <w:sz w:val="24"/>
          <w:szCs w:val="24"/>
          <w:lang w:val="en-US" w:eastAsia="fr-FR"/>
        </w:rPr>
        <w:t>[11]</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McCluggage WG. My approach to the interpretation of endometrial biopsies and </w:t>
      </w:r>
      <w:proofErr w:type="spellStart"/>
      <w:r w:rsidRPr="006E0D30">
        <w:rPr>
          <w:rFonts w:ascii="Times New Roman" w:eastAsia="Times New Roman" w:hAnsi="Times New Roman" w:cs="Times New Roman"/>
          <w:sz w:val="24"/>
          <w:szCs w:val="24"/>
          <w:lang w:val="en-US" w:eastAsia="fr-FR"/>
        </w:rPr>
        <w:t>curettings</w:t>
      </w:r>
      <w:proofErr w:type="spellEnd"/>
      <w:r w:rsidRPr="006E0D30">
        <w:rPr>
          <w:rFonts w:ascii="Times New Roman" w:eastAsia="Times New Roman" w:hAnsi="Times New Roman" w:cs="Times New Roman"/>
          <w:sz w:val="24"/>
          <w:szCs w:val="24"/>
          <w:lang w:val="en-US" w:eastAsia="fr-FR"/>
        </w:rPr>
        <w:t xml:space="preserve">. </w:t>
      </w:r>
      <w:r w:rsidRPr="00E61353">
        <w:rPr>
          <w:rFonts w:ascii="Times New Roman" w:eastAsia="Times New Roman" w:hAnsi="Times New Roman" w:cs="Times New Roman"/>
          <w:i/>
          <w:iCs/>
          <w:sz w:val="24"/>
          <w:szCs w:val="24"/>
          <w:lang w:eastAsia="fr-FR"/>
        </w:rPr>
        <w:t xml:space="preserve">J Clin </w:t>
      </w:r>
      <w:proofErr w:type="spellStart"/>
      <w:r w:rsidRPr="00E61353">
        <w:rPr>
          <w:rFonts w:ascii="Times New Roman" w:eastAsia="Times New Roman" w:hAnsi="Times New Roman" w:cs="Times New Roman"/>
          <w:i/>
          <w:iCs/>
          <w:sz w:val="24"/>
          <w:szCs w:val="24"/>
          <w:lang w:eastAsia="fr-FR"/>
        </w:rPr>
        <w:t>Pathol</w:t>
      </w:r>
      <w:proofErr w:type="spellEnd"/>
      <w:r w:rsidRPr="00E61353">
        <w:rPr>
          <w:rFonts w:ascii="Times New Roman" w:eastAsia="Times New Roman" w:hAnsi="Times New Roman" w:cs="Times New Roman"/>
          <w:sz w:val="24"/>
          <w:szCs w:val="24"/>
          <w:lang w:eastAsia="fr-FR"/>
        </w:rPr>
        <w:t xml:space="preserve">. </w:t>
      </w:r>
      <w:proofErr w:type="gramStart"/>
      <w:r w:rsidRPr="00E61353">
        <w:rPr>
          <w:rFonts w:ascii="Times New Roman" w:eastAsia="Times New Roman" w:hAnsi="Times New Roman" w:cs="Times New Roman"/>
          <w:sz w:val="24"/>
          <w:szCs w:val="24"/>
          <w:lang w:eastAsia="fr-FR"/>
        </w:rPr>
        <w:t>2006;59:</w:t>
      </w:r>
      <w:proofErr w:type="gramEnd"/>
      <w:r w:rsidRPr="00E61353">
        <w:rPr>
          <w:rFonts w:ascii="Times New Roman" w:eastAsia="Times New Roman" w:hAnsi="Times New Roman" w:cs="Times New Roman"/>
          <w:sz w:val="24"/>
          <w:szCs w:val="24"/>
          <w:lang w:eastAsia="fr-FR"/>
        </w:rPr>
        <w:t>801–811.</w:t>
      </w:r>
      <w:r w:rsidR="0095367C">
        <w:rPr>
          <w:rFonts w:ascii="Times New Roman" w:eastAsia="Times New Roman" w:hAnsi="Times New Roman" w:cs="Times New Roman"/>
          <w:sz w:val="24"/>
          <w:szCs w:val="24"/>
          <w:lang w:eastAsia="fr-FR"/>
        </w:rPr>
        <w:t xml:space="preserve"> </w:t>
      </w:r>
      <w:proofErr w:type="gramStart"/>
      <w:r w:rsidRPr="00E61353">
        <w:rPr>
          <w:rFonts w:ascii="Times New Roman" w:eastAsia="Times New Roman" w:hAnsi="Times New Roman" w:cs="Times New Roman"/>
          <w:sz w:val="24"/>
          <w:szCs w:val="24"/>
          <w:lang w:eastAsia="fr-FR"/>
        </w:rPr>
        <w:t>doi:</w:t>
      </w:r>
      <w:proofErr w:type="gramEnd"/>
      <w:r w:rsidRPr="00E61353">
        <w:rPr>
          <w:rFonts w:ascii="Times New Roman" w:eastAsia="Times New Roman" w:hAnsi="Times New Roman" w:cs="Times New Roman"/>
          <w:sz w:val="24"/>
          <w:szCs w:val="24"/>
          <w:lang w:eastAsia="fr-FR"/>
        </w:rPr>
        <w:t>10.1136/jcp.2005.031989</w:t>
      </w:r>
    </w:p>
    <w:p w14:paraId="77258411" w14:textId="7AA49A7D" w:rsidR="00E61353" w:rsidRPr="00E61353" w:rsidRDefault="00E61353" w:rsidP="00E61353">
      <w:pPr>
        <w:spacing w:after="0" w:line="240" w:lineRule="auto"/>
        <w:rPr>
          <w:rFonts w:ascii="Times New Roman" w:eastAsia="Times New Roman" w:hAnsi="Times New Roman" w:cs="Times New Roman"/>
          <w:sz w:val="24"/>
          <w:szCs w:val="24"/>
          <w:lang w:eastAsia="fr-FR"/>
        </w:rPr>
      </w:pPr>
    </w:p>
    <w:p w14:paraId="75486EC4" w14:textId="327F0765" w:rsidR="00E61353" w:rsidRPr="006E0D30"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US" w:eastAsia="fr-FR"/>
        </w:rPr>
        <w:t>[12]</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Bristow RE, Puri I, Chi DS. Cytoreductive surgery for recurrent gynecologic cancer. </w:t>
      </w:r>
      <w:proofErr w:type="spellStart"/>
      <w:r w:rsidRPr="006E0D30">
        <w:rPr>
          <w:rFonts w:ascii="Times New Roman" w:eastAsia="Times New Roman" w:hAnsi="Times New Roman" w:cs="Times New Roman"/>
          <w:i/>
          <w:iCs/>
          <w:sz w:val="24"/>
          <w:szCs w:val="24"/>
          <w:lang w:val="en-US" w:eastAsia="fr-FR"/>
        </w:rPr>
        <w:t>Gynecol</w:t>
      </w:r>
      <w:proofErr w:type="spellEnd"/>
      <w:r w:rsidRPr="006E0D30">
        <w:rPr>
          <w:rFonts w:ascii="Times New Roman" w:eastAsia="Times New Roman" w:hAnsi="Times New Roman" w:cs="Times New Roman"/>
          <w:i/>
          <w:iCs/>
          <w:sz w:val="24"/>
          <w:szCs w:val="24"/>
          <w:lang w:val="en-US" w:eastAsia="fr-FR"/>
        </w:rPr>
        <w:t xml:space="preserve"> Oncol</w:t>
      </w:r>
      <w:r w:rsidRPr="006E0D30">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2009;112:265</w:t>
      </w:r>
      <w:proofErr w:type="gramEnd"/>
      <w:r w:rsidRPr="006E0D30">
        <w:rPr>
          <w:rFonts w:ascii="Times New Roman" w:eastAsia="Times New Roman" w:hAnsi="Times New Roman" w:cs="Times New Roman"/>
          <w:sz w:val="24"/>
          <w:szCs w:val="24"/>
          <w:lang w:val="en-US" w:eastAsia="fr-FR"/>
        </w:rPr>
        <w:t>–274.</w:t>
      </w:r>
      <w:r w:rsidR="0095367C">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doi:10.1016/j.ygyno</w:t>
      </w:r>
      <w:proofErr w:type="gramEnd"/>
      <w:r w:rsidRPr="006E0D30">
        <w:rPr>
          <w:rFonts w:ascii="Times New Roman" w:eastAsia="Times New Roman" w:hAnsi="Times New Roman" w:cs="Times New Roman"/>
          <w:sz w:val="24"/>
          <w:szCs w:val="24"/>
          <w:lang w:val="en-US" w:eastAsia="fr-FR"/>
        </w:rPr>
        <w:t>.2008.11.026</w:t>
      </w:r>
    </w:p>
    <w:p w14:paraId="76CE594C" w14:textId="17C7ADC4" w:rsidR="00E61353" w:rsidRPr="006E0D30" w:rsidRDefault="00E61353" w:rsidP="00E61353">
      <w:pPr>
        <w:spacing w:after="0" w:line="240" w:lineRule="auto"/>
        <w:rPr>
          <w:rFonts w:ascii="Times New Roman" w:eastAsia="Times New Roman" w:hAnsi="Times New Roman" w:cs="Times New Roman"/>
          <w:sz w:val="24"/>
          <w:szCs w:val="24"/>
          <w:lang w:val="en-US" w:eastAsia="fr-FR"/>
        </w:rPr>
      </w:pPr>
    </w:p>
    <w:p w14:paraId="6544C1CD" w14:textId="334B151C" w:rsidR="00E61353" w:rsidRPr="006E0D30"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US" w:eastAsia="fr-FR"/>
        </w:rPr>
        <w:t>[13]</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Salani R, Backes FJ, Fung MF, et al. Posttreatment surveillance and diagnosis of recurrence in women with gynecologic malignancies. </w:t>
      </w:r>
      <w:proofErr w:type="spellStart"/>
      <w:r w:rsidRPr="006E0D30">
        <w:rPr>
          <w:rFonts w:ascii="Times New Roman" w:eastAsia="Times New Roman" w:hAnsi="Times New Roman" w:cs="Times New Roman"/>
          <w:i/>
          <w:iCs/>
          <w:sz w:val="24"/>
          <w:szCs w:val="24"/>
          <w:lang w:val="en-US" w:eastAsia="fr-FR"/>
        </w:rPr>
        <w:t>Gynecol</w:t>
      </w:r>
      <w:proofErr w:type="spellEnd"/>
      <w:r w:rsidRPr="006E0D30">
        <w:rPr>
          <w:rFonts w:ascii="Times New Roman" w:eastAsia="Times New Roman" w:hAnsi="Times New Roman" w:cs="Times New Roman"/>
          <w:i/>
          <w:iCs/>
          <w:sz w:val="24"/>
          <w:szCs w:val="24"/>
          <w:lang w:val="en-US" w:eastAsia="fr-FR"/>
        </w:rPr>
        <w:t xml:space="preserve"> Oncol</w:t>
      </w:r>
      <w:r w:rsidRPr="006E0D30">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2011;122:368</w:t>
      </w:r>
      <w:proofErr w:type="gramEnd"/>
      <w:r w:rsidRPr="006E0D30">
        <w:rPr>
          <w:rFonts w:ascii="Times New Roman" w:eastAsia="Times New Roman" w:hAnsi="Times New Roman" w:cs="Times New Roman"/>
          <w:sz w:val="24"/>
          <w:szCs w:val="24"/>
          <w:lang w:val="en-US" w:eastAsia="fr-FR"/>
        </w:rPr>
        <w:t>–374.</w:t>
      </w:r>
      <w:r w:rsidR="0095367C">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doi:10.1016/j.ygyno</w:t>
      </w:r>
      <w:proofErr w:type="gramEnd"/>
      <w:r w:rsidRPr="006E0D30">
        <w:rPr>
          <w:rFonts w:ascii="Times New Roman" w:eastAsia="Times New Roman" w:hAnsi="Times New Roman" w:cs="Times New Roman"/>
          <w:sz w:val="24"/>
          <w:szCs w:val="24"/>
          <w:lang w:val="en-US" w:eastAsia="fr-FR"/>
        </w:rPr>
        <w:t>.2011.07.011</w:t>
      </w:r>
    </w:p>
    <w:p w14:paraId="19CBC5CB" w14:textId="6261F186" w:rsidR="00E61353" w:rsidRPr="006E0D30" w:rsidRDefault="00E61353" w:rsidP="00E61353">
      <w:pPr>
        <w:spacing w:after="0" w:line="240" w:lineRule="auto"/>
        <w:rPr>
          <w:rFonts w:ascii="Times New Roman" w:eastAsia="Times New Roman" w:hAnsi="Times New Roman" w:cs="Times New Roman"/>
          <w:sz w:val="24"/>
          <w:szCs w:val="24"/>
          <w:lang w:val="en-US" w:eastAsia="fr-FR"/>
        </w:rPr>
      </w:pPr>
    </w:p>
    <w:p w14:paraId="396FBAF0" w14:textId="331F191A" w:rsidR="00E61353" w:rsidRPr="006E0D30" w:rsidRDefault="00E61353" w:rsidP="00E61353">
      <w:pPr>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US" w:eastAsia="fr-FR"/>
        </w:rPr>
        <w:lastRenderedPageBreak/>
        <w:t>[14]</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Burger JW, </w:t>
      </w:r>
      <w:proofErr w:type="spellStart"/>
      <w:r w:rsidRPr="006E0D30">
        <w:rPr>
          <w:rFonts w:ascii="Times New Roman" w:eastAsia="Times New Roman" w:hAnsi="Times New Roman" w:cs="Times New Roman"/>
          <w:sz w:val="24"/>
          <w:szCs w:val="24"/>
          <w:lang w:val="en-US" w:eastAsia="fr-FR"/>
        </w:rPr>
        <w:t>Luijendijk</w:t>
      </w:r>
      <w:proofErr w:type="spellEnd"/>
      <w:r w:rsidRPr="006E0D30">
        <w:rPr>
          <w:rFonts w:ascii="Times New Roman" w:eastAsia="Times New Roman" w:hAnsi="Times New Roman" w:cs="Times New Roman"/>
          <w:sz w:val="24"/>
          <w:szCs w:val="24"/>
          <w:lang w:val="en-US" w:eastAsia="fr-FR"/>
        </w:rPr>
        <w:t xml:space="preserve"> RW, Hop WC, et al. Long-term follow-up of a randomized controlled trial of suture versus mesh repair of incisional hernia. </w:t>
      </w:r>
      <w:r w:rsidRPr="006E0D30">
        <w:rPr>
          <w:rFonts w:ascii="Times New Roman" w:eastAsia="Times New Roman" w:hAnsi="Times New Roman" w:cs="Times New Roman"/>
          <w:i/>
          <w:iCs/>
          <w:sz w:val="24"/>
          <w:szCs w:val="24"/>
          <w:lang w:val="en-US" w:eastAsia="fr-FR"/>
        </w:rPr>
        <w:t>Ann Surg</w:t>
      </w:r>
      <w:r w:rsidRPr="006E0D30">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2004;240:578</w:t>
      </w:r>
      <w:proofErr w:type="gramEnd"/>
      <w:r w:rsidRPr="006E0D30">
        <w:rPr>
          <w:rFonts w:ascii="Times New Roman" w:eastAsia="Times New Roman" w:hAnsi="Times New Roman" w:cs="Times New Roman"/>
          <w:sz w:val="24"/>
          <w:szCs w:val="24"/>
          <w:lang w:val="en-US" w:eastAsia="fr-FR"/>
        </w:rPr>
        <w:t>–583.</w:t>
      </w:r>
      <w:r w:rsidR="0095367C">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doi:10.1097/01.sla</w:t>
      </w:r>
      <w:proofErr w:type="gramEnd"/>
      <w:r w:rsidRPr="006E0D30">
        <w:rPr>
          <w:rFonts w:ascii="Times New Roman" w:eastAsia="Times New Roman" w:hAnsi="Times New Roman" w:cs="Times New Roman"/>
          <w:sz w:val="24"/>
          <w:szCs w:val="24"/>
          <w:lang w:val="en-US" w:eastAsia="fr-FR"/>
        </w:rPr>
        <w:t>.0000078609.37538.3e</w:t>
      </w:r>
    </w:p>
    <w:p w14:paraId="0E6359E3" w14:textId="627B79CB" w:rsidR="00E61353" w:rsidRPr="006E0D30" w:rsidRDefault="00E61353" w:rsidP="00E61353">
      <w:pPr>
        <w:spacing w:after="0" w:line="240" w:lineRule="auto"/>
        <w:rPr>
          <w:rFonts w:ascii="Times New Roman" w:eastAsia="Times New Roman" w:hAnsi="Times New Roman" w:cs="Times New Roman"/>
          <w:sz w:val="24"/>
          <w:szCs w:val="24"/>
          <w:lang w:val="en-US" w:eastAsia="fr-FR"/>
        </w:rPr>
      </w:pPr>
    </w:p>
    <w:p w14:paraId="147C24FF" w14:textId="03FDCB0A" w:rsidR="00E61353" w:rsidRPr="006E0D30" w:rsidRDefault="00E61353" w:rsidP="0019030E">
      <w:pPr>
        <w:shd w:val="clear" w:color="auto" w:fill="FFFF00"/>
        <w:spacing w:before="100" w:beforeAutospacing="1" w:after="100" w:afterAutospacing="1" w:line="240" w:lineRule="auto"/>
        <w:rPr>
          <w:rFonts w:ascii="Times New Roman" w:eastAsia="Times New Roman" w:hAnsi="Times New Roman" w:cs="Times New Roman"/>
          <w:sz w:val="24"/>
          <w:szCs w:val="24"/>
          <w:lang w:val="en-US" w:eastAsia="fr-FR"/>
        </w:rPr>
      </w:pPr>
      <w:r w:rsidRPr="006E0D30">
        <w:rPr>
          <w:rFonts w:ascii="Times New Roman" w:eastAsia="Times New Roman" w:hAnsi="Times New Roman" w:cs="Times New Roman"/>
          <w:b/>
          <w:bCs/>
          <w:sz w:val="24"/>
          <w:szCs w:val="24"/>
          <w:lang w:val="en-US" w:eastAsia="fr-FR"/>
        </w:rPr>
        <w:t>[15]</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Zuo X, et al. A case report of recurrent leiomyosarcoma with chondrosarcoma differentiation in the abdominal wall and a review of the literature. </w:t>
      </w:r>
      <w:proofErr w:type="spellStart"/>
      <w:r w:rsidRPr="006E0D30">
        <w:rPr>
          <w:rFonts w:ascii="Times New Roman" w:eastAsia="Times New Roman" w:hAnsi="Times New Roman" w:cs="Times New Roman"/>
          <w:i/>
          <w:iCs/>
          <w:sz w:val="24"/>
          <w:szCs w:val="24"/>
          <w:lang w:val="en-US" w:eastAsia="fr-FR"/>
        </w:rPr>
        <w:t>Pathol</w:t>
      </w:r>
      <w:proofErr w:type="spellEnd"/>
      <w:r w:rsidRPr="006E0D30">
        <w:rPr>
          <w:rFonts w:ascii="Times New Roman" w:eastAsia="Times New Roman" w:hAnsi="Times New Roman" w:cs="Times New Roman"/>
          <w:i/>
          <w:iCs/>
          <w:sz w:val="24"/>
          <w:szCs w:val="24"/>
          <w:lang w:val="en-US" w:eastAsia="fr-FR"/>
        </w:rPr>
        <w:t xml:space="preserve"> Oncol Res</w:t>
      </w:r>
      <w:r w:rsidRPr="006E0D30">
        <w:rPr>
          <w:rFonts w:ascii="Times New Roman" w:eastAsia="Times New Roman" w:hAnsi="Times New Roman" w:cs="Times New Roman"/>
          <w:sz w:val="24"/>
          <w:szCs w:val="24"/>
          <w:lang w:val="en-US" w:eastAsia="fr-FR"/>
        </w:rPr>
        <w:t xml:space="preserve">. </w:t>
      </w:r>
      <w:proofErr w:type="gramStart"/>
      <w:r w:rsidRPr="006E0D30">
        <w:rPr>
          <w:rFonts w:ascii="Times New Roman" w:eastAsia="Times New Roman" w:hAnsi="Times New Roman" w:cs="Times New Roman"/>
          <w:sz w:val="24"/>
          <w:szCs w:val="24"/>
          <w:lang w:val="en-US" w:eastAsia="fr-FR"/>
        </w:rPr>
        <w:t>2023;29:1610795</w:t>
      </w:r>
      <w:proofErr w:type="gramEnd"/>
      <w:r w:rsidRPr="006E0D30">
        <w:rPr>
          <w:rFonts w:ascii="Times New Roman" w:eastAsia="Times New Roman" w:hAnsi="Times New Roman" w:cs="Times New Roman"/>
          <w:sz w:val="24"/>
          <w:szCs w:val="24"/>
          <w:lang w:val="en-US" w:eastAsia="fr-FR"/>
        </w:rPr>
        <w:t>.</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doi:10.1007/s12253-023-01161-x </w:t>
      </w:r>
      <w:r w:rsidRPr="006E0D30">
        <w:rPr>
          <w:rFonts w:ascii="Times New Roman" w:eastAsia="Times New Roman" w:hAnsi="Times New Roman" w:cs="Times New Roman"/>
          <w:i/>
          <w:iCs/>
          <w:sz w:val="24"/>
          <w:szCs w:val="24"/>
          <w:lang w:val="en-US" w:eastAsia="fr-FR"/>
        </w:rPr>
        <w:t>(verify in journal portal if needed)</w:t>
      </w:r>
    </w:p>
    <w:p w14:paraId="79A401B5" w14:textId="35FC51F7" w:rsidR="00E61353" w:rsidRPr="006E0D30" w:rsidRDefault="00E61353" w:rsidP="0019030E">
      <w:pPr>
        <w:shd w:val="clear" w:color="auto" w:fill="FFFF00"/>
        <w:spacing w:after="0" w:line="240" w:lineRule="auto"/>
        <w:rPr>
          <w:rFonts w:ascii="Times New Roman" w:eastAsia="Times New Roman" w:hAnsi="Times New Roman" w:cs="Times New Roman"/>
          <w:sz w:val="24"/>
          <w:szCs w:val="24"/>
          <w:lang w:val="en-US" w:eastAsia="fr-FR"/>
        </w:rPr>
      </w:pPr>
    </w:p>
    <w:p w14:paraId="23E26A00" w14:textId="6C4482B3" w:rsidR="00E61353" w:rsidRPr="00E61353" w:rsidRDefault="00E61353" w:rsidP="0019030E">
      <w:pPr>
        <w:shd w:val="clear" w:color="auto" w:fill="FFFF00"/>
        <w:spacing w:before="100" w:beforeAutospacing="1" w:after="100" w:afterAutospacing="1" w:line="240" w:lineRule="auto"/>
        <w:rPr>
          <w:rFonts w:ascii="Times New Roman" w:eastAsia="Times New Roman" w:hAnsi="Times New Roman" w:cs="Times New Roman"/>
          <w:sz w:val="24"/>
          <w:szCs w:val="24"/>
          <w:lang w:eastAsia="fr-FR"/>
        </w:rPr>
      </w:pPr>
      <w:r w:rsidRPr="006E0D30">
        <w:rPr>
          <w:rFonts w:ascii="Times New Roman" w:eastAsia="Times New Roman" w:hAnsi="Times New Roman" w:cs="Times New Roman"/>
          <w:b/>
          <w:bCs/>
          <w:sz w:val="24"/>
          <w:szCs w:val="24"/>
          <w:lang w:val="en-US" w:eastAsia="fr-FR"/>
        </w:rPr>
        <w:t>[16]</w:t>
      </w:r>
      <w:r w:rsidR="0095367C">
        <w:rPr>
          <w:rFonts w:ascii="Times New Roman" w:eastAsia="Times New Roman" w:hAnsi="Times New Roman" w:cs="Times New Roman"/>
          <w:sz w:val="24"/>
          <w:szCs w:val="24"/>
          <w:lang w:val="en-US" w:eastAsia="fr-FR"/>
        </w:rPr>
        <w:t xml:space="preserve"> </w:t>
      </w:r>
      <w:r w:rsidRPr="006E0D30">
        <w:rPr>
          <w:rFonts w:ascii="Times New Roman" w:eastAsia="Times New Roman" w:hAnsi="Times New Roman" w:cs="Times New Roman"/>
          <w:sz w:val="24"/>
          <w:szCs w:val="24"/>
          <w:lang w:val="en-US" w:eastAsia="fr-FR"/>
        </w:rPr>
        <w:t xml:space="preserve">Xiao L, et al. Rare case of duodenal metastasis of endometrial carcinosarcoma. </w:t>
      </w:r>
      <w:r w:rsidRPr="00E61353">
        <w:rPr>
          <w:rFonts w:ascii="Times New Roman" w:eastAsia="Times New Roman" w:hAnsi="Times New Roman" w:cs="Times New Roman"/>
          <w:i/>
          <w:iCs/>
          <w:sz w:val="24"/>
          <w:szCs w:val="24"/>
          <w:lang w:eastAsia="fr-FR"/>
        </w:rPr>
        <w:t xml:space="preserve">Front </w:t>
      </w:r>
      <w:proofErr w:type="spellStart"/>
      <w:r w:rsidRPr="00E61353">
        <w:rPr>
          <w:rFonts w:ascii="Times New Roman" w:eastAsia="Times New Roman" w:hAnsi="Times New Roman" w:cs="Times New Roman"/>
          <w:i/>
          <w:iCs/>
          <w:sz w:val="24"/>
          <w:szCs w:val="24"/>
          <w:lang w:eastAsia="fr-FR"/>
        </w:rPr>
        <w:t>Oncol</w:t>
      </w:r>
      <w:proofErr w:type="spellEnd"/>
      <w:r w:rsidRPr="00E61353">
        <w:rPr>
          <w:rFonts w:ascii="Times New Roman" w:eastAsia="Times New Roman" w:hAnsi="Times New Roman" w:cs="Times New Roman"/>
          <w:sz w:val="24"/>
          <w:szCs w:val="24"/>
          <w:lang w:eastAsia="fr-FR"/>
        </w:rPr>
        <w:t xml:space="preserve">. </w:t>
      </w:r>
      <w:proofErr w:type="gramStart"/>
      <w:r w:rsidRPr="00E61353">
        <w:rPr>
          <w:rFonts w:ascii="Times New Roman" w:eastAsia="Times New Roman" w:hAnsi="Times New Roman" w:cs="Times New Roman"/>
          <w:sz w:val="24"/>
          <w:szCs w:val="24"/>
          <w:lang w:eastAsia="fr-FR"/>
        </w:rPr>
        <w:t>2024;14:</w:t>
      </w:r>
      <w:proofErr w:type="gramEnd"/>
      <w:r w:rsidRPr="00E61353">
        <w:rPr>
          <w:rFonts w:ascii="Times New Roman" w:eastAsia="Times New Roman" w:hAnsi="Times New Roman" w:cs="Times New Roman"/>
          <w:sz w:val="24"/>
          <w:szCs w:val="24"/>
          <w:lang w:eastAsia="fr-FR"/>
        </w:rPr>
        <w:t>1338456.</w:t>
      </w:r>
      <w:r w:rsidR="0095367C">
        <w:rPr>
          <w:rFonts w:ascii="Times New Roman" w:eastAsia="Times New Roman" w:hAnsi="Times New Roman" w:cs="Times New Roman"/>
          <w:sz w:val="24"/>
          <w:szCs w:val="24"/>
          <w:lang w:eastAsia="fr-FR"/>
        </w:rPr>
        <w:t xml:space="preserve"> </w:t>
      </w:r>
      <w:proofErr w:type="gramStart"/>
      <w:r w:rsidRPr="00E61353">
        <w:rPr>
          <w:rFonts w:ascii="Times New Roman" w:eastAsia="Times New Roman" w:hAnsi="Times New Roman" w:cs="Times New Roman"/>
          <w:sz w:val="24"/>
          <w:szCs w:val="24"/>
          <w:lang w:eastAsia="fr-FR"/>
        </w:rPr>
        <w:t>doi:</w:t>
      </w:r>
      <w:proofErr w:type="gramEnd"/>
      <w:r w:rsidRPr="00E61353">
        <w:rPr>
          <w:rFonts w:ascii="Times New Roman" w:eastAsia="Times New Roman" w:hAnsi="Times New Roman" w:cs="Times New Roman"/>
          <w:sz w:val="24"/>
          <w:szCs w:val="24"/>
          <w:lang w:eastAsia="fr-FR"/>
        </w:rPr>
        <w:t>10.3389/fonc.2024.1338456</w:t>
      </w:r>
    </w:p>
    <w:p w14:paraId="104B43EB" w14:textId="4009558C" w:rsidR="00DD77B0" w:rsidRDefault="00DD77B0" w:rsidP="00E61353">
      <w:pPr>
        <w:spacing w:after="0" w:line="240" w:lineRule="auto"/>
        <w:ind w:left="568" w:hanging="284"/>
      </w:pPr>
    </w:p>
    <w:p w14:paraId="303D7C78" w14:textId="77777777" w:rsidR="00512456" w:rsidRDefault="00512456" w:rsidP="00DD77B0">
      <w:pPr>
        <w:spacing w:before="100" w:beforeAutospacing="1" w:after="100" w:afterAutospacing="1" w:line="240" w:lineRule="auto"/>
        <w:ind w:left="720"/>
      </w:pPr>
    </w:p>
    <w:p w14:paraId="62379105" w14:textId="77777777" w:rsidR="00512456" w:rsidRPr="00B94425" w:rsidRDefault="00512456" w:rsidP="00153405">
      <w:pPr>
        <w:spacing w:after="0" w:line="240" w:lineRule="auto"/>
        <w:ind w:left="568" w:hanging="284"/>
        <w:rPr>
          <w:rFonts w:ascii="Times New Roman" w:eastAsia="Times New Roman" w:hAnsi="Times New Roman" w:cs="Times New Roman"/>
          <w:color w:val="000000" w:themeColor="text1"/>
          <w:sz w:val="24"/>
          <w:szCs w:val="24"/>
          <w:lang w:eastAsia="fr-FR"/>
        </w:rPr>
      </w:pPr>
    </w:p>
    <w:p w14:paraId="74AF7AF7" w14:textId="77777777" w:rsidR="00F8494F" w:rsidRPr="00B94425" w:rsidRDefault="00F8494F" w:rsidP="00F8494F">
      <w:pPr>
        <w:pStyle w:val="Heading2"/>
        <w:rPr>
          <w:color w:val="000000" w:themeColor="text1"/>
        </w:rPr>
      </w:pPr>
    </w:p>
    <w:p w14:paraId="4CEED7B7" w14:textId="77777777" w:rsidR="00F8494F" w:rsidRPr="00B94425" w:rsidRDefault="00F8494F" w:rsidP="003D3336">
      <w:pPr>
        <w:spacing w:before="100" w:beforeAutospacing="1" w:after="100" w:afterAutospacing="1" w:line="240" w:lineRule="auto"/>
        <w:rPr>
          <w:rFonts w:ascii="Times New Roman" w:eastAsia="Times New Roman" w:hAnsi="Times New Roman" w:cs="Times New Roman"/>
          <w:color w:val="000000" w:themeColor="text1"/>
          <w:sz w:val="24"/>
          <w:szCs w:val="24"/>
          <w:lang w:eastAsia="fr-FR"/>
        </w:rPr>
      </w:pPr>
    </w:p>
    <w:p w14:paraId="07D58BE4" w14:textId="77777777" w:rsidR="003D3336" w:rsidRPr="00B94425" w:rsidRDefault="003D3336" w:rsidP="00170D4A">
      <w:pPr>
        <w:pStyle w:val="NormalWeb"/>
        <w:rPr>
          <w:color w:val="000000" w:themeColor="text1"/>
        </w:rPr>
      </w:pPr>
    </w:p>
    <w:p w14:paraId="06EC2B27" w14:textId="77777777" w:rsidR="009C195B" w:rsidRPr="00B94425" w:rsidRDefault="009C195B" w:rsidP="00170D4A">
      <w:pPr>
        <w:pStyle w:val="NormalWeb"/>
        <w:rPr>
          <w:color w:val="000000" w:themeColor="text1"/>
        </w:rPr>
      </w:pPr>
    </w:p>
    <w:p w14:paraId="65C793A3" w14:textId="77777777" w:rsidR="00170D4A" w:rsidRPr="00B94425" w:rsidRDefault="00170D4A" w:rsidP="00990F1C">
      <w:pPr>
        <w:pStyle w:val="NormalWeb"/>
        <w:rPr>
          <w:color w:val="000000" w:themeColor="text1"/>
        </w:rPr>
      </w:pPr>
    </w:p>
    <w:p w14:paraId="3477B7B8" w14:textId="77777777" w:rsidR="00990F1C" w:rsidRPr="00B94425" w:rsidRDefault="00990F1C" w:rsidP="00E65266">
      <w:pPr>
        <w:pStyle w:val="HTMLPreformatted"/>
        <w:shd w:val="clear" w:color="auto" w:fill="F8F9FA"/>
        <w:spacing w:line="540" w:lineRule="atLeast"/>
        <w:rPr>
          <w:rFonts w:ascii="Times New Roman" w:hAnsi="Times New Roman" w:cs="Times New Roman"/>
          <w:color w:val="000000" w:themeColor="text1"/>
          <w:sz w:val="24"/>
          <w:szCs w:val="24"/>
        </w:rPr>
      </w:pPr>
    </w:p>
    <w:p w14:paraId="6FCFF012" w14:textId="77777777" w:rsidR="00FE3A30" w:rsidRPr="00B94425" w:rsidRDefault="00FE3A30">
      <w:pPr>
        <w:rPr>
          <w:color w:val="000000" w:themeColor="text1"/>
        </w:rPr>
      </w:pPr>
    </w:p>
    <w:p w14:paraId="1739E7C4" w14:textId="77777777" w:rsidR="00E65266" w:rsidRPr="00B94425" w:rsidRDefault="00E65266">
      <w:pPr>
        <w:rPr>
          <w:color w:val="000000" w:themeColor="text1"/>
        </w:rPr>
      </w:pPr>
    </w:p>
    <w:sectPr w:rsidR="00E65266" w:rsidRPr="00B94425">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9714A" w14:textId="77777777" w:rsidR="00274791" w:rsidRDefault="00274791" w:rsidP="007261D0">
      <w:pPr>
        <w:spacing w:after="0" w:line="240" w:lineRule="auto"/>
      </w:pPr>
      <w:r>
        <w:separator/>
      </w:r>
    </w:p>
  </w:endnote>
  <w:endnote w:type="continuationSeparator" w:id="0">
    <w:p w14:paraId="1205695E" w14:textId="77777777" w:rsidR="00274791" w:rsidRDefault="00274791" w:rsidP="00726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19B6B" w14:textId="77777777" w:rsidR="007261D0" w:rsidRDefault="00726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C8467" w14:textId="77777777" w:rsidR="007261D0" w:rsidRDefault="00726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2BB6C" w14:textId="77777777" w:rsidR="007261D0" w:rsidRDefault="00726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1506B" w14:textId="77777777" w:rsidR="00274791" w:rsidRDefault="00274791" w:rsidP="007261D0">
      <w:pPr>
        <w:spacing w:after="0" w:line="240" w:lineRule="auto"/>
      </w:pPr>
      <w:r>
        <w:separator/>
      </w:r>
    </w:p>
  </w:footnote>
  <w:footnote w:type="continuationSeparator" w:id="0">
    <w:p w14:paraId="69B01266" w14:textId="77777777" w:rsidR="00274791" w:rsidRDefault="00274791" w:rsidP="00726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F2E18" w14:textId="3754593A" w:rsidR="007261D0" w:rsidRDefault="00000000">
    <w:pPr>
      <w:pStyle w:val="Header"/>
    </w:pPr>
    <w:r>
      <w:rPr>
        <w:noProof/>
      </w:rPr>
      <w:pict w14:anchorId="7D1C0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0922" o:spid="_x0000_s1027" type="#_x0000_t136" alt="" style="position:absolute;margin-left:0;margin-top:0;width:538.05pt;height:101.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352AC" w14:textId="5C14AB41" w:rsidR="007261D0" w:rsidRDefault="00000000">
    <w:pPr>
      <w:pStyle w:val="Header"/>
    </w:pPr>
    <w:r>
      <w:rPr>
        <w:noProof/>
      </w:rPr>
      <w:pict w14:anchorId="50620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0923" o:spid="_x0000_s1026" type="#_x0000_t136" alt="" style="position:absolute;margin-left:0;margin-top:0;width:538.05pt;height:101.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34A3" w14:textId="352DCB53" w:rsidR="007261D0" w:rsidRDefault="00000000">
    <w:pPr>
      <w:pStyle w:val="Header"/>
    </w:pPr>
    <w:r>
      <w:rPr>
        <w:noProof/>
      </w:rPr>
      <w:pict w14:anchorId="72154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90921" o:spid="_x0000_s1025" type="#_x0000_t136" alt="" style="position:absolute;margin-left:0;margin-top:0;width:538.05pt;height:101.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83C29"/>
    <w:multiLevelType w:val="multilevel"/>
    <w:tmpl w:val="3F76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61847"/>
    <w:multiLevelType w:val="multilevel"/>
    <w:tmpl w:val="425C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2B5A48"/>
    <w:multiLevelType w:val="multilevel"/>
    <w:tmpl w:val="875AE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3155056">
    <w:abstractNumId w:val="2"/>
  </w:num>
  <w:num w:numId="2" w16cid:durableId="620919951">
    <w:abstractNumId w:val="1"/>
  </w:num>
  <w:num w:numId="3" w16cid:durableId="2002730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5266"/>
    <w:rsid w:val="00024563"/>
    <w:rsid w:val="0004253A"/>
    <w:rsid w:val="000B2232"/>
    <w:rsid w:val="00101316"/>
    <w:rsid w:val="0014301B"/>
    <w:rsid w:val="00153405"/>
    <w:rsid w:val="00157068"/>
    <w:rsid w:val="00170D4A"/>
    <w:rsid w:val="00180501"/>
    <w:rsid w:val="001830AF"/>
    <w:rsid w:val="0019030E"/>
    <w:rsid w:val="00233930"/>
    <w:rsid w:val="00274791"/>
    <w:rsid w:val="002C058F"/>
    <w:rsid w:val="0031265F"/>
    <w:rsid w:val="00344FD0"/>
    <w:rsid w:val="003874A7"/>
    <w:rsid w:val="003B1785"/>
    <w:rsid w:val="003C451C"/>
    <w:rsid w:val="003D3336"/>
    <w:rsid w:val="003F0D5F"/>
    <w:rsid w:val="003F3894"/>
    <w:rsid w:val="00400FD8"/>
    <w:rsid w:val="00412BCF"/>
    <w:rsid w:val="00422389"/>
    <w:rsid w:val="00423B95"/>
    <w:rsid w:val="00435310"/>
    <w:rsid w:val="004460AE"/>
    <w:rsid w:val="0046101A"/>
    <w:rsid w:val="004B685B"/>
    <w:rsid w:val="0050747C"/>
    <w:rsid w:val="00512456"/>
    <w:rsid w:val="0055147E"/>
    <w:rsid w:val="00576C5C"/>
    <w:rsid w:val="005E60DE"/>
    <w:rsid w:val="005F6164"/>
    <w:rsid w:val="006300C1"/>
    <w:rsid w:val="00683534"/>
    <w:rsid w:val="006A25BF"/>
    <w:rsid w:val="006B53F9"/>
    <w:rsid w:val="006E05D5"/>
    <w:rsid w:val="006E0D30"/>
    <w:rsid w:val="00717DB6"/>
    <w:rsid w:val="007261D0"/>
    <w:rsid w:val="007F1E6E"/>
    <w:rsid w:val="00875155"/>
    <w:rsid w:val="0090699A"/>
    <w:rsid w:val="00914459"/>
    <w:rsid w:val="0095367C"/>
    <w:rsid w:val="00987B5B"/>
    <w:rsid w:val="00990F1C"/>
    <w:rsid w:val="009C195B"/>
    <w:rsid w:val="00A03F8A"/>
    <w:rsid w:val="00A511A8"/>
    <w:rsid w:val="00A67BD4"/>
    <w:rsid w:val="00B365A3"/>
    <w:rsid w:val="00B94425"/>
    <w:rsid w:val="00C11846"/>
    <w:rsid w:val="00C96DA2"/>
    <w:rsid w:val="00CA721E"/>
    <w:rsid w:val="00CB7B13"/>
    <w:rsid w:val="00CD570A"/>
    <w:rsid w:val="00D23846"/>
    <w:rsid w:val="00D9149D"/>
    <w:rsid w:val="00DD77B0"/>
    <w:rsid w:val="00DF0CC1"/>
    <w:rsid w:val="00E24190"/>
    <w:rsid w:val="00E61353"/>
    <w:rsid w:val="00E65266"/>
    <w:rsid w:val="00F8494F"/>
    <w:rsid w:val="00FA1557"/>
    <w:rsid w:val="00FE3A3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2EAAE"/>
  <w15:docId w15:val="{04B5D6D8-D369-4974-B116-157C088B0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652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E6526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
    <w:unhideWhenUsed/>
    <w:qFormat/>
    <w:rsid w:val="00CA72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266"/>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E65266"/>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E65266"/>
    <w:rPr>
      <w:b/>
      <w:bCs/>
    </w:rPr>
  </w:style>
  <w:style w:type="paragraph" w:styleId="NormalWeb">
    <w:name w:val="Normal (Web)"/>
    <w:basedOn w:val="Normal"/>
    <w:uiPriority w:val="99"/>
    <w:semiHidden/>
    <w:unhideWhenUsed/>
    <w:rsid w:val="00E6526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TMLPreformatted">
    <w:name w:val="HTML Preformatted"/>
    <w:basedOn w:val="Normal"/>
    <w:link w:val="HTMLPreformattedChar"/>
    <w:uiPriority w:val="99"/>
    <w:unhideWhenUsed/>
    <w:rsid w:val="00E65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E65266"/>
    <w:rPr>
      <w:rFonts w:ascii="Courier New" w:eastAsia="Times New Roman" w:hAnsi="Courier New" w:cs="Courier New"/>
      <w:sz w:val="20"/>
      <w:szCs w:val="20"/>
      <w:lang w:eastAsia="fr-FR"/>
    </w:rPr>
  </w:style>
  <w:style w:type="character" w:customStyle="1" w:styleId="y2iqfc">
    <w:name w:val="y2iqfc"/>
    <w:basedOn w:val="DefaultParagraphFont"/>
    <w:rsid w:val="00E65266"/>
  </w:style>
  <w:style w:type="character" w:styleId="Emphasis">
    <w:name w:val="Emphasis"/>
    <w:basedOn w:val="DefaultParagraphFont"/>
    <w:uiPriority w:val="20"/>
    <w:qFormat/>
    <w:rsid w:val="00F8494F"/>
    <w:rPr>
      <w:i/>
      <w:iCs/>
    </w:rPr>
  </w:style>
  <w:style w:type="character" w:styleId="Hyperlink">
    <w:name w:val="Hyperlink"/>
    <w:basedOn w:val="DefaultParagraphFont"/>
    <w:uiPriority w:val="99"/>
    <w:unhideWhenUsed/>
    <w:rsid w:val="00B365A3"/>
    <w:rPr>
      <w:color w:val="0563C1" w:themeColor="hyperlink"/>
      <w:u w:val="single"/>
    </w:rPr>
  </w:style>
  <w:style w:type="character" w:customStyle="1" w:styleId="UnresolvedMention1">
    <w:name w:val="Unresolved Mention1"/>
    <w:basedOn w:val="DefaultParagraphFont"/>
    <w:uiPriority w:val="99"/>
    <w:semiHidden/>
    <w:unhideWhenUsed/>
    <w:rsid w:val="00B365A3"/>
    <w:rPr>
      <w:color w:val="605E5C"/>
      <w:shd w:val="clear" w:color="auto" w:fill="E1DFDD"/>
    </w:rPr>
  </w:style>
  <w:style w:type="character" w:customStyle="1" w:styleId="Heading3Char">
    <w:name w:val="Heading 3 Char"/>
    <w:basedOn w:val="DefaultParagraphFont"/>
    <w:link w:val="Heading3"/>
    <w:uiPriority w:val="9"/>
    <w:rsid w:val="00CA721E"/>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FA1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557"/>
    <w:rPr>
      <w:rFonts w:ascii="Tahoma" w:hAnsi="Tahoma" w:cs="Tahoma"/>
      <w:sz w:val="16"/>
      <w:szCs w:val="16"/>
    </w:rPr>
  </w:style>
  <w:style w:type="character" w:customStyle="1" w:styleId="UnresolvedMention2">
    <w:name w:val="Unresolved Mention2"/>
    <w:basedOn w:val="DefaultParagraphFont"/>
    <w:uiPriority w:val="99"/>
    <w:semiHidden/>
    <w:unhideWhenUsed/>
    <w:rsid w:val="00576C5C"/>
    <w:rPr>
      <w:color w:val="605E5C"/>
      <w:shd w:val="clear" w:color="auto" w:fill="E1DFDD"/>
    </w:rPr>
  </w:style>
  <w:style w:type="paragraph" w:styleId="Header">
    <w:name w:val="header"/>
    <w:basedOn w:val="Normal"/>
    <w:link w:val="HeaderChar"/>
    <w:uiPriority w:val="99"/>
    <w:unhideWhenUsed/>
    <w:rsid w:val="007261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1D0"/>
  </w:style>
  <w:style w:type="paragraph" w:styleId="Footer">
    <w:name w:val="footer"/>
    <w:basedOn w:val="Normal"/>
    <w:link w:val="FooterChar"/>
    <w:uiPriority w:val="99"/>
    <w:unhideWhenUsed/>
    <w:rsid w:val="007261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1D0"/>
  </w:style>
  <w:style w:type="character" w:styleId="CommentReference">
    <w:name w:val="annotation reference"/>
    <w:basedOn w:val="DefaultParagraphFont"/>
    <w:uiPriority w:val="99"/>
    <w:semiHidden/>
    <w:unhideWhenUsed/>
    <w:rsid w:val="002C058F"/>
    <w:rPr>
      <w:sz w:val="16"/>
      <w:szCs w:val="16"/>
    </w:rPr>
  </w:style>
  <w:style w:type="paragraph" w:styleId="CommentText">
    <w:name w:val="annotation text"/>
    <w:basedOn w:val="Normal"/>
    <w:link w:val="CommentTextChar"/>
    <w:uiPriority w:val="99"/>
    <w:semiHidden/>
    <w:unhideWhenUsed/>
    <w:rsid w:val="002C058F"/>
    <w:pPr>
      <w:spacing w:line="240" w:lineRule="auto"/>
    </w:pPr>
    <w:rPr>
      <w:sz w:val="20"/>
      <w:szCs w:val="20"/>
    </w:rPr>
  </w:style>
  <w:style w:type="character" w:customStyle="1" w:styleId="CommentTextChar">
    <w:name w:val="Comment Text Char"/>
    <w:basedOn w:val="DefaultParagraphFont"/>
    <w:link w:val="CommentText"/>
    <w:uiPriority w:val="99"/>
    <w:semiHidden/>
    <w:rsid w:val="002C058F"/>
    <w:rPr>
      <w:sz w:val="20"/>
      <w:szCs w:val="20"/>
    </w:rPr>
  </w:style>
  <w:style w:type="paragraph" w:styleId="CommentSubject">
    <w:name w:val="annotation subject"/>
    <w:basedOn w:val="CommentText"/>
    <w:next w:val="CommentText"/>
    <w:link w:val="CommentSubjectChar"/>
    <w:uiPriority w:val="99"/>
    <w:semiHidden/>
    <w:unhideWhenUsed/>
    <w:rsid w:val="002C058F"/>
    <w:rPr>
      <w:b/>
      <w:bCs/>
    </w:rPr>
  </w:style>
  <w:style w:type="character" w:customStyle="1" w:styleId="CommentSubjectChar">
    <w:name w:val="Comment Subject Char"/>
    <w:basedOn w:val="CommentTextChar"/>
    <w:link w:val="CommentSubject"/>
    <w:uiPriority w:val="99"/>
    <w:semiHidden/>
    <w:rsid w:val="002C058F"/>
    <w:rPr>
      <w:b/>
      <w:bCs/>
      <w:sz w:val="20"/>
      <w:szCs w:val="20"/>
    </w:rPr>
  </w:style>
  <w:style w:type="character" w:customStyle="1" w:styleId="whitespace-normal">
    <w:name w:val="whitespace-normal"/>
    <w:basedOn w:val="DefaultParagraphFont"/>
    <w:rsid w:val="00143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2179">
      <w:bodyDiv w:val="1"/>
      <w:marLeft w:val="0"/>
      <w:marRight w:val="0"/>
      <w:marTop w:val="0"/>
      <w:marBottom w:val="0"/>
      <w:divBdr>
        <w:top w:val="none" w:sz="0" w:space="0" w:color="auto"/>
        <w:left w:val="none" w:sz="0" w:space="0" w:color="auto"/>
        <w:bottom w:val="none" w:sz="0" w:space="0" w:color="auto"/>
        <w:right w:val="none" w:sz="0" w:space="0" w:color="auto"/>
      </w:divBdr>
    </w:div>
    <w:div w:id="698579806">
      <w:bodyDiv w:val="1"/>
      <w:marLeft w:val="0"/>
      <w:marRight w:val="0"/>
      <w:marTop w:val="0"/>
      <w:marBottom w:val="0"/>
      <w:divBdr>
        <w:top w:val="none" w:sz="0" w:space="0" w:color="auto"/>
        <w:left w:val="none" w:sz="0" w:space="0" w:color="auto"/>
        <w:bottom w:val="none" w:sz="0" w:space="0" w:color="auto"/>
        <w:right w:val="none" w:sz="0" w:space="0" w:color="auto"/>
      </w:divBdr>
    </w:div>
    <w:div w:id="741369670">
      <w:bodyDiv w:val="1"/>
      <w:marLeft w:val="0"/>
      <w:marRight w:val="0"/>
      <w:marTop w:val="0"/>
      <w:marBottom w:val="0"/>
      <w:divBdr>
        <w:top w:val="none" w:sz="0" w:space="0" w:color="auto"/>
        <w:left w:val="none" w:sz="0" w:space="0" w:color="auto"/>
        <w:bottom w:val="none" w:sz="0" w:space="0" w:color="auto"/>
        <w:right w:val="none" w:sz="0" w:space="0" w:color="auto"/>
      </w:divBdr>
      <w:divsChild>
        <w:div w:id="1943413687">
          <w:marLeft w:val="0"/>
          <w:marRight w:val="0"/>
          <w:marTop w:val="0"/>
          <w:marBottom w:val="0"/>
          <w:divBdr>
            <w:top w:val="none" w:sz="0" w:space="0" w:color="auto"/>
            <w:left w:val="none" w:sz="0" w:space="0" w:color="auto"/>
            <w:bottom w:val="none" w:sz="0" w:space="0" w:color="auto"/>
            <w:right w:val="none" w:sz="0" w:space="0" w:color="auto"/>
          </w:divBdr>
        </w:div>
      </w:divsChild>
    </w:div>
    <w:div w:id="802699768">
      <w:bodyDiv w:val="1"/>
      <w:marLeft w:val="0"/>
      <w:marRight w:val="0"/>
      <w:marTop w:val="0"/>
      <w:marBottom w:val="0"/>
      <w:divBdr>
        <w:top w:val="none" w:sz="0" w:space="0" w:color="auto"/>
        <w:left w:val="none" w:sz="0" w:space="0" w:color="auto"/>
        <w:bottom w:val="none" w:sz="0" w:space="0" w:color="auto"/>
        <w:right w:val="none" w:sz="0" w:space="0" w:color="auto"/>
      </w:divBdr>
    </w:div>
    <w:div w:id="840269348">
      <w:bodyDiv w:val="1"/>
      <w:marLeft w:val="0"/>
      <w:marRight w:val="0"/>
      <w:marTop w:val="0"/>
      <w:marBottom w:val="0"/>
      <w:divBdr>
        <w:top w:val="none" w:sz="0" w:space="0" w:color="auto"/>
        <w:left w:val="none" w:sz="0" w:space="0" w:color="auto"/>
        <w:bottom w:val="none" w:sz="0" w:space="0" w:color="auto"/>
        <w:right w:val="none" w:sz="0" w:space="0" w:color="auto"/>
      </w:divBdr>
      <w:divsChild>
        <w:div w:id="754715900">
          <w:marLeft w:val="0"/>
          <w:marRight w:val="0"/>
          <w:marTop w:val="0"/>
          <w:marBottom w:val="0"/>
          <w:divBdr>
            <w:top w:val="none" w:sz="0" w:space="0" w:color="auto"/>
            <w:left w:val="none" w:sz="0" w:space="0" w:color="auto"/>
            <w:bottom w:val="none" w:sz="0" w:space="0" w:color="auto"/>
            <w:right w:val="none" w:sz="0" w:space="0" w:color="auto"/>
          </w:divBdr>
        </w:div>
      </w:divsChild>
    </w:div>
    <w:div w:id="888104102">
      <w:bodyDiv w:val="1"/>
      <w:marLeft w:val="0"/>
      <w:marRight w:val="0"/>
      <w:marTop w:val="0"/>
      <w:marBottom w:val="0"/>
      <w:divBdr>
        <w:top w:val="none" w:sz="0" w:space="0" w:color="auto"/>
        <w:left w:val="none" w:sz="0" w:space="0" w:color="auto"/>
        <w:bottom w:val="none" w:sz="0" w:space="0" w:color="auto"/>
        <w:right w:val="none" w:sz="0" w:space="0" w:color="auto"/>
      </w:divBdr>
    </w:div>
    <w:div w:id="989864519">
      <w:bodyDiv w:val="1"/>
      <w:marLeft w:val="0"/>
      <w:marRight w:val="0"/>
      <w:marTop w:val="0"/>
      <w:marBottom w:val="0"/>
      <w:divBdr>
        <w:top w:val="none" w:sz="0" w:space="0" w:color="auto"/>
        <w:left w:val="none" w:sz="0" w:space="0" w:color="auto"/>
        <w:bottom w:val="none" w:sz="0" w:space="0" w:color="auto"/>
        <w:right w:val="none" w:sz="0" w:space="0" w:color="auto"/>
      </w:divBdr>
    </w:div>
    <w:div w:id="1108039486">
      <w:bodyDiv w:val="1"/>
      <w:marLeft w:val="0"/>
      <w:marRight w:val="0"/>
      <w:marTop w:val="0"/>
      <w:marBottom w:val="0"/>
      <w:divBdr>
        <w:top w:val="none" w:sz="0" w:space="0" w:color="auto"/>
        <w:left w:val="none" w:sz="0" w:space="0" w:color="auto"/>
        <w:bottom w:val="none" w:sz="0" w:space="0" w:color="auto"/>
        <w:right w:val="none" w:sz="0" w:space="0" w:color="auto"/>
      </w:divBdr>
    </w:div>
    <w:div w:id="1177420618">
      <w:bodyDiv w:val="1"/>
      <w:marLeft w:val="0"/>
      <w:marRight w:val="0"/>
      <w:marTop w:val="0"/>
      <w:marBottom w:val="0"/>
      <w:divBdr>
        <w:top w:val="none" w:sz="0" w:space="0" w:color="auto"/>
        <w:left w:val="none" w:sz="0" w:space="0" w:color="auto"/>
        <w:bottom w:val="none" w:sz="0" w:space="0" w:color="auto"/>
        <w:right w:val="none" w:sz="0" w:space="0" w:color="auto"/>
      </w:divBdr>
    </w:div>
    <w:div w:id="1328747315">
      <w:bodyDiv w:val="1"/>
      <w:marLeft w:val="0"/>
      <w:marRight w:val="0"/>
      <w:marTop w:val="0"/>
      <w:marBottom w:val="0"/>
      <w:divBdr>
        <w:top w:val="none" w:sz="0" w:space="0" w:color="auto"/>
        <w:left w:val="none" w:sz="0" w:space="0" w:color="auto"/>
        <w:bottom w:val="none" w:sz="0" w:space="0" w:color="auto"/>
        <w:right w:val="none" w:sz="0" w:space="0" w:color="auto"/>
      </w:divBdr>
    </w:div>
    <w:div w:id="1337878638">
      <w:bodyDiv w:val="1"/>
      <w:marLeft w:val="0"/>
      <w:marRight w:val="0"/>
      <w:marTop w:val="0"/>
      <w:marBottom w:val="0"/>
      <w:divBdr>
        <w:top w:val="none" w:sz="0" w:space="0" w:color="auto"/>
        <w:left w:val="none" w:sz="0" w:space="0" w:color="auto"/>
        <w:bottom w:val="none" w:sz="0" w:space="0" w:color="auto"/>
        <w:right w:val="none" w:sz="0" w:space="0" w:color="auto"/>
      </w:divBdr>
    </w:div>
    <w:div w:id="1513687471">
      <w:bodyDiv w:val="1"/>
      <w:marLeft w:val="0"/>
      <w:marRight w:val="0"/>
      <w:marTop w:val="0"/>
      <w:marBottom w:val="0"/>
      <w:divBdr>
        <w:top w:val="none" w:sz="0" w:space="0" w:color="auto"/>
        <w:left w:val="none" w:sz="0" w:space="0" w:color="auto"/>
        <w:bottom w:val="none" w:sz="0" w:space="0" w:color="auto"/>
        <w:right w:val="none" w:sz="0" w:space="0" w:color="auto"/>
      </w:divBdr>
    </w:div>
    <w:div w:id="1566064606">
      <w:bodyDiv w:val="1"/>
      <w:marLeft w:val="0"/>
      <w:marRight w:val="0"/>
      <w:marTop w:val="0"/>
      <w:marBottom w:val="0"/>
      <w:divBdr>
        <w:top w:val="none" w:sz="0" w:space="0" w:color="auto"/>
        <w:left w:val="none" w:sz="0" w:space="0" w:color="auto"/>
        <w:bottom w:val="none" w:sz="0" w:space="0" w:color="auto"/>
        <w:right w:val="none" w:sz="0" w:space="0" w:color="auto"/>
      </w:divBdr>
    </w:div>
    <w:div w:id="1602640968">
      <w:bodyDiv w:val="1"/>
      <w:marLeft w:val="0"/>
      <w:marRight w:val="0"/>
      <w:marTop w:val="0"/>
      <w:marBottom w:val="0"/>
      <w:divBdr>
        <w:top w:val="none" w:sz="0" w:space="0" w:color="auto"/>
        <w:left w:val="none" w:sz="0" w:space="0" w:color="auto"/>
        <w:bottom w:val="none" w:sz="0" w:space="0" w:color="auto"/>
        <w:right w:val="none" w:sz="0" w:space="0" w:color="auto"/>
      </w:divBdr>
      <w:divsChild>
        <w:div w:id="1369138286">
          <w:marLeft w:val="0"/>
          <w:marRight w:val="0"/>
          <w:marTop w:val="0"/>
          <w:marBottom w:val="0"/>
          <w:divBdr>
            <w:top w:val="none" w:sz="0" w:space="0" w:color="auto"/>
            <w:left w:val="none" w:sz="0" w:space="0" w:color="auto"/>
            <w:bottom w:val="none" w:sz="0" w:space="0" w:color="auto"/>
            <w:right w:val="none" w:sz="0" w:space="0" w:color="auto"/>
          </w:divBdr>
        </w:div>
        <w:div w:id="2022513690">
          <w:marLeft w:val="0"/>
          <w:marRight w:val="0"/>
          <w:marTop w:val="0"/>
          <w:marBottom w:val="0"/>
          <w:divBdr>
            <w:top w:val="none" w:sz="0" w:space="0" w:color="auto"/>
            <w:left w:val="none" w:sz="0" w:space="0" w:color="auto"/>
            <w:bottom w:val="none" w:sz="0" w:space="0" w:color="auto"/>
            <w:right w:val="none" w:sz="0" w:space="0" w:color="auto"/>
          </w:divBdr>
        </w:div>
        <w:div w:id="557663868">
          <w:marLeft w:val="0"/>
          <w:marRight w:val="0"/>
          <w:marTop w:val="0"/>
          <w:marBottom w:val="0"/>
          <w:divBdr>
            <w:top w:val="none" w:sz="0" w:space="0" w:color="auto"/>
            <w:left w:val="none" w:sz="0" w:space="0" w:color="auto"/>
            <w:bottom w:val="none" w:sz="0" w:space="0" w:color="auto"/>
            <w:right w:val="none" w:sz="0" w:space="0" w:color="auto"/>
          </w:divBdr>
        </w:div>
        <w:div w:id="324209000">
          <w:marLeft w:val="0"/>
          <w:marRight w:val="0"/>
          <w:marTop w:val="0"/>
          <w:marBottom w:val="0"/>
          <w:divBdr>
            <w:top w:val="none" w:sz="0" w:space="0" w:color="auto"/>
            <w:left w:val="none" w:sz="0" w:space="0" w:color="auto"/>
            <w:bottom w:val="none" w:sz="0" w:space="0" w:color="auto"/>
            <w:right w:val="none" w:sz="0" w:space="0" w:color="auto"/>
          </w:divBdr>
        </w:div>
        <w:div w:id="1889368771">
          <w:marLeft w:val="0"/>
          <w:marRight w:val="0"/>
          <w:marTop w:val="0"/>
          <w:marBottom w:val="0"/>
          <w:divBdr>
            <w:top w:val="none" w:sz="0" w:space="0" w:color="auto"/>
            <w:left w:val="none" w:sz="0" w:space="0" w:color="auto"/>
            <w:bottom w:val="none" w:sz="0" w:space="0" w:color="auto"/>
            <w:right w:val="none" w:sz="0" w:space="0" w:color="auto"/>
          </w:divBdr>
        </w:div>
        <w:div w:id="933325891">
          <w:marLeft w:val="0"/>
          <w:marRight w:val="0"/>
          <w:marTop w:val="0"/>
          <w:marBottom w:val="0"/>
          <w:divBdr>
            <w:top w:val="none" w:sz="0" w:space="0" w:color="auto"/>
            <w:left w:val="none" w:sz="0" w:space="0" w:color="auto"/>
            <w:bottom w:val="none" w:sz="0" w:space="0" w:color="auto"/>
            <w:right w:val="none" w:sz="0" w:space="0" w:color="auto"/>
          </w:divBdr>
        </w:div>
      </w:divsChild>
    </w:div>
    <w:div w:id="1636793261">
      <w:bodyDiv w:val="1"/>
      <w:marLeft w:val="0"/>
      <w:marRight w:val="0"/>
      <w:marTop w:val="0"/>
      <w:marBottom w:val="0"/>
      <w:divBdr>
        <w:top w:val="none" w:sz="0" w:space="0" w:color="auto"/>
        <w:left w:val="none" w:sz="0" w:space="0" w:color="auto"/>
        <w:bottom w:val="none" w:sz="0" w:space="0" w:color="auto"/>
        <w:right w:val="none" w:sz="0" w:space="0" w:color="auto"/>
      </w:divBdr>
    </w:div>
    <w:div w:id="1814834947">
      <w:bodyDiv w:val="1"/>
      <w:marLeft w:val="0"/>
      <w:marRight w:val="0"/>
      <w:marTop w:val="0"/>
      <w:marBottom w:val="0"/>
      <w:divBdr>
        <w:top w:val="none" w:sz="0" w:space="0" w:color="auto"/>
        <w:left w:val="none" w:sz="0" w:space="0" w:color="auto"/>
        <w:bottom w:val="none" w:sz="0" w:space="0" w:color="auto"/>
        <w:right w:val="none" w:sz="0" w:space="0" w:color="auto"/>
      </w:divBdr>
    </w:div>
    <w:div w:id="1849176928">
      <w:bodyDiv w:val="1"/>
      <w:marLeft w:val="0"/>
      <w:marRight w:val="0"/>
      <w:marTop w:val="0"/>
      <w:marBottom w:val="0"/>
      <w:divBdr>
        <w:top w:val="none" w:sz="0" w:space="0" w:color="auto"/>
        <w:left w:val="none" w:sz="0" w:space="0" w:color="auto"/>
        <w:bottom w:val="none" w:sz="0" w:space="0" w:color="auto"/>
        <w:right w:val="none" w:sz="0" w:space="0" w:color="auto"/>
      </w:divBdr>
    </w:div>
    <w:div w:id="1940527236">
      <w:bodyDiv w:val="1"/>
      <w:marLeft w:val="0"/>
      <w:marRight w:val="0"/>
      <w:marTop w:val="0"/>
      <w:marBottom w:val="0"/>
      <w:divBdr>
        <w:top w:val="none" w:sz="0" w:space="0" w:color="auto"/>
        <w:left w:val="none" w:sz="0" w:space="0" w:color="auto"/>
        <w:bottom w:val="none" w:sz="0" w:space="0" w:color="auto"/>
        <w:right w:val="none" w:sz="0" w:space="0" w:color="auto"/>
      </w:divBdr>
    </w:div>
    <w:div w:id="2012904612">
      <w:bodyDiv w:val="1"/>
      <w:marLeft w:val="0"/>
      <w:marRight w:val="0"/>
      <w:marTop w:val="0"/>
      <w:marBottom w:val="0"/>
      <w:divBdr>
        <w:top w:val="none" w:sz="0" w:space="0" w:color="auto"/>
        <w:left w:val="none" w:sz="0" w:space="0" w:color="auto"/>
        <w:bottom w:val="none" w:sz="0" w:space="0" w:color="auto"/>
        <w:right w:val="none" w:sz="0" w:space="0" w:color="auto"/>
      </w:divBdr>
    </w:div>
    <w:div w:id="205005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10</Pages>
  <Words>2196</Words>
  <Characters>12520</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Kaustuv Mukherjee</cp:lastModifiedBy>
  <cp:revision>12</cp:revision>
  <dcterms:created xsi:type="dcterms:W3CDTF">2026-04-26T14:34:00Z</dcterms:created>
  <dcterms:modified xsi:type="dcterms:W3CDTF">2026-04-29T06:14:00Z</dcterms:modified>
</cp:coreProperties>
</file>