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ED2B8" w14:textId="77777777" w:rsidR="00065097" w:rsidRDefault="00065097" w:rsidP="009B21C9">
      <w:pPr>
        <w:pStyle w:val="Author"/>
        <w:spacing w:line="240" w:lineRule="auto"/>
        <w:rPr>
          <w:rFonts w:ascii="Arial" w:hAnsi="Arial" w:cs="Arial"/>
          <w:bCs/>
          <w:iCs/>
          <w:kern w:val="28"/>
          <w:sz w:val="36"/>
        </w:rPr>
      </w:pPr>
      <w:r w:rsidRPr="00065097">
        <w:rPr>
          <w:rFonts w:ascii="Arial" w:hAnsi="Arial" w:cs="Arial"/>
          <w:bCs/>
          <w:iCs/>
          <w:kern w:val="28"/>
          <w:sz w:val="36"/>
        </w:rPr>
        <w:t>Review Article</w:t>
      </w:r>
    </w:p>
    <w:p w14:paraId="61DC6486" w14:textId="77777777" w:rsidR="00EA1B6A" w:rsidRDefault="00EA1B6A" w:rsidP="009B21C9">
      <w:pPr>
        <w:pStyle w:val="Author"/>
        <w:spacing w:line="240" w:lineRule="auto"/>
        <w:rPr>
          <w:rFonts w:ascii="Arial" w:hAnsi="Arial" w:cs="Arial"/>
          <w:bCs/>
          <w:iCs/>
          <w:kern w:val="28"/>
          <w:sz w:val="36"/>
        </w:rPr>
      </w:pPr>
    </w:p>
    <w:p w14:paraId="6CE89CF7" w14:textId="18EE50CF" w:rsidR="009B21C9" w:rsidRPr="00163BC4" w:rsidRDefault="009B21C9" w:rsidP="009B21C9">
      <w:pPr>
        <w:pStyle w:val="Author"/>
        <w:spacing w:line="240" w:lineRule="auto"/>
        <w:rPr>
          <w:rFonts w:ascii="Arial" w:hAnsi="Arial" w:cs="Arial"/>
          <w:bCs/>
          <w:iCs/>
          <w:kern w:val="28"/>
          <w:sz w:val="36"/>
        </w:rPr>
      </w:pPr>
      <w:r>
        <w:rPr>
          <w:rFonts w:ascii="Arial" w:hAnsi="Arial" w:cs="Arial"/>
          <w:bCs/>
          <w:iCs/>
          <w:kern w:val="28"/>
          <w:sz w:val="36"/>
        </w:rPr>
        <w:t>Development of Smart Monitoring Technology in Floating Net Cages to Support sustainable Aquaculture</w:t>
      </w:r>
    </w:p>
    <w:p w14:paraId="32DA9B8E" w14:textId="77777777" w:rsidR="009B21C9" w:rsidRPr="00790ADA" w:rsidRDefault="009B21C9" w:rsidP="009B21C9">
      <w:pPr>
        <w:pStyle w:val="Author"/>
        <w:spacing w:line="240" w:lineRule="auto"/>
        <w:jc w:val="both"/>
        <w:rPr>
          <w:rFonts w:ascii="Arial" w:hAnsi="Arial" w:cs="Arial"/>
          <w:sz w:val="36"/>
        </w:rPr>
      </w:pPr>
    </w:p>
    <w:p w14:paraId="7E64B248" w14:textId="77777777" w:rsidR="009B21C9" w:rsidRPr="00FB3A86" w:rsidRDefault="009B21C9" w:rsidP="009B21C9">
      <w:pPr>
        <w:pStyle w:val="Affiliation"/>
        <w:spacing w:after="0" w:line="240" w:lineRule="auto"/>
        <w:jc w:val="both"/>
        <w:rPr>
          <w:rFonts w:ascii="Arial" w:hAnsi="Arial" w:cs="Arial"/>
        </w:rPr>
      </w:pPr>
    </w:p>
    <w:p w14:paraId="78186D03" w14:textId="223FA64E" w:rsidR="009B21C9" w:rsidRPr="00FB3A86" w:rsidRDefault="009B21C9" w:rsidP="009B21C9">
      <w:pPr>
        <w:pStyle w:val="Copyright"/>
        <w:spacing w:after="0" w:line="240" w:lineRule="auto"/>
        <w:jc w:val="both"/>
        <w:rPr>
          <w:rFonts w:ascii="Arial" w:hAnsi="Arial" w:cs="Arial"/>
        </w:rPr>
        <w:sectPr w:rsidR="009B21C9" w:rsidRPr="00FB3A86" w:rsidSect="00744B13">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C42144F" wp14:editId="50653FB2">
                <wp:extent cx="5303520" cy="635"/>
                <wp:effectExtent l="13335" t="13970" r="17145" b="14605"/>
                <wp:docPr id="78212903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A7E070E"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5C1B0BD7" w14:textId="77777777" w:rsidR="009B21C9" w:rsidRDefault="009B21C9" w:rsidP="009B21C9">
      <w:pPr>
        <w:pStyle w:val="AbstHead"/>
        <w:spacing w:after="0"/>
        <w:jc w:val="both"/>
        <w:rPr>
          <w:rFonts w:ascii="Arial" w:hAnsi="Arial" w:cs="Arial"/>
        </w:rPr>
      </w:pPr>
      <w:r w:rsidRPr="00FB3A86">
        <w:rPr>
          <w:rFonts w:ascii="Arial" w:hAnsi="Arial" w:cs="Arial"/>
        </w:rPr>
        <w:lastRenderedPageBreak/>
        <w:t>ABSTRACT</w:t>
      </w:r>
      <w:r>
        <w:rPr>
          <w:rFonts w:ascii="Arial" w:hAnsi="Arial" w:cs="Arial"/>
        </w:rPr>
        <w:t xml:space="preserve"> </w:t>
      </w:r>
    </w:p>
    <w:p w14:paraId="14A22BC6" w14:textId="77777777" w:rsidR="009B21C9" w:rsidRPr="00FB3A86" w:rsidRDefault="009B21C9" w:rsidP="009B21C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9B21C9" w:rsidRPr="001E44FE" w14:paraId="449C99BD" w14:textId="77777777" w:rsidTr="00C01055">
        <w:tc>
          <w:tcPr>
            <w:tcW w:w="9576" w:type="dxa"/>
            <w:shd w:val="clear" w:color="auto" w:fill="F2F2F2"/>
          </w:tcPr>
          <w:p w14:paraId="2C75F74A" w14:textId="762A2BB8" w:rsidR="009B21C9" w:rsidRPr="00BA1B01" w:rsidRDefault="005E35C9" w:rsidP="00C01055">
            <w:pPr>
              <w:pStyle w:val="Body"/>
              <w:spacing w:after="0"/>
              <w:rPr>
                <w:rFonts w:ascii="Arial" w:eastAsia="Calibri" w:hAnsi="Arial" w:cs="Arial"/>
                <w:szCs w:val="22"/>
              </w:rPr>
            </w:pPr>
            <w:r w:rsidRPr="005E35C9">
              <w:rPr>
                <w:rFonts w:ascii="Arial" w:eastAsia="Calibri" w:hAnsi="Arial" w:cs="Arial"/>
                <w:szCs w:val="22"/>
              </w:rPr>
              <w:t>The advancement of digital technology has accelerated the transformation of aquaculture management, including floating net cage (FNC) systems that operate under dynamic open-water conditions. This review synthesizes validated literature on smart monitoring technologies for supporting sustainable FNC aquaculture, with emphasis on Internet of Things (IoT)-based water quality monitoring, automated feeding, machine learning applications, and edge-computing integration. Following a systematic literature review procedure guided by PRISMA, the initial reference set was screened and corrected through reference validation, and only traceable and thematically relevant sources were retained for the final synthesis. The reviewed studies indicate that IoT-based systems improve real-time observation of key water quality parameters, including temperature, dissolved oxygen, pH, salinity, turbidity, and ammonia, thereby supporting faster operational responses. Automated feeding technologies can improve feed management and reduce organic waste, while machine learning and edge computing support the transition from descriptive monitoring to predictive and adaptive aquaculture management. However, field implementation remains constrained by sensor calibration, biofouling, power supply, network stability, limited long-term validation, and user capacity. Overall, smart monitoring technologies have strong potential to improve productivity and environmental sustainability in FNC aquaculture, but wider adoption requires robust field-adapted designs, validated sensor protocols, interoperable platforms, and farmer-oriented capacity building</w:t>
            </w:r>
            <w:r w:rsidR="009B21C9" w:rsidRPr="00874C92">
              <w:rPr>
                <w:rFonts w:ascii="Arial" w:eastAsia="Calibri" w:hAnsi="Arial" w:cs="Arial"/>
                <w:szCs w:val="22"/>
              </w:rPr>
              <w:t>.</w:t>
            </w:r>
          </w:p>
        </w:tc>
      </w:tr>
    </w:tbl>
    <w:p w14:paraId="46C2C8EB" w14:textId="77777777" w:rsidR="009B21C9" w:rsidRDefault="009B21C9" w:rsidP="009B21C9">
      <w:pPr>
        <w:pStyle w:val="Body"/>
        <w:spacing w:after="0"/>
        <w:rPr>
          <w:rFonts w:ascii="Arial" w:hAnsi="Arial" w:cs="Arial"/>
          <w:i/>
        </w:rPr>
      </w:pPr>
    </w:p>
    <w:p w14:paraId="39A2B05F" w14:textId="77777777" w:rsidR="009B21C9" w:rsidRDefault="009B21C9" w:rsidP="009B21C9">
      <w:pPr>
        <w:pStyle w:val="Body"/>
        <w:spacing w:after="0"/>
        <w:rPr>
          <w:rFonts w:ascii="Arial" w:hAnsi="Arial" w:cs="Arial"/>
          <w:i/>
        </w:rPr>
      </w:pPr>
      <w:r w:rsidRPr="00874C92">
        <w:rPr>
          <w:rFonts w:ascii="Arial" w:hAnsi="Arial" w:cs="Arial"/>
          <w:i/>
        </w:rPr>
        <w:t>Keywords: smart monitoring; floating net cage; IoT; sustainable aquaculture; automated feeding</w:t>
      </w:r>
    </w:p>
    <w:p w14:paraId="26CC8F00" w14:textId="2F6E5824" w:rsidR="0045349B" w:rsidRPr="00F258C1" w:rsidRDefault="0045349B" w:rsidP="0045349B">
      <w:pPr>
        <w:rPr>
          <w:rFonts w:cs="Arial"/>
          <w:szCs w:val="18"/>
        </w:rPr>
      </w:pPr>
    </w:p>
    <w:p w14:paraId="4DB3A9AE" w14:textId="530D9CEE" w:rsidR="0045349B" w:rsidRPr="00A23B19" w:rsidRDefault="00B310D3" w:rsidP="00A23B19">
      <w:pPr>
        <w:pStyle w:val="Heading1"/>
      </w:pPr>
      <w:r w:rsidRPr="00A23B19">
        <w:t>INTRODUCTION</w:t>
      </w:r>
    </w:p>
    <w:p w14:paraId="5E2F0C1E" w14:textId="2833D2E0" w:rsidR="005E35C9" w:rsidRPr="005E35C9" w:rsidRDefault="005E35C9" w:rsidP="005E35C9">
      <w:pPr>
        <w:rPr>
          <w:rFonts w:cs="Arial"/>
          <w:szCs w:val="18"/>
        </w:rPr>
      </w:pPr>
      <w:r w:rsidRPr="005E35C9">
        <w:rPr>
          <w:rFonts w:cs="Arial"/>
          <w:szCs w:val="18"/>
        </w:rPr>
        <w:t xml:space="preserve">Aquaculture plays an important role in supporting global food security and the supply of blue foods, but its expansion must be balanced with improved production efficiency and environmental management. Floating net cage (FNC) aquaculture is widely used in reservoirs, lakes, rivers, and coastal waters because it allows fish production in open-water environments without requiring extensive land conversion. In Indonesia, this system is commonly known as </w:t>
      </w:r>
      <w:proofErr w:type="spellStart"/>
      <w:r w:rsidRPr="005E35C9">
        <w:rPr>
          <w:rFonts w:cs="Arial"/>
          <w:szCs w:val="18"/>
        </w:rPr>
        <w:t>Keramba</w:t>
      </w:r>
      <w:proofErr w:type="spellEnd"/>
      <w:r w:rsidRPr="005E35C9">
        <w:rPr>
          <w:rFonts w:cs="Arial"/>
          <w:szCs w:val="18"/>
        </w:rPr>
        <w:t xml:space="preserve"> </w:t>
      </w:r>
      <w:proofErr w:type="spellStart"/>
      <w:r w:rsidRPr="005E35C9">
        <w:rPr>
          <w:rFonts w:cs="Arial"/>
          <w:szCs w:val="18"/>
        </w:rPr>
        <w:t>Jaring</w:t>
      </w:r>
      <w:proofErr w:type="spellEnd"/>
      <w:r w:rsidRPr="005E35C9">
        <w:rPr>
          <w:rFonts w:cs="Arial"/>
          <w:szCs w:val="18"/>
        </w:rPr>
        <w:t xml:space="preserve"> </w:t>
      </w:r>
      <w:proofErr w:type="spellStart"/>
      <w:r w:rsidRPr="005E35C9">
        <w:rPr>
          <w:rFonts w:cs="Arial"/>
          <w:szCs w:val="18"/>
        </w:rPr>
        <w:t>Apung</w:t>
      </w:r>
      <w:proofErr w:type="spellEnd"/>
      <w:r w:rsidRPr="005E35C9">
        <w:rPr>
          <w:rFonts w:cs="Arial"/>
          <w:szCs w:val="18"/>
        </w:rPr>
        <w:t xml:space="preserve"> (</w:t>
      </w:r>
      <w:r w:rsidR="008E61E2">
        <w:rPr>
          <w:rFonts w:cs="Arial"/>
          <w:szCs w:val="18"/>
        </w:rPr>
        <w:t>KJA</w:t>
      </w:r>
      <w:r w:rsidRPr="005E35C9">
        <w:rPr>
          <w:rFonts w:cs="Arial"/>
          <w:szCs w:val="18"/>
        </w:rPr>
        <w:t xml:space="preserve">). In this manuscript, the term Floating Net Cages (FNCs) is used consistently, while </w:t>
      </w:r>
      <w:r>
        <w:rPr>
          <w:rFonts w:cs="Arial"/>
          <w:szCs w:val="18"/>
        </w:rPr>
        <w:t>FNC</w:t>
      </w:r>
      <w:r w:rsidRPr="005E35C9">
        <w:rPr>
          <w:rFonts w:cs="Arial"/>
          <w:szCs w:val="18"/>
        </w:rPr>
        <w:t xml:space="preserve"> is mentioned only to clarify the Indonesian context.</w:t>
      </w:r>
    </w:p>
    <w:p w14:paraId="4DF0C2C0" w14:textId="77777777" w:rsidR="005E35C9" w:rsidRPr="005E35C9" w:rsidRDefault="005E35C9" w:rsidP="005E35C9">
      <w:pPr>
        <w:rPr>
          <w:rFonts w:cs="Arial"/>
          <w:szCs w:val="18"/>
        </w:rPr>
      </w:pPr>
      <w:r w:rsidRPr="005E35C9">
        <w:rPr>
          <w:rFonts w:cs="Arial"/>
          <w:szCs w:val="18"/>
        </w:rPr>
        <w:t xml:space="preserve">FNC systems are strongly influenced by environmental variability, including water temperature, dissolved oxygen (DO), pH, salinity, turbidity, currents, and organic loading from uneaten feed and fish metabolism. These factors can change rapidly in open-water environments and directly affect fish health, growth, survival, and surrounding water quality. Therefore, FNC management requires more adaptive and data-driven approaches than conventional periodic monitoring alone (Boyd, 2020; </w:t>
      </w:r>
      <w:proofErr w:type="spellStart"/>
      <w:r w:rsidRPr="005E35C9">
        <w:rPr>
          <w:rFonts w:cs="Arial"/>
          <w:szCs w:val="18"/>
        </w:rPr>
        <w:t>Føre</w:t>
      </w:r>
      <w:proofErr w:type="spellEnd"/>
      <w:r w:rsidRPr="005E35C9">
        <w:rPr>
          <w:rFonts w:cs="Arial"/>
          <w:szCs w:val="18"/>
        </w:rPr>
        <w:t xml:space="preserve"> et al., 2018).</w:t>
      </w:r>
    </w:p>
    <w:p w14:paraId="286C1026" w14:textId="77777777" w:rsidR="005E35C9" w:rsidRPr="005E35C9" w:rsidRDefault="005E35C9" w:rsidP="005E35C9">
      <w:pPr>
        <w:rPr>
          <w:rFonts w:cs="Arial"/>
          <w:szCs w:val="18"/>
        </w:rPr>
      </w:pPr>
      <w:r w:rsidRPr="005E35C9">
        <w:rPr>
          <w:rFonts w:cs="Arial"/>
          <w:szCs w:val="18"/>
        </w:rPr>
        <w:t>The concept of smart aquaculture has emerged to address these challenges through digital monitoring, automation, and decision-support systems. IoT-based monitoring enables real-time acquisition and transmission of water quality data through sensors, microcontrollers, communication modules, and cloud or local platforms. Recent studies show that IoT telemetry systems can monitor multiple aquaculture parameters and provide remote access to data, supporting faster responses to environmental changes (</w:t>
      </w:r>
      <w:proofErr w:type="spellStart"/>
      <w:r w:rsidRPr="005E35C9">
        <w:rPr>
          <w:rFonts w:cs="Arial"/>
          <w:szCs w:val="18"/>
        </w:rPr>
        <w:t>Megantoro</w:t>
      </w:r>
      <w:proofErr w:type="spellEnd"/>
      <w:r w:rsidRPr="005E35C9">
        <w:rPr>
          <w:rFonts w:cs="Arial"/>
          <w:szCs w:val="18"/>
        </w:rPr>
        <w:t xml:space="preserve"> et al., 2024; Shete et al., 2024).</w:t>
      </w:r>
    </w:p>
    <w:p w14:paraId="54B457D2" w14:textId="77777777" w:rsidR="005E35C9" w:rsidRPr="005E35C9" w:rsidRDefault="005E35C9" w:rsidP="005E35C9">
      <w:pPr>
        <w:rPr>
          <w:rFonts w:cs="Arial"/>
          <w:szCs w:val="18"/>
        </w:rPr>
      </w:pPr>
      <w:r w:rsidRPr="005E35C9">
        <w:rPr>
          <w:rFonts w:cs="Arial"/>
          <w:szCs w:val="18"/>
        </w:rPr>
        <w:t xml:space="preserve">In addition to water quality monitoring, automated feeding systems are increasingly important in FNC aquaculture because feed represents a major production cost and a major source of organic waste when poorly managed. Automated feeding can regulate feeding time, frequency, and dosage more consistently than manual practices. When connected to environmental sensors or decision-support </w:t>
      </w:r>
      <w:r w:rsidRPr="005E35C9">
        <w:rPr>
          <w:rFonts w:cs="Arial"/>
          <w:szCs w:val="18"/>
        </w:rPr>
        <w:lastRenderedPageBreak/>
        <w:t>rules, feeding systems can be adjusted according to water quality and operational conditions, thereby supporting feed efficiency and reducing waste discharge (</w:t>
      </w:r>
      <w:proofErr w:type="spellStart"/>
      <w:r w:rsidRPr="005E35C9">
        <w:rPr>
          <w:rFonts w:cs="Arial"/>
          <w:szCs w:val="18"/>
        </w:rPr>
        <w:t>Pranoto</w:t>
      </w:r>
      <w:proofErr w:type="spellEnd"/>
      <w:r w:rsidRPr="005E35C9">
        <w:rPr>
          <w:rFonts w:cs="Arial"/>
          <w:szCs w:val="18"/>
        </w:rPr>
        <w:t xml:space="preserve"> et al., 2024; Setiawan and </w:t>
      </w:r>
      <w:proofErr w:type="spellStart"/>
      <w:r w:rsidRPr="005E35C9">
        <w:rPr>
          <w:rFonts w:cs="Arial"/>
          <w:szCs w:val="18"/>
        </w:rPr>
        <w:t>Surantha</w:t>
      </w:r>
      <w:proofErr w:type="spellEnd"/>
      <w:r w:rsidRPr="005E35C9">
        <w:rPr>
          <w:rFonts w:cs="Arial"/>
          <w:szCs w:val="18"/>
        </w:rPr>
        <w:t>, 2024).</w:t>
      </w:r>
    </w:p>
    <w:p w14:paraId="259A0136" w14:textId="77777777" w:rsidR="005E35C9" w:rsidRPr="005E35C9" w:rsidRDefault="005E35C9" w:rsidP="005E35C9">
      <w:pPr>
        <w:rPr>
          <w:rFonts w:cs="Arial"/>
          <w:szCs w:val="18"/>
        </w:rPr>
      </w:pPr>
      <w:r w:rsidRPr="005E35C9">
        <w:rPr>
          <w:rFonts w:cs="Arial"/>
          <w:szCs w:val="18"/>
        </w:rPr>
        <w:t xml:space="preserve">Smart aquaculture is also moving toward intelligent and predictive management through machine learning, deep learning, and edge computing. Machine learning can be used to classify biological conditions, detect anomalies, and predict water quality trends, while edge computing can reduce dependence on unstable networks by processing data closer to the farming site (Ahmed et al., 2023; </w:t>
      </w:r>
      <w:proofErr w:type="spellStart"/>
      <w:r w:rsidRPr="005E35C9">
        <w:rPr>
          <w:rFonts w:cs="Arial"/>
          <w:szCs w:val="18"/>
        </w:rPr>
        <w:t>Dharmarathne</w:t>
      </w:r>
      <w:proofErr w:type="spellEnd"/>
      <w:r w:rsidRPr="005E35C9">
        <w:rPr>
          <w:rFonts w:cs="Arial"/>
          <w:szCs w:val="18"/>
        </w:rPr>
        <w:t xml:space="preserve"> et al., 2025; </w:t>
      </w:r>
      <w:proofErr w:type="spellStart"/>
      <w:r w:rsidRPr="005E35C9">
        <w:rPr>
          <w:rFonts w:cs="Arial"/>
          <w:szCs w:val="18"/>
        </w:rPr>
        <w:t>Kerlooza</w:t>
      </w:r>
      <w:proofErr w:type="spellEnd"/>
      <w:r w:rsidRPr="005E35C9">
        <w:rPr>
          <w:rFonts w:cs="Arial"/>
          <w:szCs w:val="18"/>
        </w:rPr>
        <w:t xml:space="preserve"> et al., 2025). These technologies are particularly relevant for FNC systems, where network stability, power availability, and environmental exposure remain critical constraints.</w:t>
      </w:r>
    </w:p>
    <w:p w14:paraId="6D33C7B0" w14:textId="0216F37C" w:rsidR="00AB7D0D" w:rsidRPr="004278F4" w:rsidRDefault="005E35C9" w:rsidP="005E35C9">
      <w:pPr>
        <w:rPr>
          <w:rFonts w:cs="Arial"/>
          <w:szCs w:val="18"/>
        </w:rPr>
      </w:pPr>
      <w:r w:rsidRPr="005E35C9">
        <w:rPr>
          <w:rFonts w:cs="Arial"/>
          <w:szCs w:val="18"/>
        </w:rPr>
        <w:t>Despite these advances, smart monitoring in FNC aquaculture still faces several unresolved challenges. Many studies remain at prototype or short-term testing stages, and direct comparisons among technologies are difficult because of differences in sensors, species, culture environments, calibration procedures, and evaluation metrics. This review therefore aims to synthesize recent and validated evidence on smart monitoring technologies for FNC aquaculture, evaluate their operational relevance, identify key implementation challenges, and propose future directions for more sustainable and field-adapted aquaculture management</w:t>
      </w:r>
      <w:r w:rsidR="00AB7D0D" w:rsidRPr="004278F4">
        <w:rPr>
          <w:rFonts w:cs="Arial"/>
          <w:szCs w:val="18"/>
        </w:rPr>
        <w:t>.</w:t>
      </w:r>
    </w:p>
    <w:p w14:paraId="33107C88" w14:textId="71B84836" w:rsidR="005D68E1" w:rsidRPr="004278F4" w:rsidRDefault="00B310D3" w:rsidP="001B571B">
      <w:pPr>
        <w:pStyle w:val="Heading1"/>
        <w:spacing w:before="240"/>
      </w:pPr>
      <w:r w:rsidRPr="004278F4">
        <w:t>METHODOLOGY</w:t>
      </w:r>
    </w:p>
    <w:p w14:paraId="2005A531" w14:textId="77777777" w:rsidR="005E35C9" w:rsidRPr="005E35C9" w:rsidRDefault="005E35C9" w:rsidP="005E35C9">
      <w:pPr>
        <w:ind w:firstLine="567"/>
        <w:rPr>
          <w:rFonts w:cs="Arial"/>
          <w:szCs w:val="18"/>
        </w:rPr>
      </w:pPr>
      <w:r w:rsidRPr="005E35C9">
        <w:rPr>
          <w:rFonts w:cs="Arial"/>
          <w:szCs w:val="18"/>
        </w:rPr>
        <w:t>This study employed a systematic literature review (SLR) approach to examine the development of smart monitoring technologies for FNC aquaculture. The review was guided by the PRISMA 2020 framework to improve transparency in identification, screening, eligibility assessment, and reporting (Page et al., 2021). The SLR approach was selected because it allows structured synthesis of fragmented evidence from engineering, aquaculture, environmental monitoring, and digital technology studies (</w:t>
      </w:r>
      <w:proofErr w:type="spellStart"/>
      <w:r w:rsidRPr="005E35C9">
        <w:rPr>
          <w:rFonts w:cs="Arial"/>
          <w:szCs w:val="18"/>
        </w:rPr>
        <w:t>Tranfield</w:t>
      </w:r>
      <w:proofErr w:type="spellEnd"/>
      <w:r w:rsidRPr="005E35C9">
        <w:rPr>
          <w:rFonts w:cs="Arial"/>
          <w:szCs w:val="18"/>
        </w:rPr>
        <w:t xml:space="preserve"> et al., 2003).</w:t>
      </w:r>
    </w:p>
    <w:p w14:paraId="139EF9A8" w14:textId="77777777" w:rsidR="005E35C9" w:rsidRPr="005E35C9" w:rsidRDefault="005E35C9" w:rsidP="005E35C9">
      <w:pPr>
        <w:ind w:firstLine="567"/>
        <w:rPr>
          <w:rFonts w:cs="Arial"/>
          <w:szCs w:val="18"/>
        </w:rPr>
      </w:pPr>
      <w:r w:rsidRPr="005E35C9">
        <w:rPr>
          <w:rFonts w:cs="Arial"/>
          <w:szCs w:val="18"/>
        </w:rPr>
        <w:t>The literature search was conducted using Google Scholar, ScienceDirect, IEEE Xplore, and journal databases relevant to aquaculture technology and environmental monitoring. The keywords included combinations of “smart monitoring”, “Internet of Things”, “IoT aquaculture”, “floating net cage”, “</w:t>
      </w:r>
      <w:proofErr w:type="spellStart"/>
      <w:r w:rsidRPr="005E35C9">
        <w:rPr>
          <w:rFonts w:cs="Arial"/>
          <w:szCs w:val="18"/>
        </w:rPr>
        <w:t>keramba</w:t>
      </w:r>
      <w:proofErr w:type="spellEnd"/>
      <w:r w:rsidRPr="005E35C9">
        <w:rPr>
          <w:rFonts w:cs="Arial"/>
          <w:szCs w:val="18"/>
        </w:rPr>
        <w:t xml:space="preserve"> </w:t>
      </w:r>
      <w:proofErr w:type="spellStart"/>
      <w:r w:rsidRPr="005E35C9">
        <w:rPr>
          <w:rFonts w:cs="Arial"/>
          <w:szCs w:val="18"/>
        </w:rPr>
        <w:t>jaring</w:t>
      </w:r>
      <w:proofErr w:type="spellEnd"/>
      <w:r w:rsidRPr="005E35C9">
        <w:rPr>
          <w:rFonts w:cs="Arial"/>
          <w:szCs w:val="18"/>
        </w:rPr>
        <w:t xml:space="preserve"> </w:t>
      </w:r>
      <w:proofErr w:type="spellStart"/>
      <w:r w:rsidRPr="005E35C9">
        <w:rPr>
          <w:rFonts w:cs="Arial"/>
          <w:szCs w:val="18"/>
        </w:rPr>
        <w:t>apung</w:t>
      </w:r>
      <w:proofErr w:type="spellEnd"/>
      <w:r w:rsidRPr="005E35C9">
        <w:rPr>
          <w:rFonts w:cs="Arial"/>
          <w:szCs w:val="18"/>
        </w:rPr>
        <w:t>”, “automated feeding”, “machine learning”, “edge computing”, “water quality monitoring”, and “sustainable aquaculture”. The publication period was limited primarily to 2018-2025 to capture recent developments while retaining seminal literature on precision fish farming and water quality.</w:t>
      </w:r>
    </w:p>
    <w:p w14:paraId="54DC65FE" w14:textId="77777777" w:rsidR="005E35C9" w:rsidRPr="005E35C9" w:rsidRDefault="005E35C9" w:rsidP="005E35C9">
      <w:pPr>
        <w:ind w:firstLine="567"/>
        <w:rPr>
          <w:rFonts w:cs="Arial"/>
          <w:szCs w:val="18"/>
        </w:rPr>
      </w:pPr>
      <w:r w:rsidRPr="005E35C9">
        <w:rPr>
          <w:rFonts w:cs="Arial"/>
          <w:szCs w:val="18"/>
        </w:rPr>
        <w:t>The inclusion criteria were: (1) studies discussing IoT-based monitoring, automation, machine learning, edge computing, or water quality control in aquaculture; (2) studies relevant to open-water cage systems, pond systems, shrimp farming, or precision aquaculture concepts that could inform FNC implementation; and (3) sources with traceable publication metadata, including journal or proceedings information and DOI or accessible source links where available. The exclusion criteria were: (1) non-traceable or unverifiable references; (2) papers with metadata that could not be reconciled with official sources; (3) duplicate sources; and (4) studies not directly related to aquaculture monitoring, automation, or environmental management.</w:t>
      </w:r>
    </w:p>
    <w:p w14:paraId="43AC05B8" w14:textId="337D4082" w:rsidR="005D68E1" w:rsidRPr="004278F4" w:rsidRDefault="005E35C9" w:rsidP="005E35C9">
      <w:pPr>
        <w:ind w:firstLine="567"/>
        <w:rPr>
          <w:rFonts w:cs="Arial"/>
          <w:szCs w:val="18"/>
        </w:rPr>
      </w:pPr>
      <w:r w:rsidRPr="005E35C9">
        <w:rPr>
          <w:rFonts w:cs="Arial"/>
          <w:szCs w:val="18"/>
        </w:rPr>
        <w:lastRenderedPageBreak/>
        <w:t>Following editorial reference validation, references that were marked as not valid and could not be traced to original sources were removed from both the in-text citations and the reference list. References with metadata mismatches were corrected using the verified publication details. As a result, the final synthesis was based on validated and thematically relevant sources rather than the original unverified reference set. The selected studies were analyzed qualitatively and grouped into five themes: IoT-based water quality monitoring, automated feeding, machine learning and edge computing, implementation challenges, and implications for sustainable aquaculture.</w:t>
      </w:r>
    </w:p>
    <w:p w14:paraId="211B1EB3" w14:textId="47FE82A2" w:rsidR="0045349B" w:rsidRPr="004278F4" w:rsidRDefault="004278F4" w:rsidP="00A23B19">
      <w:pPr>
        <w:pStyle w:val="Heading1"/>
      </w:pPr>
      <w:r w:rsidRPr="004278F4">
        <w:t>RESULTS AND DISCUSSION</w:t>
      </w:r>
    </w:p>
    <w:p w14:paraId="207FE6D5" w14:textId="275C6F5F" w:rsidR="00792507" w:rsidRPr="004278F4" w:rsidRDefault="005E35C9" w:rsidP="00F366ED">
      <w:pPr>
        <w:ind w:firstLine="567"/>
        <w:rPr>
          <w:rFonts w:cs="Arial"/>
          <w:szCs w:val="18"/>
        </w:rPr>
      </w:pPr>
      <w:r w:rsidRPr="005E35C9">
        <w:rPr>
          <w:rFonts w:cs="Arial"/>
          <w:szCs w:val="18"/>
        </w:rPr>
        <w:t>The reviewed literature shows that smart monitoring technologies for FNC aquaculture are developing across interconnected themes rather than as isolated devices. IoT-based monitoring remains the dominant focus because water quality changes directly affect fish performance and environmental risk. Automated feeding, machine learning, and edge computing represent more advanced stages of digital aquaculture because they move the system toward decision support and adaptive control. However, the evidence also shows that many technologies are still limited by field durability, calibration, interoperability, and user adoption. Table 1 summarizes the major themes identified in the revised synthesis.</w:t>
      </w:r>
      <w:r w:rsidR="00792507" w:rsidRPr="004278F4">
        <w:rPr>
          <w:rFonts w:cs="Arial"/>
          <w:szCs w:val="18"/>
        </w:rPr>
        <w:t xml:space="preserve"> </w:t>
      </w:r>
    </w:p>
    <w:p w14:paraId="4B57C7B4" w14:textId="12F13F15" w:rsidR="00A23B19" w:rsidRPr="00A23B19" w:rsidRDefault="00A23B19" w:rsidP="00A23B19">
      <w:pPr>
        <w:pStyle w:val="Caption"/>
        <w:keepNext/>
        <w:jc w:val="center"/>
        <w:rPr>
          <w:b/>
          <w:bCs/>
          <w:i w:val="0"/>
          <w:iCs w:val="0"/>
          <w:color w:val="auto"/>
          <w:sz w:val="20"/>
          <w:szCs w:val="20"/>
        </w:rPr>
      </w:pPr>
      <w:r w:rsidRPr="00A23B19">
        <w:rPr>
          <w:b/>
          <w:bCs/>
          <w:i w:val="0"/>
          <w:iCs w:val="0"/>
          <w:color w:val="auto"/>
          <w:sz w:val="20"/>
          <w:szCs w:val="20"/>
        </w:rPr>
        <w:t xml:space="preserve">Table </w:t>
      </w:r>
      <w:r w:rsidRPr="00A23B19">
        <w:rPr>
          <w:b/>
          <w:bCs/>
          <w:i w:val="0"/>
          <w:iCs w:val="0"/>
          <w:color w:val="auto"/>
          <w:sz w:val="20"/>
          <w:szCs w:val="20"/>
        </w:rPr>
        <w:fldChar w:fldCharType="begin"/>
      </w:r>
      <w:r w:rsidRPr="00A23B19">
        <w:rPr>
          <w:b/>
          <w:bCs/>
          <w:i w:val="0"/>
          <w:iCs w:val="0"/>
          <w:color w:val="auto"/>
          <w:sz w:val="20"/>
          <w:szCs w:val="20"/>
        </w:rPr>
        <w:instrText xml:space="preserve"> SEQ Table \* ARABIC </w:instrText>
      </w:r>
      <w:r w:rsidRPr="00A23B19">
        <w:rPr>
          <w:b/>
          <w:bCs/>
          <w:i w:val="0"/>
          <w:iCs w:val="0"/>
          <w:color w:val="auto"/>
          <w:sz w:val="20"/>
          <w:szCs w:val="20"/>
        </w:rPr>
        <w:fldChar w:fldCharType="separate"/>
      </w:r>
      <w:r w:rsidR="00D31450">
        <w:rPr>
          <w:b/>
          <w:bCs/>
          <w:i w:val="0"/>
          <w:iCs w:val="0"/>
          <w:noProof/>
          <w:color w:val="auto"/>
          <w:sz w:val="20"/>
          <w:szCs w:val="20"/>
        </w:rPr>
        <w:t>1</w:t>
      </w:r>
      <w:r w:rsidRPr="00A23B19">
        <w:rPr>
          <w:b/>
          <w:bCs/>
          <w:i w:val="0"/>
          <w:iCs w:val="0"/>
          <w:color w:val="auto"/>
          <w:sz w:val="20"/>
          <w:szCs w:val="20"/>
        </w:rPr>
        <w:fldChar w:fldCharType="end"/>
      </w:r>
      <w:r w:rsidRPr="00A23B19">
        <w:rPr>
          <w:b/>
          <w:bCs/>
          <w:i w:val="0"/>
          <w:iCs w:val="0"/>
          <w:color w:val="auto"/>
          <w:sz w:val="20"/>
          <w:szCs w:val="20"/>
        </w:rPr>
        <w:t>. Trend in Smart Monitoring Technology for Floating Net Cage Aquaculture</w:t>
      </w:r>
    </w:p>
    <w:tbl>
      <w:tblPr>
        <w:tblStyle w:val="TableGrid"/>
        <w:tblW w:w="989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2118"/>
        <w:gridCol w:w="2939"/>
        <w:gridCol w:w="2677"/>
        <w:gridCol w:w="1693"/>
      </w:tblGrid>
      <w:tr w:rsidR="00C249A0" w:rsidRPr="004278F4" w14:paraId="45A15A63" w14:textId="77777777" w:rsidTr="005E35C9">
        <w:tc>
          <w:tcPr>
            <w:tcW w:w="472" w:type="dxa"/>
            <w:tcBorders>
              <w:top w:val="single" w:sz="4" w:space="0" w:color="auto"/>
              <w:bottom w:val="single" w:sz="4" w:space="0" w:color="auto"/>
            </w:tcBorders>
          </w:tcPr>
          <w:p w14:paraId="11628E21" w14:textId="64023FA9" w:rsidR="00C249A0" w:rsidRPr="004278F4" w:rsidRDefault="00C249A0" w:rsidP="00C249A0">
            <w:pPr>
              <w:rPr>
                <w:rFonts w:cs="Arial"/>
                <w:szCs w:val="18"/>
              </w:rPr>
            </w:pPr>
            <w:r w:rsidRPr="004278F4">
              <w:rPr>
                <w:rFonts w:cs="Arial"/>
                <w:szCs w:val="18"/>
              </w:rPr>
              <w:t>No</w:t>
            </w:r>
          </w:p>
        </w:tc>
        <w:tc>
          <w:tcPr>
            <w:tcW w:w="2118" w:type="dxa"/>
            <w:tcBorders>
              <w:top w:val="single" w:sz="4" w:space="0" w:color="auto"/>
              <w:bottom w:val="single" w:sz="4" w:space="0" w:color="auto"/>
            </w:tcBorders>
          </w:tcPr>
          <w:p w14:paraId="0CF33C97" w14:textId="0F8021FC" w:rsidR="00C249A0" w:rsidRPr="004278F4" w:rsidRDefault="00F258C1" w:rsidP="00C249A0">
            <w:pPr>
              <w:rPr>
                <w:rFonts w:cs="Arial"/>
                <w:szCs w:val="18"/>
              </w:rPr>
            </w:pPr>
            <w:r>
              <w:rPr>
                <w:rFonts w:cs="Arial"/>
                <w:szCs w:val="18"/>
              </w:rPr>
              <w:t>Research Theme</w:t>
            </w:r>
          </w:p>
        </w:tc>
        <w:tc>
          <w:tcPr>
            <w:tcW w:w="2939" w:type="dxa"/>
            <w:tcBorders>
              <w:top w:val="single" w:sz="4" w:space="0" w:color="auto"/>
              <w:bottom w:val="single" w:sz="4" w:space="0" w:color="auto"/>
            </w:tcBorders>
          </w:tcPr>
          <w:p w14:paraId="6A6833F6" w14:textId="016970F2" w:rsidR="00C249A0" w:rsidRPr="004278F4" w:rsidRDefault="00C249A0" w:rsidP="00C249A0">
            <w:pPr>
              <w:rPr>
                <w:rFonts w:cs="Arial"/>
                <w:szCs w:val="18"/>
              </w:rPr>
            </w:pPr>
            <w:r w:rsidRPr="004278F4">
              <w:rPr>
                <w:rFonts w:cs="Arial"/>
                <w:szCs w:val="18"/>
              </w:rPr>
              <w:t>Fo</w:t>
            </w:r>
            <w:r w:rsidR="00F258C1">
              <w:rPr>
                <w:rFonts w:cs="Arial"/>
                <w:szCs w:val="18"/>
              </w:rPr>
              <w:t>cus of Study</w:t>
            </w:r>
          </w:p>
        </w:tc>
        <w:tc>
          <w:tcPr>
            <w:tcW w:w="2677" w:type="dxa"/>
            <w:tcBorders>
              <w:top w:val="single" w:sz="4" w:space="0" w:color="auto"/>
              <w:bottom w:val="single" w:sz="4" w:space="0" w:color="auto"/>
            </w:tcBorders>
          </w:tcPr>
          <w:p w14:paraId="3A9E4CAB" w14:textId="47E5A3E0" w:rsidR="00C249A0" w:rsidRPr="004278F4" w:rsidRDefault="001B571B" w:rsidP="00C249A0">
            <w:pPr>
              <w:rPr>
                <w:rFonts w:cs="Arial"/>
                <w:szCs w:val="18"/>
              </w:rPr>
            </w:pPr>
            <w:r>
              <w:rPr>
                <w:rFonts w:cs="Arial"/>
                <w:szCs w:val="18"/>
              </w:rPr>
              <w:t>Technology</w:t>
            </w:r>
            <w:r w:rsidR="00F258C1">
              <w:rPr>
                <w:rFonts w:cs="Arial"/>
                <w:szCs w:val="18"/>
              </w:rPr>
              <w:t xml:space="preserve"> Examples</w:t>
            </w:r>
          </w:p>
        </w:tc>
        <w:tc>
          <w:tcPr>
            <w:tcW w:w="1693" w:type="dxa"/>
            <w:tcBorders>
              <w:top w:val="single" w:sz="4" w:space="0" w:color="auto"/>
              <w:bottom w:val="single" w:sz="4" w:space="0" w:color="auto"/>
            </w:tcBorders>
          </w:tcPr>
          <w:p w14:paraId="65F00FF7" w14:textId="71B94E1F" w:rsidR="00C249A0" w:rsidRPr="004278F4" w:rsidRDefault="005E35C9" w:rsidP="00C249A0">
            <w:pPr>
              <w:rPr>
                <w:rFonts w:cs="Arial"/>
                <w:szCs w:val="18"/>
              </w:rPr>
            </w:pPr>
            <w:r>
              <w:rPr>
                <w:rFonts w:cs="Arial"/>
                <w:szCs w:val="18"/>
              </w:rPr>
              <w:t>Relative emphasis</w:t>
            </w:r>
          </w:p>
        </w:tc>
      </w:tr>
      <w:tr w:rsidR="00C249A0" w:rsidRPr="004278F4" w14:paraId="27C944A1" w14:textId="77777777" w:rsidTr="005E35C9">
        <w:tc>
          <w:tcPr>
            <w:tcW w:w="472" w:type="dxa"/>
            <w:tcBorders>
              <w:top w:val="single" w:sz="4" w:space="0" w:color="auto"/>
              <w:bottom w:val="nil"/>
            </w:tcBorders>
          </w:tcPr>
          <w:p w14:paraId="5A1551C5" w14:textId="77777777" w:rsidR="00C249A0" w:rsidRPr="004278F4" w:rsidRDefault="00C249A0" w:rsidP="00C249A0">
            <w:pPr>
              <w:pStyle w:val="ListParagraph"/>
              <w:numPr>
                <w:ilvl w:val="0"/>
                <w:numId w:val="1"/>
              </w:numPr>
              <w:rPr>
                <w:rFonts w:cs="Arial"/>
                <w:szCs w:val="18"/>
              </w:rPr>
            </w:pPr>
          </w:p>
        </w:tc>
        <w:tc>
          <w:tcPr>
            <w:tcW w:w="2118" w:type="dxa"/>
            <w:tcBorders>
              <w:top w:val="single" w:sz="4" w:space="0" w:color="auto"/>
              <w:bottom w:val="nil"/>
            </w:tcBorders>
          </w:tcPr>
          <w:p w14:paraId="7EEEC92E" w14:textId="7B5428E1" w:rsidR="00C249A0" w:rsidRPr="004278F4" w:rsidRDefault="00F258C1" w:rsidP="00C249A0">
            <w:pPr>
              <w:rPr>
                <w:rFonts w:cs="Arial"/>
                <w:szCs w:val="18"/>
              </w:rPr>
            </w:pPr>
            <w:r>
              <w:rPr>
                <w:rFonts w:cs="Arial"/>
                <w:szCs w:val="18"/>
              </w:rPr>
              <w:t>IoT-based water quality monitoring in floating net cages (FNC)</w:t>
            </w:r>
          </w:p>
        </w:tc>
        <w:tc>
          <w:tcPr>
            <w:tcW w:w="2939" w:type="dxa"/>
            <w:tcBorders>
              <w:top w:val="single" w:sz="4" w:space="0" w:color="auto"/>
              <w:bottom w:val="nil"/>
            </w:tcBorders>
          </w:tcPr>
          <w:p w14:paraId="29A8E904" w14:textId="17ADFDD9" w:rsidR="00C249A0" w:rsidRPr="004278F4" w:rsidRDefault="00F258C1" w:rsidP="00C249A0">
            <w:pPr>
              <w:rPr>
                <w:rFonts w:cs="Arial"/>
                <w:szCs w:val="18"/>
              </w:rPr>
            </w:pPr>
            <w:r>
              <w:rPr>
                <w:rFonts w:cs="Arial"/>
                <w:szCs w:val="18"/>
              </w:rPr>
              <w:t xml:space="preserve">Monitoring aquatic environmental parameters in real-time in open water FNC systems </w:t>
            </w:r>
          </w:p>
        </w:tc>
        <w:tc>
          <w:tcPr>
            <w:tcW w:w="2677" w:type="dxa"/>
            <w:tcBorders>
              <w:top w:val="single" w:sz="4" w:space="0" w:color="auto"/>
              <w:bottom w:val="nil"/>
            </w:tcBorders>
          </w:tcPr>
          <w:p w14:paraId="5000094E" w14:textId="7D942EB5" w:rsidR="00C249A0" w:rsidRPr="004278F4" w:rsidRDefault="00685618" w:rsidP="00C249A0">
            <w:pPr>
              <w:rPr>
                <w:rFonts w:cs="Arial"/>
                <w:szCs w:val="18"/>
              </w:rPr>
            </w:pPr>
            <w:r w:rsidRPr="004278F4">
              <w:rPr>
                <w:rFonts w:cs="Arial"/>
                <w:szCs w:val="18"/>
              </w:rPr>
              <w:t>Sensor pH, DO</w:t>
            </w:r>
            <w:r w:rsidR="00F258C1">
              <w:rPr>
                <w:rFonts w:cs="Arial"/>
                <w:szCs w:val="18"/>
              </w:rPr>
              <w:t xml:space="preserve"> sensors</w:t>
            </w:r>
            <w:r w:rsidRPr="004278F4">
              <w:rPr>
                <w:rFonts w:cs="Arial"/>
                <w:szCs w:val="18"/>
              </w:rPr>
              <w:t xml:space="preserve">, </w:t>
            </w:r>
            <w:r w:rsidR="00F258C1">
              <w:rPr>
                <w:rFonts w:cs="Arial"/>
                <w:szCs w:val="18"/>
              </w:rPr>
              <w:t>Temperature sensors</w:t>
            </w:r>
            <w:r w:rsidRPr="004278F4">
              <w:rPr>
                <w:rFonts w:cs="Arial"/>
                <w:szCs w:val="18"/>
              </w:rPr>
              <w:t>, Salinit</w:t>
            </w:r>
            <w:r w:rsidR="00F258C1">
              <w:rPr>
                <w:rFonts w:cs="Arial"/>
                <w:szCs w:val="18"/>
              </w:rPr>
              <w:t>y sensors</w:t>
            </w:r>
            <w:r w:rsidRPr="004278F4">
              <w:rPr>
                <w:rFonts w:cs="Arial"/>
                <w:szCs w:val="18"/>
              </w:rPr>
              <w:t xml:space="preserve">, </w:t>
            </w:r>
            <w:r w:rsidR="008E61E2">
              <w:rPr>
                <w:rFonts w:cs="Arial"/>
                <w:szCs w:val="18"/>
              </w:rPr>
              <w:t>IoT platforms</w:t>
            </w:r>
          </w:p>
        </w:tc>
        <w:tc>
          <w:tcPr>
            <w:tcW w:w="1693" w:type="dxa"/>
            <w:tcBorders>
              <w:top w:val="single" w:sz="4" w:space="0" w:color="auto"/>
              <w:bottom w:val="nil"/>
            </w:tcBorders>
          </w:tcPr>
          <w:p w14:paraId="2C71E0C9" w14:textId="40C5BF90" w:rsidR="00C249A0" w:rsidRPr="004278F4" w:rsidRDefault="005E35C9" w:rsidP="005E35C9">
            <w:pPr>
              <w:jc w:val="center"/>
              <w:rPr>
                <w:rFonts w:cs="Arial"/>
                <w:szCs w:val="18"/>
              </w:rPr>
            </w:pPr>
            <w:r>
              <w:rPr>
                <w:rFonts w:cs="Arial"/>
                <w:szCs w:val="18"/>
              </w:rPr>
              <w:t>High</w:t>
            </w:r>
          </w:p>
        </w:tc>
      </w:tr>
      <w:tr w:rsidR="00C249A0" w:rsidRPr="004278F4" w14:paraId="546ADBF8" w14:textId="77777777" w:rsidTr="005E35C9">
        <w:tc>
          <w:tcPr>
            <w:tcW w:w="472" w:type="dxa"/>
            <w:tcBorders>
              <w:top w:val="nil"/>
            </w:tcBorders>
          </w:tcPr>
          <w:p w14:paraId="6F5AA482" w14:textId="77777777" w:rsidR="00C249A0" w:rsidRPr="004278F4" w:rsidRDefault="00C249A0" w:rsidP="00C249A0">
            <w:pPr>
              <w:pStyle w:val="ListParagraph"/>
              <w:numPr>
                <w:ilvl w:val="0"/>
                <w:numId w:val="1"/>
              </w:numPr>
              <w:rPr>
                <w:rFonts w:cs="Arial"/>
                <w:szCs w:val="18"/>
              </w:rPr>
            </w:pPr>
          </w:p>
        </w:tc>
        <w:tc>
          <w:tcPr>
            <w:tcW w:w="2118" w:type="dxa"/>
            <w:tcBorders>
              <w:top w:val="nil"/>
            </w:tcBorders>
          </w:tcPr>
          <w:p w14:paraId="03660F22" w14:textId="5881B785" w:rsidR="00C249A0" w:rsidRPr="004278F4" w:rsidRDefault="00F258C1" w:rsidP="00C249A0">
            <w:pPr>
              <w:rPr>
                <w:rFonts w:cs="Arial"/>
                <w:szCs w:val="18"/>
              </w:rPr>
            </w:pPr>
            <w:r>
              <w:rPr>
                <w:rFonts w:cs="Arial"/>
                <w:szCs w:val="18"/>
              </w:rPr>
              <w:t>Automation of feeding systems in FNC</w:t>
            </w:r>
          </w:p>
        </w:tc>
        <w:tc>
          <w:tcPr>
            <w:tcW w:w="2939" w:type="dxa"/>
            <w:tcBorders>
              <w:top w:val="nil"/>
            </w:tcBorders>
          </w:tcPr>
          <w:p w14:paraId="7D5F4139" w14:textId="5A97F31C" w:rsidR="00C249A0" w:rsidRPr="004278F4" w:rsidRDefault="00F258C1" w:rsidP="00C249A0">
            <w:pPr>
              <w:rPr>
                <w:rFonts w:cs="Arial"/>
                <w:szCs w:val="18"/>
              </w:rPr>
            </w:pPr>
            <w:r>
              <w:rPr>
                <w:rFonts w:cs="Arial"/>
                <w:szCs w:val="18"/>
              </w:rPr>
              <w:t>Efficient feed management to improve productivity and reduce waste</w:t>
            </w:r>
          </w:p>
        </w:tc>
        <w:tc>
          <w:tcPr>
            <w:tcW w:w="2677" w:type="dxa"/>
            <w:tcBorders>
              <w:top w:val="nil"/>
            </w:tcBorders>
          </w:tcPr>
          <w:p w14:paraId="4A56188C" w14:textId="383EA08D" w:rsidR="00C249A0" w:rsidRPr="004278F4" w:rsidRDefault="00685618" w:rsidP="00C249A0">
            <w:pPr>
              <w:rPr>
                <w:rFonts w:cs="Arial"/>
                <w:szCs w:val="18"/>
              </w:rPr>
            </w:pPr>
            <w:r w:rsidRPr="004278F4">
              <w:rPr>
                <w:rFonts w:cs="Arial"/>
                <w:i/>
                <w:iCs/>
                <w:szCs w:val="18"/>
              </w:rPr>
              <w:t>Auto feeder, timer</w:t>
            </w:r>
            <w:r w:rsidRPr="004278F4">
              <w:rPr>
                <w:rFonts w:cs="Arial"/>
                <w:szCs w:val="18"/>
              </w:rPr>
              <w:t xml:space="preserve">, </w:t>
            </w:r>
            <w:r w:rsidR="00F258C1">
              <w:rPr>
                <w:rFonts w:cs="Arial"/>
                <w:szCs w:val="18"/>
              </w:rPr>
              <w:t>biomass sensors</w:t>
            </w:r>
          </w:p>
        </w:tc>
        <w:tc>
          <w:tcPr>
            <w:tcW w:w="1693" w:type="dxa"/>
            <w:tcBorders>
              <w:top w:val="nil"/>
            </w:tcBorders>
          </w:tcPr>
          <w:p w14:paraId="63F8A1FA" w14:textId="71B9663D" w:rsidR="00C249A0" w:rsidRPr="004278F4" w:rsidRDefault="005E35C9" w:rsidP="005E35C9">
            <w:pPr>
              <w:jc w:val="center"/>
              <w:rPr>
                <w:rFonts w:cs="Arial"/>
                <w:szCs w:val="18"/>
              </w:rPr>
            </w:pPr>
            <w:r>
              <w:rPr>
                <w:rFonts w:cs="Arial"/>
                <w:szCs w:val="18"/>
              </w:rPr>
              <w:t>Moderate to high</w:t>
            </w:r>
          </w:p>
        </w:tc>
      </w:tr>
      <w:tr w:rsidR="00C249A0" w:rsidRPr="004278F4" w14:paraId="78E93523" w14:textId="77777777" w:rsidTr="005E35C9">
        <w:tc>
          <w:tcPr>
            <w:tcW w:w="472" w:type="dxa"/>
          </w:tcPr>
          <w:p w14:paraId="2285A55E" w14:textId="77777777" w:rsidR="00C249A0" w:rsidRPr="004278F4" w:rsidRDefault="00C249A0" w:rsidP="00C249A0">
            <w:pPr>
              <w:pStyle w:val="ListParagraph"/>
              <w:numPr>
                <w:ilvl w:val="0"/>
                <w:numId w:val="1"/>
              </w:numPr>
              <w:rPr>
                <w:rFonts w:cs="Arial"/>
                <w:szCs w:val="18"/>
              </w:rPr>
            </w:pPr>
          </w:p>
        </w:tc>
        <w:tc>
          <w:tcPr>
            <w:tcW w:w="2118" w:type="dxa"/>
          </w:tcPr>
          <w:p w14:paraId="7C25CCAE" w14:textId="4911312A" w:rsidR="00C249A0" w:rsidRPr="004278F4" w:rsidRDefault="00685618" w:rsidP="00C249A0">
            <w:pPr>
              <w:rPr>
                <w:rFonts w:cs="Arial"/>
                <w:szCs w:val="18"/>
              </w:rPr>
            </w:pPr>
            <w:r w:rsidRPr="004278F4">
              <w:rPr>
                <w:rFonts w:cs="Arial"/>
                <w:szCs w:val="18"/>
              </w:rPr>
              <w:t>Integra</w:t>
            </w:r>
            <w:r w:rsidR="00F258C1">
              <w:rPr>
                <w:rFonts w:cs="Arial"/>
                <w:szCs w:val="18"/>
              </w:rPr>
              <w:t>tion</w:t>
            </w:r>
            <w:r w:rsidRPr="004278F4">
              <w:rPr>
                <w:rFonts w:cs="Arial"/>
                <w:szCs w:val="18"/>
              </w:rPr>
              <w:t xml:space="preserve"> </w:t>
            </w:r>
            <w:r w:rsidR="00F258C1">
              <w:rPr>
                <w:rFonts w:cs="Arial"/>
                <w:szCs w:val="18"/>
              </w:rPr>
              <w:t xml:space="preserve">of intelligent systems </w:t>
            </w:r>
            <w:r w:rsidRPr="004278F4">
              <w:rPr>
                <w:rFonts w:cs="Arial"/>
                <w:szCs w:val="18"/>
              </w:rPr>
              <w:t>(</w:t>
            </w:r>
            <w:r w:rsidRPr="004278F4">
              <w:rPr>
                <w:rFonts w:cs="Arial"/>
                <w:i/>
                <w:iCs/>
                <w:szCs w:val="18"/>
              </w:rPr>
              <w:t xml:space="preserve">machine learning </w:t>
            </w:r>
            <w:r w:rsidRPr="004278F4">
              <w:rPr>
                <w:rFonts w:cs="Arial"/>
                <w:szCs w:val="18"/>
              </w:rPr>
              <w:t xml:space="preserve">dan </w:t>
            </w:r>
            <w:r w:rsidRPr="004278F4">
              <w:rPr>
                <w:rFonts w:cs="Arial"/>
                <w:i/>
                <w:iCs/>
                <w:szCs w:val="18"/>
              </w:rPr>
              <w:t>edge computing</w:t>
            </w:r>
            <w:r w:rsidRPr="004278F4">
              <w:rPr>
                <w:rFonts w:cs="Arial"/>
                <w:szCs w:val="18"/>
              </w:rPr>
              <w:t>)</w:t>
            </w:r>
          </w:p>
        </w:tc>
        <w:tc>
          <w:tcPr>
            <w:tcW w:w="2939" w:type="dxa"/>
          </w:tcPr>
          <w:p w14:paraId="512A1EA1" w14:textId="00353E6F" w:rsidR="00C249A0" w:rsidRPr="004278F4" w:rsidRDefault="00F258C1" w:rsidP="00C249A0">
            <w:pPr>
              <w:rPr>
                <w:rFonts w:cs="Arial"/>
                <w:szCs w:val="18"/>
              </w:rPr>
            </w:pPr>
            <w:r>
              <w:rPr>
                <w:rFonts w:cs="Arial"/>
                <w:szCs w:val="18"/>
              </w:rPr>
              <w:t>Data processing and utilization to support smart decision-making</w:t>
            </w:r>
          </w:p>
        </w:tc>
        <w:tc>
          <w:tcPr>
            <w:tcW w:w="2677" w:type="dxa"/>
          </w:tcPr>
          <w:p w14:paraId="57E5E439" w14:textId="017F5557" w:rsidR="00C249A0" w:rsidRPr="004278F4" w:rsidRDefault="00685618" w:rsidP="00C249A0">
            <w:pPr>
              <w:rPr>
                <w:rFonts w:cs="Arial"/>
                <w:i/>
                <w:iCs/>
                <w:szCs w:val="18"/>
              </w:rPr>
            </w:pPr>
            <w:r w:rsidRPr="004278F4">
              <w:rPr>
                <w:rFonts w:cs="Arial"/>
                <w:i/>
                <w:iCs/>
                <w:szCs w:val="18"/>
              </w:rPr>
              <w:t>Machine learning, edge computing, deep learning</w:t>
            </w:r>
          </w:p>
        </w:tc>
        <w:tc>
          <w:tcPr>
            <w:tcW w:w="1693" w:type="dxa"/>
          </w:tcPr>
          <w:p w14:paraId="29714177" w14:textId="44811190" w:rsidR="00C249A0" w:rsidRPr="004278F4" w:rsidRDefault="005E35C9" w:rsidP="005E35C9">
            <w:pPr>
              <w:jc w:val="center"/>
              <w:rPr>
                <w:rFonts w:cs="Arial"/>
                <w:szCs w:val="18"/>
              </w:rPr>
            </w:pPr>
            <w:r>
              <w:rPr>
                <w:rFonts w:cs="Arial"/>
                <w:szCs w:val="18"/>
              </w:rPr>
              <w:t>Emerging</w:t>
            </w:r>
          </w:p>
        </w:tc>
      </w:tr>
      <w:tr w:rsidR="00C249A0" w:rsidRPr="004278F4" w14:paraId="46F666BD" w14:textId="77777777" w:rsidTr="005E35C9">
        <w:tc>
          <w:tcPr>
            <w:tcW w:w="472" w:type="dxa"/>
          </w:tcPr>
          <w:p w14:paraId="25A887C9" w14:textId="77777777" w:rsidR="00C249A0" w:rsidRPr="004278F4" w:rsidRDefault="00C249A0" w:rsidP="00C249A0">
            <w:pPr>
              <w:pStyle w:val="ListParagraph"/>
              <w:numPr>
                <w:ilvl w:val="0"/>
                <w:numId w:val="1"/>
              </w:numPr>
              <w:rPr>
                <w:rFonts w:cs="Arial"/>
                <w:szCs w:val="18"/>
              </w:rPr>
            </w:pPr>
          </w:p>
        </w:tc>
        <w:tc>
          <w:tcPr>
            <w:tcW w:w="2118" w:type="dxa"/>
          </w:tcPr>
          <w:p w14:paraId="4D6DFE77" w14:textId="27358C3D" w:rsidR="00C249A0" w:rsidRPr="004278F4" w:rsidRDefault="00F258C1" w:rsidP="00C249A0">
            <w:pPr>
              <w:rPr>
                <w:rFonts w:cs="Arial"/>
                <w:szCs w:val="18"/>
              </w:rPr>
            </w:pPr>
            <w:r>
              <w:rPr>
                <w:rFonts w:cs="Arial"/>
                <w:szCs w:val="18"/>
              </w:rPr>
              <w:t>Challenges in implementing smart monitoring in FNC</w:t>
            </w:r>
          </w:p>
        </w:tc>
        <w:tc>
          <w:tcPr>
            <w:tcW w:w="2939" w:type="dxa"/>
          </w:tcPr>
          <w:p w14:paraId="0FC7E9E9" w14:textId="3F41DF28" w:rsidR="00C249A0" w:rsidRPr="004278F4" w:rsidRDefault="00F258C1" w:rsidP="00C249A0">
            <w:pPr>
              <w:rPr>
                <w:rFonts w:cs="Arial"/>
                <w:szCs w:val="18"/>
              </w:rPr>
            </w:pPr>
            <w:r>
              <w:rPr>
                <w:rFonts w:cs="Arial"/>
                <w:szCs w:val="18"/>
              </w:rPr>
              <w:t>Technical and non-technical constraints in technology application in aquaculture environments</w:t>
            </w:r>
          </w:p>
        </w:tc>
        <w:tc>
          <w:tcPr>
            <w:tcW w:w="2677" w:type="dxa"/>
          </w:tcPr>
          <w:p w14:paraId="0365387C" w14:textId="41EF4405" w:rsidR="00C249A0" w:rsidRPr="004278F4" w:rsidRDefault="00F258C1" w:rsidP="00C249A0">
            <w:pPr>
              <w:rPr>
                <w:rFonts w:cs="Arial"/>
                <w:szCs w:val="18"/>
              </w:rPr>
            </w:pPr>
            <w:r>
              <w:rPr>
                <w:rFonts w:cs="Arial"/>
                <w:szCs w:val="18"/>
              </w:rPr>
              <w:t>Networking connectivity issues</w:t>
            </w:r>
            <w:r w:rsidR="00685618" w:rsidRPr="004278F4">
              <w:rPr>
                <w:rFonts w:cs="Arial"/>
                <w:szCs w:val="18"/>
              </w:rPr>
              <w:t xml:space="preserve">, </w:t>
            </w:r>
            <w:r w:rsidR="00685618" w:rsidRPr="00F258C1">
              <w:rPr>
                <w:rFonts w:cs="Arial"/>
                <w:szCs w:val="18"/>
              </w:rPr>
              <w:t>biofouling</w:t>
            </w:r>
            <w:r w:rsidR="00685618" w:rsidRPr="004278F4">
              <w:rPr>
                <w:rFonts w:cs="Arial"/>
                <w:i/>
                <w:iCs/>
                <w:szCs w:val="18"/>
              </w:rPr>
              <w:t>,</w:t>
            </w:r>
            <w:r w:rsidR="00685618" w:rsidRPr="004278F4">
              <w:rPr>
                <w:rFonts w:cs="Arial"/>
                <w:szCs w:val="18"/>
              </w:rPr>
              <w:t xml:space="preserve"> </w:t>
            </w:r>
            <w:r>
              <w:rPr>
                <w:rFonts w:cs="Arial"/>
                <w:szCs w:val="18"/>
              </w:rPr>
              <w:t>limited human resources</w:t>
            </w:r>
          </w:p>
        </w:tc>
        <w:tc>
          <w:tcPr>
            <w:tcW w:w="1693" w:type="dxa"/>
          </w:tcPr>
          <w:p w14:paraId="5D34A04C" w14:textId="2B58F91E" w:rsidR="00C249A0" w:rsidRPr="004278F4" w:rsidRDefault="005E35C9" w:rsidP="005E35C9">
            <w:pPr>
              <w:jc w:val="center"/>
              <w:rPr>
                <w:rFonts w:cs="Arial"/>
                <w:szCs w:val="18"/>
              </w:rPr>
            </w:pPr>
            <w:r>
              <w:rPr>
                <w:rFonts w:cs="Arial"/>
                <w:szCs w:val="18"/>
              </w:rPr>
              <w:t>High</w:t>
            </w:r>
          </w:p>
        </w:tc>
      </w:tr>
      <w:tr w:rsidR="00C249A0" w:rsidRPr="004278F4" w14:paraId="17E7FBD6" w14:textId="77777777" w:rsidTr="005E35C9">
        <w:tc>
          <w:tcPr>
            <w:tcW w:w="472" w:type="dxa"/>
          </w:tcPr>
          <w:p w14:paraId="75D04669" w14:textId="77777777" w:rsidR="00C249A0" w:rsidRPr="004278F4" w:rsidRDefault="00C249A0" w:rsidP="00C249A0">
            <w:pPr>
              <w:pStyle w:val="ListParagraph"/>
              <w:numPr>
                <w:ilvl w:val="0"/>
                <w:numId w:val="1"/>
              </w:numPr>
              <w:rPr>
                <w:rFonts w:cs="Arial"/>
                <w:szCs w:val="18"/>
              </w:rPr>
            </w:pPr>
          </w:p>
        </w:tc>
        <w:tc>
          <w:tcPr>
            <w:tcW w:w="2118" w:type="dxa"/>
          </w:tcPr>
          <w:p w14:paraId="522A1D9C" w14:textId="59C31D18" w:rsidR="00C249A0" w:rsidRPr="004278F4" w:rsidRDefault="00F258C1" w:rsidP="00C249A0">
            <w:pPr>
              <w:rPr>
                <w:rFonts w:cs="Arial"/>
                <w:szCs w:val="18"/>
              </w:rPr>
            </w:pPr>
            <w:r>
              <w:rPr>
                <w:rFonts w:cs="Arial"/>
                <w:szCs w:val="18"/>
              </w:rPr>
              <w:t>Capacity building and enabling factors</w:t>
            </w:r>
          </w:p>
        </w:tc>
        <w:tc>
          <w:tcPr>
            <w:tcW w:w="2939" w:type="dxa"/>
          </w:tcPr>
          <w:p w14:paraId="34BEC011" w14:textId="64CC397F" w:rsidR="00C249A0" w:rsidRPr="004278F4" w:rsidRDefault="00F258C1" w:rsidP="00C249A0">
            <w:pPr>
              <w:rPr>
                <w:rFonts w:cs="Arial"/>
                <w:szCs w:val="18"/>
              </w:rPr>
            </w:pPr>
            <w:r>
              <w:rPr>
                <w:rFonts w:cs="Arial"/>
                <w:szCs w:val="18"/>
              </w:rPr>
              <w:t>The impact of technological implementation on production efficiency and environmental sustainability</w:t>
            </w:r>
          </w:p>
        </w:tc>
        <w:tc>
          <w:tcPr>
            <w:tcW w:w="2677" w:type="dxa"/>
          </w:tcPr>
          <w:p w14:paraId="14DB1037" w14:textId="007AD69A" w:rsidR="00C249A0" w:rsidRPr="004278F4" w:rsidRDefault="00F258C1" w:rsidP="00C249A0">
            <w:pPr>
              <w:rPr>
                <w:rFonts w:cs="Arial"/>
                <w:szCs w:val="18"/>
              </w:rPr>
            </w:pPr>
            <w:r>
              <w:rPr>
                <w:rFonts w:cs="Arial"/>
                <w:szCs w:val="18"/>
              </w:rPr>
              <w:t>Integrated systems</w:t>
            </w:r>
            <w:r w:rsidR="00966640">
              <w:rPr>
                <w:rFonts w:cs="Arial"/>
                <w:szCs w:val="18"/>
              </w:rPr>
              <w:t>,</w:t>
            </w:r>
            <w:r>
              <w:rPr>
                <w:rFonts w:cs="Arial"/>
                <w:szCs w:val="18"/>
              </w:rPr>
              <w:t xml:space="preserve"> </w:t>
            </w:r>
            <w:r w:rsidR="00966640">
              <w:rPr>
                <w:rFonts w:cs="Arial"/>
                <w:szCs w:val="18"/>
              </w:rPr>
              <w:t xml:space="preserve">feed </w:t>
            </w:r>
            <w:r>
              <w:rPr>
                <w:rFonts w:cs="Arial"/>
                <w:szCs w:val="18"/>
              </w:rPr>
              <w:t>efficiency technologies, environmental management tools</w:t>
            </w:r>
          </w:p>
        </w:tc>
        <w:tc>
          <w:tcPr>
            <w:tcW w:w="1693" w:type="dxa"/>
          </w:tcPr>
          <w:p w14:paraId="3309BEC3" w14:textId="1E6E94A0" w:rsidR="00C249A0" w:rsidRPr="004278F4" w:rsidRDefault="005E35C9" w:rsidP="005E35C9">
            <w:pPr>
              <w:jc w:val="center"/>
              <w:rPr>
                <w:rFonts w:cs="Arial"/>
                <w:szCs w:val="18"/>
              </w:rPr>
            </w:pPr>
            <w:r>
              <w:rPr>
                <w:rFonts w:cs="Arial"/>
                <w:szCs w:val="18"/>
              </w:rPr>
              <w:t>Cross cutting</w:t>
            </w:r>
          </w:p>
        </w:tc>
      </w:tr>
    </w:tbl>
    <w:p w14:paraId="5FA631FC" w14:textId="6EE7F8DF" w:rsidR="008A29DE" w:rsidRPr="008A29DE" w:rsidRDefault="008A29DE" w:rsidP="008A29DE">
      <w:pPr>
        <w:rPr>
          <w:rFonts w:cs="Arial"/>
          <w:i/>
          <w:iCs/>
          <w:szCs w:val="18"/>
        </w:rPr>
      </w:pPr>
      <w:r w:rsidRPr="008A29DE">
        <w:rPr>
          <w:rFonts w:cs="Arial"/>
          <w:i/>
          <w:iCs/>
          <w:szCs w:val="18"/>
        </w:rPr>
        <w:lastRenderedPageBreak/>
        <w:t>Source: Authors’ compilation derived from the synthesis of 50 selected articles using the PRISMA framework.</w:t>
      </w:r>
    </w:p>
    <w:p w14:paraId="28C42D89" w14:textId="684FFCE8" w:rsidR="008A29DE" w:rsidRPr="008A29DE" w:rsidRDefault="008A29DE" w:rsidP="008A29DE">
      <w:pPr>
        <w:rPr>
          <w:rFonts w:cs="Arial"/>
          <w:szCs w:val="18"/>
        </w:rPr>
      </w:pPr>
      <w:r w:rsidRPr="008A29DE">
        <w:rPr>
          <w:rFonts w:cs="Arial"/>
          <w:szCs w:val="18"/>
        </w:rPr>
        <w:t xml:space="preserve">As presented in Table 1, the reviewed studies indicate that IoT-based water quality monitoring is the most dominant research theme in smart monitoring development for floating net cage (FNC) aquaculture systems. This finding highlights the importance of real-time environmental monitoring in maintaining optimal water conditions and supporting fish health in open-water aquaculture environments. Parameters such as pH, dissolved oxygen (DO), temperature, and salinity are the most frequently monitored variables due to their direct influence on fish metabolism, growth, and survival (Boyd, 2020; </w:t>
      </w:r>
      <w:proofErr w:type="spellStart"/>
      <w:r w:rsidRPr="008A29DE">
        <w:rPr>
          <w:rFonts w:cs="Arial"/>
          <w:szCs w:val="18"/>
        </w:rPr>
        <w:t>Føre</w:t>
      </w:r>
      <w:proofErr w:type="spellEnd"/>
      <w:r w:rsidRPr="008A29DE">
        <w:rPr>
          <w:rFonts w:cs="Arial"/>
          <w:szCs w:val="18"/>
        </w:rPr>
        <w:t xml:space="preserve"> et al., 2018).</w:t>
      </w:r>
    </w:p>
    <w:p w14:paraId="488E6072" w14:textId="34A4CAE8" w:rsidR="009851D8" w:rsidRPr="008A29DE" w:rsidRDefault="008A29DE" w:rsidP="008A29DE">
      <w:pPr>
        <w:rPr>
          <w:rFonts w:cs="Arial"/>
          <w:szCs w:val="18"/>
        </w:rPr>
      </w:pPr>
      <w:r w:rsidRPr="008A29DE">
        <w:rPr>
          <w:rFonts w:cs="Arial"/>
          <w:szCs w:val="18"/>
        </w:rPr>
        <w:t xml:space="preserve">In addition, automated feeding systems represent another major research focus, reflecting the increasing need to improve feed efficiency and reduce operational waste in aquaculture practices. </w:t>
      </w:r>
      <w:r w:rsidR="009851D8" w:rsidRPr="009851D8">
        <w:rPr>
          <w:rFonts w:cs="Arial"/>
          <w:szCs w:val="18"/>
        </w:rPr>
        <w:t>Automated and IoT-supported aquaculture systems can improve feeding consistency, support operational efficiency, and strengthen data-driven aquaculture management (</w:t>
      </w:r>
      <w:proofErr w:type="spellStart"/>
      <w:r w:rsidR="009851D8" w:rsidRPr="009851D8">
        <w:rPr>
          <w:rFonts w:cs="Arial"/>
          <w:szCs w:val="18"/>
        </w:rPr>
        <w:t>Pranoto</w:t>
      </w:r>
      <w:proofErr w:type="spellEnd"/>
      <w:r w:rsidR="009851D8" w:rsidRPr="009851D8">
        <w:rPr>
          <w:rFonts w:cs="Arial"/>
          <w:szCs w:val="18"/>
        </w:rPr>
        <w:t xml:space="preserve"> et al., 2024; Setiawan and </w:t>
      </w:r>
      <w:proofErr w:type="spellStart"/>
      <w:r w:rsidR="009851D8" w:rsidRPr="009851D8">
        <w:rPr>
          <w:rFonts w:cs="Arial"/>
          <w:szCs w:val="18"/>
        </w:rPr>
        <w:t>Surantha</w:t>
      </w:r>
      <w:proofErr w:type="spellEnd"/>
      <w:r w:rsidR="009851D8" w:rsidRPr="009851D8">
        <w:rPr>
          <w:rFonts w:cs="Arial"/>
          <w:szCs w:val="18"/>
        </w:rPr>
        <w:t>, 2024)</w:t>
      </w:r>
      <w:r w:rsidRPr="008A29DE">
        <w:rPr>
          <w:rFonts w:cs="Arial"/>
          <w:szCs w:val="18"/>
        </w:rPr>
        <w:t xml:space="preserve">. </w:t>
      </w:r>
      <w:r w:rsidR="009851D8" w:rsidRPr="009851D8">
        <w:rPr>
          <w:rFonts w:cs="Arial"/>
          <w:szCs w:val="18"/>
        </w:rPr>
        <w:t>The integration of intelligent systems, including machine learning and edge computing, further demonstrates the transition toward data-driven and predictive aquaculture systems capable of supporting adaptive decision-making (</w:t>
      </w:r>
      <w:proofErr w:type="spellStart"/>
      <w:r w:rsidR="009851D8" w:rsidRPr="009851D8">
        <w:rPr>
          <w:rFonts w:cs="Arial"/>
          <w:szCs w:val="18"/>
        </w:rPr>
        <w:t>Føre</w:t>
      </w:r>
      <w:proofErr w:type="spellEnd"/>
      <w:r w:rsidR="009851D8" w:rsidRPr="009851D8">
        <w:rPr>
          <w:rFonts w:cs="Arial"/>
          <w:szCs w:val="18"/>
        </w:rPr>
        <w:t xml:space="preserve"> et al., 2018; </w:t>
      </w:r>
      <w:proofErr w:type="spellStart"/>
      <w:r w:rsidR="009851D8" w:rsidRPr="009851D8">
        <w:rPr>
          <w:rFonts w:cs="Arial"/>
          <w:szCs w:val="18"/>
        </w:rPr>
        <w:t>Dharmarathne</w:t>
      </w:r>
      <w:proofErr w:type="spellEnd"/>
      <w:r w:rsidR="009851D8" w:rsidRPr="009851D8">
        <w:rPr>
          <w:rFonts w:cs="Arial"/>
          <w:szCs w:val="18"/>
        </w:rPr>
        <w:t xml:space="preserve"> et al., 2025).</w:t>
      </w:r>
    </w:p>
    <w:p w14:paraId="65D0E38F" w14:textId="065423B2" w:rsidR="00C249A0" w:rsidRPr="008A29DE" w:rsidRDefault="009851D8" w:rsidP="008A29DE">
      <w:pPr>
        <w:rPr>
          <w:rFonts w:cs="Arial"/>
          <w:szCs w:val="18"/>
        </w:rPr>
      </w:pPr>
      <w:r w:rsidRPr="009851D8">
        <w:rPr>
          <w:rFonts w:cs="Arial"/>
          <w:szCs w:val="18"/>
        </w:rPr>
        <w:t xml:space="preserve">However, several studies also emphasize the challenges associated with implementing smart monitoring technologies in aquaculture systems, particularly related to network stability, sensor reliability, system integration, and user adoption (Shete et al., 2024; </w:t>
      </w:r>
      <w:proofErr w:type="spellStart"/>
      <w:r w:rsidRPr="009851D8">
        <w:rPr>
          <w:rFonts w:cs="Arial"/>
          <w:szCs w:val="18"/>
        </w:rPr>
        <w:t>Dharmarathne</w:t>
      </w:r>
      <w:proofErr w:type="spellEnd"/>
      <w:r w:rsidRPr="009851D8">
        <w:rPr>
          <w:rFonts w:cs="Arial"/>
          <w:szCs w:val="18"/>
        </w:rPr>
        <w:t xml:space="preserve"> et al., 2025; Setiawan and </w:t>
      </w:r>
      <w:proofErr w:type="spellStart"/>
      <w:r w:rsidRPr="009851D8">
        <w:rPr>
          <w:rFonts w:cs="Arial"/>
          <w:szCs w:val="18"/>
        </w:rPr>
        <w:t>Surantha</w:t>
      </w:r>
      <w:proofErr w:type="spellEnd"/>
      <w:r w:rsidRPr="009851D8">
        <w:rPr>
          <w:rFonts w:cs="Arial"/>
          <w:szCs w:val="18"/>
        </w:rPr>
        <w:t>, 2024).</w:t>
      </w:r>
      <w:r>
        <w:rPr>
          <w:rFonts w:cs="Arial"/>
          <w:szCs w:val="18"/>
        </w:rPr>
        <w:t xml:space="preserve"> </w:t>
      </w:r>
      <w:r w:rsidR="008A29DE" w:rsidRPr="008A29DE">
        <w:rPr>
          <w:rFonts w:cs="Arial"/>
          <w:szCs w:val="18"/>
        </w:rPr>
        <w:t>These constraints indicate that although smart monitoring technologies have considerable potential to support sustainable aquaculture, further improvements in system integration, infrastructure, and user capacity are still required for broader implementation.</w:t>
      </w:r>
    </w:p>
    <w:p w14:paraId="38C94257" w14:textId="39D7F8DB" w:rsidR="00966640" w:rsidRDefault="00966640" w:rsidP="00A23B19">
      <w:pPr>
        <w:pStyle w:val="Heading2"/>
        <w:numPr>
          <w:ilvl w:val="0"/>
          <w:numId w:val="4"/>
        </w:numPr>
        <w:tabs>
          <w:tab w:val="left" w:pos="284"/>
        </w:tabs>
        <w:ind w:left="0" w:firstLine="0"/>
        <w:jc w:val="left"/>
        <w:rPr>
          <w:rFonts w:cs="Arial"/>
          <w:sz w:val="22"/>
          <w:szCs w:val="28"/>
        </w:rPr>
      </w:pPr>
      <w:r>
        <w:rPr>
          <w:rFonts w:cs="Arial"/>
          <w:sz w:val="22"/>
          <w:szCs w:val="28"/>
        </w:rPr>
        <w:t>IoT System Framework in Floating Net Cages (FNC) Aquaculture</w:t>
      </w:r>
    </w:p>
    <w:p w14:paraId="0B08194E" w14:textId="1D4B166B" w:rsidR="000B611B" w:rsidRDefault="00966640" w:rsidP="000B611B">
      <w:r>
        <w:t xml:space="preserve">The </w:t>
      </w:r>
      <w:r w:rsidR="000B611B">
        <w:t>application</w:t>
      </w:r>
      <w:r>
        <w:t xml:space="preserve"> of Internet of Things (IoT) technology in floating net cage (FNC) aquaculture </w:t>
      </w:r>
      <w:r w:rsidR="000B611B">
        <w:t xml:space="preserve">has become an essential approach to improving production efficiency and environmental sustainability in open-water systems. Unlike </w:t>
      </w:r>
      <w:r w:rsidR="001B571B">
        <w:t>conventional</w:t>
      </w:r>
      <w:r w:rsidR="000B611B">
        <w:t xml:space="preserve"> monitoring methods, IoT-based systems enable continuous, real-time observation of aquaculture conditions, allowing farmers to respond more quickly and accurately to environmental changes. This is particularly important in FNC systems, where environmental conditions are highly dynamic and directly influence fish health and productivity (</w:t>
      </w:r>
      <w:proofErr w:type="spellStart"/>
      <w:r w:rsidR="000B611B">
        <w:t>Føre</w:t>
      </w:r>
      <w:proofErr w:type="spellEnd"/>
      <w:r w:rsidR="000B611B">
        <w:t xml:space="preserve"> et al., 2018</w:t>
      </w:r>
      <w:r w:rsidR="00261A9D">
        <w:t>).</w:t>
      </w:r>
    </w:p>
    <w:p w14:paraId="2471AC3E" w14:textId="7FBBA725" w:rsidR="00966640" w:rsidRDefault="000B611B" w:rsidP="000B611B">
      <w:r>
        <w:t xml:space="preserve">The workflow of IoT-based smart monitoring begins with data acquisition through sensors that continuously measure key water quality parameters such as temperature, pH, dissolved oxygen (DO), and ammonia concentration. These data are transmitted through communication networks, including Wi-Fi, GSM, or LoRa, to cloud-based platforms or local servers. The collected data are then processed and analyzed using </w:t>
      </w:r>
      <w:r w:rsidR="008E61E2">
        <w:t>IoT platforms</w:t>
      </w:r>
      <w:r>
        <w:t xml:space="preserve">, and in more advanced systems, integrated with machine learning algorithms to support predictive analysis and anomaly detection. The results are visualized through dashboards or mobile applications, enabling remote monitoring and data-driven decision-making. Finally, automated responses can be executed through actuators such as auto feeders and aerators, forming a closed-loop system that enhances operational efficiency and reduces manual intervention </w:t>
      </w:r>
      <w:r w:rsidR="00307D19">
        <w:lastRenderedPageBreak/>
        <w:t xml:space="preserve">(Shete et al., 2024; </w:t>
      </w:r>
      <w:proofErr w:type="spellStart"/>
      <w:r w:rsidR="00307D19">
        <w:t>Dharmarathne</w:t>
      </w:r>
      <w:proofErr w:type="spellEnd"/>
      <w:r w:rsidR="00307D19">
        <w:t xml:space="preserve"> et al., 2025)</w:t>
      </w:r>
      <w:r>
        <w:t>. The overall workflow of IoT-based smart monitoring in FNC aquaculture is illustrated in Figure 1</w:t>
      </w:r>
    </w:p>
    <w:p w14:paraId="30FFFB04" w14:textId="77777777" w:rsidR="000B611B" w:rsidRDefault="000B611B" w:rsidP="000B611B">
      <w:pPr>
        <w:keepNext/>
      </w:pPr>
      <w:r>
        <w:rPr>
          <w:noProof/>
          <w14:ligatures w14:val="standardContextual"/>
        </w:rPr>
        <w:drawing>
          <wp:inline distT="0" distB="0" distL="0" distR="0" wp14:anchorId="3E623C64" wp14:editId="75068BC4">
            <wp:extent cx="5731510" cy="3820795"/>
            <wp:effectExtent l="0" t="0" r="2540" b="8255"/>
            <wp:docPr id="205108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8852" name="Picture 2051088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359E29E" w14:textId="38938F8C" w:rsidR="000B611B" w:rsidRDefault="000B611B" w:rsidP="000B611B">
      <w:pPr>
        <w:pStyle w:val="Caption"/>
        <w:rPr>
          <w:b/>
          <w:bCs/>
          <w:i w:val="0"/>
          <w:iCs w:val="0"/>
          <w:color w:val="auto"/>
          <w:sz w:val="20"/>
          <w:szCs w:val="20"/>
        </w:rPr>
      </w:pPr>
      <w:r w:rsidRPr="001B571B">
        <w:rPr>
          <w:b/>
          <w:bCs/>
          <w:i w:val="0"/>
          <w:iCs w:val="0"/>
          <w:color w:val="auto"/>
          <w:sz w:val="20"/>
          <w:szCs w:val="20"/>
        </w:rPr>
        <w:t xml:space="preserve">Figure </w:t>
      </w:r>
      <w:r w:rsidRPr="001B571B">
        <w:rPr>
          <w:b/>
          <w:bCs/>
          <w:i w:val="0"/>
          <w:iCs w:val="0"/>
          <w:color w:val="auto"/>
          <w:sz w:val="20"/>
          <w:szCs w:val="20"/>
        </w:rPr>
        <w:fldChar w:fldCharType="begin"/>
      </w:r>
      <w:r w:rsidRPr="001B571B">
        <w:rPr>
          <w:b/>
          <w:bCs/>
          <w:i w:val="0"/>
          <w:iCs w:val="0"/>
          <w:color w:val="auto"/>
          <w:sz w:val="20"/>
          <w:szCs w:val="20"/>
        </w:rPr>
        <w:instrText xml:space="preserve"> SEQ Figure \* ARABIC </w:instrText>
      </w:r>
      <w:r w:rsidRPr="001B571B">
        <w:rPr>
          <w:b/>
          <w:bCs/>
          <w:i w:val="0"/>
          <w:iCs w:val="0"/>
          <w:color w:val="auto"/>
          <w:sz w:val="20"/>
          <w:szCs w:val="20"/>
        </w:rPr>
        <w:fldChar w:fldCharType="separate"/>
      </w:r>
      <w:r w:rsidRPr="001B571B">
        <w:rPr>
          <w:b/>
          <w:bCs/>
          <w:i w:val="0"/>
          <w:iCs w:val="0"/>
          <w:noProof/>
          <w:color w:val="auto"/>
          <w:sz w:val="20"/>
          <w:szCs w:val="20"/>
        </w:rPr>
        <w:t>1</w:t>
      </w:r>
      <w:r w:rsidRPr="001B571B">
        <w:rPr>
          <w:b/>
          <w:bCs/>
          <w:i w:val="0"/>
          <w:iCs w:val="0"/>
          <w:color w:val="auto"/>
          <w:sz w:val="20"/>
          <w:szCs w:val="20"/>
        </w:rPr>
        <w:fldChar w:fldCharType="end"/>
      </w:r>
      <w:r w:rsidRPr="001B571B">
        <w:rPr>
          <w:b/>
          <w:bCs/>
          <w:i w:val="0"/>
          <w:iCs w:val="0"/>
          <w:color w:val="auto"/>
          <w:sz w:val="20"/>
          <w:szCs w:val="20"/>
        </w:rPr>
        <w:t xml:space="preserve"> Workflow of IoT-based smart monitoring system in floating net cage (FNC)</w:t>
      </w:r>
    </w:p>
    <w:p w14:paraId="3D3015F9" w14:textId="05D517AE" w:rsidR="001B571B" w:rsidRPr="008A29DE" w:rsidRDefault="008A29DE" w:rsidP="001B571B">
      <w:pPr>
        <w:rPr>
          <w:i/>
          <w:iCs/>
        </w:rPr>
      </w:pPr>
      <w:r w:rsidRPr="008A29DE">
        <w:rPr>
          <w:i/>
          <w:iCs/>
        </w:rPr>
        <w:t>Source:</w:t>
      </w:r>
      <w:r w:rsidR="001B571B" w:rsidRPr="008A29DE">
        <w:rPr>
          <w:i/>
          <w:iCs/>
        </w:rPr>
        <w:t xml:space="preserve"> Developed by the authors </w:t>
      </w:r>
      <w:r w:rsidRPr="008A29DE">
        <w:rPr>
          <w:i/>
          <w:iCs/>
        </w:rPr>
        <w:t xml:space="preserve">based on </w:t>
      </w:r>
      <w:proofErr w:type="spellStart"/>
      <w:r w:rsidRPr="008A29DE">
        <w:rPr>
          <w:i/>
          <w:iCs/>
        </w:rPr>
        <w:t>Føre</w:t>
      </w:r>
      <w:proofErr w:type="spellEnd"/>
      <w:r w:rsidRPr="008A29DE">
        <w:rPr>
          <w:i/>
          <w:iCs/>
        </w:rPr>
        <w:t xml:space="preserve"> et al. </w:t>
      </w:r>
      <w:r w:rsidRPr="00BB7C53">
        <w:rPr>
          <w:i/>
          <w:iCs/>
          <w:lang w:val="es-MX"/>
        </w:rPr>
        <w:t xml:space="preserve">(2018), </w:t>
      </w:r>
      <w:r w:rsidR="009851D8" w:rsidRPr="00BB7C53">
        <w:rPr>
          <w:i/>
          <w:iCs/>
          <w:lang w:val="es-MX"/>
        </w:rPr>
        <w:t>Megantoro et al. (2024)</w:t>
      </w:r>
      <w:r w:rsidRPr="00BB7C53">
        <w:rPr>
          <w:i/>
          <w:iCs/>
          <w:lang w:val="es-MX"/>
        </w:rPr>
        <w:t xml:space="preserve">, and </w:t>
      </w:r>
      <w:r w:rsidR="009851D8" w:rsidRPr="00BB7C53">
        <w:rPr>
          <w:i/>
          <w:iCs/>
          <w:lang w:val="es-MX"/>
        </w:rPr>
        <w:t xml:space="preserve">Føre et al. </w:t>
      </w:r>
      <w:r w:rsidR="009851D8">
        <w:rPr>
          <w:i/>
          <w:iCs/>
        </w:rPr>
        <w:t xml:space="preserve">(2018); </w:t>
      </w:r>
      <w:proofErr w:type="spellStart"/>
      <w:r w:rsidR="009851D8">
        <w:rPr>
          <w:i/>
          <w:iCs/>
        </w:rPr>
        <w:t>Dharmarathne</w:t>
      </w:r>
      <w:proofErr w:type="spellEnd"/>
      <w:r w:rsidR="009851D8">
        <w:rPr>
          <w:i/>
          <w:iCs/>
        </w:rPr>
        <w:t xml:space="preserve"> et al. (2025)</w:t>
      </w:r>
      <w:r w:rsidRPr="008A29DE">
        <w:rPr>
          <w:i/>
          <w:iCs/>
        </w:rPr>
        <w:t>.</w:t>
      </w:r>
    </w:p>
    <w:p w14:paraId="62DE07E8" w14:textId="53B6F1D5" w:rsidR="000B611B" w:rsidRDefault="000B611B" w:rsidP="000B611B">
      <w:r>
        <w:t>The workflow presented in Figure 1 illustrates a closed-loop control system in which real-time data collection and analysis enable adaptive management in aquaculture operations. This approach supports precision aquaculture by allowing timely interventions, such as adjusting feeding strategies or improving aeration based on environmental conditions. As a result, IoT-based systems can reduce operational risks and improve productivity while minimizing environmental impacts (</w:t>
      </w:r>
      <w:proofErr w:type="spellStart"/>
      <w:r>
        <w:t>Føre</w:t>
      </w:r>
      <w:proofErr w:type="spellEnd"/>
      <w:r>
        <w:t xml:space="preserve"> et al., 2018).</w:t>
      </w:r>
    </w:p>
    <w:p w14:paraId="523C1154" w14:textId="7BCD02BA" w:rsidR="000B611B" w:rsidRDefault="000B611B" w:rsidP="000B611B">
      <w:r>
        <w:t>In addition to system workflow, smart monitoring technologies in FNC aquaculture can detect a wide range of environmental and biological parameters that are critical for maintaining optimal culture conditions. Water quality parameters, including temperature, dissolved oxygen, pH, salinity, turbidity, and ammonia, are the most important variables influencing fish metabolism, growth, and survival (Boyd, 2020). Environmental parameters such as water currents and weather conditions also play a significant role in open-water aquaculture systems, as they affect nutrient distribution and waste dispersion. Furthermore, recent advancements in smart aquaculture have enabled the monitoring of biological indicators, such as fish behavior and feeding response, through imaging technologies and artificial intelligence, which further enhance decision-making accuracy</w:t>
      </w:r>
      <w:r w:rsidR="000D48A0">
        <w:t xml:space="preserve"> Wang et al (2021).</w:t>
      </w:r>
    </w:p>
    <w:p w14:paraId="7BFED39E" w14:textId="6381647E" w:rsidR="000B611B" w:rsidRDefault="000B611B" w:rsidP="000B611B">
      <w:r>
        <w:t>The key parameters monitored in smart aquaculture systems are presented in Table 2.</w:t>
      </w:r>
    </w:p>
    <w:p w14:paraId="48D57EE3" w14:textId="254C1BBE" w:rsidR="00D31450" w:rsidRPr="00D31450" w:rsidRDefault="00D31450" w:rsidP="00D31450">
      <w:pPr>
        <w:pStyle w:val="Caption"/>
        <w:keepNext/>
        <w:rPr>
          <w:b/>
          <w:bCs/>
          <w:i w:val="0"/>
          <w:iCs w:val="0"/>
          <w:sz w:val="20"/>
          <w:szCs w:val="20"/>
        </w:rPr>
      </w:pPr>
      <w:r w:rsidRPr="00D31450">
        <w:rPr>
          <w:b/>
          <w:bCs/>
          <w:i w:val="0"/>
          <w:iCs w:val="0"/>
          <w:sz w:val="20"/>
          <w:szCs w:val="20"/>
        </w:rPr>
        <w:t xml:space="preserve">Table </w:t>
      </w:r>
      <w:r w:rsidRPr="00D31450">
        <w:rPr>
          <w:b/>
          <w:bCs/>
          <w:i w:val="0"/>
          <w:iCs w:val="0"/>
          <w:sz w:val="20"/>
          <w:szCs w:val="20"/>
        </w:rPr>
        <w:fldChar w:fldCharType="begin"/>
      </w:r>
      <w:r w:rsidRPr="00D31450">
        <w:rPr>
          <w:b/>
          <w:bCs/>
          <w:i w:val="0"/>
          <w:iCs w:val="0"/>
          <w:sz w:val="20"/>
          <w:szCs w:val="20"/>
        </w:rPr>
        <w:instrText xml:space="preserve"> SEQ Table \* ARABIC </w:instrText>
      </w:r>
      <w:r w:rsidRPr="00D31450">
        <w:rPr>
          <w:b/>
          <w:bCs/>
          <w:i w:val="0"/>
          <w:iCs w:val="0"/>
          <w:sz w:val="20"/>
          <w:szCs w:val="20"/>
        </w:rPr>
        <w:fldChar w:fldCharType="separate"/>
      </w:r>
      <w:r>
        <w:rPr>
          <w:b/>
          <w:bCs/>
          <w:i w:val="0"/>
          <w:iCs w:val="0"/>
          <w:noProof/>
          <w:sz w:val="20"/>
          <w:szCs w:val="20"/>
        </w:rPr>
        <w:t>2</w:t>
      </w:r>
      <w:r w:rsidRPr="00D31450">
        <w:rPr>
          <w:b/>
          <w:bCs/>
          <w:i w:val="0"/>
          <w:iCs w:val="0"/>
          <w:sz w:val="20"/>
          <w:szCs w:val="20"/>
        </w:rPr>
        <w:fldChar w:fldCharType="end"/>
      </w:r>
      <w:r>
        <w:rPr>
          <w:b/>
          <w:bCs/>
          <w:i w:val="0"/>
          <w:iCs w:val="0"/>
          <w:sz w:val="20"/>
          <w:szCs w:val="20"/>
        </w:rPr>
        <w:t xml:space="preserve"> Key parameters monitored in smart aquaculture systems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B611B" w:rsidRPr="00D31450" w14:paraId="0B22E389" w14:textId="77777777" w:rsidTr="00D31450">
        <w:tc>
          <w:tcPr>
            <w:tcW w:w="3005" w:type="dxa"/>
            <w:tcBorders>
              <w:top w:val="single" w:sz="4" w:space="0" w:color="auto"/>
              <w:bottom w:val="single" w:sz="4" w:space="0" w:color="auto"/>
            </w:tcBorders>
            <w:vAlign w:val="center"/>
          </w:tcPr>
          <w:p w14:paraId="4335B144" w14:textId="0FDEBF0C" w:rsidR="000B611B" w:rsidRPr="00D31450" w:rsidRDefault="000B611B" w:rsidP="00D31450">
            <w:pPr>
              <w:jc w:val="center"/>
              <w:rPr>
                <w:b/>
                <w:bCs/>
              </w:rPr>
            </w:pPr>
            <w:r w:rsidRPr="00D31450">
              <w:rPr>
                <w:b/>
                <w:bCs/>
              </w:rPr>
              <w:t>Category</w:t>
            </w:r>
          </w:p>
        </w:tc>
        <w:tc>
          <w:tcPr>
            <w:tcW w:w="3005" w:type="dxa"/>
            <w:tcBorders>
              <w:top w:val="single" w:sz="4" w:space="0" w:color="auto"/>
              <w:bottom w:val="single" w:sz="4" w:space="0" w:color="auto"/>
            </w:tcBorders>
            <w:vAlign w:val="center"/>
          </w:tcPr>
          <w:p w14:paraId="7DDE4FBF" w14:textId="53EC0A1C" w:rsidR="000B611B" w:rsidRPr="00D31450" w:rsidRDefault="000B611B" w:rsidP="00D31450">
            <w:pPr>
              <w:jc w:val="center"/>
              <w:rPr>
                <w:b/>
                <w:bCs/>
              </w:rPr>
            </w:pPr>
            <w:r w:rsidRPr="00D31450">
              <w:rPr>
                <w:b/>
                <w:bCs/>
              </w:rPr>
              <w:t>Parameter</w:t>
            </w:r>
          </w:p>
        </w:tc>
        <w:tc>
          <w:tcPr>
            <w:tcW w:w="3006" w:type="dxa"/>
            <w:tcBorders>
              <w:top w:val="single" w:sz="4" w:space="0" w:color="auto"/>
              <w:bottom w:val="single" w:sz="4" w:space="0" w:color="auto"/>
            </w:tcBorders>
            <w:vAlign w:val="center"/>
          </w:tcPr>
          <w:p w14:paraId="54A64E9E" w14:textId="18A6E31E" w:rsidR="000B611B" w:rsidRPr="00D31450" w:rsidRDefault="000B611B" w:rsidP="00D31450">
            <w:pPr>
              <w:jc w:val="center"/>
              <w:rPr>
                <w:b/>
                <w:bCs/>
              </w:rPr>
            </w:pPr>
            <w:r w:rsidRPr="00D31450">
              <w:rPr>
                <w:b/>
                <w:bCs/>
              </w:rPr>
              <w:t>Function</w:t>
            </w:r>
          </w:p>
        </w:tc>
      </w:tr>
      <w:tr w:rsidR="000B611B" w14:paraId="69B5237E" w14:textId="77777777" w:rsidTr="00D31450">
        <w:tc>
          <w:tcPr>
            <w:tcW w:w="3005" w:type="dxa"/>
            <w:tcBorders>
              <w:top w:val="single" w:sz="4" w:space="0" w:color="auto"/>
            </w:tcBorders>
            <w:vAlign w:val="center"/>
          </w:tcPr>
          <w:p w14:paraId="547FB3F8" w14:textId="308536D2" w:rsidR="000B611B" w:rsidRDefault="000B611B" w:rsidP="00D31450">
            <w:pPr>
              <w:jc w:val="center"/>
            </w:pPr>
            <w:r>
              <w:lastRenderedPageBreak/>
              <w:t>Water Quality</w:t>
            </w:r>
          </w:p>
        </w:tc>
        <w:tc>
          <w:tcPr>
            <w:tcW w:w="3005" w:type="dxa"/>
            <w:tcBorders>
              <w:top w:val="single" w:sz="4" w:space="0" w:color="auto"/>
            </w:tcBorders>
            <w:vAlign w:val="center"/>
          </w:tcPr>
          <w:p w14:paraId="42280996" w14:textId="7175CEEB" w:rsidR="000B611B" w:rsidRDefault="001B571B" w:rsidP="00D31450">
            <w:pPr>
              <w:jc w:val="center"/>
            </w:pPr>
            <w:r>
              <w:t>Temperature</w:t>
            </w:r>
          </w:p>
        </w:tc>
        <w:tc>
          <w:tcPr>
            <w:tcW w:w="3006" w:type="dxa"/>
            <w:tcBorders>
              <w:top w:val="single" w:sz="4" w:space="0" w:color="auto"/>
            </w:tcBorders>
            <w:vAlign w:val="center"/>
          </w:tcPr>
          <w:p w14:paraId="150486D4" w14:textId="3F0A8110" w:rsidR="000B611B" w:rsidRDefault="00D31450" w:rsidP="00D31450">
            <w:pPr>
              <w:jc w:val="center"/>
            </w:pPr>
            <w:r>
              <w:t>Affects fish metabolism and growth</w:t>
            </w:r>
          </w:p>
        </w:tc>
      </w:tr>
      <w:tr w:rsidR="000B611B" w14:paraId="2553C6CF" w14:textId="77777777" w:rsidTr="00D31450">
        <w:tc>
          <w:tcPr>
            <w:tcW w:w="3005" w:type="dxa"/>
            <w:vAlign w:val="center"/>
          </w:tcPr>
          <w:p w14:paraId="651F869E" w14:textId="486883B2" w:rsidR="000B611B" w:rsidRDefault="000B611B" w:rsidP="00D31450">
            <w:pPr>
              <w:jc w:val="center"/>
            </w:pPr>
            <w:r>
              <w:t>Water Quality</w:t>
            </w:r>
          </w:p>
        </w:tc>
        <w:tc>
          <w:tcPr>
            <w:tcW w:w="3005" w:type="dxa"/>
            <w:vAlign w:val="center"/>
          </w:tcPr>
          <w:p w14:paraId="057C402E" w14:textId="3F2DBD34" w:rsidR="000B611B" w:rsidRDefault="00D31450" w:rsidP="00D31450">
            <w:pPr>
              <w:jc w:val="center"/>
            </w:pPr>
            <w:r>
              <w:t>Dissolved Oxygen (DO)</w:t>
            </w:r>
          </w:p>
        </w:tc>
        <w:tc>
          <w:tcPr>
            <w:tcW w:w="3006" w:type="dxa"/>
            <w:vAlign w:val="center"/>
          </w:tcPr>
          <w:p w14:paraId="0AB6E3F4" w14:textId="1DEAAF36" w:rsidR="000B611B" w:rsidRDefault="00D31450" w:rsidP="00D31450">
            <w:pPr>
              <w:jc w:val="center"/>
            </w:pPr>
            <w:r>
              <w:t>Essential for respiration</w:t>
            </w:r>
          </w:p>
        </w:tc>
      </w:tr>
      <w:tr w:rsidR="000B611B" w14:paraId="16BC61C2" w14:textId="77777777" w:rsidTr="00D31450">
        <w:tc>
          <w:tcPr>
            <w:tcW w:w="3005" w:type="dxa"/>
            <w:vAlign w:val="center"/>
          </w:tcPr>
          <w:p w14:paraId="19FEAB66" w14:textId="6C912957" w:rsidR="000B611B" w:rsidRDefault="000B611B" w:rsidP="00D31450">
            <w:pPr>
              <w:jc w:val="center"/>
            </w:pPr>
            <w:r>
              <w:t>Water Quality</w:t>
            </w:r>
          </w:p>
        </w:tc>
        <w:tc>
          <w:tcPr>
            <w:tcW w:w="3005" w:type="dxa"/>
            <w:vAlign w:val="center"/>
          </w:tcPr>
          <w:p w14:paraId="5A02245F" w14:textId="615F340A" w:rsidR="000B611B" w:rsidRDefault="00D31450" w:rsidP="00D31450">
            <w:pPr>
              <w:jc w:val="center"/>
            </w:pPr>
            <w:r>
              <w:t>pH</w:t>
            </w:r>
          </w:p>
        </w:tc>
        <w:tc>
          <w:tcPr>
            <w:tcW w:w="3006" w:type="dxa"/>
            <w:vAlign w:val="center"/>
          </w:tcPr>
          <w:p w14:paraId="1F3A32D2" w14:textId="44463C11" w:rsidR="000B611B" w:rsidRDefault="00D31450" w:rsidP="00D31450">
            <w:pPr>
              <w:jc w:val="center"/>
            </w:pPr>
            <w:r>
              <w:t>Indicates water condition</w:t>
            </w:r>
          </w:p>
        </w:tc>
      </w:tr>
      <w:tr w:rsidR="000B611B" w14:paraId="159ECAC1" w14:textId="77777777" w:rsidTr="00D31450">
        <w:tc>
          <w:tcPr>
            <w:tcW w:w="3005" w:type="dxa"/>
            <w:vAlign w:val="center"/>
          </w:tcPr>
          <w:p w14:paraId="53FEFD2F" w14:textId="17EBE692" w:rsidR="000B611B" w:rsidRDefault="000B611B" w:rsidP="00D31450">
            <w:pPr>
              <w:jc w:val="center"/>
            </w:pPr>
            <w:r>
              <w:t>Water Quality</w:t>
            </w:r>
          </w:p>
        </w:tc>
        <w:tc>
          <w:tcPr>
            <w:tcW w:w="3005" w:type="dxa"/>
            <w:vAlign w:val="center"/>
          </w:tcPr>
          <w:p w14:paraId="7843C644" w14:textId="18267A6D" w:rsidR="000B611B" w:rsidRDefault="00D31450" w:rsidP="00D31450">
            <w:pPr>
              <w:jc w:val="center"/>
            </w:pPr>
            <w:r>
              <w:t>Ammonia</w:t>
            </w:r>
          </w:p>
        </w:tc>
        <w:tc>
          <w:tcPr>
            <w:tcW w:w="3006" w:type="dxa"/>
            <w:vAlign w:val="center"/>
          </w:tcPr>
          <w:p w14:paraId="5B1A28DF" w14:textId="15B86A4B" w:rsidR="000B611B" w:rsidRDefault="00D31450" w:rsidP="00D31450">
            <w:pPr>
              <w:jc w:val="center"/>
            </w:pPr>
            <w:r>
              <w:t>Toxicity indicator</w:t>
            </w:r>
          </w:p>
        </w:tc>
      </w:tr>
      <w:tr w:rsidR="000B611B" w14:paraId="6A0DB457" w14:textId="77777777" w:rsidTr="00D31450">
        <w:tc>
          <w:tcPr>
            <w:tcW w:w="3005" w:type="dxa"/>
            <w:vAlign w:val="center"/>
          </w:tcPr>
          <w:p w14:paraId="07D51C7E" w14:textId="5916BA86" w:rsidR="000B611B" w:rsidRDefault="00D31450" w:rsidP="00D31450">
            <w:pPr>
              <w:jc w:val="center"/>
            </w:pPr>
            <w:r>
              <w:t>Environment</w:t>
            </w:r>
          </w:p>
        </w:tc>
        <w:tc>
          <w:tcPr>
            <w:tcW w:w="3005" w:type="dxa"/>
            <w:vAlign w:val="center"/>
          </w:tcPr>
          <w:p w14:paraId="15B2C11A" w14:textId="7AEC130B" w:rsidR="000B611B" w:rsidRDefault="00D31450" w:rsidP="00D31450">
            <w:pPr>
              <w:jc w:val="center"/>
            </w:pPr>
            <w:r>
              <w:t>Water Current</w:t>
            </w:r>
          </w:p>
        </w:tc>
        <w:tc>
          <w:tcPr>
            <w:tcW w:w="3006" w:type="dxa"/>
            <w:vAlign w:val="center"/>
          </w:tcPr>
          <w:p w14:paraId="05A6C62F" w14:textId="5C0B0024" w:rsidR="000B611B" w:rsidRDefault="00D31450" w:rsidP="00D31450">
            <w:pPr>
              <w:jc w:val="center"/>
            </w:pPr>
            <w:r>
              <w:t>Influences waste dispersion</w:t>
            </w:r>
          </w:p>
        </w:tc>
      </w:tr>
      <w:tr w:rsidR="000B611B" w14:paraId="67D517FF" w14:textId="77777777" w:rsidTr="00D31450">
        <w:tc>
          <w:tcPr>
            <w:tcW w:w="3005" w:type="dxa"/>
            <w:vAlign w:val="center"/>
          </w:tcPr>
          <w:p w14:paraId="6897544E" w14:textId="19A4BD20" w:rsidR="000B611B" w:rsidRDefault="00D31450" w:rsidP="00D31450">
            <w:pPr>
              <w:jc w:val="center"/>
            </w:pPr>
            <w:r>
              <w:t>Biological</w:t>
            </w:r>
          </w:p>
        </w:tc>
        <w:tc>
          <w:tcPr>
            <w:tcW w:w="3005" w:type="dxa"/>
            <w:vAlign w:val="center"/>
          </w:tcPr>
          <w:p w14:paraId="108A264E" w14:textId="1062B874" w:rsidR="000B611B" w:rsidRDefault="00D31450" w:rsidP="00D31450">
            <w:pPr>
              <w:jc w:val="center"/>
            </w:pPr>
            <w:r>
              <w:t>Fish Behavior</w:t>
            </w:r>
          </w:p>
        </w:tc>
        <w:tc>
          <w:tcPr>
            <w:tcW w:w="3006" w:type="dxa"/>
            <w:vAlign w:val="center"/>
          </w:tcPr>
          <w:p w14:paraId="1EEC3C61" w14:textId="7988E008" w:rsidR="000B611B" w:rsidRDefault="00D31450" w:rsidP="00D31450">
            <w:pPr>
              <w:jc w:val="center"/>
            </w:pPr>
            <w:r>
              <w:t>Indicates fish health condition</w:t>
            </w:r>
          </w:p>
        </w:tc>
      </w:tr>
    </w:tbl>
    <w:p w14:paraId="14A8E5F6" w14:textId="5E2E5D46" w:rsidR="008A29DE" w:rsidRPr="008A29DE" w:rsidRDefault="008A29DE" w:rsidP="00D31450">
      <w:pPr>
        <w:rPr>
          <w:i/>
          <w:iCs/>
        </w:rPr>
      </w:pPr>
      <w:r w:rsidRPr="008A29DE">
        <w:rPr>
          <w:i/>
          <w:iCs/>
        </w:rPr>
        <w:t xml:space="preserve">Source: Compiled by the authors from Boyd (2020), </w:t>
      </w:r>
      <w:proofErr w:type="spellStart"/>
      <w:r w:rsidRPr="008A29DE">
        <w:rPr>
          <w:i/>
          <w:iCs/>
        </w:rPr>
        <w:t>Føre</w:t>
      </w:r>
      <w:proofErr w:type="spellEnd"/>
      <w:r w:rsidRPr="008A29DE">
        <w:rPr>
          <w:i/>
          <w:iCs/>
        </w:rPr>
        <w:t xml:space="preserve"> et al. (2018), and </w:t>
      </w:r>
      <w:r w:rsidR="007E5B6B">
        <w:rPr>
          <w:i/>
          <w:iCs/>
        </w:rPr>
        <w:t>Wang et al (2021)</w:t>
      </w:r>
      <w:r w:rsidRPr="008A29DE">
        <w:rPr>
          <w:i/>
          <w:iCs/>
        </w:rPr>
        <w:t>.</w:t>
      </w:r>
    </w:p>
    <w:p w14:paraId="5A8A8998" w14:textId="707E2686" w:rsidR="00D31450" w:rsidRDefault="00D31450" w:rsidP="00D31450">
      <w:r>
        <w:t>As shown in Table 2, water quality parameters remain the primary focus of IoT-based monitoring systems, as they directly determine aquaculture performance. Among these parameters, dissolved oxygen and temperature are particularly critical in high-density FNC systems, where rapid environmental fluctuations can occur. The inclusion of environmental and biological parameters reflects the advancement of aquaculture toward a more integrated and data-driven management system, commonly referred to as precision aquaculture (</w:t>
      </w:r>
      <w:proofErr w:type="spellStart"/>
      <w:r>
        <w:t>Føre</w:t>
      </w:r>
      <w:proofErr w:type="spellEnd"/>
      <w:r>
        <w:t xml:space="preserve"> et al., 2018; </w:t>
      </w:r>
      <w:r w:rsidR="000D48A0">
        <w:t>Wang</w:t>
      </w:r>
      <w:r>
        <w:t xml:space="preserve"> et al., 202</w:t>
      </w:r>
      <w:r w:rsidR="00307D19">
        <w:t>3</w:t>
      </w:r>
      <w:r>
        <w:t>).</w:t>
      </w:r>
    </w:p>
    <w:p w14:paraId="59073A22" w14:textId="2E72C7C8" w:rsidR="00D31450" w:rsidRDefault="00D31450" w:rsidP="00D31450">
      <w:r>
        <w:t xml:space="preserve">The effectiveness of IoT-based monitoring systems is influenced by multiple interacting factors, including technical, environmental, and human-related aspects. Technical factors such as sensor accuracy, calibration, biofouling, and network stability are major challenges, especially in open-water environments where conditions are difficult to control. Biofouling, in particular, can significantly reduce sensor performance over time, leading to inaccurate data </w:t>
      </w:r>
      <w:r w:rsidR="00307D19">
        <w:t xml:space="preserve">(Shete et al., 2024; </w:t>
      </w:r>
      <w:proofErr w:type="spellStart"/>
      <w:r w:rsidR="00307D19">
        <w:t>Dharmarathne</w:t>
      </w:r>
      <w:proofErr w:type="spellEnd"/>
      <w:r w:rsidR="00307D19">
        <w:t xml:space="preserve"> et al., 2025)</w:t>
      </w:r>
      <w:r>
        <w:t>. Environmental factors such as water currents, waves, and temperature fluctuations further affect system reliability and data consistency.</w:t>
      </w:r>
    </w:p>
    <w:p w14:paraId="1E8A8BE3" w14:textId="34E602A1" w:rsidR="00D31450" w:rsidRDefault="00D31450" w:rsidP="00D31450">
      <w:r>
        <w:t>In addition, human factors including technological literacy, operational skills, and financial capacity play a critical role in determining the success of IoT adoption in aquaculture systems</w:t>
      </w:r>
      <w:r w:rsidR="005F5EEA">
        <w:t xml:space="preserve">. </w:t>
      </w:r>
      <w:r>
        <w:t>Without adequate knowledge and resources, the implementation of smart monitoring systems may not be fully optimized. Therefore, successful implementation requires not only technological advancement but also improved system integration and capacity building among aquaculture practitioners.</w:t>
      </w:r>
    </w:p>
    <w:p w14:paraId="6ED5EBD5" w14:textId="668C63D3" w:rsidR="000B611B" w:rsidRDefault="00D31450" w:rsidP="00D31450">
      <w:r>
        <w:t>These influencing factors are summarized in Table 3.</w:t>
      </w:r>
    </w:p>
    <w:p w14:paraId="132408F8" w14:textId="52B6979C" w:rsidR="00D31450" w:rsidRPr="00D31450" w:rsidRDefault="00D31450" w:rsidP="00D31450">
      <w:pPr>
        <w:pStyle w:val="Caption"/>
        <w:keepNext/>
        <w:rPr>
          <w:b/>
          <w:bCs/>
          <w:i w:val="0"/>
          <w:iCs w:val="0"/>
          <w:sz w:val="20"/>
          <w:szCs w:val="20"/>
        </w:rPr>
      </w:pPr>
      <w:r w:rsidRPr="00D31450">
        <w:rPr>
          <w:b/>
          <w:bCs/>
          <w:i w:val="0"/>
          <w:iCs w:val="0"/>
          <w:sz w:val="20"/>
          <w:szCs w:val="20"/>
        </w:rPr>
        <w:t xml:space="preserve">Table </w:t>
      </w:r>
      <w:r w:rsidRPr="00D31450">
        <w:rPr>
          <w:b/>
          <w:bCs/>
          <w:i w:val="0"/>
          <w:iCs w:val="0"/>
          <w:sz w:val="20"/>
          <w:szCs w:val="20"/>
        </w:rPr>
        <w:fldChar w:fldCharType="begin"/>
      </w:r>
      <w:r w:rsidRPr="00D31450">
        <w:rPr>
          <w:b/>
          <w:bCs/>
          <w:i w:val="0"/>
          <w:iCs w:val="0"/>
          <w:sz w:val="20"/>
          <w:szCs w:val="20"/>
        </w:rPr>
        <w:instrText xml:space="preserve"> SEQ Table \* ARABIC </w:instrText>
      </w:r>
      <w:r w:rsidRPr="00D31450">
        <w:rPr>
          <w:b/>
          <w:bCs/>
          <w:i w:val="0"/>
          <w:iCs w:val="0"/>
          <w:sz w:val="20"/>
          <w:szCs w:val="20"/>
        </w:rPr>
        <w:fldChar w:fldCharType="separate"/>
      </w:r>
      <w:r w:rsidRPr="00D31450">
        <w:rPr>
          <w:b/>
          <w:bCs/>
          <w:i w:val="0"/>
          <w:iCs w:val="0"/>
          <w:noProof/>
          <w:sz w:val="20"/>
          <w:szCs w:val="20"/>
        </w:rPr>
        <w:t>3</w:t>
      </w:r>
      <w:r w:rsidRPr="00D31450">
        <w:rPr>
          <w:b/>
          <w:bCs/>
          <w:i w:val="0"/>
          <w:iCs w:val="0"/>
          <w:sz w:val="20"/>
          <w:szCs w:val="20"/>
        </w:rPr>
        <w:fldChar w:fldCharType="end"/>
      </w:r>
      <w:r>
        <w:rPr>
          <w:b/>
          <w:bCs/>
          <w:i w:val="0"/>
          <w:iCs w:val="0"/>
          <w:sz w:val="20"/>
          <w:szCs w:val="20"/>
        </w:rPr>
        <w:t xml:space="preserve"> Factors affecting the performance of IoT-based monitoring systems in FNC</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31450" w:rsidRPr="00D31450" w14:paraId="62661AFC" w14:textId="77777777" w:rsidTr="00C01055">
        <w:tc>
          <w:tcPr>
            <w:tcW w:w="3005" w:type="dxa"/>
            <w:tcBorders>
              <w:top w:val="single" w:sz="4" w:space="0" w:color="auto"/>
              <w:bottom w:val="single" w:sz="4" w:space="0" w:color="auto"/>
            </w:tcBorders>
            <w:vAlign w:val="center"/>
          </w:tcPr>
          <w:p w14:paraId="50A4C31B" w14:textId="77777777" w:rsidR="00D31450" w:rsidRPr="00D31450" w:rsidRDefault="00D31450" w:rsidP="00C01055">
            <w:pPr>
              <w:jc w:val="center"/>
              <w:rPr>
                <w:b/>
                <w:bCs/>
              </w:rPr>
            </w:pPr>
            <w:r w:rsidRPr="00D31450">
              <w:rPr>
                <w:b/>
                <w:bCs/>
              </w:rPr>
              <w:t>Category</w:t>
            </w:r>
          </w:p>
        </w:tc>
        <w:tc>
          <w:tcPr>
            <w:tcW w:w="3005" w:type="dxa"/>
            <w:tcBorders>
              <w:top w:val="single" w:sz="4" w:space="0" w:color="auto"/>
              <w:bottom w:val="single" w:sz="4" w:space="0" w:color="auto"/>
            </w:tcBorders>
            <w:vAlign w:val="center"/>
          </w:tcPr>
          <w:p w14:paraId="5BDDB335" w14:textId="77777777" w:rsidR="00D31450" w:rsidRPr="00D31450" w:rsidRDefault="00D31450" w:rsidP="00C01055">
            <w:pPr>
              <w:jc w:val="center"/>
              <w:rPr>
                <w:b/>
                <w:bCs/>
              </w:rPr>
            </w:pPr>
            <w:r w:rsidRPr="00D31450">
              <w:rPr>
                <w:b/>
                <w:bCs/>
              </w:rPr>
              <w:t>Parameter</w:t>
            </w:r>
          </w:p>
        </w:tc>
        <w:tc>
          <w:tcPr>
            <w:tcW w:w="3006" w:type="dxa"/>
            <w:tcBorders>
              <w:top w:val="single" w:sz="4" w:space="0" w:color="auto"/>
              <w:bottom w:val="single" w:sz="4" w:space="0" w:color="auto"/>
            </w:tcBorders>
            <w:vAlign w:val="center"/>
          </w:tcPr>
          <w:p w14:paraId="6330CE45" w14:textId="77777777" w:rsidR="00D31450" w:rsidRPr="00D31450" w:rsidRDefault="00D31450" w:rsidP="00C01055">
            <w:pPr>
              <w:jc w:val="center"/>
              <w:rPr>
                <w:b/>
                <w:bCs/>
              </w:rPr>
            </w:pPr>
            <w:r w:rsidRPr="00D31450">
              <w:rPr>
                <w:b/>
                <w:bCs/>
              </w:rPr>
              <w:t>Function</w:t>
            </w:r>
          </w:p>
        </w:tc>
      </w:tr>
      <w:tr w:rsidR="00D31450" w14:paraId="03C8D7FE" w14:textId="77777777" w:rsidTr="00C01055">
        <w:tc>
          <w:tcPr>
            <w:tcW w:w="3005" w:type="dxa"/>
            <w:tcBorders>
              <w:top w:val="single" w:sz="4" w:space="0" w:color="auto"/>
            </w:tcBorders>
            <w:vAlign w:val="center"/>
          </w:tcPr>
          <w:p w14:paraId="0226214C" w14:textId="68E7B3D0" w:rsidR="00D31450" w:rsidRDefault="00D31450" w:rsidP="00C01055">
            <w:pPr>
              <w:jc w:val="center"/>
            </w:pPr>
            <w:r>
              <w:t>Technical</w:t>
            </w:r>
          </w:p>
        </w:tc>
        <w:tc>
          <w:tcPr>
            <w:tcW w:w="3005" w:type="dxa"/>
            <w:tcBorders>
              <w:top w:val="single" w:sz="4" w:space="0" w:color="auto"/>
            </w:tcBorders>
            <w:vAlign w:val="center"/>
          </w:tcPr>
          <w:p w14:paraId="0BD81BBB" w14:textId="349424F9" w:rsidR="00D31450" w:rsidRDefault="00D31450" w:rsidP="00C01055">
            <w:pPr>
              <w:jc w:val="center"/>
            </w:pPr>
            <w:r>
              <w:t>Sensor accuracy</w:t>
            </w:r>
          </w:p>
        </w:tc>
        <w:tc>
          <w:tcPr>
            <w:tcW w:w="3006" w:type="dxa"/>
            <w:tcBorders>
              <w:top w:val="single" w:sz="4" w:space="0" w:color="auto"/>
            </w:tcBorders>
            <w:vAlign w:val="center"/>
          </w:tcPr>
          <w:p w14:paraId="7CAC9479" w14:textId="3305D3AD" w:rsidR="00D31450" w:rsidRDefault="00D31450" w:rsidP="00C01055">
            <w:pPr>
              <w:jc w:val="center"/>
            </w:pPr>
            <w:r>
              <w:t>Affects data reliability</w:t>
            </w:r>
          </w:p>
        </w:tc>
      </w:tr>
      <w:tr w:rsidR="00D31450" w14:paraId="0D5B9BD8" w14:textId="77777777" w:rsidTr="00C01055">
        <w:tc>
          <w:tcPr>
            <w:tcW w:w="3005" w:type="dxa"/>
            <w:vAlign w:val="center"/>
          </w:tcPr>
          <w:p w14:paraId="4B12E126" w14:textId="4356309D" w:rsidR="00D31450" w:rsidRDefault="00D31450" w:rsidP="00C01055">
            <w:pPr>
              <w:jc w:val="center"/>
            </w:pPr>
            <w:r>
              <w:t>Technical</w:t>
            </w:r>
          </w:p>
        </w:tc>
        <w:tc>
          <w:tcPr>
            <w:tcW w:w="3005" w:type="dxa"/>
            <w:vAlign w:val="center"/>
          </w:tcPr>
          <w:p w14:paraId="2E543949" w14:textId="32954897" w:rsidR="00D31450" w:rsidRDefault="00D31450" w:rsidP="00C01055">
            <w:pPr>
              <w:jc w:val="center"/>
            </w:pPr>
            <w:r>
              <w:t xml:space="preserve">Biofouling </w:t>
            </w:r>
          </w:p>
        </w:tc>
        <w:tc>
          <w:tcPr>
            <w:tcW w:w="3006" w:type="dxa"/>
            <w:vAlign w:val="center"/>
          </w:tcPr>
          <w:p w14:paraId="70266E1F" w14:textId="18333B38" w:rsidR="00D31450" w:rsidRDefault="00D31450" w:rsidP="00C01055">
            <w:pPr>
              <w:jc w:val="center"/>
            </w:pPr>
            <w:r>
              <w:t>Reduce sensor performance</w:t>
            </w:r>
          </w:p>
        </w:tc>
      </w:tr>
      <w:tr w:rsidR="00D31450" w14:paraId="572F50C5" w14:textId="77777777" w:rsidTr="00C01055">
        <w:tc>
          <w:tcPr>
            <w:tcW w:w="3005" w:type="dxa"/>
            <w:vAlign w:val="center"/>
          </w:tcPr>
          <w:p w14:paraId="0E765542" w14:textId="2DEEF0FB" w:rsidR="00D31450" w:rsidRDefault="00D31450" w:rsidP="00C01055">
            <w:pPr>
              <w:jc w:val="center"/>
            </w:pPr>
            <w:r>
              <w:t>Technical</w:t>
            </w:r>
          </w:p>
        </w:tc>
        <w:tc>
          <w:tcPr>
            <w:tcW w:w="3005" w:type="dxa"/>
            <w:vAlign w:val="center"/>
          </w:tcPr>
          <w:p w14:paraId="6CB189C2" w14:textId="60EEACDD" w:rsidR="00D31450" w:rsidRDefault="00D31450" w:rsidP="00C01055">
            <w:pPr>
              <w:jc w:val="center"/>
            </w:pPr>
            <w:r>
              <w:t>Network stability</w:t>
            </w:r>
          </w:p>
        </w:tc>
        <w:tc>
          <w:tcPr>
            <w:tcW w:w="3006" w:type="dxa"/>
            <w:vAlign w:val="center"/>
          </w:tcPr>
          <w:p w14:paraId="71FECDEF" w14:textId="0793A6C6" w:rsidR="00D31450" w:rsidRDefault="00D31450" w:rsidP="00C01055">
            <w:pPr>
              <w:jc w:val="center"/>
            </w:pPr>
            <w:r>
              <w:t>Disrupts data transmission</w:t>
            </w:r>
          </w:p>
        </w:tc>
      </w:tr>
      <w:tr w:rsidR="00D31450" w14:paraId="18F096D4" w14:textId="77777777" w:rsidTr="00C01055">
        <w:tc>
          <w:tcPr>
            <w:tcW w:w="3005" w:type="dxa"/>
            <w:vAlign w:val="center"/>
          </w:tcPr>
          <w:p w14:paraId="4D3A74A6" w14:textId="7EC6A896" w:rsidR="00D31450" w:rsidRDefault="00D31450" w:rsidP="00C01055">
            <w:pPr>
              <w:jc w:val="center"/>
            </w:pPr>
            <w:r>
              <w:t>Environmental</w:t>
            </w:r>
          </w:p>
        </w:tc>
        <w:tc>
          <w:tcPr>
            <w:tcW w:w="3005" w:type="dxa"/>
            <w:vAlign w:val="center"/>
          </w:tcPr>
          <w:p w14:paraId="5699F166" w14:textId="1BC21DE6" w:rsidR="00D31450" w:rsidRDefault="00D31450" w:rsidP="00C01055">
            <w:pPr>
              <w:jc w:val="center"/>
            </w:pPr>
            <w:r>
              <w:t>Water current</w:t>
            </w:r>
          </w:p>
        </w:tc>
        <w:tc>
          <w:tcPr>
            <w:tcW w:w="3006" w:type="dxa"/>
            <w:vAlign w:val="center"/>
          </w:tcPr>
          <w:p w14:paraId="6ACEC1E0" w14:textId="71FEFDA2" w:rsidR="00D31450" w:rsidRDefault="008E61E2" w:rsidP="00C01055">
            <w:pPr>
              <w:jc w:val="center"/>
            </w:pPr>
            <w:r>
              <w:t>Affects</w:t>
            </w:r>
            <w:r w:rsidR="00D31450">
              <w:t xml:space="preserve"> sensor reading</w:t>
            </w:r>
          </w:p>
        </w:tc>
      </w:tr>
      <w:tr w:rsidR="00D31450" w14:paraId="20FE51F6" w14:textId="77777777" w:rsidTr="00C01055">
        <w:tc>
          <w:tcPr>
            <w:tcW w:w="3005" w:type="dxa"/>
            <w:vAlign w:val="center"/>
          </w:tcPr>
          <w:p w14:paraId="60D6FE95" w14:textId="7DA45337" w:rsidR="00D31450" w:rsidRDefault="00D31450" w:rsidP="00C01055">
            <w:pPr>
              <w:jc w:val="center"/>
            </w:pPr>
            <w:r>
              <w:t>Environmental</w:t>
            </w:r>
          </w:p>
        </w:tc>
        <w:tc>
          <w:tcPr>
            <w:tcW w:w="3005" w:type="dxa"/>
            <w:vAlign w:val="center"/>
          </w:tcPr>
          <w:p w14:paraId="32F1837B" w14:textId="38D588DA" w:rsidR="00D31450" w:rsidRDefault="00D31450" w:rsidP="00C01055">
            <w:pPr>
              <w:jc w:val="center"/>
            </w:pPr>
            <w:r>
              <w:t>Temperature fluctuation</w:t>
            </w:r>
          </w:p>
        </w:tc>
        <w:tc>
          <w:tcPr>
            <w:tcW w:w="3006" w:type="dxa"/>
            <w:vAlign w:val="center"/>
          </w:tcPr>
          <w:p w14:paraId="764DC7FE" w14:textId="6EFBCF9E" w:rsidR="00D31450" w:rsidRDefault="00D31450" w:rsidP="00C01055">
            <w:pPr>
              <w:jc w:val="center"/>
            </w:pPr>
            <w:r>
              <w:t>Influences fish condition</w:t>
            </w:r>
          </w:p>
        </w:tc>
      </w:tr>
      <w:tr w:rsidR="00D31450" w14:paraId="39403B83" w14:textId="77777777" w:rsidTr="00C01055">
        <w:tc>
          <w:tcPr>
            <w:tcW w:w="3005" w:type="dxa"/>
            <w:vAlign w:val="center"/>
          </w:tcPr>
          <w:p w14:paraId="579B196A" w14:textId="2C73CB6E" w:rsidR="00D31450" w:rsidRDefault="00D31450" w:rsidP="00C01055">
            <w:pPr>
              <w:jc w:val="center"/>
            </w:pPr>
            <w:r>
              <w:t xml:space="preserve">Human </w:t>
            </w:r>
          </w:p>
        </w:tc>
        <w:tc>
          <w:tcPr>
            <w:tcW w:w="3005" w:type="dxa"/>
            <w:vAlign w:val="center"/>
          </w:tcPr>
          <w:p w14:paraId="742AE98C" w14:textId="15DA59A0" w:rsidR="00D31450" w:rsidRDefault="00D31450" w:rsidP="00C01055">
            <w:pPr>
              <w:jc w:val="center"/>
            </w:pPr>
            <w:r>
              <w:t>Technical skills</w:t>
            </w:r>
          </w:p>
        </w:tc>
        <w:tc>
          <w:tcPr>
            <w:tcW w:w="3006" w:type="dxa"/>
            <w:vAlign w:val="center"/>
          </w:tcPr>
          <w:p w14:paraId="2D4E8B3C" w14:textId="1A024C5A" w:rsidR="00D31450" w:rsidRDefault="00D31450" w:rsidP="00C01055">
            <w:pPr>
              <w:jc w:val="center"/>
            </w:pPr>
            <w:r>
              <w:t>Affects system operation</w:t>
            </w:r>
          </w:p>
        </w:tc>
      </w:tr>
      <w:tr w:rsidR="00D31450" w14:paraId="35E9E6FC" w14:textId="77777777" w:rsidTr="00C01055">
        <w:tc>
          <w:tcPr>
            <w:tcW w:w="3005" w:type="dxa"/>
            <w:vAlign w:val="center"/>
          </w:tcPr>
          <w:p w14:paraId="4F28F311" w14:textId="7E89A5D7" w:rsidR="00D31450" w:rsidRDefault="00D31450" w:rsidP="00C01055">
            <w:pPr>
              <w:jc w:val="center"/>
            </w:pPr>
            <w:r>
              <w:t>System</w:t>
            </w:r>
          </w:p>
        </w:tc>
        <w:tc>
          <w:tcPr>
            <w:tcW w:w="3005" w:type="dxa"/>
            <w:vAlign w:val="center"/>
          </w:tcPr>
          <w:p w14:paraId="7101ABAA" w14:textId="02AD51B6" w:rsidR="00D31450" w:rsidRDefault="00D31450" w:rsidP="00C01055">
            <w:pPr>
              <w:jc w:val="center"/>
            </w:pPr>
            <w:r>
              <w:t>Integration level</w:t>
            </w:r>
          </w:p>
        </w:tc>
        <w:tc>
          <w:tcPr>
            <w:tcW w:w="3006" w:type="dxa"/>
            <w:vAlign w:val="center"/>
          </w:tcPr>
          <w:p w14:paraId="68238673" w14:textId="6AB562B6" w:rsidR="00D31450" w:rsidRDefault="00D31450" w:rsidP="00C01055">
            <w:pPr>
              <w:jc w:val="center"/>
            </w:pPr>
            <w:r>
              <w:t>Determines system efficiency</w:t>
            </w:r>
          </w:p>
        </w:tc>
      </w:tr>
    </w:tbl>
    <w:p w14:paraId="11E4489A" w14:textId="5D083D50" w:rsidR="008A29DE" w:rsidRPr="008A29DE" w:rsidRDefault="008A29DE" w:rsidP="00D31450">
      <w:pPr>
        <w:rPr>
          <w:i/>
          <w:iCs/>
        </w:rPr>
      </w:pPr>
      <w:r w:rsidRPr="008A29DE">
        <w:rPr>
          <w:i/>
          <w:iCs/>
        </w:rPr>
        <w:t xml:space="preserve">Source: Compiled by the authors from </w:t>
      </w:r>
      <w:proofErr w:type="spellStart"/>
      <w:r w:rsidR="009851D8">
        <w:rPr>
          <w:i/>
          <w:iCs/>
        </w:rPr>
        <w:t>Føre</w:t>
      </w:r>
      <w:proofErr w:type="spellEnd"/>
      <w:r w:rsidR="009851D8">
        <w:rPr>
          <w:i/>
          <w:iCs/>
        </w:rPr>
        <w:t xml:space="preserve"> et al. (2018)</w:t>
      </w:r>
      <w:r w:rsidRPr="008A29DE">
        <w:rPr>
          <w:i/>
          <w:iCs/>
        </w:rPr>
        <w:t xml:space="preserve">, and </w:t>
      </w:r>
      <w:proofErr w:type="spellStart"/>
      <w:r w:rsidR="009851D8">
        <w:rPr>
          <w:i/>
          <w:iCs/>
        </w:rPr>
        <w:t>Føre</w:t>
      </w:r>
      <w:proofErr w:type="spellEnd"/>
      <w:r w:rsidR="009851D8">
        <w:rPr>
          <w:i/>
          <w:iCs/>
        </w:rPr>
        <w:t xml:space="preserve"> et al. (2018); </w:t>
      </w:r>
      <w:proofErr w:type="spellStart"/>
      <w:r w:rsidR="009851D8">
        <w:rPr>
          <w:i/>
          <w:iCs/>
        </w:rPr>
        <w:t>Dharmarathne</w:t>
      </w:r>
      <w:proofErr w:type="spellEnd"/>
      <w:r w:rsidR="009851D8">
        <w:rPr>
          <w:i/>
          <w:iCs/>
        </w:rPr>
        <w:t xml:space="preserve"> et al. (2025)</w:t>
      </w:r>
      <w:r w:rsidRPr="008A29DE">
        <w:rPr>
          <w:i/>
          <w:iCs/>
        </w:rPr>
        <w:t>.</w:t>
      </w:r>
    </w:p>
    <w:p w14:paraId="1C14532E" w14:textId="495D0DB9" w:rsidR="00D31450" w:rsidRPr="00966640" w:rsidRDefault="00D31450" w:rsidP="00D31450">
      <w:r w:rsidRPr="00D31450">
        <w:t xml:space="preserve">As presented in Table </w:t>
      </w:r>
      <w:r>
        <w:t>3</w:t>
      </w:r>
      <w:r w:rsidRPr="00D31450">
        <w:t xml:space="preserve">, the performance of IoT-based monitoring systems depends on the interaction between various factors. Technical limitations and environmental variability remain key challenges, </w:t>
      </w:r>
      <w:r w:rsidRPr="00D31450">
        <w:lastRenderedPageBreak/>
        <w:t>particularly in FNC systems exposed to open-water conditions. Meanwhile, human and system-related factors determine the level of adoption and effectiveness of technology. Therefore, future development of smart aquaculture systems should focus on improving system robustness, integration, and user accessibility to support sustainable aquaculture practices (Abdelrahman et al., 2021).</w:t>
      </w:r>
    </w:p>
    <w:p w14:paraId="72C1A0A3" w14:textId="007F9023" w:rsidR="00A23B19" w:rsidRPr="00A23B19" w:rsidRDefault="00A23B19" w:rsidP="00A23B19">
      <w:pPr>
        <w:pStyle w:val="Heading2"/>
        <w:numPr>
          <w:ilvl w:val="0"/>
          <w:numId w:val="4"/>
        </w:numPr>
        <w:tabs>
          <w:tab w:val="left" w:pos="284"/>
        </w:tabs>
        <w:ind w:left="0" w:firstLine="0"/>
        <w:jc w:val="left"/>
        <w:rPr>
          <w:rFonts w:cs="Arial"/>
          <w:sz w:val="22"/>
          <w:szCs w:val="28"/>
        </w:rPr>
      </w:pPr>
      <w:r>
        <w:rPr>
          <w:rFonts w:cs="Arial"/>
          <w:sz w:val="22"/>
          <w:szCs w:val="28"/>
        </w:rPr>
        <w:t>IoT Based Water Quality Monitoring in Floating Net Cages</w:t>
      </w:r>
    </w:p>
    <w:p w14:paraId="450BCF9B" w14:textId="73BF39FF" w:rsidR="00020F4E" w:rsidRPr="00020F4E" w:rsidRDefault="00A23B19" w:rsidP="00020F4E">
      <w:pPr>
        <w:rPr>
          <w:rFonts w:cs="Arial"/>
          <w:szCs w:val="18"/>
        </w:rPr>
      </w:pPr>
      <w:r>
        <w:rPr>
          <w:rFonts w:cs="Arial"/>
          <w:szCs w:val="18"/>
        </w:rPr>
        <w:t xml:space="preserve">Based on a review of the literature, the use of the Internet of Things (IoT) has become the primary approach in the development of smart monitoring systems for floating net cages (FNC), which typically operate in open waters (reservoirs, lakes, and the ocean) with highly dynamic environmental conditions. </w:t>
      </w:r>
      <w:r w:rsidR="00966640">
        <w:rPr>
          <w:rFonts w:cs="Arial"/>
          <w:szCs w:val="18"/>
        </w:rPr>
        <w:t>This system</w:t>
      </w:r>
      <w:r>
        <w:rPr>
          <w:rFonts w:cs="Arial"/>
          <w:szCs w:val="18"/>
        </w:rPr>
        <w:t xml:space="preserve"> enables real-time and continuous monitoring of water quality parameters such as temperature, pH, dissolved oxygen (DO)</w:t>
      </w:r>
      <w:r w:rsidR="00020F4E">
        <w:rPr>
          <w:rFonts w:cs="Arial"/>
          <w:szCs w:val="18"/>
        </w:rPr>
        <w:t xml:space="preserve">, turbidity, salinity, and ammonia, making it highly relevant for </w:t>
      </w:r>
      <w:r w:rsidR="008E61E2">
        <w:rPr>
          <w:rFonts w:cs="Arial"/>
          <w:szCs w:val="18"/>
        </w:rPr>
        <w:t>FNC</w:t>
      </w:r>
      <w:r w:rsidR="00020F4E">
        <w:rPr>
          <w:rFonts w:cs="Arial"/>
          <w:szCs w:val="18"/>
        </w:rPr>
        <w:t xml:space="preserve"> conditions influenced by currents, stratification, and daily fluctuations. </w:t>
      </w:r>
      <w:r w:rsidR="009851D8" w:rsidRPr="00BB7C53">
        <w:rPr>
          <w:rFonts w:cs="Arial"/>
          <w:szCs w:val="18"/>
          <w:lang w:val="es-MX"/>
        </w:rPr>
        <w:t xml:space="preserve">Studies by Megantoro et al. (2024), Rahmat et al. (2024), Qomaruddin et al. (2024), Adi et al. (2024), Satra et al. </w:t>
      </w:r>
      <w:r w:rsidR="009851D8" w:rsidRPr="009851D8">
        <w:rPr>
          <w:rFonts w:cs="Arial"/>
          <w:szCs w:val="18"/>
        </w:rPr>
        <w:t xml:space="preserve">(2024), and Shete et al. (2024) demonstrate that integrated sensors can enhance monitoring effectiveness compared with conventional manual </w:t>
      </w:r>
      <w:proofErr w:type="spellStart"/>
      <w:r w:rsidR="009851D8" w:rsidRPr="009851D8">
        <w:rPr>
          <w:rFonts w:cs="Arial"/>
          <w:szCs w:val="18"/>
        </w:rPr>
        <w:t>methods.</w:t>
      </w:r>
      <w:r w:rsidR="00020F4E" w:rsidRPr="00020F4E">
        <w:rPr>
          <w:rFonts w:cs="Arial"/>
          <w:szCs w:val="18"/>
        </w:rPr>
        <w:t>These</w:t>
      </w:r>
      <w:proofErr w:type="spellEnd"/>
      <w:r w:rsidR="00020F4E" w:rsidRPr="00020F4E">
        <w:rPr>
          <w:rFonts w:cs="Arial"/>
          <w:szCs w:val="18"/>
        </w:rPr>
        <w:t xml:space="preserve"> findings are consistent with </w:t>
      </w:r>
      <w:proofErr w:type="spellStart"/>
      <w:r w:rsidR="009851D8">
        <w:rPr>
          <w:rFonts w:cs="Arial"/>
          <w:szCs w:val="18"/>
        </w:rPr>
        <w:t>Dharmarathne</w:t>
      </w:r>
      <w:proofErr w:type="spellEnd"/>
      <w:r w:rsidR="009851D8">
        <w:rPr>
          <w:rFonts w:cs="Arial"/>
          <w:szCs w:val="18"/>
        </w:rPr>
        <w:t xml:space="preserve"> et al. (2025); Fu and Niu (2023)</w:t>
      </w:r>
      <w:r w:rsidR="00020F4E" w:rsidRPr="00020F4E">
        <w:rPr>
          <w:rFonts w:cs="Arial"/>
          <w:szCs w:val="18"/>
        </w:rPr>
        <w:t>, who confirmed improved monitoring efficiency in IoT-based systems.</w:t>
      </w:r>
    </w:p>
    <w:p w14:paraId="712849C4" w14:textId="11B8B244" w:rsidR="00020F4E" w:rsidRPr="00020F4E" w:rsidRDefault="00020F4E" w:rsidP="00020F4E">
      <w:pPr>
        <w:rPr>
          <w:rFonts w:cs="Arial"/>
          <w:szCs w:val="18"/>
        </w:rPr>
      </w:pPr>
      <w:r w:rsidRPr="00020F4E">
        <w:rPr>
          <w:rFonts w:cs="Arial"/>
          <w:szCs w:val="18"/>
        </w:rPr>
        <w:t>In the context of cage aquaculture (</w:t>
      </w:r>
      <w:r w:rsidR="005E35C9">
        <w:rPr>
          <w:rFonts w:cs="Arial"/>
          <w:szCs w:val="18"/>
        </w:rPr>
        <w:t>FNC</w:t>
      </w:r>
      <w:r w:rsidRPr="00020F4E">
        <w:rPr>
          <w:rFonts w:cs="Arial"/>
          <w:szCs w:val="18"/>
        </w:rPr>
        <w:t xml:space="preserve">), IoT systems also function as early warning systems to rapidly respond to drops in dissolved oxygen (DO), temperature spikes, or ammonia increases—phenomena often caused by changes in currents and organic loads around the cages. Several studies indicate that fluctuations in these parameters are directly correlated with fish stress and mortality </w:t>
      </w:r>
      <w:r w:rsidR="005F5EEA" w:rsidRPr="005F5EEA">
        <w:rPr>
          <w:rFonts w:cs="Arial"/>
          <w:szCs w:val="18"/>
        </w:rPr>
        <w:t>Boyd (2020); Shete et al. (2024)</w:t>
      </w:r>
      <w:r w:rsidRPr="00020F4E">
        <w:rPr>
          <w:rFonts w:cs="Arial"/>
          <w:szCs w:val="18"/>
        </w:rPr>
        <w:t xml:space="preserve">. With real-time monitoring, </w:t>
      </w:r>
      <w:proofErr w:type="spellStart"/>
      <w:r w:rsidR="008E61E2">
        <w:rPr>
          <w:rFonts w:cs="Arial"/>
          <w:szCs w:val="18"/>
        </w:rPr>
        <w:t>aquaculturist</w:t>
      </w:r>
      <w:r w:rsidR="001B571B" w:rsidRPr="00020F4E">
        <w:rPr>
          <w:rFonts w:cs="Arial"/>
          <w:szCs w:val="18"/>
        </w:rPr>
        <w:t>s</w:t>
      </w:r>
      <w:proofErr w:type="spellEnd"/>
      <w:r w:rsidRPr="00020F4E">
        <w:rPr>
          <w:rFonts w:cs="Arial"/>
          <w:szCs w:val="18"/>
        </w:rPr>
        <w:t xml:space="preserve"> can immediately take actions such as adjusting stocking density, providing additional aeration, or changing feeding strategies. This underscores the role of IoT in maintaining the stability of cage aquaculture environments, which are vulnerable to rapid changes.</w:t>
      </w:r>
    </w:p>
    <w:p w14:paraId="31A2E9F4" w14:textId="76C4FDC2" w:rsidR="00020F4E" w:rsidRPr="00020F4E" w:rsidRDefault="00020F4E" w:rsidP="00020F4E">
      <w:pPr>
        <w:rPr>
          <w:rFonts w:cs="Arial"/>
          <w:szCs w:val="18"/>
        </w:rPr>
      </w:pPr>
      <w:r w:rsidRPr="00020F4E">
        <w:rPr>
          <w:rFonts w:cs="Arial"/>
          <w:szCs w:val="18"/>
        </w:rPr>
        <w:t xml:space="preserve">However, technical limitations remain, particularly regarding sensor accuracy in flowing water environments and the need for periodic calibration. </w:t>
      </w:r>
      <w:r w:rsidR="009851D8" w:rsidRPr="00BB7C53">
        <w:rPr>
          <w:rFonts w:cs="Arial"/>
          <w:szCs w:val="18"/>
          <w:lang w:val="es-MX"/>
        </w:rPr>
        <w:t>Satra et al. (2024); Shete et al. (2024)</w:t>
      </w:r>
      <w:r w:rsidRPr="00BB7C53">
        <w:rPr>
          <w:rFonts w:cs="Arial"/>
          <w:szCs w:val="18"/>
          <w:lang w:val="es-MX"/>
        </w:rPr>
        <w:t xml:space="preserve"> and Satra et al. </w:t>
      </w:r>
      <w:r w:rsidRPr="00020F4E">
        <w:rPr>
          <w:rFonts w:cs="Arial"/>
          <w:szCs w:val="18"/>
        </w:rPr>
        <w:t xml:space="preserve">(2023) demonstrated that variations in depth, current, and biofouling can affect sensor readings in cage aquaculture. </w:t>
      </w:r>
      <w:proofErr w:type="spellStart"/>
      <w:r w:rsidRPr="00020F4E">
        <w:rPr>
          <w:rFonts w:cs="Arial"/>
          <w:szCs w:val="18"/>
        </w:rPr>
        <w:t>Dharmarathne</w:t>
      </w:r>
      <w:proofErr w:type="spellEnd"/>
      <w:r w:rsidRPr="00020F4E">
        <w:rPr>
          <w:rFonts w:cs="Arial"/>
          <w:szCs w:val="18"/>
        </w:rPr>
        <w:t xml:space="preserve"> et al. (2025) also emphasize that sensor degradation in open waters poses a challenge for long-term implementation. Therefore, improving device durability and developing </w:t>
      </w:r>
      <w:r w:rsidR="005E35C9">
        <w:rPr>
          <w:rFonts w:cs="Arial"/>
          <w:szCs w:val="18"/>
        </w:rPr>
        <w:t>FNC</w:t>
      </w:r>
      <w:r w:rsidRPr="00020F4E">
        <w:rPr>
          <w:rFonts w:cs="Arial"/>
          <w:szCs w:val="18"/>
        </w:rPr>
        <w:t>-specific calibration protocols are critical needs.</w:t>
      </w:r>
    </w:p>
    <w:p w14:paraId="7048D947" w14:textId="7563E222" w:rsidR="00020F4E" w:rsidRDefault="00020F4E" w:rsidP="00020F4E">
      <w:pPr>
        <w:pStyle w:val="Heading2"/>
        <w:numPr>
          <w:ilvl w:val="0"/>
          <w:numId w:val="4"/>
        </w:numPr>
        <w:ind w:left="0" w:firstLine="0"/>
        <w:rPr>
          <w:rFonts w:cs="Arial"/>
          <w:sz w:val="22"/>
          <w:szCs w:val="28"/>
        </w:rPr>
      </w:pPr>
      <w:r>
        <w:rPr>
          <w:rFonts w:cs="Arial"/>
          <w:sz w:val="22"/>
          <w:szCs w:val="28"/>
        </w:rPr>
        <w:t>Automated Feeding Systems in Floating Net Cages (FNC)</w:t>
      </w:r>
    </w:p>
    <w:p w14:paraId="2537FD67" w14:textId="0C32C267" w:rsidR="00020F4E" w:rsidRDefault="00020F4E" w:rsidP="00020F4E">
      <w:r>
        <w:t>The development of automatic feeding systems is a crucial component of smart monitoring of floating net cages, as it is directly linked to cost efficiency and environmental impact in open waters.</w:t>
      </w:r>
      <w:r w:rsidR="00914565">
        <w:t xml:space="preserve"> </w:t>
      </w:r>
      <w:proofErr w:type="spellStart"/>
      <w:r w:rsidR="009851D8" w:rsidRPr="009851D8">
        <w:t>Pranoto</w:t>
      </w:r>
      <w:proofErr w:type="spellEnd"/>
      <w:r w:rsidR="009851D8" w:rsidRPr="009851D8">
        <w:t xml:space="preserve"> et al. (2024), </w:t>
      </w:r>
      <w:proofErr w:type="spellStart"/>
      <w:r w:rsidR="009851D8" w:rsidRPr="009851D8">
        <w:t>Dwijayanti</w:t>
      </w:r>
      <w:proofErr w:type="spellEnd"/>
      <w:r w:rsidR="009851D8" w:rsidRPr="009851D8">
        <w:t xml:space="preserve"> et al. (2025), and Setiawan and </w:t>
      </w:r>
      <w:proofErr w:type="spellStart"/>
      <w:r w:rsidR="009851D8" w:rsidRPr="009851D8">
        <w:t>Surantha</w:t>
      </w:r>
      <w:proofErr w:type="spellEnd"/>
      <w:r w:rsidR="009851D8" w:rsidRPr="009851D8">
        <w:t xml:space="preserve"> (2024) indicate that automated and smart aquaculture systems can support more consistent feeding management, operational efficiency, and technology-based aquaculture management.</w:t>
      </w:r>
      <w:r w:rsidR="009851D8">
        <w:t xml:space="preserve"> </w:t>
      </w:r>
      <w:r>
        <w:t>These findings align with those of Vinoth Kumar et al. (2022), who reported improvements in feed conversion ratio (FCR) efficiency and reductions in operational costs.</w:t>
      </w:r>
    </w:p>
    <w:p w14:paraId="503390E0" w14:textId="0C48475B" w:rsidR="00020F4E" w:rsidRPr="00020F4E" w:rsidRDefault="00020F4E" w:rsidP="00020F4E">
      <w:r>
        <w:t xml:space="preserve">In the context of cage aquaculture (FNC), excess feed is immediately dispersed by currents and contributes to increased organic load, local eutrophication, and reduced water quality around the cages. Therefore, precise feed control is key to minimizing waste </w:t>
      </w:r>
      <w:r w:rsidR="005F5EEA">
        <w:t>(</w:t>
      </w:r>
      <w:r w:rsidR="005F5EEA" w:rsidRPr="005F5EEA">
        <w:t xml:space="preserve">Boyd 2020; </w:t>
      </w:r>
      <w:proofErr w:type="spellStart"/>
      <w:r w:rsidR="005F5EEA" w:rsidRPr="005F5EEA">
        <w:t>Føre</w:t>
      </w:r>
      <w:proofErr w:type="spellEnd"/>
      <w:r w:rsidR="005F5EEA" w:rsidRPr="005F5EEA">
        <w:t xml:space="preserve"> et al. 2018)</w:t>
      </w:r>
      <w:r w:rsidR="005F5EEA">
        <w:t xml:space="preserve">. </w:t>
      </w:r>
      <w:r>
        <w:t xml:space="preserve">Automated </w:t>
      </w:r>
      <w:r>
        <w:lastRenderedPageBreak/>
        <w:t xml:space="preserve">systems allow for feed adjustment based on the actual conditions of the fish and the environment, making them more efficient and environmentally friendly. Current trends indicate the integration of automated feeding systems with water quality sensors in </w:t>
      </w:r>
      <w:r w:rsidR="005E35C9">
        <w:t>FNC</w:t>
      </w:r>
      <w:r>
        <w:t xml:space="preserve">s. </w:t>
      </w:r>
      <w:r w:rsidR="00307D19" w:rsidRPr="00307D19">
        <w:t xml:space="preserve">These findings are supported by </w:t>
      </w:r>
      <w:proofErr w:type="spellStart"/>
      <w:r w:rsidR="00307D19" w:rsidRPr="00307D19">
        <w:t>Pranoto</w:t>
      </w:r>
      <w:proofErr w:type="spellEnd"/>
      <w:r w:rsidR="00307D19" w:rsidRPr="00307D19">
        <w:t xml:space="preserve"> et al. (2024), </w:t>
      </w:r>
      <w:proofErr w:type="spellStart"/>
      <w:r w:rsidR="00307D19" w:rsidRPr="00307D19">
        <w:t>Dwijayanti</w:t>
      </w:r>
      <w:proofErr w:type="spellEnd"/>
      <w:r w:rsidR="00307D19" w:rsidRPr="00307D19">
        <w:t xml:space="preserve"> et al. (2025), and Setiawan and </w:t>
      </w:r>
      <w:proofErr w:type="spellStart"/>
      <w:r w:rsidR="00307D19" w:rsidRPr="00307D19">
        <w:t>Surantha</w:t>
      </w:r>
      <w:proofErr w:type="spellEnd"/>
      <w:r w:rsidR="00307D19" w:rsidRPr="00307D19">
        <w:t xml:space="preserve"> (2024), who indicate that automated and smart aquaculture systems can improve feeding consistency, operational efficiency, and technology-based aquaculture management.</w:t>
      </w:r>
      <w:r>
        <w:t xml:space="preserve"> This approach aligns with the concept of precision aquaculture, which is highly relevant for </w:t>
      </w:r>
      <w:r w:rsidR="005E35C9">
        <w:t>FNC</w:t>
      </w:r>
      <w:r>
        <w:t>s due to their high environmental variability and the need for rapid, data-driven responses.</w:t>
      </w:r>
    </w:p>
    <w:p w14:paraId="26FF9B07" w14:textId="1E102874" w:rsidR="00020F4E" w:rsidRDefault="00020F4E" w:rsidP="00020F4E">
      <w:pPr>
        <w:pStyle w:val="Heading2"/>
        <w:numPr>
          <w:ilvl w:val="0"/>
          <w:numId w:val="4"/>
        </w:numPr>
        <w:ind w:left="0" w:firstLine="0"/>
        <w:rPr>
          <w:rFonts w:cs="Arial"/>
          <w:sz w:val="22"/>
          <w:szCs w:val="28"/>
        </w:rPr>
      </w:pPr>
      <w:r>
        <w:rPr>
          <w:rFonts w:cs="Arial"/>
          <w:sz w:val="22"/>
          <w:szCs w:val="28"/>
        </w:rPr>
        <w:t xml:space="preserve">Integration of </w:t>
      </w:r>
      <w:r w:rsidR="001B571B">
        <w:rPr>
          <w:rFonts w:cs="Arial"/>
          <w:sz w:val="22"/>
          <w:szCs w:val="28"/>
        </w:rPr>
        <w:t>Intelligent</w:t>
      </w:r>
      <w:r>
        <w:rPr>
          <w:rFonts w:cs="Arial"/>
          <w:sz w:val="22"/>
          <w:szCs w:val="28"/>
        </w:rPr>
        <w:t xml:space="preserve"> </w:t>
      </w:r>
      <w:proofErr w:type="gramStart"/>
      <w:r>
        <w:rPr>
          <w:rFonts w:cs="Arial"/>
          <w:sz w:val="22"/>
          <w:szCs w:val="28"/>
        </w:rPr>
        <w:t>Systems :</w:t>
      </w:r>
      <w:proofErr w:type="gramEnd"/>
      <w:r>
        <w:rPr>
          <w:rFonts w:cs="Arial"/>
          <w:sz w:val="22"/>
          <w:szCs w:val="28"/>
        </w:rPr>
        <w:t xml:space="preserve"> Machine Learning and Edge Computing</w:t>
      </w:r>
    </w:p>
    <w:p w14:paraId="6B0168D8" w14:textId="0F972F40" w:rsidR="00020F4E" w:rsidRPr="00020F4E" w:rsidRDefault="00020F4E" w:rsidP="00020F4E">
      <w:pPr>
        <w:rPr>
          <w:rFonts w:cs="Arial"/>
          <w:szCs w:val="18"/>
        </w:rPr>
      </w:pPr>
      <w:r w:rsidRPr="00020F4E">
        <w:rPr>
          <w:rFonts w:cs="Arial"/>
          <w:szCs w:val="18"/>
        </w:rPr>
        <w:t xml:space="preserve">Advances in smart monitoring for floating net cages are also leading to the integration of machine learning and edge computing to enhance analytical capabilities in open-water conditions. </w:t>
      </w:r>
      <w:proofErr w:type="spellStart"/>
      <w:r w:rsidRPr="00020F4E">
        <w:rPr>
          <w:rFonts w:cs="Arial"/>
          <w:szCs w:val="18"/>
        </w:rPr>
        <w:t>Kerlooza</w:t>
      </w:r>
      <w:proofErr w:type="spellEnd"/>
      <w:r w:rsidRPr="00020F4E">
        <w:rPr>
          <w:rFonts w:cs="Arial"/>
          <w:szCs w:val="18"/>
        </w:rPr>
        <w:t xml:space="preserve"> et al. (2025) demonstrate that edge computing enables local data processing at the floating net pen site, thereby reducing reliance on networks that are often unstable at sea. This is reinforced by Fu and Niu (2023), who state that decentralized processing improves system efficiency and reliability.</w:t>
      </w:r>
    </w:p>
    <w:p w14:paraId="43DADA50" w14:textId="217D7EE7" w:rsidR="00020F4E" w:rsidRPr="00020F4E" w:rsidRDefault="00020F4E" w:rsidP="00020F4E">
      <w:pPr>
        <w:rPr>
          <w:rFonts w:cs="Arial"/>
          <w:szCs w:val="18"/>
        </w:rPr>
      </w:pPr>
      <w:r w:rsidRPr="00020F4E">
        <w:rPr>
          <w:rFonts w:cs="Arial"/>
          <w:szCs w:val="18"/>
        </w:rPr>
        <w:t xml:space="preserve">Meanwhile, machine learning enables water quality prediction and anomaly detection triggered by changes in currents, weather, and activities around the FNC. </w:t>
      </w:r>
      <w:proofErr w:type="spellStart"/>
      <w:r w:rsidR="009851D8" w:rsidRPr="009851D8">
        <w:rPr>
          <w:rFonts w:cs="Arial"/>
          <w:szCs w:val="18"/>
        </w:rPr>
        <w:t>Dharmarathne</w:t>
      </w:r>
      <w:proofErr w:type="spellEnd"/>
      <w:r w:rsidR="009851D8" w:rsidRPr="009851D8">
        <w:rPr>
          <w:rFonts w:cs="Arial"/>
          <w:szCs w:val="18"/>
        </w:rPr>
        <w:t xml:space="preserve"> et al. (2025) emphasized that machine learning and IoT integration can support water quality assessment, trend prediction, and decision-making in environmental monitoring systems.</w:t>
      </w:r>
      <w:r w:rsidR="009851D8">
        <w:rPr>
          <w:rFonts w:cs="Arial"/>
          <w:szCs w:val="18"/>
        </w:rPr>
        <w:t xml:space="preserve"> </w:t>
      </w:r>
      <w:r w:rsidRPr="00020F4E">
        <w:rPr>
          <w:rFonts w:cs="Arial"/>
          <w:szCs w:val="18"/>
        </w:rPr>
        <w:t xml:space="preserve">Consequently, </w:t>
      </w:r>
      <w:r w:rsidR="008E61E2">
        <w:rPr>
          <w:rFonts w:cs="Arial"/>
          <w:szCs w:val="18"/>
        </w:rPr>
        <w:t>Smart aquaculture systems</w:t>
      </w:r>
      <w:r w:rsidRPr="00020F4E">
        <w:rPr>
          <w:rFonts w:cs="Arial"/>
          <w:szCs w:val="18"/>
        </w:rPr>
        <w:t xml:space="preserve"> are evolving from descriptive monitoring to predictive and adaptive systems. However, the main challenge lies in the quality and continuity of data from the dynamic FNC environment. </w:t>
      </w:r>
      <w:proofErr w:type="spellStart"/>
      <w:r w:rsidRPr="00020F4E">
        <w:rPr>
          <w:rFonts w:cs="Arial"/>
          <w:szCs w:val="18"/>
        </w:rPr>
        <w:t>Dharmarathne</w:t>
      </w:r>
      <w:proofErr w:type="spellEnd"/>
      <w:r w:rsidRPr="00020F4E">
        <w:rPr>
          <w:rFonts w:cs="Arial"/>
          <w:szCs w:val="18"/>
        </w:rPr>
        <w:t xml:space="preserve"> et al. (2025) emphasize that model performance is highly dependent on stable, interference-free sensor data. Therefore, the integration of reliable hardware and appropriate algorithms is key to the success of smart systems in </w:t>
      </w:r>
      <w:r w:rsidR="005E35C9">
        <w:rPr>
          <w:rFonts w:cs="Arial"/>
          <w:szCs w:val="18"/>
        </w:rPr>
        <w:t>FNC</w:t>
      </w:r>
      <w:r w:rsidRPr="00020F4E">
        <w:rPr>
          <w:rFonts w:cs="Arial"/>
          <w:szCs w:val="18"/>
        </w:rPr>
        <w:t>.</w:t>
      </w:r>
    </w:p>
    <w:p w14:paraId="7FFAD7B4" w14:textId="4F0235F7" w:rsidR="00020F4E" w:rsidRDefault="00020F4E" w:rsidP="00020F4E">
      <w:pPr>
        <w:pStyle w:val="Heading2"/>
        <w:numPr>
          <w:ilvl w:val="0"/>
          <w:numId w:val="4"/>
        </w:numPr>
        <w:ind w:left="0" w:firstLine="0"/>
        <w:rPr>
          <w:rFonts w:cs="Arial"/>
          <w:sz w:val="22"/>
          <w:szCs w:val="28"/>
        </w:rPr>
      </w:pPr>
      <w:r>
        <w:rPr>
          <w:rFonts w:cs="Arial"/>
          <w:sz w:val="22"/>
          <w:szCs w:val="28"/>
        </w:rPr>
        <w:t>Challenges in Implementing Smart Monitoring in FNC Systems</w:t>
      </w:r>
    </w:p>
    <w:p w14:paraId="4DB4E9FB" w14:textId="4C3744E7" w:rsidR="00020F4E" w:rsidRDefault="00020F4E" w:rsidP="00020F4E">
      <w:r>
        <w:t xml:space="preserve">The implementation of smart monitoring in floating net cages faces more complex challenges than closed-system aquaculture due to the nature of open waters. </w:t>
      </w:r>
      <w:r w:rsidR="009851D8" w:rsidRPr="009851D8">
        <w:t xml:space="preserve">Network disruptions, limited energy sources, and environmental exposure remain important constraints for smart aquaculture systems, particularly when data transmission and processing depend on unstable field connectivity (Fu and Niu, 2023; </w:t>
      </w:r>
      <w:proofErr w:type="spellStart"/>
      <w:r w:rsidR="009851D8" w:rsidRPr="009851D8">
        <w:t>Kerlooza</w:t>
      </w:r>
      <w:proofErr w:type="spellEnd"/>
      <w:r w:rsidR="009851D8" w:rsidRPr="009851D8">
        <w:t xml:space="preserve"> et al., 2025).</w:t>
      </w:r>
      <w:r w:rsidR="009851D8">
        <w:t xml:space="preserve"> </w:t>
      </w:r>
      <w:r>
        <w:t>Additionally, biofouling on sensors in floating net cages accelerates accuracy degradation and increases maintenance requirements.</w:t>
      </w:r>
    </w:p>
    <w:p w14:paraId="170D42AC" w14:textId="0EF33CB9" w:rsidR="00020F4E" w:rsidRPr="00020F4E" w:rsidRDefault="00020F4E" w:rsidP="00020F4E">
      <w:r>
        <w:t xml:space="preserve">From a systems perspective, many technologies are still being developed in isolation and have not yet been integrated into a comprehensive platform for FNC. This results in the data generated not being fully utilized in operational decision-making. Ananthan et al. (2022) </w:t>
      </w:r>
      <w:r w:rsidR="00BC07BD">
        <w:t>emphasizes</w:t>
      </w:r>
      <w:r>
        <w:t xml:space="preserve"> the importance of system integration in the digital transformation of the fisheries sector. Human resources are also a determining factor. </w:t>
      </w:r>
      <w:r w:rsidR="005F5EEA" w:rsidRPr="005F5EEA">
        <w:t xml:space="preserve">Setiawan and </w:t>
      </w:r>
      <w:proofErr w:type="spellStart"/>
      <w:r w:rsidR="005F5EEA" w:rsidRPr="005F5EEA">
        <w:t>Surantha</w:t>
      </w:r>
      <w:proofErr w:type="spellEnd"/>
      <w:r w:rsidR="005F5EEA" w:rsidRPr="005F5EEA">
        <w:t xml:space="preserve"> (2024)</w:t>
      </w:r>
      <w:r w:rsidR="005F5EEA">
        <w:t xml:space="preserve"> </w:t>
      </w:r>
      <w:r>
        <w:t xml:space="preserve">show that </w:t>
      </w:r>
      <w:proofErr w:type="spellStart"/>
      <w:r w:rsidR="008E61E2">
        <w:t>aquaculturist</w:t>
      </w:r>
      <w:r>
        <w:t>s</w:t>
      </w:r>
      <w:proofErr w:type="spellEnd"/>
      <w:r>
        <w:t>’ digital literacy remains a barrier to technology adoption. In FNC, which are often located in remote areas, the need for training and mentoring becomes increasingly important so that the system can be operated and maintained independently.</w:t>
      </w:r>
    </w:p>
    <w:p w14:paraId="49A29D24" w14:textId="7D213226" w:rsidR="00020F4E" w:rsidRDefault="00020F4E" w:rsidP="00020F4E">
      <w:pPr>
        <w:pStyle w:val="Heading2"/>
        <w:numPr>
          <w:ilvl w:val="0"/>
          <w:numId w:val="4"/>
        </w:numPr>
        <w:ind w:left="0" w:firstLine="0"/>
        <w:rPr>
          <w:rFonts w:cs="Arial"/>
          <w:sz w:val="22"/>
          <w:szCs w:val="28"/>
        </w:rPr>
      </w:pPr>
      <w:r>
        <w:rPr>
          <w:rFonts w:cs="Arial"/>
          <w:sz w:val="22"/>
          <w:szCs w:val="28"/>
        </w:rPr>
        <w:lastRenderedPageBreak/>
        <w:t>Implications for Sustainable Aquaculture in FNC Systems</w:t>
      </w:r>
    </w:p>
    <w:p w14:paraId="6A3C0826" w14:textId="50D02042" w:rsidR="00BC07BD" w:rsidRDefault="00BC07BD" w:rsidP="00BC07BD">
      <w:r>
        <w:t>The implementation of smart monitoring in floating net cages (FNC) provides a significant contribution to sustainable aquaculture, particularly in reducing environmental impacts in open-water systems. This technology enhances production efficiency by minimizing excessive inputs and enabling better control of water quality around the cages. This is important because FNC systems are often associated with issues such as eutrophication and water quality degradation. From a management perspective, data-driven systems enable faster and more adaptive decision-making in response to dynamic environmental conditions in FNC systems. Farmers can optimize stocking density, feeding practices, and responses to fluctuations in water quality with greater precision. This aligns with sustainability principles that emphasize the balance between productivity and environmental conservation (Ananthan et al., 2022).</w:t>
      </w:r>
    </w:p>
    <w:p w14:paraId="4851D279" w14:textId="1C119510" w:rsidR="00020F4E" w:rsidRPr="00020F4E" w:rsidRDefault="00BC07BD" w:rsidP="00BC07BD">
      <w:r>
        <w:t>Therefore, smart monitoring in FNC systems not only serves as a technical support tool but also acts as a foundation for transforming aquaculture into a more modern, adaptive, and environmentally friendly system. In the future, technological development should focus on stronger system integration and be tailored to the specific needs of FNC systems to ensure broader and more sustainable implementation.</w:t>
      </w:r>
    </w:p>
    <w:p w14:paraId="7C661744" w14:textId="4BE6286E" w:rsidR="0045349B" w:rsidRPr="004278F4" w:rsidRDefault="004278F4" w:rsidP="00DA74FB">
      <w:pPr>
        <w:pStyle w:val="Heading1"/>
      </w:pPr>
      <w:r>
        <w:t>CONCLUSION</w:t>
      </w:r>
    </w:p>
    <w:p w14:paraId="09037B54" w14:textId="77777777" w:rsidR="00DA74FB" w:rsidRDefault="00DA74FB" w:rsidP="00DA74FB">
      <w:pPr>
        <w:rPr>
          <w:rFonts w:cs="Arial"/>
          <w:szCs w:val="18"/>
        </w:rPr>
      </w:pPr>
      <w:r w:rsidRPr="00DA74FB">
        <w:rPr>
          <w:rFonts w:cs="Arial"/>
          <w:szCs w:val="18"/>
        </w:rPr>
        <w:t>Based on the synthesis of various studies, the development of smart monitoring technology in floating net cage (FNC) aquaculture plays an increasingly important role in supporting sustainable aquaculture. The use of IoT in water quality monitoring has become a key component, as it enables real-time data acquisition and improves the speed and accuracy of decision-making. In addition, automated feeding systems have been proven to enhance operational efficiency while reducing input waste and environmental impacts. The integration of technologies such as machine learning and edge computing further promotes the development of more predictive and adaptive aquaculture systems.</w:t>
      </w:r>
    </w:p>
    <w:p w14:paraId="59C76DC1" w14:textId="77777777" w:rsidR="00DA74FB" w:rsidRDefault="00DA74FB" w:rsidP="00DA74FB">
      <w:pPr>
        <w:rPr>
          <w:rFonts w:cs="Arial"/>
          <w:szCs w:val="18"/>
        </w:rPr>
      </w:pPr>
      <w:r w:rsidRPr="00DA74FB">
        <w:rPr>
          <w:rFonts w:cs="Arial"/>
          <w:szCs w:val="18"/>
        </w:rPr>
        <w:t>However, the implementation of these technologies still faces several challenges, particularly related to sensor accuracy, network stability, and the readiness of human resources to adopt such innovations. Therefore, future development should focus on improving system reliability, technological integration, and user capacity to ensure the optimal and sustainable implementation of smart monitoring in FNC aquaculture.</w:t>
      </w:r>
    </w:p>
    <w:p w14:paraId="20C34DAD" w14:textId="7F87AEE6" w:rsidR="00C2354E" w:rsidRDefault="00C2354E">
      <w:pPr>
        <w:spacing w:after="160" w:line="278" w:lineRule="auto"/>
        <w:jc w:val="left"/>
        <w:rPr>
          <w:rFonts w:cs="Arial"/>
          <w:b/>
          <w:bCs/>
          <w:szCs w:val="18"/>
        </w:rPr>
      </w:pPr>
      <w:r>
        <w:rPr>
          <w:rFonts w:cs="Arial"/>
          <w:b/>
          <w:bCs/>
          <w:szCs w:val="18"/>
        </w:rPr>
        <w:t>Acknowledgement</w:t>
      </w:r>
    </w:p>
    <w:p w14:paraId="308FF155" w14:textId="1331D47F" w:rsidR="00DA74FB" w:rsidRDefault="00DA74FB">
      <w:pPr>
        <w:spacing w:after="160" w:line="278" w:lineRule="auto"/>
        <w:jc w:val="left"/>
        <w:rPr>
          <w:rFonts w:cs="Arial"/>
          <w:szCs w:val="18"/>
        </w:rPr>
      </w:pPr>
      <w:r w:rsidRPr="00DA74FB">
        <w:rPr>
          <w:rFonts w:cs="Arial"/>
          <w:szCs w:val="18"/>
        </w:rPr>
        <w:t xml:space="preserve">The authors would like to express their sincere gratitude to all parties who contributed to the completion of this study. Appreciation is extended to academic supervisors and colleagues for their guidance and valuable input during the research process. </w:t>
      </w:r>
    </w:p>
    <w:p w14:paraId="4F586CDF" w14:textId="2880191C" w:rsidR="002C3917" w:rsidRDefault="002C3917" w:rsidP="002C3917">
      <w:pPr>
        <w:spacing w:after="160" w:line="278" w:lineRule="auto"/>
        <w:jc w:val="left"/>
        <w:rPr>
          <w:rFonts w:cs="Arial"/>
          <w:b/>
          <w:bCs/>
          <w:szCs w:val="18"/>
        </w:rPr>
      </w:pPr>
      <w:r w:rsidRPr="002C3917">
        <w:rPr>
          <w:rFonts w:cs="Arial"/>
          <w:b/>
          <w:bCs/>
          <w:szCs w:val="18"/>
        </w:rPr>
        <w:t>Disclaimer (Artificial intelligence)</w:t>
      </w:r>
    </w:p>
    <w:p w14:paraId="66BF8BBD" w14:textId="1E02C7A7" w:rsidR="00EB40C2" w:rsidRDefault="00EB40C2" w:rsidP="002C3917">
      <w:pPr>
        <w:spacing w:after="160" w:line="278" w:lineRule="auto"/>
        <w:jc w:val="left"/>
        <w:rPr>
          <w:rFonts w:cs="Arial"/>
          <w:szCs w:val="18"/>
        </w:rPr>
      </w:pPr>
      <w:r w:rsidRPr="00EB40C2">
        <w:rPr>
          <w:rFonts w:cs="Arial"/>
          <w:szCs w:val="18"/>
        </w:rPr>
        <w:t xml:space="preserve">Author(s) hereby </w:t>
      </w:r>
      <w:proofErr w:type="gramStart"/>
      <w:r w:rsidRPr="00EB40C2">
        <w:rPr>
          <w:rFonts w:cs="Arial"/>
          <w:szCs w:val="18"/>
        </w:rPr>
        <w:t>declare</w:t>
      </w:r>
      <w:proofErr w:type="gramEnd"/>
      <w:r w:rsidRPr="00EB40C2">
        <w:rPr>
          <w:rFonts w:cs="Arial"/>
          <w:szCs w:val="18"/>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B9AA3C2" w14:textId="77777777" w:rsidR="00EB40C2" w:rsidRPr="00EB40C2" w:rsidRDefault="00EB40C2" w:rsidP="00EB40C2">
      <w:pPr>
        <w:spacing w:after="160" w:line="278" w:lineRule="auto"/>
        <w:jc w:val="left"/>
        <w:rPr>
          <w:rFonts w:cs="Arial"/>
          <w:szCs w:val="18"/>
        </w:rPr>
      </w:pPr>
      <w:r w:rsidRPr="00EB40C2">
        <w:rPr>
          <w:rFonts w:cs="Arial"/>
          <w:szCs w:val="18"/>
        </w:rPr>
        <w:t>Details of the AI usage are given below:</w:t>
      </w:r>
    </w:p>
    <w:p w14:paraId="34FCBAB0" w14:textId="77777777" w:rsidR="00EB40C2" w:rsidRDefault="00EB40C2" w:rsidP="00EB40C2">
      <w:pPr>
        <w:pStyle w:val="ListParagraph"/>
        <w:numPr>
          <w:ilvl w:val="0"/>
          <w:numId w:val="8"/>
        </w:numPr>
        <w:spacing w:after="160" w:line="278" w:lineRule="auto"/>
        <w:jc w:val="left"/>
        <w:rPr>
          <w:rFonts w:cs="Arial"/>
          <w:szCs w:val="18"/>
        </w:rPr>
      </w:pPr>
      <w:r>
        <w:rPr>
          <w:rFonts w:cs="Arial"/>
          <w:color w:val="EE0000"/>
          <w:szCs w:val="18"/>
        </w:rPr>
        <w:t>G</w:t>
      </w:r>
      <w:r w:rsidR="002C3917" w:rsidRPr="00EB40C2">
        <w:rPr>
          <w:rFonts w:cs="Arial"/>
          <w:color w:val="EE0000"/>
          <w:szCs w:val="18"/>
        </w:rPr>
        <w:t xml:space="preserve">enerative </w:t>
      </w:r>
      <w:r w:rsidR="002C3917" w:rsidRPr="00EB40C2">
        <w:rPr>
          <w:rFonts w:cs="Arial"/>
          <w:szCs w:val="18"/>
        </w:rPr>
        <w:t xml:space="preserve">AI technologies were used only to assist with language editing, grammar correction, sentence clarity, and manuscript formatting during the revision process. </w:t>
      </w:r>
    </w:p>
    <w:p w14:paraId="065E3A25" w14:textId="007F76C9" w:rsidR="005B7AE6" w:rsidRPr="00EB40C2" w:rsidRDefault="002C3917" w:rsidP="00EB40C2">
      <w:pPr>
        <w:spacing w:after="160" w:line="278" w:lineRule="auto"/>
        <w:ind w:left="360"/>
        <w:jc w:val="left"/>
        <w:rPr>
          <w:rFonts w:cs="Arial"/>
          <w:szCs w:val="18"/>
        </w:rPr>
      </w:pPr>
      <w:r w:rsidRPr="00EB40C2">
        <w:rPr>
          <w:rFonts w:cs="Arial"/>
          <w:szCs w:val="18"/>
        </w:rPr>
        <w:lastRenderedPageBreak/>
        <w:t>The scientific content, interpretation, analysis, conclusions, and final responsibility for the manuscript remain entirely with the authors. The authors have reviewed, edited, and approved all AI-assisted revisions before submission.</w:t>
      </w:r>
      <w:bookmarkStart w:id="0" w:name="_Hlk198031404"/>
      <w:r w:rsidR="005B7AE6" w:rsidRPr="00EB40C2">
        <w:rPr>
          <w:rFonts w:cs="Arial"/>
          <w:highlight w:val="yellow"/>
        </w:rPr>
        <w:t xml:space="preserve"> </w:t>
      </w:r>
    </w:p>
    <w:bookmarkEnd w:id="0"/>
    <w:p w14:paraId="4E615D14" w14:textId="77115328" w:rsidR="00792507" w:rsidRPr="004278F4" w:rsidRDefault="00792507">
      <w:pPr>
        <w:spacing w:after="160" w:line="278" w:lineRule="auto"/>
        <w:jc w:val="left"/>
        <w:rPr>
          <w:rFonts w:cs="Arial"/>
        </w:rPr>
      </w:pPr>
      <w:r w:rsidRPr="004278F4">
        <w:rPr>
          <w:rFonts w:cs="Arial"/>
        </w:rPr>
        <w:br w:type="page"/>
      </w:r>
    </w:p>
    <w:p w14:paraId="6A65A0CE" w14:textId="57D6DBAC" w:rsidR="00DA74FB" w:rsidRDefault="00DA74FB" w:rsidP="00792507">
      <w:pPr>
        <w:ind w:left="567" w:hanging="567"/>
        <w:rPr>
          <w:rFonts w:cs="Arial"/>
          <w:b/>
          <w:bCs/>
        </w:rPr>
      </w:pPr>
      <w:r>
        <w:rPr>
          <w:rFonts w:cs="Arial"/>
          <w:b/>
          <w:bCs/>
        </w:rPr>
        <w:lastRenderedPageBreak/>
        <w:t xml:space="preserve">REFERENCE </w:t>
      </w:r>
    </w:p>
    <w:p w14:paraId="6426AA68" w14:textId="77777777" w:rsidR="008E61E2" w:rsidRPr="00212923" w:rsidRDefault="008E61E2" w:rsidP="00212923">
      <w:pPr>
        <w:pStyle w:val="ListParagraph"/>
        <w:numPr>
          <w:ilvl w:val="0"/>
          <w:numId w:val="7"/>
        </w:numPr>
        <w:rPr>
          <w:rFonts w:cs="Arial"/>
        </w:rPr>
      </w:pPr>
      <w:r w:rsidRPr="00212923">
        <w:rPr>
          <w:rFonts w:cs="Arial"/>
        </w:rPr>
        <w:t xml:space="preserve">Adi, K., Widodo, A. P., Fitri, A. D. P., &amp; </w:t>
      </w:r>
      <w:proofErr w:type="spellStart"/>
      <w:r w:rsidRPr="00212923">
        <w:rPr>
          <w:rFonts w:cs="Arial"/>
        </w:rPr>
        <w:t>Putranto</w:t>
      </w:r>
      <w:proofErr w:type="spellEnd"/>
      <w:r w:rsidRPr="00212923">
        <w:rPr>
          <w:rFonts w:cs="Arial"/>
        </w:rPr>
        <w:t xml:space="preserve">, A. B. (2024). Design and Implementation of a Shrimp Pond Monitoring System Using Internet of Things. ARPN Journal of Engineering and Applied Sciences, 19(6). </w:t>
      </w:r>
      <w:proofErr w:type="spellStart"/>
      <w:r w:rsidRPr="00212923">
        <w:rPr>
          <w:rFonts w:cs="Arial"/>
        </w:rPr>
        <w:t>doi</w:t>
      </w:r>
      <w:proofErr w:type="spellEnd"/>
      <w:r w:rsidRPr="00212923">
        <w:rPr>
          <w:rFonts w:cs="Arial"/>
        </w:rPr>
        <w:t>: 10.59018/032455.</w:t>
      </w:r>
    </w:p>
    <w:p w14:paraId="3A645583" w14:textId="77777777" w:rsidR="008E61E2" w:rsidRPr="00212923" w:rsidRDefault="008E61E2" w:rsidP="00212923">
      <w:pPr>
        <w:pStyle w:val="ListParagraph"/>
        <w:numPr>
          <w:ilvl w:val="0"/>
          <w:numId w:val="7"/>
        </w:numPr>
        <w:rPr>
          <w:rFonts w:cs="Arial"/>
        </w:rPr>
      </w:pPr>
      <w:r w:rsidRPr="00212923">
        <w:rPr>
          <w:rFonts w:cs="Arial"/>
        </w:rPr>
        <w:t xml:space="preserve">Ahmed, M. A., Hossain, M. S., Rahman, W., Uddin, A. H., &amp; Islam, M. T. (2023). An advanced Bangladeshi local fish classification system based on the combination of deep learning and the internet of things (IoT). Journal of Agriculture and Food Research, 14, 100663. </w:t>
      </w:r>
      <w:proofErr w:type="spellStart"/>
      <w:r w:rsidRPr="00212923">
        <w:rPr>
          <w:rFonts w:cs="Arial"/>
        </w:rPr>
        <w:t>doi</w:t>
      </w:r>
      <w:proofErr w:type="spellEnd"/>
      <w:r w:rsidRPr="00212923">
        <w:rPr>
          <w:rFonts w:cs="Arial"/>
        </w:rPr>
        <w:t>: 10.1016/j.jafr.2023.100663.</w:t>
      </w:r>
    </w:p>
    <w:p w14:paraId="1D830758" w14:textId="3B0174D3" w:rsidR="008E61E2" w:rsidRPr="00212923" w:rsidRDefault="008E61E2" w:rsidP="00212923">
      <w:pPr>
        <w:pStyle w:val="ListParagraph"/>
        <w:numPr>
          <w:ilvl w:val="0"/>
          <w:numId w:val="7"/>
        </w:numPr>
        <w:rPr>
          <w:rFonts w:cs="Arial"/>
        </w:rPr>
      </w:pPr>
      <w:r w:rsidRPr="00BB7C53">
        <w:rPr>
          <w:rFonts w:cs="Arial"/>
          <w:lang w:val="es-MX"/>
        </w:rPr>
        <w:t xml:space="preserve">Ananthan, S., </w:t>
      </w:r>
      <w:proofErr w:type="spellStart"/>
      <w:r w:rsidRPr="00BB7C53">
        <w:rPr>
          <w:rFonts w:cs="Arial"/>
          <w:lang w:val="es-MX"/>
        </w:rPr>
        <w:t>Renugadevi</w:t>
      </w:r>
      <w:proofErr w:type="spellEnd"/>
      <w:r w:rsidRPr="00BB7C53">
        <w:rPr>
          <w:rFonts w:cs="Arial"/>
          <w:lang w:val="es-MX"/>
        </w:rPr>
        <w:t xml:space="preserve">, K. R. R. R. </w:t>
      </w:r>
      <w:proofErr w:type="spellStart"/>
      <w:r w:rsidR="005F5EEA" w:rsidRPr="00BB7C53">
        <w:rPr>
          <w:rFonts w:cs="Arial"/>
          <w:lang w:val="es-MX"/>
        </w:rPr>
        <w:t>alam</w:t>
      </w:r>
      <w:r w:rsidRPr="00BB7C53">
        <w:rPr>
          <w:rFonts w:cs="Arial"/>
          <w:lang w:val="es-MX"/>
        </w:rPr>
        <w:t>R</w:t>
      </w:r>
      <w:proofErr w:type="spellEnd"/>
      <w:r w:rsidRPr="00BB7C53">
        <w:rPr>
          <w:rFonts w:cs="Arial"/>
          <w:lang w:val="es-MX"/>
        </w:rPr>
        <w:t xml:space="preserve">., &amp; Abinaya, R. (2022). </w:t>
      </w:r>
      <w:r w:rsidRPr="00212923">
        <w:rPr>
          <w:rFonts w:cs="Arial"/>
        </w:rPr>
        <w:t xml:space="preserve">Digital technology in </w:t>
      </w:r>
      <w:proofErr w:type="gramStart"/>
      <w:r w:rsidRPr="00212923">
        <w:rPr>
          <w:rFonts w:cs="Arial"/>
        </w:rPr>
        <w:t>fisheries  A</w:t>
      </w:r>
      <w:proofErr w:type="gramEnd"/>
      <w:r w:rsidRPr="00212923">
        <w:rPr>
          <w:rFonts w:cs="Arial"/>
        </w:rPr>
        <w:t xml:space="preserve"> review. Fisheries Technology Review, 14(1).</w:t>
      </w:r>
    </w:p>
    <w:p w14:paraId="46BD7CD5" w14:textId="77777777" w:rsidR="008E61E2" w:rsidRPr="00212923" w:rsidRDefault="008E61E2" w:rsidP="00212923">
      <w:pPr>
        <w:pStyle w:val="ListParagraph"/>
        <w:numPr>
          <w:ilvl w:val="0"/>
          <w:numId w:val="7"/>
        </w:numPr>
        <w:rPr>
          <w:rFonts w:cs="Arial"/>
        </w:rPr>
      </w:pPr>
      <w:r w:rsidRPr="00212923">
        <w:rPr>
          <w:rFonts w:cs="Arial"/>
        </w:rPr>
        <w:t xml:space="preserve">Kaho, A. U. N., </w:t>
      </w:r>
      <w:proofErr w:type="spellStart"/>
      <w:r w:rsidRPr="00212923">
        <w:rPr>
          <w:rFonts w:cs="Arial"/>
        </w:rPr>
        <w:t>Pekuwali</w:t>
      </w:r>
      <w:proofErr w:type="spellEnd"/>
      <w:r w:rsidRPr="00212923">
        <w:rPr>
          <w:rFonts w:cs="Arial"/>
        </w:rPr>
        <w:t xml:space="preserve">, A. A., &amp; Ratu, L. M. D. (2025). </w:t>
      </w:r>
      <w:proofErr w:type="spellStart"/>
      <w:r w:rsidRPr="00212923">
        <w:rPr>
          <w:rFonts w:cs="Arial"/>
        </w:rPr>
        <w:t>Sistem</w:t>
      </w:r>
      <w:proofErr w:type="spellEnd"/>
      <w:r w:rsidRPr="00212923">
        <w:rPr>
          <w:rFonts w:cs="Arial"/>
        </w:rPr>
        <w:t xml:space="preserve"> </w:t>
      </w:r>
      <w:proofErr w:type="spellStart"/>
      <w:r w:rsidRPr="00212923">
        <w:rPr>
          <w:rFonts w:cs="Arial"/>
        </w:rPr>
        <w:t>Pemantauan</w:t>
      </w:r>
      <w:proofErr w:type="spellEnd"/>
      <w:r w:rsidRPr="00212923">
        <w:rPr>
          <w:rFonts w:cs="Arial"/>
        </w:rPr>
        <w:t xml:space="preserve"> </w:t>
      </w:r>
      <w:proofErr w:type="spellStart"/>
      <w:r w:rsidRPr="00212923">
        <w:rPr>
          <w:rFonts w:cs="Arial"/>
        </w:rPr>
        <w:t>Kualitas</w:t>
      </w:r>
      <w:proofErr w:type="spellEnd"/>
      <w:r w:rsidRPr="00212923">
        <w:rPr>
          <w:rFonts w:cs="Arial"/>
        </w:rPr>
        <w:t xml:space="preserve"> Air Kolam </w:t>
      </w:r>
      <w:proofErr w:type="spellStart"/>
      <w:r w:rsidRPr="00212923">
        <w:rPr>
          <w:rFonts w:cs="Arial"/>
        </w:rPr>
        <w:t>Berbasis</w:t>
      </w:r>
      <w:proofErr w:type="spellEnd"/>
      <w:r w:rsidRPr="00212923">
        <w:rPr>
          <w:rFonts w:cs="Arial"/>
        </w:rPr>
        <w:t xml:space="preserve"> Internet of Things (IoT) </w:t>
      </w:r>
      <w:proofErr w:type="spellStart"/>
      <w:r w:rsidRPr="00212923">
        <w:rPr>
          <w:rFonts w:cs="Arial"/>
        </w:rPr>
        <w:t>untuk</w:t>
      </w:r>
      <w:proofErr w:type="spellEnd"/>
      <w:r w:rsidRPr="00212923">
        <w:rPr>
          <w:rFonts w:cs="Arial"/>
        </w:rPr>
        <w:t xml:space="preserve"> </w:t>
      </w:r>
      <w:proofErr w:type="spellStart"/>
      <w:r w:rsidRPr="00212923">
        <w:rPr>
          <w:rFonts w:cs="Arial"/>
        </w:rPr>
        <w:t>Mengurangi</w:t>
      </w:r>
      <w:proofErr w:type="spellEnd"/>
      <w:r w:rsidRPr="00212923">
        <w:rPr>
          <w:rFonts w:cs="Arial"/>
        </w:rPr>
        <w:t xml:space="preserve"> </w:t>
      </w:r>
      <w:proofErr w:type="spellStart"/>
      <w:r w:rsidRPr="00212923">
        <w:rPr>
          <w:rFonts w:cs="Arial"/>
        </w:rPr>
        <w:t>Kematian</w:t>
      </w:r>
      <w:proofErr w:type="spellEnd"/>
      <w:r w:rsidRPr="00212923">
        <w:rPr>
          <w:rFonts w:cs="Arial"/>
        </w:rPr>
        <w:t xml:space="preserve"> Ikan Nila </w:t>
      </w:r>
      <w:proofErr w:type="spellStart"/>
      <w:r w:rsidRPr="00212923">
        <w:rPr>
          <w:rFonts w:cs="Arial"/>
        </w:rPr>
        <w:t>Menggunakan</w:t>
      </w:r>
      <w:proofErr w:type="spellEnd"/>
      <w:r w:rsidRPr="00212923">
        <w:rPr>
          <w:rFonts w:cs="Arial"/>
        </w:rPr>
        <w:t xml:space="preserve"> Logika Fuzzy Mamdani. </w:t>
      </w:r>
      <w:proofErr w:type="spellStart"/>
      <w:r w:rsidRPr="00212923">
        <w:rPr>
          <w:rFonts w:cs="Arial"/>
        </w:rPr>
        <w:t>Jurnal</w:t>
      </w:r>
      <w:proofErr w:type="spellEnd"/>
      <w:r w:rsidRPr="00212923">
        <w:rPr>
          <w:rFonts w:cs="Arial"/>
        </w:rPr>
        <w:t xml:space="preserve"> </w:t>
      </w:r>
      <w:proofErr w:type="spellStart"/>
      <w:r w:rsidRPr="00212923">
        <w:rPr>
          <w:rFonts w:cs="Arial"/>
        </w:rPr>
        <w:t>Teknologi</w:t>
      </w:r>
      <w:proofErr w:type="spellEnd"/>
      <w:r w:rsidRPr="00212923">
        <w:rPr>
          <w:rFonts w:cs="Arial"/>
        </w:rPr>
        <w:t xml:space="preserve"> dan </w:t>
      </w:r>
      <w:proofErr w:type="spellStart"/>
      <w:r w:rsidRPr="00212923">
        <w:rPr>
          <w:rFonts w:cs="Arial"/>
        </w:rPr>
        <w:t>Manajemen</w:t>
      </w:r>
      <w:proofErr w:type="spellEnd"/>
      <w:r w:rsidRPr="00212923">
        <w:rPr>
          <w:rFonts w:cs="Arial"/>
        </w:rPr>
        <w:t xml:space="preserve"> Industri </w:t>
      </w:r>
      <w:proofErr w:type="spellStart"/>
      <w:r w:rsidRPr="00212923">
        <w:rPr>
          <w:rFonts w:cs="Arial"/>
        </w:rPr>
        <w:t>Terapan</w:t>
      </w:r>
      <w:proofErr w:type="spellEnd"/>
      <w:r w:rsidRPr="00212923">
        <w:rPr>
          <w:rFonts w:cs="Arial"/>
        </w:rPr>
        <w:t xml:space="preserve">, 4(3). </w:t>
      </w:r>
      <w:proofErr w:type="spellStart"/>
      <w:r w:rsidRPr="00212923">
        <w:rPr>
          <w:rFonts w:cs="Arial"/>
        </w:rPr>
        <w:t>doi</w:t>
      </w:r>
      <w:proofErr w:type="spellEnd"/>
      <w:r w:rsidRPr="00212923">
        <w:rPr>
          <w:rFonts w:cs="Arial"/>
        </w:rPr>
        <w:t>: 10.55826/</w:t>
      </w:r>
      <w:proofErr w:type="gramStart"/>
      <w:r w:rsidRPr="00212923">
        <w:rPr>
          <w:rFonts w:cs="Arial"/>
        </w:rPr>
        <w:t>jtmit.v</w:t>
      </w:r>
      <w:proofErr w:type="gramEnd"/>
      <w:r w:rsidRPr="00212923">
        <w:rPr>
          <w:rFonts w:cs="Arial"/>
        </w:rPr>
        <w:t>4i3.1010.</w:t>
      </w:r>
    </w:p>
    <w:p w14:paraId="10F7D964" w14:textId="77777777" w:rsidR="008E61E2" w:rsidRPr="00212923" w:rsidRDefault="008E61E2" w:rsidP="00212923">
      <w:pPr>
        <w:pStyle w:val="ListParagraph"/>
        <w:numPr>
          <w:ilvl w:val="0"/>
          <w:numId w:val="7"/>
        </w:numPr>
        <w:rPr>
          <w:rFonts w:cs="Arial"/>
        </w:rPr>
      </w:pPr>
      <w:proofErr w:type="spellStart"/>
      <w:r w:rsidRPr="00212923">
        <w:rPr>
          <w:rFonts w:cs="Arial"/>
        </w:rPr>
        <w:t>Bobsaid</w:t>
      </w:r>
      <w:proofErr w:type="spellEnd"/>
      <w:r w:rsidRPr="00212923">
        <w:rPr>
          <w:rFonts w:cs="Arial"/>
        </w:rPr>
        <w:t xml:space="preserve">, M. W., &amp; Jaelani, L. M. (2017). </w:t>
      </w:r>
      <w:r w:rsidRPr="00BB7C53">
        <w:rPr>
          <w:rFonts w:cs="Arial"/>
          <w:lang w:val="es-MX"/>
        </w:rPr>
        <w:t xml:space="preserve">Studi </w:t>
      </w:r>
      <w:proofErr w:type="spellStart"/>
      <w:r w:rsidRPr="00BB7C53">
        <w:rPr>
          <w:rFonts w:cs="Arial"/>
          <w:lang w:val="es-MX"/>
        </w:rPr>
        <w:t>Pemetaan</w:t>
      </w:r>
      <w:proofErr w:type="spellEnd"/>
      <w:r w:rsidRPr="00BB7C53">
        <w:rPr>
          <w:rFonts w:cs="Arial"/>
          <w:lang w:val="es-MX"/>
        </w:rPr>
        <w:t xml:space="preserve"> </w:t>
      </w:r>
      <w:proofErr w:type="spellStart"/>
      <w:r w:rsidRPr="00BB7C53">
        <w:rPr>
          <w:rFonts w:cs="Arial"/>
          <w:lang w:val="es-MX"/>
        </w:rPr>
        <w:t>Batimetri</w:t>
      </w:r>
      <w:proofErr w:type="spellEnd"/>
      <w:r w:rsidRPr="00BB7C53">
        <w:rPr>
          <w:rFonts w:cs="Arial"/>
          <w:lang w:val="es-MX"/>
        </w:rPr>
        <w:t xml:space="preserve"> Perairan Dangkal Menggunakan Citra </w:t>
      </w:r>
      <w:proofErr w:type="spellStart"/>
      <w:r w:rsidRPr="00BB7C53">
        <w:rPr>
          <w:rFonts w:cs="Arial"/>
          <w:lang w:val="es-MX"/>
        </w:rPr>
        <w:t>Satelit</w:t>
      </w:r>
      <w:proofErr w:type="spellEnd"/>
      <w:r w:rsidRPr="00BB7C53">
        <w:rPr>
          <w:rFonts w:cs="Arial"/>
          <w:lang w:val="es-MX"/>
        </w:rPr>
        <w:t xml:space="preserve"> Landsat 8 dan Sentinel-2A (Studi Kasus: </w:t>
      </w:r>
      <w:proofErr w:type="spellStart"/>
      <w:r w:rsidRPr="00BB7C53">
        <w:rPr>
          <w:rFonts w:cs="Arial"/>
          <w:lang w:val="es-MX"/>
        </w:rPr>
        <w:t>Perairan</w:t>
      </w:r>
      <w:proofErr w:type="spellEnd"/>
      <w:r w:rsidRPr="00BB7C53">
        <w:rPr>
          <w:rFonts w:cs="Arial"/>
          <w:lang w:val="es-MX"/>
        </w:rPr>
        <w:t xml:space="preserve"> Pulau </w:t>
      </w:r>
      <w:proofErr w:type="spellStart"/>
      <w:r w:rsidRPr="00BB7C53">
        <w:rPr>
          <w:rFonts w:cs="Arial"/>
          <w:lang w:val="es-MX"/>
        </w:rPr>
        <w:t>Poteran</w:t>
      </w:r>
      <w:proofErr w:type="spellEnd"/>
      <w:r w:rsidRPr="00BB7C53">
        <w:rPr>
          <w:rFonts w:cs="Arial"/>
          <w:lang w:val="es-MX"/>
        </w:rPr>
        <w:t xml:space="preserve"> dan Gili Iyang, Madura). </w:t>
      </w:r>
      <w:proofErr w:type="spellStart"/>
      <w:r w:rsidRPr="00212923">
        <w:rPr>
          <w:rFonts w:cs="Arial"/>
        </w:rPr>
        <w:t>Jurnal</w:t>
      </w:r>
      <w:proofErr w:type="spellEnd"/>
      <w:r w:rsidRPr="00212923">
        <w:rPr>
          <w:rFonts w:cs="Arial"/>
        </w:rPr>
        <w:t xml:space="preserve"> Teknik ITS, 6(2). </w:t>
      </w:r>
      <w:proofErr w:type="spellStart"/>
      <w:r w:rsidRPr="00212923">
        <w:rPr>
          <w:rFonts w:cs="Arial"/>
        </w:rPr>
        <w:t>doi</w:t>
      </w:r>
      <w:proofErr w:type="spellEnd"/>
      <w:r w:rsidRPr="00212923">
        <w:rPr>
          <w:rFonts w:cs="Arial"/>
        </w:rPr>
        <w:t>: 10.12962/j23373539.v6i2.24182.</w:t>
      </w:r>
    </w:p>
    <w:p w14:paraId="0F5B9AD6" w14:textId="77777777" w:rsidR="008E61E2" w:rsidRPr="00212923" w:rsidRDefault="008E61E2" w:rsidP="00212923">
      <w:pPr>
        <w:pStyle w:val="ListParagraph"/>
        <w:numPr>
          <w:ilvl w:val="0"/>
          <w:numId w:val="7"/>
        </w:numPr>
        <w:rPr>
          <w:rFonts w:cs="Arial"/>
        </w:rPr>
      </w:pPr>
      <w:r w:rsidRPr="00212923">
        <w:rPr>
          <w:rFonts w:cs="Arial"/>
        </w:rPr>
        <w:t>Boyd, C. E. (2020). Water Quality: An Introduction. Springer Nature.</w:t>
      </w:r>
    </w:p>
    <w:p w14:paraId="484FBE7C" w14:textId="77777777" w:rsidR="008E61E2" w:rsidRPr="00212923" w:rsidRDefault="008E61E2" w:rsidP="00212923">
      <w:pPr>
        <w:pStyle w:val="ListParagraph"/>
        <w:numPr>
          <w:ilvl w:val="0"/>
          <w:numId w:val="7"/>
        </w:numPr>
        <w:rPr>
          <w:rFonts w:cs="Arial"/>
        </w:rPr>
      </w:pPr>
      <w:proofErr w:type="spellStart"/>
      <w:r w:rsidRPr="00212923">
        <w:rPr>
          <w:rFonts w:cs="Arial"/>
        </w:rPr>
        <w:t>Damsir</w:t>
      </w:r>
      <w:proofErr w:type="spellEnd"/>
      <w:r w:rsidRPr="00212923">
        <w:rPr>
          <w:rFonts w:cs="Arial"/>
        </w:rPr>
        <w:t xml:space="preserve">, D., </w:t>
      </w:r>
      <w:proofErr w:type="spellStart"/>
      <w:r w:rsidRPr="00212923">
        <w:rPr>
          <w:rFonts w:cs="Arial"/>
        </w:rPr>
        <w:t>Ansyori</w:t>
      </w:r>
      <w:proofErr w:type="spellEnd"/>
      <w:r w:rsidRPr="00212923">
        <w:rPr>
          <w:rFonts w:cs="Arial"/>
        </w:rPr>
        <w:t xml:space="preserve">, A., Yanto, Y., </w:t>
      </w:r>
      <w:proofErr w:type="spellStart"/>
      <w:r w:rsidRPr="00212923">
        <w:rPr>
          <w:rFonts w:cs="Arial"/>
        </w:rPr>
        <w:t>Erwanda</w:t>
      </w:r>
      <w:proofErr w:type="spellEnd"/>
      <w:r w:rsidRPr="00212923">
        <w:rPr>
          <w:rFonts w:cs="Arial"/>
        </w:rPr>
        <w:t xml:space="preserve">, S., &amp; Purwanto, B. (2023). </w:t>
      </w:r>
      <w:proofErr w:type="spellStart"/>
      <w:r w:rsidRPr="00212923">
        <w:rPr>
          <w:rFonts w:cs="Arial"/>
        </w:rPr>
        <w:t>Pemetaan</w:t>
      </w:r>
      <w:proofErr w:type="spellEnd"/>
      <w:r w:rsidRPr="00212923">
        <w:rPr>
          <w:rFonts w:cs="Arial"/>
        </w:rPr>
        <w:t xml:space="preserve"> Areal Mangrove di </w:t>
      </w:r>
      <w:proofErr w:type="spellStart"/>
      <w:r w:rsidRPr="00212923">
        <w:rPr>
          <w:rFonts w:cs="Arial"/>
        </w:rPr>
        <w:t>Provinsi</w:t>
      </w:r>
      <w:proofErr w:type="spellEnd"/>
      <w:r w:rsidRPr="00212923">
        <w:rPr>
          <w:rFonts w:cs="Arial"/>
        </w:rPr>
        <w:t xml:space="preserve"> Lampung </w:t>
      </w:r>
      <w:proofErr w:type="spellStart"/>
      <w:r w:rsidRPr="00212923">
        <w:rPr>
          <w:rFonts w:cs="Arial"/>
        </w:rPr>
        <w:t>Menggunakan</w:t>
      </w:r>
      <w:proofErr w:type="spellEnd"/>
      <w:r w:rsidRPr="00212923">
        <w:rPr>
          <w:rFonts w:cs="Arial"/>
        </w:rPr>
        <w:t xml:space="preserve"> Citra Sentinel 2-A dan Citra </w:t>
      </w:r>
      <w:proofErr w:type="spellStart"/>
      <w:r w:rsidRPr="00212923">
        <w:rPr>
          <w:rFonts w:cs="Arial"/>
        </w:rPr>
        <w:t>Satelit</w:t>
      </w:r>
      <w:proofErr w:type="spellEnd"/>
      <w:r w:rsidRPr="00212923">
        <w:rPr>
          <w:rFonts w:cs="Arial"/>
        </w:rPr>
        <w:t xml:space="preserve"> Google Earth. </w:t>
      </w:r>
      <w:proofErr w:type="spellStart"/>
      <w:r w:rsidRPr="00212923">
        <w:rPr>
          <w:rFonts w:cs="Arial"/>
        </w:rPr>
        <w:t>Jurnal</w:t>
      </w:r>
      <w:proofErr w:type="spellEnd"/>
      <w:r w:rsidRPr="00212923">
        <w:rPr>
          <w:rFonts w:cs="Arial"/>
        </w:rPr>
        <w:t xml:space="preserve"> </w:t>
      </w:r>
      <w:proofErr w:type="spellStart"/>
      <w:r w:rsidRPr="00212923">
        <w:rPr>
          <w:rFonts w:cs="Arial"/>
        </w:rPr>
        <w:t>Pengabdian</w:t>
      </w:r>
      <w:proofErr w:type="spellEnd"/>
      <w:r w:rsidRPr="00212923">
        <w:rPr>
          <w:rFonts w:cs="Arial"/>
        </w:rPr>
        <w:t xml:space="preserve"> </w:t>
      </w:r>
      <w:proofErr w:type="spellStart"/>
      <w:r w:rsidRPr="00212923">
        <w:rPr>
          <w:rFonts w:cs="Arial"/>
        </w:rPr>
        <w:t>Kolaborasi</w:t>
      </w:r>
      <w:proofErr w:type="spellEnd"/>
      <w:r w:rsidRPr="00212923">
        <w:rPr>
          <w:rFonts w:cs="Arial"/>
        </w:rPr>
        <w:t xml:space="preserve"> dan </w:t>
      </w:r>
      <w:proofErr w:type="spellStart"/>
      <w:r w:rsidRPr="00212923">
        <w:rPr>
          <w:rFonts w:cs="Arial"/>
        </w:rPr>
        <w:t>Inovasi</w:t>
      </w:r>
      <w:proofErr w:type="spellEnd"/>
      <w:r w:rsidRPr="00212923">
        <w:rPr>
          <w:rFonts w:cs="Arial"/>
        </w:rPr>
        <w:t xml:space="preserve"> IPTEKS, 1(3), 207-216. </w:t>
      </w:r>
      <w:proofErr w:type="spellStart"/>
      <w:r w:rsidRPr="00212923">
        <w:rPr>
          <w:rFonts w:cs="Arial"/>
        </w:rPr>
        <w:t>doi</w:t>
      </w:r>
      <w:proofErr w:type="spellEnd"/>
      <w:r w:rsidRPr="00212923">
        <w:rPr>
          <w:rFonts w:cs="Arial"/>
        </w:rPr>
        <w:t>: 10.59407/jpki2.v1i3.37.</w:t>
      </w:r>
    </w:p>
    <w:p w14:paraId="69F1F35C" w14:textId="77777777" w:rsidR="008E61E2" w:rsidRPr="00212923" w:rsidRDefault="008E61E2" w:rsidP="00212923">
      <w:pPr>
        <w:pStyle w:val="ListParagraph"/>
        <w:numPr>
          <w:ilvl w:val="0"/>
          <w:numId w:val="7"/>
        </w:numPr>
        <w:rPr>
          <w:rFonts w:cs="Arial"/>
        </w:rPr>
      </w:pPr>
      <w:proofErr w:type="spellStart"/>
      <w:r w:rsidRPr="00212923">
        <w:rPr>
          <w:rFonts w:cs="Arial"/>
        </w:rPr>
        <w:t>Dharmarathne</w:t>
      </w:r>
      <w:proofErr w:type="spellEnd"/>
      <w:r w:rsidRPr="00212923">
        <w:rPr>
          <w:rFonts w:cs="Arial"/>
        </w:rPr>
        <w:t xml:space="preserve">, G., </w:t>
      </w:r>
      <w:proofErr w:type="spellStart"/>
      <w:r w:rsidRPr="00212923">
        <w:rPr>
          <w:rFonts w:cs="Arial"/>
        </w:rPr>
        <w:t>Abekoon</w:t>
      </w:r>
      <w:proofErr w:type="spellEnd"/>
      <w:r w:rsidRPr="00212923">
        <w:rPr>
          <w:rFonts w:cs="Arial"/>
        </w:rPr>
        <w:t xml:space="preserve">, A. M. S. R., </w:t>
      </w:r>
      <w:proofErr w:type="spellStart"/>
      <w:r w:rsidRPr="00212923">
        <w:rPr>
          <w:rFonts w:cs="Arial"/>
        </w:rPr>
        <w:t>Bogahawaththa</w:t>
      </w:r>
      <w:proofErr w:type="spellEnd"/>
      <w:r w:rsidRPr="00212923">
        <w:rPr>
          <w:rFonts w:cs="Arial"/>
        </w:rPr>
        <w:t xml:space="preserve">, M., </w:t>
      </w:r>
      <w:proofErr w:type="spellStart"/>
      <w:r w:rsidRPr="00212923">
        <w:rPr>
          <w:rFonts w:cs="Arial"/>
        </w:rPr>
        <w:t>Alawatugoda</w:t>
      </w:r>
      <w:proofErr w:type="spellEnd"/>
      <w:r w:rsidRPr="00212923">
        <w:rPr>
          <w:rFonts w:cs="Arial"/>
        </w:rPr>
        <w:t xml:space="preserve">, J., &amp; </w:t>
      </w:r>
      <w:proofErr w:type="spellStart"/>
      <w:r w:rsidRPr="00212923">
        <w:rPr>
          <w:rFonts w:cs="Arial"/>
        </w:rPr>
        <w:t>Meddage</w:t>
      </w:r>
      <w:proofErr w:type="spellEnd"/>
      <w:r w:rsidRPr="00212923">
        <w:rPr>
          <w:rFonts w:cs="Arial"/>
        </w:rPr>
        <w:t xml:space="preserve">, D. P. P. (2025). A review of machine learning and internet-of-things on the water quality assessment: Methods, applications and future trends. Results in Engineering, 26, 105182. </w:t>
      </w:r>
      <w:proofErr w:type="spellStart"/>
      <w:r w:rsidRPr="00212923">
        <w:rPr>
          <w:rFonts w:cs="Arial"/>
        </w:rPr>
        <w:t>doi</w:t>
      </w:r>
      <w:proofErr w:type="spellEnd"/>
      <w:r w:rsidRPr="00212923">
        <w:rPr>
          <w:rFonts w:cs="Arial"/>
        </w:rPr>
        <w:t>: 10.1016/j.rineng.2025.105182.</w:t>
      </w:r>
    </w:p>
    <w:p w14:paraId="02120637" w14:textId="77777777" w:rsidR="008E61E2" w:rsidRPr="00212923" w:rsidRDefault="008E61E2" w:rsidP="00212923">
      <w:pPr>
        <w:pStyle w:val="ListParagraph"/>
        <w:numPr>
          <w:ilvl w:val="0"/>
          <w:numId w:val="7"/>
        </w:numPr>
        <w:rPr>
          <w:rFonts w:cs="Arial"/>
        </w:rPr>
      </w:pPr>
      <w:proofErr w:type="spellStart"/>
      <w:r w:rsidRPr="00212923">
        <w:rPr>
          <w:rFonts w:cs="Arial"/>
        </w:rPr>
        <w:t>Dwijayanti</w:t>
      </w:r>
      <w:proofErr w:type="spellEnd"/>
      <w:r w:rsidRPr="00212923">
        <w:rPr>
          <w:rFonts w:cs="Arial"/>
        </w:rPr>
        <w:t xml:space="preserve">, S., </w:t>
      </w:r>
      <w:proofErr w:type="spellStart"/>
      <w:r w:rsidRPr="00212923">
        <w:rPr>
          <w:rFonts w:cs="Arial"/>
        </w:rPr>
        <w:t>Suprapto</w:t>
      </w:r>
      <w:proofErr w:type="spellEnd"/>
      <w:r w:rsidRPr="00212923">
        <w:rPr>
          <w:rFonts w:cs="Arial"/>
        </w:rPr>
        <w:t xml:space="preserve">, B. Y., </w:t>
      </w:r>
      <w:proofErr w:type="spellStart"/>
      <w:r w:rsidRPr="00212923">
        <w:rPr>
          <w:rFonts w:cs="Arial"/>
        </w:rPr>
        <w:t>Hikmarika</w:t>
      </w:r>
      <w:proofErr w:type="spellEnd"/>
      <w:r w:rsidRPr="00212923">
        <w:rPr>
          <w:rFonts w:cs="Arial"/>
        </w:rPr>
        <w:t xml:space="preserve">, H., </w:t>
      </w:r>
      <w:proofErr w:type="spellStart"/>
      <w:r w:rsidRPr="00212923">
        <w:rPr>
          <w:rFonts w:cs="Arial"/>
        </w:rPr>
        <w:t>Irmawan</w:t>
      </w:r>
      <w:proofErr w:type="spellEnd"/>
      <w:r w:rsidRPr="00212923">
        <w:rPr>
          <w:rFonts w:cs="Arial"/>
        </w:rPr>
        <w:t xml:space="preserve">, </w:t>
      </w:r>
      <w:proofErr w:type="spellStart"/>
      <w:r w:rsidRPr="00212923">
        <w:rPr>
          <w:rFonts w:cs="Arial"/>
        </w:rPr>
        <w:t>Rendyansyah</w:t>
      </w:r>
      <w:proofErr w:type="spellEnd"/>
      <w:r w:rsidRPr="00212923">
        <w:rPr>
          <w:rFonts w:cs="Arial"/>
        </w:rPr>
        <w:t xml:space="preserve">, Fitria, S., </w:t>
      </w:r>
      <w:proofErr w:type="spellStart"/>
      <w:r w:rsidRPr="00212923">
        <w:rPr>
          <w:rFonts w:cs="Arial"/>
        </w:rPr>
        <w:t>Herlina</w:t>
      </w:r>
      <w:proofErr w:type="spellEnd"/>
      <w:r w:rsidRPr="00212923">
        <w:rPr>
          <w:rFonts w:cs="Arial"/>
        </w:rPr>
        <w:t xml:space="preserve">, &amp; Agustina, S. (2025). </w:t>
      </w:r>
      <w:proofErr w:type="spellStart"/>
      <w:r w:rsidRPr="00212923">
        <w:rPr>
          <w:rFonts w:cs="Arial"/>
        </w:rPr>
        <w:t>Implementasi</w:t>
      </w:r>
      <w:proofErr w:type="spellEnd"/>
      <w:r w:rsidRPr="00212923">
        <w:rPr>
          <w:rFonts w:cs="Arial"/>
        </w:rPr>
        <w:t xml:space="preserve"> </w:t>
      </w:r>
      <w:proofErr w:type="spellStart"/>
      <w:r w:rsidRPr="00212923">
        <w:rPr>
          <w:rFonts w:cs="Arial"/>
        </w:rPr>
        <w:t>Teknologi</w:t>
      </w:r>
      <w:proofErr w:type="spellEnd"/>
      <w:r w:rsidRPr="00212923">
        <w:rPr>
          <w:rFonts w:cs="Arial"/>
        </w:rPr>
        <w:t xml:space="preserve"> </w:t>
      </w:r>
      <w:proofErr w:type="spellStart"/>
      <w:r w:rsidRPr="00212923">
        <w:rPr>
          <w:rFonts w:cs="Arial"/>
        </w:rPr>
        <w:t>Keramba</w:t>
      </w:r>
      <w:proofErr w:type="spellEnd"/>
      <w:r w:rsidRPr="00212923">
        <w:rPr>
          <w:rFonts w:cs="Arial"/>
        </w:rPr>
        <w:t xml:space="preserve"> </w:t>
      </w:r>
      <w:proofErr w:type="spellStart"/>
      <w:r w:rsidRPr="00212923">
        <w:rPr>
          <w:rFonts w:cs="Arial"/>
        </w:rPr>
        <w:t>Jaring</w:t>
      </w:r>
      <w:proofErr w:type="spellEnd"/>
      <w:r w:rsidRPr="00212923">
        <w:rPr>
          <w:rFonts w:cs="Arial"/>
        </w:rPr>
        <w:t xml:space="preserve"> </w:t>
      </w:r>
      <w:proofErr w:type="spellStart"/>
      <w:r w:rsidRPr="00212923">
        <w:rPr>
          <w:rFonts w:cs="Arial"/>
        </w:rPr>
        <w:t>Apung</w:t>
      </w:r>
      <w:proofErr w:type="spellEnd"/>
      <w:r w:rsidRPr="00212923">
        <w:rPr>
          <w:rFonts w:cs="Arial"/>
        </w:rPr>
        <w:t xml:space="preserve"> </w:t>
      </w:r>
      <w:proofErr w:type="spellStart"/>
      <w:r w:rsidRPr="00212923">
        <w:rPr>
          <w:rFonts w:cs="Arial"/>
        </w:rPr>
        <w:t>Otomatis</w:t>
      </w:r>
      <w:proofErr w:type="spellEnd"/>
      <w:r w:rsidRPr="00212923">
        <w:rPr>
          <w:rFonts w:cs="Arial"/>
        </w:rPr>
        <w:t xml:space="preserve"> </w:t>
      </w:r>
      <w:proofErr w:type="spellStart"/>
      <w:r w:rsidRPr="00212923">
        <w:rPr>
          <w:rFonts w:cs="Arial"/>
        </w:rPr>
        <w:t>Untuk</w:t>
      </w:r>
      <w:proofErr w:type="spellEnd"/>
      <w:r w:rsidRPr="00212923">
        <w:rPr>
          <w:rFonts w:cs="Arial"/>
        </w:rPr>
        <w:t xml:space="preserve"> </w:t>
      </w:r>
      <w:proofErr w:type="spellStart"/>
      <w:r w:rsidRPr="00212923">
        <w:rPr>
          <w:rFonts w:cs="Arial"/>
        </w:rPr>
        <w:t>Meningkatkan</w:t>
      </w:r>
      <w:proofErr w:type="spellEnd"/>
      <w:r w:rsidRPr="00212923">
        <w:rPr>
          <w:rFonts w:cs="Arial"/>
        </w:rPr>
        <w:t xml:space="preserve"> </w:t>
      </w:r>
      <w:proofErr w:type="spellStart"/>
      <w:r w:rsidRPr="00212923">
        <w:rPr>
          <w:rFonts w:cs="Arial"/>
        </w:rPr>
        <w:t>Budidaya</w:t>
      </w:r>
      <w:proofErr w:type="spellEnd"/>
      <w:r w:rsidRPr="00212923">
        <w:rPr>
          <w:rFonts w:cs="Arial"/>
        </w:rPr>
        <w:t xml:space="preserve"> Ikan Di Desa </w:t>
      </w:r>
      <w:proofErr w:type="spellStart"/>
      <w:r w:rsidRPr="00212923">
        <w:rPr>
          <w:rFonts w:cs="Arial"/>
        </w:rPr>
        <w:t>Ekowisata</w:t>
      </w:r>
      <w:proofErr w:type="spellEnd"/>
      <w:r w:rsidRPr="00212923">
        <w:rPr>
          <w:rFonts w:cs="Arial"/>
        </w:rPr>
        <w:t xml:space="preserve"> Burai. </w:t>
      </w:r>
      <w:proofErr w:type="spellStart"/>
      <w:r w:rsidRPr="00212923">
        <w:rPr>
          <w:rFonts w:cs="Arial"/>
        </w:rPr>
        <w:t>Suluh</w:t>
      </w:r>
      <w:proofErr w:type="spellEnd"/>
      <w:r w:rsidRPr="00212923">
        <w:rPr>
          <w:rFonts w:cs="Arial"/>
        </w:rPr>
        <w:t xml:space="preserve"> Abdi: </w:t>
      </w:r>
      <w:proofErr w:type="spellStart"/>
      <w:r w:rsidRPr="00212923">
        <w:rPr>
          <w:rFonts w:cs="Arial"/>
        </w:rPr>
        <w:t>Jurnal</w:t>
      </w:r>
      <w:proofErr w:type="spellEnd"/>
      <w:r w:rsidRPr="00212923">
        <w:rPr>
          <w:rFonts w:cs="Arial"/>
        </w:rPr>
        <w:t xml:space="preserve"> </w:t>
      </w:r>
      <w:proofErr w:type="spellStart"/>
      <w:r w:rsidRPr="00212923">
        <w:rPr>
          <w:rFonts w:cs="Arial"/>
        </w:rPr>
        <w:t>Ilmiah</w:t>
      </w:r>
      <w:proofErr w:type="spellEnd"/>
      <w:r w:rsidRPr="00212923">
        <w:rPr>
          <w:rFonts w:cs="Arial"/>
        </w:rPr>
        <w:t xml:space="preserve"> </w:t>
      </w:r>
      <w:proofErr w:type="spellStart"/>
      <w:r w:rsidRPr="00212923">
        <w:rPr>
          <w:rFonts w:cs="Arial"/>
        </w:rPr>
        <w:t>Pengabdian</w:t>
      </w:r>
      <w:proofErr w:type="spellEnd"/>
      <w:r w:rsidRPr="00212923">
        <w:rPr>
          <w:rFonts w:cs="Arial"/>
        </w:rPr>
        <w:t xml:space="preserve"> </w:t>
      </w:r>
      <w:proofErr w:type="spellStart"/>
      <w:r w:rsidRPr="00212923">
        <w:rPr>
          <w:rFonts w:cs="Arial"/>
        </w:rPr>
        <w:t>Kepada</w:t>
      </w:r>
      <w:proofErr w:type="spellEnd"/>
      <w:r w:rsidRPr="00212923">
        <w:rPr>
          <w:rFonts w:cs="Arial"/>
        </w:rPr>
        <w:t xml:space="preserve"> Masyarakat, 7(1). </w:t>
      </w:r>
      <w:proofErr w:type="spellStart"/>
      <w:r w:rsidRPr="00212923">
        <w:rPr>
          <w:rFonts w:cs="Arial"/>
        </w:rPr>
        <w:t>doi</w:t>
      </w:r>
      <w:proofErr w:type="spellEnd"/>
      <w:r w:rsidRPr="00212923">
        <w:rPr>
          <w:rFonts w:cs="Arial"/>
        </w:rPr>
        <w:t>: 10.32502/</w:t>
      </w:r>
      <w:proofErr w:type="gramStart"/>
      <w:r w:rsidRPr="00212923">
        <w:rPr>
          <w:rFonts w:cs="Arial"/>
        </w:rPr>
        <w:t>sa.v</w:t>
      </w:r>
      <w:proofErr w:type="gramEnd"/>
      <w:r w:rsidRPr="00212923">
        <w:rPr>
          <w:rFonts w:cs="Arial"/>
        </w:rPr>
        <w:t>7i1.9752.</w:t>
      </w:r>
    </w:p>
    <w:p w14:paraId="63E16D77" w14:textId="77777777" w:rsidR="008E61E2" w:rsidRPr="00212923" w:rsidRDefault="008E61E2" w:rsidP="00212923">
      <w:pPr>
        <w:pStyle w:val="ListParagraph"/>
        <w:numPr>
          <w:ilvl w:val="0"/>
          <w:numId w:val="7"/>
        </w:numPr>
        <w:rPr>
          <w:rFonts w:cs="Arial"/>
        </w:rPr>
      </w:pPr>
      <w:proofErr w:type="spellStart"/>
      <w:r w:rsidRPr="00212923">
        <w:rPr>
          <w:rFonts w:cs="Arial"/>
        </w:rPr>
        <w:t>Føre</w:t>
      </w:r>
      <w:proofErr w:type="spellEnd"/>
      <w:r w:rsidRPr="00212923">
        <w:rPr>
          <w:rFonts w:cs="Arial"/>
        </w:rPr>
        <w:t xml:space="preserve">, M., Frank, K., Norton, T., Svendsen, E., Alfredsen, J. A., Dempster, T., </w:t>
      </w:r>
      <w:proofErr w:type="spellStart"/>
      <w:r w:rsidRPr="00212923">
        <w:rPr>
          <w:rFonts w:cs="Arial"/>
        </w:rPr>
        <w:t>Eguiraun</w:t>
      </w:r>
      <w:proofErr w:type="spellEnd"/>
      <w:r w:rsidRPr="00212923">
        <w:rPr>
          <w:rFonts w:cs="Arial"/>
        </w:rPr>
        <w:t xml:space="preserve">, H., Watson, W., Stahl, A., Sunde, L. M., Schellewald, C., Skøien, K. R., Alver, M. O., &amp; Berckmans, D. (2018). Precision fish farming: A new framework to improve production in aquaculture. Biosystems Engineering, 173, 176-193. </w:t>
      </w:r>
      <w:proofErr w:type="spellStart"/>
      <w:r w:rsidRPr="00212923">
        <w:rPr>
          <w:rFonts w:cs="Arial"/>
        </w:rPr>
        <w:t>doi</w:t>
      </w:r>
      <w:proofErr w:type="spellEnd"/>
      <w:r w:rsidRPr="00212923">
        <w:rPr>
          <w:rFonts w:cs="Arial"/>
        </w:rPr>
        <w:t>: 10.1016/j.biosystemseng.2017.10.014.</w:t>
      </w:r>
    </w:p>
    <w:p w14:paraId="5A31601F" w14:textId="77777777" w:rsidR="008E61E2" w:rsidRPr="00212923" w:rsidRDefault="008E61E2" w:rsidP="00212923">
      <w:pPr>
        <w:pStyle w:val="ListParagraph"/>
        <w:numPr>
          <w:ilvl w:val="0"/>
          <w:numId w:val="7"/>
        </w:numPr>
        <w:rPr>
          <w:rFonts w:cs="Arial"/>
        </w:rPr>
      </w:pPr>
      <w:r w:rsidRPr="00212923">
        <w:rPr>
          <w:rFonts w:cs="Arial"/>
        </w:rPr>
        <w:t xml:space="preserve">Fu, X., &amp; Niu, H. (2023). Key technologies and applications of agricultural energy Internet for agricultural planting and fisheries industry. Information Processing in Agriculture, 10(3), 416-437. </w:t>
      </w:r>
      <w:proofErr w:type="spellStart"/>
      <w:r w:rsidRPr="00212923">
        <w:rPr>
          <w:rFonts w:cs="Arial"/>
        </w:rPr>
        <w:t>doi</w:t>
      </w:r>
      <w:proofErr w:type="spellEnd"/>
      <w:r w:rsidRPr="00212923">
        <w:rPr>
          <w:rFonts w:cs="Arial"/>
        </w:rPr>
        <w:t>: 10.1016/j.inpa.2022.10.004.</w:t>
      </w:r>
    </w:p>
    <w:p w14:paraId="217D70EB" w14:textId="77777777" w:rsidR="008E61E2" w:rsidRPr="00212923" w:rsidRDefault="008E61E2" w:rsidP="00212923">
      <w:pPr>
        <w:pStyle w:val="ListParagraph"/>
        <w:numPr>
          <w:ilvl w:val="0"/>
          <w:numId w:val="7"/>
        </w:numPr>
        <w:rPr>
          <w:rFonts w:cs="Arial"/>
        </w:rPr>
      </w:pPr>
      <w:r w:rsidRPr="00212923">
        <w:rPr>
          <w:rFonts w:cs="Arial"/>
        </w:rPr>
        <w:t xml:space="preserve">Jamil, F., </w:t>
      </w:r>
      <w:proofErr w:type="spellStart"/>
      <w:r w:rsidRPr="00212923">
        <w:rPr>
          <w:rFonts w:cs="Arial"/>
        </w:rPr>
        <w:t>Semedi</w:t>
      </w:r>
      <w:proofErr w:type="spellEnd"/>
      <w:r w:rsidRPr="00212923">
        <w:rPr>
          <w:rFonts w:cs="Arial"/>
        </w:rPr>
        <w:t xml:space="preserve">, B., &amp; Kurniawan, D. (2020). </w:t>
      </w:r>
      <w:proofErr w:type="spellStart"/>
      <w:r w:rsidRPr="00BB7C53">
        <w:rPr>
          <w:rFonts w:cs="Arial"/>
          <w:lang w:val="es-MX"/>
        </w:rPr>
        <w:t>Pemetaan</w:t>
      </w:r>
      <w:proofErr w:type="spellEnd"/>
      <w:r w:rsidRPr="00BB7C53">
        <w:rPr>
          <w:rFonts w:cs="Arial"/>
          <w:lang w:val="es-MX"/>
        </w:rPr>
        <w:t xml:space="preserve"> </w:t>
      </w:r>
      <w:proofErr w:type="spellStart"/>
      <w:r w:rsidRPr="00BB7C53">
        <w:rPr>
          <w:rFonts w:cs="Arial"/>
          <w:lang w:val="es-MX"/>
        </w:rPr>
        <w:t>Batimetri</w:t>
      </w:r>
      <w:proofErr w:type="spellEnd"/>
      <w:r w:rsidRPr="00BB7C53">
        <w:rPr>
          <w:rFonts w:cs="Arial"/>
          <w:lang w:val="es-MX"/>
        </w:rPr>
        <w:t xml:space="preserve"> Perairan Dangkal Dengan Menggunakan Citra </w:t>
      </w:r>
      <w:proofErr w:type="spellStart"/>
      <w:r w:rsidRPr="00BB7C53">
        <w:rPr>
          <w:rFonts w:cs="Arial"/>
          <w:lang w:val="es-MX"/>
        </w:rPr>
        <w:t>Satelit</w:t>
      </w:r>
      <w:proofErr w:type="spellEnd"/>
      <w:r w:rsidRPr="00BB7C53">
        <w:rPr>
          <w:rFonts w:cs="Arial"/>
          <w:lang w:val="es-MX"/>
        </w:rPr>
        <w:t xml:space="preserve"> Sentinel-2A Dan Landsat 8 (Studi Kasus: </w:t>
      </w:r>
      <w:proofErr w:type="spellStart"/>
      <w:r w:rsidRPr="00BB7C53">
        <w:rPr>
          <w:rFonts w:cs="Arial"/>
          <w:lang w:val="es-MX"/>
        </w:rPr>
        <w:t>Perairan</w:t>
      </w:r>
      <w:proofErr w:type="spellEnd"/>
      <w:r w:rsidRPr="00BB7C53">
        <w:rPr>
          <w:rFonts w:cs="Arial"/>
          <w:lang w:val="es-MX"/>
        </w:rPr>
        <w:t xml:space="preserve"> </w:t>
      </w:r>
      <w:proofErr w:type="spellStart"/>
      <w:r w:rsidRPr="00BB7C53">
        <w:rPr>
          <w:rFonts w:cs="Arial"/>
          <w:lang w:val="es-MX"/>
        </w:rPr>
        <w:t>Temajuk</w:t>
      </w:r>
      <w:proofErr w:type="spellEnd"/>
      <w:r w:rsidRPr="00BB7C53">
        <w:rPr>
          <w:rFonts w:cs="Arial"/>
          <w:lang w:val="es-MX"/>
        </w:rPr>
        <w:t xml:space="preserve">, Kalimantan Barat). </w:t>
      </w:r>
      <w:r w:rsidRPr="00212923">
        <w:rPr>
          <w:rFonts w:cs="Arial"/>
        </w:rPr>
        <w:t xml:space="preserve">Undergraduate thesis, Universitas </w:t>
      </w:r>
      <w:proofErr w:type="spellStart"/>
      <w:r w:rsidRPr="00212923">
        <w:rPr>
          <w:rFonts w:cs="Arial"/>
        </w:rPr>
        <w:t>Brawijaya</w:t>
      </w:r>
      <w:proofErr w:type="spellEnd"/>
      <w:r w:rsidRPr="00212923">
        <w:rPr>
          <w:rFonts w:cs="Arial"/>
        </w:rPr>
        <w:t>.</w:t>
      </w:r>
    </w:p>
    <w:p w14:paraId="68E1B47F" w14:textId="77777777" w:rsidR="008E61E2" w:rsidRPr="00212923" w:rsidRDefault="008E61E2" w:rsidP="00212923">
      <w:pPr>
        <w:pStyle w:val="ListParagraph"/>
        <w:numPr>
          <w:ilvl w:val="0"/>
          <w:numId w:val="7"/>
        </w:numPr>
        <w:rPr>
          <w:rFonts w:cs="Arial"/>
        </w:rPr>
      </w:pPr>
      <w:proofErr w:type="spellStart"/>
      <w:r w:rsidRPr="00212923">
        <w:rPr>
          <w:rFonts w:cs="Arial"/>
        </w:rPr>
        <w:lastRenderedPageBreak/>
        <w:t>Kerlooza</w:t>
      </w:r>
      <w:proofErr w:type="spellEnd"/>
      <w:r w:rsidRPr="00212923">
        <w:rPr>
          <w:rFonts w:cs="Arial"/>
        </w:rPr>
        <w:t xml:space="preserve">, Y., Chandra, S. I., &amp; Bachtiar, A. M. (2025). Enhancing IoT communication efficacy in fishery domain: Edge computing perspective. Journal of Engineering Science and Technology, Special Issue on </w:t>
      </w:r>
      <w:proofErr w:type="spellStart"/>
      <w:r w:rsidRPr="00212923">
        <w:rPr>
          <w:rFonts w:cs="Arial"/>
        </w:rPr>
        <w:t>ISCoE</w:t>
      </w:r>
      <w:proofErr w:type="spellEnd"/>
      <w:r w:rsidRPr="00212923">
        <w:rPr>
          <w:rFonts w:cs="Arial"/>
        </w:rPr>
        <w:t xml:space="preserve"> 2024.</w:t>
      </w:r>
    </w:p>
    <w:p w14:paraId="7BAF5276" w14:textId="77777777" w:rsidR="008E61E2" w:rsidRPr="00212923" w:rsidRDefault="008E61E2" w:rsidP="00212923">
      <w:pPr>
        <w:pStyle w:val="ListParagraph"/>
        <w:numPr>
          <w:ilvl w:val="0"/>
          <w:numId w:val="7"/>
        </w:numPr>
        <w:rPr>
          <w:rFonts w:cs="Arial"/>
        </w:rPr>
      </w:pPr>
      <w:proofErr w:type="spellStart"/>
      <w:r w:rsidRPr="00BB7C53">
        <w:rPr>
          <w:rFonts w:cs="Arial"/>
          <w:lang w:val="es-MX"/>
        </w:rPr>
        <w:t>Mahestro</w:t>
      </w:r>
      <w:proofErr w:type="spellEnd"/>
      <w:r w:rsidRPr="00BB7C53">
        <w:rPr>
          <w:rFonts w:cs="Arial"/>
          <w:lang w:val="es-MX"/>
        </w:rPr>
        <w:t xml:space="preserve">, D. A., Helmi, M., &amp; </w:t>
      </w:r>
      <w:proofErr w:type="spellStart"/>
      <w:r w:rsidRPr="00BB7C53">
        <w:rPr>
          <w:rFonts w:cs="Arial"/>
          <w:lang w:val="es-MX"/>
        </w:rPr>
        <w:t>Atmodjo</w:t>
      </w:r>
      <w:proofErr w:type="spellEnd"/>
      <w:r w:rsidRPr="00BB7C53">
        <w:rPr>
          <w:rFonts w:cs="Arial"/>
          <w:lang w:val="es-MX"/>
        </w:rPr>
        <w:t xml:space="preserve">, W. (2023). </w:t>
      </w:r>
      <w:proofErr w:type="spellStart"/>
      <w:r w:rsidRPr="00BB7C53">
        <w:rPr>
          <w:rFonts w:cs="Arial"/>
          <w:lang w:val="es-MX"/>
        </w:rPr>
        <w:t>Analisis</w:t>
      </w:r>
      <w:proofErr w:type="spellEnd"/>
      <w:r w:rsidRPr="00BB7C53">
        <w:rPr>
          <w:rFonts w:cs="Arial"/>
          <w:lang w:val="es-MX"/>
        </w:rPr>
        <w:t xml:space="preserve"> </w:t>
      </w:r>
      <w:proofErr w:type="spellStart"/>
      <w:r w:rsidRPr="00BB7C53">
        <w:rPr>
          <w:rFonts w:cs="Arial"/>
          <w:lang w:val="es-MX"/>
        </w:rPr>
        <w:t>Perairan</w:t>
      </w:r>
      <w:proofErr w:type="spellEnd"/>
      <w:r w:rsidRPr="00BB7C53">
        <w:rPr>
          <w:rFonts w:cs="Arial"/>
          <w:lang w:val="es-MX"/>
        </w:rPr>
        <w:t xml:space="preserve"> </w:t>
      </w:r>
      <w:proofErr w:type="spellStart"/>
      <w:r w:rsidRPr="00BB7C53">
        <w:rPr>
          <w:rFonts w:cs="Arial"/>
          <w:lang w:val="es-MX"/>
        </w:rPr>
        <w:t>Dangkal</w:t>
      </w:r>
      <w:proofErr w:type="spellEnd"/>
      <w:r w:rsidRPr="00BB7C53">
        <w:rPr>
          <w:rFonts w:cs="Arial"/>
          <w:lang w:val="es-MX"/>
        </w:rPr>
        <w:t xml:space="preserve"> </w:t>
      </w:r>
      <w:proofErr w:type="spellStart"/>
      <w:r w:rsidRPr="00BB7C53">
        <w:rPr>
          <w:rFonts w:cs="Arial"/>
          <w:lang w:val="es-MX"/>
        </w:rPr>
        <w:t>Berdasarkan</w:t>
      </w:r>
      <w:proofErr w:type="spellEnd"/>
      <w:r w:rsidRPr="00BB7C53">
        <w:rPr>
          <w:rFonts w:cs="Arial"/>
          <w:lang w:val="es-MX"/>
        </w:rPr>
        <w:t xml:space="preserve"> </w:t>
      </w:r>
      <w:proofErr w:type="spellStart"/>
      <w:r w:rsidRPr="00BB7C53">
        <w:rPr>
          <w:rFonts w:cs="Arial"/>
          <w:lang w:val="es-MX"/>
        </w:rPr>
        <w:t>Pengolahan</w:t>
      </w:r>
      <w:proofErr w:type="spellEnd"/>
      <w:r w:rsidRPr="00BB7C53">
        <w:rPr>
          <w:rFonts w:cs="Arial"/>
          <w:lang w:val="es-MX"/>
        </w:rPr>
        <w:t xml:space="preserve"> Digital Citra </w:t>
      </w:r>
      <w:proofErr w:type="spellStart"/>
      <w:r w:rsidRPr="00BB7C53">
        <w:rPr>
          <w:rFonts w:cs="Arial"/>
          <w:lang w:val="es-MX"/>
        </w:rPr>
        <w:t>Satelit</w:t>
      </w:r>
      <w:proofErr w:type="spellEnd"/>
      <w:r w:rsidRPr="00BB7C53">
        <w:rPr>
          <w:rFonts w:cs="Arial"/>
          <w:lang w:val="es-MX"/>
        </w:rPr>
        <w:t xml:space="preserve"> Sentinel-2B Di </w:t>
      </w:r>
      <w:proofErr w:type="spellStart"/>
      <w:r w:rsidRPr="00BB7C53">
        <w:rPr>
          <w:rFonts w:cs="Arial"/>
          <w:lang w:val="es-MX"/>
        </w:rPr>
        <w:t>Perairan</w:t>
      </w:r>
      <w:proofErr w:type="spellEnd"/>
      <w:r w:rsidRPr="00BB7C53">
        <w:rPr>
          <w:rFonts w:cs="Arial"/>
          <w:lang w:val="es-MX"/>
        </w:rPr>
        <w:t xml:space="preserve"> Pulau Karimunjawa, Kepulauan Karimunjawa Provinsi Jawa Tengah. </w:t>
      </w:r>
      <w:r w:rsidRPr="00212923">
        <w:rPr>
          <w:rFonts w:cs="Arial"/>
        </w:rPr>
        <w:t xml:space="preserve">Indonesian Journal of Oceanography, 4(4). </w:t>
      </w:r>
      <w:proofErr w:type="spellStart"/>
      <w:r w:rsidRPr="00212923">
        <w:rPr>
          <w:rFonts w:cs="Arial"/>
        </w:rPr>
        <w:t>doi</w:t>
      </w:r>
      <w:proofErr w:type="spellEnd"/>
      <w:r w:rsidRPr="00212923">
        <w:rPr>
          <w:rFonts w:cs="Arial"/>
        </w:rPr>
        <w:t>: 10.14710/</w:t>
      </w:r>
      <w:proofErr w:type="gramStart"/>
      <w:r w:rsidRPr="00212923">
        <w:rPr>
          <w:rFonts w:cs="Arial"/>
        </w:rPr>
        <w:t>ijoce.v</w:t>
      </w:r>
      <w:proofErr w:type="gramEnd"/>
      <w:r w:rsidRPr="00212923">
        <w:rPr>
          <w:rFonts w:cs="Arial"/>
        </w:rPr>
        <w:t>4i4.15673.</w:t>
      </w:r>
    </w:p>
    <w:p w14:paraId="0FFB6F2F" w14:textId="77777777" w:rsidR="008E61E2" w:rsidRPr="00212923" w:rsidRDefault="008E61E2" w:rsidP="00212923">
      <w:pPr>
        <w:pStyle w:val="ListParagraph"/>
        <w:numPr>
          <w:ilvl w:val="0"/>
          <w:numId w:val="7"/>
        </w:numPr>
        <w:rPr>
          <w:rFonts w:cs="Arial"/>
        </w:rPr>
      </w:pPr>
      <w:proofErr w:type="spellStart"/>
      <w:r w:rsidRPr="00BB7C53">
        <w:rPr>
          <w:rFonts w:cs="Arial"/>
          <w:lang w:val="es-MX"/>
        </w:rPr>
        <w:t>Megantoro</w:t>
      </w:r>
      <w:proofErr w:type="spellEnd"/>
      <w:r w:rsidRPr="00BB7C53">
        <w:rPr>
          <w:rFonts w:cs="Arial"/>
          <w:lang w:val="es-MX"/>
        </w:rPr>
        <w:t xml:space="preserve">, P., Anugrah, A. W., Abdillah, M. H., </w:t>
      </w:r>
      <w:proofErr w:type="spellStart"/>
      <w:r w:rsidRPr="00BB7C53">
        <w:rPr>
          <w:rFonts w:cs="Arial"/>
          <w:lang w:val="es-MX"/>
        </w:rPr>
        <w:t>Kustanto</w:t>
      </w:r>
      <w:proofErr w:type="spellEnd"/>
      <w:r w:rsidRPr="00BB7C53">
        <w:rPr>
          <w:rFonts w:cs="Arial"/>
          <w:lang w:val="es-MX"/>
        </w:rPr>
        <w:t xml:space="preserve">, B. J., Fadillah, M., &amp; Vigneshwaran, P. (2024). </w:t>
      </w:r>
      <w:r w:rsidRPr="00212923">
        <w:rPr>
          <w:rFonts w:cs="Arial"/>
        </w:rPr>
        <w:t xml:space="preserve">Smart measurement and monitoring system for aquaculture fisheries with IoT-based telemetry system. Bulletin of Electrical Engineering and Informatics, 13(3). </w:t>
      </w:r>
      <w:proofErr w:type="spellStart"/>
      <w:r w:rsidRPr="00212923">
        <w:rPr>
          <w:rFonts w:cs="Arial"/>
        </w:rPr>
        <w:t>doi</w:t>
      </w:r>
      <w:proofErr w:type="spellEnd"/>
      <w:r w:rsidRPr="00212923">
        <w:rPr>
          <w:rFonts w:cs="Arial"/>
        </w:rPr>
        <w:t>: 10.11591/</w:t>
      </w:r>
      <w:proofErr w:type="gramStart"/>
      <w:r w:rsidRPr="00212923">
        <w:rPr>
          <w:rFonts w:cs="Arial"/>
        </w:rPr>
        <w:t>eei.v</w:t>
      </w:r>
      <w:proofErr w:type="gramEnd"/>
      <w:r w:rsidRPr="00212923">
        <w:rPr>
          <w:rFonts w:cs="Arial"/>
        </w:rPr>
        <w:t>13i3.6900.</w:t>
      </w:r>
    </w:p>
    <w:p w14:paraId="3BE50A5B" w14:textId="77777777" w:rsidR="008E61E2" w:rsidRPr="00212923" w:rsidRDefault="008E61E2" w:rsidP="00212923">
      <w:pPr>
        <w:pStyle w:val="ListParagraph"/>
        <w:numPr>
          <w:ilvl w:val="0"/>
          <w:numId w:val="7"/>
        </w:numPr>
        <w:rPr>
          <w:rFonts w:cs="Arial"/>
        </w:rPr>
      </w:pPr>
      <w:r w:rsidRPr="00212923">
        <w:rPr>
          <w:rFonts w:cs="Arial"/>
        </w:rPr>
        <w:t xml:space="preserve">Page, M. J., McKenzie, J. E., Bossuyt, P. M., </w:t>
      </w:r>
      <w:proofErr w:type="spellStart"/>
      <w:r w:rsidRPr="00212923">
        <w:rPr>
          <w:rFonts w:cs="Arial"/>
        </w:rPr>
        <w:t>Boutron</w:t>
      </w:r>
      <w:proofErr w:type="spellEnd"/>
      <w:r w:rsidRPr="00212923">
        <w:rPr>
          <w:rFonts w:cs="Arial"/>
        </w:rPr>
        <w:t xml:space="preserve">, I., Hoffmann, T. C., Mulrow, C. D., </w:t>
      </w:r>
      <w:proofErr w:type="spellStart"/>
      <w:r w:rsidRPr="00212923">
        <w:rPr>
          <w:rFonts w:cs="Arial"/>
        </w:rPr>
        <w:t>Shamseer</w:t>
      </w:r>
      <w:proofErr w:type="spellEnd"/>
      <w:r w:rsidRPr="00212923">
        <w:rPr>
          <w:rFonts w:cs="Arial"/>
        </w:rPr>
        <w:t xml:space="preserve">, L., Tetzlaff, J. M., Akl, E. A., Brennan, S. E., Chou, R., Glanville, J., Grimshaw, J. M., Hróbjartsson, A., Lalu, M. M., Li, T., Loder, E. W., Mayo-Wilson, E., McDonald, S., McGuinness, L. A., Stewart, L. A., Thomas, J., </w:t>
      </w:r>
      <w:proofErr w:type="spellStart"/>
      <w:r w:rsidRPr="00212923">
        <w:rPr>
          <w:rFonts w:cs="Arial"/>
        </w:rPr>
        <w:t>Tricco</w:t>
      </w:r>
      <w:proofErr w:type="spellEnd"/>
      <w:r w:rsidRPr="00212923">
        <w:rPr>
          <w:rFonts w:cs="Arial"/>
        </w:rPr>
        <w:t>, A. C., Welch, V. A., Whiting, P., &amp; Moher, D. (2021). The PRISMA 2020 statement: An updated guideline for reporting systematic reviews. BMJ, 372.</w:t>
      </w:r>
    </w:p>
    <w:p w14:paraId="796FB813" w14:textId="77777777" w:rsidR="008E61E2" w:rsidRPr="00212923" w:rsidRDefault="008E61E2" w:rsidP="00212923">
      <w:pPr>
        <w:pStyle w:val="ListParagraph"/>
        <w:numPr>
          <w:ilvl w:val="0"/>
          <w:numId w:val="7"/>
        </w:numPr>
        <w:rPr>
          <w:rFonts w:cs="Arial"/>
        </w:rPr>
      </w:pPr>
      <w:proofErr w:type="spellStart"/>
      <w:r w:rsidRPr="00212923">
        <w:rPr>
          <w:rFonts w:cs="Arial"/>
        </w:rPr>
        <w:t>Pranoto</w:t>
      </w:r>
      <w:proofErr w:type="spellEnd"/>
      <w:r w:rsidRPr="00212923">
        <w:rPr>
          <w:rFonts w:cs="Arial"/>
        </w:rPr>
        <w:t xml:space="preserve">, D., Nasrullah, E., </w:t>
      </w:r>
      <w:proofErr w:type="spellStart"/>
      <w:r w:rsidRPr="00212923">
        <w:rPr>
          <w:rFonts w:cs="Arial"/>
        </w:rPr>
        <w:t>Sulistiyanti</w:t>
      </w:r>
      <w:proofErr w:type="spellEnd"/>
      <w:r w:rsidRPr="00212923">
        <w:rPr>
          <w:rFonts w:cs="Arial"/>
        </w:rPr>
        <w:t xml:space="preserve">, S. R., &amp; </w:t>
      </w:r>
      <w:proofErr w:type="spellStart"/>
      <w:r w:rsidRPr="00212923">
        <w:rPr>
          <w:rFonts w:cs="Arial"/>
        </w:rPr>
        <w:t>Fitriawan</w:t>
      </w:r>
      <w:proofErr w:type="spellEnd"/>
      <w:r w:rsidRPr="00212923">
        <w:rPr>
          <w:rFonts w:cs="Arial"/>
        </w:rPr>
        <w:t xml:space="preserve">, H. (2024). </w:t>
      </w:r>
      <w:proofErr w:type="spellStart"/>
      <w:r w:rsidRPr="00212923">
        <w:rPr>
          <w:rFonts w:cs="Arial"/>
        </w:rPr>
        <w:t>Rancang</w:t>
      </w:r>
      <w:proofErr w:type="spellEnd"/>
      <w:r w:rsidRPr="00212923">
        <w:rPr>
          <w:rFonts w:cs="Arial"/>
        </w:rPr>
        <w:t xml:space="preserve"> </w:t>
      </w:r>
      <w:proofErr w:type="spellStart"/>
      <w:r w:rsidRPr="00212923">
        <w:rPr>
          <w:rFonts w:cs="Arial"/>
        </w:rPr>
        <w:t>Bangun</w:t>
      </w:r>
      <w:proofErr w:type="spellEnd"/>
      <w:r w:rsidRPr="00212923">
        <w:rPr>
          <w:rFonts w:cs="Arial"/>
        </w:rPr>
        <w:t xml:space="preserve"> </w:t>
      </w:r>
      <w:proofErr w:type="spellStart"/>
      <w:r w:rsidRPr="00212923">
        <w:rPr>
          <w:rFonts w:cs="Arial"/>
        </w:rPr>
        <w:t>Sistem</w:t>
      </w:r>
      <w:proofErr w:type="spellEnd"/>
      <w:r w:rsidRPr="00212923">
        <w:rPr>
          <w:rFonts w:cs="Arial"/>
        </w:rPr>
        <w:t xml:space="preserve"> </w:t>
      </w:r>
      <w:proofErr w:type="spellStart"/>
      <w:r w:rsidRPr="00212923">
        <w:rPr>
          <w:rFonts w:cs="Arial"/>
        </w:rPr>
        <w:t>Pelontar</w:t>
      </w:r>
      <w:proofErr w:type="spellEnd"/>
      <w:r w:rsidRPr="00212923">
        <w:rPr>
          <w:rFonts w:cs="Arial"/>
        </w:rPr>
        <w:t xml:space="preserve"> Pakan Ikan </w:t>
      </w:r>
      <w:proofErr w:type="spellStart"/>
      <w:r w:rsidRPr="00212923">
        <w:rPr>
          <w:rFonts w:cs="Arial"/>
        </w:rPr>
        <w:t>Otomatis</w:t>
      </w:r>
      <w:proofErr w:type="spellEnd"/>
      <w:r w:rsidRPr="00212923">
        <w:rPr>
          <w:rFonts w:cs="Arial"/>
        </w:rPr>
        <w:t xml:space="preserve"> pada </w:t>
      </w:r>
      <w:proofErr w:type="spellStart"/>
      <w:r w:rsidRPr="00212923">
        <w:rPr>
          <w:rFonts w:cs="Arial"/>
        </w:rPr>
        <w:t>Keramba</w:t>
      </w:r>
      <w:proofErr w:type="spellEnd"/>
      <w:r w:rsidRPr="00212923">
        <w:rPr>
          <w:rFonts w:cs="Arial"/>
        </w:rPr>
        <w:t xml:space="preserve"> </w:t>
      </w:r>
      <w:proofErr w:type="spellStart"/>
      <w:r w:rsidRPr="00212923">
        <w:rPr>
          <w:rFonts w:cs="Arial"/>
        </w:rPr>
        <w:t>Jaring</w:t>
      </w:r>
      <w:proofErr w:type="spellEnd"/>
      <w:r w:rsidRPr="00212923">
        <w:rPr>
          <w:rFonts w:cs="Arial"/>
        </w:rPr>
        <w:t xml:space="preserve"> </w:t>
      </w:r>
      <w:proofErr w:type="spellStart"/>
      <w:r w:rsidRPr="00212923">
        <w:rPr>
          <w:rFonts w:cs="Arial"/>
        </w:rPr>
        <w:t>Apung</w:t>
      </w:r>
      <w:proofErr w:type="spellEnd"/>
      <w:r w:rsidRPr="00212923">
        <w:rPr>
          <w:rFonts w:cs="Arial"/>
        </w:rPr>
        <w:t xml:space="preserve"> </w:t>
      </w:r>
      <w:proofErr w:type="spellStart"/>
      <w:r w:rsidRPr="00212923">
        <w:rPr>
          <w:rFonts w:cs="Arial"/>
        </w:rPr>
        <w:t>Menggunakan</w:t>
      </w:r>
      <w:proofErr w:type="spellEnd"/>
      <w:r w:rsidRPr="00212923">
        <w:rPr>
          <w:rFonts w:cs="Arial"/>
        </w:rPr>
        <w:t xml:space="preserve"> </w:t>
      </w:r>
      <w:proofErr w:type="spellStart"/>
      <w:r w:rsidRPr="00212923">
        <w:rPr>
          <w:rFonts w:cs="Arial"/>
        </w:rPr>
        <w:t>Mikrokontroler</w:t>
      </w:r>
      <w:proofErr w:type="spellEnd"/>
      <w:r w:rsidRPr="00212923">
        <w:rPr>
          <w:rFonts w:cs="Arial"/>
        </w:rPr>
        <w:t xml:space="preserve"> Mappi32. </w:t>
      </w:r>
      <w:proofErr w:type="spellStart"/>
      <w:r w:rsidRPr="00212923">
        <w:rPr>
          <w:rFonts w:cs="Arial"/>
        </w:rPr>
        <w:t>Jurnal</w:t>
      </w:r>
      <w:proofErr w:type="spellEnd"/>
      <w:r w:rsidRPr="00212923">
        <w:rPr>
          <w:rFonts w:cs="Arial"/>
        </w:rPr>
        <w:t xml:space="preserve"> </w:t>
      </w:r>
      <w:proofErr w:type="spellStart"/>
      <w:r w:rsidRPr="00212923">
        <w:rPr>
          <w:rFonts w:cs="Arial"/>
        </w:rPr>
        <w:t>Informatika</w:t>
      </w:r>
      <w:proofErr w:type="spellEnd"/>
      <w:r w:rsidRPr="00212923">
        <w:rPr>
          <w:rFonts w:cs="Arial"/>
        </w:rPr>
        <w:t xml:space="preserve"> dan Teknik Elektro </w:t>
      </w:r>
      <w:proofErr w:type="spellStart"/>
      <w:r w:rsidRPr="00212923">
        <w:rPr>
          <w:rFonts w:cs="Arial"/>
        </w:rPr>
        <w:t>Terapan</w:t>
      </w:r>
      <w:proofErr w:type="spellEnd"/>
      <w:r w:rsidRPr="00212923">
        <w:rPr>
          <w:rFonts w:cs="Arial"/>
        </w:rPr>
        <w:t xml:space="preserve">, 12(1). </w:t>
      </w:r>
      <w:proofErr w:type="spellStart"/>
      <w:r w:rsidRPr="00212923">
        <w:rPr>
          <w:rFonts w:cs="Arial"/>
        </w:rPr>
        <w:t>doi</w:t>
      </w:r>
      <w:proofErr w:type="spellEnd"/>
      <w:r w:rsidRPr="00212923">
        <w:rPr>
          <w:rFonts w:cs="Arial"/>
        </w:rPr>
        <w:t>: 10.23960/</w:t>
      </w:r>
      <w:proofErr w:type="gramStart"/>
      <w:r w:rsidRPr="00212923">
        <w:rPr>
          <w:rFonts w:cs="Arial"/>
        </w:rPr>
        <w:t>jitet.v</w:t>
      </w:r>
      <w:proofErr w:type="gramEnd"/>
      <w:r w:rsidRPr="00212923">
        <w:rPr>
          <w:rFonts w:cs="Arial"/>
        </w:rPr>
        <w:t>12i1.3785.</w:t>
      </w:r>
    </w:p>
    <w:p w14:paraId="1DCDA986" w14:textId="77777777" w:rsidR="008E61E2" w:rsidRPr="00212923" w:rsidRDefault="008E61E2" w:rsidP="00212923">
      <w:pPr>
        <w:pStyle w:val="ListParagraph"/>
        <w:numPr>
          <w:ilvl w:val="0"/>
          <w:numId w:val="7"/>
        </w:numPr>
        <w:rPr>
          <w:rFonts w:cs="Arial"/>
        </w:rPr>
      </w:pPr>
      <w:r w:rsidRPr="00212923">
        <w:rPr>
          <w:rFonts w:cs="Arial"/>
        </w:rPr>
        <w:t xml:space="preserve">Qomaruddin, M., </w:t>
      </w:r>
      <w:proofErr w:type="spellStart"/>
      <w:r w:rsidRPr="00212923">
        <w:rPr>
          <w:rFonts w:cs="Arial"/>
        </w:rPr>
        <w:t>Riansyah</w:t>
      </w:r>
      <w:proofErr w:type="spellEnd"/>
      <w:r w:rsidRPr="00212923">
        <w:rPr>
          <w:rFonts w:cs="Arial"/>
        </w:rPr>
        <w:t xml:space="preserve">, A., &amp; Hermawan, H. M. (2024). Mamdani fuzzy-based water quality monitoring and control system in </w:t>
      </w:r>
      <w:proofErr w:type="spellStart"/>
      <w:r w:rsidRPr="00212923">
        <w:rPr>
          <w:rFonts w:cs="Arial"/>
        </w:rPr>
        <w:t>vannamei</w:t>
      </w:r>
      <w:proofErr w:type="spellEnd"/>
      <w:r w:rsidRPr="00212923">
        <w:rPr>
          <w:rFonts w:cs="Arial"/>
        </w:rPr>
        <w:t xml:space="preserve"> shrimp farming using the internet of things. International Journal of Advances in Applied Sciences, 13(1), 180-187. </w:t>
      </w:r>
      <w:proofErr w:type="spellStart"/>
      <w:r w:rsidRPr="00212923">
        <w:rPr>
          <w:rFonts w:cs="Arial"/>
        </w:rPr>
        <w:t>doi</w:t>
      </w:r>
      <w:proofErr w:type="spellEnd"/>
      <w:r w:rsidRPr="00212923">
        <w:rPr>
          <w:rFonts w:cs="Arial"/>
        </w:rPr>
        <w:t>: 10.11591/</w:t>
      </w:r>
      <w:proofErr w:type="gramStart"/>
      <w:r w:rsidRPr="00212923">
        <w:rPr>
          <w:rFonts w:cs="Arial"/>
        </w:rPr>
        <w:t>ijaas.v13.i1.pp</w:t>
      </w:r>
      <w:proofErr w:type="gramEnd"/>
      <w:r w:rsidRPr="00212923">
        <w:rPr>
          <w:rFonts w:cs="Arial"/>
        </w:rPr>
        <w:t>180-187.</w:t>
      </w:r>
    </w:p>
    <w:p w14:paraId="75ED402F" w14:textId="77777777" w:rsidR="008E61E2" w:rsidRPr="00212923" w:rsidRDefault="008E61E2" w:rsidP="00212923">
      <w:pPr>
        <w:pStyle w:val="ListParagraph"/>
        <w:numPr>
          <w:ilvl w:val="0"/>
          <w:numId w:val="7"/>
        </w:numPr>
        <w:rPr>
          <w:rFonts w:cs="Arial"/>
        </w:rPr>
      </w:pPr>
      <w:r w:rsidRPr="00BB7C53">
        <w:rPr>
          <w:rFonts w:cs="Arial"/>
          <w:lang w:val="es-MX"/>
        </w:rPr>
        <w:t xml:space="preserve">Rahmat, A., </w:t>
      </w:r>
      <w:proofErr w:type="spellStart"/>
      <w:r w:rsidRPr="00BB7C53">
        <w:rPr>
          <w:rFonts w:cs="Arial"/>
          <w:lang w:val="es-MX"/>
        </w:rPr>
        <w:t>Bengen</w:t>
      </w:r>
      <w:proofErr w:type="spellEnd"/>
      <w:r w:rsidRPr="00BB7C53">
        <w:rPr>
          <w:rFonts w:cs="Arial"/>
          <w:lang w:val="es-MX"/>
        </w:rPr>
        <w:t xml:space="preserve">, D. G., </w:t>
      </w:r>
      <w:proofErr w:type="spellStart"/>
      <w:r w:rsidRPr="00BB7C53">
        <w:rPr>
          <w:rFonts w:cs="Arial"/>
          <w:lang w:val="es-MX"/>
        </w:rPr>
        <w:t>Lestari</w:t>
      </w:r>
      <w:proofErr w:type="spellEnd"/>
      <w:r w:rsidRPr="00BB7C53">
        <w:rPr>
          <w:rFonts w:cs="Arial"/>
          <w:lang w:val="es-MX"/>
        </w:rPr>
        <w:t xml:space="preserve">, D. F., Agus, S. B., </w:t>
      </w:r>
      <w:proofErr w:type="spellStart"/>
      <w:r w:rsidRPr="00BB7C53">
        <w:rPr>
          <w:rFonts w:cs="Arial"/>
          <w:lang w:val="es-MX"/>
        </w:rPr>
        <w:t>Pasaribu</w:t>
      </w:r>
      <w:proofErr w:type="spellEnd"/>
      <w:r w:rsidRPr="00BB7C53">
        <w:rPr>
          <w:rFonts w:cs="Arial"/>
          <w:lang w:val="es-MX"/>
        </w:rPr>
        <w:t xml:space="preserve">, R. A., </w:t>
      </w:r>
      <w:proofErr w:type="spellStart"/>
      <w:r w:rsidRPr="00BB7C53">
        <w:rPr>
          <w:rFonts w:cs="Arial"/>
          <w:lang w:val="es-MX"/>
        </w:rPr>
        <w:t>Jusadi</w:t>
      </w:r>
      <w:proofErr w:type="spellEnd"/>
      <w:r w:rsidRPr="00BB7C53">
        <w:rPr>
          <w:rFonts w:cs="Arial"/>
          <w:lang w:val="es-MX"/>
        </w:rPr>
        <w:t xml:space="preserve">, D., &amp; </w:t>
      </w:r>
      <w:proofErr w:type="spellStart"/>
      <w:r w:rsidRPr="00BB7C53">
        <w:rPr>
          <w:rFonts w:cs="Arial"/>
          <w:lang w:val="es-MX"/>
        </w:rPr>
        <w:t>Panggabean</w:t>
      </w:r>
      <w:proofErr w:type="spellEnd"/>
      <w:r w:rsidRPr="00BB7C53">
        <w:rPr>
          <w:rFonts w:cs="Arial"/>
          <w:lang w:val="es-MX"/>
        </w:rPr>
        <w:t xml:space="preserve">, D. (2024). </w:t>
      </w:r>
      <w:r w:rsidRPr="00212923">
        <w:rPr>
          <w:rFonts w:cs="Arial"/>
        </w:rPr>
        <w:t xml:space="preserve">Crab Monitoring System (CMS) using Internet of Things (IoT’s). BIO Web of Conferences, 106, 01001. </w:t>
      </w:r>
      <w:proofErr w:type="spellStart"/>
      <w:r w:rsidRPr="00212923">
        <w:rPr>
          <w:rFonts w:cs="Arial"/>
        </w:rPr>
        <w:t>doi</w:t>
      </w:r>
      <w:proofErr w:type="spellEnd"/>
      <w:r w:rsidRPr="00212923">
        <w:rPr>
          <w:rFonts w:cs="Arial"/>
        </w:rPr>
        <w:t>: 10.1051/</w:t>
      </w:r>
      <w:proofErr w:type="spellStart"/>
      <w:r w:rsidRPr="00212923">
        <w:rPr>
          <w:rFonts w:cs="Arial"/>
        </w:rPr>
        <w:t>bioconf</w:t>
      </w:r>
      <w:proofErr w:type="spellEnd"/>
      <w:r w:rsidRPr="00212923">
        <w:rPr>
          <w:rFonts w:cs="Arial"/>
        </w:rPr>
        <w:t>/202410601001.</w:t>
      </w:r>
    </w:p>
    <w:p w14:paraId="34603FB1" w14:textId="0C77409D" w:rsidR="003A5A9C" w:rsidRPr="00212923" w:rsidRDefault="003A5A9C" w:rsidP="00212923">
      <w:pPr>
        <w:pStyle w:val="ListParagraph"/>
        <w:numPr>
          <w:ilvl w:val="0"/>
          <w:numId w:val="7"/>
        </w:numPr>
        <w:rPr>
          <w:rFonts w:cs="Arial"/>
        </w:rPr>
      </w:pPr>
      <w:proofErr w:type="spellStart"/>
      <w:r w:rsidRPr="00212923">
        <w:rPr>
          <w:rFonts w:cs="Arial"/>
        </w:rPr>
        <w:t>Rastegari</w:t>
      </w:r>
      <w:proofErr w:type="spellEnd"/>
      <w:r w:rsidRPr="00212923">
        <w:rPr>
          <w:rFonts w:cs="Arial"/>
        </w:rPr>
        <w:t xml:space="preserve">, H.; Nadi, F.; Lam, S. S.; </w:t>
      </w:r>
      <w:proofErr w:type="spellStart"/>
      <w:r w:rsidRPr="00212923">
        <w:rPr>
          <w:rFonts w:cs="Arial"/>
        </w:rPr>
        <w:t>Ikhwanuddin</w:t>
      </w:r>
      <w:proofErr w:type="spellEnd"/>
      <w:r w:rsidRPr="00212923">
        <w:rPr>
          <w:rFonts w:cs="Arial"/>
        </w:rPr>
        <w:t xml:space="preserve">, M.; Kasan, N. A.; Rahmat, R. F. and Mahari, W. A. W. (2023). Internet of Things in aquaculture: A review of the challenges and potential solutions based on current and future trends. Smart Agricultural Technology, 4, 100187. </w:t>
      </w:r>
      <w:proofErr w:type="spellStart"/>
      <w:r w:rsidRPr="00212923">
        <w:rPr>
          <w:rFonts w:cs="Arial"/>
        </w:rPr>
        <w:t>doi</w:t>
      </w:r>
      <w:proofErr w:type="spellEnd"/>
      <w:r w:rsidRPr="00212923">
        <w:rPr>
          <w:rFonts w:cs="Arial"/>
        </w:rPr>
        <w:t>: 10.1016/j.atech.2023.100187.</w:t>
      </w:r>
    </w:p>
    <w:p w14:paraId="6A189982" w14:textId="77777777" w:rsidR="008E61E2" w:rsidRPr="00212923" w:rsidRDefault="008E61E2" w:rsidP="00212923">
      <w:pPr>
        <w:pStyle w:val="ListParagraph"/>
        <w:numPr>
          <w:ilvl w:val="0"/>
          <w:numId w:val="7"/>
        </w:numPr>
        <w:rPr>
          <w:rFonts w:cs="Arial"/>
        </w:rPr>
      </w:pPr>
      <w:r w:rsidRPr="00BB7C53">
        <w:rPr>
          <w:rFonts w:cs="Arial"/>
          <w:lang w:val="es-MX"/>
        </w:rPr>
        <w:t xml:space="preserve">Satra, R., Hadi, M. S., </w:t>
      </w:r>
      <w:proofErr w:type="spellStart"/>
      <w:r w:rsidRPr="00BB7C53">
        <w:rPr>
          <w:rFonts w:cs="Arial"/>
          <w:lang w:val="es-MX"/>
        </w:rPr>
        <w:t>Sujito</w:t>
      </w:r>
      <w:proofErr w:type="spellEnd"/>
      <w:r w:rsidRPr="00BB7C53">
        <w:rPr>
          <w:rFonts w:cs="Arial"/>
          <w:lang w:val="es-MX"/>
        </w:rPr>
        <w:t xml:space="preserve">, S., </w:t>
      </w:r>
      <w:proofErr w:type="spellStart"/>
      <w:r w:rsidRPr="00BB7C53">
        <w:rPr>
          <w:rFonts w:cs="Arial"/>
          <w:lang w:val="es-MX"/>
        </w:rPr>
        <w:t>Febryan</w:t>
      </w:r>
      <w:proofErr w:type="spellEnd"/>
      <w:r w:rsidRPr="00BB7C53">
        <w:rPr>
          <w:rFonts w:cs="Arial"/>
          <w:lang w:val="es-MX"/>
        </w:rPr>
        <w:t xml:space="preserve">, F., Fattah, M. H., &amp; </w:t>
      </w:r>
      <w:proofErr w:type="spellStart"/>
      <w:r w:rsidRPr="00BB7C53">
        <w:rPr>
          <w:rFonts w:cs="Arial"/>
          <w:lang w:val="es-MX"/>
        </w:rPr>
        <w:t>Busaeri</w:t>
      </w:r>
      <w:proofErr w:type="spellEnd"/>
      <w:r w:rsidRPr="00BB7C53">
        <w:rPr>
          <w:rFonts w:cs="Arial"/>
          <w:lang w:val="es-MX"/>
        </w:rPr>
        <w:t xml:space="preserve">, S. R. (2024). </w:t>
      </w:r>
      <w:proofErr w:type="spellStart"/>
      <w:r w:rsidRPr="00212923">
        <w:rPr>
          <w:rFonts w:cs="Arial"/>
        </w:rPr>
        <w:t>IoAT</w:t>
      </w:r>
      <w:proofErr w:type="spellEnd"/>
      <w:r w:rsidRPr="00212923">
        <w:rPr>
          <w:rFonts w:cs="Arial"/>
        </w:rPr>
        <w:t xml:space="preserve">: Internet of Aquaculture Things for Monitoring Water Temperature in Tiger Shrimp Ponds with DS18B20 Sensors and </w:t>
      </w:r>
      <w:proofErr w:type="spellStart"/>
      <w:r w:rsidRPr="00212923">
        <w:rPr>
          <w:rFonts w:cs="Arial"/>
        </w:rPr>
        <w:t>WeMos</w:t>
      </w:r>
      <w:proofErr w:type="spellEnd"/>
      <w:r w:rsidRPr="00212923">
        <w:rPr>
          <w:rFonts w:cs="Arial"/>
        </w:rPr>
        <w:t xml:space="preserve"> D1 R2. Journal of Robotics and Control (JRC), 5(1). </w:t>
      </w:r>
      <w:proofErr w:type="spellStart"/>
      <w:r w:rsidRPr="00212923">
        <w:rPr>
          <w:rFonts w:cs="Arial"/>
        </w:rPr>
        <w:t>doi</w:t>
      </w:r>
      <w:proofErr w:type="spellEnd"/>
      <w:r w:rsidRPr="00212923">
        <w:rPr>
          <w:rFonts w:cs="Arial"/>
        </w:rPr>
        <w:t>: 10.18196/</w:t>
      </w:r>
      <w:proofErr w:type="gramStart"/>
      <w:r w:rsidRPr="00212923">
        <w:rPr>
          <w:rFonts w:cs="Arial"/>
        </w:rPr>
        <w:t>jrc.v</w:t>
      </w:r>
      <w:proofErr w:type="gramEnd"/>
      <w:r w:rsidRPr="00212923">
        <w:rPr>
          <w:rFonts w:cs="Arial"/>
        </w:rPr>
        <w:t>5i1.18470.</w:t>
      </w:r>
    </w:p>
    <w:p w14:paraId="4CC5F0E2" w14:textId="77777777" w:rsidR="008E61E2" w:rsidRPr="00212923" w:rsidRDefault="008E61E2" w:rsidP="00212923">
      <w:pPr>
        <w:pStyle w:val="ListParagraph"/>
        <w:numPr>
          <w:ilvl w:val="0"/>
          <w:numId w:val="7"/>
        </w:numPr>
        <w:rPr>
          <w:rFonts w:cs="Arial"/>
        </w:rPr>
      </w:pPr>
      <w:r w:rsidRPr="00212923">
        <w:rPr>
          <w:rFonts w:cs="Arial"/>
        </w:rPr>
        <w:t xml:space="preserve">Setiawan, B., &amp; </w:t>
      </w:r>
      <w:proofErr w:type="spellStart"/>
      <w:r w:rsidRPr="00212923">
        <w:rPr>
          <w:rFonts w:cs="Arial"/>
        </w:rPr>
        <w:t>Surantha</w:t>
      </w:r>
      <w:proofErr w:type="spellEnd"/>
      <w:r w:rsidRPr="00212923">
        <w:rPr>
          <w:rFonts w:cs="Arial"/>
        </w:rPr>
        <w:t xml:space="preserve">, N. (2024). Smart Aquaculture Design for </w:t>
      </w:r>
      <w:proofErr w:type="spellStart"/>
      <w:r w:rsidRPr="00212923">
        <w:rPr>
          <w:rFonts w:cs="Arial"/>
        </w:rPr>
        <w:t>Vannamei</w:t>
      </w:r>
      <w:proofErr w:type="spellEnd"/>
      <w:r w:rsidRPr="00212923">
        <w:rPr>
          <w:rFonts w:cs="Arial"/>
        </w:rPr>
        <w:t xml:space="preserve"> Shrimp Farming Based on Quality Function Development. </w:t>
      </w:r>
      <w:proofErr w:type="spellStart"/>
      <w:r w:rsidRPr="00212923">
        <w:rPr>
          <w:rFonts w:cs="Arial"/>
        </w:rPr>
        <w:t>CommIT</w:t>
      </w:r>
      <w:proofErr w:type="spellEnd"/>
      <w:r w:rsidRPr="00212923">
        <w:rPr>
          <w:rFonts w:cs="Arial"/>
        </w:rPr>
        <w:t xml:space="preserve"> (Communication and Information Technology) Journal, 18(2), 229-250. </w:t>
      </w:r>
      <w:proofErr w:type="spellStart"/>
      <w:r w:rsidRPr="00212923">
        <w:rPr>
          <w:rFonts w:cs="Arial"/>
        </w:rPr>
        <w:t>doi</w:t>
      </w:r>
      <w:proofErr w:type="spellEnd"/>
      <w:r w:rsidRPr="00212923">
        <w:rPr>
          <w:rFonts w:cs="Arial"/>
        </w:rPr>
        <w:t>: 10.21512/</w:t>
      </w:r>
      <w:proofErr w:type="gramStart"/>
      <w:r w:rsidRPr="00212923">
        <w:rPr>
          <w:rFonts w:cs="Arial"/>
        </w:rPr>
        <w:t>commit.v</w:t>
      </w:r>
      <w:proofErr w:type="gramEnd"/>
      <w:r w:rsidRPr="00212923">
        <w:rPr>
          <w:rFonts w:cs="Arial"/>
        </w:rPr>
        <w:t>18i2.9466.</w:t>
      </w:r>
    </w:p>
    <w:p w14:paraId="60B6F414" w14:textId="77777777" w:rsidR="008E61E2" w:rsidRPr="00212923" w:rsidRDefault="008E61E2" w:rsidP="00212923">
      <w:pPr>
        <w:pStyle w:val="ListParagraph"/>
        <w:numPr>
          <w:ilvl w:val="0"/>
          <w:numId w:val="7"/>
        </w:numPr>
        <w:rPr>
          <w:rFonts w:cs="Arial"/>
        </w:rPr>
      </w:pPr>
      <w:r w:rsidRPr="00212923">
        <w:rPr>
          <w:rFonts w:cs="Arial"/>
        </w:rPr>
        <w:t xml:space="preserve">Shete, R. P., </w:t>
      </w:r>
      <w:proofErr w:type="spellStart"/>
      <w:r w:rsidRPr="00212923">
        <w:rPr>
          <w:rFonts w:cs="Arial"/>
        </w:rPr>
        <w:t>Bongale</w:t>
      </w:r>
      <w:proofErr w:type="spellEnd"/>
      <w:r w:rsidRPr="00212923">
        <w:rPr>
          <w:rFonts w:cs="Arial"/>
        </w:rPr>
        <w:t xml:space="preserve">, A. M., &amp; </w:t>
      </w:r>
      <w:proofErr w:type="spellStart"/>
      <w:r w:rsidRPr="00212923">
        <w:rPr>
          <w:rFonts w:cs="Arial"/>
        </w:rPr>
        <w:t>Dharrao</w:t>
      </w:r>
      <w:proofErr w:type="spellEnd"/>
      <w:r w:rsidRPr="00212923">
        <w:rPr>
          <w:rFonts w:cs="Arial"/>
        </w:rPr>
        <w:t xml:space="preserve">, D. (2024). IoT-enabled effective real-time water quality monitoring method for aquaculture. </w:t>
      </w:r>
      <w:proofErr w:type="spellStart"/>
      <w:r w:rsidRPr="00212923">
        <w:rPr>
          <w:rFonts w:cs="Arial"/>
        </w:rPr>
        <w:t>MethodsX</w:t>
      </w:r>
      <w:proofErr w:type="spellEnd"/>
      <w:r w:rsidRPr="00212923">
        <w:rPr>
          <w:rFonts w:cs="Arial"/>
        </w:rPr>
        <w:t xml:space="preserve">, 13, 102906. </w:t>
      </w:r>
      <w:proofErr w:type="spellStart"/>
      <w:r w:rsidRPr="00212923">
        <w:rPr>
          <w:rFonts w:cs="Arial"/>
        </w:rPr>
        <w:t>doi</w:t>
      </w:r>
      <w:proofErr w:type="spellEnd"/>
      <w:r w:rsidRPr="00212923">
        <w:rPr>
          <w:rFonts w:cs="Arial"/>
        </w:rPr>
        <w:t>: 10.1016/j.mex.2024.102906.</w:t>
      </w:r>
    </w:p>
    <w:p w14:paraId="65BE8545" w14:textId="77777777" w:rsidR="008E61E2" w:rsidRPr="00BB7C53" w:rsidRDefault="008E61E2" w:rsidP="00212923">
      <w:pPr>
        <w:pStyle w:val="ListParagraph"/>
        <w:numPr>
          <w:ilvl w:val="0"/>
          <w:numId w:val="7"/>
        </w:numPr>
        <w:rPr>
          <w:rFonts w:cs="Arial"/>
          <w:lang w:val="es-MX"/>
        </w:rPr>
      </w:pPr>
      <w:proofErr w:type="spellStart"/>
      <w:r w:rsidRPr="00BB7C53">
        <w:rPr>
          <w:rFonts w:cs="Arial"/>
          <w:lang w:val="es-MX"/>
        </w:rPr>
        <w:lastRenderedPageBreak/>
        <w:t>Silalahi</w:t>
      </w:r>
      <w:proofErr w:type="spellEnd"/>
      <w:r w:rsidRPr="00BB7C53">
        <w:rPr>
          <w:rFonts w:cs="Arial"/>
          <w:lang w:val="es-MX"/>
        </w:rPr>
        <w:t xml:space="preserve">, E., </w:t>
      </w:r>
      <w:proofErr w:type="spellStart"/>
      <w:r w:rsidRPr="00BB7C53">
        <w:rPr>
          <w:rFonts w:cs="Arial"/>
          <w:lang w:val="es-MX"/>
        </w:rPr>
        <w:t>Suprayogi</w:t>
      </w:r>
      <w:proofErr w:type="spellEnd"/>
      <w:r w:rsidRPr="00BB7C53">
        <w:rPr>
          <w:rFonts w:cs="Arial"/>
          <w:lang w:val="es-MX"/>
        </w:rPr>
        <w:t xml:space="preserve">, A., &amp; </w:t>
      </w:r>
      <w:proofErr w:type="spellStart"/>
      <w:r w:rsidRPr="00BB7C53">
        <w:rPr>
          <w:rFonts w:cs="Arial"/>
          <w:lang w:val="es-MX"/>
        </w:rPr>
        <w:t>Sukmono</w:t>
      </w:r>
      <w:proofErr w:type="spellEnd"/>
      <w:r w:rsidRPr="00BB7C53">
        <w:rPr>
          <w:rFonts w:cs="Arial"/>
          <w:lang w:val="es-MX"/>
        </w:rPr>
        <w:t xml:space="preserve">, A. (2018). Studi </w:t>
      </w:r>
      <w:proofErr w:type="spellStart"/>
      <w:r w:rsidRPr="00BB7C53">
        <w:rPr>
          <w:rFonts w:cs="Arial"/>
          <w:lang w:val="es-MX"/>
        </w:rPr>
        <w:t>Pengaruh</w:t>
      </w:r>
      <w:proofErr w:type="spellEnd"/>
      <w:r w:rsidRPr="00BB7C53">
        <w:rPr>
          <w:rFonts w:cs="Arial"/>
          <w:lang w:val="es-MX"/>
        </w:rPr>
        <w:t xml:space="preserve"> Keramba Jaring </w:t>
      </w:r>
      <w:proofErr w:type="spellStart"/>
      <w:r w:rsidRPr="00BB7C53">
        <w:rPr>
          <w:rFonts w:cs="Arial"/>
          <w:lang w:val="es-MX"/>
        </w:rPr>
        <w:t>Apung</w:t>
      </w:r>
      <w:proofErr w:type="spellEnd"/>
      <w:r w:rsidRPr="00BB7C53">
        <w:rPr>
          <w:rFonts w:cs="Arial"/>
          <w:lang w:val="es-MX"/>
        </w:rPr>
        <w:t xml:space="preserve"> (KJA) </w:t>
      </w:r>
      <w:proofErr w:type="spellStart"/>
      <w:r w:rsidRPr="00BB7C53">
        <w:rPr>
          <w:rFonts w:cs="Arial"/>
          <w:lang w:val="es-MX"/>
        </w:rPr>
        <w:t>Terhadap</w:t>
      </w:r>
      <w:proofErr w:type="spellEnd"/>
      <w:r w:rsidRPr="00BB7C53">
        <w:rPr>
          <w:rFonts w:cs="Arial"/>
          <w:lang w:val="es-MX"/>
        </w:rPr>
        <w:t xml:space="preserve"> </w:t>
      </w:r>
      <w:proofErr w:type="spellStart"/>
      <w:r w:rsidRPr="00BB7C53">
        <w:rPr>
          <w:rFonts w:cs="Arial"/>
          <w:lang w:val="es-MX"/>
        </w:rPr>
        <w:t>Kualitas</w:t>
      </w:r>
      <w:proofErr w:type="spellEnd"/>
      <w:r w:rsidRPr="00BB7C53">
        <w:rPr>
          <w:rFonts w:cs="Arial"/>
          <w:lang w:val="es-MX"/>
        </w:rPr>
        <w:t xml:space="preserve"> Air di </w:t>
      </w:r>
      <w:proofErr w:type="spellStart"/>
      <w:r w:rsidRPr="00BB7C53">
        <w:rPr>
          <w:rFonts w:cs="Arial"/>
          <w:lang w:val="es-MX"/>
        </w:rPr>
        <w:t>Waduk</w:t>
      </w:r>
      <w:proofErr w:type="spellEnd"/>
      <w:r w:rsidRPr="00BB7C53">
        <w:rPr>
          <w:rFonts w:cs="Arial"/>
          <w:lang w:val="es-MX"/>
        </w:rPr>
        <w:t xml:space="preserve"> </w:t>
      </w:r>
      <w:proofErr w:type="spellStart"/>
      <w:r w:rsidRPr="00BB7C53">
        <w:rPr>
          <w:rFonts w:cs="Arial"/>
          <w:lang w:val="es-MX"/>
        </w:rPr>
        <w:t>Kedung</w:t>
      </w:r>
      <w:proofErr w:type="spellEnd"/>
      <w:r w:rsidRPr="00BB7C53">
        <w:rPr>
          <w:rFonts w:cs="Arial"/>
          <w:lang w:val="es-MX"/>
        </w:rPr>
        <w:t xml:space="preserve"> Ombo </w:t>
      </w:r>
      <w:proofErr w:type="spellStart"/>
      <w:r w:rsidRPr="00BB7C53">
        <w:rPr>
          <w:rFonts w:cs="Arial"/>
          <w:lang w:val="es-MX"/>
        </w:rPr>
        <w:t>dengan</w:t>
      </w:r>
      <w:proofErr w:type="spellEnd"/>
      <w:r w:rsidRPr="00BB7C53">
        <w:rPr>
          <w:rFonts w:cs="Arial"/>
          <w:lang w:val="es-MX"/>
        </w:rPr>
        <w:t xml:space="preserve"> Citra Landsat-8 Multitemporal. </w:t>
      </w:r>
      <w:proofErr w:type="spellStart"/>
      <w:r w:rsidRPr="00BB7C53">
        <w:rPr>
          <w:rFonts w:cs="Arial"/>
          <w:lang w:val="es-MX"/>
        </w:rPr>
        <w:t>Jurnal</w:t>
      </w:r>
      <w:proofErr w:type="spellEnd"/>
      <w:r w:rsidRPr="00BB7C53">
        <w:rPr>
          <w:rFonts w:cs="Arial"/>
          <w:lang w:val="es-MX"/>
        </w:rPr>
        <w:t xml:space="preserve"> </w:t>
      </w:r>
      <w:proofErr w:type="spellStart"/>
      <w:r w:rsidRPr="00BB7C53">
        <w:rPr>
          <w:rFonts w:cs="Arial"/>
          <w:lang w:val="es-MX"/>
        </w:rPr>
        <w:t>Geodesi</w:t>
      </w:r>
      <w:proofErr w:type="spellEnd"/>
      <w:r w:rsidRPr="00BB7C53">
        <w:rPr>
          <w:rFonts w:cs="Arial"/>
          <w:lang w:val="es-MX"/>
        </w:rPr>
        <w:t xml:space="preserve"> Undip, 7(4). </w:t>
      </w:r>
      <w:proofErr w:type="spellStart"/>
      <w:r w:rsidRPr="00BB7C53">
        <w:rPr>
          <w:rFonts w:cs="Arial"/>
          <w:lang w:val="es-MX"/>
        </w:rPr>
        <w:t>doi</w:t>
      </w:r>
      <w:proofErr w:type="spellEnd"/>
      <w:r w:rsidRPr="00BB7C53">
        <w:rPr>
          <w:rFonts w:cs="Arial"/>
          <w:lang w:val="es-MX"/>
        </w:rPr>
        <w:t>: 10.14710/jgundip.2018.22434.</w:t>
      </w:r>
    </w:p>
    <w:p w14:paraId="2CE1CC28" w14:textId="72FE9C4F" w:rsidR="008E61E2" w:rsidRPr="00212923" w:rsidRDefault="008E61E2" w:rsidP="00212923">
      <w:pPr>
        <w:pStyle w:val="ListParagraph"/>
        <w:numPr>
          <w:ilvl w:val="0"/>
          <w:numId w:val="7"/>
        </w:numPr>
        <w:rPr>
          <w:rFonts w:cs="Arial"/>
        </w:rPr>
      </w:pPr>
      <w:r w:rsidRPr="00BB7C53">
        <w:rPr>
          <w:rFonts w:cs="Arial"/>
          <w:lang w:val="es-MX"/>
        </w:rPr>
        <w:t xml:space="preserve">Siregar, V. P. (2010). </w:t>
      </w:r>
      <w:proofErr w:type="spellStart"/>
      <w:r w:rsidRPr="00BB7C53">
        <w:rPr>
          <w:rFonts w:cs="Arial"/>
          <w:lang w:val="es-MX"/>
        </w:rPr>
        <w:t>Pemetaan</w:t>
      </w:r>
      <w:proofErr w:type="spellEnd"/>
      <w:r w:rsidRPr="00BB7C53">
        <w:rPr>
          <w:rFonts w:cs="Arial"/>
          <w:lang w:val="es-MX"/>
        </w:rPr>
        <w:t xml:space="preserve"> </w:t>
      </w:r>
      <w:proofErr w:type="spellStart"/>
      <w:r w:rsidRPr="00BB7C53">
        <w:rPr>
          <w:rFonts w:cs="Arial"/>
          <w:lang w:val="es-MX"/>
        </w:rPr>
        <w:t>Substrat</w:t>
      </w:r>
      <w:proofErr w:type="spellEnd"/>
      <w:r w:rsidRPr="00BB7C53">
        <w:rPr>
          <w:rFonts w:cs="Arial"/>
          <w:lang w:val="es-MX"/>
        </w:rPr>
        <w:t xml:space="preserve"> </w:t>
      </w:r>
      <w:proofErr w:type="spellStart"/>
      <w:r w:rsidRPr="00BB7C53">
        <w:rPr>
          <w:rFonts w:cs="Arial"/>
          <w:lang w:val="es-MX"/>
        </w:rPr>
        <w:t>Dasar</w:t>
      </w:r>
      <w:proofErr w:type="spellEnd"/>
      <w:r w:rsidRPr="00BB7C53">
        <w:rPr>
          <w:rFonts w:cs="Arial"/>
          <w:lang w:val="es-MX"/>
        </w:rPr>
        <w:t xml:space="preserve"> </w:t>
      </w:r>
      <w:proofErr w:type="spellStart"/>
      <w:r w:rsidRPr="00BB7C53">
        <w:rPr>
          <w:rFonts w:cs="Arial"/>
          <w:lang w:val="es-MX"/>
        </w:rPr>
        <w:t>Perairan</w:t>
      </w:r>
      <w:proofErr w:type="spellEnd"/>
      <w:r w:rsidRPr="00BB7C53">
        <w:rPr>
          <w:rFonts w:cs="Arial"/>
          <w:lang w:val="es-MX"/>
        </w:rPr>
        <w:t xml:space="preserve"> Dangkal Karang Congkak dan Lebar Kepulauan Seribu Menggunakan Citra </w:t>
      </w:r>
      <w:proofErr w:type="spellStart"/>
      <w:r w:rsidRPr="00BB7C53">
        <w:rPr>
          <w:rFonts w:cs="Arial"/>
          <w:lang w:val="es-MX"/>
        </w:rPr>
        <w:t>Satelit</w:t>
      </w:r>
      <w:proofErr w:type="spellEnd"/>
      <w:r w:rsidRPr="00BB7C53">
        <w:rPr>
          <w:rFonts w:cs="Arial"/>
          <w:lang w:val="es-MX"/>
        </w:rPr>
        <w:t xml:space="preserve"> Quick Bird. </w:t>
      </w:r>
      <w:proofErr w:type="spellStart"/>
      <w:r w:rsidRPr="00212923">
        <w:rPr>
          <w:rFonts w:cs="Arial"/>
        </w:rPr>
        <w:t>Jurnal</w:t>
      </w:r>
      <w:proofErr w:type="spellEnd"/>
      <w:r w:rsidRPr="00212923">
        <w:rPr>
          <w:rFonts w:cs="Arial"/>
        </w:rPr>
        <w:t xml:space="preserve"> </w:t>
      </w:r>
      <w:proofErr w:type="spellStart"/>
      <w:r w:rsidRPr="00212923">
        <w:rPr>
          <w:rFonts w:cs="Arial"/>
        </w:rPr>
        <w:t>Ilmu</w:t>
      </w:r>
      <w:proofErr w:type="spellEnd"/>
      <w:r w:rsidRPr="00212923">
        <w:rPr>
          <w:rFonts w:cs="Arial"/>
        </w:rPr>
        <w:t xml:space="preserve"> dan </w:t>
      </w:r>
      <w:proofErr w:type="spellStart"/>
      <w:r w:rsidRPr="00212923">
        <w:rPr>
          <w:rFonts w:cs="Arial"/>
        </w:rPr>
        <w:t>Teknologi</w:t>
      </w:r>
      <w:proofErr w:type="spellEnd"/>
      <w:r w:rsidRPr="00212923">
        <w:rPr>
          <w:rFonts w:cs="Arial"/>
        </w:rPr>
        <w:t xml:space="preserve"> </w:t>
      </w:r>
      <w:proofErr w:type="spellStart"/>
      <w:r w:rsidRPr="00212923">
        <w:rPr>
          <w:rFonts w:cs="Arial"/>
        </w:rPr>
        <w:t>Kelautan</w:t>
      </w:r>
      <w:proofErr w:type="spellEnd"/>
      <w:r w:rsidRPr="00212923">
        <w:rPr>
          <w:rFonts w:cs="Arial"/>
        </w:rPr>
        <w:t xml:space="preserve"> Tropis, 2(1). </w:t>
      </w:r>
      <w:proofErr w:type="spellStart"/>
      <w:r w:rsidRPr="00212923">
        <w:rPr>
          <w:rFonts w:cs="Arial"/>
        </w:rPr>
        <w:t>doi</w:t>
      </w:r>
      <w:proofErr w:type="spellEnd"/>
      <w:r w:rsidRPr="00212923">
        <w:rPr>
          <w:rFonts w:cs="Arial"/>
        </w:rPr>
        <w:t>: 10.29244/</w:t>
      </w:r>
      <w:proofErr w:type="gramStart"/>
      <w:r w:rsidRPr="00212923">
        <w:rPr>
          <w:rFonts w:cs="Arial"/>
        </w:rPr>
        <w:t>jitkt.v</w:t>
      </w:r>
      <w:proofErr w:type="gramEnd"/>
      <w:r w:rsidRPr="00212923">
        <w:rPr>
          <w:rFonts w:cs="Arial"/>
        </w:rPr>
        <w:t>2i1.7860.</w:t>
      </w:r>
    </w:p>
    <w:p w14:paraId="5ADBFB64" w14:textId="726FC3E6" w:rsidR="003A5A9C" w:rsidRPr="00212923" w:rsidRDefault="003A5A9C" w:rsidP="00212923">
      <w:pPr>
        <w:pStyle w:val="ListParagraph"/>
        <w:numPr>
          <w:ilvl w:val="0"/>
          <w:numId w:val="7"/>
        </w:numPr>
        <w:rPr>
          <w:rFonts w:cs="Arial"/>
        </w:rPr>
      </w:pPr>
      <w:r w:rsidRPr="00212923">
        <w:rPr>
          <w:rFonts w:cs="Arial"/>
        </w:rPr>
        <w:t xml:space="preserve">Wang, C.; Li, Z.; Wang, T.; Xu, X.; Zhang, X. and Li, D. (2021). Intelligent fish farm—the future of aquaculture. Aquaculture International, 29, 2681–2711. </w:t>
      </w:r>
      <w:proofErr w:type="spellStart"/>
      <w:r w:rsidRPr="00212923">
        <w:rPr>
          <w:rFonts w:cs="Arial"/>
        </w:rPr>
        <w:t>doi</w:t>
      </w:r>
      <w:proofErr w:type="spellEnd"/>
      <w:r w:rsidRPr="00212923">
        <w:rPr>
          <w:rFonts w:cs="Arial"/>
        </w:rPr>
        <w:t>: 10.1007/s10499-021-00773-8.</w:t>
      </w:r>
    </w:p>
    <w:p w14:paraId="559DAF81" w14:textId="1154F873" w:rsidR="003A5A9C" w:rsidRPr="00212923" w:rsidRDefault="003A5A9C" w:rsidP="00212923">
      <w:pPr>
        <w:pStyle w:val="ListParagraph"/>
        <w:numPr>
          <w:ilvl w:val="0"/>
          <w:numId w:val="7"/>
        </w:numPr>
        <w:tabs>
          <w:tab w:val="left" w:pos="8295"/>
        </w:tabs>
        <w:rPr>
          <w:rFonts w:cs="Arial"/>
        </w:rPr>
      </w:pPr>
      <w:proofErr w:type="spellStart"/>
      <w:r w:rsidRPr="00212923">
        <w:rPr>
          <w:rFonts w:cs="Arial"/>
        </w:rPr>
        <w:t>Zuhaer</w:t>
      </w:r>
      <w:proofErr w:type="spellEnd"/>
      <w:r w:rsidRPr="00212923">
        <w:rPr>
          <w:rFonts w:cs="Arial"/>
        </w:rPr>
        <w:t xml:space="preserve">, A.; </w:t>
      </w:r>
      <w:proofErr w:type="spellStart"/>
      <w:r w:rsidRPr="00212923">
        <w:rPr>
          <w:rFonts w:cs="Arial"/>
        </w:rPr>
        <w:t>Khandoker</w:t>
      </w:r>
      <w:proofErr w:type="spellEnd"/>
      <w:r w:rsidRPr="00212923">
        <w:rPr>
          <w:rFonts w:cs="Arial"/>
        </w:rPr>
        <w:t xml:space="preserve">, A.; Enayet, N.; Partha, P. K. P. and Awal, M. A. (2025). Sustainable aquaculture: An IoT-integrated system for real-time water quality monitoring featuring advanced DO and ammonia sensors. Aquacultural Engineering, 109, 102620. </w:t>
      </w:r>
      <w:proofErr w:type="spellStart"/>
      <w:r w:rsidRPr="00212923">
        <w:rPr>
          <w:rFonts w:cs="Arial"/>
        </w:rPr>
        <w:t>doi</w:t>
      </w:r>
      <w:proofErr w:type="spellEnd"/>
      <w:r w:rsidRPr="00212923">
        <w:rPr>
          <w:rFonts w:cs="Arial"/>
        </w:rPr>
        <w:t>: 10.1016/j.aquaeng.2025.102620.</w:t>
      </w:r>
    </w:p>
    <w:sectPr w:rsidR="003A5A9C" w:rsidRPr="00212923" w:rsidSect="00744B1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59C22" w14:textId="77777777" w:rsidR="009467B5" w:rsidRDefault="009467B5">
      <w:pPr>
        <w:spacing w:line="240" w:lineRule="auto"/>
      </w:pPr>
      <w:r>
        <w:separator/>
      </w:r>
    </w:p>
  </w:endnote>
  <w:endnote w:type="continuationSeparator" w:id="0">
    <w:p w14:paraId="76FD8637" w14:textId="77777777" w:rsidR="009467B5" w:rsidRDefault="009467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969B" w14:textId="77777777" w:rsidR="00744B13" w:rsidRDefault="00744B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75BA6" w14:textId="77777777" w:rsidR="00744B13" w:rsidRDefault="00744B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82F08" w14:textId="527D016B" w:rsidR="009B21C9" w:rsidRPr="00744B13" w:rsidRDefault="009B21C9" w:rsidP="00744B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E1448" w14:textId="77777777" w:rsidR="009467B5" w:rsidRDefault="009467B5">
      <w:pPr>
        <w:spacing w:line="240" w:lineRule="auto"/>
      </w:pPr>
      <w:r>
        <w:separator/>
      </w:r>
    </w:p>
  </w:footnote>
  <w:footnote w:type="continuationSeparator" w:id="0">
    <w:p w14:paraId="766F0A2E" w14:textId="77777777" w:rsidR="009467B5" w:rsidRDefault="009467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1D32" w14:textId="4292305C" w:rsidR="00744B13" w:rsidRDefault="00000000">
    <w:pPr>
      <w:pStyle w:val="Header"/>
    </w:pPr>
    <w:r>
      <w:rPr>
        <w:noProof/>
      </w:rPr>
      <w:pict w14:anchorId="39BA7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803047"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95E17" w14:textId="020D4782" w:rsidR="00744B13" w:rsidRDefault="00000000">
    <w:pPr>
      <w:pStyle w:val="Header"/>
    </w:pPr>
    <w:r>
      <w:rPr>
        <w:noProof/>
      </w:rPr>
      <w:pict w14:anchorId="113A3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803048"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68D33" w14:textId="107C6BCA" w:rsidR="009B21C9" w:rsidRPr="00296529" w:rsidRDefault="00000000" w:rsidP="00296529">
    <w:pPr>
      <w:ind w:left="2160"/>
      <w:jc w:val="center"/>
      <w:rPr>
        <w:rFonts w:ascii="Times New Roman" w:eastAsia="Calibri" w:hAnsi="Times New Roman"/>
        <w:i/>
        <w:sz w:val="18"/>
      </w:rPr>
    </w:pPr>
    <w:r>
      <w:rPr>
        <w:noProof/>
      </w:rPr>
      <w:pict w14:anchorId="3244B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803046" o:spid="_x0000_s1025"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1CC3E9DF" w14:textId="77777777" w:rsidR="009B21C9" w:rsidRPr="00296529" w:rsidRDefault="009B21C9" w:rsidP="00296529">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22EFCBBB" w14:textId="77777777" w:rsidR="009B21C9" w:rsidRPr="00296529" w:rsidRDefault="009B21C9" w:rsidP="00296529">
    <w:pPr>
      <w:jc w:val="center"/>
      <w:rPr>
        <w:rFonts w:ascii="Times New Roman" w:eastAsia="Calibri" w:hAnsi="Times New Roman"/>
        <w:i/>
        <w:sz w:val="18"/>
      </w:rPr>
    </w:pPr>
    <w:r>
      <w:rPr>
        <w:rFonts w:ascii="Times New Roman" w:eastAsia="Calibri" w:hAnsi="Times New Roman"/>
        <w:i/>
        <w:sz w:val="18"/>
      </w:rPr>
      <w:t>.</w:t>
    </w:r>
  </w:p>
  <w:p w14:paraId="646795DB" w14:textId="77777777" w:rsidR="009B21C9" w:rsidRPr="00296529" w:rsidRDefault="009B21C9" w:rsidP="00296529">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74ECD2FD" w14:textId="77777777" w:rsidR="009B21C9" w:rsidRDefault="009B21C9"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3C672B59" w14:textId="77777777" w:rsidR="009B21C9" w:rsidRDefault="009B21C9" w:rsidP="00296529">
    <w:pPr>
      <w:tabs>
        <w:tab w:val="left" w:pos="2145"/>
      </w:tabs>
      <w:rPr>
        <w:rFonts w:ascii="Times New Roman" w:eastAsia="Calibri" w:hAnsi="Times New Roman"/>
        <w:i/>
        <w:sz w:val="18"/>
      </w:rPr>
    </w:pPr>
    <w:r>
      <w:rPr>
        <w:rFonts w:ascii="Times New Roman" w:eastAsia="Calibri" w:hAnsi="Times New Roman"/>
        <w:i/>
        <w:sz w:val="18"/>
      </w:rPr>
      <w:tab/>
      <w:t>.</w:t>
    </w:r>
  </w:p>
  <w:p w14:paraId="5CF6BD7D" w14:textId="77777777" w:rsidR="009B21C9" w:rsidRDefault="009B21C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291E"/>
    <w:multiLevelType w:val="hybridMultilevel"/>
    <w:tmpl w:val="361C1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580A17"/>
    <w:multiLevelType w:val="hybridMultilevel"/>
    <w:tmpl w:val="AE3EED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DAA5452"/>
    <w:multiLevelType w:val="hybridMultilevel"/>
    <w:tmpl w:val="158A9C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9D95CE3"/>
    <w:multiLevelType w:val="hybridMultilevel"/>
    <w:tmpl w:val="70AE6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4A455C"/>
    <w:multiLevelType w:val="hybridMultilevel"/>
    <w:tmpl w:val="23CA5FB8"/>
    <w:lvl w:ilvl="0" w:tplc="1E16B7B2">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EBD3323"/>
    <w:multiLevelType w:val="hybridMultilevel"/>
    <w:tmpl w:val="5644D7BA"/>
    <w:lvl w:ilvl="0" w:tplc="9BDEFCAE">
      <w:start w:val="1"/>
      <w:numFmt w:val="decimal"/>
      <w:pStyle w:val="Heading1"/>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BA250D1"/>
    <w:multiLevelType w:val="hybridMultilevel"/>
    <w:tmpl w:val="3304AA2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7E304C99"/>
    <w:multiLevelType w:val="hybridMultilevel"/>
    <w:tmpl w:val="A0686840"/>
    <w:lvl w:ilvl="0" w:tplc="1E16B7B2">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30676879">
    <w:abstractNumId w:val="6"/>
  </w:num>
  <w:num w:numId="2" w16cid:durableId="1891383968">
    <w:abstractNumId w:val="1"/>
  </w:num>
  <w:num w:numId="3" w16cid:durableId="921139848">
    <w:abstractNumId w:val="5"/>
  </w:num>
  <w:num w:numId="4" w16cid:durableId="1570069139">
    <w:abstractNumId w:val="4"/>
  </w:num>
  <w:num w:numId="5" w16cid:durableId="1166242368">
    <w:abstractNumId w:val="7"/>
  </w:num>
  <w:num w:numId="6" w16cid:durableId="2045708315">
    <w:abstractNumId w:val="3"/>
  </w:num>
  <w:num w:numId="7" w16cid:durableId="2146578960">
    <w:abstractNumId w:val="2"/>
  </w:num>
  <w:num w:numId="8" w16cid:durableId="1910382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49B"/>
    <w:rsid w:val="0000674F"/>
    <w:rsid w:val="00020F4E"/>
    <w:rsid w:val="00061302"/>
    <w:rsid w:val="00065097"/>
    <w:rsid w:val="000B611B"/>
    <w:rsid w:val="000D48A0"/>
    <w:rsid w:val="001348DF"/>
    <w:rsid w:val="00136AD3"/>
    <w:rsid w:val="001675FE"/>
    <w:rsid w:val="001848D3"/>
    <w:rsid w:val="0019348E"/>
    <w:rsid w:val="001B571B"/>
    <w:rsid w:val="00212923"/>
    <w:rsid w:val="002467BA"/>
    <w:rsid w:val="00261A9D"/>
    <w:rsid w:val="0027367C"/>
    <w:rsid w:val="002C3917"/>
    <w:rsid w:val="002D204F"/>
    <w:rsid w:val="00307D19"/>
    <w:rsid w:val="00361D2E"/>
    <w:rsid w:val="003A07AF"/>
    <w:rsid w:val="003A49F8"/>
    <w:rsid w:val="003A5A9C"/>
    <w:rsid w:val="003A69A2"/>
    <w:rsid w:val="003D43D0"/>
    <w:rsid w:val="004278F4"/>
    <w:rsid w:val="0045349B"/>
    <w:rsid w:val="004862D8"/>
    <w:rsid w:val="004D30EC"/>
    <w:rsid w:val="00505EE7"/>
    <w:rsid w:val="00506B7A"/>
    <w:rsid w:val="00517F4F"/>
    <w:rsid w:val="0053533F"/>
    <w:rsid w:val="00557962"/>
    <w:rsid w:val="00566DE1"/>
    <w:rsid w:val="005868AF"/>
    <w:rsid w:val="005B7AE6"/>
    <w:rsid w:val="005D68E1"/>
    <w:rsid w:val="005E35C9"/>
    <w:rsid w:val="005E5A10"/>
    <w:rsid w:val="005F5EEA"/>
    <w:rsid w:val="00621639"/>
    <w:rsid w:val="00655F2E"/>
    <w:rsid w:val="00674BF2"/>
    <w:rsid w:val="00685618"/>
    <w:rsid w:val="006D7EEB"/>
    <w:rsid w:val="007067A8"/>
    <w:rsid w:val="00741E27"/>
    <w:rsid w:val="00744B13"/>
    <w:rsid w:val="00780F56"/>
    <w:rsid w:val="00792507"/>
    <w:rsid w:val="007E5B6B"/>
    <w:rsid w:val="00827472"/>
    <w:rsid w:val="008351A5"/>
    <w:rsid w:val="008435CD"/>
    <w:rsid w:val="008A29DE"/>
    <w:rsid w:val="008E61E2"/>
    <w:rsid w:val="00914565"/>
    <w:rsid w:val="009467B5"/>
    <w:rsid w:val="00966640"/>
    <w:rsid w:val="009851D8"/>
    <w:rsid w:val="009B21C9"/>
    <w:rsid w:val="00A02330"/>
    <w:rsid w:val="00A23B19"/>
    <w:rsid w:val="00A80B43"/>
    <w:rsid w:val="00A872BE"/>
    <w:rsid w:val="00AB7D0D"/>
    <w:rsid w:val="00AE0675"/>
    <w:rsid w:val="00B310D3"/>
    <w:rsid w:val="00B9149D"/>
    <w:rsid w:val="00BB43F7"/>
    <w:rsid w:val="00BB7C53"/>
    <w:rsid w:val="00BC07BD"/>
    <w:rsid w:val="00BC56DC"/>
    <w:rsid w:val="00BF0BD3"/>
    <w:rsid w:val="00C10A68"/>
    <w:rsid w:val="00C2354E"/>
    <w:rsid w:val="00C249A0"/>
    <w:rsid w:val="00C30486"/>
    <w:rsid w:val="00C81DB7"/>
    <w:rsid w:val="00CF42DC"/>
    <w:rsid w:val="00D07FA5"/>
    <w:rsid w:val="00D26433"/>
    <w:rsid w:val="00D31450"/>
    <w:rsid w:val="00D34606"/>
    <w:rsid w:val="00D54934"/>
    <w:rsid w:val="00DA74FB"/>
    <w:rsid w:val="00DD0F2B"/>
    <w:rsid w:val="00E14CC9"/>
    <w:rsid w:val="00E57D3F"/>
    <w:rsid w:val="00E74112"/>
    <w:rsid w:val="00EA1B6A"/>
    <w:rsid w:val="00EB40C2"/>
    <w:rsid w:val="00EC2A22"/>
    <w:rsid w:val="00EC4752"/>
    <w:rsid w:val="00ED5153"/>
    <w:rsid w:val="00EE3666"/>
    <w:rsid w:val="00EF4154"/>
    <w:rsid w:val="00F258C1"/>
    <w:rsid w:val="00F366E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55CEE"/>
  <w15:chartTrackingRefBased/>
  <w15:docId w15:val="{0899B2E0-D9CE-4AD7-B4F3-FCFBDDFA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F4E"/>
    <w:pPr>
      <w:spacing w:after="0" w:line="360" w:lineRule="auto"/>
      <w:jc w:val="both"/>
    </w:pPr>
    <w:rPr>
      <w:rFonts w:ascii="Arial" w:hAnsi="Arial" w:cs="Tahoma"/>
      <w:kern w:val="0"/>
      <w:sz w:val="20"/>
      <w:szCs w:val="22"/>
      <w:lang w:val="en-US"/>
      <w14:ligatures w14:val="none"/>
    </w:rPr>
  </w:style>
  <w:style w:type="paragraph" w:styleId="Heading1">
    <w:name w:val="heading 1"/>
    <w:basedOn w:val="Normal"/>
    <w:next w:val="Normal"/>
    <w:link w:val="Heading1Char"/>
    <w:autoRedefine/>
    <w:uiPriority w:val="9"/>
    <w:qFormat/>
    <w:rsid w:val="00A23B19"/>
    <w:pPr>
      <w:keepNext/>
      <w:keepLines/>
      <w:numPr>
        <w:numId w:val="3"/>
      </w:numPr>
      <w:tabs>
        <w:tab w:val="left" w:pos="0"/>
        <w:tab w:val="left" w:pos="284"/>
      </w:tabs>
      <w:spacing w:line="480" w:lineRule="auto"/>
      <w:ind w:left="0" w:firstLine="0"/>
      <w:jc w:val="left"/>
      <w:outlineLvl w:val="0"/>
    </w:pPr>
    <w:rPr>
      <w:rFonts w:eastAsiaTheme="majorEastAsia" w:cs="Arial"/>
      <w:b/>
      <w:kern w:val="2"/>
      <w:sz w:val="22"/>
      <w:szCs w:val="28"/>
      <w14:ligatures w14:val="standardContextual"/>
    </w:rPr>
  </w:style>
  <w:style w:type="paragraph" w:styleId="Heading2">
    <w:name w:val="heading 2"/>
    <w:basedOn w:val="Normal"/>
    <w:next w:val="Normal"/>
    <w:link w:val="Heading2Char"/>
    <w:uiPriority w:val="9"/>
    <w:unhideWhenUsed/>
    <w:qFormat/>
    <w:rsid w:val="00EC2A22"/>
    <w:pPr>
      <w:keepNext/>
      <w:keepLines/>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BF0BD3"/>
    <w:pPr>
      <w:keepNext/>
      <w:keepLines/>
      <w:jc w:val="left"/>
      <w:outlineLvl w:val="2"/>
    </w:pPr>
    <w:rPr>
      <w:szCs w:val="28"/>
    </w:rPr>
  </w:style>
  <w:style w:type="paragraph" w:styleId="Heading4">
    <w:name w:val="heading 4"/>
    <w:basedOn w:val="Normal"/>
    <w:next w:val="Normal"/>
    <w:link w:val="Heading4Char"/>
    <w:uiPriority w:val="9"/>
    <w:semiHidden/>
    <w:unhideWhenUsed/>
    <w:qFormat/>
    <w:rsid w:val="004534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534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534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534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534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534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0BD3"/>
    <w:rPr>
      <w:rFonts w:ascii="Times New Roman" w:hAnsi="Times New Roman" w:cs="Arial"/>
      <w:kern w:val="0"/>
      <w:szCs w:val="28"/>
      <w:lang w:val="id" w:eastAsia="en-ID"/>
      <w14:ligatures w14:val="none"/>
    </w:rPr>
  </w:style>
  <w:style w:type="character" w:customStyle="1" w:styleId="Heading1Char">
    <w:name w:val="Heading 1 Char"/>
    <w:basedOn w:val="DefaultParagraphFont"/>
    <w:link w:val="Heading1"/>
    <w:uiPriority w:val="9"/>
    <w:rsid w:val="00A23B19"/>
    <w:rPr>
      <w:rFonts w:ascii="Arial" w:eastAsiaTheme="majorEastAsia" w:hAnsi="Arial" w:cs="Arial"/>
      <w:b/>
      <w:sz w:val="22"/>
      <w:szCs w:val="28"/>
      <w:lang w:val="en-US"/>
    </w:rPr>
  </w:style>
  <w:style w:type="character" w:customStyle="1" w:styleId="Heading2Char">
    <w:name w:val="Heading 2 Char"/>
    <w:basedOn w:val="DefaultParagraphFont"/>
    <w:link w:val="Heading2"/>
    <w:uiPriority w:val="9"/>
    <w:rsid w:val="00EC2A22"/>
    <w:rPr>
      <w:rFonts w:ascii="Times New Roman" w:eastAsiaTheme="majorEastAsia" w:hAnsi="Times New Roman" w:cstheme="majorBidi"/>
      <w:b/>
      <w:kern w:val="0"/>
      <w:szCs w:val="32"/>
      <w:lang w:val="en-GB"/>
      <w14:ligatures w14:val="none"/>
    </w:rPr>
  </w:style>
  <w:style w:type="character" w:customStyle="1" w:styleId="Heading4Char">
    <w:name w:val="Heading 4 Char"/>
    <w:basedOn w:val="DefaultParagraphFont"/>
    <w:link w:val="Heading4"/>
    <w:uiPriority w:val="9"/>
    <w:semiHidden/>
    <w:rsid w:val="0045349B"/>
    <w:rPr>
      <w:rFonts w:eastAsiaTheme="majorEastAsia" w:cstheme="majorBidi"/>
      <w:i/>
      <w:iCs/>
      <w:color w:val="0F4761" w:themeColor="accent1" w:themeShade="BF"/>
      <w:kern w:val="0"/>
      <w:szCs w:val="22"/>
      <w:lang w:val="id-ID"/>
      <w14:ligatures w14:val="none"/>
    </w:rPr>
  </w:style>
  <w:style w:type="character" w:customStyle="1" w:styleId="Heading5Char">
    <w:name w:val="Heading 5 Char"/>
    <w:basedOn w:val="DefaultParagraphFont"/>
    <w:link w:val="Heading5"/>
    <w:uiPriority w:val="9"/>
    <w:semiHidden/>
    <w:rsid w:val="0045349B"/>
    <w:rPr>
      <w:rFonts w:eastAsiaTheme="majorEastAsia" w:cstheme="majorBidi"/>
      <w:color w:val="0F4761" w:themeColor="accent1" w:themeShade="BF"/>
      <w:kern w:val="0"/>
      <w:szCs w:val="22"/>
      <w:lang w:val="id-ID"/>
      <w14:ligatures w14:val="none"/>
    </w:rPr>
  </w:style>
  <w:style w:type="character" w:customStyle="1" w:styleId="Heading6Char">
    <w:name w:val="Heading 6 Char"/>
    <w:basedOn w:val="DefaultParagraphFont"/>
    <w:link w:val="Heading6"/>
    <w:uiPriority w:val="9"/>
    <w:semiHidden/>
    <w:rsid w:val="0045349B"/>
    <w:rPr>
      <w:rFonts w:eastAsiaTheme="majorEastAsia" w:cstheme="majorBidi"/>
      <w:i/>
      <w:iCs/>
      <w:color w:val="595959" w:themeColor="text1" w:themeTint="A6"/>
      <w:kern w:val="0"/>
      <w:szCs w:val="22"/>
      <w:lang w:val="id-ID"/>
      <w14:ligatures w14:val="none"/>
    </w:rPr>
  </w:style>
  <w:style w:type="character" w:customStyle="1" w:styleId="Heading7Char">
    <w:name w:val="Heading 7 Char"/>
    <w:basedOn w:val="DefaultParagraphFont"/>
    <w:link w:val="Heading7"/>
    <w:uiPriority w:val="9"/>
    <w:semiHidden/>
    <w:rsid w:val="0045349B"/>
    <w:rPr>
      <w:rFonts w:eastAsiaTheme="majorEastAsia" w:cstheme="majorBidi"/>
      <w:color w:val="595959" w:themeColor="text1" w:themeTint="A6"/>
      <w:kern w:val="0"/>
      <w:szCs w:val="22"/>
      <w:lang w:val="id-ID"/>
      <w14:ligatures w14:val="none"/>
    </w:rPr>
  </w:style>
  <w:style w:type="character" w:customStyle="1" w:styleId="Heading8Char">
    <w:name w:val="Heading 8 Char"/>
    <w:basedOn w:val="DefaultParagraphFont"/>
    <w:link w:val="Heading8"/>
    <w:uiPriority w:val="9"/>
    <w:semiHidden/>
    <w:rsid w:val="0045349B"/>
    <w:rPr>
      <w:rFonts w:eastAsiaTheme="majorEastAsia" w:cstheme="majorBidi"/>
      <w:i/>
      <w:iCs/>
      <w:color w:val="272727" w:themeColor="text1" w:themeTint="D8"/>
      <w:kern w:val="0"/>
      <w:szCs w:val="22"/>
      <w:lang w:val="id-ID"/>
      <w14:ligatures w14:val="none"/>
    </w:rPr>
  </w:style>
  <w:style w:type="character" w:customStyle="1" w:styleId="Heading9Char">
    <w:name w:val="Heading 9 Char"/>
    <w:basedOn w:val="DefaultParagraphFont"/>
    <w:link w:val="Heading9"/>
    <w:uiPriority w:val="9"/>
    <w:semiHidden/>
    <w:rsid w:val="0045349B"/>
    <w:rPr>
      <w:rFonts w:eastAsiaTheme="majorEastAsia" w:cstheme="majorBidi"/>
      <w:color w:val="272727" w:themeColor="text1" w:themeTint="D8"/>
      <w:kern w:val="0"/>
      <w:szCs w:val="22"/>
      <w:lang w:val="id-ID"/>
      <w14:ligatures w14:val="none"/>
    </w:rPr>
  </w:style>
  <w:style w:type="paragraph" w:styleId="Title">
    <w:name w:val="Title"/>
    <w:basedOn w:val="Normal"/>
    <w:next w:val="Normal"/>
    <w:link w:val="TitleChar"/>
    <w:uiPriority w:val="10"/>
    <w:qFormat/>
    <w:rsid w:val="004534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349B"/>
    <w:rPr>
      <w:rFonts w:asciiTheme="majorHAnsi" w:eastAsiaTheme="majorEastAsia" w:hAnsiTheme="majorHAnsi" w:cstheme="majorBidi"/>
      <w:spacing w:val="-10"/>
      <w:kern w:val="28"/>
      <w:sz w:val="56"/>
      <w:szCs w:val="56"/>
      <w:lang w:val="id-ID"/>
      <w14:ligatures w14:val="none"/>
    </w:rPr>
  </w:style>
  <w:style w:type="paragraph" w:styleId="Subtitle">
    <w:name w:val="Subtitle"/>
    <w:basedOn w:val="Normal"/>
    <w:next w:val="Normal"/>
    <w:link w:val="SubtitleChar"/>
    <w:uiPriority w:val="11"/>
    <w:qFormat/>
    <w:rsid w:val="0045349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349B"/>
    <w:rPr>
      <w:rFonts w:eastAsiaTheme="majorEastAsia" w:cstheme="majorBidi"/>
      <w:color w:val="595959" w:themeColor="text1" w:themeTint="A6"/>
      <w:spacing w:val="15"/>
      <w:kern w:val="0"/>
      <w:sz w:val="28"/>
      <w:szCs w:val="28"/>
      <w:lang w:val="id-ID"/>
      <w14:ligatures w14:val="none"/>
    </w:rPr>
  </w:style>
  <w:style w:type="paragraph" w:styleId="Quote">
    <w:name w:val="Quote"/>
    <w:basedOn w:val="Normal"/>
    <w:next w:val="Normal"/>
    <w:link w:val="QuoteChar"/>
    <w:uiPriority w:val="29"/>
    <w:qFormat/>
    <w:rsid w:val="0045349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5349B"/>
    <w:rPr>
      <w:rFonts w:ascii="Times New Roman" w:hAnsi="Times New Roman" w:cs="Tahoma"/>
      <w:i/>
      <w:iCs/>
      <w:color w:val="404040" w:themeColor="text1" w:themeTint="BF"/>
      <w:kern w:val="0"/>
      <w:szCs w:val="22"/>
      <w:lang w:val="id-ID"/>
      <w14:ligatures w14:val="none"/>
    </w:rPr>
  </w:style>
  <w:style w:type="paragraph" w:styleId="ListParagraph">
    <w:name w:val="List Paragraph"/>
    <w:basedOn w:val="Normal"/>
    <w:uiPriority w:val="34"/>
    <w:qFormat/>
    <w:rsid w:val="0045349B"/>
    <w:pPr>
      <w:ind w:left="720"/>
      <w:contextualSpacing/>
    </w:pPr>
  </w:style>
  <w:style w:type="character" w:styleId="IntenseEmphasis">
    <w:name w:val="Intense Emphasis"/>
    <w:basedOn w:val="DefaultParagraphFont"/>
    <w:uiPriority w:val="21"/>
    <w:qFormat/>
    <w:rsid w:val="0045349B"/>
    <w:rPr>
      <w:i/>
      <w:iCs/>
      <w:color w:val="0F4761" w:themeColor="accent1" w:themeShade="BF"/>
    </w:rPr>
  </w:style>
  <w:style w:type="paragraph" w:styleId="IntenseQuote">
    <w:name w:val="Intense Quote"/>
    <w:basedOn w:val="Normal"/>
    <w:next w:val="Normal"/>
    <w:link w:val="IntenseQuoteChar"/>
    <w:uiPriority w:val="30"/>
    <w:qFormat/>
    <w:rsid w:val="004534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349B"/>
    <w:rPr>
      <w:rFonts w:ascii="Times New Roman" w:hAnsi="Times New Roman" w:cs="Tahoma"/>
      <w:i/>
      <w:iCs/>
      <w:color w:val="0F4761" w:themeColor="accent1" w:themeShade="BF"/>
      <w:kern w:val="0"/>
      <w:szCs w:val="22"/>
      <w:lang w:val="id-ID"/>
      <w14:ligatures w14:val="none"/>
    </w:rPr>
  </w:style>
  <w:style w:type="character" w:styleId="IntenseReference">
    <w:name w:val="Intense Reference"/>
    <w:basedOn w:val="DefaultParagraphFont"/>
    <w:uiPriority w:val="32"/>
    <w:qFormat/>
    <w:rsid w:val="0045349B"/>
    <w:rPr>
      <w:b/>
      <w:bCs/>
      <w:smallCaps/>
      <w:color w:val="0F4761" w:themeColor="accent1" w:themeShade="BF"/>
      <w:spacing w:val="5"/>
    </w:rPr>
  </w:style>
  <w:style w:type="table" w:styleId="TableGrid">
    <w:name w:val="Table Grid"/>
    <w:basedOn w:val="TableNormal"/>
    <w:uiPriority w:val="39"/>
    <w:rsid w:val="00C2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9B21C9"/>
    <w:pPr>
      <w:spacing w:line="280" w:lineRule="exact"/>
      <w:jc w:val="right"/>
    </w:pPr>
    <w:rPr>
      <w:rFonts w:ascii="Helvetica" w:eastAsia="Times New Roman" w:hAnsi="Helvetica" w:cs="Times New Roman"/>
      <w:b/>
      <w:szCs w:val="20"/>
    </w:rPr>
  </w:style>
  <w:style w:type="paragraph" w:customStyle="1" w:styleId="Affiliation">
    <w:name w:val="Affiliation"/>
    <w:basedOn w:val="Normal"/>
    <w:rsid w:val="009B21C9"/>
    <w:pPr>
      <w:spacing w:after="240" w:line="240" w:lineRule="exact"/>
      <w:jc w:val="right"/>
    </w:pPr>
    <w:rPr>
      <w:rFonts w:ascii="Helvetica" w:eastAsia="Times New Roman" w:hAnsi="Helvetica" w:cs="Times New Roman"/>
      <w:szCs w:val="20"/>
    </w:rPr>
  </w:style>
  <w:style w:type="paragraph" w:customStyle="1" w:styleId="Body">
    <w:name w:val="Body"/>
    <w:basedOn w:val="Normal"/>
    <w:rsid w:val="009B21C9"/>
    <w:pPr>
      <w:spacing w:after="240" w:line="240" w:lineRule="auto"/>
    </w:pPr>
    <w:rPr>
      <w:rFonts w:ascii="Helvetica" w:eastAsia="Times New Roman" w:hAnsi="Helvetica" w:cs="Times New Roman"/>
      <w:szCs w:val="20"/>
    </w:rPr>
  </w:style>
  <w:style w:type="paragraph" w:customStyle="1" w:styleId="AbstHead">
    <w:name w:val="Abst Head"/>
    <w:basedOn w:val="Normal"/>
    <w:rsid w:val="009B21C9"/>
    <w:pPr>
      <w:keepNext/>
      <w:spacing w:after="240" w:line="240" w:lineRule="auto"/>
      <w:jc w:val="left"/>
    </w:pPr>
    <w:rPr>
      <w:rFonts w:ascii="Helvetica" w:eastAsia="Times New Roman" w:hAnsi="Helvetica" w:cs="Times New Roman"/>
      <w:b/>
      <w:caps/>
      <w:sz w:val="22"/>
      <w:szCs w:val="20"/>
    </w:rPr>
  </w:style>
  <w:style w:type="paragraph" w:customStyle="1" w:styleId="Copyright">
    <w:name w:val="Copyright"/>
    <w:basedOn w:val="Normal"/>
    <w:rsid w:val="009B21C9"/>
    <w:pPr>
      <w:spacing w:after="960" w:line="200" w:lineRule="exact"/>
      <w:jc w:val="left"/>
    </w:pPr>
    <w:rPr>
      <w:rFonts w:ascii="Helvetica" w:eastAsia="Times New Roman" w:hAnsi="Helvetica" w:cs="Times New Roman"/>
      <w:sz w:val="16"/>
      <w:szCs w:val="20"/>
    </w:rPr>
  </w:style>
  <w:style w:type="paragraph" w:styleId="Footer">
    <w:name w:val="footer"/>
    <w:basedOn w:val="Normal"/>
    <w:link w:val="FooterChar"/>
    <w:rsid w:val="009B21C9"/>
    <w:pPr>
      <w:tabs>
        <w:tab w:val="center" w:pos="4320"/>
        <w:tab w:val="right" w:pos="8640"/>
      </w:tabs>
      <w:spacing w:line="240" w:lineRule="auto"/>
      <w:jc w:val="left"/>
    </w:pPr>
    <w:rPr>
      <w:rFonts w:ascii="Helvetica" w:eastAsia="Times New Roman" w:hAnsi="Helvetica" w:cs="Times New Roman"/>
      <w:szCs w:val="20"/>
    </w:rPr>
  </w:style>
  <w:style w:type="character" w:customStyle="1" w:styleId="FooterChar">
    <w:name w:val="Footer Char"/>
    <w:basedOn w:val="DefaultParagraphFont"/>
    <w:link w:val="Footer"/>
    <w:rsid w:val="009B21C9"/>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9B21C9"/>
    <w:pPr>
      <w:tabs>
        <w:tab w:val="center" w:pos="4320"/>
        <w:tab w:val="right" w:pos="8640"/>
      </w:tabs>
      <w:spacing w:line="240" w:lineRule="auto"/>
      <w:jc w:val="left"/>
    </w:pPr>
    <w:rPr>
      <w:rFonts w:ascii="Helvetica" w:eastAsia="Times New Roman" w:hAnsi="Helvetica" w:cs="Times New Roman"/>
      <w:szCs w:val="20"/>
    </w:rPr>
  </w:style>
  <w:style w:type="character" w:customStyle="1" w:styleId="HeaderChar">
    <w:name w:val="Header Char"/>
    <w:basedOn w:val="DefaultParagraphFont"/>
    <w:link w:val="Header"/>
    <w:rsid w:val="009B21C9"/>
    <w:rPr>
      <w:rFonts w:ascii="Helvetica" w:eastAsia="Times New Roman" w:hAnsi="Helvetica" w:cs="Times New Roman"/>
      <w:kern w:val="0"/>
      <w:sz w:val="20"/>
      <w:szCs w:val="20"/>
      <w:lang w:val="en-US"/>
      <w14:ligatures w14:val="none"/>
    </w:rPr>
  </w:style>
  <w:style w:type="character" w:styleId="LineNumber">
    <w:name w:val="line number"/>
    <w:basedOn w:val="DefaultParagraphFont"/>
    <w:uiPriority w:val="99"/>
    <w:semiHidden/>
    <w:unhideWhenUsed/>
    <w:rsid w:val="009B21C9"/>
  </w:style>
  <w:style w:type="paragraph" w:styleId="Caption">
    <w:name w:val="caption"/>
    <w:basedOn w:val="Normal"/>
    <w:next w:val="Normal"/>
    <w:uiPriority w:val="35"/>
    <w:unhideWhenUsed/>
    <w:qFormat/>
    <w:rsid w:val="00A23B19"/>
    <w:pPr>
      <w:spacing w:after="200" w:line="240" w:lineRule="auto"/>
    </w:pPr>
    <w:rPr>
      <w:i/>
      <w:iCs/>
      <w:color w:val="0E2841" w:themeColor="text2"/>
      <w:sz w:val="18"/>
      <w:szCs w:val="18"/>
    </w:rPr>
  </w:style>
  <w:style w:type="character" w:styleId="Hyperlink">
    <w:name w:val="Hyperlink"/>
    <w:basedOn w:val="DefaultParagraphFont"/>
    <w:uiPriority w:val="99"/>
    <w:unhideWhenUsed/>
    <w:rsid w:val="00EA1B6A"/>
    <w:rPr>
      <w:color w:val="467886" w:themeColor="hyperlink"/>
      <w:u w:val="single"/>
    </w:rPr>
  </w:style>
  <w:style w:type="character" w:styleId="UnresolvedMention">
    <w:name w:val="Unresolved Mention"/>
    <w:basedOn w:val="DefaultParagraphFont"/>
    <w:uiPriority w:val="99"/>
    <w:semiHidden/>
    <w:unhideWhenUsed/>
    <w:rsid w:val="00EA1B6A"/>
    <w:rPr>
      <w:color w:val="605E5C"/>
      <w:shd w:val="clear" w:color="auto" w:fill="E1DFDD"/>
    </w:rPr>
  </w:style>
  <w:style w:type="paragraph" w:styleId="NoSpacing">
    <w:name w:val="No Spacing"/>
    <w:uiPriority w:val="1"/>
    <w:qFormat/>
    <w:rsid w:val="005B7AE6"/>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67</TotalTime>
  <Pages>14</Pages>
  <Words>5386</Words>
  <Characters>30703</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Holloway</dc:creator>
  <cp:keywords/>
  <dc:description/>
  <cp:lastModifiedBy>SDI 1089</cp:lastModifiedBy>
  <cp:revision>24</cp:revision>
  <cp:lastPrinted>2026-04-22T05:51:00Z</cp:lastPrinted>
  <dcterms:created xsi:type="dcterms:W3CDTF">2026-05-08T11:55:00Z</dcterms:created>
  <dcterms:modified xsi:type="dcterms:W3CDTF">2026-05-21T07:54:00Z</dcterms:modified>
</cp:coreProperties>
</file>