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16AC" w14:textId="77777777" w:rsidR="00446CA7" w:rsidRDefault="00446CA7" w:rsidP="00441B6F">
      <w:pPr>
        <w:pStyle w:val="Title"/>
        <w:spacing w:after="0"/>
        <w:jc w:val="both"/>
        <w:rPr>
          <w:rFonts w:ascii="Arial" w:hAnsi="Arial" w:cs="Arial"/>
        </w:rPr>
      </w:pPr>
    </w:p>
    <w:p w14:paraId="4722BE51" w14:textId="77777777" w:rsidR="00756069" w:rsidRPr="00756069" w:rsidRDefault="00756069" w:rsidP="00756069">
      <w:pPr>
        <w:jc w:val="center"/>
        <w:rPr>
          <w:rFonts w:ascii="Arial" w:hAnsi="Arial" w:cs="Arial"/>
          <w:b/>
          <w:sz w:val="36"/>
          <w:szCs w:val="36"/>
        </w:rPr>
      </w:pPr>
      <w:r w:rsidRPr="00756069">
        <w:rPr>
          <w:rFonts w:ascii="Arial" w:hAnsi="Arial" w:cs="Arial"/>
          <w:b/>
          <w:sz w:val="36"/>
          <w:szCs w:val="36"/>
        </w:rPr>
        <w:t>Organizational Capability and Firm Innovation Under Market Competition in Emerging Markets: Evidence from Ghana</w:t>
      </w:r>
    </w:p>
    <w:p w14:paraId="1AEC109B" w14:textId="77777777" w:rsidR="00756069" w:rsidRDefault="00756069" w:rsidP="00756069">
      <w:pPr>
        <w:pStyle w:val="Footer"/>
        <w:rPr>
          <w:rFonts w:ascii="Times New Roman" w:hAnsi="Times New Roman"/>
        </w:rPr>
      </w:pPr>
    </w:p>
    <w:p w14:paraId="6D45C25A" w14:textId="77777777" w:rsidR="00756069" w:rsidRDefault="00756069" w:rsidP="00756069">
      <w:pPr>
        <w:pStyle w:val="Footer"/>
        <w:rPr>
          <w:rFonts w:ascii="Times New Roman" w:hAnsi="Times New Roman"/>
        </w:rPr>
      </w:pPr>
    </w:p>
    <w:p w14:paraId="1D74DD85" w14:textId="2A1228C3" w:rsidR="004D3EF2" w:rsidRDefault="004D3EF2" w:rsidP="00756069">
      <w:pPr>
        <w:pStyle w:val="Footer"/>
        <w:rPr>
          <w:rFonts w:ascii="Arial" w:hAnsi="Arial" w:cs="Arial"/>
          <w:sz w:val="24"/>
          <w:szCs w:val="24"/>
        </w:rPr>
      </w:pPr>
      <w:r>
        <w:rPr>
          <w:rFonts w:ascii="Arial" w:hAnsi="Arial" w:cs="Arial"/>
          <w:sz w:val="24"/>
          <w:szCs w:val="24"/>
        </w:rPr>
        <w:t xml:space="preserve"> </w:t>
      </w:r>
    </w:p>
    <w:p w14:paraId="7E5268FC" w14:textId="77777777" w:rsidR="003E75FE" w:rsidRDefault="003E75FE" w:rsidP="00756069">
      <w:pPr>
        <w:pStyle w:val="Footer"/>
        <w:rPr>
          <w:rFonts w:ascii="Arial" w:hAnsi="Arial" w:cs="Arial"/>
          <w:sz w:val="24"/>
          <w:szCs w:val="24"/>
        </w:rPr>
      </w:pPr>
    </w:p>
    <w:p w14:paraId="233054B0" w14:textId="77777777" w:rsidR="003E75FE" w:rsidRDefault="003E75FE" w:rsidP="00756069">
      <w:pPr>
        <w:pStyle w:val="Footer"/>
        <w:rPr>
          <w:rFonts w:ascii="Arial" w:hAnsi="Arial" w:cs="Arial"/>
          <w:sz w:val="24"/>
          <w:szCs w:val="24"/>
        </w:rPr>
      </w:pPr>
    </w:p>
    <w:p w14:paraId="401FF81F" w14:textId="3A928CCD" w:rsidR="00756069" w:rsidRPr="00756069" w:rsidRDefault="00756069" w:rsidP="00756069">
      <w:pPr>
        <w:pStyle w:val="Footer"/>
        <w:rPr>
          <w:rFonts w:ascii="Arial" w:hAnsi="Arial" w:cs="Arial"/>
          <w:sz w:val="24"/>
          <w:szCs w:val="24"/>
        </w:rPr>
      </w:pPr>
      <w:r w:rsidRPr="00756069">
        <w:rPr>
          <w:rFonts w:ascii="Arial" w:hAnsi="Arial" w:cs="Arial"/>
          <w:sz w:val="24"/>
          <w:szCs w:val="24"/>
        </w:rPr>
        <w:t xml:space="preserve"> </w:t>
      </w:r>
    </w:p>
    <w:p w14:paraId="257E93D5" w14:textId="77777777" w:rsidR="00790ADA" w:rsidRDefault="00790ADA" w:rsidP="00756069">
      <w:pPr>
        <w:jc w:val="both"/>
        <w:rPr>
          <w:rFonts w:ascii="Arial" w:hAnsi="Arial" w:cs="Arial"/>
        </w:rPr>
      </w:pPr>
    </w:p>
    <w:p w14:paraId="03FA2BC6" w14:textId="77777777" w:rsidR="002C57D2" w:rsidRPr="00FB3A86" w:rsidRDefault="002C57D2" w:rsidP="00441B6F">
      <w:pPr>
        <w:pStyle w:val="Affiliation"/>
        <w:spacing w:after="0" w:line="240" w:lineRule="auto"/>
        <w:jc w:val="both"/>
        <w:rPr>
          <w:rFonts w:ascii="Arial" w:hAnsi="Arial" w:cs="Arial"/>
        </w:rPr>
      </w:pPr>
    </w:p>
    <w:p w14:paraId="2F6DF2CB" w14:textId="77777777" w:rsidR="00B01FCD" w:rsidRPr="00FB3A86" w:rsidRDefault="00000000" w:rsidP="00441B6F">
      <w:pPr>
        <w:pStyle w:val="Copyright"/>
        <w:spacing w:after="0" w:line="240" w:lineRule="auto"/>
        <w:jc w:val="both"/>
        <w:rPr>
          <w:rFonts w:ascii="Arial" w:hAnsi="Arial" w:cs="Arial"/>
        </w:rPr>
        <w:sectPr w:rsidR="00B01FCD" w:rsidRPr="00FB3A86" w:rsidSect="003E75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1628F9A">
          <v:shapetype id="_x0000_t32" coordsize="21600,21600" o:spt="32" o:oned="t" path="m,l21600,21600e" filled="f">
            <v:path arrowok="t" fillok="f" o:connecttype="none"/>
            <o:lock v:ext="edit" shapetype="t"/>
          </v:shapetype>
          <v:shape id="_x0000_s205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808218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75606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2E6778A" w14:textId="77777777" w:rsidTr="001E44FE">
        <w:tc>
          <w:tcPr>
            <w:tcW w:w="9576" w:type="dxa"/>
            <w:shd w:val="clear" w:color="auto" w:fill="F2F2F2"/>
          </w:tcPr>
          <w:p w14:paraId="54447FC4" w14:textId="7045FEC6" w:rsidR="00505F06" w:rsidRPr="000A2A52" w:rsidRDefault="000A2A52" w:rsidP="000A2A52">
            <w:pPr>
              <w:pStyle w:val="NormalWeb"/>
              <w:jc w:val="both"/>
            </w:pPr>
            <w:r>
              <w:t>Innovation has become a critical determinant of firm survival and competitiveness amid intensifying competition in both domestic and international markets. This study examines the effects of organizational capabilities and market competitive pressure on firm-level innovation in Ghana. Using firm-level data from the 2023 World Bank Enterprise Survey for Ghana, the initial dataset comprised 713 firms; however, after data management, the final usable sample was reduced to 694 firms. The study employs Ordered Probit, Ordered Logit, and Generalized Ordered Logit models, with the Ordered Probit model serving as the baseline specification. The empirical results reveal that organizational capabilities and market competitive pressure significantly and positively influence firms’ likelihood of achieving higher levels of innovation. The findings further indicate that firm size, firm age, and export participation positively affect innovation outcomes. The study contributes to the literature by jointly examining organizational capabilities and market competitive pressure as determinants of firm innovation in Ghana while employing multiple ordered response models to ensure robustness of the empirical evidence. Overall, the study concludes that strengthening organizational capabilities and fostering competitive market conditions are essential for enhancing firm-level innovation in emerging economies such as Ghana. The findings provide important implications for managers and policymakers in Ghana, underscoring the need for firms to strengthen internal capabilities, while government agencies foster competitive markets and promote export participation to enhance firm-level innovation outcomes.</w:t>
            </w:r>
            <w:r w:rsidR="00021C00">
              <w:t xml:space="preserve"> This study contributes to emerging market literature by providing evidence from Ghana on the joint effects of organizational capabilities and market competitive pressure on firm innovation.</w:t>
            </w:r>
          </w:p>
        </w:tc>
      </w:tr>
    </w:tbl>
    <w:p w14:paraId="3E84D435" w14:textId="77777777" w:rsidR="00636EB2" w:rsidRDefault="00636EB2" w:rsidP="00441B6F">
      <w:pPr>
        <w:pStyle w:val="Body"/>
        <w:spacing w:after="0"/>
        <w:rPr>
          <w:rFonts w:ascii="Arial" w:hAnsi="Arial" w:cs="Arial"/>
          <w:i/>
        </w:rPr>
      </w:pPr>
    </w:p>
    <w:p w14:paraId="08CDBE63" w14:textId="3D6F38F9" w:rsidR="00A24E7E" w:rsidRDefault="00A24E7E" w:rsidP="00441B6F">
      <w:pPr>
        <w:pStyle w:val="Body"/>
        <w:spacing w:after="0"/>
        <w:rPr>
          <w:rFonts w:ascii="Arial" w:hAnsi="Arial" w:cs="Arial"/>
          <w:i/>
        </w:rPr>
      </w:pPr>
      <w:r>
        <w:rPr>
          <w:rFonts w:ascii="Arial" w:hAnsi="Arial" w:cs="Arial"/>
          <w:i/>
        </w:rPr>
        <w:t xml:space="preserve">Keywords: </w:t>
      </w:r>
      <w:r w:rsidR="00756069" w:rsidRPr="00CF57FA">
        <w:rPr>
          <w:rFonts w:ascii="Arial" w:hAnsi="Arial" w:cs="Arial"/>
          <w:i/>
        </w:rPr>
        <w:t>Firm Innovation, Organizational Capability, Market Competition</w:t>
      </w:r>
      <w:r w:rsidR="00B82B32">
        <w:rPr>
          <w:rFonts w:ascii="Arial" w:hAnsi="Arial" w:cs="Arial"/>
          <w:i/>
        </w:rPr>
        <w:t>, D</w:t>
      </w:r>
      <w:r w:rsidR="00CF57FA" w:rsidRPr="00CF57FA">
        <w:rPr>
          <w:rFonts w:ascii="Arial" w:hAnsi="Arial" w:cs="Arial"/>
          <w:i/>
        </w:rPr>
        <w:t>igital Adoption</w:t>
      </w:r>
      <w:r w:rsidRPr="00CF57FA">
        <w:rPr>
          <w:rFonts w:ascii="Arial" w:hAnsi="Arial" w:cs="Arial"/>
          <w:i/>
        </w:rPr>
        <w:t xml:space="preserve"> </w:t>
      </w:r>
    </w:p>
    <w:p w14:paraId="580D9A3B" w14:textId="77777777" w:rsidR="0024282C" w:rsidRDefault="0024282C" w:rsidP="00441B6F">
      <w:pPr>
        <w:pStyle w:val="Body"/>
        <w:spacing w:after="0"/>
        <w:rPr>
          <w:rFonts w:ascii="Arial" w:hAnsi="Arial" w:cs="Arial"/>
          <w:i/>
          <w:sz w:val="18"/>
        </w:rPr>
      </w:pPr>
    </w:p>
    <w:p w14:paraId="1CE2A11A" w14:textId="77777777" w:rsidR="00505F06" w:rsidRPr="00A24E7E" w:rsidRDefault="00505F06" w:rsidP="00441B6F">
      <w:pPr>
        <w:pStyle w:val="Body"/>
        <w:spacing w:after="0"/>
        <w:rPr>
          <w:rFonts w:ascii="Arial" w:hAnsi="Arial" w:cs="Arial"/>
          <w:i/>
        </w:rPr>
      </w:pPr>
    </w:p>
    <w:p w14:paraId="3D4B29D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916E02" w14:textId="77777777" w:rsidR="00790ADA" w:rsidRPr="00FB3A86" w:rsidRDefault="00790ADA" w:rsidP="00441B6F">
      <w:pPr>
        <w:pStyle w:val="AbstHead"/>
        <w:spacing w:after="0"/>
        <w:jc w:val="both"/>
        <w:rPr>
          <w:rFonts w:ascii="Arial" w:hAnsi="Arial" w:cs="Arial"/>
        </w:rPr>
      </w:pPr>
    </w:p>
    <w:p w14:paraId="71360616" w14:textId="77777777" w:rsidR="00DE1341" w:rsidRPr="00B10D71" w:rsidRDefault="00DE1341" w:rsidP="00DE1341">
      <w:pPr>
        <w:pStyle w:val="NormalWeb"/>
        <w:spacing w:before="0" w:beforeAutospacing="0" w:after="0" w:afterAutospacing="0"/>
        <w:jc w:val="both"/>
        <w:rPr>
          <w:rFonts w:ascii="Arial" w:hAnsi="Arial" w:cs="Arial"/>
          <w:b/>
          <w:sz w:val="20"/>
          <w:szCs w:val="20"/>
        </w:rPr>
      </w:pPr>
      <w:r>
        <w:rPr>
          <w:rFonts w:ascii="Arial" w:hAnsi="Arial" w:cs="Arial"/>
          <w:b/>
          <w:sz w:val="20"/>
          <w:szCs w:val="20"/>
        </w:rPr>
        <w:t>1.1 Background of the Study</w:t>
      </w:r>
    </w:p>
    <w:p w14:paraId="40945F25"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Globalization has toughened market competition for firms as they compete not only with local firms but also with international firms. As such, this market competition has compelled firms to either innovate to remain relevant or fail and exit the market. Market competition refers to the intensity of rivalry within the operating environment and is reflected in </w:t>
      </w:r>
      <w:r w:rsidRPr="00B10D71">
        <w:rPr>
          <w:rFonts w:ascii="Arial" w:hAnsi="Arial" w:cs="Arial"/>
          <w:sz w:val="20"/>
          <w:szCs w:val="20"/>
        </w:rPr>
        <w:lastRenderedPageBreak/>
        <w:t xml:space="preserve">firms’ experience of increasing competition. These experiences demand strategic decisions and the need to introduce new processes and/or products that are unique and capable of enhancing competitiveness. This is captured as innovation according to the Oslo Manual’s definition (2018). Innovation refers to the introduction of significantly improved or new products or service, operational processes (internal organizational processes or practices managerial or marketing) aimed at improving firm performance and competitiveness. </w:t>
      </w:r>
    </w:p>
    <w:p w14:paraId="1712F0AD"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Innovation demands strengthening technology- and innovation-oriented resource bases, including research and development (R&amp;D) capability, technological assimilation capability, process formalization capability, and quality management capability. These dimensions together define organizational capability. Organizational capability captures firm’s ability to significantly mobilize, assimilate or transform, and deploy internal resources toward achieving strategic objectives. As such, it refers to the extent to which firms build adaptive and knowledge-driven systems capable of sustaining innovation and long-term competitiveness. </w:t>
      </w:r>
    </w:p>
    <w:p w14:paraId="4CA7D558"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Therefore, while market competitive pressure provides the external stimulus for firms to innovate, organizational capability represents the internal strategic capacity through which innovative outcomes are achieved. </w:t>
      </w:r>
    </w:p>
    <w:p w14:paraId="5DB06928" w14:textId="77777777" w:rsidR="00DE1341" w:rsidRPr="00B10D71" w:rsidRDefault="00DE1341" w:rsidP="00DE1341">
      <w:pPr>
        <w:jc w:val="both"/>
        <w:rPr>
          <w:rFonts w:ascii="Arial" w:hAnsi="Arial" w:cs="Arial"/>
          <w:b/>
        </w:rPr>
      </w:pPr>
    </w:p>
    <w:p w14:paraId="53BF1BB7" w14:textId="77777777" w:rsidR="00DE1341" w:rsidRPr="00B10D71" w:rsidRDefault="00DE1341" w:rsidP="00DE1341">
      <w:pPr>
        <w:jc w:val="both"/>
        <w:rPr>
          <w:rFonts w:ascii="Arial" w:hAnsi="Arial" w:cs="Arial"/>
          <w:b/>
          <w:lang w:val="en-GB"/>
        </w:rPr>
      </w:pPr>
      <w:r>
        <w:rPr>
          <w:rFonts w:ascii="Arial" w:hAnsi="Arial" w:cs="Arial"/>
          <w:b/>
        </w:rPr>
        <w:t xml:space="preserve">1.2 </w:t>
      </w:r>
      <w:r w:rsidRPr="00B10D71">
        <w:rPr>
          <w:rFonts w:ascii="Arial" w:hAnsi="Arial" w:cs="Arial"/>
          <w:b/>
        </w:rPr>
        <w:t>Problem Statement</w:t>
      </w:r>
    </w:p>
    <w:p w14:paraId="659722CE"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 dynamic and competitive market environment, driven by external competitive pressure and firms’ efforts to gain a competitive edge through the strengthening of internal organizational capabilities, remains a key determinant of firm performance, growth, and long-term competitiveness. This reality has stimulated growing empirical interest in identifying the key drivers that significantly influence firms’ innovative </w:t>
      </w:r>
      <w:proofErr w:type="spellStart"/>
      <w:r w:rsidRPr="00B10D71">
        <w:rPr>
          <w:rFonts w:ascii="Arial" w:hAnsi="Arial" w:cs="Arial"/>
          <w:sz w:val="20"/>
          <w:szCs w:val="20"/>
        </w:rPr>
        <w:t>behavior</w:t>
      </w:r>
      <w:proofErr w:type="spellEnd"/>
      <w:r w:rsidRPr="00B10D71">
        <w:rPr>
          <w:rFonts w:ascii="Arial" w:hAnsi="Arial" w:cs="Arial"/>
          <w:sz w:val="20"/>
          <w:szCs w:val="20"/>
        </w:rPr>
        <w:t xml:space="preserve"> in order to guide strategic and policy interventions. Within this discourse, empirical evidence increasingly links organizational capabilities and innovation, as firms continuously develop internal capabilities to enhance innovation and maintain competitiveness in dynamic markets. Studies grounded in the Resource-Based View as well as Dynamic Capabilities Theory argue that organizational capabilities such as organizational learning, technological capability, absorptive capacity, managerial capability, and operational capability drive firms’ innovative efforts and market competitiveness. For instance, Agyapong et al. (2024) focused on organizational learning capability and concluded that it positively and significantly drives innovation among SMEs. Similar findings were provided by </w:t>
      </w:r>
      <w:proofErr w:type="spellStart"/>
      <w:r w:rsidRPr="00B10D71">
        <w:rPr>
          <w:rFonts w:ascii="Arial" w:hAnsi="Arial" w:cs="Arial"/>
          <w:sz w:val="20"/>
          <w:szCs w:val="20"/>
        </w:rPr>
        <w:t>Azamela</w:t>
      </w:r>
      <w:proofErr w:type="spellEnd"/>
      <w:r w:rsidRPr="00B10D71">
        <w:rPr>
          <w:rFonts w:ascii="Arial" w:hAnsi="Arial" w:cs="Arial"/>
          <w:sz w:val="20"/>
          <w:szCs w:val="20"/>
        </w:rPr>
        <w:t xml:space="preserve"> et al. (2022), who found that organizational capability, proxied by institutional creativity and innovation capability, significantly drives innovative performance among Ghanaian organizations. Koomson et al. (2025) proxied organizational capability using technological capability and reported a similarly positive and significant effect on firm innovation. In the work of </w:t>
      </w:r>
      <w:proofErr w:type="spellStart"/>
      <w:r w:rsidRPr="00B10D71">
        <w:rPr>
          <w:rFonts w:ascii="Arial" w:hAnsi="Arial" w:cs="Arial"/>
          <w:sz w:val="20"/>
          <w:szCs w:val="20"/>
        </w:rPr>
        <w:t>YuSheng</w:t>
      </w:r>
      <w:proofErr w:type="spellEnd"/>
      <w:r w:rsidRPr="00B10D71">
        <w:rPr>
          <w:rFonts w:ascii="Arial" w:hAnsi="Arial" w:cs="Arial"/>
          <w:sz w:val="20"/>
          <w:szCs w:val="20"/>
        </w:rPr>
        <w:t xml:space="preserve"> and Ibrahim (2020) in Ghana’s banking sector, innovation capability (as a proxy for organizational capability) was found to positively drive process, product, and organizational innovation. Adu-Yeboah et al. (2023) focused on absorptive capacity as a proxy and arrived at a similar conclusion. A major limitation of the existing literature is the limited attention given to competitive market pressure as a strategic external force that can accelerate the development of organizational capabilities and intensify firms’ innovation-oriented transformation.</w:t>
      </w:r>
    </w:p>
    <w:p w14:paraId="721F252E"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2FE24894"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Acknowledging the increasingly dynamic and intensely competitive nature of modern business environments, several researchers have consistently identified market competition as a key strategic force shaping firms’ behaviour, survival strategies, and innovation outcomes. For instance, Hu and Liu (2023) proxied competition using import penetration and concluded that it significantly drives both the quantity and quality of innovation among firms. Aghion et al. (2018) provided a similar conclusion in their study, showing that competition increases firms’ innovative effort. Palikot (2023) in their study concluded on an inverted-U relationship between moderate levels of competition and firm innovation. Altogether, although similar conclusions are reached across the aforementioned studies, a key question remains whether competition alone drives innovation or whether internal organizational capabilities play a complementary role as these studies largely overlook organizational capabilities, which are widely identified in the literature as critical drivers of innovation.</w:t>
      </w:r>
    </w:p>
    <w:p w14:paraId="17071AC7"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Notwithstanding the above, empirical studies that examine both constructs have largely incorporated market competition as a moderating mechanism in the relationship between organizational capabilities and innovative outcomes. For instance, Cui (2025) concluded that market competition </w:t>
      </w:r>
      <w:proofErr w:type="gramStart"/>
      <w:r w:rsidRPr="00B10D71">
        <w:rPr>
          <w:rFonts w:ascii="Arial" w:hAnsi="Arial" w:cs="Arial"/>
          <w:sz w:val="20"/>
          <w:szCs w:val="20"/>
        </w:rPr>
        <w:t>moderates</w:t>
      </w:r>
      <w:proofErr w:type="gramEnd"/>
      <w:r w:rsidRPr="00B10D71">
        <w:rPr>
          <w:rFonts w:ascii="Arial" w:hAnsi="Arial" w:cs="Arial"/>
          <w:sz w:val="20"/>
          <w:szCs w:val="20"/>
        </w:rPr>
        <w:t xml:space="preserve"> innovation-related pathways, including those driven by innovative capabilities. He and Wu (2022) similarly employed technological and market turbulence (as proxies for competitive pressure) and found that these factors moderate innovation outcomes in the presence of dynamic capabilities. Chen and Zheng (2022) also reported comparable findings, showing that market environment, particularly competitive intensity, moderates the capability–innovation relationship. In effect, existing studies that jointly examine organizational capability-driven innovation under conditions of competitive pressure remain limited, particularly in emerging markets such as Ghana. In addition, a significant proportion of these aforementioned related studies (e.g. Cui, 2025; Chan &amp; Zhang, 2022; He &amp; </w:t>
      </w:r>
      <w:proofErr w:type="spellStart"/>
      <w:proofErr w:type="gramStart"/>
      <w:r w:rsidRPr="00B10D71">
        <w:rPr>
          <w:rFonts w:ascii="Arial" w:hAnsi="Arial" w:cs="Arial"/>
          <w:sz w:val="20"/>
          <w:szCs w:val="20"/>
        </w:rPr>
        <w:t>Wui</w:t>
      </w:r>
      <w:proofErr w:type="spellEnd"/>
      <w:r w:rsidRPr="00B10D71">
        <w:rPr>
          <w:rFonts w:ascii="Arial" w:hAnsi="Arial" w:cs="Arial"/>
          <w:sz w:val="20"/>
          <w:szCs w:val="20"/>
        </w:rPr>
        <w:t xml:space="preserve"> ,</w:t>
      </w:r>
      <w:proofErr w:type="gramEnd"/>
      <w:r w:rsidRPr="00B10D71">
        <w:rPr>
          <w:rFonts w:ascii="Arial" w:hAnsi="Arial" w:cs="Arial"/>
          <w:sz w:val="20"/>
          <w:szCs w:val="20"/>
        </w:rPr>
        <w:t xml:space="preserve"> 2022) are conducted in non-Sub-Saharan African and other advanced or developed economy contexts. As a result, their findings may not adequately capture the institutional, structural, and competitive realities of emerging markets. This study therefore addresses this gap.</w:t>
      </w:r>
    </w:p>
    <w:p w14:paraId="069B02F0"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Overall, the empirical evidence indicates that both organizational capabilities and market competitive pressure are important determinants of firm-level innovation. Organizational capabilities enhance firms’ internal capacity to generate and implement innovation, while competitive pressure provides external stimulus that drives innovative effort. However, </w:t>
      </w:r>
      <w:r w:rsidRPr="00B10D71">
        <w:rPr>
          <w:rFonts w:ascii="Arial" w:hAnsi="Arial" w:cs="Arial"/>
          <w:sz w:val="20"/>
          <w:szCs w:val="20"/>
        </w:rPr>
        <w:lastRenderedPageBreak/>
        <w:t>the literature remains largely fragmented, with limited studies jointly examining these two determinants within a unified framework, particularly in emerging market contexts such as Ghana, thereby necessitating further empirical investigation.</w:t>
      </w:r>
    </w:p>
    <w:p w14:paraId="03CC5EF9"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Theoretically, while frameworks such as the Resource-Based View, Dynamic Capabilities Theory, Knowledge-Based View, and Absorptive Capacity Theory primarily emphasize organizational capabilities as the key drivers of innovative outcomes, Schumpeterian Theory and Arrow’s Replacement Effect argue that innovation is strongly shaped by external competitive forces. In this integrated perspective, organizational capabilities provide firms with the capacity to innovate, whereas market competition generates the pressure and incentives that accelerate and shape innovation outcomes. Based on the identified empirical and theoretical gaps, this study examines organizational capability-driven innovation under market competitive pressure in emerging markets, with Ghana as the empirical context. In doing so, it distinguishes between internal mechanisms (organizational capabilities) and external mechanisms (market competitive pressure) as complementary drivers of firm innovation. </w:t>
      </w:r>
    </w:p>
    <w:p w14:paraId="52642942"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The novelty of this study lies in its simultaneous examination of organizational capabilities and market competitive pressure as determinants of firm innovation within a unified empirical framework, using firm-level data from Ghana. By applying multiple ordered response models (ordered probit, ordered logit, and generalized ordered logit), the study also provides robust evidence on the relative importance of internal capabilities and external competitive forces in shaping innovation outcomes in an emerging market context. It further provides context-specific evidence on how both concepts influence innovation in Ghana, which offers insights for managers to strengthen their internal capabilities for improved innovation performance, while also guiding policymakers to foster a competitive market environment that stimulates firm innovation.</w:t>
      </w:r>
    </w:p>
    <w:p w14:paraId="678FA8A8"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0D463383" w14:textId="77777777" w:rsidR="00DE1341" w:rsidRPr="00B10D71" w:rsidRDefault="00DE1341" w:rsidP="00DE1341">
      <w:pPr>
        <w:pStyle w:val="NormalWeb"/>
        <w:spacing w:before="0" w:beforeAutospacing="0" w:after="0" w:afterAutospacing="0"/>
        <w:jc w:val="both"/>
        <w:rPr>
          <w:rFonts w:ascii="Arial" w:hAnsi="Arial" w:cs="Arial"/>
          <w:b/>
          <w:sz w:val="20"/>
          <w:szCs w:val="20"/>
        </w:rPr>
      </w:pPr>
      <w:r w:rsidRPr="00B10D71">
        <w:rPr>
          <w:rFonts w:ascii="Arial" w:hAnsi="Arial" w:cs="Arial"/>
          <w:b/>
          <w:sz w:val="20"/>
          <w:szCs w:val="20"/>
        </w:rPr>
        <w:t>Objectives of the Study</w:t>
      </w:r>
    </w:p>
    <w:p w14:paraId="5932F371" w14:textId="77777777" w:rsidR="00DE1341" w:rsidRPr="00B10D71" w:rsidRDefault="00DE1341" w:rsidP="00DE1341">
      <w:pPr>
        <w:numPr>
          <w:ilvl w:val="0"/>
          <w:numId w:val="31"/>
        </w:numPr>
        <w:rPr>
          <w:rFonts w:ascii="Arial" w:hAnsi="Arial" w:cs="Arial"/>
          <w:lang w:val="en-GB" w:eastAsia="en-GB"/>
        </w:rPr>
      </w:pPr>
      <w:r w:rsidRPr="00B10D71">
        <w:rPr>
          <w:rFonts w:ascii="Arial" w:hAnsi="Arial" w:cs="Arial"/>
          <w:lang w:val="en-GB" w:eastAsia="en-GB"/>
        </w:rPr>
        <w:t>To assess the effect of organizational capabilities on firm-level innovation in Ghana.</w:t>
      </w:r>
    </w:p>
    <w:p w14:paraId="12B22180" w14:textId="77777777" w:rsidR="00DE1341" w:rsidRPr="00B10D71" w:rsidRDefault="00DE1341" w:rsidP="00DE1341">
      <w:pPr>
        <w:numPr>
          <w:ilvl w:val="0"/>
          <w:numId w:val="31"/>
        </w:numPr>
        <w:rPr>
          <w:rFonts w:ascii="Arial" w:hAnsi="Arial" w:cs="Arial"/>
          <w:lang w:val="en-GB" w:eastAsia="en-GB"/>
        </w:rPr>
      </w:pPr>
      <w:r w:rsidRPr="00B10D71">
        <w:rPr>
          <w:rFonts w:ascii="Arial" w:hAnsi="Arial" w:cs="Arial"/>
          <w:lang w:val="en-GB" w:eastAsia="en-GB"/>
        </w:rPr>
        <w:t>To examine the effect of market competitive pressure on firm innovation outcomes.</w:t>
      </w:r>
    </w:p>
    <w:p w14:paraId="56BBF11B" w14:textId="77777777" w:rsidR="00DE1341" w:rsidRPr="00B10D71" w:rsidRDefault="00DE1341" w:rsidP="00DE1341">
      <w:pPr>
        <w:rPr>
          <w:rFonts w:ascii="Arial" w:hAnsi="Arial" w:cs="Arial"/>
          <w:lang w:val="en-GB" w:eastAsia="en-GB"/>
        </w:rPr>
      </w:pPr>
    </w:p>
    <w:p w14:paraId="031D8F33" w14:textId="77777777" w:rsidR="00DE1341" w:rsidRPr="00B10D71" w:rsidRDefault="00DE1341" w:rsidP="00DE1341">
      <w:pPr>
        <w:rPr>
          <w:rFonts w:ascii="Arial" w:hAnsi="Arial" w:cs="Arial"/>
          <w:b/>
          <w:lang w:val="en-GB" w:eastAsia="en-GB"/>
        </w:rPr>
      </w:pPr>
      <w:r w:rsidRPr="00B10D71">
        <w:rPr>
          <w:rFonts w:ascii="Arial" w:hAnsi="Arial" w:cs="Arial"/>
          <w:b/>
          <w:lang w:val="en-GB" w:eastAsia="en-GB"/>
        </w:rPr>
        <w:t>1.3 Literature Review</w:t>
      </w:r>
    </w:p>
    <w:p w14:paraId="200B4AB5" w14:textId="77777777" w:rsidR="00DE1341" w:rsidRPr="00B10D71" w:rsidRDefault="00DE1341" w:rsidP="00DE1341">
      <w:pPr>
        <w:pStyle w:val="NormalWeb"/>
        <w:spacing w:before="0" w:beforeAutospacing="0" w:after="0" w:afterAutospacing="0"/>
        <w:jc w:val="both"/>
        <w:rPr>
          <w:rFonts w:ascii="Arial" w:hAnsi="Arial" w:cs="Arial"/>
          <w:b/>
          <w:sz w:val="20"/>
          <w:szCs w:val="20"/>
          <w:u w:val="single"/>
        </w:rPr>
      </w:pPr>
      <w:r w:rsidRPr="00B10D71">
        <w:rPr>
          <w:rFonts w:ascii="Arial" w:hAnsi="Arial" w:cs="Arial"/>
          <w:b/>
          <w:sz w:val="20"/>
          <w:szCs w:val="20"/>
          <w:u w:val="single"/>
        </w:rPr>
        <w:t>1.3.1 Theoretical Literature</w:t>
      </w:r>
    </w:p>
    <w:p w14:paraId="6C3DB78D"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 xml:space="preserve">The study is supported by two main theories based on both internal and external mechanisms as driving forces of innovative outcomes of firms. </w:t>
      </w:r>
    </w:p>
    <w:p w14:paraId="16B79D1A"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Dynamic Capabilities Theory, propounded by Teece in 1997, argues that firms achieve competitive advantage in a dynamic market environment through sensing opportunities and threats in the environment, seizing those opportunities by mobilizing internal resources effectively, and ensuring reconfiguration or enhancement of their internal competencies (Agyapong et al. 2024; He &amp; Wu, 2022). It argues that competitive advantage goes beyond mere mobilization of internal resources and incorporates continuous renewal (He &amp; Wu, 2022). The theory places organizational capabilities as a major driver of firms’ competitive advantage in the form of innovation, as they aid the transformation, assimilation, and exploitation of knowledge and resources into innovative outputs (Chen &amp; Zheng, 2022). The theory thereby supports the internal mechanism of capability-driven innovation in firms.</w:t>
      </w:r>
    </w:p>
    <w:p w14:paraId="1D12B21C"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71479078" w14:textId="77777777" w:rsidR="00DE1341" w:rsidRPr="00B10D71" w:rsidRDefault="00DE1341" w:rsidP="00DE1341">
      <w:pPr>
        <w:pStyle w:val="NormalWeb"/>
        <w:spacing w:before="0" w:beforeAutospacing="0" w:after="0" w:afterAutospacing="0"/>
        <w:jc w:val="both"/>
        <w:rPr>
          <w:rFonts w:ascii="Arial" w:hAnsi="Arial" w:cs="Arial"/>
          <w:sz w:val="20"/>
          <w:szCs w:val="20"/>
        </w:rPr>
      </w:pPr>
      <w:r w:rsidRPr="00B10D71">
        <w:rPr>
          <w:rFonts w:ascii="Arial" w:hAnsi="Arial" w:cs="Arial"/>
          <w:sz w:val="20"/>
          <w:szCs w:val="20"/>
        </w:rPr>
        <w:t>The Schumpeterian Theory, propounded by Schumpeter in 1942, argues that innovation is creative destruction and, as such, is driven by entrepreneurial response to competition and market disruption (Aghion et al. 2018). The theory thereby argues that market competition remains a foreground force that stimulates technological change and innovation (Aghion et al. 2018). The theory relates to the study as it explains the specific role of market competitive pressure in influencing innovative outcomes. This provides the external mechanism through which market forces shape the innovation behaviour of firms.</w:t>
      </w:r>
    </w:p>
    <w:p w14:paraId="617E438D"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43F27115" w14:textId="77777777" w:rsidR="00DE1341" w:rsidRPr="00B10D71" w:rsidRDefault="00DE1341" w:rsidP="00DE1341">
      <w:pPr>
        <w:pStyle w:val="NormalWeb"/>
        <w:spacing w:before="0" w:beforeAutospacing="0" w:after="0" w:afterAutospacing="0"/>
        <w:jc w:val="both"/>
        <w:rPr>
          <w:rStyle w:val="Strong"/>
          <w:rFonts w:ascii="Arial" w:hAnsi="Arial" w:cs="Arial"/>
          <w:b w:val="0"/>
          <w:bCs w:val="0"/>
          <w:sz w:val="20"/>
          <w:szCs w:val="20"/>
        </w:rPr>
      </w:pPr>
      <w:r w:rsidRPr="00B10D71">
        <w:rPr>
          <w:rStyle w:val="Strong"/>
          <w:rFonts w:ascii="Arial" w:hAnsi="Arial" w:cs="Arial"/>
          <w:b w:val="0"/>
          <w:bCs w:val="0"/>
          <w:sz w:val="20"/>
          <w:szCs w:val="20"/>
        </w:rPr>
        <w:t>The study tested the following hypothesis:</w:t>
      </w:r>
    </w:p>
    <w:p w14:paraId="46E90BF1" w14:textId="77777777" w:rsidR="00DE1341" w:rsidRPr="00B10D71" w:rsidRDefault="00000000" w:rsidP="00DE1341">
      <w:pPr>
        <w:pStyle w:val="NormalWeb"/>
        <w:numPr>
          <w:ilvl w:val="0"/>
          <w:numId w:val="32"/>
        </w:numPr>
        <w:spacing w:before="0" w:beforeAutospacing="0" w:after="0" w:afterAutospacing="0"/>
        <w:rPr>
          <w:rFonts w:ascii="Arial" w:hAnsi="Arial" w:cs="Arial"/>
          <w:sz w:val="20"/>
          <w:szCs w:val="20"/>
        </w:rPr>
      </w:pPr>
      <m:oMath>
        <m:sSub>
          <m:sSubPr>
            <m:ctrlPr>
              <w:rPr>
                <w:rStyle w:val="Strong"/>
                <w:rFonts w:ascii="Cambria Math" w:hAnsi="Cambria Math" w:cs="Arial"/>
                <w:b w:val="0"/>
                <w:bCs w:val="0"/>
                <w:i/>
                <w:sz w:val="20"/>
                <w:szCs w:val="20"/>
              </w:rPr>
            </m:ctrlPr>
          </m:sSubPr>
          <m:e>
            <m:r>
              <w:rPr>
                <w:rStyle w:val="Strong"/>
                <w:rFonts w:ascii="Cambria Math" w:hAnsi="Cambria Math" w:cs="Arial"/>
                <w:sz w:val="20"/>
                <w:szCs w:val="20"/>
              </w:rPr>
              <m:t>H</m:t>
            </m:r>
          </m:e>
          <m:sub>
            <m:r>
              <w:rPr>
                <w:rStyle w:val="Strong"/>
                <w:rFonts w:ascii="Cambria Math" w:hAnsi="Cambria Math" w:cs="Arial"/>
                <w:sz w:val="20"/>
                <w:szCs w:val="20"/>
              </w:rPr>
              <m:t>o1</m:t>
            </m:r>
          </m:sub>
        </m:sSub>
      </m:oMath>
      <w:r w:rsidR="00DE1341" w:rsidRPr="00B10D71">
        <w:rPr>
          <w:rStyle w:val="Strong"/>
          <w:rFonts w:ascii="Arial" w:hAnsi="Arial" w:cs="Arial"/>
          <w:sz w:val="20"/>
          <w:szCs w:val="20"/>
        </w:rPr>
        <w:t xml:space="preserve"> (Null):</w:t>
      </w:r>
      <w:r w:rsidR="00DE1341" w:rsidRPr="00B10D71">
        <w:rPr>
          <w:rFonts w:ascii="Arial" w:hAnsi="Arial" w:cs="Arial"/>
          <w:sz w:val="20"/>
          <w:szCs w:val="20"/>
        </w:rPr>
        <w:t xml:space="preserve"> Organizational capabilities does not exert significantly positive effects on firm-level innovation in Ghana.</w:t>
      </w:r>
    </w:p>
    <w:p w14:paraId="757C0A2B" w14:textId="77777777" w:rsidR="00DE1341" w:rsidRPr="00B10D71" w:rsidRDefault="00000000" w:rsidP="00DE1341">
      <w:pPr>
        <w:pStyle w:val="NormalWeb"/>
        <w:spacing w:before="0" w:beforeAutospacing="0" w:after="0" w:afterAutospacing="0"/>
        <w:ind w:left="720"/>
        <w:rPr>
          <w:rFonts w:ascii="Arial" w:hAnsi="Arial" w:cs="Arial"/>
          <w:sz w:val="20"/>
          <w:szCs w:val="20"/>
        </w:rPr>
      </w:pPr>
      <m:oMath>
        <m:sSub>
          <m:sSubPr>
            <m:ctrlPr>
              <w:rPr>
                <w:rStyle w:val="Strong"/>
                <w:rFonts w:ascii="Cambria Math" w:hAnsi="Cambria Math" w:cs="Arial"/>
                <w:b w:val="0"/>
                <w:bCs w:val="0"/>
                <w:i/>
                <w:sz w:val="20"/>
                <w:szCs w:val="20"/>
              </w:rPr>
            </m:ctrlPr>
          </m:sSubPr>
          <m:e>
            <m:r>
              <w:rPr>
                <w:rStyle w:val="Strong"/>
                <w:rFonts w:ascii="Cambria Math" w:hAnsi="Cambria Math" w:cs="Arial"/>
                <w:sz w:val="20"/>
                <w:szCs w:val="20"/>
              </w:rPr>
              <m:t>H</m:t>
            </m:r>
          </m:e>
          <m:sub>
            <m:r>
              <w:rPr>
                <w:rStyle w:val="Strong"/>
                <w:rFonts w:ascii="Cambria Math" w:hAnsi="Cambria Math" w:cs="Arial"/>
                <w:sz w:val="20"/>
                <w:szCs w:val="20"/>
              </w:rPr>
              <m:t>11</m:t>
            </m:r>
          </m:sub>
        </m:sSub>
      </m:oMath>
      <w:r w:rsidR="00DE1341" w:rsidRPr="00B10D71">
        <w:rPr>
          <w:rStyle w:val="Strong"/>
          <w:rFonts w:ascii="Arial" w:hAnsi="Arial" w:cs="Arial"/>
          <w:sz w:val="20"/>
          <w:szCs w:val="20"/>
        </w:rPr>
        <w:t xml:space="preserve"> (Alternative):</w:t>
      </w:r>
      <w:r w:rsidR="00DE1341" w:rsidRPr="00B10D71">
        <w:rPr>
          <w:rFonts w:ascii="Arial" w:hAnsi="Arial" w:cs="Arial"/>
          <w:sz w:val="20"/>
          <w:szCs w:val="20"/>
        </w:rPr>
        <w:t xml:space="preserve"> Organizational capabilities exerts significantly positive effect on firm-level innovation in Ghana.</w:t>
      </w:r>
    </w:p>
    <w:p w14:paraId="329F09DC" w14:textId="77777777" w:rsidR="00DE1341" w:rsidRPr="00B10D71" w:rsidRDefault="00000000" w:rsidP="00DE1341">
      <w:pPr>
        <w:pStyle w:val="NormalWeb"/>
        <w:numPr>
          <w:ilvl w:val="0"/>
          <w:numId w:val="32"/>
        </w:numPr>
        <w:spacing w:before="0" w:beforeAutospacing="0" w:after="0" w:afterAutospacing="0"/>
        <w:rPr>
          <w:rFonts w:ascii="Arial" w:hAnsi="Arial" w:cs="Arial"/>
          <w:sz w:val="20"/>
          <w:szCs w:val="20"/>
        </w:rPr>
      </w:pPr>
      <m:oMath>
        <m:sSub>
          <m:sSubPr>
            <m:ctrlPr>
              <w:rPr>
                <w:rStyle w:val="Strong"/>
                <w:rFonts w:ascii="Cambria Math" w:hAnsi="Cambria Math" w:cs="Arial"/>
                <w:b w:val="0"/>
                <w:bCs w:val="0"/>
                <w:i/>
                <w:sz w:val="20"/>
                <w:szCs w:val="20"/>
              </w:rPr>
            </m:ctrlPr>
          </m:sSubPr>
          <m:e>
            <m:r>
              <w:rPr>
                <w:rStyle w:val="Strong"/>
                <w:rFonts w:ascii="Cambria Math" w:hAnsi="Cambria Math" w:cs="Arial"/>
                <w:sz w:val="20"/>
                <w:szCs w:val="20"/>
              </w:rPr>
              <m:t>H</m:t>
            </m:r>
          </m:e>
          <m:sub>
            <m:r>
              <w:rPr>
                <w:rStyle w:val="Strong"/>
                <w:rFonts w:ascii="Cambria Math" w:hAnsi="Cambria Math" w:cs="Arial"/>
                <w:sz w:val="20"/>
                <w:szCs w:val="20"/>
              </w:rPr>
              <m:t>02</m:t>
            </m:r>
          </m:sub>
        </m:sSub>
      </m:oMath>
      <w:r w:rsidR="00DE1341" w:rsidRPr="00B10D71">
        <w:rPr>
          <w:rStyle w:val="Strong"/>
          <w:rFonts w:ascii="Arial" w:hAnsi="Arial" w:cs="Arial"/>
          <w:sz w:val="20"/>
          <w:szCs w:val="20"/>
        </w:rPr>
        <w:t xml:space="preserve"> (Null):</w:t>
      </w:r>
      <w:r w:rsidR="00DE1341" w:rsidRPr="00B10D71">
        <w:rPr>
          <w:rFonts w:ascii="Arial" w:hAnsi="Arial" w:cs="Arial"/>
          <w:sz w:val="20"/>
          <w:szCs w:val="20"/>
        </w:rPr>
        <w:t xml:space="preserve"> Market competitive pressure does not exert significantly positive effect on firm innovation outcomes in Ghana.</w:t>
      </w:r>
    </w:p>
    <w:p w14:paraId="1A4A08AD" w14:textId="77777777" w:rsidR="00DE1341" w:rsidRPr="00B10D71" w:rsidRDefault="00000000" w:rsidP="00DE1341">
      <w:pPr>
        <w:pStyle w:val="NormalWeb"/>
        <w:spacing w:before="0" w:beforeAutospacing="0" w:after="0" w:afterAutospacing="0"/>
        <w:ind w:left="720"/>
        <w:rPr>
          <w:rFonts w:ascii="Arial" w:hAnsi="Arial" w:cs="Arial"/>
          <w:sz w:val="20"/>
          <w:szCs w:val="20"/>
        </w:rPr>
      </w:pPr>
      <m:oMath>
        <m:sSub>
          <m:sSubPr>
            <m:ctrlPr>
              <w:rPr>
                <w:rStyle w:val="Strong"/>
                <w:rFonts w:ascii="Cambria Math" w:hAnsi="Cambria Math" w:cs="Arial"/>
                <w:b w:val="0"/>
                <w:bCs w:val="0"/>
                <w:i/>
                <w:sz w:val="20"/>
                <w:szCs w:val="20"/>
              </w:rPr>
            </m:ctrlPr>
          </m:sSubPr>
          <m:e>
            <m:r>
              <w:rPr>
                <w:rStyle w:val="Strong"/>
                <w:rFonts w:ascii="Cambria Math" w:hAnsi="Cambria Math" w:cs="Arial"/>
                <w:sz w:val="20"/>
                <w:szCs w:val="20"/>
              </w:rPr>
              <m:t>H</m:t>
            </m:r>
          </m:e>
          <m:sub>
            <m:r>
              <w:rPr>
                <w:rStyle w:val="Strong"/>
                <w:rFonts w:ascii="Cambria Math" w:hAnsi="Cambria Math" w:cs="Arial"/>
                <w:sz w:val="20"/>
                <w:szCs w:val="20"/>
              </w:rPr>
              <m:t>12</m:t>
            </m:r>
          </m:sub>
        </m:sSub>
      </m:oMath>
      <w:r w:rsidR="00DE1341" w:rsidRPr="00B10D71">
        <w:rPr>
          <w:rStyle w:val="Strong"/>
          <w:rFonts w:ascii="Arial" w:hAnsi="Arial" w:cs="Arial"/>
          <w:sz w:val="20"/>
          <w:szCs w:val="20"/>
        </w:rPr>
        <w:t xml:space="preserve"> (Alternative): </w:t>
      </w:r>
      <w:r w:rsidR="00DE1341" w:rsidRPr="00B10D71">
        <w:rPr>
          <w:rFonts w:ascii="Arial" w:hAnsi="Arial" w:cs="Arial"/>
          <w:sz w:val="20"/>
          <w:szCs w:val="20"/>
        </w:rPr>
        <w:t>Market competitive pressure exerts significantly positive effect on firm innovation outcomes in Ghana.</w:t>
      </w:r>
    </w:p>
    <w:p w14:paraId="09BB2F88" w14:textId="118F1F2D" w:rsidR="00DE1341" w:rsidRPr="00B10D71" w:rsidRDefault="00DE1341" w:rsidP="00DE1341">
      <w:pPr>
        <w:pStyle w:val="NormalWeb"/>
        <w:spacing w:before="0" w:beforeAutospacing="0" w:after="0" w:afterAutospacing="0"/>
        <w:jc w:val="both"/>
        <w:rPr>
          <w:rFonts w:ascii="Arial" w:hAnsi="Arial" w:cs="Arial"/>
          <w:sz w:val="20"/>
          <w:szCs w:val="20"/>
        </w:rPr>
      </w:pPr>
    </w:p>
    <w:p w14:paraId="6D1B191E" w14:textId="450B9606" w:rsidR="00DE1341" w:rsidRDefault="00DE1341" w:rsidP="00DE1341">
      <w:pPr>
        <w:pStyle w:val="NormalWeb"/>
        <w:spacing w:before="0" w:beforeAutospacing="0" w:after="0" w:afterAutospacing="0"/>
        <w:jc w:val="both"/>
        <w:rPr>
          <w:rFonts w:ascii="Arial" w:hAnsi="Arial" w:cs="Arial"/>
          <w:b/>
          <w:i/>
          <w:sz w:val="20"/>
          <w:szCs w:val="20"/>
          <w:u w:val="single"/>
        </w:rPr>
      </w:pPr>
      <w:r w:rsidRPr="00B10D71">
        <w:rPr>
          <w:rFonts w:ascii="Arial" w:hAnsi="Arial" w:cs="Arial"/>
          <w:b/>
          <w:i/>
          <w:sz w:val="20"/>
          <w:szCs w:val="20"/>
          <w:u w:val="single"/>
        </w:rPr>
        <w:t>1.3.2 Empirical Literature</w:t>
      </w:r>
    </w:p>
    <w:p w14:paraId="68872CDC" w14:textId="7A8C36D6" w:rsidR="00E94285" w:rsidRDefault="00E94285" w:rsidP="00DE1341">
      <w:pPr>
        <w:pStyle w:val="NormalWeb"/>
        <w:spacing w:before="0" w:beforeAutospacing="0" w:after="0" w:afterAutospacing="0"/>
        <w:jc w:val="both"/>
        <w:rPr>
          <w:sz w:val="20"/>
          <w:szCs w:val="20"/>
        </w:rPr>
      </w:pPr>
      <w:r w:rsidRPr="00E94285">
        <w:rPr>
          <w:sz w:val="20"/>
          <w:szCs w:val="20"/>
        </w:rPr>
        <w:t xml:space="preserve">The empirical literature on market competition and innovation (e.g., Hu and Liu, 2023; Aghion et al., 2018; Palikot, 2023) mainly emphasizes the direct effect of competitive pressure on innovation outcomes, with limited consideration of firms’ internal organizational capabilities, which are also essential for innovation. A second strand of studies incorporates both organizational capabilities and external environmental factors, typically through moderating or interaction effects (e.g., Cui, 2025; He and Wu, 2022; Chen and Zheng, 2022), but competition is largely treated as a contextual influence rather than a direct determinant alongside capabilities. In addition, studies that jointly examine capabilities and competitive conditions (e.g., Sulemana et al., 2026; </w:t>
      </w:r>
      <w:proofErr w:type="spellStart"/>
      <w:r w:rsidRPr="00E94285">
        <w:rPr>
          <w:sz w:val="20"/>
          <w:szCs w:val="20"/>
        </w:rPr>
        <w:t>Kusumah</w:t>
      </w:r>
      <w:proofErr w:type="spellEnd"/>
      <w:r w:rsidRPr="00E94285">
        <w:rPr>
          <w:sz w:val="20"/>
          <w:szCs w:val="20"/>
        </w:rPr>
        <w:t xml:space="preserve"> et </w:t>
      </w:r>
      <w:r w:rsidRPr="00E94285">
        <w:rPr>
          <w:sz w:val="20"/>
          <w:szCs w:val="20"/>
        </w:rPr>
        <w:lastRenderedPageBreak/>
        <w:t>al., 2026) tend to focus on firm competitiveness and overall performance rather than innovation, and are mostly based on non-Ghanaian contexts. Consequently, there remains limited empirical evidence on the simultaneous effect of organizational capabilities and market competitive pressure on firm-level innovation, particularly in emerging economies such as Ghana.</w:t>
      </w:r>
    </w:p>
    <w:p w14:paraId="70209B43" w14:textId="77777777" w:rsidR="00E94285" w:rsidRDefault="00E94285" w:rsidP="00DE1341">
      <w:pPr>
        <w:pStyle w:val="NormalWeb"/>
        <w:spacing w:before="0" w:beforeAutospacing="0" w:after="0" w:afterAutospacing="0"/>
        <w:jc w:val="both"/>
        <w:rPr>
          <w:rFonts w:ascii="Arial" w:hAnsi="Arial" w:cs="Arial"/>
          <w:b/>
          <w:i/>
          <w:sz w:val="20"/>
          <w:szCs w:val="20"/>
          <w:u w:val="single"/>
        </w:rPr>
      </w:pPr>
    </w:p>
    <w:p w14:paraId="7D3990AE" w14:textId="3FE4BBF6" w:rsidR="00E94285" w:rsidRPr="00E94285" w:rsidRDefault="00E94285" w:rsidP="00E94285">
      <w:pPr>
        <w:jc w:val="both"/>
        <w:rPr>
          <w:rFonts w:ascii="Arial" w:hAnsi="Arial" w:cs="Arial"/>
          <w:lang w:val="en-GB" w:eastAsia="en-GB"/>
        </w:rPr>
      </w:pPr>
      <w:r w:rsidRPr="00B10D71">
        <w:rPr>
          <w:rFonts w:ascii="Arial" w:hAnsi="Arial" w:cs="Arial"/>
          <w:lang w:val="en-GB" w:eastAsia="en-GB"/>
        </w:rPr>
        <w:t xml:space="preserve">The conceptual framework </w:t>
      </w:r>
      <w:r w:rsidRPr="00B10D71">
        <w:rPr>
          <w:rFonts w:ascii="Arial" w:hAnsi="Arial" w:cs="Arial"/>
        </w:rPr>
        <w:t xml:space="preserve">below </w:t>
      </w:r>
      <w:r w:rsidRPr="00B10D71">
        <w:rPr>
          <w:rFonts w:ascii="Arial" w:hAnsi="Arial" w:cs="Arial"/>
          <w:lang w:val="en-GB" w:eastAsia="en-GB"/>
        </w:rPr>
        <w:t>illustrates the effects of organizational capability and market competitive pressure on firm-level innovation outcomes. It shows that internal factors, captured through organizational capability dimensions, are key drivers of firms’ innovative outcomes.</w:t>
      </w:r>
      <w:r w:rsidRPr="00B10D71">
        <w:rPr>
          <w:rFonts w:ascii="Arial" w:hAnsi="Arial" w:cs="Arial"/>
        </w:rPr>
        <w:t xml:space="preserve"> </w:t>
      </w:r>
      <w:r w:rsidRPr="00B10D71">
        <w:rPr>
          <w:rFonts w:ascii="Arial" w:hAnsi="Arial" w:cs="Arial"/>
          <w:lang w:val="en-GB" w:eastAsia="en-GB"/>
        </w:rPr>
        <w:t>These capabilities reflect firms’ innovation-oriented resource base and include research and development (R&amp;D) capability, technological assimilation capability, process formalization capability, and quality management capability. Collectively, these dimensions capture the extent to which firms invest in knowledge creation, integrate external technologies, institutionalize structured operational systems, and comply with recognized quality standards, thereby strengthening their capacity to generate and implement innovation. On the external side, market competitive pressure represents the intensity of rivalry within the operating environment and is reflected in firms’ experience of increasing competition. This competitive pressure captures the extent to which firms perceive heightened market rivalry, which may influence their strategic behaviour and innovation decisions. The framework posits that both organizational capability and market competitive pressure independently shape firm innovation outcomes, with each operating through distinct but complementary mechanisms in driving innovative performance.</w:t>
      </w:r>
      <w:r>
        <w:rPr>
          <w:rFonts w:ascii="Arial" w:hAnsi="Arial" w:cs="Arial"/>
          <w:lang w:val="en-GB" w:eastAsia="en-GB"/>
        </w:rPr>
        <w:t xml:space="preserve"> </w:t>
      </w:r>
    </w:p>
    <w:p w14:paraId="7A1E7348" w14:textId="77777777" w:rsidR="00E94285" w:rsidRPr="00B10D71" w:rsidRDefault="00E94285" w:rsidP="00E94285">
      <w:pPr>
        <w:jc w:val="both"/>
        <w:rPr>
          <w:rFonts w:ascii="Arial" w:hAnsi="Arial" w:cs="Arial"/>
          <w:lang w:val="en-GB" w:eastAsia="en-GB"/>
        </w:rPr>
      </w:pPr>
    </w:p>
    <w:p w14:paraId="6C348A8B" w14:textId="77777777" w:rsidR="00E94285" w:rsidRPr="00B10D71" w:rsidRDefault="00E94285" w:rsidP="00DE1341">
      <w:pPr>
        <w:pStyle w:val="NormalWeb"/>
        <w:spacing w:before="0" w:beforeAutospacing="0" w:after="0" w:afterAutospacing="0"/>
        <w:jc w:val="both"/>
        <w:rPr>
          <w:rFonts w:ascii="Arial" w:hAnsi="Arial" w:cs="Arial"/>
          <w:b/>
          <w:i/>
          <w:sz w:val="20"/>
          <w:szCs w:val="20"/>
          <w:u w:val="single"/>
        </w:rPr>
      </w:pPr>
    </w:p>
    <w:p w14:paraId="439F9440" w14:textId="77777777" w:rsidR="00DE1341" w:rsidRPr="00B10D71" w:rsidRDefault="00DE1341" w:rsidP="00DE1341">
      <w:pPr>
        <w:pStyle w:val="NormalWeb"/>
        <w:spacing w:before="0" w:beforeAutospacing="0" w:after="0" w:afterAutospacing="0"/>
        <w:ind w:left="720"/>
        <w:jc w:val="both"/>
        <w:rPr>
          <w:rFonts w:ascii="Arial" w:hAnsi="Arial" w:cs="Arial"/>
          <w:b/>
          <w:sz w:val="20"/>
          <w:szCs w:val="20"/>
        </w:rPr>
      </w:pPr>
    </w:p>
    <w:p w14:paraId="5C073AEF"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1C6CBAF1" w14:textId="77777777" w:rsidR="00DE1341" w:rsidRPr="00B10D71" w:rsidRDefault="00DE1341" w:rsidP="00DE1341">
      <w:pPr>
        <w:pStyle w:val="NormalWeb"/>
        <w:spacing w:before="0" w:beforeAutospacing="0" w:after="0" w:afterAutospacing="0"/>
        <w:jc w:val="both"/>
        <w:rPr>
          <w:rFonts w:ascii="Arial" w:hAnsi="Arial" w:cs="Arial"/>
          <w:sz w:val="20"/>
          <w:szCs w:val="20"/>
        </w:rPr>
      </w:pPr>
    </w:p>
    <w:p w14:paraId="124C7A68" w14:textId="77777777" w:rsidR="00DE1341" w:rsidRPr="00B10D71" w:rsidRDefault="00000000" w:rsidP="00DE1341">
      <w:pPr>
        <w:pStyle w:val="NormalWeb"/>
        <w:spacing w:before="0" w:beforeAutospacing="0" w:after="0" w:afterAutospacing="0"/>
        <w:jc w:val="both"/>
        <w:rPr>
          <w:rFonts w:ascii="Arial" w:hAnsi="Arial" w:cs="Arial"/>
          <w:sz w:val="20"/>
          <w:szCs w:val="20"/>
        </w:rPr>
      </w:pPr>
      <w:r>
        <w:rPr>
          <w:noProof/>
        </w:rPr>
        <w:pict w14:anchorId="4D2BEF65">
          <v:oval id="Oval 8" o:spid="_x0000_s2055" style="position:absolute;left:0;text-align:left;margin-left:32.9pt;margin-top:-24.9pt;width:126.3pt;height:9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" fillcolor="white [3201]" strokecolor="black [3200]" strokeweight="2pt">
            <v:textbox>
              <w:txbxContent>
                <w:p w14:paraId="67F4B8B6" w14:textId="77777777" w:rsidR="00B82B32" w:rsidRDefault="00B82B32" w:rsidP="00DE1341">
                  <w:pPr>
                    <w:jc w:val="center"/>
                    <w:rPr>
                      <w:rFonts w:ascii="Times New Roman" w:hAnsi="Times New Roman"/>
                      <w:b/>
                    </w:rPr>
                  </w:pPr>
                  <w:r w:rsidRPr="00E142F3">
                    <w:rPr>
                      <w:rFonts w:ascii="Times New Roman" w:hAnsi="Times New Roman"/>
                      <w:b/>
                    </w:rPr>
                    <w:t>Organizational Capability</w:t>
                  </w:r>
                </w:p>
                <w:p w14:paraId="325F0106" w14:textId="77777777" w:rsidR="00B82B32" w:rsidRPr="00E142F3" w:rsidRDefault="00B82B32" w:rsidP="00DE1341">
                  <w:pPr>
                    <w:jc w:val="center"/>
                    <w:rPr>
                      <w:rFonts w:ascii="Times New Roman" w:hAnsi="Times New Roman"/>
                      <w:b/>
                    </w:rPr>
                  </w:pPr>
                  <w:r w:rsidRPr="00E142F3">
                    <w:rPr>
                      <w:rFonts w:ascii="Times New Roman" w:hAnsi="Times New Roman"/>
                      <w:sz w:val="24"/>
                      <w:szCs w:val="24"/>
                    </w:rPr>
                    <w:t>(Internal Mechanism)</w:t>
                  </w:r>
                </w:p>
              </w:txbxContent>
            </v:textbox>
            <w10:wrap anchorx="margin"/>
          </v:oval>
        </w:pict>
      </w:r>
    </w:p>
    <w:p w14:paraId="1B00ACDE" w14:textId="77777777" w:rsidR="00DE1341" w:rsidRPr="00B10D71" w:rsidRDefault="00000000" w:rsidP="00DE1341">
      <w:pPr>
        <w:tabs>
          <w:tab w:val="center" w:pos="4680"/>
        </w:tabs>
        <w:rPr>
          <w:rFonts w:ascii="Arial" w:hAnsi="Arial" w:cs="Arial"/>
          <w:lang w:val="en-GB" w:eastAsia="en-GB"/>
        </w:rPr>
      </w:pPr>
      <w:r>
        <w:rPr>
          <w:noProof/>
        </w:rPr>
        <w:pict w14:anchorId="298BD779">
          <v:shape id="Straight Arrow Connector 14" o:spid="_x0000_s2054" type="#_x0000_t32" style="position:absolute;margin-left:160.05pt;margin-top:1.1pt;width:166.15pt;height:5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" strokecolor="black [3040]">
            <v:stroke endarrow="block"/>
          </v:shape>
        </w:pict>
      </w:r>
      <w:r w:rsidR="00DE1341" w:rsidRPr="00B10D71">
        <w:rPr>
          <w:rFonts w:ascii="Arial" w:hAnsi="Arial" w:cs="Arial"/>
          <w:b/>
        </w:rPr>
        <w:tab/>
      </w:r>
      <w:r w:rsidR="00DE1341" w:rsidRPr="00B10D71">
        <w:rPr>
          <w:rFonts w:ascii="Arial" w:hAnsi="Arial" w:cs="Arial"/>
          <w:lang w:val="en-GB" w:eastAsia="en-GB"/>
        </w:rPr>
        <w:t xml:space="preserve">                                                                                                                                                                                                                                                          </w:t>
      </w:r>
    </w:p>
    <w:p w14:paraId="03F48643" w14:textId="77777777" w:rsidR="00DE1341" w:rsidRPr="00B10D71" w:rsidRDefault="00000000" w:rsidP="00DE1341">
      <w:pPr>
        <w:pStyle w:val="NormalWeb"/>
        <w:tabs>
          <w:tab w:val="center" w:pos="4680"/>
        </w:tabs>
        <w:spacing w:before="0" w:beforeAutospacing="0" w:after="0" w:afterAutospacing="0"/>
        <w:jc w:val="both"/>
        <w:rPr>
          <w:rFonts w:ascii="Arial" w:hAnsi="Arial" w:cs="Arial"/>
          <w:b/>
          <w:sz w:val="20"/>
          <w:szCs w:val="20"/>
        </w:rPr>
      </w:pPr>
      <m:oMathPara>
        <m:oMath>
          <m:sSub>
            <m:sSubPr>
              <m:ctrlPr>
                <w:rPr>
                  <w:rFonts w:ascii="Cambria Math" w:hAnsi="Cambria Math" w:cs="Arial"/>
                  <w:b/>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1</m:t>
              </m:r>
            </m:sub>
          </m:sSub>
        </m:oMath>
      </m:oMathPara>
    </w:p>
    <w:p w14:paraId="56CF6200" w14:textId="77777777" w:rsidR="00DE1341" w:rsidRPr="00B10D71" w:rsidRDefault="00000000" w:rsidP="00DE1341">
      <w:pPr>
        <w:tabs>
          <w:tab w:val="center" w:pos="4680"/>
        </w:tabs>
        <w:rPr>
          <w:rFonts w:ascii="Arial" w:hAnsi="Arial" w:cs="Arial"/>
          <w:lang w:val="en-GB" w:eastAsia="en-GB"/>
        </w:rPr>
      </w:pPr>
      <w:r>
        <w:rPr>
          <w:noProof/>
        </w:rPr>
        <w:pict w14:anchorId="74D6185E">
          <v:oval id="Oval 3" o:spid="_x0000_s2053" style="position:absolute;margin-left:326.15pt;margin-top:7.25pt;width:121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" fillcolor="white [3201]" strokecolor="black [3200]" strokeweight="2pt">
            <v:textbox>
              <w:txbxContent>
                <w:p w14:paraId="67882A01" w14:textId="77777777" w:rsidR="00B82B32" w:rsidRPr="002E2208" w:rsidRDefault="00B82B32" w:rsidP="00DE1341">
                  <w:pPr>
                    <w:jc w:val="center"/>
                    <w:rPr>
                      <w:rFonts w:ascii="Times New Roman" w:hAnsi="Times New Roman"/>
                      <w:sz w:val="24"/>
                      <w:szCs w:val="24"/>
                    </w:rPr>
                  </w:pPr>
                  <w:r>
                    <w:rPr>
                      <w:rFonts w:ascii="Times New Roman" w:hAnsi="Times New Roman"/>
                      <w:sz w:val="24"/>
                      <w:szCs w:val="24"/>
                    </w:rPr>
                    <w:t>Innovative Outcome</w:t>
                  </w:r>
                </w:p>
              </w:txbxContent>
            </v:textbox>
          </v:oval>
        </w:pict>
      </w:r>
      <w:r w:rsidR="00DE1341" w:rsidRPr="00B10D71">
        <w:rPr>
          <w:rFonts w:ascii="Arial" w:hAnsi="Arial" w:cs="Arial"/>
          <w:lang w:val="en-GB" w:eastAsia="en-GB"/>
        </w:rPr>
        <w:tab/>
      </w:r>
    </w:p>
    <w:p w14:paraId="6CEF7389" w14:textId="77777777" w:rsidR="00DE1341" w:rsidRPr="00B10D71" w:rsidRDefault="00DE1341" w:rsidP="00DE1341">
      <w:pPr>
        <w:jc w:val="center"/>
        <w:rPr>
          <w:rFonts w:ascii="Arial" w:hAnsi="Arial" w:cs="Arial"/>
          <w:lang w:val="en-GB" w:eastAsia="en-GB"/>
        </w:rPr>
      </w:pPr>
    </w:p>
    <w:p w14:paraId="3930514C" w14:textId="77777777" w:rsidR="00DE1341" w:rsidRPr="00B10D71" w:rsidRDefault="00DE1341" w:rsidP="00DE1341">
      <w:pPr>
        <w:rPr>
          <w:rFonts w:ascii="Arial" w:hAnsi="Arial" w:cs="Arial"/>
          <w:lang w:val="en-GB" w:eastAsia="en-GB"/>
        </w:rPr>
      </w:pPr>
    </w:p>
    <w:p w14:paraId="0DAB9446" w14:textId="77777777" w:rsidR="00DE1341" w:rsidRPr="00B10D71" w:rsidRDefault="00DE1341" w:rsidP="00DE1341">
      <w:pPr>
        <w:rPr>
          <w:rFonts w:ascii="Arial" w:eastAsiaTheme="minorEastAsia" w:hAnsi="Arial" w:cs="Arial"/>
          <w:b/>
          <w:lang w:val="en-GB" w:eastAsia="en-GB"/>
        </w:rPr>
      </w:pPr>
    </w:p>
    <w:p w14:paraId="0A63F5BC" w14:textId="77777777" w:rsidR="00DE1341" w:rsidRPr="00B10D71" w:rsidRDefault="00000000" w:rsidP="00DE1341">
      <w:pPr>
        <w:rPr>
          <w:rFonts w:ascii="Arial" w:eastAsiaTheme="minorEastAsia" w:hAnsi="Arial" w:cs="Arial"/>
          <w:b/>
          <w:lang w:val="en-GB" w:eastAsia="en-GB"/>
        </w:rPr>
      </w:pPr>
      <w:r>
        <w:rPr>
          <w:noProof/>
        </w:rPr>
        <w:pict w14:anchorId="5471BF11">
          <v:shape id="Straight Arrow Connector 15" o:spid="_x0000_s2052" type="#_x0000_t32" style="position:absolute;margin-left:150.15pt;margin-top:3.5pt;width:169.25pt;height:52.05p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" strokecolor="black [3040]">
            <v:stroke endarrow="block"/>
          </v:shape>
        </w:pict>
      </w:r>
    </w:p>
    <w:p w14:paraId="37D6D888" w14:textId="77777777" w:rsidR="00DE1341" w:rsidRPr="00B10D71" w:rsidRDefault="00DE1341" w:rsidP="00DE1341">
      <w:pPr>
        <w:rPr>
          <w:rFonts w:ascii="Arial" w:eastAsiaTheme="minorEastAsia" w:hAnsi="Arial" w:cs="Arial"/>
          <w:b/>
          <w:lang w:val="en-GB" w:eastAsia="en-GB"/>
        </w:rPr>
      </w:pPr>
    </w:p>
    <w:p w14:paraId="483DABD4" w14:textId="77777777" w:rsidR="00DE1341" w:rsidRPr="00B10D71" w:rsidRDefault="00000000" w:rsidP="00DE1341">
      <w:pPr>
        <w:rPr>
          <w:rFonts w:ascii="Arial" w:hAnsi="Arial" w:cs="Arial"/>
          <w:b/>
          <w:lang w:val="en-GB" w:eastAsia="en-GB"/>
        </w:rPr>
      </w:pPr>
      <m:oMathPara>
        <m:oMath>
          <m:sSub>
            <m:sSubPr>
              <m:ctrlPr>
                <w:rPr>
                  <w:rFonts w:ascii="Cambria Math" w:hAnsi="Cambria Math" w:cs="Arial"/>
                  <w:b/>
                  <w:i/>
                  <w:lang w:val="en-GB" w:eastAsia="en-GB"/>
                </w:rPr>
              </m:ctrlPr>
            </m:sSubPr>
            <m:e>
              <m:r>
                <m:rPr>
                  <m:sty m:val="bi"/>
                </m:rPr>
                <w:rPr>
                  <w:rFonts w:ascii="Cambria Math" w:hAnsi="Cambria Math" w:cs="Arial"/>
                  <w:lang w:val="en-GB" w:eastAsia="en-GB"/>
                </w:rPr>
                <m:t>H</m:t>
              </m:r>
            </m:e>
            <m:sub>
              <m:r>
                <m:rPr>
                  <m:sty m:val="bi"/>
                </m:rPr>
                <w:rPr>
                  <w:rFonts w:ascii="Cambria Math" w:hAnsi="Cambria Math" w:cs="Arial"/>
                  <w:lang w:val="en-GB" w:eastAsia="en-GB"/>
                </w:rPr>
                <m:t>2</m:t>
              </m:r>
            </m:sub>
          </m:sSub>
        </m:oMath>
      </m:oMathPara>
    </w:p>
    <w:p w14:paraId="00F5B65E" w14:textId="77777777" w:rsidR="00DE1341" w:rsidRPr="00B10D71" w:rsidRDefault="00000000" w:rsidP="00DE1341">
      <w:pPr>
        <w:rPr>
          <w:rFonts w:ascii="Arial" w:hAnsi="Arial" w:cs="Arial"/>
          <w:lang w:val="en-GB" w:eastAsia="en-GB"/>
        </w:rPr>
      </w:pPr>
      <w:r>
        <w:rPr>
          <w:noProof/>
        </w:rPr>
        <w:pict w14:anchorId="2ABBBED4">
          <v:oval id="Oval 1" o:spid="_x0000_s2051" style="position:absolute;margin-left:42.1pt;margin-top:.7pt;width:114.85pt;height:9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" fillcolor="white [3201]" strokecolor="black [3200]" strokeweight="2pt">
            <v:textbox>
              <w:txbxContent>
                <w:p w14:paraId="08C6335F" w14:textId="77777777" w:rsidR="00B82B32" w:rsidRDefault="00B82B32" w:rsidP="00DE1341">
                  <w:pPr>
                    <w:jc w:val="center"/>
                    <w:rPr>
                      <w:rFonts w:ascii="Times New Roman" w:hAnsi="Times New Roman"/>
                      <w:b/>
                    </w:rPr>
                  </w:pPr>
                  <w:r>
                    <w:rPr>
                      <w:rFonts w:ascii="Times New Roman" w:hAnsi="Times New Roman"/>
                      <w:b/>
                    </w:rPr>
                    <w:t>Market Competition</w:t>
                  </w:r>
                </w:p>
                <w:p w14:paraId="36AD86E0" w14:textId="77777777" w:rsidR="00B82B32" w:rsidRPr="00E142F3" w:rsidRDefault="00B82B32" w:rsidP="00DE1341">
                  <w:pPr>
                    <w:jc w:val="center"/>
                    <w:rPr>
                      <w:rFonts w:ascii="Times New Roman" w:hAnsi="Times New Roman"/>
                      <w:b/>
                    </w:rPr>
                  </w:pPr>
                  <w:r w:rsidRPr="00E142F3">
                    <w:rPr>
                      <w:rFonts w:ascii="Times New Roman" w:hAnsi="Times New Roman"/>
                      <w:sz w:val="24"/>
                      <w:szCs w:val="24"/>
                    </w:rPr>
                    <w:t>(</w:t>
                  </w:r>
                  <w:r>
                    <w:rPr>
                      <w:rFonts w:ascii="Times New Roman" w:hAnsi="Times New Roman"/>
                      <w:sz w:val="24"/>
                      <w:szCs w:val="24"/>
                    </w:rPr>
                    <w:t>Ex</w:t>
                  </w:r>
                  <w:r w:rsidRPr="00E142F3">
                    <w:rPr>
                      <w:rFonts w:ascii="Times New Roman" w:hAnsi="Times New Roman"/>
                      <w:sz w:val="24"/>
                      <w:szCs w:val="24"/>
                    </w:rPr>
                    <w:t>ternal Mechanism)</w:t>
                  </w:r>
                </w:p>
                <w:p w14:paraId="3A1BFE2A" w14:textId="77777777" w:rsidR="00B82B32" w:rsidRPr="00B771DC" w:rsidRDefault="00B82B32" w:rsidP="00DE1341">
                  <w:pPr>
                    <w:rPr>
                      <w:rFonts w:ascii="Times New Roman" w:hAnsi="Times New Roman"/>
                    </w:rPr>
                  </w:pPr>
                </w:p>
              </w:txbxContent>
            </v:textbox>
            <w10:wrap anchorx="margin"/>
          </v:oval>
        </w:pict>
      </w:r>
    </w:p>
    <w:p w14:paraId="6D61D929" w14:textId="77777777" w:rsidR="00DE1341" w:rsidRPr="00B10D71" w:rsidRDefault="00DE1341" w:rsidP="00DE1341">
      <w:pPr>
        <w:rPr>
          <w:rFonts w:ascii="Arial" w:hAnsi="Arial" w:cs="Arial"/>
          <w:lang w:val="en-GB" w:eastAsia="en-GB"/>
        </w:rPr>
      </w:pPr>
    </w:p>
    <w:p w14:paraId="5DD4EFC2" w14:textId="77777777" w:rsidR="00DE1341" w:rsidRPr="00B10D71" w:rsidRDefault="00DE1341" w:rsidP="00DE1341">
      <w:pPr>
        <w:rPr>
          <w:rFonts w:ascii="Arial" w:hAnsi="Arial" w:cs="Arial"/>
          <w:lang w:val="en-GB" w:eastAsia="en-GB"/>
        </w:rPr>
      </w:pPr>
    </w:p>
    <w:p w14:paraId="4CFEC037" w14:textId="77777777" w:rsidR="00DE1341" w:rsidRPr="00B10D71" w:rsidRDefault="00DE1341" w:rsidP="00DE1341">
      <w:pPr>
        <w:rPr>
          <w:rFonts w:ascii="Arial" w:hAnsi="Arial" w:cs="Arial"/>
          <w:lang w:val="en-GB" w:eastAsia="en-GB"/>
        </w:rPr>
      </w:pPr>
    </w:p>
    <w:p w14:paraId="6420D68B" w14:textId="77777777" w:rsidR="00DE1341" w:rsidRPr="00B10D71" w:rsidRDefault="00DE1341" w:rsidP="00DE1341">
      <w:pPr>
        <w:rPr>
          <w:rFonts w:ascii="Arial" w:hAnsi="Arial" w:cs="Arial"/>
          <w:lang w:val="en-GB" w:eastAsia="en-GB"/>
        </w:rPr>
      </w:pPr>
    </w:p>
    <w:p w14:paraId="5AD38728" w14:textId="77777777" w:rsidR="00DE1341" w:rsidRPr="00B10D71" w:rsidRDefault="00DE1341" w:rsidP="00DE1341">
      <w:pPr>
        <w:rPr>
          <w:rFonts w:ascii="Arial" w:hAnsi="Arial" w:cs="Arial"/>
          <w:lang w:val="en-GB" w:eastAsia="en-GB"/>
        </w:rPr>
      </w:pPr>
    </w:p>
    <w:p w14:paraId="7FF5029D" w14:textId="77777777" w:rsidR="00DE1341" w:rsidRPr="00B10D71" w:rsidRDefault="00DE1341" w:rsidP="00DE1341">
      <w:pPr>
        <w:rPr>
          <w:rFonts w:ascii="Arial" w:hAnsi="Arial" w:cs="Arial"/>
          <w:lang w:val="en-GB" w:eastAsia="en-GB"/>
        </w:rPr>
      </w:pPr>
    </w:p>
    <w:p w14:paraId="75722F40" w14:textId="77777777" w:rsidR="00DE1341" w:rsidRPr="00B10D71" w:rsidRDefault="00DE1341" w:rsidP="00DE1341">
      <w:pPr>
        <w:rPr>
          <w:rFonts w:ascii="Arial" w:hAnsi="Arial" w:cs="Arial"/>
          <w:lang w:val="en-GB" w:eastAsia="en-GB"/>
        </w:rPr>
      </w:pPr>
    </w:p>
    <w:p w14:paraId="388BB1F2" w14:textId="77777777" w:rsidR="00DE1341" w:rsidRPr="00B10D71" w:rsidRDefault="00DE1341" w:rsidP="00DE1341">
      <w:pPr>
        <w:rPr>
          <w:rFonts w:ascii="Arial" w:hAnsi="Arial" w:cs="Arial"/>
          <w:lang w:val="en-GB" w:eastAsia="en-GB"/>
        </w:rPr>
      </w:pPr>
    </w:p>
    <w:p w14:paraId="623668F4" w14:textId="77777777" w:rsidR="00DE1341" w:rsidRPr="00B10D71" w:rsidRDefault="00DE1341" w:rsidP="00DE1341">
      <w:pPr>
        <w:rPr>
          <w:rFonts w:ascii="Arial" w:hAnsi="Arial" w:cs="Arial"/>
          <w:lang w:val="en-GB" w:eastAsia="en-GB"/>
        </w:rPr>
      </w:pPr>
      <w:r w:rsidRPr="00B10D71">
        <w:rPr>
          <w:rFonts w:ascii="Arial" w:hAnsi="Arial" w:cs="Arial"/>
          <w:lang w:val="en-GB" w:eastAsia="en-GB"/>
        </w:rPr>
        <w:t>Source:  Adopted from He &amp; Wu (2022)</w:t>
      </w:r>
    </w:p>
    <w:p w14:paraId="5C6542E3" w14:textId="77777777" w:rsidR="00DE1341" w:rsidRPr="00B10D71" w:rsidRDefault="00DE1341" w:rsidP="00DE1341">
      <w:pPr>
        <w:rPr>
          <w:rFonts w:ascii="Arial" w:hAnsi="Arial" w:cs="Arial"/>
        </w:rPr>
      </w:pPr>
      <w:r w:rsidRPr="00B10D71">
        <w:rPr>
          <w:rFonts w:ascii="Arial" w:hAnsi="Arial" w:cs="Arial"/>
        </w:rPr>
        <w:t>Fig. 1: Conceptual Framework of the Effects of Organizational Capability and Market Competitive Pressure on Firm Innovation</w:t>
      </w:r>
    </w:p>
    <w:p w14:paraId="33C3EE09" w14:textId="77777777" w:rsidR="00790ADA" w:rsidRPr="00FB3A86" w:rsidRDefault="00790ADA" w:rsidP="00441B6F">
      <w:pPr>
        <w:pStyle w:val="Body"/>
        <w:spacing w:after="0"/>
        <w:rPr>
          <w:rFonts w:ascii="Arial" w:hAnsi="Arial" w:cs="Arial"/>
        </w:rPr>
      </w:pPr>
    </w:p>
    <w:p w14:paraId="7E8F948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DE1341">
        <w:rPr>
          <w:rFonts w:ascii="Arial" w:hAnsi="Arial" w:cs="Arial"/>
        </w:rPr>
        <w:t xml:space="preserve">s </w:t>
      </w:r>
    </w:p>
    <w:p w14:paraId="6540EC68" w14:textId="77777777" w:rsidR="00DE1341" w:rsidRPr="00B10D71" w:rsidRDefault="00DE1341" w:rsidP="00DE1341">
      <w:pPr>
        <w:rPr>
          <w:rFonts w:ascii="Arial" w:hAnsi="Arial" w:cs="Arial"/>
          <w:lang w:val="en-GB" w:eastAsia="en-GB"/>
        </w:rPr>
      </w:pPr>
      <w:r w:rsidRPr="00B10D71">
        <w:rPr>
          <w:rFonts w:ascii="Arial" w:hAnsi="Arial" w:cs="Arial"/>
          <w:b/>
          <w:bCs/>
          <w:lang w:val="en-GB" w:eastAsia="en-GB"/>
        </w:rPr>
        <w:t>2.1 Study Design</w:t>
      </w:r>
      <w:r w:rsidRPr="00B10D71">
        <w:rPr>
          <w:rFonts w:ascii="Arial" w:hAnsi="Arial" w:cs="Arial"/>
          <w:lang w:val="en-GB" w:eastAsia="en-GB"/>
        </w:rPr>
        <w:t xml:space="preserve"> </w:t>
      </w:r>
    </w:p>
    <w:p w14:paraId="06BA4001" w14:textId="77777777" w:rsidR="00DE1341" w:rsidRPr="00B10D71" w:rsidRDefault="00DE1341" w:rsidP="00DE1341">
      <w:pPr>
        <w:rPr>
          <w:rFonts w:ascii="Arial" w:hAnsi="Arial" w:cs="Arial"/>
          <w:lang w:val="en-GB" w:eastAsia="en-GB"/>
        </w:rPr>
      </w:pPr>
      <w:r w:rsidRPr="00B10D71">
        <w:rPr>
          <w:rFonts w:ascii="Arial" w:hAnsi="Arial" w:cs="Arial"/>
          <w:lang w:val="en-GB" w:eastAsia="en-GB"/>
        </w:rPr>
        <w:t>The specific research design employed in this study is the descriptive cross-sectional survey design. A descriptive cross-sectional survey design is a research approach that involves the collection of data at a single point in time in order to describe characteristics, relationships, or patterns within a population. This design is appropriate for the study because the dataset used was collected at a single point in time across firms in Ghana in 2023. The design adopted fit well into the positivism philosophy and quantitative research approach.</w:t>
      </w:r>
    </w:p>
    <w:p w14:paraId="32362142" w14:textId="77777777" w:rsidR="00DE1341" w:rsidRPr="00B10D71" w:rsidRDefault="00DE1341" w:rsidP="00DE1341">
      <w:pPr>
        <w:rPr>
          <w:rFonts w:ascii="Arial" w:hAnsi="Arial" w:cs="Arial"/>
          <w:lang w:val="en-GB" w:eastAsia="en-GB"/>
        </w:rPr>
      </w:pPr>
    </w:p>
    <w:p w14:paraId="61A6B1F9" w14:textId="77777777" w:rsidR="00DE1341" w:rsidRPr="00B10D71" w:rsidRDefault="00DE1341" w:rsidP="00DE1341">
      <w:pPr>
        <w:rPr>
          <w:rFonts w:ascii="Arial" w:hAnsi="Arial" w:cs="Arial"/>
          <w:lang w:val="en-GB" w:eastAsia="en-GB"/>
        </w:rPr>
      </w:pPr>
      <w:r w:rsidRPr="00B10D71">
        <w:rPr>
          <w:rFonts w:ascii="Arial" w:hAnsi="Arial" w:cs="Arial"/>
          <w:b/>
          <w:bCs/>
          <w:lang w:val="en-GB" w:eastAsia="en-GB"/>
        </w:rPr>
        <w:t>2.2 Data Source, Study Population and Sampling Procedure</w:t>
      </w:r>
      <w:r w:rsidRPr="00B10D71">
        <w:rPr>
          <w:rFonts w:ascii="Arial" w:hAnsi="Arial" w:cs="Arial"/>
          <w:lang w:val="en-GB" w:eastAsia="en-GB"/>
        </w:rPr>
        <w:t xml:space="preserve"> </w:t>
      </w:r>
    </w:p>
    <w:p w14:paraId="530684DB" w14:textId="77777777" w:rsidR="00DE1341" w:rsidRDefault="00DE1341" w:rsidP="00DE1341">
      <w:pPr>
        <w:jc w:val="both"/>
        <w:rPr>
          <w:rFonts w:ascii="Arial" w:hAnsi="Arial" w:cs="Arial"/>
          <w:lang w:val="en-GB" w:eastAsia="en-GB"/>
        </w:rPr>
      </w:pPr>
      <w:r w:rsidRPr="00B10D71">
        <w:rPr>
          <w:rFonts w:ascii="Arial" w:hAnsi="Arial" w:cs="Arial"/>
          <w:lang w:val="en-GB" w:eastAsia="en-GB"/>
        </w:rPr>
        <w:t>The study utilizes firm-level data from the World Bank Enterprise Survey (2023) for Ghana. The dataset contains detailed information on firms’ innovation activities, market competition, and organizational capability indicators, as well as other firm-level characteristics. Organizational capability captures firms’ innovation-oriented resource base and includes research and development (R&amp;D) capability, technological assimilation capability, process formalization capability, and quality management capability. These dimensions reflect firms’ capacity to generate, absorb, and implement innovation. After data cleaning and management, the final sample consists of 694 firms, reduced from an initial 713 observations due to missing and inconsistent responses.</w:t>
      </w:r>
    </w:p>
    <w:p w14:paraId="3C23B8E0" w14:textId="77777777" w:rsidR="00DE1341" w:rsidRPr="00B10D71" w:rsidRDefault="00DE1341" w:rsidP="00DE1341">
      <w:pPr>
        <w:jc w:val="both"/>
        <w:rPr>
          <w:rFonts w:ascii="Arial" w:hAnsi="Arial" w:cs="Arial"/>
          <w:lang w:val="en-GB" w:eastAsia="en-GB"/>
        </w:rPr>
      </w:pPr>
    </w:p>
    <w:p w14:paraId="61D38D88" w14:textId="0592F198" w:rsidR="00DE1341" w:rsidRPr="00B10D71" w:rsidRDefault="00DE1341" w:rsidP="00DE1341">
      <w:pPr>
        <w:rPr>
          <w:rFonts w:ascii="Arial" w:hAnsi="Arial" w:cs="Arial"/>
          <w:lang w:val="en-GB" w:eastAsia="en-GB"/>
        </w:rPr>
      </w:pPr>
    </w:p>
    <w:p w14:paraId="0BE9846F" w14:textId="77777777" w:rsidR="00DE1341" w:rsidRPr="00C30A5E" w:rsidRDefault="00DE1341" w:rsidP="00DE1341">
      <w:pPr>
        <w:jc w:val="both"/>
        <w:outlineLvl w:val="2"/>
        <w:rPr>
          <w:rFonts w:ascii="Arial" w:hAnsi="Arial" w:cs="Arial"/>
          <w:b/>
          <w:bCs/>
          <w:lang w:val="en-GB" w:eastAsia="en-GB"/>
        </w:rPr>
      </w:pPr>
      <w:r w:rsidRPr="00B10D71">
        <w:rPr>
          <w:rFonts w:ascii="Arial" w:hAnsi="Arial" w:cs="Arial"/>
          <w:b/>
          <w:bCs/>
          <w:lang w:val="en-GB" w:eastAsia="en-GB"/>
        </w:rPr>
        <w:t xml:space="preserve">2.3 </w:t>
      </w:r>
      <w:r w:rsidRPr="00C30A5E">
        <w:rPr>
          <w:rFonts w:ascii="Arial" w:hAnsi="Arial" w:cs="Arial"/>
          <w:b/>
          <w:bCs/>
          <w:lang w:val="en-GB" w:eastAsia="en-GB"/>
        </w:rPr>
        <w:t>Ethical Considerations</w:t>
      </w:r>
    </w:p>
    <w:p w14:paraId="188A4AA0" w14:textId="77777777" w:rsidR="00DE1341" w:rsidRPr="00C30A5E" w:rsidRDefault="00DE1341" w:rsidP="00DE1341">
      <w:pPr>
        <w:jc w:val="both"/>
        <w:rPr>
          <w:rFonts w:ascii="Arial" w:hAnsi="Arial" w:cs="Arial"/>
          <w:lang w:val="en-GB" w:eastAsia="en-GB"/>
        </w:rPr>
      </w:pPr>
      <w:r w:rsidRPr="00C30A5E">
        <w:rPr>
          <w:rFonts w:ascii="Arial" w:hAnsi="Arial" w:cs="Arial"/>
          <w:lang w:val="en-GB" w:eastAsia="en-GB"/>
        </w:rPr>
        <w:t>This study employed publicly available secondary firm-level data obtained from the World Bank Enterprise Survey (2023) for Ghana. The data were originally collected in accordance with the World Bank’s established ethical and data collection protocols, with informed consent obtained from participating firms during the survey process. The dataset contains no personally identifiable information, thereby ensuring the confidentiality and privacy of respondents and firms. To maintain research integrity and objectivity, data cleaning and management procedures were conducted using standardized statistical criteria, which resulted in the reduction of observations from 713 to 694 due to missing and inconsistent responses, without any selective exclusion or manipulation of cases. Given that the study relied exclusively on publicly available secondary data, separate ethical approval was not required, and the use of the dataset was consistent with the World Bank’s data access and usage guidelines.</w:t>
      </w:r>
    </w:p>
    <w:p w14:paraId="0C5DADBA" w14:textId="77777777" w:rsidR="00DE1341" w:rsidRPr="00B10D71" w:rsidRDefault="00DE1341" w:rsidP="00DE1341">
      <w:pPr>
        <w:rPr>
          <w:rFonts w:ascii="Arial" w:hAnsi="Arial" w:cs="Arial"/>
          <w:lang w:val="en-GB" w:eastAsia="en-GB"/>
        </w:rPr>
      </w:pPr>
    </w:p>
    <w:p w14:paraId="00DE64A2" w14:textId="77777777" w:rsidR="00DE1341" w:rsidRPr="00B10D71" w:rsidRDefault="00DE1341" w:rsidP="00DE1341">
      <w:pPr>
        <w:rPr>
          <w:rFonts w:ascii="Arial" w:hAnsi="Arial" w:cs="Arial"/>
          <w:b/>
          <w:bCs/>
          <w:lang w:val="en-GB" w:eastAsia="en-GB"/>
        </w:rPr>
      </w:pPr>
      <w:r w:rsidRPr="00B10D71">
        <w:rPr>
          <w:rFonts w:ascii="Arial" w:hAnsi="Arial" w:cs="Arial"/>
          <w:b/>
          <w:bCs/>
          <w:lang w:val="en-GB" w:eastAsia="en-GB"/>
        </w:rPr>
        <w:t>2.4 Variables and Measurement</w:t>
      </w:r>
    </w:p>
    <w:p w14:paraId="6EC746D5" w14:textId="77777777" w:rsidR="00DE1341" w:rsidRPr="00B10D71" w:rsidRDefault="00DE1341" w:rsidP="00DE1341">
      <w:pPr>
        <w:pStyle w:val="NormalWeb"/>
        <w:spacing w:before="0" w:beforeAutospacing="0" w:after="0" w:afterAutospacing="0"/>
        <w:jc w:val="both"/>
        <w:rPr>
          <w:rFonts w:ascii="Arial" w:hAnsi="Arial" w:cs="Arial"/>
          <w:b/>
          <w:sz w:val="20"/>
          <w:szCs w:val="20"/>
          <w:u w:val="single"/>
          <w:lang w:val="en-US"/>
        </w:rPr>
      </w:pPr>
      <w:r w:rsidRPr="00B10D71">
        <w:rPr>
          <w:rFonts w:ascii="Arial" w:hAnsi="Arial" w:cs="Arial"/>
          <w:b/>
          <w:i/>
          <w:sz w:val="20"/>
          <w:szCs w:val="20"/>
          <w:u w:val="single"/>
          <w:lang w:val="en-US"/>
        </w:rPr>
        <w:t>2.4.1 Dependent Variable</w:t>
      </w:r>
      <w:r w:rsidRPr="00B10D71">
        <w:rPr>
          <w:rFonts w:ascii="Arial" w:hAnsi="Arial" w:cs="Arial"/>
          <w:b/>
          <w:sz w:val="20"/>
          <w:szCs w:val="20"/>
          <w:u w:val="single"/>
          <w:lang w:val="en-US"/>
        </w:rPr>
        <w:t>:</w:t>
      </w:r>
    </w:p>
    <w:p w14:paraId="6DF54B1E" w14:textId="77777777" w:rsidR="00DE1341" w:rsidRPr="00B10D71" w:rsidRDefault="00DE1341" w:rsidP="00DE1341">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Innovation is measured based on levels of adoption of innovation activities, capturing no innovation, partial innovation, and full adoption of both product and process innovation. This approach is consistent with the Oslo Manual (OECD/Eurostat, 2018), which provides the internationally accepted framework for defining and measuring innovation, and has been widely applied in empirical studies (e.g., He &amp; Liu, 2023).</w:t>
      </w:r>
    </w:p>
    <w:p w14:paraId="764FBF4C" w14:textId="77777777" w:rsidR="00DE1341" w:rsidRPr="00B10D71" w:rsidRDefault="00DE1341" w:rsidP="00DE1341">
      <w:pPr>
        <w:pStyle w:val="NormalWeb"/>
        <w:spacing w:before="0" w:beforeAutospacing="0" w:after="0" w:afterAutospacing="0"/>
        <w:jc w:val="both"/>
        <w:rPr>
          <w:rFonts w:ascii="Arial" w:hAnsi="Arial" w:cs="Arial"/>
          <w:b/>
          <w:sz w:val="20"/>
          <w:szCs w:val="20"/>
          <w:lang w:val="en-US"/>
        </w:rPr>
      </w:pPr>
    </w:p>
    <w:p w14:paraId="6C6ABB1F" w14:textId="77777777" w:rsidR="00DE1341" w:rsidRPr="00B10D71" w:rsidRDefault="00DE1341" w:rsidP="00DE1341">
      <w:pPr>
        <w:pStyle w:val="NormalWeb"/>
        <w:spacing w:before="0" w:beforeAutospacing="0" w:after="0" w:afterAutospacing="0"/>
        <w:jc w:val="both"/>
        <w:rPr>
          <w:rFonts w:ascii="Arial" w:hAnsi="Arial" w:cs="Arial"/>
          <w:b/>
          <w:sz w:val="20"/>
          <w:szCs w:val="20"/>
          <w:lang w:val="en-US"/>
        </w:rPr>
      </w:pPr>
    </w:p>
    <w:p w14:paraId="55997F7C" w14:textId="77777777" w:rsidR="00DE1341" w:rsidRPr="00B10D71" w:rsidRDefault="00DE1341" w:rsidP="00DE1341">
      <w:pPr>
        <w:pStyle w:val="NormalWeb"/>
        <w:spacing w:before="0" w:beforeAutospacing="0" w:after="0" w:afterAutospacing="0"/>
        <w:jc w:val="both"/>
        <w:rPr>
          <w:rFonts w:ascii="Arial" w:hAnsi="Arial" w:cs="Arial"/>
          <w:i/>
          <w:sz w:val="20"/>
          <w:szCs w:val="20"/>
          <w:u w:val="single"/>
          <w:lang w:val="en-US"/>
        </w:rPr>
      </w:pPr>
      <w:r w:rsidRPr="00B10D71">
        <w:rPr>
          <w:rFonts w:ascii="Arial" w:hAnsi="Arial" w:cs="Arial"/>
          <w:b/>
          <w:i/>
          <w:sz w:val="20"/>
          <w:szCs w:val="20"/>
          <w:u w:val="single"/>
          <w:lang w:val="en-US"/>
        </w:rPr>
        <w:t>2.4.2 Independent and Control Variables</w:t>
      </w:r>
    </w:p>
    <w:p w14:paraId="112825E0" w14:textId="2D4925ED" w:rsidR="00E93D8C" w:rsidRPr="00E93D8C" w:rsidRDefault="00DE1341" w:rsidP="00E93D8C">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 xml:space="preserve">The organizational capability index is constructed following established approaches in the literature, including Aghion et al. (2014) and Cohen and Levinthal (1990), which emphasize firms’ absorptive and innovation capabilities. In this study, the index is derived using principal component analysis (PCA) based on multiple dimensions of organizational capability. Specifically, the index captures: </w:t>
      </w:r>
      <w:r w:rsidRPr="00B10D71">
        <w:rPr>
          <w:rStyle w:val="Strong"/>
          <w:rFonts w:ascii="Arial" w:hAnsi="Arial" w:cs="Arial"/>
          <w:b w:val="0"/>
          <w:sz w:val="20"/>
          <w:szCs w:val="20"/>
          <w:lang w:val="en-US"/>
        </w:rPr>
        <w:t>R&amp;D capability</w:t>
      </w:r>
      <w:r w:rsidRPr="00B10D71">
        <w:rPr>
          <w:rFonts w:ascii="Arial" w:hAnsi="Arial" w:cs="Arial"/>
          <w:sz w:val="20"/>
          <w:szCs w:val="20"/>
          <w:lang w:val="en-US"/>
        </w:rPr>
        <w:t xml:space="preserve"> (innovation and knowledge creation capacity), </w:t>
      </w:r>
      <w:r w:rsidRPr="00B10D71">
        <w:rPr>
          <w:rStyle w:val="Strong"/>
          <w:rFonts w:ascii="Arial" w:hAnsi="Arial" w:cs="Arial"/>
          <w:b w:val="0"/>
          <w:sz w:val="20"/>
          <w:szCs w:val="20"/>
          <w:lang w:val="en-US"/>
        </w:rPr>
        <w:t>technological assimilation capability</w:t>
      </w:r>
      <w:r w:rsidRPr="00B10D71">
        <w:rPr>
          <w:rFonts w:ascii="Arial" w:hAnsi="Arial" w:cs="Arial"/>
          <w:sz w:val="20"/>
          <w:szCs w:val="20"/>
          <w:lang w:val="en-US"/>
        </w:rPr>
        <w:t xml:space="preserve"> (ability to absorb and adapt external technologies), </w:t>
      </w:r>
      <w:r w:rsidRPr="00B10D71">
        <w:rPr>
          <w:rStyle w:val="Strong"/>
          <w:rFonts w:ascii="Arial" w:hAnsi="Arial" w:cs="Arial"/>
          <w:b w:val="0"/>
          <w:sz w:val="20"/>
          <w:szCs w:val="20"/>
          <w:lang w:val="en-US"/>
        </w:rPr>
        <w:t>process formalization capability</w:t>
      </w:r>
      <w:r w:rsidRPr="00B10D71">
        <w:rPr>
          <w:rFonts w:ascii="Arial" w:hAnsi="Arial" w:cs="Arial"/>
          <w:sz w:val="20"/>
          <w:szCs w:val="20"/>
          <w:lang w:val="en-US"/>
        </w:rPr>
        <w:t xml:space="preserve"> (degree of structured and standardized internal operations), and </w:t>
      </w:r>
      <w:r w:rsidRPr="00B10D71">
        <w:rPr>
          <w:rStyle w:val="Strong"/>
          <w:rFonts w:ascii="Arial" w:hAnsi="Arial" w:cs="Arial"/>
          <w:b w:val="0"/>
          <w:sz w:val="20"/>
          <w:szCs w:val="20"/>
          <w:lang w:val="en-US"/>
        </w:rPr>
        <w:t>quality management capability</w:t>
      </w:r>
      <w:r w:rsidRPr="00B10D71">
        <w:rPr>
          <w:rFonts w:ascii="Arial" w:hAnsi="Arial" w:cs="Arial"/>
          <w:sz w:val="20"/>
          <w:szCs w:val="20"/>
          <w:lang w:val="en-US"/>
        </w:rPr>
        <w:t xml:space="preserve"> (compliance with and implementation of recognized quality standards). Together, these dimensions reflect the firm’s overall capability to generate, absorb, and implement innovation. </w:t>
      </w:r>
      <w:r w:rsidR="00E93D8C">
        <w:t>In addition, the Principal Component Analysis (PCA) was used to reduce multiple interrelated survey indicators into single composite measures while maximizing retained variance.</w:t>
      </w:r>
    </w:p>
    <w:p w14:paraId="48E42F36" w14:textId="77777777" w:rsidR="00E93D8C" w:rsidRPr="00B10D71" w:rsidRDefault="00E93D8C" w:rsidP="00DE1341">
      <w:pPr>
        <w:pStyle w:val="NormalWeb"/>
        <w:spacing w:before="0" w:beforeAutospacing="0" w:after="0" w:afterAutospacing="0"/>
        <w:jc w:val="both"/>
        <w:rPr>
          <w:rFonts w:ascii="Arial" w:hAnsi="Arial" w:cs="Arial"/>
          <w:sz w:val="20"/>
          <w:szCs w:val="20"/>
          <w:lang w:val="en-US"/>
        </w:rPr>
      </w:pPr>
    </w:p>
    <w:p w14:paraId="68CE07CA" w14:textId="77777777" w:rsidR="00DE1341" w:rsidRPr="00B10D71" w:rsidRDefault="00DE1341" w:rsidP="00DE1341">
      <w:pPr>
        <w:jc w:val="both"/>
        <w:rPr>
          <w:rFonts w:ascii="Arial" w:hAnsi="Arial" w:cs="Arial"/>
        </w:rPr>
      </w:pPr>
      <w:r w:rsidRPr="00B10D71">
        <w:rPr>
          <w:rFonts w:ascii="Arial" w:hAnsi="Arial" w:cs="Arial"/>
        </w:rPr>
        <w:t>Market competition is measured using intensity of rivalry within the operating environment and is reflected in firms’ experience of increasing competition.</w:t>
      </w:r>
      <w:r w:rsidRPr="00B10D71">
        <w:rPr>
          <w:rFonts w:ascii="Arial" w:hAnsi="Arial" w:cs="Arial"/>
          <w:b/>
          <w:bCs/>
        </w:rPr>
        <w:t xml:space="preserve"> </w:t>
      </w:r>
      <w:r w:rsidRPr="00B10D71">
        <w:rPr>
          <w:rFonts w:ascii="Arial" w:hAnsi="Arial" w:cs="Arial"/>
          <w:bCs/>
        </w:rPr>
        <w:t xml:space="preserve">This approach </w:t>
      </w:r>
      <w:proofErr w:type="gramStart"/>
      <w:r w:rsidRPr="00B10D71">
        <w:rPr>
          <w:rFonts w:ascii="Arial" w:hAnsi="Arial" w:cs="Arial"/>
          <w:bCs/>
        </w:rPr>
        <w:t>remain</w:t>
      </w:r>
      <w:proofErr w:type="gramEnd"/>
      <w:r w:rsidRPr="00B10D71">
        <w:rPr>
          <w:rFonts w:ascii="Arial" w:hAnsi="Arial" w:cs="Arial"/>
          <w:bCs/>
        </w:rPr>
        <w:t xml:space="preserve"> consistent with empirical studies that used same construct (e.g. Palikot, 2023; Aghion et al., 2018).</w:t>
      </w:r>
      <w:r w:rsidRPr="00B10D71">
        <w:rPr>
          <w:rFonts w:ascii="Arial" w:hAnsi="Arial" w:cs="Arial"/>
        </w:rPr>
        <w:t xml:space="preserve"> </w:t>
      </w:r>
    </w:p>
    <w:p w14:paraId="430DCB31" w14:textId="77777777" w:rsidR="00DE1341" w:rsidRPr="00B10D71" w:rsidRDefault="00DE1341" w:rsidP="00DE1341">
      <w:pPr>
        <w:pStyle w:val="NormalWeb"/>
        <w:spacing w:before="0" w:beforeAutospacing="0" w:after="0" w:afterAutospacing="0"/>
        <w:jc w:val="both"/>
        <w:rPr>
          <w:rFonts w:ascii="Arial" w:hAnsi="Arial" w:cs="Arial"/>
          <w:sz w:val="20"/>
          <w:szCs w:val="20"/>
          <w:lang w:val="en-US"/>
        </w:rPr>
      </w:pPr>
      <w:r w:rsidRPr="00B10D71">
        <w:rPr>
          <w:rFonts w:ascii="Arial" w:hAnsi="Arial" w:cs="Arial"/>
          <w:sz w:val="20"/>
          <w:szCs w:val="20"/>
          <w:lang w:val="en-US"/>
        </w:rPr>
        <w:t xml:space="preserve">The Digital Adoption Index captures the extent of firms’ use of digital technologies across both administrative and operational activities. It is constructed as a composite index based on standardized measures of digital sales, digital supplier interactions, electronic tax filing, and electronic tax payments. This approach is consistent with the technological capability and digital adoption literature, which emphasizes ICT-enabled operational efficiency as a key component of firm-level digitalization and business process integration (Agyapong et al., 2024; Koomson et al., 2025; </w:t>
      </w:r>
      <w:proofErr w:type="spellStart"/>
      <w:r w:rsidRPr="00B10D71">
        <w:rPr>
          <w:rFonts w:ascii="Arial" w:hAnsi="Arial" w:cs="Arial"/>
          <w:sz w:val="20"/>
          <w:szCs w:val="20"/>
          <w:lang w:val="en-US"/>
        </w:rPr>
        <w:t>Azamela</w:t>
      </w:r>
      <w:proofErr w:type="spellEnd"/>
      <w:r w:rsidRPr="00B10D71">
        <w:rPr>
          <w:rFonts w:ascii="Arial" w:hAnsi="Arial" w:cs="Arial"/>
          <w:sz w:val="20"/>
          <w:szCs w:val="20"/>
          <w:lang w:val="en-US"/>
        </w:rPr>
        <w:t xml:space="preserve"> et al., 2022).</w:t>
      </w:r>
    </w:p>
    <w:p w14:paraId="0338E57B" w14:textId="77777777" w:rsidR="00DE1341" w:rsidRPr="00B10D71" w:rsidRDefault="00DE1341" w:rsidP="00DE1341">
      <w:pPr>
        <w:rPr>
          <w:rFonts w:ascii="Arial" w:hAnsi="Arial" w:cs="Arial"/>
        </w:rPr>
      </w:pPr>
      <w:r w:rsidRPr="00B10D71">
        <w:rPr>
          <w:rFonts w:ascii="Arial" w:hAnsi="Arial" w:cs="Arial"/>
        </w:rPr>
        <w:t xml:space="preserve">Consistent with the empirical literature (Aghion et al., 2024; Cai &amp; Wu, 2024; Yamaguchi et al., 2025; Zaman &amp; </w:t>
      </w:r>
      <w:proofErr w:type="spellStart"/>
      <w:r w:rsidRPr="00B10D71">
        <w:rPr>
          <w:rFonts w:ascii="Arial" w:hAnsi="Arial" w:cs="Arial"/>
        </w:rPr>
        <w:t>Tanewski</w:t>
      </w:r>
      <w:proofErr w:type="spellEnd"/>
      <w:r w:rsidRPr="00B10D71">
        <w:rPr>
          <w:rFonts w:ascii="Arial" w:hAnsi="Arial" w:cs="Arial"/>
        </w:rPr>
        <w:t>, 2024), the model controls for firm age, measured as the natural logarithm of years since establishment, firm size, measured as the natural logarithm of the number of employees, and exporter status, used as a proxy for internationalization</w:t>
      </w:r>
    </w:p>
    <w:p w14:paraId="38C84885" w14:textId="77777777" w:rsidR="00DE1341" w:rsidRPr="00B10D71" w:rsidRDefault="00DE1341" w:rsidP="00DE1341">
      <w:pPr>
        <w:rPr>
          <w:rFonts w:ascii="Arial" w:hAnsi="Arial" w:cs="Arial"/>
          <w:b/>
          <w:bCs/>
          <w:lang w:val="en-GB" w:eastAsia="en-GB"/>
        </w:rPr>
      </w:pPr>
    </w:p>
    <w:p w14:paraId="7692EFEE" w14:textId="77777777" w:rsidR="00DE1341" w:rsidRPr="00665787" w:rsidRDefault="00DE1341" w:rsidP="00DE1341">
      <w:pPr>
        <w:rPr>
          <w:rFonts w:ascii="Arial" w:hAnsi="Arial" w:cs="Arial"/>
          <w:sz w:val="22"/>
          <w:szCs w:val="22"/>
          <w:lang w:val="en-GB" w:eastAsia="en-GB"/>
        </w:rPr>
      </w:pPr>
      <w:r w:rsidRPr="00665787">
        <w:rPr>
          <w:rFonts w:ascii="Arial" w:hAnsi="Arial" w:cs="Arial"/>
          <w:b/>
          <w:bCs/>
          <w:sz w:val="22"/>
          <w:szCs w:val="22"/>
          <w:lang w:val="en-GB" w:eastAsia="en-GB"/>
        </w:rPr>
        <w:t xml:space="preserve">2.5 Mathematical Expression and Symbols Model </w:t>
      </w:r>
    </w:p>
    <w:p w14:paraId="7E0B7797" w14:textId="3AABCBE7" w:rsidR="00DE1341" w:rsidRDefault="00DE1341" w:rsidP="00DE1341">
      <w:pPr>
        <w:jc w:val="both"/>
        <w:rPr>
          <w:rFonts w:ascii="Arial" w:hAnsi="Arial" w:cs="Arial"/>
        </w:rPr>
      </w:pPr>
      <w:r w:rsidRPr="00B10D71">
        <w:rPr>
          <w:rFonts w:ascii="Arial" w:hAnsi="Arial" w:cs="Arial"/>
        </w:rPr>
        <w:t>Given the ordinal structure of the dependent variable, the study estimates ordered probit, ordered logit, and generalized ordered logit models. This multi-model approach allows for robustness checks and comparative assessment of parameter stability across alternative distributional assumptions.</w:t>
      </w:r>
    </w:p>
    <w:p w14:paraId="6BBA2C7D" w14:textId="6049B3DD" w:rsidR="00D1268C" w:rsidRDefault="00D1268C" w:rsidP="00DE1341">
      <w:pPr>
        <w:jc w:val="both"/>
        <w:rPr>
          <w:rFonts w:ascii="Arial" w:hAnsi="Arial" w:cs="Arial"/>
        </w:rPr>
      </w:pPr>
    </w:p>
    <w:p w14:paraId="06861A41" w14:textId="77777777" w:rsidR="00D1268C" w:rsidRPr="00B10D71" w:rsidRDefault="00D1268C" w:rsidP="00DE1341">
      <w:pPr>
        <w:jc w:val="both"/>
        <w:rPr>
          <w:rFonts w:ascii="Arial" w:hAnsi="Arial" w:cs="Arial"/>
        </w:rPr>
      </w:pPr>
    </w:p>
    <w:p w14:paraId="18F7DF0F" w14:textId="77777777" w:rsidR="00DE1341" w:rsidRPr="00B10D71" w:rsidRDefault="00DE1341" w:rsidP="00DE1341">
      <w:pPr>
        <w:rPr>
          <w:rFonts w:ascii="Arial" w:hAnsi="Arial" w:cs="Arial"/>
          <w:b/>
          <w:lang w:val="en-GB"/>
        </w:rPr>
      </w:pPr>
    </w:p>
    <w:p w14:paraId="7834F805" w14:textId="77777777" w:rsidR="00DE1341" w:rsidRPr="00665787" w:rsidRDefault="00DE1341" w:rsidP="00DE1341">
      <w:pPr>
        <w:rPr>
          <w:rFonts w:ascii="Arial" w:hAnsi="Arial" w:cs="Arial"/>
          <w:b/>
          <w:i/>
          <w:u w:val="single"/>
        </w:rPr>
      </w:pPr>
      <w:r w:rsidRPr="00665787">
        <w:rPr>
          <w:rFonts w:ascii="Arial" w:hAnsi="Arial" w:cs="Arial"/>
          <w:b/>
          <w:i/>
          <w:u w:val="single"/>
        </w:rPr>
        <w:t>2.5.1 Ordered Probit Model (Baseline Specification)</w:t>
      </w:r>
    </w:p>
    <w:p w14:paraId="231BD327" w14:textId="77777777" w:rsidR="00DE1341" w:rsidRPr="00B10D71" w:rsidRDefault="00000000" w:rsidP="00DE1341">
      <w:pPr>
        <w:rPr>
          <w:rFonts w:ascii="Arial" w:eastAsiaTheme="minorEastAsia" w:hAnsi="Arial" w:cs="Arial"/>
        </w:rPr>
      </w:pP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00DE1341"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MktComp</m:t>
            </m:r>
          </m:e>
          <m:sub>
            <m:r>
              <w:rPr>
                <w:rFonts w:ascii="Cambria Math" w:hAnsi="Cambria Math" w:cs="Arial"/>
              </w:rPr>
              <m:t>i</m:t>
            </m:r>
          </m:sub>
        </m:sSub>
        <m:r>
          <w:rPr>
            <w:rFonts w:ascii="Cambria Math" w:hAnsi="Cambria Math" w:cs="Arial"/>
          </w:rPr>
          <m:t xml:space="preserve"> </m:t>
        </m:r>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OrgCap</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DigAdopt</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sSub>
          <m:sSubPr>
            <m:ctrlPr>
              <w:rPr>
                <w:rFonts w:ascii="Cambria Math" w:hAnsi="Cambria Math" w:cs="Arial"/>
                <w:i/>
              </w:rPr>
            </m:ctrlPr>
          </m:sSubPr>
          <m:e>
            <m:r>
              <w:rPr>
                <w:rFonts w:ascii="Cambria Math" w:hAnsi="Cambria Math" w:cs="Arial"/>
              </w:rPr>
              <m:t>LnFsize</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sSub>
          <m:sSubPr>
            <m:ctrlPr>
              <w:rPr>
                <w:rFonts w:ascii="Cambria Math" w:hAnsi="Cambria Math" w:cs="Arial"/>
                <w:i/>
              </w:rPr>
            </m:ctrlPr>
          </m:sSubPr>
          <m:e>
            <m:r>
              <w:rPr>
                <w:rFonts w:ascii="Cambria Math" w:hAnsi="Cambria Math" w:cs="Arial"/>
              </w:rPr>
              <m:t>LnFAge</m:t>
            </m:r>
          </m:e>
          <m:sub>
            <m:r>
              <w:rPr>
                <w:rFonts w:ascii="Cambria Math" w:hAnsi="Cambria Math" w:cs="Arial"/>
              </w:rPr>
              <m:t>i</m:t>
            </m:r>
          </m:sub>
        </m:sSub>
      </m:oMath>
      <w:r w:rsidR="00DE1341" w:rsidRPr="00B10D71">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sSub>
          <m:sSubPr>
            <m:ctrlPr>
              <w:rPr>
                <w:rFonts w:ascii="Cambria Math" w:hAnsi="Cambria Math" w:cs="Arial"/>
                <w:i/>
              </w:rPr>
            </m:ctrlPr>
          </m:sSubPr>
          <m:e>
            <m:r>
              <w:rPr>
                <w:rFonts w:ascii="Cambria Math" w:hAnsi="Cambria Math" w:cs="Arial"/>
              </w:rPr>
              <m:t>Export</m:t>
            </m:r>
          </m:e>
          <m:sub>
            <m:r>
              <w:rPr>
                <w:rFonts w:ascii="Cambria Math" w:hAnsi="Cambria Math" w:cs="Arial"/>
              </w:rPr>
              <m:t>i</m:t>
            </m:r>
          </m:sub>
        </m:sSub>
      </m:oMath>
      <w:r w:rsidR="00DE1341" w:rsidRPr="00B10D7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oMath>
      <w:r w:rsidR="00DE1341" w:rsidRPr="00B10D71">
        <w:rPr>
          <w:rFonts w:ascii="Arial" w:eastAsiaTheme="minorEastAsia" w:hAnsi="Arial" w:cs="Arial"/>
        </w:rPr>
        <w:t xml:space="preserve">                                      ……………… </w:t>
      </w:r>
      <w:r w:rsidR="00DE1341" w:rsidRPr="00B10D71">
        <w:rPr>
          <w:rFonts w:ascii="Arial" w:eastAsiaTheme="minorEastAsia" w:hAnsi="Arial" w:cs="Arial"/>
        </w:rPr>
        <w:tab/>
        <w:t xml:space="preserve">(1)                 </w:t>
      </w:r>
    </w:p>
    <w:p w14:paraId="7D80320A"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Where </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Pr="00B10D71">
        <w:rPr>
          <w:rFonts w:ascii="Arial" w:eastAsiaTheme="minorEastAsia" w:hAnsi="Arial" w:cs="Arial"/>
        </w:rPr>
        <w:t>=</w:t>
      </w:r>
      <m:oMath>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r>
                  <w:rPr>
                    <w:rFonts w:ascii="Cambria Math" w:eastAsiaTheme="minorEastAsia" w:hAnsi="Cambria Math" w:cs="Arial"/>
                  </w:rPr>
                  <m:t>0= No Innovation type</m:t>
                </m:r>
              </m:e>
              <m:e>
                <m:r>
                  <w:rPr>
                    <w:rFonts w:ascii="Cambria Math" w:eastAsiaTheme="minorEastAsia" w:hAnsi="Cambria Math" w:cs="Arial"/>
                  </w:rPr>
                  <m:t>1= One Innovation type</m:t>
                </m:r>
              </m:e>
              <m:e>
                <m:r>
                  <w:rPr>
                    <w:rFonts w:ascii="Cambria Math" w:eastAsiaTheme="minorEastAsia" w:hAnsi="Cambria Math" w:cs="Arial"/>
                  </w:rPr>
                  <m:t>2=  Both innovation type</m:t>
                </m:r>
              </m:e>
            </m:eqArr>
          </m:e>
        </m:d>
      </m:oMath>
    </w:p>
    <w:p w14:paraId="3A0CB6A6" w14:textId="77777777" w:rsidR="00DE1341" w:rsidRPr="00B10D71" w:rsidRDefault="00DE1341" w:rsidP="00DE1341">
      <w:pPr>
        <w:rPr>
          <w:rFonts w:ascii="Arial" w:hAnsi="Arial" w:cs="Arial"/>
        </w:rPr>
      </w:pPr>
      <w:r w:rsidRPr="00B10D71">
        <w:rPr>
          <w:rFonts w:ascii="Arial" w:hAnsi="Arial" w:cs="Arial"/>
        </w:rPr>
        <w:t>The ordered probit probabilities are expressed as:</w:t>
      </w:r>
    </w:p>
    <w:p w14:paraId="14C7D274" w14:textId="77777777" w:rsidR="00DE1341" w:rsidRPr="00B10D71" w:rsidRDefault="00DE1341" w:rsidP="00DE1341">
      <w:pPr>
        <w:rPr>
          <w:rFonts w:ascii="Arial" w:hAnsi="Arial" w:cs="Arial"/>
        </w:rPr>
      </w:pPr>
      <w:r w:rsidRPr="00B10D71">
        <w:rPr>
          <w:rFonts w:ascii="Arial" w:hAnsi="Arial" w:cs="Arial"/>
        </w:rPr>
        <w:lastRenderedPageBreak/>
        <w:t>P(</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m:t>
        </m:r>
      </m:oMath>
      <w:r w:rsidRPr="00B10D71">
        <w:rPr>
          <w:rFonts w:ascii="Arial" w:hAnsi="Arial" w:cs="Arial"/>
        </w:rPr>
        <w:t>≤ j) = Φ(</w:t>
      </w:r>
      <m:oMath>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oMath>
      <w:r w:rsidRPr="00B10D71">
        <w:rPr>
          <w:rFonts w:ascii="Arial"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Pr="00B10D71">
        <w:rPr>
          <w:rFonts w:ascii="Arial" w:hAnsi="Arial" w:cs="Arial"/>
        </w:rPr>
        <w:t xml:space="preserve">β)  for j=0,1  </w:t>
      </w:r>
      <w:r w:rsidRPr="00B10D71">
        <w:rPr>
          <w:rFonts w:ascii="Arial" w:eastAsiaTheme="minorEastAsia" w:hAnsi="Arial" w:cs="Arial"/>
        </w:rPr>
        <w:t>………………</w:t>
      </w:r>
      <w:r w:rsidRPr="00B10D71">
        <w:rPr>
          <w:rFonts w:ascii="Arial" w:eastAsiaTheme="minorEastAsia" w:hAnsi="Arial" w:cs="Arial"/>
        </w:rPr>
        <w:tab/>
        <w:t xml:space="preserve"> (2)                 </w:t>
      </w:r>
    </w:p>
    <w:p w14:paraId="50E15EF1" w14:textId="77777777" w:rsidR="00DE1341" w:rsidRPr="00B10D71" w:rsidRDefault="00DE1341" w:rsidP="00DE1341">
      <w:pPr>
        <w:rPr>
          <w:rFonts w:ascii="Arial" w:hAnsi="Arial" w:cs="Arial"/>
        </w:rPr>
      </w:pPr>
      <w:r w:rsidRPr="00B10D71">
        <w:rPr>
          <w:rFonts w:ascii="Arial" w:hAnsi="Arial" w:cs="Arial"/>
        </w:rPr>
        <w:t xml:space="preserve">where: </w:t>
      </w:r>
    </w:p>
    <w:p w14:paraId="7104233B" w14:textId="77777777" w:rsidR="00DE1341" w:rsidRPr="00B10D71" w:rsidRDefault="00DE1341" w:rsidP="00DE1341">
      <w:pPr>
        <w:rPr>
          <w:rFonts w:ascii="Arial" w:hAnsi="Arial" w:cs="Arial"/>
        </w:rPr>
      </w:pPr>
      <w:r w:rsidRPr="00B10D71">
        <w:rPr>
          <w:rFonts w:ascii="Arial" w:hAnsi="Arial" w:cs="Arial"/>
        </w:rPr>
        <w:t xml:space="preserve">Φ(.) is the cumulative standard normal distribution function, </w:t>
      </w:r>
    </w:p>
    <w:p w14:paraId="46C88CEA" w14:textId="77777777" w:rsidR="00DE1341" w:rsidRPr="00B10D71" w:rsidRDefault="00000000" w:rsidP="00DE1341">
      <w:pPr>
        <w:rPr>
          <w:rFonts w:ascii="Arial" w:hAnsi="Arial" w:cs="Arial"/>
        </w:rPr>
      </w:pPr>
      <m:oMath>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oMath>
      <w:r w:rsidR="00DE1341" w:rsidRPr="00B10D71">
        <w:rPr>
          <w:rFonts w:ascii="Arial" w:hAnsi="Arial" w:cs="Arial"/>
        </w:rPr>
        <w:t xml:space="preserve">​ are threshold (cut-point) parameters, </w:t>
      </w:r>
    </w:p>
    <w:p w14:paraId="16D2B7DD"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00DE1341" w:rsidRPr="00B10D71">
        <w:rPr>
          <w:rFonts w:ascii="Arial" w:hAnsi="Arial" w:cs="Arial"/>
        </w:rPr>
        <w:t xml:space="preserve">β is the linear index of explanatory variables. </w:t>
      </w:r>
    </w:p>
    <w:p w14:paraId="2CE45E5F" w14:textId="77777777" w:rsidR="00DE1341" w:rsidRPr="00B10D71" w:rsidRDefault="00DE1341" w:rsidP="00DE1341">
      <w:pPr>
        <w:rPr>
          <w:rFonts w:ascii="Arial" w:hAnsi="Arial" w:cs="Arial"/>
          <w:lang w:val="en-GB"/>
        </w:rPr>
      </w:pPr>
    </w:p>
    <w:p w14:paraId="5005281F" w14:textId="77777777" w:rsidR="00DE1341" w:rsidRPr="00B10D71" w:rsidRDefault="00DE1341" w:rsidP="00DE1341">
      <w:pPr>
        <w:rPr>
          <w:rFonts w:ascii="Arial" w:hAnsi="Arial" w:cs="Arial"/>
          <w:b/>
        </w:rPr>
      </w:pPr>
    </w:p>
    <w:p w14:paraId="70E0FD48" w14:textId="77777777" w:rsidR="00DE1341" w:rsidRPr="00665787" w:rsidRDefault="00DE1341" w:rsidP="00DE1341">
      <w:pPr>
        <w:rPr>
          <w:rFonts w:ascii="Arial" w:hAnsi="Arial" w:cs="Arial"/>
          <w:b/>
          <w:i/>
          <w:u w:val="single"/>
        </w:rPr>
      </w:pPr>
      <w:r w:rsidRPr="00665787">
        <w:rPr>
          <w:rFonts w:ascii="Arial" w:hAnsi="Arial" w:cs="Arial"/>
          <w:b/>
          <w:i/>
          <w:u w:val="single"/>
        </w:rPr>
        <w:t>2.5.2 Ordered Logit Model</w:t>
      </w:r>
    </w:p>
    <w:p w14:paraId="0261B310" w14:textId="77777777" w:rsidR="00DE1341" w:rsidRPr="00B10D71" w:rsidRDefault="00DE1341" w:rsidP="00DE1341">
      <w:pPr>
        <w:rPr>
          <w:rFonts w:ascii="Arial" w:hAnsi="Arial" w:cs="Arial"/>
        </w:rPr>
      </w:pPr>
      <w:r w:rsidRPr="00B10D71">
        <w:rPr>
          <w:rFonts w:ascii="Arial" w:hAnsi="Arial" w:cs="Arial"/>
        </w:rPr>
        <w:t>With same model specification shown in equation 1.</w:t>
      </w:r>
    </w:p>
    <w:p w14:paraId="791F22AF" w14:textId="77777777" w:rsidR="00DE1341" w:rsidRPr="00B10D71" w:rsidRDefault="00DE1341" w:rsidP="00DE1341">
      <w:pPr>
        <w:rPr>
          <w:rFonts w:ascii="Arial" w:hAnsi="Arial" w:cs="Arial"/>
        </w:rPr>
      </w:pPr>
      <w:r w:rsidRPr="00B10D71">
        <w:rPr>
          <w:rFonts w:ascii="Arial" w:hAnsi="Arial" w:cs="Arial"/>
        </w:rPr>
        <w:t>The ordered logit probabilities are specified as:</w:t>
      </w:r>
    </w:p>
    <w:p w14:paraId="3A82846B" w14:textId="77777777" w:rsidR="00DE1341" w:rsidRPr="00B10D71" w:rsidRDefault="00DE1341" w:rsidP="00DE1341">
      <w:pPr>
        <w:rPr>
          <w:rFonts w:ascii="Arial" w:hAnsi="Arial" w:cs="Arial"/>
        </w:rPr>
      </w:pPr>
      <w:r w:rsidRPr="00B10D71">
        <w:rPr>
          <w:rFonts w:ascii="Arial" w:hAnsi="Arial" w:cs="Arial"/>
        </w:rPr>
        <w:t>P(</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m:t>
        </m:r>
      </m:oMath>
      <w:r w:rsidRPr="00B10D71">
        <w:rPr>
          <w:rFonts w:ascii="Arial" w:hAnsi="Arial" w:cs="Arial"/>
        </w:rPr>
        <w:t xml:space="preserve">≤ j) = </w:t>
      </w:r>
      <m:oMath>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m:t>
                </m:r>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μ</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r>
                  <m:rPr>
                    <m:sty m:val="p"/>
                  </m:rPr>
                  <w:rPr>
                    <w:rFonts w:ascii="Cambria Math" w:hAnsi="Cambria Math" w:cs="Arial"/>
                  </w:rPr>
                  <m:t xml:space="preserve">β) </m:t>
                </m:r>
              </m:sup>
            </m:sSup>
          </m:den>
        </m:f>
      </m:oMath>
      <w:r w:rsidRPr="00B10D71">
        <w:rPr>
          <w:rFonts w:ascii="Arial" w:hAnsi="Arial" w:cs="Arial"/>
        </w:rPr>
        <w:t xml:space="preserve">    for j=0,1</w:t>
      </w:r>
      <w:r w:rsidRPr="00B10D71">
        <w:rPr>
          <w:rFonts w:ascii="Arial" w:eastAsiaTheme="minorEastAsia" w:hAnsi="Arial" w:cs="Arial"/>
        </w:rPr>
        <w:tab/>
      </w:r>
      <w:r w:rsidRPr="00B10D71">
        <w:rPr>
          <w:rFonts w:ascii="Arial" w:eastAsiaTheme="minorEastAsia" w:hAnsi="Arial" w:cs="Arial"/>
        </w:rPr>
        <w:tab/>
        <w:t xml:space="preserve"> (3)                 </w:t>
      </w:r>
    </w:p>
    <w:p w14:paraId="3C1EDC8E" w14:textId="77777777" w:rsidR="00DE1341" w:rsidRPr="00B10D71" w:rsidRDefault="00DE1341" w:rsidP="00DE1341">
      <w:pPr>
        <w:rPr>
          <w:rFonts w:ascii="Arial" w:hAnsi="Arial" w:cs="Arial"/>
        </w:rPr>
      </w:pPr>
      <w:r w:rsidRPr="00B10D71">
        <w:rPr>
          <w:rFonts w:ascii="Arial" w:hAnsi="Arial" w:cs="Arial"/>
        </w:rPr>
        <w:t>where:</w:t>
      </w:r>
    </w:p>
    <w:p w14:paraId="07000BB5"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r>
          <m:rPr>
            <m:sty m:val="p"/>
          </m:rPr>
          <w:rPr>
            <w:rFonts w:ascii="Cambria Math" w:hAnsi="Cambria Math" w:cs="Arial"/>
          </w:rPr>
          <m:t>β</m:t>
        </m:r>
      </m:oMath>
      <w:r w:rsidR="00DE1341" w:rsidRPr="00B10D71">
        <w:rPr>
          <w:rFonts w:ascii="Arial" w:hAnsi="Arial" w:cs="Arial"/>
        </w:rPr>
        <w:t xml:space="preserve"> represents the linear predictor, </w:t>
      </w:r>
    </w:p>
    <w:p w14:paraId="27CDC33F" w14:textId="77777777" w:rsidR="00DE1341" w:rsidRPr="00B10D71" w:rsidRDefault="00000000" w:rsidP="00DE1341">
      <w:pPr>
        <w:rPr>
          <w:rFonts w:ascii="Arial" w:hAnsi="Arial" w:cs="Arial"/>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i</m:t>
            </m:r>
          </m:sub>
        </m:sSub>
      </m:oMath>
      <w:r w:rsidR="00DE1341" w:rsidRPr="00B10D71">
        <w:rPr>
          <w:rFonts w:ascii="Arial" w:hAnsi="Arial" w:cs="Arial"/>
        </w:rPr>
        <w:t xml:space="preserve"> follows a logistic distribution.</w:t>
      </w:r>
    </w:p>
    <w:p w14:paraId="1BC80CF9" w14:textId="77777777" w:rsidR="00DE1341" w:rsidRPr="00B10D71" w:rsidRDefault="00DE1341" w:rsidP="00DE1341">
      <w:pPr>
        <w:rPr>
          <w:rFonts w:ascii="Arial" w:hAnsi="Arial" w:cs="Arial"/>
          <w:lang w:val="en-GB"/>
        </w:rPr>
      </w:pPr>
    </w:p>
    <w:p w14:paraId="64A67210" w14:textId="77777777" w:rsidR="00DE1341" w:rsidRPr="00665787" w:rsidRDefault="00DE1341" w:rsidP="00DE1341">
      <w:pPr>
        <w:rPr>
          <w:rFonts w:ascii="Arial" w:hAnsi="Arial" w:cs="Arial"/>
          <w:b/>
          <w:i/>
          <w:u w:val="single"/>
        </w:rPr>
      </w:pPr>
      <w:r w:rsidRPr="00665787">
        <w:rPr>
          <w:rFonts w:ascii="Arial" w:hAnsi="Arial" w:cs="Arial"/>
          <w:b/>
          <w:i/>
          <w:u w:val="single"/>
        </w:rPr>
        <w:t>2.5.3 Generalized Ordered Logistic Regression</w:t>
      </w:r>
    </w:p>
    <w:p w14:paraId="6072C633" w14:textId="77777777" w:rsidR="00DE1341" w:rsidRPr="00B10D71" w:rsidRDefault="00DE1341" w:rsidP="00DE1341">
      <w:pPr>
        <w:rPr>
          <w:rFonts w:ascii="Arial" w:eastAsiaTheme="minorEastAsia" w:hAnsi="Arial" w:cs="Arial"/>
        </w:rPr>
      </w:pPr>
      <w:r w:rsidRPr="00B10D71">
        <w:rPr>
          <w:rFonts w:ascii="Arial" w:hAnsi="Arial" w:cs="Arial"/>
        </w:rPr>
        <w:t>P (</w:t>
      </w:r>
      <m:oMath>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oMath>
      <w:r w:rsidRPr="00B10D71">
        <w:rPr>
          <w:rFonts w:ascii="Arial" w:eastAsiaTheme="minorEastAsia" w:hAnsi="Arial" w:cs="Arial"/>
        </w:rPr>
        <w:t xml:space="preserve">&gt;j)= </w:t>
      </w:r>
      <m:oMath>
        <m:f>
          <m:fPr>
            <m:ctrlPr>
              <w:rPr>
                <w:rFonts w:ascii="Cambria Math" w:eastAsiaTheme="minorEastAsia" w:hAnsi="Cambria Math" w:cs="Arial"/>
                <w:i/>
              </w:rPr>
            </m:ctrlPr>
          </m:fPr>
          <m:num>
            <m:r>
              <m:rPr>
                <m:sty m:val="p"/>
              </m:rPr>
              <w:rPr>
                <w:rFonts w:ascii="Cambria Math" w:eastAsiaTheme="minorEastAsia" w:hAnsi="Cambria Math" w:cs="Arial"/>
              </w:rPr>
              <m:t>exp⁡</m:t>
            </m:r>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j</m:t>
                </m:r>
              </m:sub>
            </m:sSub>
            <m:r>
              <m:rPr>
                <m:sty m:val="p"/>
              </m:rPr>
              <w:rPr>
                <w:rFonts w:ascii="Cambria Math" w:hAnsi="Cambria Math" w:cs="Arial"/>
              </w:rPr>
              <m:t>)</m:t>
            </m:r>
          </m:num>
          <m:den>
            <m:r>
              <w:rPr>
                <w:rFonts w:ascii="Cambria Math" w:eastAsiaTheme="minorEastAsia" w:hAnsi="Cambria Math" w:cs="Arial"/>
              </w:rPr>
              <m:t>1+</m:t>
            </m:r>
            <m:r>
              <m:rPr>
                <m:sty m:val="p"/>
              </m:rPr>
              <w:rPr>
                <w:rFonts w:ascii="Cambria Math" w:eastAsiaTheme="minorEastAsia" w:hAnsi="Cambria Math" w:cs="Arial"/>
              </w:rPr>
              <m:t>exp⁡</m:t>
            </m:r>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j</m:t>
                </m:r>
              </m:sub>
            </m:sSub>
            <m:r>
              <m:rPr>
                <m:sty m:val="p"/>
              </m:rPr>
              <w:rPr>
                <w:rFonts w:ascii="Cambria Math" w:hAnsi="Cambria Math" w:cs="Arial"/>
              </w:rPr>
              <m:t>)</m:t>
            </m:r>
          </m:den>
        </m:f>
      </m:oMath>
      <w:r w:rsidRPr="00B10D71">
        <w:rPr>
          <w:rFonts w:ascii="Arial" w:eastAsiaTheme="minorEastAsia" w:hAnsi="Arial" w:cs="Arial"/>
        </w:rPr>
        <w:t xml:space="preserve">, for j = 0,1 </w:t>
      </w:r>
      <w:r w:rsidRPr="00B10D71">
        <w:rPr>
          <w:rFonts w:ascii="Arial" w:eastAsiaTheme="minorEastAsia" w:hAnsi="Arial" w:cs="Arial"/>
        </w:rPr>
        <w:tab/>
      </w:r>
      <w:r w:rsidRPr="00B10D71">
        <w:rPr>
          <w:rFonts w:ascii="Arial" w:eastAsiaTheme="minorEastAsia" w:hAnsi="Arial" w:cs="Arial"/>
        </w:rPr>
        <w:tab/>
        <w:t xml:space="preserve">(4)                 </w:t>
      </w:r>
    </w:p>
    <w:p w14:paraId="2E2A6C11" w14:textId="77777777" w:rsidR="00DE1341" w:rsidRPr="00B10D71" w:rsidRDefault="00DE1341" w:rsidP="00DE1341">
      <w:pPr>
        <w:rPr>
          <w:rFonts w:ascii="Arial" w:eastAsiaTheme="minorEastAsia" w:hAnsi="Arial" w:cs="Arial"/>
        </w:rPr>
      </w:pPr>
      <w:proofErr w:type="gramStart"/>
      <w:r w:rsidRPr="00B10D71">
        <w:rPr>
          <w:rFonts w:ascii="Arial" w:eastAsiaTheme="minorEastAsia" w:hAnsi="Arial" w:cs="Arial"/>
        </w:rPr>
        <w:t>Where  0</w:t>
      </w:r>
      <w:proofErr w:type="gramEnd"/>
      <w:r w:rsidRPr="00B10D71">
        <w:rPr>
          <w:rFonts w:ascii="Arial" w:eastAsiaTheme="minorEastAsia" w:hAnsi="Arial" w:cs="Arial"/>
        </w:rPr>
        <w:t xml:space="preserve"> and 1 represents the 2 threshold equations, </w:t>
      </w:r>
      <w:proofErr w:type="gramStart"/>
      <w:r w:rsidRPr="00B10D71">
        <w:rPr>
          <w:rFonts w:ascii="Arial" w:eastAsiaTheme="minorEastAsia" w:hAnsi="Arial" w:cs="Arial"/>
        </w:rPr>
        <w:t>Thus</w:t>
      </w:r>
      <w:proofErr w:type="gramEnd"/>
      <w:r w:rsidRPr="00B10D71">
        <w:rPr>
          <w:rFonts w:ascii="Arial" w:eastAsiaTheme="minorEastAsia" w:hAnsi="Arial" w:cs="Arial"/>
        </w:rPr>
        <w:t>;</w:t>
      </w:r>
    </w:p>
    <w:p w14:paraId="2C80A457"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Threshold 1: No vs High Innovation Intensity </w:t>
      </w:r>
      <w:proofErr w:type="gramStart"/>
      <w:r w:rsidRPr="00B10D71">
        <w:rPr>
          <w:rFonts w:ascii="Arial" w:eastAsiaTheme="minorEastAsia" w:hAnsi="Arial" w:cs="Arial"/>
        </w:rPr>
        <w:t>whiles</w:t>
      </w:r>
      <w:proofErr w:type="gramEnd"/>
      <w:r w:rsidRPr="00B10D71">
        <w:rPr>
          <w:rFonts w:ascii="Arial" w:eastAsiaTheme="minorEastAsia" w:hAnsi="Arial" w:cs="Arial"/>
        </w:rPr>
        <w:t xml:space="preserve"> Threshold 2:  High vs Very High Innovation.</w:t>
      </w:r>
    </w:p>
    <w:p w14:paraId="5E2D611D" w14:textId="77777777" w:rsidR="00DE1341" w:rsidRPr="00B10D71" w:rsidRDefault="00DE1341" w:rsidP="00DE1341">
      <w:pPr>
        <w:rPr>
          <w:rFonts w:ascii="Arial" w:hAnsi="Arial" w:cs="Arial"/>
        </w:rPr>
      </w:pPr>
      <w:r w:rsidRPr="00B10D71">
        <w:rPr>
          <w:rFonts w:ascii="Arial" w:hAnsi="Arial" w:cs="Arial"/>
        </w:rPr>
        <w:t>The model estimates two threshold equations corresponding to the cumulative probabilities of innovation intensity.</w:t>
      </w:r>
    </w:p>
    <w:p w14:paraId="0DF388A1" w14:textId="77777777" w:rsidR="00DE1341" w:rsidRPr="00B10D71" w:rsidRDefault="00DE1341" w:rsidP="00DE1341">
      <w:pPr>
        <w:rPr>
          <w:rFonts w:ascii="Arial" w:hAnsi="Arial" w:cs="Arial"/>
        </w:rPr>
      </w:pPr>
      <w:r w:rsidRPr="00B10D71">
        <w:rPr>
          <w:rFonts w:ascii="Arial" w:hAnsi="Arial" w:cs="Arial"/>
        </w:rPr>
        <w:t>Threshold 1 Equation:</w:t>
      </w:r>
    </w:p>
    <w:p w14:paraId="52CD3BF7" w14:textId="77777777" w:rsidR="00DE1341" w:rsidRPr="00B10D71" w:rsidRDefault="00DE1341" w:rsidP="00DE1341">
      <w:pPr>
        <w:rPr>
          <w:rFonts w:ascii="Arial" w:eastAsiaTheme="minorEastAsia" w:hAnsi="Arial" w:cs="Arial"/>
          <w:b/>
          <w:lang w:val="en-GB"/>
        </w:rPr>
      </w:pPr>
      <w:r w:rsidRPr="00B10D71">
        <w:rPr>
          <w:rFonts w:ascii="Arial" w:hAnsi="Arial" w:cs="Arial"/>
        </w:rPr>
        <w:t>Log</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&gt;0)</m:t>
                </m:r>
              </m:num>
              <m:den>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≤0)</m:t>
                </m:r>
              </m:den>
            </m:f>
          </m:e>
        </m:d>
      </m:oMath>
      <w:r w:rsidRPr="00B10D71">
        <w:rPr>
          <w:rFonts w:ascii="Arial" w:eastAsiaTheme="minorEastAsia" w:hAnsi="Arial" w:cs="Arial"/>
        </w:rPr>
        <w:t xml:space="preserve">= </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α</m:t>
            </m:r>
          </m:e>
          <m:sub>
            <m:r>
              <w:rPr>
                <w:rFonts w:ascii="Cambria Math" w:hAnsi="Cambria Math" w:cs="Arial"/>
              </w:rPr>
              <m:t>1</m:t>
            </m:r>
          </m:sub>
        </m:sSub>
      </m:oMath>
      <w:r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oMath>
      <w:r w:rsidRPr="00B10D71">
        <w:rPr>
          <w:rFonts w:ascii="Arial" w:eastAsiaTheme="minorEastAsia" w:hAnsi="Arial" w:cs="Arial"/>
        </w:rPr>
        <w:tab/>
      </w:r>
      <w:r w:rsidRPr="00B10D71">
        <w:rPr>
          <w:rFonts w:ascii="Arial" w:eastAsiaTheme="minorEastAsia" w:hAnsi="Arial" w:cs="Arial"/>
        </w:rPr>
        <w:tab/>
      </w:r>
      <w:r w:rsidRPr="00B10D71">
        <w:rPr>
          <w:rFonts w:ascii="Arial" w:eastAsiaTheme="minorEastAsia" w:hAnsi="Arial" w:cs="Arial"/>
        </w:rPr>
        <w:tab/>
        <w:t xml:space="preserve"> (5)                 </w:t>
      </w:r>
    </w:p>
    <w:p w14:paraId="26824467" w14:textId="77777777" w:rsidR="00DE1341" w:rsidRPr="00B10D71" w:rsidRDefault="00DE1341" w:rsidP="00DE1341">
      <w:pPr>
        <w:rPr>
          <w:rFonts w:ascii="Arial" w:hAnsi="Arial" w:cs="Arial"/>
        </w:rPr>
      </w:pPr>
      <w:r w:rsidRPr="00B10D71">
        <w:rPr>
          <w:rFonts w:ascii="Arial" w:hAnsi="Arial" w:cs="Arial"/>
        </w:rPr>
        <w:t>Threshold 2 Equation:</w:t>
      </w:r>
    </w:p>
    <w:p w14:paraId="6E86FCCE" w14:textId="77777777" w:rsidR="00DE1341" w:rsidRPr="00B10D71" w:rsidRDefault="00DE1341" w:rsidP="00DE1341">
      <w:pPr>
        <w:rPr>
          <w:rFonts w:ascii="Arial" w:eastAsiaTheme="minorEastAsia" w:hAnsi="Arial" w:cs="Arial"/>
          <w:lang w:val="en-GB"/>
        </w:rPr>
      </w:pPr>
      <w:r w:rsidRPr="00B10D71">
        <w:rPr>
          <w:rFonts w:ascii="Arial" w:hAnsi="Arial" w:cs="Arial"/>
        </w:rPr>
        <w:t>Log</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&gt;1)</m:t>
                </m:r>
              </m:num>
              <m:den>
                <m:r>
                  <w:rPr>
                    <w:rFonts w:ascii="Cambria Math" w:hAnsi="Cambria Math" w:cs="Arial"/>
                  </w:rPr>
                  <m:t>P(</m:t>
                </m:r>
                <m:sSub>
                  <m:sSubPr>
                    <m:ctrlPr>
                      <w:rPr>
                        <w:rFonts w:ascii="Cambria Math" w:hAnsi="Cambria Math" w:cs="Arial"/>
                        <w:i/>
                      </w:rPr>
                    </m:ctrlPr>
                  </m:sSubPr>
                  <m:e>
                    <m:r>
                      <w:rPr>
                        <w:rFonts w:ascii="Cambria Math" w:hAnsi="Cambria Math" w:cs="Arial"/>
                      </w:rPr>
                      <m:t>Innov</m:t>
                    </m:r>
                  </m:e>
                  <m:sub>
                    <m:r>
                      <w:rPr>
                        <w:rFonts w:ascii="Cambria Math" w:hAnsi="Cambria Math" w:cs="Arial"/>
                      </w:rPr>
                      <m:t>i</m:t>
                    </m:r>
                  </m:sub>
                </m:sSub>
                <m:r>
                  <w:rPr>
                    <w:rFonts w:ascii="Cambria Math" w:hAnsi="Cambria Math" w:cs="Arial"/>
                  </w:rPr>
                  <m:t xml:space="preserve"> ≤1)</m:t>
                </m:r>
              </m:den>
            </m:f>
          </m:e>
        </m:d>
      </m:oMath>
      <w:r w:rsidRPr="00B10D71">
        <w:rPr>
          <w:rFonts w:ascii="Arial" w:eastAsiaTheme="minorEastAsia" w:hAnsi="Arial" w:cs="Arial"/>
        </w:rPr>
        <w:t xml:space="preserve">= </w:t>
      </w:r>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α</m:t>
            </m:r>
          </m:e>
          <m:sub>
            <m:r>
              <w:rPr>
                <w:rFonts w:ascii="Cambria Math" w:hAnsi="Cambria Math" w:cs="Arial"/>
              </w:rPr>
              <m:t>2</m:t>
            </m:r>
          </m:sub>
        </m:sSub>
      </m:oMath>
      <w:r w:rsidRPr="00B10D71">
        <w:rPr>
          <w:rFonts w:ascii="Arial" w:eastAsiaTheme="minorEastAsia" w:hAnsi="Arial" w:cs="Arial"/>
        </w:rPr>
        <w:t>+</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w:t>
      </w:r>
      <w:r w:rsidRPr="00B10D71">
        <w:rPr>
          <w:rFonts w:ascii="Arial" w:eastAsiaTheme="minorEastAsia" w:hAnsi="Arial" w:cs="Arial"/>
        </w:rPr>
        <w:tab/>
      </w:r>
      <w:r w:rsidRPr="00B10D71">
        <w:rPr>
          <w:rFonts w:ascii="Arial" w:eastAsiaTheme="minorEastAsia" w:hAnsi="Arial" w:cs="Arial"/>
        </w:rPr>
        <w:tab/>
        <w:t xml:space="preserve"> </w:t>
      </w:r>
      <w:r w:rsidRPr="00B10D71">
        <w:rPr>
          <w:rFonts w:ascii="Arial" w:eastAsiaTheme="minorEastAsia" w:hAnsi="Arial" w:cs="Arial"/>
        </w:rPr>
        <w:tab/>
        <w:t xml:space="preserve">(6)                 </w:t>
      </w:r>
    </w:p>
    <w:p w14:paraId="4B9D5F6D" w14:textId="77777777" w:rsidR="00DE1341" w:rsidRPr="00B10D71" w:rsidRDefault="00DE1341" w:rsidP="00DE1341">
      <w:pPr>
        <w:rPr>
          <w:rFonts w:ascii="Arial" w:eastAsiaTheme="minorEastAsia" w:hAnsi="Arial" w:cs="Arial"/>
        </w:rPr>
      </w:pPr>
      <w:r w:rsidRPr="00B10D71">
        <w:rPr>
          <w:rFonts w:ascii="Arial" w:eastAsiaTheme="minorEastAsia" w:hAnsi="Arial" w:cs="Arial"/>
        </w:rPr>
        <w:t xml:space="preserve">Where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r>
          <w:rPr>
            <w:rFonts w:ascii="Cambria Math" w:eastAsiaTheme="minorEastAsia" w:hAnsi="Cambria Math" w:cs="Arial"/>
          </w:rPr>
          <m:t>≠</m:t>
        </m:r>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and;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1</m:t>
            </m:r>
          </m:sub>
        </m:sSub>
      </m:oMath>
      <w:r w:rsidRPr="00B10D71">
        <w:rPr>
          <w:rFonts w:ascii="Arial" w:eastAsiaTheme="minorEastAsia" w:hAnsi="Arial" w:cs="Arial"/>
        </w:rPr>
        <w:t xml:space="preserve"> and </w:t>
      </w:r>
      <m:oMath>
        <m:sSub>
          <m:sSubPr>
            <m:ctrlPr>
              <w:rPr>
                <w:rFonts w:ascii="Cambria Math" w:hAnsi="Cambria Math" w:cs="Arial"/>
                <w:i/>
              </w:rPr>
            </m:ctrlPr>
          </m:sSubPr>
          <m:e>
            <m:r>
              <m:rPr>
                <m:sty m:val="p"/>
              </m:rPr>
              <w:rPr>
                <w:rFonts w:ascii="Cambria Math" w:hAnsi="Cambria Math" w:cs="Arial"/>
              </w:rPr>
              <m:t>β</m:t>
            </m:r>
          </m:e>
          <m:sub>
            <m:r>
              <w:rPr>
                <w:rFonts w:ascii="Cambria Math" w:hAnsi="Cambria Math" w:cs="Arial"/>
              </w:rPr>
              <m:t>2</m:t>
            </m:r>
          </m:sub>
        </m:sSub>
      </m:oMath>
      <w:r w:rsidRPr="00B10D71">
        <w:rPr>
          <w:rFonts w:ascii="Arial" w:eastAsiaTheme="minorEastAsia" w:hAnsi="Arial" w:cs="Arial"/>
        </w:rPr>
        <w:t xml:space="preserve"> are threshold specific parameter vectors</w:t>
      </w:r>
    </w:p>
    <w:p w14:paraId="6F62A459" w14:textId="77777777" w:rsidR="00DE1341" w:rsidRPr="00B10D71" w:rsidRDefault="00000000" w:rsidP="00DE1341">
      <w:pPr>
        <w:rPr>
          <w:rFonts w:ascii="Arial" w:eastAsiaTheme="minorEastAsia"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DE1341" w:rsidRPr="00B10D71">
        <w:rPr>
          <w:rFonts w:ascii="Arial" w:eastAsiaTheme="minorEastAsia" w:hAnsi="Arial" w:cs="Arial"/>
        </w:rPr>
        <w:t xml:space="preserve"> </w:t>
      </w:r>
      <w:r w:rsidR="00DE1341" w:rsidRPr="00B10D71">
        <w:rPr>
          <w:rFonts w:ascii="Arial" w:hAnsi="Arial" w:cs="Arial"/>
        </w:rPr>
        <w:t>is a vector of composite explanatory variables comprising the core independent variables and control variables included in the model.</w:t>
      </w:r>
    </w:p>
    <w:p w14:paraId="3647DCAC" w14:textId="77777777" w:rsidR="00DE1341" w:rsidRPr="00B10D71" w:rsidRDefault="00DE1341" w:rsidP="00DE1341">
      <w:pPr>
        <w:rPr>
          <w:rFonts w:ascii="Arial" w:hAnsi="Arial" w:cs="Arial"/>
          <w:lang w:val="en-GB"/>
        </w:rPr>
      </w:pPr>
    </w:p>
    <w:p w14:paraId="7DE99383" w14:textId="77777777" w:rsidR="00DE1341" w:rsidRPr="00665787" w:rsidRDefault="00DE1341" w:rsidP="00DE1341">
      <w:pPr>
        <w:rPr>
          <w:rFonts w:ascii="Arial" w:hAnsi="Arial" w:cs="Arial"/>
          <w:sz w:val="22"/>
          <w:szCs w:val="22"/>
          <w:lang w:val="en-GB" w:eastAsia="en-GB"/>
        </w:rPr>
      </w:pPr>
    </w:p>
    <w:p w14:paraId="04CD116A" w14:textId="77777777" w:rsidR="00DE1341" w:rsidRPr="00665787" w:rsidRDefault="00DE1341" w:rsidP="00DE1341">
      <w:pPr>
        <w:jc w:val="both"/>
        <w:rPr>
          <w:rFonts w:ascii="Arial" w:hAnsi="Arial" w:cs="Arial"/>
          <w:b/>
          <w:bCs/>
          <w:sz w:val="22"/>
          <w:szCs w:val="22"/>
          <w:lang w:val="en-GB" w:eastAsia="en-GB"/>
        </w:rPr>
      </w:pPr>
      <w:r w:rsidRPr="00665787">
        <w:rPr>
          <w:rFonts w:ascii="Arial" w:hAnsi="Arial" w:cs="Arial"/>
          <w:b/>
          <w:bCs/>
          <w:sz w:val="22"/>
          <w:szCs w:val="22"/>
          <w:lang w:val="en-GB" w:eastAsia="en-GB"/>
        </w:rPr>
        <w:t>2.6 Estimation Techniques and Data Analysis</w:t>
      </w:r>
    </w:p>
    <w:p w14:paraId="4A21B6B2" w14:textId="77777777" w:rsidR="00DE1341" w:rsidRPr="00B10D71" w:rsidRDefault="00DE1341" w:rsidP="00DE1341">
      <w:pPr>
        <w:jc w:val="both"/>
        <w:rPr>
          <w:rFonts w:ascii="Arial" w:hAnsi="Arial" w:cs="Arial"/>
        </w:rPr>
      </w:pPr>
      <w:r w:rsidRPr="00B10D71">
        <w:rPr>
          <w:rFonts w:ascii="Arial" w:hAnsi="Arial" w:cs="Arial"/>
        </w:rPr>
        <w:t>Data were analyzed using Stata 16. Descriptive statistics were first employed to summarize the characteristics of the variables. The empirical analysis was then conducted using an ordered probit model as the baseline specification, followed by ordered logit and generalized ordered logit models for robustness checks and comparative analysis.</w:t>
      </w:r>
    </w:p>
    <w:p w14:paraId="0A6AA46F" w14:textId="77777777" w:rsidR="00AA74E0" w:rsidRDefault="00AA74E0" w:rsidP="00441B6F">
      <w:pPr>
        <w:pStyle w:val="Body"/>
        <w:spacing w:after="0"/>
        <w:rPr>
          <w:rFonts w:ascii="Arial" w:hAnsi="Arial" w:cs="Arial"/>
        </w:rPr>
      </w:pPr>
      <w:r w:rsidRPr="00FB3A86">
        <w:rPr>
          <w:rFonts w:ascii="Arial" w:hAnsi="Arial" w:cs="Arial"/>
        </w:rPr>
        <w:t xml:space="preserve">  </w:t>
      </w:r>
    </w:p>
    <w:p w14:paraId="3832DAAA" w14:textId="77777777" w:rsidR="00790ADA" w:rsidRPr="00FB3A86" w:rsidRDefault="00790ADA" w:rsidP="00441B6F">
      <w:pPr>
        <w:pStyle w:val="Body"/>
        <w:spacing w:after="0"/>
        <w:rPr>
          <w:rFonts w:ascii="Arial" w:hAnsi="Arial" w:cs="Arial"/>
        </w:rPr>
      </w:pPr>
    </w:p>
    <w:p w14:paraId="11FB894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DE9EA" w14:textId="77777777" w:rsidR="00790ADA" w:rsidRPr="00FB3A86" w:rsidRDefault="00790ADA" w:rsidP="00441B6F">
      <w:pPr>
        <w:pStyle w:val="Head1"/>
        <w:spacing w:after="0"/>
        <w:jc w:val="both"/>
        <w:rPr>
          <w:rFonts w:ascii="Arial" w:hAnsi="Arial" w:cs="Arial"/>
        </w:rPr>
      </w:pPr>
    </w:p>
    <w:p w14:paraId="6B93ABA5" w14:textId="77777777" w:rsidR="00DE1341" w:rsidRPr="00665787" w:rsidRDefault="00DE1341" w:rsidP="00DE1341">
      <w:pPr>
        <w:rPr>
          <w:rFonts w:ascii="Arial" w:hAnsi="Arial" w:cs="Arial"/>
          <w:b/>
        </w:rPr>
      </w:pPr>
      <w:r w:rsidRPr="00665787">
        <w:rPr>
          <w:rFonts w:ascii="Arial" w:hAnsi="Arial" w:cs="Arial"/>
          <w:b/>
        </w:rPr>
        <w:t xml:space="preserve">Table 1: Descriptive Statistics </w:t>
      </w:r>
    </w:p>
    <w:tbl>
      <w:tblPr>
        <w:tblStyle w:val="PlainTable2"/>
        <w:tblW w:w="0" w:type="auto"/>
        <w:tblLook w:val="06A0" w:firstRow="1" w:lastRow="0" w:firstColumn="1" w:lastColumn="0" w:noHBand="1" w:noVBand="1"/>
      </w:tblPr>
      <w:tblGrid>
        <w:gridCol w:w="2684"/>
        <w:gridCol w:w="605"/>
        <w:gridCol w:w="728"/>
        <w:gridCol w:w="1072"/>
        <w:gridCol w:w="784"/>
        <w:gridCol w:w="717"/>
      </w:tblGrid>
      <w:tr w:rsidR="00DE1341" w:rsidRPr="00665787" w14:paraId="6A364EE4"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CB9AD" w14:textId="77777777" w:rsidR="00DE1341" w:rsidRPr="00665787" w:rsidRDefault="00DE1341" w:rsidP="00B82B32">
            <w:pPr>
              <w:rPr>
                <w:rFonts w:ascii="Arial" w:hAnsi="Arial" w:cs="Arial"/>
                <w:b w:val="0"/>
                <w:lang w:val="en-GB"/>
              </w:rPr>
            </w:pPr>
            <w:r w:rsidRPr="00665787">
              <w:rPr>
                <w:rFonts w:ascii="Arial" w:hAnsi="Arial" w:cs="Arial"/>
              </w:rPr>
              <w:t>Variable</w:t>
            </w:r>
          </w:p>
        </w:tc>
        <w:tc>
          <w:tcPr>
            <w:tcW w:w="0" w:type="auto"/>
            <w:hideMark/>
          </w:tcPr>
          <w:p w14:paraId="1DDBE882"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rPr>
              <w:t>Obs</w:t>
            </w:r>
            <w:proofErr w:type="spellEnd"/>
          </w:p>
        </w:tc>
        <w:tc>
          <w:tcPr>
            <w:tcW w:w="0" w:type="auto"/>
            <w:hideMark/>
          </w:tcPr>
          <w:p w14:paraId="187381B8"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Mean</w:t>
            </w:r>
          </w:p>
        </w:tc>
        <w:tc>
          <w:tcPr>
            <w:tcW w:w="0" w:type="auto"/>
            <w:hideMark/>
          </w:tcPr>
          <w:p w14:paraId="2244360E"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Std. Dev.</w:t>
            </w:r>
          </w:p>
        </w:tc>
        <w:tc>
          <w:tcPr>
            <w:tcW w:w="0" w:type="auto"/>
            <w:hideMark/>
          </w:tcPr>
          <w:p w14:paraId="2DDA7222"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Min</w:t>
            </w:r>
          </w:p>
        </w:tc>
        <w:tc>
          <w:tcPr>
            <w:tcW w:w="0" w:type="auto"/>
            <w:hideMark/>
          </w:tcPr>
          <w:p w14:paraId="30593AEC"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rPr>
              <w:t>Max</w:t>
            </w:r>
          </w:p>
        </w:tc>
      </w:tr>
      <w:tr w:rsidR="00DE1341" w:rsidRPr="00665787" w14:paraId="76F18900"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407D74E4" w14:textId="77777777" w:rsidR="00DE1341" w:rsidRPr="00665787" w:rsidRDefault="00DE1341" w:rsidP="00B82B32">
            <w:pPr>
              <w:rPr>
                <w:rFonts w:ascii="Arial" w:hAnsi="Arial" w:cs="Arial"/>
                <w:b w:val="0"/>
              </w:rPr>
            </w:pPr>
            <w:r w:rsidRPr="00665787">
              <w:rPr>
                <w:rFonts w:ascii="Arial" w:hAnsi="Arial" w:cs="Arial"/>
                <w:b w:val="0"/>
              </w:rPr>
              <w:t>Innovation</w:t>
            </w:r>
          </w:p>
        </w:tc>
        <w:tc>
          <w:tcPr>
            <w:tcW w:w="0" w:type="auto"/>
            <w:hideMark/>
          </w:tcPr>
          <w:p w14:paraId="27FA368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450AC1D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0.373</w:t>
            </w:r>
          </w:p>
        </w:tc>
        <w:tc>
          <w:tcPr>
            <w:tcW w:w="0" w:type="auto"/>
            <w:hideMark/>
          </w:tcPr>
          <w:p w14:paraId="48BC3FE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0.654</w:t>
            </w:r>
          </w:p>
        </w:tc>
        <w:tc>
          <w:tcPr>
            <w:tcW w:w="0" w:type="auto"/>
            <w:hideMark/>
          </w:tcPr>
          <w:p w14:paraId="78EC947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w:t>
            </w:r>
          </w:p>
        </w:tc>
        <w:tc>
          <w:tcPr>
            <w:tcW w:w="0" w:type="auto"/>
            <w:hideMark/>
          </w:tcPr>
          <w:p w14:paraId="2707F29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w:t>
            </w:r>
          </w:p>
        </w:tc>
      </w:tr>
      <w:tr w:rsidR="00DE1341" w:rsidRPr="00665787" w14:paraId="2529615C"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B21CD85" w14:textId="77777777" w:rsidR="00DE1341" w:rsidRPr="00665787" w:rsidRDefault="00DE1341" w:rsidP="00B82B32">
            <w:pPr>
              <w:rPr>
                <w:rFonts w:ascii="Arial" w:hAnsi="Arial" w:cs="Arial"/>
              </w:rPr>
            </w:pPr>
            <w:r w:rsidRPr="00665787">
              <w:rPr>
                <w:rFonts w:ascii="Arial" w:hAnsi="Arial" w:cs="Arial"/>
                <w:b w:val="0"/>
              </w:rPr>
              <w:t>Competition Pressure Index</w:t>
            </w:r>
          </w:p>
        </w:tc>
        <w:tc>
          <w:tcPr>
            <w:tcW w:w="0" w:type="auto"/>
            <w:hideMark/>
          </w:tcPr>
          <w:p w14:paraId="4AD63F5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1849704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0.000</w:t>
            </w:r>
          </w:p>
        </w:tc>
        <w:tc>
          <w:tcPr>
            <w:tcW w:w="0" w:type="auto"/>
            <w:hideMark/>
          </w:tcPr>
          <w:p w14:paraId="54664FE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0.999</w:t>
            </w:r>
          </w:p>
        </w:tc>
        <w:tc>
          <w:tcPr>
            <w:tcW w:w="0" w:type="auto"/>
            <w:hideMark/>
          </w:tcPr>
          <w:p w14:paraId="74143C8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-2.100</w:t>
            </w:r>
          </w:p>
        </w:tc>
        <w:tc>
          <w:tcPr>
            <w:tcW w:w="0" w:type="auto"/>
            <w:hideMark/>
          </w:tcPr>
          <w:p w14:paraId="4762678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4.933</w:t>
            </w:r>
          </w:p>
        </w:tc>
      </w:tr>
      <w:tr w:rsidR="00DE1341" w:rsidRPr="00665787" w14:paraId="5B02C8E3"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F88C151" w14:textId="77777777" w:rsidR="00DE1341" w:rsidRPr="00665787" w:rsidRDefault="00DE1341" w:rsidP="00B82B32">
            <w:pPr>
              <w:rPr>
                <w:rFonts w:ascii="Arial" w:hAnsi="Arial" w:cs="Arial"/>
              </w:rPr>
            </w:pPr>
            <w:r w:rsidRPr="00665787">
              <w:rPr>
                <w:rFonts w:ascii="Arial" w:hAnsi="Arial" w:cs="Arial"/>
                <w:b w:val="0"/>
              </w:rPr>
              <w:t>Capability Index</w:t>
            </w:r>
          </w:p>
        </w:tc>
        <w:tc>
          <w:tcPr>
            <w:tcW w:w="0" w:type="auto"/>
            <w:hideMark/>
          </w:tcPr>
          <w:p w14:paraId="7C6D116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7F4243A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0.000</w:t>
            </w:r>
          </w:p>
        </w:tc>
        <w:tc>
          <w:tcPr>
            <w:tcW w:w="0" w:type="auto"/>
            <w:hideMark/>
          </w:tcPr>
          <w:p w14:paraId="2C29912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0.998</w:t>
            </w:r>
          </w:p>
        </w:tc>
        <w:tc>
          <w:tcPr>
            <w:tcW w:w="0" w:type="auto"/>
            <w:hideMark/>
          </w:tcPr>
          <w:p w14:paraId="51B2E71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-1.132</w:t>
            </w:r>
          </w:p>
        </w:tc>
        <w:tc>
          <w:tcPr>
            <w:tcW w:w="0" w:type="auto"/>
            <w:hideMark/>
          </w:tcPr>
          <w:p w14:paraId="5757B68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3.366</w:t>
            </w:r>
          </w:p>
        </w:tc>
      </w:tr>
      <w:tr w:rsidR="00DE1341" w:rsidRPr="00665787" w14:paraId="22686800"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4E196DE" w14:textId="77777777" w:rsidR="00DE1341" w:rsidRPr="00665787" w:rsidRDefault="00DE1341" w:rsidP="00B82B32">
            <w:pPr>
              <w:rPr>
                <w:rFonts w:ascii="Arial" w:hAnsi="Arial" w:cs="Arial"/>
              </w:rPr>
            </w:pPr>
            <w:r w:rsidRPr="00665787">
              <w:rPr>
                <w:rFonts w:ascii="Arial" w:hAnsi="Arial" w:cs="Arial"/>
                <w:b w:val="0"/>
              </w:rPr>
              <w:t>Digital Adoption Index</w:t>
            </w:r>
          </w:p>
        </w:tc>
        <w:tc>
          <w:tcPr>
            <w:tcW w:w="0" w:type="auto"/>
            <w:hideMark/>
          </w:tcPr>
          <w:p w14:paraId="2D65736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2809FFF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0.005</w:t>
            </w:r>
          </w:p>
        </w:tc>
        <w:tc>
          <w:tcPr>
            <w:tcW w:w="0" w:type="auto"/>
            <w:hideMark/>
          </w:tcPr>
          <w:p w14:paraId="22AD07F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0.724</w:t>
            </w:r>
          </w:p>
        </w:tc>
        <w:tc>
          <w:tcPr>
            <w:tcW w:w="0" w:type="auto"/>
            <w:hideMark/>
          </w:tcPr>
          <w:p w14:paraId="631642EC"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-1.242</w:t>
            </w:r>
          </w:p>
        </w:tc>
        <w:tc>
          <w:tcPr>
            <w:tcW w:w="0" w:type="auto"/>
            <w:hideMark/>
          </w:tcPr>
          <w:p w14:paraId="6812558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1.518</w:t>
            </w:r>
          </w:p>
        </w:tc>
      </w:tr>
      <w:tr w:rsidR="00DE1341" w:rsidRPr="00665787" w14:paraId="7299D8D4"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A6A8BD0" w14:textId="77777777" w:rsidR="00DE1341" w:rsidRPr="00665787" w:rsidRDefault="00DE1341" w:rsidP="00B82B32">
            <w:pPr>
              <w:rPr>
                <w:rFonts w:ascii="Arial" w:hAnsi="Arial" w:cs="Arial"/>
              </w:rPr>
            </w:pPr>
            <w:r w:rsidRPr="00665787">
              <w:rPr>
                <w:rFonts w:ascii="Arial" w:hAnsi="Arial" w:cs="Arial"/>
                <w:b w:val="0"/>
              </w:rPr>
              <w:t>Firm Size (Employees)</w:t>
            </w:r>
          </w:p>
        </w:tc>
        <w:tc>
          <w:tcPr>
            <w:tcW w:w="0" w:type="auto"/>
            <w:hideMark/>
          </w:tcPr>
          <w:p w14:paraId="04826CC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1A94BDD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37.64</w:t>
            </w:r>
          </w:p>
        </w:tc>
        <w:tc>
          <w:tcPr>
            <w:tcW w:w="0" w:type="auto"/>
            <w:hideMark/>
          </w:tcPr>
          <w:p w14:paraId="5743412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74.84</w:t>
            </w:r>
          </w:p>
        </w:tc>
        <w:tc>
          <w:tcPr>
            <w:tcW w:w="0" w:type="auto"/>
            <w:hideMark/>
          </w:tcPr>
          <w:p w14:paraId="4A2899B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c>
          <w:tcPr>
            <w:tcW w:w="0" w:type="auto"/>
            <w:hideMark/>
          </w:tcPr>
          <w:p w14:paraId="129ED68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1000</w:t>
            </w:r>
          </w:p>
        </w:tc>
      </w:tr>
      <w:tr w:rsidR="00DE1341" w:rsidRPr="00665787" w14:paraId="2B6B38EE"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32035A7" w14:textId="77777777" w:rsidR="00DE1341" w:rsidRPr="00665787" w:rsidRDefault="00DE1341" w:rsidP="00B82B32">
            <w:pPr>
              <w:rPr>
                <w:rFonts w:ascii="Arial" w:hAnsi="Arial" w:cs="Arial"/>
              </w:rPr>
            </w:pPr>
            <w:r w:rsidRPr="00665787">
              <w:rPr>
                <w:rFonts w:ascii="Arial" w:hAnsi="Arial" w:cs="Arial"/>
                <w:b w:val="0"/>
              </w:rPr>
              <w:t>Firm Age (Years)</w:t>
            </w:r>
          </w:p>
        </w:tc>
        <w:tc>
          <w:tcPr>
            <w:tcW w:w="0" w:type="auto"/>
            <w:hideMark/>
          </w:tcPr>
          <w:p w14:paraId="55B70C3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6A5CEEA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13.56</w:t>
            </w:r>
          </w:p>
        </w:tc>
        <w:tc>
          <w:tcPr>
            <w:tcW w:w="0" w:type="auto"/>
            <w:hideMark/>
          </w:tcPr>
          <w:p w14:paraId="0A3B5D0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10.20</w:t>
            </w:r>
          </w:p>
        </w:tc>
        <w:tc>
          <w:tcPr>
            <w:tcW w:w="0" w:type="auto"/>
            <w:hideMark/>
          </w:tcPr>
          <w:p w14:paraId="226B798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c>
          <w:tcPr>
            <w:tcW w:w="0" w:type="auto"/>
            <w:hideMark/>
          </w:tcPr>
          <w:p w14:paraId="10230B0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77</w:t>
            </w:r>
          </w:p>
        </w:tc>
      </w:tr>
      <w:tr w:rsidR="00DE1341" w:rsidRPr="00665787" w14:paraId="36C4713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4B73C213" w14:textId="77777777" w:rsidR="00DE1341" w:rsidRPr="00665787" w:rsidRDefault="00DE1341" w:rsidP="00B82B32">
            <w:pPr>
              <w:rPr>
                <w:rFonts w:ascii="Arial" w:hAnsi="Arial" w:cs="Arial"/>
              </w:rPr>
            </w:pPr>
            <w:r w:rsidRPr="00665787">
              <w:rPr>
                <w:rFonts w:ascii="Arial" w:hAnsi="Arial" w:cs="Arial"/>
                <w:b w:val="0"/>
              </w:rPr>
              <w:t>Exporter</w:t>
            </w:r>
          </w:p>
        </w:tc>
        <w:tc>
          <w:tcPr>
            <w:tcW w:w="0" w:type="auto"/>
            <w:hideMark/>
          </w:tcPr>
          <w:p w14:paraId="32E934E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694</w:t>
            </w:r>
          </w:p>
        </w:tc>
        <w:tc>
          <w:tcPr>
            <w:tcW w:w="0" w:type="auto"/>
            <w:hideMark/>
          </w:tcPr>
          <w:p w14:paraId="379F989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0.212</w:t>
            </w:r>
          </w:p>
        </w:tc>
        <w:tc>
          <w:tcPr>
            <w:tcW w:w="0" w:type="auto"/>
            <w:hideMark/>
          </w:tcPr>
          <w:p w14:paraId="00AE0A2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0.409</w:t>
            </w:r>
          </w:p>
        </w:tc>
        <w:tc>
          <w:tcPr>
            <w:tcW w:w="0" w:type="auto"/>
            <w:hideMark/>
          </w:tcPr>
          <w:p w14:paraId="2FC7B16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w:t>
            </w:r>
          </w:p>
        </w:tc>
        <w:tc>
          <w:tcPr>
            <w:tcW w:w="0" w:type="auto"/>
            <w:hideMark/>
          </w:tcPr>
          <w:p w14:paraId="1AEDFB0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w:t>
            </w:r>
          </w:p>
        </w:tc>
      </w:tr>
    </w:tbl>
    <w:p w14:paraId="2937D3C9"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5DC499CA" w14:textId="77777777" w:rsidR="00DE1341" w:rsidRPr="00665787" w:rsidRDefault="00DE1341" w:rsidP="00DE1341">
      <w:pPr>
        <w:jc w:val="both"/>
        <w:rPr>
          <w:rFonts w:ascii="Arial" w:hAnsi="Arial" w:cs="Arial"/>
        </w:rPr>
      </w:pPr>
      <w:r w:rsidRPr="00665787">
        <w:rPr>
          <w:rFonts w:ascii="Arial" w:hAnsi="Arial" w:cs="Arial"/>
        </w:rPr>
        <w:t xml:space="preserve">Table 1 presents the descriptive statistics of the variables used in the study. Innovation records a mean of 0.373 with a standard deviation of 0.654, suggesting relatively low levels of innovation adoption among most firms. The standardized indices for competition pressure, organizational capability, and digital adoption exhibit ranges of -2.1 to 4.993, -1.132 to 3.366 and -1.242 to 1.518 respectively. These wide ranges suggest substantial variation across firms relating to variation in competitive pressure, organizational capabilities and digital operational adoption. Average firm size is 37.64 employees with standard deviation of 74.84.  The mean years of existence of the surveyed firms is 13.65 years with standard deviation of 10.20.  Exporter status shows a mean of 0.212, implying 21.2% of the firms are exporter with majority (79.8%) non exporters. The descriptive results suggest substantial heterogeneity in firm characteristics, internal innovative capabilities, and market conditions, while only a small proportion of firms participate in international markets. This </w:t>
      </w:r>
      <w:r w:rsidRPr="00665787">
        <w:rPr>
          <w:rFonts w:ascii="Arial" w:hAnsi="Arial" w:cs="Arial"/>
        </w:rPr>
        <w:lastRenderedPageBreak/>
        <w:t>heterogeneity highlights significant cross-firm variation that is important for explaining differences in innovation outcomes, consistent with econometric requirements for parameter identification in cross-sectional models (Wooldridge, 2010).</w:t>
      </w:r>
    </w:p>
    <w:p w14:paraId="5A4CB711" w14:textId="77777777" w:rsidR="00DE1341" w:rsidRPr="00665787" w:rsidRDefault="00DE1341" w:rsidP="00DE1341">
      <w:pPr>
        <w:jc w:val="both"/>
        <w:rPr>
          <w:rFonts w:ascii="Arial" w:hAnsi="Arial" w:cs="Arial"/>
        </w:rPr>
      </w:pPr>
    </w:p>
    <w:p w14:paraId="4C17FB77" w14:textId="77777777" w:rsidR="00DE1341" w:rsidRPr="00665787" w:rsidRDefault="00DE1341" w:rsidP="00DE1341">
      <w:pPr>
        <w:rPr>
          <w:rFonts w:ascii="Arial" w:hAnsi="Arial" w:cs="Arial"/>
        </w:rPr>
      </w:pPr>
      <w:r w:rsidRPr="00665787">
        <w:rPr>
          <w:rFonts w:ascii="Arial" w:hAnsi="Arial" w:cs="Arial"/>
        </w:rPr>
        <w:t>Table 2: Multicollinearity Diagnostics Using Variance Inflation Factors (VIF)</w:t>
      </w:r>
    </w:p>
    <w:tbl>
      <w:tblPr>
        <w:tblStyle w:val="PlainTable2"/>
        <w:tblW w:w="0" w:type="auto"/>
        <w:tblLook w:val="06A0" w:firstRow="1" w:lastRow="0" w:firstColumn="1" w:lastColumn="0" w:noHBand="1" w:noVBand="1"/>
      </w:tblPr>
      <w:tblGrid>
        <w:gridCol w:w="3452"/>
        <w:gridCol w:w="606"/>
        <w:gridCol w:w="717"/>
      </w:tblGrid>
      <w:tr w:rsidR="00DE1341" w:rsidRPr="00665787" w14:paraId="01A49839"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16DA79" w14:textId="77777777" w:rsidR="00DE1341" w:rsidRPr="00665787" w:rsidRDefault="00DE1341" w:rsidP="00B82B32">
            <w:pPr>
              <w:rPr>
                <w:rFonts w:ascii="Arial" w:hAnsi="Arial" w:cs="Arial"/>
                <w:b w:val="0"/>
                <w:lang w:val="en-GB"/>
              </w:rPr>
            </w:pPr>
            <w:r w:rsidRPr="00665787">
              <w:rPr>
                <w:rFonts w:ascii="Arial" w:hAnsi="Arial" w:cs="Arial"/>
                <w:b w:val="0"/>
                <w:bCs w:val="0"/>
              </w:rPr>
              <w:t>Variable</w:t>
            </w:r>
          </w:p>
        </w:tc>
        <w:tc>
          <w:tcPr>
            <w:tcW w:w="0" w:type="auto"/>
            <w:hideMark/>
          </w:tcPr>
          <w:p w14:paraId="3AC8306B"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bCs w:val="0"/>
              </w:rPr>
              <w:t>VIF</w:t>
            </w:r>
          </w:p>
        </w:tc>
        <w:tc>
          <w:tcPr>
            <w:tcW w:w="0" w:type="auto"/>
            <w:hideMark/>
          </w:tcPr>
          <w:p w14:paraId="2CF65842"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1/VIF</w:t>
            </w:r>
          </w:p>
        </w:tc>
      </w:tr>
      <w:tr w:rsidR="00DE1341" w:rsidRPr="00665787" w14:paraId="3F20C2C2"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27077AF" w14:textId="77777777" w:rsidR="00DE1341" w:rsidRPr="00DE1341" w:rsidRDefault="00DE1341" w:rsidP="00B82B32">
            <w:pPr>
              <w:rPr>
                <w:rFonts w:ascii="Arial" w:hAnsi="Arial" w:cs="Arial"/>
                <w:b w:val="0"/>
                <w:bCs w:val="0"/>
              </w:rPr>
            </w:pPr>
            <w:r w:rsidRPr="00DE1341">
              <w:rPr>
                <w:rFonts w:ascii="Arial" w:hAnsi="Arial" w:cs="Arial"/>
                <w:b w:val="0"/>
              </w:rPr>
              <w:t>Market Competition</w:t>
            </w:r>
          </w:p>
        </w:tc>
        <w:tc>
          <w:tcPr>
            <w:tcW w:w="0" w:type="auto"/>
            <w:hideMark/>
          </w:tcPr>
          <w:p w14:paraId="4FAC382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1.01</w:t>
            </w:r>
          </w:p>
        </w:tc>
        <w:tc>
          <w:tcPr>
            <w:tcW w:w="0" w:type="auto"/>
            <w:hideMark/>
          </w:tcPr>
          <w:p w14:paraId="1CF35C1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0.995</w:t>
            </w:r>
          </w:p>
        </w:tc>
      </w:tr>
      <w:tr w:rsidR="00DE1341" w:rsidRPr="00665787" w14:paraId="49FD6C8C"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6DC7599" w14:textId="77777777" w:rsidR="00DE1341" w:rsidRPr="00DE1341" w:rsidRDefault="00DE1341" w:rsidP="00B82B32">
            <w:pPr>
              <w:rPr>
                <w:rFonts w:ascii="Arial" w:hAnsi="Arial" w:cs="Arial"/>
                <w:b w:val="0"/>
              </w:rPr>
            </w:pPr>
            <w:r w:rsidRPr="00DE1341">
              <w:rPr>
                <w:rFonts w:ascii="Arial" w:hAnsi="Arial" w:cs="Arial"/>
                <w:b w:val="0"/>
              </w:rPr>
              <w:t>Organizational Capability</w:t>
            </w:r>
          </w:p>
        </w:tc>
        <w:tc>
          <w:tcPr>
            <w:tcW w:w="0" w:type="auto"/>
            <w:hideMark/>
          </w:tcPr>
          <w:p w14:paraId="329868B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1.30</w:t>
            </w:r>
          </w:p>
        </w:tc>
        <w:tc>
          <w:tcPr>
            <w:tcW w:w="0" w:type="auto"/>
            <w:hideMark/>
          </w:tcPr>
          <w:p w14:paraId="1BF6112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0.768</w:t>
            </w:r>
          </w:p>
        </w:tc>
      </w:tr>
      <w:tr w:rsidR="00DE1341" w:rsidRPr="00665787" w14:paraId="3F955D5D"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1A3A0D1B" w14:textId="77777777" w:rsidR="00DE1341" w:rsidRPr="00DE1341" w:rsidRDefault="00DE1341" w:rsidP="00B82B32">
            <w:pPr>
              <w:rPr>
                <w:rFonts w:ascii="Arial" w:hAnsi="Arial" w:cs="Arial"/>
                <w:b w:val="0"/>
              </w:rPr>
            </w:pPr>
            <w:r w:rsidRPr="00DE1341">
              <w:rPr>
                <w:rFonts w:ascii="Arial" w:hAnsi="Arial" w:cs="Arial"/>
                <w:b w:val="0"/>
              </w:rPr>
              <w:t>Digital Administrative adoption Index</w:t>
            </w:r>
          </w:p>
        </w:tc>
        <w:tc>
          <w:tcPr>
            <w:tcW w:w="0" w:type="auto"/>
            <w:hideMark/>
          </w:tcPr>
          <w:p w14:paraId="40157AE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1.19</w:t>
            </w:r>
          </w:p>
        </w:tc>
        <w:tc>
          <w:tcPr>
            <w:tcW w:w="0" w:type="auto"/>
            <w:hideMark/>
          </w:tcPr>
          <w:p w14:paraId="1318F5A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0.841</w:t>
            </w:r>
          </w:p>
        </w:tc>
      </w:tr>
      <w:tr w:rsidR="00DE1341" w:rsidRPr="00665787" w14:paraId="5D6A5CC8"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02B941F" w14:textId="77777777" w:rsidR="00DE1341" w:rsidRPr="00DE1341" w:rsidRDefault="00DE1341" w:rsidP="00B82B32">
            <w:pPr>
              <w:rPr>
                <w:rFonts w:ascii="Arial" w:hAnsi="Arial" w:cs="Arial"/>
                <w:b w:val="0"/>
              </w:rPr>
            </w:pPr>
            <w:r w:rsidRPr="00DE1341">
              <w:rPr>
                <w:rFonts w:ascii="Arial" w:hAnsi="Arial" w:cs="Arial"/>
                <w:b w:val="0"/>
              </w:rPr>
              <w:t>Log Firm Size</w:t>
            </w:r>
          </w:p>
        </w:tc>
        <w:tc>
          <w:tcPr>
            <w:tcW w:w="0" w:type="auto"/>
            <w:hideMark/>
          </w:tcPr>
          <w:p w14:paraId="02DE533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1.23</w:t>
            </w:r>
          </w:p>
        </w:tc>
        <w:tc>
          <w:tcPr>
            <w:tcW w:w="0" w:type="auto"/>
            <w:hideMark/>
          </w:tcPr>
          <w:p w14:paraId="262B125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0.813</w:t>
            </w:r>
          </w:p>
        </w:tc>
      </w:tr>
      <w:tr w:rsidR="00DE1341" w:rsidRPr="00665787" w14:paraId="7180453D"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54764DB4" w14:textId="77777777" w:rsidR="00DE1341" w:rsidRPr="00DE1341" w:rsidRDefault="00DE1341" w:rsidP="00B82B32">
            <w:pPr>
              <w:rPr>
                <w:rFonts w:ascii="Arial" w:hAnsi="Arial" w:cs="Arial"/>
                <w:b w:val="0"/>
              </w:rPr>
            </w:pPr>
            <w:r w:rsidRPr="00DE1341">
              <w:rPr>
                <w:rFonts w:ascii="Arial" w:hAnsi="Arial" w:cs="Arial"/>
                <w:b w:val="0"/>
              </w:rPr>
              <w:t>Log Firm Age</w:t>
            </w:r>
          </w:p>
        </w:tc>
        <w:tc>
          <w:tcPr>
            <w:tcW w:w="0" w:type="auto"/>
            <w:hideMark/>
          </w:tcPr>
          <w:p w14:paraId="598FE58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1.02</w:t>
            </w:r>
          </w:p>
        </w:tc>
        <w:tc>
          <w:tcPr>
            <w:tcW w:w="0" w:type="auto"/>
            <w:hideMark/>
          </w:tcPr>
          <w:p w14:paraId="00665966"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0.982</w:t>
            </w:r>
          </w:p>
        </w:tc>
      </w:tr>
      <w:tr w:rsidR="00DE1341" w:rsidRPr="00665787" w14:paraId="15AA0939"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60ED354A" w14:textId="77777777" w:rsidR="00DE1341" w:rsidRPr="00DE1341" w:rsidRDefault="00DE1341" w:rsidP="00B82B32">
            <w:pPr>
              <w:rPr>
                <w:rFonts w:ascii="Arial" w:hAnsi="Arial" w:cs="Arial"/>
                <w:b w:val="0"/>
              </w:rPr>
            </w:pPr>
            <w:r w:rsidRPr="00DE1341">
              <w:rPr>
                <w:rFonts w:ascii="Arial" w:hAnsi="Arial" w:cs="Arial"/>
                <w:b w:val="0"/>
              </w:rPr>
              <w:t>Exporter</w:t>
            </w:r>
          </w:p>
        </w:tc>
        <w:tc>
          <w:tcPr>
            <w:tcW w:w="0" w:type="auto"/>
            <w:hideMark/>
          </w:tcPr>
          <w:p w14:paraId="072230F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1.09</w:t>
            </w:r>
          </w:p>
        </w:tc>
        <w:tc>
          <w:tcPr>
            <w:tcW w:w="0" w:type="auto"/>
            <w:hideMark/>
          </w:tcPr>
          <w:p w14:paraId="45BD992C"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0.918</w:t>
            </w:r>
          </w:p>
        </w:tc>
      </w:tr>
      <w:tr w:rsidR="00DE1341" w:rsidRPr="00665787" w14:paraId="18DDB1C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7309A30" w14:textId="77777777" w:rsidR="00DE1341" w:rsidRPr="00665787" w:rsidRDefault="00DE1341" w:rsidP="00B82B32">
            <w:pPr>
              <w:rPr>
                <w:rFonts w:ascii="Arial" w:hAnsi="Arial" w:cs="Arial"/>
              </w:rPr>
            </w:pPr>
            <w:r w:rsidRPr="00665787">
              <w:rPr>
                <w:rFonts w:ascii="Arial" w:hAnsi="Arial" w:cs="Arial"/>
                <w:bCs w:val="0"/>
              </w:rPr>
              <w:t>Mean VIF</w:t>
            </w:r>
          </w:p>
        </w:tc>
        <w:tc>
          <w:tcPr>
            <w:tcW w:w="0" w:type="auto"/>
            <w:hideMark/>
          </w:tcPr>
          <w:p w14:paraId="5E97EC0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1.14</w:t>
            </w:r>
          </w:p>
        </w:tc>
        <w:tc>
          <w:tcPr>
            <w:tcW w:w="0" w:type="auto"/>
            <w:hideMark/>
          </w:tcPr>
          <w:p w14:paraId="05473C3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w:t>
            </w:r>
          </w:p>
        </w:tc>
      </w:tr>
    </w:tbl>
    <w:p w14:paraId="0BF9975B"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013027CC"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2, model diagnostic test, results show an overall mean VIF of 1.14, which is well below the conventional threshold of 10 used to indicate the presence of multicollinearity. This suggests that there are no multicollinearity issues among the explanatory variables in the model.</w:t>
      </w:r>
    </w:p>
    <w:p w14:paraId="2F737741"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7BB2D0A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3: Model Specification Test (Link Test)</w:t>
      </w:r>
    </w:p>
    <w:tbl>
      <w:tblPr>
        <w:tblStyle w:val="PlainTable2"/>
        <w:tblW w:w="9639" w:type="dxa"/>
        <w:tblLook w:val="06A0" w:firstRow="1" w:lastRow="0" w:firstColumn="1" w:lastColumn="0" w:noHBand="1" w:noVBand="1"/>
      </w:tblPr>
      <w:tblGrid>
        <w:gridCol w:w="1418"/>
        <w:gridCol w:w="1887"/>
        <w:gridCol w:w="1316"/>
        <w:gridCol w:w="1215"/>
        <w:gridCol w:w="976"/>
        <w:gridCol w:w="989"/>
        <w:gridCol w:w="1838"/>
      </w:tblGrid>
      <w:tr w:rsidR="00DE1341" w:rsidRPr="00665787" w14:paraId="08220402"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15FB8C6C" w14:textId="77777777" w:rsidR="00DE1341" w:rsidRPr="00665787" w:rsidRDefault="00DE1341" w:rsidP="00B82B32">
            <w:pPr>
              <w:jc w:val="center"/>
              <w:rPr>
                <w:rFonts w:ascii="Arial" w:hAnsi="Arial" w:cs="Arial"/>
                <w:b w:val="0"/>
                <w:lang w:val="en-GB"/>
              </w:rPr>
            </w:pPr>
            <w:r w:rsidRPr="00665787">
              <w:rPr>
                <w:rFonts w:ascii="Arial" w:hAnsi="Arial" w:cs="Arial"/>
                <w:b w:val="0"/>
              </w:rPr>
              <w:t>Model</w:t>
            </w:r>
          </w:p>
        </w:tc>
        <w:tc>
          <w:tcPr>
            <w:tcW w:w="1887" w:type="dxa"/>
            <w:hideMark/>
          </w:tcPr>
          <w:p w14:paraId="6E46BCC2"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Variable</w:t>
            </w:r>
          </w:p>
        </w:tc>
        <w:tc>
          <w:tcPr>
            <w:tcW w:w="0" w:type="auto"/>
            <w:hideMark/>
          </w:tcPr>
          <w:p w14:paraId="2AC46127"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Coefficient</w:t>
            </w:r>
          </w:p>
        </w:tc>
        <w:tc>
          <w:tcPr>
            <w:tcW w:w="0" w:type="auto"/>
            <w:hideMark/>
          </w:tcPr>
          <w:p w14:paraId="4ACFE69D"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Std. Error</w:t>
            </w:r>
          </w:p>
        </w:tc>
        <w:tc>
          <w:tcPr>
            <w:tcW w:w="0" w:type="auto"/>
            <w:hideMark/>
          </w:tcPr>
          <w:p w14:paraId="24CEFFE3"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z-value</w:t>
            </w:r>
          </w:p>
        </w:tc>
        <w:tc>
          <w:tcPr>
            <w:tcW w:w="0" w:type="auto"/>
            <w:hideMark/>
          </w:tcPr>
          <w:p w14:paraId="343B5BB1"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p-value</w:t>
            </w:r>
          </w:p>
        </w:tc>
        <w:tc>
          <w:tcPr>
            <w:tcW w:w="1838" w:type="dxa"/>
            <w:hideMark/>
          </w:tcPr>
          <w:p w14:paraId="64395FED" w14:textId="77777777" w:rsidR="00DE1341" w:rsidRPr="00665787" w:rsidRDefault="00DE1341" w:rsidP="00B82B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95% CI</w:t>
            </w:r>
          </w:p>
        </w:tc>
      </w:tr>
      <w:tr w:rsidR="00DE1341" w:rsidRPr="00665787" w14:paraId="0E9FE240" w14:textId="77777777" w:rsidTr="00DE1341">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1C006C56" w14:textId="77777777" w:rsidR="00DE1341" w:rsidRPr="00DE1341" w:rsidRDefault="00DE1341" w:rsidP="00B82B32">
            <w:pPr>
              <w:rPr>
                <w:rFonts w:ascii="Arial" w:hAnsi="Arial" w:cs="Arial"/>
                <w:b w:val="0"/>
              </w:rPr>
            </w:pPr>
            <w:r w:rsidRPr="00DE1341">
              <w:rPr>
                <w:rFonts w:ascii="Arial" w:hAnsi="Arial" w:cs="Arial"/>
                <w:b w:val="0"/>
              </w:rPr>
              <w:t>Ordered Probit</w:t>
            </w:r>
          </w:p>
        </w:tc>
        <w:tc>
          <w:tcPr>
            <w:tcW w:w="1887" w:type="dxa"/>
            <w:vMerge w:val="restart"/>
            <w:hideMark/>
          </w:tcPr>
          <w:p w14:paraId="5748EE24" w14:textId="77777777" w:rsidR="00DE1341" w:rsidRPr="00665787" w:rsidRDefault="00DE1341" w:rsidP="00B82B3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(ŷ)</w:t>
            </w:r>
          </w:p>
          <w:p w14:paraId="23E4BF2F" w14:textId="77777777" w:rsidR="00DE1341" w:rsidRPr="00665787" w:rsidRDefault="00DE1341" w:rsidP="00B82B3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square (ŷ²)</w:t>
            </w:r>
          </w:p>
        </w:tc>
        <w:tc>
          <w:tcPr>
            <w:tcW w:w="0" w:type="auto"/>
            <w:hideMark/>
          </w:tcPr>
          <w:p w14:paraId="19873B5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0.791</w:t>
            </w:r>
          </w:p>
        </w:tc>
        <w:tc>
          <w:tcPr>
            <w:tcW w:w="0" w:type="auto"/>
            <w:hideMark/>
          </w:tcPr>
          <w:p w14:paraId="73FBC36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0.375</w:t>
            </w:r>
          </w:p>
        </w:tc>
        <w:tc>
          <w:tcPr>
            <w:tcW w:w="0" w:type="auto"/>
            <w:hideMark/>
          </w:tcPr>
          <w:p w14:paraId="1C8447F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2.11</w:t>
            </w:r>
          </w:p>
        </w:tc>
        <w:tc>
          <w:tcPr>
            <w:tcW w:w="0" w:type="auto"/>
            <w:hideMark/>
          </w:tcPr>
          <w:p w14:paraId="19C9D12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0.035</w:t>
            </w:r>
          </w:p>
        </w:tc>
        <w:tc>
          <w:tcPr>
            <w:tcW w:w="1838" w:type="dxa"/>
            <w:hideMark/>
          </w:tcPr>
          <w:p w14:paraId="6E6AB49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[0.055, 1.526]</w:t>
            </w:r>
          </w:p>
        </w:tc>
      </w:tr>
      <w:tr w:rsidR="00DE1341" w:rsidRPr="00665787" w14:paraId="19D2230C" w14:textId="77777777" w:rsidTr="00DE1341">
        <w:tc>
          <w:tcPr>
            <w:cnfStyle w:val="001000000000" w:firstRow="0" w:lastRow="0" w:firstColumn="1" w:lastColumn="0" w:oddVBand="0" w:evenVBand="0" w:oddHBand="0" w:evenHBand="0" w:firstRowFirstColumn="0" w:firstRowLastColumn="0" w:lastRowFirstColumn="0" w:lastRowLastColumn="0"/>
            <w:tcW w:w="0" w:type="auto"/>
            <w:vMerge/>
            <w:hideMark/>
          </w:tcPr>
          <w:p w14:paraId="26B7646E" w14:textId="77777777" w:rsidR="00DE1341" w:rsidRPr="00DE1341" w:rsidRDefault="00DE1341" w:rsidP="00B82B32">
            <w:pPr>
              <w:rPr>
                <w:rFonts w:ascii="Arial" w:hAnsi="Arial" w:cs="Arial"/>
                <w:b w:val="0"/>
                <w:bCs w:val="0"/>
              </w:rPr>
            </w:pPr>
          </w:p>
        </w:tc>
        <w:tc>
          <w:tcPr>
            <w:tcW w:w="0" w:type="auto"/>
            <w:vMerge/>
            <w:hideMark/>
          </w:tcPr>
          <w:p w14:paraId="649485C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0DC4D5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0.117</w:t>
            </w:r>
          </w:p>
        </w:tc>
        <w:tc>
          <w:tcPr>
            <w:tcW w:w="0" w:type="auto"/>
            <w:hideMark/>
          </w:tcPr>
          <w:p w14:paraId="0E90426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0.200</w:t>
            </w:r>
          </w:p>
        </w:tc>
        <w:tc>
          <w:tcPr>
            <w:tcW w:w="0" w:type="auto"/>
            <w:hideMark/>
          </w:tcPr>
          <w:p w14:paraId="4F51031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0.59</w:t>
            </w:r>
          </w:p>
        </w:tc>
        <w:tc>
          <w:tcPr>
            <w:tcW w:w="0" w:type="auto"/>
            <w:hideMark/>
          </w:tcPr>
          <w:p w14:paraId="71EFC19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0.558</w:t>
            </w:r>
          </w:p>
        </w:tc>
        <w:tc>
          <w:tcPr>
            <w:tcW w:w="1838" w:type="dxa"/>
            <w:hideMark/>
          </w:tcPr>
          <w:p w14:paraId="15E1FDC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[-0.275, 0.509]</w:t>
            </w:r>
          </w:p>
        </w:tc>
      </w:tr>
      <w:tr w:rsidR="00DE1341" w:rsidRPr="00665787" w14:paraId="285F1DFD" w14:textId="77777777" w:rsidTr="00DE1341">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2D975615" w14:textId="77777777" w:rsidR="00DE1341" w:rsidRPr="00DE1341" w:rsidRDefault="00DE1341" w:rsidP="00B82B32">
            <w:pPr>
              <w:rPr>
                <w:rFonts w:ascii="Arial" w:hAnsi="Arial" w:cs="Arial"/>
                <w:b w:val="0"/>
              </w:rPr>
            </w:pPr>
            <w:r w:rsidRPr="00DE1341">
              <w:rPr>
                <w:rFonts w:ascii="Arial" w:hAnsi="Arial" w:cs="Arial"/>
                <w:b w:val="0"/>
              </w:rPr>
              <w:t>Ordered Logit</w:t>
            </w:r>
          </w:p>
        </w:tc>
        <w:tc>
          <w:tcPr>
            <w:tcW w:w="1887" w:type="dxa"/>
            <w:hideMark/>
          </w:tcPr>
          <w:p w14:paraId="21CE2B7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_hat (ŷ)</w:t>
            </w:r>
          </w:p>
        </w:tc>
        <w:tc>
          <w:tcPr>
            <w:tcW w:w="0" w:type="auto"/>
            <w:hideMark/>
          </w:tcPr>
          <w:p w14:paraId="7D67154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0.786</w:t>
            </w:r>
          </w:p>
        </w:tc>
        <w:tc>
          <w:tcPr>
            <w:tcW w:w="0" w:type="auto"/>
            <w:hideMark/>
          </w:tcPr>
          <w:p w14:paraId="76A92255"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0.381</w:t>
            </w:r>
          </w:p>
        </w:tc>
        <w:tc>
          <w:tcPr>
            <w:tcW w:w="0" w:type="auto"/>
            <w:hideMark/>
          </w:tcPr>
          <w:p w14:paraId="5196FE5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2.06</w:t>
            </w:r>
          </w:p>
        </w:tc>
        <w:tc>
          <w:tcPr>
            <w:tcW w:w="0" w:type="auto"/>
            <w:hideMark/>
          </w:tcPr>
          <w:p w14:paraId="28A8BD0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0.039</w:t>
            </w:r>
          </w:p>
        </w:tc>
        <w:tc>
          <w:tcPr>
            <w:tcW w:w="1838" w:type="dxa"/>
            <w:hideMark/>
          </w:tcPr>
          <w:p w14:paraId="6C698D5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[0.040, 1.533]</w:t>
            </w:r>
          </w:p>
        </w:tc>
      </w:tr>
      <w:tr w:rsidR="00DE1341" w:rsidRPr="00665787" w14:paraId="36D61B9E" w14:textId="77777777" w:rsidTr="00DE1341">
        <w:tc>
          <w:tcPr>
            <w:cnfStyle w:val="001000000000" w:firstRow="0" w:lastRow="0" w:firstColumn="1" w:lastColumn="0" w:oddVBand="0" w:evenVBand="0" w:oddHBand="0" w:evenHBand="0" w:firstRowFirstColumn="0" w:firstRowLastColumn="0" w:lastRowFirstColumn="0" w:lastRowLastColumn="0"/>
            <w:tcW w:w="0" w:type="auto"/>
            <w:vMerge/>
            <w:hideMark/>
          </w:tcPr>
          <w:p w14:paraId="640E4A59" w14:textId="77777777" w:rsidR="00DE1341" w:rsidRPr="00665787" w:rsidRDefault="00DE1341" w:rsidP="00B82B32">
            <w:pPr>
              <w:rPr>
                <w:rFonts w:ascii="Arial" w:hAnsi="Arial" w:cs="Arial"/>
                <w:bCs w:val="0"/>
              </w:rPr>
            </w:pPr>
          </w:p>
        </w:tc>
        <w:tc>
          <w:tcPr>
            <w:tcW w:w="1887" w:type="dxa"/>
            <w:hideMark/>
          </w:tcPr>
          <w:p w14:paraId="1347379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_hat square (ŷ²)</w:t>
            </w:r>
          </w:p>
        </w:tc>
        <w:tc>
          <w:tcPr>
            <w:tcW w:w="0" w:type="auto"/>
            <w:hideMark/>
          </w:tcPr>
          <w:p w14:paraId="2E2B532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0.069</w:t>
            </w:r>
          </w:p>
        </w:tc>
        <w:tc>
          <w:tcPr>
            <w:tcW w:w="0" w:type="auto"/>
            <w:hideMark/>
          </w:tcPr>
          <w:p w14:paraId="4F20B4DC"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0.117</w:t>
            </w:r>
          </w:p>
        </w:tc>
        <w:tc>
          <w:tcPr>
            <w:tcW w:w="0" w:type="auto"/>
            <w:hideMark/>
          </w:tcPr>
          <w:p w14:paraId="34C74BA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0.59</w:t>
            </w:r>
          </w:p>
        </w:tc>
        <w:tc>
          <w:tcPr>
            <w:tcW w:w="0" w:type="auto"/>
            <w:hideMark/>
          </w:tcPr>
          <w:p w14:paraId="5CADA5B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0.557</w:t>
            </w:r>
          </w:p>
        </w:tc>
        <w:tc>
          <w:tcPr>
            <w:tcW w:w="1838" w:type="dxa"/>
            <w:hideMark/>
          </w:tcPr>
          <w:p w14:paraId="0CBC820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[-0.161, 0.299]</w:t>
            </w:r>
          </w:p>
        </w:tc>
      </w:tr>
    </w:tbl>
    <w:p w14:paraId="4EEE4FA5"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27723F3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Table 3 outcome shows that the link test result for both models provide an assessment of model specification and functional form adequacy. The outcome shows that the coefficient of _hat is positive and statistically significant (β = 0.791 and 0.786, p = 0.035 and 0.039, for ordered probit and ordered logit respectively) in both models. The outcome satisfied the threshold for model specification and indicates that the two models has strong explanatory power, meaning the predicted values are significantly related to the observed level of firm innovation. The result for the hat-squared is positive but statistically insignificant (β = 0.117 and 0.069, p = 0.558 and 0.557, respectively). This result is crucial because it suggests that there is no evidence of omitted variable bias or functional form misspecification in the model.</w:t>
      </w:r>
    </w:p>
    <w:p w14:paraId="64EFE563" w14:textId="77777777" w:rsidR="00DE1341" w:rsidRPr="00665787" w:rsidRDefault="00DE1341" w:rsidP="00DE1341">
      <w:pPr>
        <w:jc w:val="both"/>
        <w:rPr>
          <w:rFonts w:ascii="Arial" w:hAnsi="Arial" w:cs="Arial"/>
        </w:rPr>
      </w:pPr>
    </w:p>
    <w:p w14:paraId="624000F2" w14:textId="77777777" w:rsidR="00DE1341" w:rsidRPr="00665787" w:rsidRDefault="00DE1341" w:rsidP="00DE1341">
      <w:pPr>
        <w:rPr>
          <w:rFonts w:ascii="Arial" w:hAnsi="Arial" w:cs="Arial"/>
          <w:bCs/>
          <w:kern w:val="36"/>
        </w:rPr>
      </w:pPr>
      <w:r w:rsidRPr="00665787">
        <w:rPr>
          <w:rFonts w:ascii="Arial" w:hAnsi="Arial" w:cs="Arial"/>
          <w:bCs/>
          <w:kern w:val="36"/>
        </w:rPr>
        <w:t>Table 4: Model Comparison Summary</w:t>
      </w:r>
    </w:p>
    <w:tbl>
      <w:tblPr>
        <w:tblStyle w:val="PlainTable2"/>
        <w:tblW w:w="0" w:type="auto"/>
        <w:tblLook w:val="06A0" w:firstRow="1" w:lastRow="0" w:firstColumn="1" w:lastColumn="0" w:noHBand="1" w:noVBand="1"/>
      </w:tblPr>
      <w:tblGrid>
        <w:gridCol w:w="2573"/>
        <w:gridCol w:w="1506"/>
        <w:gridCol w:w="1051"/>
        <w:gridCol w:w="1051"/>
      </w:tblGrid>
      <w:tr w:rsidR="00DE1341" w:rsidRPr="00665787" w14:paraId="28F87A95"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713907" w14:textId="77777777" w:rsidR="00DE1341" w:rsidRPr="00665787" w:rsidRDefault="00DE1341" w:rsidP="00B82B32">
            <w:pPr>
              <w:rPr>
                <w:rFonts w:ascii="Arial" w:hAnsi="Arial" w:cs="Arial"/>
                <w:b w:val="0"/>
                <w:bCs w:val="0"/>
                <w:lang w:val="en-GB"/>
              </w:rPr>
            </w:pPr>
            <w:r w:rsidRPr="00665787">
              <w:rPr>
                <w:rFonts w:ascii="Arial" w:hAnsi="Arial" w:cs="Arial"/>
                <w:b w:val="0"/>
                <w:bCs w:val="0"/>
              </w:rPr>
              <w:t>Model</w:t>
            </w:r>
          </w:p>
        </w:tc>
        <w:tc>
          <w:tcPr>
            <w:tcW w:w="0" w:type="auto"/>
            <w:hideMark/>
          </w:tcPr>
          <w:p w14:paraId="2EA597B6"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Log Likelihood</w:t>
            </w:r>
          </w:p>
        </w:tc>
        <w:tc>
          <w:tcPr>
            <w:tcW w:w="0" w:type="auto"/>
            <w:hideMark/>
          </w:tcPr>
          <w:p w14:paraId="21B9F69D"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AIC</w:t>
            </w:r>
          </w:p>
        </w:tc>
        <w:tc>
          <w:tcPr>
            <w:tcW w:w="0" w:type="auto"/>
            <w:hideMark/>
          </w:tcPr>
          <w:p w14:paraId="7636A22C"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5787">
              <w:rPr>
                <w:rFonts w:ascii="Arial" w:hAnsi="Arial" w:cs="Arial"/>
                <w:b w:val="0"/>
                <w:bCs w:val="0"/>
              </w:rPr>
              <w:t>BIC</w:t>
            </w:r>
          </w:p>
        </w:tc>
      </w:tr>
      <w:tr w:rsidR="00DE1341" w:rsidRPr="00665787" w14:paraId="3F370855"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5F835EB3" w14:textId="77777777" w:rsidR="00DE1341" w:rsidRPr="00DE1341" w:rsidRDefault="00DE1341" w:rsidP="00B82B32">
            <w:pPr>
              <w:rPr>
                <w:rFonts w:ascii="Arial" w:hAnsi="Arial" w:cs="Arial"/>
                <w:b w:val="0"/>
                <w:bCs w:val="0"/>
              </w:rPr>
            </w:pPr>
            <w:r w:rsidRPr="00DE1341">
              <w:rPr>
                <w:rFonts w:ascii="Arial" w:hAnsi="Arial" w:cs="Arial"/>
                <w:b w:val="0"/>
              </w:rPr>
              <w:t>Ordered Probit</w:t>
            </w:r>
          </w:p>
        </w:tc>
        <w:tc>
          <w:tcPr>
            <w:tcW w:w="0" w:type="auto"/>
            <w:hideMark/>
          </w:tcPr>
          <w:p w14:paraId="4DD4D83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-495.876</w:t>
            </w:r>
          </w:p>
        </w:tc>
        <w:tc>
          <w:tcPr>
            <w:tcW w:w="0" w:type="auto"/>
            <w:hideMark/>
          </w:tcPr>
          <w:p w14:paraId="7976772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1007.751</w:t>
            </w:r>
          </w:p>
        </w:tc>
        <w:tc>
          <w:tcPr>
            <w:tcW w:w="0" w:type="auto"/>
            <w:hideMark/>
          </w:tcPr>
          <w:p w14:paraId="50C5616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1044.091</w:t>
            </w:r>
          </w:p>
        </w:tc>
      </w:tr>
      <w:tr w:rsidR="00DE1341" w:rsidRPr="00665787" w14:paraId="65C06DAF"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3D478324" w14:textId="77777777" w:rsidR="00DE1341" w:rsidRPr="00DE1341" w:rsidRDefault="00DE1341" w:rsidP="00B82B32">
            <w:pPr>
              <w:rPr>
                <w:rFonts w:ascii="Arial" w:hAnsi="Arial" w:cs="Arial"/>
                <w:b w:val="0"/>
              </w:rPr>
            </w:pPr>
            <w:r w:rsidRPr="00DE1341">
              <w:rPr>
                <w:rFonts w:ascii="Arial" w:hAnsi="Arial" w:cs="Arial"/>
                <w:b w:val="0"/>
              </w:rPr>
              <w:t>Ordered Logit</w:t>
            </w:r>
          </w:p>
        </w:tc>
        <w:tc>
          <w:tcPr>
            <w:tcW w:w="0" w:type="auto"/>
            <w:hideMark/>
          </w:tcPr>
          <w:p w14:paraId="7B7EC2E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-496.356</w:t>
            </w:r>
          </w:p>
        </w:tc>
        <w:tc>
          <w:tcPr>
            <w:tcW w:w="0" w:type="auto"/>
            <w:hideMark/>
          </w:tcPr>
          <w:p w14:paraId="49074AE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1008.713</w:t>
            </w:r>
          </w:p>
        </w:tc>
        <w:tc>
          <w:tcPr>
            <w:tcW w:w="0" w:type="auto"/>
            <w:hideMark/>
          </w:tcPr>
          <w:p w14:paraId="37D0F12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1045.052</w:t>
            </w:r>
          </w:p>
        </w:tc>
      </w:tr>
      <w:tr w:rsidR="00DE1341" w:rsidRPr="00665787" w14:paraId="44D49492" w14:textId="77777777" w:rsidTr="00DE1341">
        <w:tc>
          <w:tcPr>
            <w:cnfStyle w:val="001000000000" w:firstRow="0" w:lastRow="0" w:firstColumn="1" w:lastColumn="0" w:oddVBand="0" w:evenVBand="0" w:oddHBand="0" w:evenHBand="0" w:firstRowFirstColumn="0" w:firstRowLastColumn="0" w:lastRowFirstColumn="0" w:lastRowLastColumn="0"/>
            <w:tcW w:w="0" w:type="auto"/>
            <w:hideMark/>
          </w:tcPr>
          <w:p w14:paraId="223CD0D5" w14:textId="77777777" w:rsidR="00DE1341" w:rsidRPr="00DE1341" w:rsidRDefault="00DE1341" w:rsidP="00B82B32">
            <w:pPr>
              <w:rPr>
                <w:rFonts w:ascii="Arial" w:hAnsi="Arial" w:cs="Arial"/>
                <w:b w:val="0"/>
              </w:rPr>
            </w:pPr>
            <w:r w:rsidRPr="00DE1341">
              <w:rPr>
                <w:rFonts w:ascii="Arial" w:hAnsi="Arial" w:cs="Arial"/>
                <w:b w:val="0"/>
              </w:rPr>
              <w:t>Generalized Ordered Logit</w:t>
            </w:r>
          </w:p>
        </w:tc>
        <w:tc>
          <w:tcPr>
            <w:tcW w:w="0" w:type="auto"/>
            <w:hideMark/>
          </w:tcPr>
          <w:p w14:paraId="12243155"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bCs/>
              </w:rPr>
              <w:t>-494.042</w:t>
            </w:r>
          </w:p>
        </w:tc>
        <w:tc>
          <w:tcPr>
            <w:tcW w:w="0" w:type="auto"/>
            <w:hideMark/>
          </w:tcPr>
          <w:p w14:paraId="118534F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1016.083</w:t>
            </w:r>
          </w:p>
        </w:tc>
        <w:tc>
          <w:tcPr>
            <w:tcW w:w="0" w:type="auto"/>
            <w:hideMark/>
          </w:tcPr>
          <w:p w14:paraId="3E4DAC3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1079.678</w:t>
            </w:r>
          </w:p>
        </w:tc>
      </w:tr>
    </w:tbl>
    <w:p w14:paraId="2A546FAB" w14:textId="265F6B4B" w:rsidR="00DE1341" w:rsidRDefault="00DE1341" w:rsidP="00DE1341">
      <w:pPr>
        <w:rPr>
          <w:rFonts w:ascii="Arial" w:hAnsi="Arial" w:cs="Arial"/>
        </w:rPr>
      </w:pPr>
      <w:r w:rsidRPr="00665787">
        <w:rPr>
          <w:rFonts w:ascii="Arial" w:hAnsi="Arial" w:cs="Arial"/>
        </w:rPr>
        <w:t>Source: Authors’ computation using World Bank Enterprise Survey (Ghana, 2023).</w:t>
      </w:r>
    </w:p>
    <w:p w14:paraId="35A3E347" w14:textId="77777777" w:rsidR="00CB283E" w:rsidRPr="00665787" w:rsidRDefault="00CB283E" w:rsidP="00DE1341">
      <w:pPr>
        <w:rPr>
          <w:rFonts w:ascii="Arial" w:hAnsi="Arial" w:cs="Arial"/>
        </w:rPr>
      </w:pPr>
    </w:p>
    <w:p w14:paraId="044CC9AB" w14:textId="6C67A988" w:rsidR="00DE1341" w:rsidRPr="00CB283E" w:rsidRDefault="00DE1341" w:rsidP="00CB283E">
      <w:pPr>
        <w:jc w:val="both"/>
        <w:rPr>
          <w:rFonts w:ascii="Arial" w:hAnsi="Arial" w:cs="Arial"/>
        </w:rPr>
      </w:pPr>
      <w:r w:rsidRPr="00665787">
        <w:rPr>
          <w:rFonts w:ascii="Arial" w:hAnsi="Arial" w:cs="Arial"/>
        </w:rPr>
        <w:t xml:space="preserve">Table 4 presents the model comparison results based on log-likelihood, Akaike Information Criterion (AIC), and Bayesian Information Criterion (BIC) for the ordered probit, ordered logit, and generalized ordered logit models.  The loglikelihood outcomes shows generalized ordered logistic model performs best, with </w:t>
      </w:r>
      <w:proofErr w:type="gramStart"/>
      <w:r w:rsidRPr="00665787">
        <w:rPr>
          <w:rFonts w:ascii="Arial" w:hAnsi="Arial" w:cs="Arial"/>
        </w:rPr>
        <w:t>the  highest</w:t>
      </w:r>
      <w:proofErr w:type="gramEnd"/>
      <w:r w:rsidRPr="00665787">
        <w:rPr>
          <w:rFonts w:ascii="Arial" w:hAnsi="Arial" w:cs="Arial"/>
        </w:rPr>
        <w:t xml:space="preserve">  value of -494.042, while ordered logit records the lowest (-496.356). The outcome shows for better fit model for the data in terms of pure likelihood maximization is the generalized ordered logistic model as it reflects the flexibility of the model in relaxing the proportional odd assumption to allow the coefficients to vary across the thresholds of innovation. In terms of model criteria that penalized model complexity, the ordered probit performs best with lowest Akaike Information Criterion (AIC) of 1007.751 and Bayesian Information Criterion (BIC) of 1044.091. This shows the most efficient between goodness of fit and parsimony. The ordered logistic produced very similar (consistent with standard econometrics that proved that both are similar; e.g. Wooldridge, 2010). The outcome however is weak with AI of 1008.713 and BIC of 1045.052 indicating no meaningful improvement over the probit specification. The general ordered logit model performs worst under both criteria with relatively higher AIC of 1016.083 and BIC of 1079.678, showing parameter complexity increased under this model and hence not sufficiently compensated by its marginal improvement in likelihood. Overall, in relative terms, the gains in flexibility from the generalized ordered logit model do not outweigh the penalty for increased complexity.  This makes the ordered probit model to provide the best balance between fit and parsimony based on information criteria in the study, hence it was selected as the `model the pre</w:t>
      </w:r>
      <w:r w:rsidR="00CB283E">
        <w:rPr>
          <w:rFonts w:ascii="Arial" w:hAnsi="Arial" w:cs="Arial"/>
        </w:rPr>
        <w:t xml:space="preserve">ferred baseline specification. Notwithstanding the above model fit statistics, </w:t>
      </w:r>
      <w:r w:rsidR="00CB283E">
        <w:t>the ordered probit model is chosen as the baseline specification primarily because it assumes normally distributed error terms in the latent variable framework, which is theoretically suitable for modeling unobserved firm innovation propensity and is widely regarded as the standard approach in firm-level innovation studies using categorical outcomes (Wooldridge, 2010; Aghion et al., 2024).</w:t>
      </w:r>
      <w:r w:rsidRPr="00665787">
        <w:rPr>
          <w:rFonts w:ascii="Arial" w:hAnsi="Arial" w:cs="Arial"/>
        </w:rPr>
        <w:t xml:space="preserve">This is also consistent with standard practice in the innovation and firm-level econometric </w:t>
      </w:r>
      <w:r w:rsidRPr="00665787">
        <w:rPr>
          <w:rFonts w:ascii="Arial" w:hAnsi="Arial" w:cs="Arial"/>
        </w:rPr>
        <w:lastRenderedPageBreak/>
        <w:t>literature where it is adopted as the baseline specification due to its assumptions of normally distributed latent errors (Wooldridge, 2010).  Alternative specifications (ordered logit and generalized logit models) were estimated for robustness.</w:t>
      </w:r>
    </w:p>
    <w:p w14:paraId="10E150BC" w14:textId="77777777" w:rsidR="00DE1341" w:rsidRPr="00665787" w:rsidRDefault="00DE1341" w:rsidP="00DE1341">
      <w:pPr>
        <w:jc w:val="both"/>
        <w:rPr>
          <w:rFonts w:ascii="Arial" w:hAnsi="Arial" w:cs="Arial"/>
        </w:rPr>
      </w:pPr>
    </w:p>
    <w:p w14:paraId="2EE2E4D6" w14:textId="77777777" w:rsidR="00DE1341" w:rsidRPr="00665787" w:rsidRDefault="00DE1341" w:rsidP="00DE1341">
      <w:pPr>
        <w:rPr>
          <w:rFonts w:ascii="Arial" w:hAnsi="Arial" w:cs="Arial"/>
        </w:rPr>
      </w:pPr>
      <w:r w:rsidRPr="00665787">
        <w:rPr>
          <w:rStyle w:val="Strong"/>
          <w:rFonts w:ascii="Arial" w:hAnsi="Arial" w:cs="Arial"/>
          <w:b w:val="0"/>
          <w:bCs w:val="0"/>
        </w:rPr>
        <w:t>Table 5: Determinants of Firm Innovation (Ordered Response Models)</w:t>
      </w:r>
    </w:p>
    <w:tbl>
      <w:tblPr>
        <w:tblStyle w:val="PlainTable2"/>
        <w:tblW w:w="0" w:type="auto"/>
        <w:tblLook w:val="06E0" w:firstRow="1" w:lastRow="1" w:firstColumn="1" w:lastColumn="0" w:noHBand="1" w:noVBand="1"/>
      </w:tblPr>
      <w:tblGrid>
        <w:gridCol w:w="2263"/>
        <w:gridCol w:w="1588"/>
        <w:gridCol w:w="1439"/>
        <w:gridCol w:w="2418"/>
        <w:gridCol w:w="2929"/>
      </w:tblGrid>
      <w:tr w:rsidR="00DE1341" w:rsidRPr="00665787" w14:paraId="0D97D227" w14:textId="77777777" w:rsidTr="00DE1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171A37B" w14:textId="77777777" w:rsidR="00DE1341" w:rsidRPr="00665787" w:rsidRDefault="00DE1341" w:rsidP="00B82B32">
            <w:pPr>
              <w:rPr>
                <w:rFonts w:ascii="Arial" w:hAnsi="Arial" w:cs="Arial"/>
                <w:b w:val="0"/>
                <w:lang w:val="en-GB"/>
              </w:rPr>
            </w:pPr>
          </w:p>
          <w:p w14:paraId="0F99994D" w14:textId="77777777" w:rsidR="00DE1341" w:rsidRPr="00665787" w:rsidRDefault="00DE1341" w:rsidP="00B82B32">
            <w:pPr>
              <w:rPr>
                <w:rFonts w:ascii="Arial" w:hAnsi="Arial" w:cs="Arial"/>
                <w:b w:val="0"/>
              </w:rPr>
            </w:pPr>
            <w:r w:rsidRPr="00665787">
              <w:rPr>
                <w:rFonts w:ascii="Arial" w:hAnsi="Arial" w:cs="Arial"/>
                <w:b w:val="0"/>
              </w:rPr>
              <w:t>Variables</w:t>
            </w:r>
          </w:p>
        </w:tc>
        <w:tc>
          <w:tcPr>
            <w:tcW w:w="1588" w:type="dxa"/>
            <w:hideMark/>
          </w:tcPr>
          <w:p w14:paraId="129ADCDE"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14:paraId="5A17E579" w14:textId="77777777"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Ordered Probit</w:t>
            </w:r>
          </w:p>
        </w:tc>
        <w:tc>
          <w:tcPr>
            <w:tcW w:w="0" w:type="auto"/>
            <w:hideMark/>
          </w:tcPr>
          <w:p w14:paraId="7E391A99" w14:textId="77777777" w:rsidR="00D1268C" w:rsidRDefault="00D1268C"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p w14:paraId="61CB2EF8" w14:textId="64B7E781" w:rsidR="00DE1341" w:rsidRPr="00665787" w:rsidRDefault="00DE1341" w:rsidP="00B82B32">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Ordered Logit</w:t>
            </w:r>
          </w:p>
        </w:tc>
        <w:tc>
          <w:tcPr>
            <w:tcW w:w="0" w:type="auto"/>
            <w:hideMark/>
          </w:tcPr>
          <w:p w14:paraId="4AD5BC08" w14:textId="77777777" w:rsidR="00DE1341" w:rsidRPr="00665787" w:rsidRDefault="00DE1341" w:rsidP="007B22A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b w:val="0"/>
              </w:rPr>
              <w:t>Gologit</w:t>
            </w:r>
            <w:proofErr w:type="spellEnd"/>
            <w:r w:rsidRPr="00665787">
              <w:rPr>
                <w:rFonts w:ascii="Arial" w:hAnsi="Arial" w:cs="Arial"/>
                <w:b w:val="0"/>
              </w:rPr>
              <w:t xml:space="preserve"> 1</w:t>
            </w:r>
          </w:p>
          <w:p w14:paraId="049B53E1" w14:textId="77777777" w:rsidR="00DE1341" w:rsidRPr="00665787" w:rsidRDefault="00DE1341" w:rsidP="007B22A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(Low vs High Innovation)</w:t>
            </w:r>
          </w:p>
        </w:tc>
        <w:tc>
          <w:tcPr>
            <w:tcW w:w="0" w:type="auto"/>
            <w:hideMark/>
          </w:tcPr>
          <w:p w14:paraId="55ED9177" w14:textId="77777777" w:rsidR="00DE1341" w:rsidRPr="00665787" w:rsidRDefault="00DE1341" w:rsidP="007B22A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sidRPr="00665787">
              <w:rPr>
                <w:rFonts w:ascii="Arial" w:hAnsi="Arial" w:cs="Arial"/>
                <w:b w:val="0"/>
              </w:rPr>
              <w:t>Gologit</w:t>
            </w:r>
            <w:proofErr w:type="spellEnd"/>
            <w:r w:rsidRPr="00665787">
              <w:rPr>
                <w:rFonts w:ascii="Arial" w:hAnsi="Arial" w:cs="Arial"/>
                <w:b w:val="0"/>
              </w:rPr>
              <w:t xml:space="preserve"> 2</w:t>
            </w:r>
          </w:p>
          <w:p w14:paraId="15F25AF3" w14:textId="77777777" w:rsidR="00DE1341" w:rsidRPr="00665787" w:rsidRDefault="00DE1341" w:rsidP="007B22A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65787">
              <w:rPr>
                <w:rFonts w:ascii="Arial" w:hAnsi="Arial" w:cs="Arial"/>
                <w:b w:val="0"/>
              </w:rPr>
              <w:t>(High vs Very High Innovation)</w:t>
            </w:r>
          </w:p>
        </w:tc>
      </w:tr>
      <w:tr w:rsidR="00DE1341" w:rsidRPr="00665787" w14:paraId="3684FE56"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1465ECA6" w14:textId="77777777" w:rsidR="00DE1341" w:rsidRPr="00DE1341" w:rsidRDefault="00DE1341" w:rsidP="00B82B32">
            <w:pPr>
              <w:rPr>
                <w:rFonts w:ascii="Arial" w:hAnsi="Arial" w:cs="Arial"/>
                <w:b w:val="0"/>
              </w:rPr>
            </w:pPr>
            <w:r w:rsidRPr="00DE1341">
              <w:rPr>
                <w:rFonts w:ascii="Arial" w:hAnsi="Arial" w:cs="Arial"/>
                <w:b w:val="0"/>
              </w:rPr>
              <w:t>Market Competition</w:t>
            </w:r>
          </w:p>
        </w:tc>
        <w:tc>
          <w:tcPr>
            <w:tcW w:w="1588" w:type="dxa"/>
            <w:hideMark/>
          </w:tcPr>
          <w:p w14:paraId="253464E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0.185*** (0.049)</w:t>
            </w:r>
          </w:p>
        </w:tc>
        <w:tc>
          <w:tcPr>
            <w:tcW w:w="0" w:type="auto"/>
            <w:hideMark/>
          </w:tcPr>
          <w:p w14:paraId="4AD6396B"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0.320*** </w:t>
            </w:r>
          </w:p>
          <w:p w14:paraId="661018DB" w14:textId="61A9D17B"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(0.087)</w:t>
            </w:r>
          </w:p>
        </w:tc>
        <w:tc>
          <w:tcPr>
            <w:tcW w:w="0" w:type="auto"/>
            <w:hideMark/>
          </w:tcPr>
          <w:p w14:paraId="12967E1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0.322*** </w:t>
            </w:r>
          </w:p>
          <w:p w14:paraId="326F63B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(0.090)</w:t>
            </w:r>
          </w:p>
        </w:tc>
        <w:tc>
          <w:tcPr>
            <w:tcW w:w="0" w:type="auto"/>
            <w:hideMark/>
          </w:tcPr>
          <w:p w14:paraId="7650270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0.275** </w:t>
            </w:r>
          </w:p>
          <w:p w14:paraId="7BF664C6"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(0.124)</w:t>
            </w:r>
          </w:p>
        </w:tc>
      </w:tr>
      <w:tr w:rsidR="00DE1341" w:rsidRPr="00665787" w14:paraId="1BFE6B67"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271DED34" w14:textId="77777777" w:rsidR="00DE1341" w:rsidRPr="00DE1341" w:rsidRDefault="00DE1341" w:rsidP="00B82B32">
            <w:pPr>
              <w:rPr>
                <w:rFonts w:ascii="Arial" w:hAnsi="Arial" w:cs="Arial"/>
                <w:b w:val="0"/>
              </w:rPr>
            </w:pPr>
            <w:r w:rsidRPr="00DE1341">
              <w:rPr>
                <w:rFonts w:ascii="Arial" w:hAnsi="Arial" w:cs="Arial"/>
                <w:b w:val="0"/>
              </w:rPr>
              <w:t>Organizational Capability</w:t>
            </w:r>
          </w:p>
        </w:tc>
        <w:tc>
          <w:tcPr>
            <w:tcW w:w="1588" w:type="dxa"/>
            <w:hideMark/>
          </w:tcPr>
          <w:p w14:paraId="4221B410"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0.216*** (0.059)</w:t>
            </w:r>
          </w:p>
        </w:tc>
        <w:tc>
          <w:tcPr>
            <w:tcW w:w="0" w:type="auto"/>
            <w:hideMark/>
          </w:tcPr>
          <w:p w14:paraId="30D00367"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0.379*** </w:t>
            </w:r>
          </w:p>
          <w:p w14:paraId="2205B14A" w14:textId="1765A0A1"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(0.108)</w:t>
            </w:r>
          </w:p>
        </w:tc>
        <w:tc>
          <w:tcPr>
            <w:tcW w:w="0" w:type="auto"/>
            <w:hideMark/>
          </w:tcPr>
          <w:p w14:paraId="4F6F37C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0.333*** </w:t>
            </w:r>
          </w:p>
          <w:p w14:paraId="78BC9E1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(0.105)</w:t>
            </w:r>
          </w:p>
        </w:tc>
        <w:tc>
          <w:tcPr>
            <w:tcW w:w="0" w:type="auto"/>
            <w:hideMark/>
          </w:tcPr>
          <w:p w14:paraId="7709EAC3"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0.540*** </w:t>
            </w:r>
          </w:p>
          <w:p w14:paraId="5280385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(0.155)</w:t>
            </w:r>
          </w:p>
        </w:tc>
      </w:tr>
      <w:tr w:rsidR="00DE1341" w:rsidRPr="00665787" w14:paraId="746566AC"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0A6B0352" w14:textId="77777777" w:rsidR="00DE1341" w:rsidRPr="00DE1341" w:rsidRDefault="00DE1341" w:rsidP="00B82B32">
            <w:pPr>
              <w:rPr>
                <w:rFonts w:ascii="Arial" w:hAnsi="Arial" w:cs="Arial"/>
                <w:b w:val="0"/>
              </w:rPr>
            </w:pPr>
            <w:r w:rsidRPr="00DE1341">
              <w:rPr>
                <w:rFonts w:ascii="Arial" w:hAnsi="Arial" w:cs="Arial"/>
                <w:b w:val="0"/>
              </w:rPr>
              <w:t>Digital admin. adoption Index</w:t>
            </w:r>
          </w:p>
        </w:tc>
        <w:tc>
          <w:tcPr>
            <w:tcW w:w="1588" w:type="dxa"/>
            <w:hideMark/>
          </w:tcPr>
          <w:p w14:paraId="466B1D6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0.061 </w:t>
            </w:r>
          </w:p>
          <w:p w14:paraId="1653F69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(0.078)</w:t>
            </w:r>
          </w:p>
        </w:tc>
        <w:tc>
          <w:tcPr>
            <w:tcW w:w="0" w:type="auto"/>
            <w:hideMark/>
          </w:tcPr>
          <w:p w14:paraId="2E2820E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0.103 </w:t>
            </w:r>
          </w:p>
          <w:p w14:paraId="5483F9A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(0.135)</w:t>
            </w:r>
          </w:p>
        </w:tc>
        <w:tc>
          <w:tcPr>
            <w:tcW w:w="0" w:type="auto"/>
            <w:hideMark/>
          </w:tcPr>
          <w:p w14:paraId="660DD93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0.104 </w:t>
            </w:r>
          </w:p>
          <w:p w14:paraId="3C538A8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(0.134)</w:t>
            </w:r>
          </w:p>
        </w:tc>
        <w:tc>
          <w:tcPr>
            <w:tcW w:w="0" w:type="auto"/>
            <w:hideMark/>
          </w:tcPr>
          <w:p w14:paraId="6BF6D5B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0.087 </w:t>
            </w:r>
          </w:p>
          <w:p w14:paraId="77723B9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(0.243)</w:t>
            </w:r>
          </w:p>
        </w:tc>
      </w:tr>
      <w:tr w:rsidR="00DE1341" w:rsidRPr="00665787" w14:paraId="5F65E421"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7120CBB1" w14:textId="77777777" w:rsidR="00DE1341" w:rsidRPr="00DE1341" w:rsidRDefault="00DE1341" w:rsidP="00B82B32">
            <w:pPr>
              <w:rPr>
                <w:rFonts w:ascii="Arial" w:hAnsi="Arial" w:cs="Arial"/>
                <w:b w:val="0"/>
              </w:rPr>
            </w:pPr>
            <w:r w:rsidRPr="00DE1341">
              <w:rPr>
                <w:rFonts w:ascii="Arial" w:hAnsi="Arial" w:cs="Arial"/>
                <w:b w:val="0"/>
              </w:rPr>
              <w:t>Log Firm size (Number of Employees)</w:t>
            </w:r>
          </w:p>
        </w:tc>
        <w:tc>
          <w:tcPr>
            <w:tcW w:w="1588" w:type="dxa"/>
            <w:hideMark/>
          </w:tcPr>
          <w:p w14:paraId="04602B30"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0.096* </w:t>
            </w:r>
          </w:p>
          <w:p w14:paraId="12334535" w14:textId="10360B6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(0.051)</w:t>
            </w:r>
          </w:p>
        </w:tc>
        <w:tc>
          <w:tcPr>
            <w:tcW w:w="0" w:type="auto"/>
            <w:hideMark/>
          </w:tcPr>
          <w:p w14:paraId="452AAA49"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0.170* </w:t>
            </w:r>
          </w:p>
          <w:p w14:paraId="53F2B820" w14:textId="371F41C3"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(0.087)</w:t>
            </w:r>
          </w:p>
        </w:tc>
        <w:tc>
          <w:tcPr>
            <w:tcW w:w="0" w:type="auto"/>
            <w:hideMark/>
          </w:tcPr>
          <w:p w14:paraId="218E9478"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0.159* </w:t>
            </w:r>
          </w:p>
          <w:p w14:paraId="75E2883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(0.088)</w:t>
            </w:r>
          </w:p>
        </w:tc>
        <w:tc>
          <w:tcPr>
            <w:tcW w:w="0" w:type="auto"/>
            <w:hideMark/>
          </w:tcPr>
          <w:p w14:paraId="0E8FE6BF"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0.193 </w:t>
            </w:r>
          </w:p>
          <w:p w14:paraId="4193D52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(0.125)</w:t>
            </w:r>
          </w:p>
        </w:tc>
      </w:tr>
      <w:tr w:rsidR="00DE1341" w:rsidRPr="00665787" w14:paraId="2CDDFAAF"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62EDBC73" w14:textId="77777777" w:rsidR="00DE1341" w:rsidRPr="00DE1341" w:rsidRDefault="00DE1341" w:rsidP="00B82B32">
            <w:pPr>
              <w:rPr>
                <w:rFonts w:ascii="Arial" w:hAnsi="Arial" w:cs="Arial"/>
                <w:b w:val="0"/>
              </w:rPr>
            </w:pPr>
            <w:r w:rsidRPr="00DE1341">
              <w:rPr>
                <w:rFonts w:ascii="Arial" w:hAnsi="Arial" w:cs="Arial"/>
                <w:b w:val="0"/>
              </w:rPr>
              <w:t>Log Firm Age</w:t>
            </w:r>
          </w:p>
        </w:tc>
        <w:tc>
          <w:tcPr>
            <w:tcW w:w="1588" w:type="dxa"/>
            <w:hideMark/>
          </w:tcPr>
          <w:p w14:paraId="6B4B851D"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0.154**</w:t>
            </w:r>
          </w:p>
          <w:p w14:paraId="55636849" w14:textId="78658FD3"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(0.071)</w:t>
            </w:r>
          </w:p>
        </w:tc>
        <w:tc>
          <w:tcPr>
            <w:tcW w:w="0" w:type="auto"/>
            <w:hideMark/>
          </w:tcPr>
          <w:p w14:paraId="1D102A5E"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0.252** </w:t>
            </w:r>
          </w:p>
          <w:p w14:paraId="61A4908F" w14:textId="10D38133"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(0.123)</w:t>
            </w:r>
          </w:p>
        </w:tc>
        <w:tc>
          <w:tcPr>
            <w:tcW w:w="0" w:type="auto"/>
            <w:hideMark/>
          </w:tcPr>
          <w:p w14:paraId="014AA83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0.225* </w:t>
            </w:r>
          </w:p>
          <w:p w14:paraId="282375BC"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(0.120)</w:t>
            </w:r>
          </w:p>
        </w:tc>
        <w:tc>
          <w:tcPr>
            <w:tcW w:w="0" w:type="auto"/>
            <w:hideMark/>
          </w:tcPr>
          <w:p w14:paraId="73687287"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0.392* </w:t>
            </w:r>
          </w:p>
          <w:p w14:paraId="08FEAA75"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(0.224)</w:t>
            </w:r>
          </w:p>
        </w:tc>
      </w:tr>
      <w:tr w:rsidR="00DE1341" w:rsidRPr="00665787" w14:paraId="753EC82C" w14:textId="77777777" w:rsidTr="00DE1341">
        <w:tc>
          <w:tcPr>
            <w:cnfStyle w:val="001000000000" w:firstRow="0" w:lastRow="0" w:firstColumn="1" w:lastColumn="0" w:oddVBand="0" w:evenVBand="0" w:oddHBand="0" w:evenHBand="0" w:firstRowFirstColumn="0" w:firstRowLastColumn="0" w:lastRowFirstColumn="0" w:lastRowLastColumn="0"/>
            <w:tcW w:w="2263" w:type="dxa"/>
            <w:hideMark/>
          </w:tcPr>
          <w:p w14:paraId="5AE6DD8B" w14:textId="77777777" w:rsidR="00DE1341" w:rsidRPr="00DE1341" w:rsidRDefault="00DE1341" w:rsidP="00B82B32">
            <w:pPr>
              <w:rPr>
                <w:rFonts w:ascii="Arial" w:hAnsi="Arial" w:cs="Arial"/>
                <w:b w:val="0"/>
              </w:rPr>
            </w:pPr>
            <w:r w:rsidRPr="00DE1341">
              <w:rPr>
                <w:rFonts w:ascii="Arial" w:hAnsi="Arial" w:cs="Arial"/>
                <w:b w:val="0"/>
              </w:rPr>
              <w:t>Exporter = Yes</w:t>
            </w:r>
          </w:p>
        </w:tc>
        <w:tc>
          <w:tcPr>
            <w:tcW w:w="1588" w:type="dxa"/>
            <w:hideMark/>
          </w:tcPr>
          <w:p w14:paraId="65CE12C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0.362*** (0.119)</w:t>
            </w:r>
          </w:p>
        </w:tc>
        <w:tc>
          <w:tcPr>
            <w:tcW w:w="0" w:type="auto"/>
            <w:hideMark/>
          </w:tcPr>
          <w:p w14:paraId="3D7E4F5B"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0.626***</w:t>
            </w:r>
          </w:p>
          <w:p w14:paraId="2DB28095" w14:textId="4B3EA64A"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(0.208)</w:t>
            </w:r>
          </w:p>
        </w:tc>
        <w:tc>
          <w:tcPr>
            <w:tcW w:w="0" w:type="auto"/>
            <w:hideMark/>
          </w:tcPr>
          <w:p w14:paraId="33FBA162"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0.605*** </w:t>
            </w:r>
          </w:p>
          <w:p w14:paraId="576AEA7E"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(0.213)</w:t>
            </w:r>
          </w:p>
        </w:tc>
        <w:tc>
          <w:tcPr>
            <w:tcW w:w="0" w:type="auto"/>
            <w:hideMark/>
          </w:tcPr>
          <w:p w14:paraId="3BB2BEF6"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0.706*** </w:t>
            </w:r>
          </w:p>
          <w:p w14:paraId="5354BF61"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(0.278)</w:t>
            </w:r>
          </w:p>
        </w:tc>
      </w:tr>
      <w:tr w:rsidR="00DE1341" w:rsidRPr="00665787" w14:paraId="0B9D4247" w14:textId="77777777" w:rsidTr="00DE1341">
        <w:tc>
          <w:tcPr>
            <w:cnfStyle w:val="001000000000" w:firstRow="0" w:lastRow="0" w:firstColumn="1" w:lastColumn="0" w:oddVBand="0" w:evenVBand="0" w:oddHBand="0" w:evenHBand="0" w:firstRowFirstColumn="0" w:firstRowLastColumn="0" w:lastRowFirstColumn="0" w:lastRowLastColumn="0"/>
            <w:tcW w:w="2263" w:type="dxa"/>
          </w:tcPr>
          <w:p w14:paraId="04923B52" w14:textId="77777777" w:rsidR="00DE1341" w:rsidRPr="00DE1341" w:rsidRDefault="00DE1341" w:rsidP="00B82B32">
            <w:pPr>
              <w:rPr>
                <w:rFonts w:ascii="Arial" w:hAnsi="Arial" w:cs="Arial"/>
                <w:b w:val="0"/>
              </w:rPr>
            </w:pPr>
            <w:r w:rsidRPr="00DE1341">
              <w:rPr>
                <w:rFonts w:ascii="Arial" w:hAnsi="Arial" w:cs="Arial"/>
                <w:b w:val="0"/>
              </w:rPr>
              <w:t>Cut 1(/cut1)</w:t>
            </w:r>
          </w:p>
          <w:p w14:paraId="78FA6BAA" w14:textId="77777777" w:rsidR="00DE1341" w:rsidRPr="00DE1341" w:rsidRDefault="00DE1341" w:rsidP="00B82B32">
            <w:pPr>
              <w:rPr>
                <w:rFonts w:ascii="Arial" w:hAnsi="Arial" w:cs="Arial"/>
                <w:b w:val="0"/>
              </w:rPr>
            </w:pPr>
          </w:p>
          <w:p w14:paraId="3A013F69" w14:textId="77777777" w:rsidR="00DE1341" w:rsidRPr="00DE1341" w:rsidRDefault="00DE1341" w:rsidP="00B82B32">
            <w:pPr>
              <w:rPr>
                <w:rFonts w:ascii="Arial" w:hAnsi="Arial" w:cs="Arial"/>
                <w:b w:val="0"/>
              </w:rPr>
            </w:pPr>
            <w:r w:rsidRPr="00DE1341">
              <w:rPr>
                <w:rFonts w:ascii="Arial" w:hAnsi="Arial" w:cs="Arial"/>
                <w:b w:val="0"/>
              </w:rPr>
              <w:t>Cut 2 (/cut2)</w:t>
            </w:r>
          </w:p>
        </w:tc>
        <w:tc>
          <w:tcPr>
            <w:tcW w:w="1588" w:type="dxa"/>
            <w:hideMark/>
          </w:tcPr>
          <w:p w14:paraId="5CEA734A"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1.353 (</w:t>
            </w:r>
            <w:proofErr w:type="gramStart"/>
            <w:r w:rsidRPr="00665787">
              <w:rPr>
                <w:rFonts w:ascii="Arial" w:hAnsi="Arial" w:cs="Arial"/>
              </w:rPr>
              <w:t>0.215)*</w:t>
            </w:r>
            <w:proofErr w:type="gramEnd"/>
            <w:r w:rsidRPr="00665787">
              <w:rPr>
                <w:rFonts w:ascii="Arial" w:hAnsi="Arial" w:cs="Arial"/>
              </w:rPr>
              <w:t xml:space="preserve">**  </w:t>
            </w:r>
          </w:p>
          <w:p w14:paraId="2955B70D"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2.133</w:t>
            </w:r>
          </w:p>
          <w:p w14:paraId="585C270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(0.224)*** </w:t>
            </w:r>
          </w:p>
        </w:tc>
        <w:tc>
          <w:tcPr>
            <w:tcW w:w="0" w:type="auto"/>
            <w:hideMark/>
          </w:tcPr>
          <w:p w14:paraId="5C5934DB"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2.266 </w:t>
            </w:r>
          </w:p>
          <w:p w14:paraId="6252A91C" w14:textId="31B7342B"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w:t>
            </w:r>
            <w:proofErr w:type="gramStart"/>
            <w:r w:rsidRPr="00665787">
              <w:rPr>
                <w:rFonts w:ascii="Arial" w:hAnsi="Arial" w:cs="Arial"/>
              </w:rPr>
              <w:t>0.375)*</w:t>
            </w:r>
            <w:proofErr w:type="gramEnd"/>
            <w:r w:rsidRPr="00665787">
              <w:rPr>
                <w:rFonts w:ascii="Arial" w:hAnsi="Arial" w:cs="Arial"/>
              </w:rPr>
              <w:t>**</w:t>
            </w:r>
          </w:p>
          <w:p w14:paraId="182E8864"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3.661</w:t>
            </w:r>
          </w:p>
          <w:p w14:paraId="4C332969"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(0.394)***</w:t>
            </w:r>
          </w:p>
        </w:tc>
        <w:tc>
          <w:tcPr>
            <w:tcW w:w="0" w:type="auto"/>
            <w:hideMark/>
          </w:tcPr>
          <w:p w14:paraId="6ABCB6A6" w14:textId="77777777" w:rsidR="00D1268C"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 xml:space="preserve"> 3.661 </w:t>
            </w:r>
          </w:p>
          <w:p w14:paraId="61C88D1D" w14:textId="654D8A3A"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5787">
              <w:rPr>
                <w:rFonts w:ascii="Arial" w:hAnsi="Arial" w:cs="Arial"/>
              </w:rPr>
              <w:t>(0.394)***</w:t>
            </w:r>
          </w:p>
        </w:tc>
        <w:tc>
          <w:tcPr>
            <w:tcW w:w="0" w:type="auto"/>
          </w:tcPr>
          <w:p w14:paraId="65DA87EB" w14:textId="77777777" w:rsidR="00DE1341" w:rsidRPr="00665787" w:rsidRDefault="00DE1341" w:rsidP="00B82B3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E1341" w:rsidRPr="00665787" w14:paraId="2F2CF900" w14:textId="77777777" w:rsidTr="00DE13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2B045398" w14:textId="77777777" w:rsidR="00DE1341" w:rsidRPr="00DE1341" w:rsidRDefault="00DE1341" w:rsidP="00B82B32">
            <w:pPr>
              <w:rPr>
                <w:rFonts w:ascii="Arial" w:hAnsi="Arial" w:cs="Arial"/>
                <w:b w:val="0"/>
              </w:rPr>
            </w:pPr>
            <w:r w:rsidRPr="00DE1341">
              <w:rPr>
                <w:rFonts w:ascii="Arial" w:hAnsi="Arial" w:cs="Arial"/>
                <w:b w:val="0"/>
              </w:rPr>
              <w:t>Observations</w:t>
            </w:r>
          </w:p>
          <w:p w14:paraId="6007B1BA" w14:textId="77777777" w:rsidR="00DE1341" w:rsidRPr="00DE1341" w:rsidRDefault="00DE1341" w:rsidP="00B82B32">
            <w:pPr>
              <w:rPr>
                <w:rFonts w:ascii="Arial" w:hAnsi="Arial" w:cs="Arial"/>
                <w:b w:val="0"/>
              </w:rPr>
            </w:pPr>
            <w:r w:rsidRPr="00DE1341">
              <w:rPr>
                <w:rFonts w:ascii="Arial" w:hAnsi="Arial" w:cs="Arial"/>
                <w:b w:val="0"/>
              </w:rPr>
              <w:t>Log Likelihood</w:t>
            </w:r>
          </w:p>
          <w:p w14:paraId="223A1FAA" w14:textId="77777777" w:rsidR="00DE1341" w:rsidRPr="00DE1341" w:rsidRDefault="00DE1341" w:rsidP="00B82B32">
            <w:pPr>
              <w:rPr>
                <w:rFonts w:ascii="Arial" w:hAnsi="Arial" w:cs="Arial"/>
                <w:b w:val="0"/>
              </w:rPr>
            </w:pPr>
            <w:r w:rsidRPr="00DE1341">
              <w:rPr>
                <w:rFonts w:ascii="Arial" w:hAnsi="Arial" w:cs="Arial"/>
                <w:b w:val="0"/>
              </w:rPr>
              <w:t>Wald χ²</w:t>
            </w:r>
          </w:p>
          <w:p w14:paraId="2ADD703C" w14:textId="77777777" w:rsidR="00DE1341" w:rsidRPr="00DE1341" w:rsidRDefault="00DE1341" w:rsidP="00B82B32">
            <w:pPr>
              <w:rPr>
                <w:rFonts w:ascii="Arial" w:hAnsi="Arial" w:cs="Arial"/>
                <w:b w:val="0"/>
              </w:rPr>
            </w:pPr>
            <w:r w:rsidRPr="00DE1341">
              <w:rPr>
                <w:rFonts w:ascii="Arial" w:hAnsi="Arial" w:cs="Arial"/>
                <w:b w:val="0"/>
              </w:rPr>
              <w:t>Pseudo R²</w:t>
            </w:r>
          </w:p>
        </w:tc>
        <w:tc>
          <w:tcPr>
            <w:tcW w:w="1588" w:type="dxa"/>
            <w:hideMark/>
          </w:tcPr>
          <w:p w14:paraId="0C277F79"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251F7FB"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-495.88</w:t>
            </w:r>
          </w:p>
          <w:p w14:paraId="7DA34CC5"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70.29***</w:t>
            </w:r>
          </w:p>
          <w:p w14:paraId="7CC513AE"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0.0705</w:t>
            </w:r>
          </w:p>
        </w:tc>
        <w:tc>
          <w:tcPr>
            <w:tcW w:w="0" w:type="auto"/>
            <w:hideMark/>
          </w:tcPr>
          <w:p w14:paraId="2F90ECA1"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5D29E0C"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-496.36</w:t>
            </w:r>
          </w:p>
          <w:p w14:paraId="5C063016"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66.29***</w:t>
            </w:r>
          </w:p>
          <w:p w14:paraId="746FB440"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0.0696</w:t>
            </w:r>
          </w:p>
        </w:tc>
        <w:tc>
          <w:tcPr>
            <w:tcW w:w="0" w:type="auto"/>
            <w:hideMark/>
          </w:tcPr>
          <w:p w14:paraId="7C62E98B"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79A661B8"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-494.04</w:t>
            </w:r>
          </w:p>
          <w:p w14:paraId="7EFFC328"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73.17***</w:t>
            </w:r>
          </w:p>
          <w:p w14:paraId="34EEC45A"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0.0739</w:t>
            </w:r>
          </w:p>
        </w:tc>
        <w:tc>
          <w:tcPr>
            <w:tcW w:w="0" w:type="auto"/>
            <w:hideMark/>
          </w:tcPr>
          <w:p w14:paraId="46EF7D0C"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694</w:t>
            </w:r>
          </w:p>
          <w:p w14:paraId="6C9D12B8"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-494.04</w:t>
            </w:r>
          </w:p>
          <w:p w14:paraId="60E4031F"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73.17***</w:t>
            </w:r>
          </w:p>
          <w:p w14:paraId="265893DB" w14:textId="77777777" w:rsidR="00DE1341" w:rsidRPr="00DE1341" w:rsidRDefault="00DE1341" w:rsidP="00B82B32">
            <w:pPr>
              <w:cnfStyle w:val="010000000000" w:firstRow="0" w:lastRow="1" w:firstColumn="0" w:lastColumn="0" w:oddVBand="0" w:evenVBand="0" w:oddHBand="0" w:evenHBand="0" w:firstRowFirstColumn="0" w:firstRowLastColumn="0" w:lastRowFirstColumn="0" w:lastRowLastColumn="0"/>
              <w:rPr>
                <w:rFonts w:ascii="Arial" w:hAnsi="Arial" w:cs="Arial"/>
                <w:b w:val="0"/>
              </w:rPr>
            </w:pPr>
            <w:r w:rsidRPr="00DE1341">
              <w:rPr>
                <w:rFonts w:ascii="Arial" w:hAnsi="Arial" w:cs="Arial"/>
                <w:b w:val="0"/>
              </w:rPr>
              <w:t>0.0739</w:t>
            </w:r>
          </w:p>
        </w:tc>
      </w:tr>
    </w:tbl>
    <w:p w14:paraId="6B593091" w14:textId="77777777" w:rsidR="00DE1341" w:rsidRPr="00665787" w:rsidRDefault="00DE1341" w:rsidP="00DE1341">
      <w:pPr>
        <w:rPr>
          <w:rFonts w:ascii="Arial" w:hAnsi="Arial" w:cs="Arial"/>
        </w:rPr>
      </w:pPr>
      <w:r w:rsidRPr="00665787">
        <w:rPr>
          <w:rFonts w:ascii="Arial" w:hAnsi="Arial" w:cs="Arial"/>
        </w:rPr>
        <w:t>*, **, and *** denote statistical significance at the 10%, 5%, and 1% levels, respectively.</w:t>
      </w:r>
    </w:p>
    <w:p w14:paraId="57A91406" w14:textId="77777777" w:rsidR="00DE1341" w:rsidRPr="00665787" w:rsidRDefault="00DE1341" w:rsidP="00DE1341">
      <w:pPr>
        <w:rPr>
          <w:rFonts w:ascii="Arial" w:hAnsi="Arial" w:cs="Arial"/>
        </w:rPr>
      </w:pPr>
      <w:r w:rsidRPr="00665787">
        <w:rPr>
          <w:rFonts w:ascii="Arial" w:hAnsi="Arial" w:cs="Arial"/>
        </w:rPr>
        <w:t>Source: Authors’ computation using World Bank Enterprise Survey (Ghana, 2023).</w:t>
      </w:r>
    </w:p>
    <w:p w14:paraId="0C721302" w14:textId="77777777" w:rsidR="00DE1341" w:rsidRPr="00665787" w:rsidRDefault="00DE1341" w:rsidP="00DE1341">
      <w:pPr>
        <w:rPr>
          <w:rFonts w:ascii="Arial" w:hAnsi="Arial" w:cs="Arial"/>
        </w:rPr>
      </w:pPr>
    </w:p>
    <w:p w14:paraId="0F4FEBA0"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Table 5 presents results from the three models estimating the effects of both internal and external mechanisms of organizational capabilities and market competition respectively on firm innovation. It presents outcome using the ordered response models with </w:t>
      </w:r>
      <w:proofErr w:type="spellStart"/>
      <w:r w:rsidRPr="00665787">
        <w:rPr>
          <w:rFonts w:ascii="Arial" w:hAnsi="Arial" w:cs="Arial"/>
          <w:sz w:val="20"/>
          <w:szCs w:val="20"/>
          <w:lang w:val="en-US"/>
        </w:rPr>
        <w:t>orderd</w:t>
      </w:r>
      <w:proofErr w:type="spellEnd"/>
      <w:r w:rsidRPr="00665787">
        <w:rPr>
          <w:rFonts w:ascii="Arial" w:hAnsi="Arial" w:cs="Arial"/>
          <w:sz w:val="20"/>
          <w:szCs w:val="20"/>
          <w:lang w:val="en-US"/>
        </w:rPr>
        <w:t xml:space="preserve"> probit model as the baseline specification. The model, estimated using 694 firm observations is statistically significant across with Wald chi-square statistics of 70.29 at 1% significant level. It shows explanatory variables jointly influences firms' innovation levels confirming joint significance of the explanatory variables. The ordered logit and generalized ordered logit models produce comparable results, confirming the robustness of the baseline estimates. </w:t>
      </w:r>
    </w:p>
    <w:p w14:paraId="080F1FF0"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Organizational capability exerts a significant positive effects on firms’ likelihood of being in higher innovative categories (β = 0.216, p &lt; 0.01). The result </w:t>
      </w:r>
      <w:proofErr w:type="gramStart"/>
      <w:r w:rsidRPr="00665787">
        <w:rPr>
          <w:rFonts w:ascii="Arial" w:hAnsi="Arial" w:cs="Arial"/>
          <w:sz w:val="20"/>
          <w:szCs w:val="20"/>
          <w:lang w:val="en-US"/>
        </w:rPr>
        <w:t>suggest</w:t>
      </w:r>
      <w:proofErr w:type="gramEnd"/>
      <w:r w:rsidRPr="00665787">
        <w:rPr>
          <w:rFonts w:ascii="Arial" w:hAnsi="Arial" w:cs="Arial"/>
          <w:sz w:val="20"/>
          <w:szCs w:val="20"/>
          <w:lang w:val="en-US"/>
        </w:rPr>
        <w:t xml:space="preserve"> that </w:t>
      </w:r>
      <w:proofErr w:type="gramStart"/>
      <w:r w:rsidRPr="00665787">
        <w:rPr>
          <w:rFonts w:ascii="Arial" w:hAnsi="Arial" w:cs="Arial"/>
          <w:sz w:val="20"/>
          <w:szCs w:val="20"/>
          <w:lang w:val="en-US"/>
        </w:rPr>
        <w:t>firms’</w:t>
      </w:r>
      <w:proofErr w:type="gramEnd"/>
      <w:r w:rsidRPr="00665787">
        <w:rPr>
          <w:rFonts w:ascii="Arial" w:hAnsi="Arial" w:cs="Arial"/>
          <w:sz w:val="20"/>
          <w:szCs w:val="20"/>
          <w:lang w:val="en-US"/>
        </w:rPr>
        <w:t xml:space="preserve"> with higher organizational capabilities </w:t>
      </w:r>
      <w:proofErr w:type="gramStart"/>
      <w:r w:rsidRPr="00665787">
        <w:rPr>
          <w:rFonts w:ascii="Arial" w:hAnsi="Arial" w:cs="Arial"/>
          <w:sz w:val="20"/>
          <w:szCs w:val="20"/>
          <w:lang w:val="en-US"/>
        </w:rPr>
        <w:t>( R</w:t>
      </w:r>
      <w:proofErr w:type="gramEnd"/>
      <w:r w:rsidRPr="00665787">
        <w:rPr>
          <w:rFonts w:ascii="Arial" w:hAnsi="Arial" w:cs="Arial"/>
          <w:sz w:val="20"/>
          <w:szCs w:val="20"/>
          <w:lang w:val="en-US"/>
        </w:rPr>
        <w:t xml:space="preserve">&amp;D, technological assimilation, process formalization, and quality management capabilities) are able to invest in knowledge creation, integrate external technologies, institutionalize structured operational systems thereby strengthening their capacity to generate and implement innovation. From an economic perspective, organizational capability enhances a firm’s ability to mobilize resources efficiently, absorb knowledge, and transform ideas into innovative outputs. Firms with superior organizational structures are therefore better positioned to manage the risks and complexities associated with innovation activities. </w:t>
      </w:r>
      <w:proofErr w:type="gramStart"/>
      <w:r w:rsidRPr="00665787">
        <w:rPr>
          <w:rFonts w:ascii="Arial" w:hAnsi="Arial" w:cs="Arial"/>
          <w:sz w:val="20"/>
          <w:szCs w:val="20"/>
          <w:lang w:val="en-US"/>
        </w:rPr>
        <w:t>This findings</w:t>
      </w:r>
      <w:proofErr w:type="gramEnd"/>
      <w:r w:rsidRPr="00665787">
        <w:rPr>
          <w:rFonts w:ascii="Arial" w:hAnsi="Arial" w:cs="Arial"/>
          <w:sz w:val="20"/>
          <w:szCs w:val="20"/>
          <w:lang w:val="en-US"/>
        </w:rPr>
        <w:t xml:space="preserve"> conforms to the arguments of the dynamic capabilities theory which places organizational capabilities as a major driver of firms’ competitive advantage in the form of innovation, as they aid the transformation, assimilation, and exploitation of knowledge and resources into innovative outputs (Chen &amp; Zheng, 2022). The outcome conforms to the conclusions of Adu-Yeboah, (2023) on the role of absorptive capacity in strengthening innovation outcomes. He and Wu (2022) also provided similar conclusions with a study limited to SMEs.</w:t>
      </w:r>
    </w:p>
    <w:p w14:paraId="4748E040" w14:textId="3054DE5E"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The ordered probit outcome shows that market competition exerts significant positive effect on firms’ latent propensity to innovate (β = 0.185, p &lt; 0.01). The result </w:t>
      </w:r>
      <w:r w:rsidR="00D1268C" w:rsidRPr="00665787">
        <w:rPr>
          <w:rFonts w:ascii="Arial" w:hAnsi="Arial" w:cs="Arial"/>
          <w:sz w:val="20"/>
          <w:szCs w:val="20"/>
          <w:lang w:val="en-US"/>
        </w:rPr>
        <w:t>suggests</w:t>
      </w:r>
      <w:r w:rsidRPr="00665787">
        <w:rPr>
          <w:rFonts w:ascii="Arial" w:hAnsi="Arial" w:cs="Arial"/>
          <w:sz w:val="20"/>
          <w:szCs w:val="20"/>
          <w:lang w:val="en-US"/>
        </w:rPr>
        <w:t xml:space="preserve"> that firms operating in highly competitive markets are driven by the need to innovate towards competition and survival. Thus, increased competition may therefore pressure firms to improve production methods, introduce new products, or state of the art production processes to remain competitive. This outcome is plausible given that globalization has increased competitive pressures on firms in Ghana, as they compete with both domestic and foreign firms in local and international markets, thereby compelling them to continuously innovate their products and processes. This is consistent with the Schumpeterian theory that captured innovation as creative-destruction amidst market competition. The finding is consistent with empirical study conducted by Hu and Liu (2023) with the conclusion that market competition propels both the quality and intensity innovations. Similarly, Aghion (2018) provided evidence supporting the escape-competition hypothesis through innovative activities. Other empirical studies with similar conclusions include Palikot (2023).</w:t>
      </w:r>
    </w:p>
    <w:p w14:paraId="51CFDB94"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2E279EEC" w14:textId="729A3581"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lastRenderedPageBreak/>
        <w:t xml:space="preserve">For the control variables, firm size exerts a significant positive effects on firms’ likelihood of being in higher innovative categories (β = 0.096, p &lt; 0.10). The result suggest larger firms are likely to innovate and this conforms to economic intuition where larger firms possess greater financial resources, enjoy economies of scale, have access to credit and state of the art-technology which drives innovative activities. They also enjoy financially sustainable innovation investment opportunities as they can spread fixed cost and risk associated with it across broader operations. The result aligns with Aghion et al. (2024), who show that larger, more productive firms respond more strongly to market size changes by increasing innovation. Firm age also has a positive and statistically significant influence on firms’ likelihood of being in higher innovation categories (β = 0.154, p &lt; 0.05). The outcome suggest older firms are more innovative and this could stem from the fact that they have accumulated industry long experience and learning by doing which drives higher innovative outcomes. Similarly, export participation significantly increases the likelihood of being in higher innovative categories (β = 0.362, p &lt; 0.01).  This outcome </w:t>
      </w:r>
      <w:r w:rsidR="00D1268C" w:rsidRPr="00665787">
        <w:rPr>
          <w:rFonts w:ascii="Arial" w:hAnsi="Arial" w:cs="Arial"/>
          <w:sz w:val="20"/>
          <w:szCs w:val="20"/>
          <w:lang w:val="en-US"/>
        </w:rPr>
        <w:t>suggests</w:t>
      </w:r>
      <w:r w:rsidRPr="00665787">
        <w:rPr>
          <w:rFonts w:ascii="Arial" w:hAnsi="Arial" w:cs="Arial"/>
          <w:sz w:val="20"/>
          <w:szCs w:val="20"/>
          <w:lang w:val="en-US"/>
        </w:rPr>
        <w:t xml:space="preserve"> that exporting firms engage in higher innovation activities relatively to non-exporters. A plausible reason is that exportation exposes those firms to international competition, exposure to global best practices, foreign technologies, and higher product standards, which places innovation as necessity for internationalization. The outcome is consistent with empirical studies such as Zaman and </w:t>
      </w:r>
      <w:proofErr w:type="spellStart"/>
      <w:r w:rsidRPr="00665787">
        <w:rPr>
          <w:rFonts w:ascii="Arial" w:hAnsi="Arial" w:cs="Arial"/>
          <w:sz w:val="20"/>
          <w:szCs w:val="20"/>
          <w:lang w:val="en-US"/>
        </w:rPr>
        <w:t>Tanewski</w:t>
      </w:r>
      <w:proofErr w:type="spellEnd"/>
      <w:r w:rsidRPr="00665787">
        <w:rPr>
          <w:rFonts w:ascii="Arial" w:hAnsi="Arial" w:cs="Arial"/>
          <w:sz w:val="20"/>
          <w:szCs w:val="20"/>
          <w:lang w:val="en-US"/>
        </w:rPr>
        <w:t xml:space="preserve"> (2024) on the export-innovation nexus study. Cai and Wu (2024) also concluded that export performance characteristics influences innovation outcomes.</w:t>
      </w:r>
    </w:p>
    <w:p w14:paraId="41089BA0" w14:textId="77777777" w:rsidR="00E053D0" w:rsidRDefault="00E053D0" w:rsidP="00441B6F">
      <w:pPr>
        <w:pStyle w:val="Body"/>
        <w:spacing w:after="0"/>
        <w:rPr>
          <w:rFonts w:ascii="Arial" w:hAnsi="Arial" w:cs="Arial"/>
        </w:rPr>
      </w:pPr>
    </w:p>
    <w:p w14:paraId="02472571" w14:textId="77777777" w:rsidR="00790ADA" w:rsidRPr="00FB3A86" w:rsidRDefault="00790ADA" w:rsidP="00441B6F">
      <w:pPr>
        <w:pStyle w:val="Body"/>
        <w:spacing w:after="0"/>
        <w:rPr>
          <w:rFonts w:ascii="Arial" w:hAnsi="Arial" w:cs="Arial"/>
        </w:rPr>
      </w:pPr>
    </w:p>
    <w:p w14:paraId="7E740B22" w14:textId="4DCC087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15038E">
        <w:rPr>
          <w:rFonts w:ascii="Arial" w:hAnsi="Arial" w:cs="Arial"/>
        </w:rPr>
        <w:t xml:space="preserve"> &amp; Policy implication</w:t>
      </w:r>
    </w:p>
    <w:p w14:paraId="44DC0234" w14:textId="77777777" w:rsidR="00790ADA" w:rsidRPr="00FB3A86" w:rsidRDefault="00790ADA" w:rsidP="00441B6F">
      <w:pPr>
        <w:pStyle w:val="ConcHead"/>
        <w:spacing w:after="0"/>
        <w:jc w:val="both"/>
        <w:rPr>
          <w:rFonts w:ascii="Arial" w:hAnsi="Arial" w:cs="Arial"/>
        </w:rPr>
      </w:pPr>
    </w:p>
    <w:p w14:paraId="474D5032" w14:textId="19F9CDB8" w:rsidR="00DE1341" w:rsidRPr="00665787" w:rsidRDefault="0015038E" w:rsidP="00DE1341">
      <w:pPr>
        <w:jc w:val="both"/>
        <w:rPr>
          <w:rFonts w:ascii="Arial" w:hAnsi="Arial" w:cs="Arial"/>
          <w:b/>
          <w:lang w:val="en-GB" w:eastAsia="en-GB"/>
        </w:rPr>
      </w:pPr>
      <w:r>
        <w:rPr>
          <w:rFonts w:ascii="Arial" w:hAnsi="Arial" w:cs="Arial"/>
          <w:b/>
          <w:lang w:val="en-GB" w:eastAsia="en-GB"/>
        </w:rPr>
        <w:t>4</w:t>
      </w:r>
      <w:r w:rsidR="00DE1341" w:rsidRPr="00665787">
        <w:rPr>
          <w:rFonts w:ascii="Arial" w:hAnsi="Arial" w:cs="Arial"/>
          <w:b/>
          <w:lang w:val="en-GB" w:eastAsia="en-GB"/>
        </w:rPr>
        <w:t>.1 Conclusion:</w:t>
      </w:r>
    </w:p>
    <w:p w14:paraId="7C0A56B1" w14:textId="77777777" w:rsidR="00DE1341" w:rsidRPr="00665787" w:rsidRDefault="00DE1341" w:rsidP="00DE1341">
      <w:pPr>
        <w:jc w:val="both"/>
        <w:rPr>
          <w:rFonts w:ascii="Arial" w:hAnsi="Arial" w:cs="Arial"/>
          <w:lang w:val="en-GB" w:eastAsia="en-GB"/>
        </w:rPr>
      </w:pPr>
      <w:r w:rsidRPr="00665787">
        <w:rPr>
          <w:rFonts w:ascii="Arial" w:hAnsi="Arial" w:cs="Arial"/>
          <w:lang w:val="en-GB" w:eastAsia="en-GB"/>
        </w:rPr>
        <w:t>The study concludes that both organizational capabilities and market competition exert significantly positive effects on firms' likelihood of being in higher innovative categories. It shows that both internal and external mechanism measured using internal organizational capabilities and market pressure are important drivers of firm innovative outcomes in Ghana, thereby supporting both hypotheses. The results further show that firm size, age, and export participation also play important roles in shaping innovation outcomes</w:t>
      </w:r>
    </w:p>
    <w:p w14:paraId="33ACBDE9" w14:textId="3B8D50F0" w:rsidR="00DE1341" w:rsidRPr="00665787" w:rsidRDefault="0015038E" w:rsidP="00DE1341">
      <w:pPr>
        <w:pStyle w:val="NormalWeb"/>
        <w:spacing w:before="0" w:beforeAutospacing="0" w:after="0" w:afterAutospacing="0"/>
        <w:jc w:val="both"/>
        <w:rPr>
          <w:rFonts w:ascii="Arial" w:hAnsi="Arial" w:cs="Arial"/>
          <w:b/>
          <w:sz w:val="20"/>
          <w:szCs w:val="20"/>
          <w:lang w:val="en-US"/>
        </w:rPr>
      </w:pPr>
      <w:r>
        <w:rPr>
          <w:rFonts w:ascii="Arial" w:hAnsi="Arial" w:cs="Arial"/>
          <w:b/>
          <w:sz w:val="20"/>
          <w:szCs w:val="20"/>
          <w:lang w:val="en-US"/>
        </w:rPr>
        <w:t>4</w:t>
      </w:r>
      <w:r w:rsidR="00DE1341">
        <w:rPr>
          <w:rFonts w:ascii="Arial" w:hAnsi="Arial" w:cs="Arial"/>
          <w:b/>
          <w:sz w:val="20"/>
          <w:szCs w:val="20"/>
          <w:lang w:val="en-US"/>
        </w:rPr>
        <w:t xml:space="preserve">.2 </w:t>
      </w:r>
      <w:r w:rsidR="00DE1341" w:rsidRPr="00665787">
        <w:rPr>
          <w:rFonts w:ascii="Arial" w:hAnsi="Arial" w:cs="Arial"/>
          <w:b/>
          <w:sz w:val="20"/>
          <w:szCs w:val="20"/>
          <w:lang w:val="en-US"/>
        </w:rPr>
        <w:t>Policy Implications:</w:t>
      </w:r>
    </w:p>
    <w:p w14:paraId="04FE65FF"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The findings imply that targeted policies that aimed to enhance firms' organizational capabilities, specifically knowledge acquisition through R&amp;D capabilities, its absorption through technological capabilities, integration through process systems and quality management can significantly propel innovative outcomes among them. Firm managers in collaboration with Government of Ghana through institutions such as Ministry of Trade and Industry (MOTI) and Ghana Enterprises Agency – GEA) should expand targeted firm-level capacity building programs focused on R&amp;D development, technological upgrading, process improvement, and quality management systems. These can be implemented through training schemes, innovation vouchers, and matched grant support to enhance organizational capabilities.</w:t>
      </w:r>
    </w:p>
    <w:p w14:paraId="2E9B8CA7"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206FB22B"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In addition, fostering a competitive market environment is essential, as competition serves as a catalyst for innovation. Government of Ghana through institutions such as the Ghana Competition Commission (GCC) should strengthen enforcement of competition policy to ensure a fair and dynamic market environment. These policies should be targeted to reduce entry barriers, discourage monopolistic practices, and promote fair competition so as to further stimulate innovative activity among firms. </w:t>
      </w:r>
    </w:p>
    <w:p w14:paraId="7812EABE" w14:textId="77777777" w:rsidR="00DE1341" w:rsidRPr="00665787" w:rsidRDefault="00DE1341" w:rsidP="00DE1341">
      <w:pPr>
        <w:pStyle w:val="NormalWeb"/>
        <w:spacing w:before="0" w:beforeAutospacing="0" w:after="0" w:afterAutospacing="0"/>
        <w:jc w:val="both"/>
        <w:rPr>
          <w:rFonts w:ascii="Arial" w:hAnsi="Arial" w:cs="Arial"/>
          <w:sz w:val="20"/>
          <w:szCs w:val="20"/>
          <w:lang w:val="en-US"/>
        </w:rPr>
      </w:pPr>
    </w:p>
    <w:p w14:paraId="08C47409" w14:textId="77777777" w:rsidR="00DE1341" w:rsidRDefault="00DE1341" w:rsidP="00DE1341">
      <w:pPr>
        <w:pStyle w:val="NormalWeb"/>
        <w:spacing w:before="0" w:beforeAutospacing="0" w:after="0" w:afterAutospacing="0"/>
        <w:jc w:val="both"/>
        <w:rPr>
          <w:rFonts w:ascii="Arial" w:hAnsi="Arial" w:cs="Arial"/>
          <w:sz w:val="20"/>
          <w:szCs w:val="20"/>
          <w:lang w:val="en-US"/>
        </w:rPr>
      </w:pPr>
      <w:r w:rsidRPr="00665787">
        <w:rPr>
          <w:rFonts w:ascii="Arial" w:hAnsi="Arial" w:cs="Arial"/>
          <w:sz w:val="20"/>
          <w:szCs w:val="20"/>
          <w:lang w:val="en-US"/>
        </w:rPr>
        <w:t xml:space="preserve">Finally, export promotion policies are important, as exposure to international markets encourages firms to innovate. Support for export readiness, trade facilitation, and access to foreign markets can therefore enhance firms’ innovation capacity and overall productivity. As such, the Ghana Export Promotion Authority (GEPA) and the Ghana Investment Promotion Centre (GIPC) should intensify export promotion strategies by supporting firms’ entry into international markets through export readiness programs, trade fairs, and reduced trade barriers. </w:t>
      </w:r>
    </w:p>
    <w:p w14:paraId="15B7A088" w14:textId="77777777" w:rsidR="0015038E" w:rsidRPr="0015038E" w:rsidRDefault="0015038E" w:rsidP="00DE1341">
      <w:pPr>
        <w:pStyle w:val="NormalWeb"/>
        <w:spacing w:before="0" w:beforeAutospacing="0" w:after="0" w:afterAutospacing="0"/>
        <w:jc w:val="both"/>
        <w:rPr>
          <w:rFonts w:ascii="Arial" w:hAnsi="Arial" w:cs="Arial"/>
          <w:b/>
          <w:bCs/>
          <w:sz w:val="20"/>
          <w:szCs w:val="20"/>
          <w:lang w:val="en-US"/>
        </w:rPr>
      </w:pPr>
    </w:p>
    <w:p w14:paraId="60C7A4A0" w14:textId="721C8E5C" w:rsidR="0015038E" w:rsidRPr="0015038E" w:rsidRDefault="0015038E" w:rsidP="00DE1341">
      <w:pPr>
        <w:pStyle w:val="NormalWeb"/>
        <w:spacing w:before="0" w:beforeAutospacing="0" w:after="0" w:afterAutospacing="0"/>
        <w:jc w:val="both"/>
        <w:rPr>
          <w:rFonts w:ascii="Arial" w:hAnsi="Arial" w:cs="Arial"/>
          <w:b/>
          <w:bCs/>
          <w:sz w:val="20"/>
          <w:szCs w:val="20"/>
          <w:lang w:val="en-US"/>
        </w:rPr>
      </w:pPr>
      <w:r w:rsidRPr="0015038E">
        <w:rPr>
          <w:rFonts w:ascii="Arial" w:hAnsi="Arial" w:cs="Arial"/>
          <w:b/>
          <w:bCs/>
          <w:sz w:val="20"/>
          <w:szCs w:val="20"/>
          <w:lang w:val="en-US"/>
        </w:rPr>
        <w:t xml:space="preserve">Consent: </w:t>
      </w:r>
    </w:p>
    <w:p w14:paraId="51F66A39" w14:textId="77777777" w:rsidR="0015038E" w:rsidRDefault="0015038E" w:rsidP="00DE1341">
      <w:pPr>
        <w:pStyle w:val="NormalWeb"/>
        <w:spacing w:before="0" w:beforeAutospacing="0" w:after="0" w:afterAutospacing="0"/>
        <w:jc w:val="both"/>
        <w:rPr>
          <w:rFonts w:ascii="Arial" w:hAnsi="Arial" w:cs="Arial"/>
          <w:sz w:val="20"/>
          <w:szCs w:val="20"/>
          <w:lang w:val="en-US"/>
        </w:rPr>
      </w:pPr>
    </w:p>
    <w:p w14:paraId="4DF227DB" w14:textId="57EEBE3F" w:rsidR="0015038E" w:rsidRDefault="0015038E" w:rsidP="00DE1341">
      <w:pPr>
        <w:pStyle w:val="NormalWeb"/>
        <w:spacing w:before="0" w:beforeAutospacing="0" w:after="0" w:afterAutospacing="0"/>
        <w:jc w:val="both"/>
        <w:rPr>
          <w:rFonts w:ascii="Arial" w:hAnsi="Arial" w:cs="Arial"/>
          <w:sz w:val="20"/>
          <w:szCs w:val="20"/>
          <w:lang w:val="en-US"/>
        </w:rPr>
      </w:pPr>
      <w:r>
        <w:rPr>
          <w:rFonts w:ascii="Arial" w:hAnsi="Arial" w:cs="Arial"/>
          <w:sz w:val="20"/>
          <w:szCs w:val="20"/>
          <w:lang w:val="en-US"/>
        </w:rPr>
        <w:t>I</w:t>
      </w:r>
      <w:r w:rsidRPr="0015038E">
        <w:rPr>
          <w:rFonts w:ascii="Arial" w:hAnsi="Arial" w:cs="Arial"/>
          <w:sz w:val="20"/>
          <w:szCs w:val="20"/>
          <w:lang w:val="en-US"/>
        </w:rPr>
        <w:t>nformed consent obtained from participating firms during the survey process</w:t>
      </w:r>
    </w:p>
    <w:p w14:paraId="73A43E3B" w14:textId="77777777" w:rsidR="00790ADA" w:rsidRPr="00FB3A86" w:rsidRDefault="00790ADA" w:rsidP="00441B6F">
      <w:pPr>
        <w:pStyle w:val="Body"/>
        <w:spacing w:after="0"/>
        <w:rPr>
          <w:rFonts w:ascii="Arial" w:hAnsi="Arial" w:cs="Arial"/>
        </w:rPr>
      </w:pPr>
    </w:p>
    <w:p w14:paraId="3728C689" w14:textId="77777777" w:rsidR="008D580F" w:rsidRPr="0015038E" w:rsidRDefault="008D580F" w:rsidP="008D580F">
      <w:pPr>
        <w:pStyle w:val="NoSpacing"/>
        <w:rPr>
          <w:rFonts w:ascii="Arial" w:hAnsi="Arial" w:cs="Arial"/>
          <w:b/>
          <w:bCs/>
          <w:highlight w:val="yellow"/>
        </w:rPr>
      </w:pPr>
      <w:bookmarkStart w:id="0" w:name="_Hlk198031404"/>
      <w:r w:rsidRPr="0015038E">
        <w:rPr>
          <w:rFonts w:ascii="Arial" w:hAnsi="Arial" w:cs="Arial"/>
          <w:b/>
          <w:bCs/>
          <w:highlight w:val="yellow"/>
        </w:rPr>
        <w:t>Disclaimer (Artificial intelligence)</w:t>
      </w:r>
    </w:p>
    <w:p w14:paraId="32555202" w14:textId="77777777" w:rsidR="008D580F" w:rsidRPr="00005ED1" w:rsidRDefault="008D580F" w:rsidP="008D580F">
      <w:pPr>
        <w:pStyle w:val="NoSpacing"/>
        <w:rPr>
          <w:rFonts w:ascii="Arial" w:hAnsi="Arial" w:cs="Arial"/>
          <w:highlight w:val="yellow"/>
        </w:rPr>
      </w:pPr>
    </w:p>
    <w:p w14:paraId="0E37E135" w14:textId="77777777" w:rsidR="008D580F" w:rsidRPr="00005ED1" w:rsidRDefault="008D580F" w:rsidP="008D580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2010204" w14:textId="77777777" w:rsidR="009C69BF" w:rsidRDefault="009C69BF" w:rsidP="00441B6F">
      <w:pPr>
        <w:pStyle w:val="ReferHead"/>
        <w:spacing w:after="0"/>
        <w:jc w:val="both"/>
        <w:rPr>
          <w:rFonts w:ascii="Arial" w:hAnsi="Arial" w:cs="Arial"/>
          <w:b w:val="0"/>
          <w:caps w:val="0"/>
          <w:sz w:val="20"/>
        </w:rPr>
      </w:pPr>
    </w:p>
    <w:p w14:paraId="4BB71910" w14:textId="77777777" w:rsidR="00807CC4" w:rsidRPr="00807CC4" w:rsidRDefault="00807CC4" w:rsidP="00441B6F">
      <w:pPr>
        <w:pStyle w:val="ReferHead"/>
        <w:spacing w:after="0"/>
        <w:jc w:val="both"/>
        <w:rPr>
          <w:rFonts w:ascii="Arial" w:hAnsi="Arial" w:cs="Arial"/>
          <w:b w:val="0"/>
          <w:sz w:val="20"/>
        </w:rPr>
      </w:pPr>
    </w:p>
    <w:p w14:paraId="4A494AD6"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78C8CD47" w14:textId="77777777" w:rsidR="00807CC4" w:rsidRDefault="00807CC4" w:rsidP="00807CC4">
      <w:pPr>
        <w:jc w:val="both"/>
        <w:rPr>
          <w:rFonts w:ascii="Arial" w:hAnsi="Arial" w:cs="Arial"/>
        </w:rPr>
      </w:pPr>
      <w:r w:rsidRPr="00665787">
        <w:rPr>
          <w:rFonts w:ascii="Arial" w:hAnsi="Arial" w:cs="Arial"/>
        </w:rPr>
        <w:t xml:space="preserve">Adu-Yeboah, S. S., Jiang, Y., Frempong, M. F., </w:t>
      </w:r>
      <w:proofErr w:type="spellStart"/>
      <w:r w:rsidRPr="00665787">
        <w:rPr>
          <w:rFonts w:ascii="Arial" w:hAnsi="Arial" w:cs="Arial"/>
        </w:rPr>
        <w:t>Hossin</w:t>
      </w:r>
      <w:proofErr w:type="spellEnd"/>
      <w:r w:rsidRPr="00665787">
        <w:rPr>
          <w:rFonts w:ascii="Arial" w:hAnsi="Arial" w:cs="Arial"/>
        </w:rPr>
        <w:t xml:space="preserve">, M. A., &amp; Amoako, R. (2023). Corporate </w:t>
      </w:r>
    </w:p>
    <w:p w14:paraId="4A781F51" w14:textId="77777777" w:rsidR="00807CC4" w:rsidRPr="00665787" w:rsidRDefault="00807CC4" w:rsidP="00807CC4">
      <w:pPr>
        <w:ind w:left="720"/>
        <w:jc w:val="both"/>
        <w:rPr>
          <w:rFonts w:ascii="Arial" w:hAnsi="Arial" w:cs="Arial"/>
        </w:rPr>
      </w:pPr>
      <w:r w:rsidRPr="00665787">
        <w:rPr>
          <w:rFonts w:ascii="Arial" w:hAnsi="Arial" w:cs="Arial"/>
        </w:rPr>
        <w:lastRenderedPageBreak/>
        <w:t xml:space="preserve">sustainability and service innovation: Moderating role of absorptive capacity. </w:t>
      </w:r>
      <w:r w:rsidRPr="00665787">
        <w:rPr>
          <w:rFonts w:ascii="Arial" w:hAnsi="Arial" w:cs="Arial"/>
          <w:i/>
          <w:iCs/>
        </w:rPr>
        <w:t>South African Journal of Business Management, 54</w:t>
      </w:r>
      <w:r w:rsidRPr="00665787">
        <w:rPr>
          <w:rFonts w:ascii="Arial" w:hAnsi="Arial" w:cs="Arial"/>
        </w:rPr>
        <w:t xml:space="preserve">(1), 1–12. </w:t>
      </w:r>
      <w:hyperlink r:id="rId14" w:history="1">
        <w:r w:rsidRPr="00665787">
          <w:rPr>
            <w:rStyle w:val="Hyperlink"/>
            <w:rFonts w:ascii="Arial" w:hAnsi="Arial" w:cs="Arial"/>
          </w:rPr>
          <w:t>https://doi.org/10.4102/sajbm.v54i1.2885</w:t>
        </w:r>
      </w:hyperlink>
    </w:p>
    <w:p w14:paraId="7D565072" w14:textId="77777777" w:rsidR="00807CC4" w:rsidRDefault="00807CC4" w:rsidP="00807CC4">
      <w:pPr>
        <w:jc w:val="both"/>
        <w:rPr>
          <w:rFonts w:ascii="Arial" w:hAnsi="Arial" w:cs="Arial"/>
        </w:rPr>
      </w:pPr>
      <w:r w:rsidRPr="00665787">
        <w:rPr>
          <w:rFonts w:ascii="Arial" w:hAnsi="Arial" w:cs="Arial"/>
        </w:rPr>
        <w:t xml:space="preserve">Aghion, P., Bechtold, S., Cassar, L., &amp; Herz, H. (2018). The causal effects of competition on innovation: </w:t>
      </w:r>
    </w:p>
    <w:p w14:paraId="73592670" w14:textId="77777777" w:rsidR="00807CC4" w:rsidRPr="00665787" w:rsidRDefault="00807CC4" w:rsidP="00807CC4">
      <w:pPr>
        <w:ind w:left="720"/>
        <w:jc w:val="both"/>
        <w:rPr>
          <w:rFonts w:ascii="Arial" w:hAnsi="Arial" w:cs="Arial"/>
        </w:rPr>
      </w:pPr>
      <w:r w:rsidRPr="00665787">
        <w:rPr>
          <w:rFonts w:ascii="Arial" w:hAnsi="Arial" w:cs="Arial"/>
        </w:rPr>
        <w:t xml:space="preserve">Experimental evidence. </w:t>
      </w:r>
      <w:r w:rsidRPr="00665787">
        <w:rPr>
          <w:rFonts w:ascii="Arial" w:hAnsi="Arial" w:cs="Arial"/>
          <w:i/>
          <w:iCs/>
        </w:rPr>
        <w:t>Journal of Law, Economics, and Organization, 34</w:t>
      </w:r>
      <w:r w:rsidRPr="00665787">
        <w:rPr>
          <w:rFonts w:ascii="Arial" w:hAnsi="Arial" w:cs="Arial"/>
        </w:rPr>
        <w:t xml:space="preserve">(2), 162–195. </w:t>
      </w:r>
      <w:hyperlink r:id="rId15" w:history="1">
        <w:r w:rsidRPr="00665787">
          <w:rPr>
            <w:rStyle w:val="Hyperlink"/>
            <w:rFonts w:ascii="Arial" w:hAnsi="Arial" w:cs="Arial"/>
          </w:rPr>
          <w:t>https://doi.org/10.1093/jleo/ewy004</w:t>
        </w:r>
      </w:hyperlink>
    </w:p>
    <w:p w14:paraId="3E248ECC" w14:textId="77777777" w:rsidR="00807CC4" w:rsidRPr="00665787" w:rsidRDefault="00807CC4" w:rsidP="00807CC4">
      <w:pPr>
        <w:jc w:val="both"/>
        <w:rPr>
          <w:rFonts w:ascii="Arial" w:hAnsi="Arial" w:cs="Arial"/>
        </w:rPr>
      </w:pPr>
      <w:r w:rsidRPr="00665787">
        <w:rPr>
          <w:rFonts w:ascii="Arial" w:hAnsi="Arial" w:cs="Arial"/>
        </w:rPr>
        <w:t xml:space="preserve">Aghion, P., Bergeaud, A., </w:t>
      </w:r>
      <w:proofErr w:type="spellStart"/>
      <w:r w:rsidRPr="00665787">
        <w:rPr>
          <w:rFonts w:ascii="Arial" w:hAnsi="Arial" w:cs="Arial"/>
        </w:rPr>
        <w:t>Lequien</w:t>
      </w:r>
      <w:proofErr w:type="spellEnd"/>
      <w:r w:rsidRPr="00665787">
        <w:rPr>
          <w:rFonts w:ascii="Arial" w:hAnsi="Arial" w:cs="Arial"/>
        </w:rPr>
        <w:t xml:space="preserve">, M., &amp; Melitz, M. J. (2024). The heterogeneous impact of market size on </w:t>
      </w:r>
    </w:p>
    <w:p w14:paraId="1B87088B" w14:textId="77777777" w:rsidR="00807CC4" w:rsidRPr="00665787" w:rsidRDefault="00807CC4" w:rsidP="00807CC4">
      <w:pPr>
        <w:ind w:left="720"/>
        <w:jc w:val="both"/>
        <w:rPr>
          <w:rFonts w:ascii="Arial" w:hAnsi="Arial" w:cs="Arial"/>
        </w:rPr>
      </w:pPr>
      <w:r w:rsidRPr="00665787">
        <w:rPr>
          <w:rFonts w:ascii="Arial" w:hAnsi="Arial" w:cs="Arial"/>
        </w:rPr>
        <w:t xml:space="preserve">innovation: Evidence from French firm-level exports. </w:t>
      </w:r>
      <w:r w:rsidRPr="00665787">
        <w:rPr>
          <w:rFonts w:ascii="Arial" w:hAnsi="Arial" w:cs="Arial"/>
          <w:i/>
          <w:iCs/>
        </w:rPr>
        <w:t>Review of Economics and Statistics, 106</w:t>
      </w:r>
      <w:r w:rsidRPr="00665787">
        <w:rPr>
          <w:rFonts w:ascii="Arial" w:hAnsi="Arial" w:cs="Arial"/>
        </w:rPr>
        <w:t xml:space="preserve">(3), 608–626. </w:t>
      </w:r>
      <w:hyperlink r:id="rId16" w:history="1">
        <w:r w:rsidRPr="00665787">
          <w:rPr>
            <w:rStyle w:val="Hyperlink"/>
            <w:rFonts w:ascii="Arial" w:hAnsi="Arial" w:cs="Arial"/>
          </w:rPr>
          <w:t>https://doi.org/10.1162/rest_a_01199</w:t>
        </w:r>
      </w:hyperlink>
    </w:p>
    <w:p w14:paraId="265F8D92" w14:textId="77777777" w:rsidR="00807CC4" w:rsidRDefault="00807CC4" w:rsidP="00807CC4">
      <w:pPr>
        <w:jc w:val="both"/>
        <w:rPr>
          <w:rFonts w:ascii="Arial" w:hAnsi="Arial" w:cs="Arial"/>
        </w:rPr>
      </w:pPr>
      <w:r w:rsidRPr="00665787">
        <w:rPr>
          <w:rFonts w:ascii="Arial" w:hAnsi="Arial" w:cs="Arial"/>
        </w:rPr>
        <w:t>Aghion, P., Bloom, N., Blundell, R., Griffith, R., &amp; Howitt, P. (2014). Competition and innovation: An inverted-</w:t>
      </w:r>
    </w:p>
    <w:p w14:paraId="3AC6E20C" w14:textId="77777777" w:rsidR="00807CC4" w:rsidRPr="00665787" w:rsidRDefault="00807CC4" w:rsidP="00807CC4">
      <w:pPr>
        <w:ind w:firstLine="720"/>
        <w:jc w:val="both"/>
        <w:rPr>
          <w:rFonts w:ascii="Arial" w:hAnsi="Arial" w:cs="Arial"/>
        </w:rPr>
      </w:pPr>
      <w:r w:rsidRPr="00665787">
        <w:rPr>
          <w:rFonts w:ascii="Arial" w:hAnsi="Arial" w:cs="Arial"/>
        </w:rPr>
        <w:t xml:space="preserve">U relationship. </w:t>
      </w:r>
      <w:r w:rsidRPr="00665787">
        <w:rPr>
          <w:rFonts w:ascii="Arial" w:hAnsi="Arial" w:cs="Arial"/>
          <w:i/>
          <w:iCs/>
        </w:rPr>
        <w:t>The Quarterly Journal of Economics, 120</w:t>
      </w:r>
      <w:r w:rsidRPr="00665787">
        <w:rPr>
          <w:rFonts w:ascii="Arial" w:hAnsi="Arial" w:cs="Arial"/>
        </w:rPr>
        <w:t>(2), 701–728.</w:t>
      </w:r>
    </w:p>
    <w:p w14:paraId="7ADAAF30" w14:textId="77777777" w:rsidR="00807CC4" w:rsidRPr="00665787" w:rsidRDefault="00807CC4" w:rsidP="00807CC4">
      <w:pPr>
        <w:jc w:val="both"/>
        <w:rPr>
          <w:rFonts w:ascii="Arial" w:hAnsi="Arial" w:cs="Arial"/>
        </w:rPr>
      </w:pPr>
      <w:r w:rsidRPr="00665787">
        <w:rPr>
          <w:rFonts w:ascii="Arial" w:hAnsi="Arial" w:cs="Arial"/>
        </w:rPr>
        <w:t xml:space="preserve">Agyapong, A., Acquaah, M., </w:t>
      </w:r>
      <w:proofErr w:type="spellStart"/>
      <w:r w:rsidRPr="00665787">
        <w:rPr>
          <w:rFonts w:ascii="Arial" w:hAnsi="Arial" w:cs="Arial"/>
        </w:rPr>
        <w:t>Abiew</w:t>
      </w:r>
      <w:proofErr w:type="spellEnd"/>
      <w:r w:rsidRPr="00665787">
        <w:rPr>
          <w:rFonts w:ascii="Arial" w:hAnsi="Arial" w:cs="Arial"/>
        </w:rPr>
        <w:t xml:space="preserve">, G. E., &amp; Zand, H. N. (2024). Dynamic pathways to SMEs performance: </w:t>
      </w:r>
    </w:p>
    <w:p w14:paraId="327FB38F" w14:textId="77777777" w:rsidR="00807CC4" w:rsidRPr="00665787" w:rsidRDefault="00807CC4" w:rsidP="00807CC4">
      <w:pPr>
        <w:ind w:left="720"/>
        <w:jc w:val="both"/>
        <w:rPr>
          <w:rFonts w:ascii="Arial" w:hAnsi="Arial" w:cs="Arial"/>
        </w:rPr>
      </w:pPr>
      <w:r w:rsidRPr="00665787">
        <w:rPr>
          <w:rFonts w:ascii="Arial" w:hAnsi="Arial" w:cs="Arial"/>
        </w:rPr>
        <w:t xml:space="preserve">Unraveling the influence of organizational learning capability, innovation, market dynamism and market responsiveness in an African emerging economy. </w:t>
      </w:r>
      <w:r w:rsidRPr="00665787">
        <w:rPr>
          <w:rFonts w:ascii="Arial" w:hAnsi="Arial" w:cs="Arial"/>
          <w:i/>
          <w:iCs/>
        </w:rPr>
        <w:t>Africa Journal of Management, 10</w:t>
      </w:r>
      <w:r w:rsidRPr="00665787">
        <w:rPr>
          <w:rFonts w:ascii="Arial" w:hAnsi="Arial" w:cs="Arial"/>
        </w:rPr>
        <w:t xml:space="preserve">(1), 50–74. </w:t>
      </w:r>
      <w:hyperlink r:id="rId17" w:history="1">
        <w:r w:rsidRPr="00665787">
          <w:rPr>
            <w:rStyle w:val="Hyperlink"/>
            <w:rFonts w:ascii="Arial" w:hAnsi="Arial" w:cs="Arial"/>
          </w:rPr>
          <w:t>https://doi.org/10.1080/23322373.2024.2316450</w:t>
        </w:r>
      </w:hyperlink>
    </w:p>
    <w:p w14:paraId="681836CF" w14:textId="77777777" w:rsidR="00807CC4" w:rsidRDefault="00807CC4" w:rsidP="00807CC4">
      <w:pPr>
        <w:jc w:val="both"/>
        <w:rPr>
          <w:rFonts w:ascii="Arial" w:hAnsi="Arial" w:cs="Arial"/>
        </w:rPr>
      </w:pPr>
      <w:proofErr w:type="spellStart"/>
      <w:r w:rsidRPr="00665787">
        <w:rPr>
          <w:rFonts w:ascii="Arial" w:hAnsi="Arial" w:cs="Arial"/>
        </w:rPr>
        <w:t>Azamela</w:t>
      </w:r>
      <w:proofErr w:type="spellEnd"/>
      <w:r w:rsidRPr="00665787">
        <w:rPr>
          <w:rFonts w:ascii="Arial" w:hAnsi="Arial" w:cs="Arial"/>
        </w:rPr>
        <w:t xml:space="preserve">, J. C., Tang, Z., Owusu, A., </w:t>
      </w:r>
      <w:proofErr w:type="spellStart"/>
      <w:r w:rsidRPr="00665787">
        <w:rPr>
          <w:rFonts w:ascii="Arial" w:hAnsi="Arial" w:cs="Arial"/>
        </w:rPr>
        <w:t>Bankuoru</w:t>
      </w:r>
      <w:proofErr w:type="spellEnd"/>
      <w:r w:rsidRPr="00665787">
        <w:rPr>
          <w:rFonts w:ascii="Arial" w:hAnsi="Arial" w:cs="Arial"/>
        </w:rPr>
        <w:t xml:space="preserve"> Egala, S., &amp; Bruce, E. (2022). The impact of institutional </w:t>
      </w:r>
    </w:p>
    <w:p w14:paraId="03FB9671" w14:textId="77777777" w:rsidR="00807CC4" w:rsidRPr="00665787" w:rsidRDefault="00807CC4" w:rsidP="00807CC4">
      <w:pPr>
        <w:ind w:left="720"/>
        <w:jc w:val="both"/>
        <w:rPr>
          <w:rFonts w:ascii="Arial" w:hAnsi="Arial" w:cs="Arial"/>
        </w:rPr>
      </w:pPr>
      <w:r w:rsidRPr="00665787">
        <w:rPr>
          <w:rFonts w:ascii="Arial" w:hAnsi="Arial" w:cs="Arial"/>
        </w:rPr>
        <w:t xml:space="preserve">creativity and innovation capability on innovation performance of public sector organizations in Ghana. </w:t>
      </w:r>
      <w:r w:rsidRPr="00665787">
        <w:rPr>
          <w:rFonts w:ascii="Arial" w:hAnsi="Arial" w:cs="Arial"/>
          <w:i/>
          <w:iCs/>
        </w:rPr>
        <w:t>Sustainability, 14</w:t>
      </w:r>
      <w:r w:rsidRPr="00665787">
        <w:rPr>
          <w:rFonts w:ascii="Arial" w:hAnsi="Arial" w:cs="Arial"/>
        </w:rPr>
        <w:t xml:space="preserve">(3), 1378. </w:t>
      </w:r>
      <w:hyperlink r:id="rId18" w:history="1">
        <w:r w:rsidRPr="00665787">
          <w:rPr>
            <w:rStyle w:val="Hyperlink"/>
            <w:rFonts w:ascii="Arial" w:hAnsi="Arial" w:cs="Arial"/>
          </w:rPr>
          <w:t>https://doi.org/10.3390/su14031378</w:t>
        </w:r>
      </w:hyperlink>
    </w:p>
    <w:p w14:paraId="65C72E76" w14:textId="77777777" w:rsidR="00807CC4" w:rsidRDefault="00807CC4" w:rsidP="00807CC4">
      <w:pPr>
        <w:jc w:val="both"/>
        <w:rPr>
          <w:rFonts w:ascii="Arial" w:hAnsi="Arial" w:cs="Arial"/>
        </w:rPr>
      </w:pPr>
      <w:r w:rsidRPr="00665787">
        <w:rPr>
          <w:rFonts w:ascii="Arial" w:hAnsi="Arial" w:cs="Arial"/>
        </w:rPr>
        <w:t xml:space="preserve">Cai, Y., &amp; Wu, G. (2024). The U-shaped impact of export quality on firms’ innovation output: Empirical </w:t>
      </w:r>
    </w:p>
    <w:p w14:paraId="254E54AA" w14:textId="77777777" w:rsidR="00807CC4" w:rsidRPr="00665787" w:rsidRDefault="00807CC4" w:rsidP="00807CC4">
      <w:pPr>
        <w:ind w:firstLine="720"/>
        <w:jc w:val="both"/>
        <w:rPr>
          <w:rFonts w:ascii="Arial" w:hAnsi="Arial" w:cs="Arial"/>
        </w:rPr>
      </w:pPr>
      <w:r w:rsidRPr="00665787">
        <w:rPr>
          <w:rFonts w:ascii="Arial" w:hAnsi="Arial" w:cs="Arial"/>
        </w:rPr>
        <w:t xml:space="preserve">evidence from China. </w:t>
      </w:r>
      <w:r w:rsidRPr="00665787">
        <w:rPr>
          <w:rFonts w:ascii="Arial" w:hAnsi="Arial" w:cs="Arial"/>
          <w:i/>
          <w:iCs/>
        </w:rPr>
        <w:t>PLOS ONE, 19</w:t>
      </w:r>
      <w:r w:rsidRPr="00665787">
        <w:rPr>
          <w:rFonts w:ascii="Arial" w:hAnsi="Arial" w:cs="Arial"/>
        </w:rPr>
        <w:t xml:space="preserve">(2), e0298358. </w:t>
      </w:r>
      <w:hyperlink r:id="rId19" w:history="1">
        <w:r w:rsidRPr="00665787">
          <w:rPr>
            <w:rStyle w:val="Hyperlink"/>
            <w:rFonts w:ascii="Arial" w:hAnsi="Arial" w:cs="Arial"/>
          </w:rPr>
          <w:t>https://doi.org/10.1371/journal.pone.0298358</w:t>
        </w:r>
      </w:hyperlink>
    </w:p>
    <w:p w14:paraId="4912B188" w14:textId="77777777" w:rsidR="00807CC4" w:rsidRPr="00665787" w:rsidRDefault="00807CC4" w:rsidP="00807CC4">
      <w:pPr>
        <w:jc w:val="both"/>
        <w:rPr>
          <w:rFonts w:ascii="Arial" w:hAnsi="Arial" w:cs="Arial"/>
        </w:rPr>
      </w:pPr>
      <w:r w:rsidRPr="00665787">
        <w:rPr>
          <w:rFonts w:ascii="Arial" w:hAnsi="Arial" w:cs="Arial"/>
        </w:rPr>
        <w:t xml:space="preserve">Chen, S., &amp; Zheng, J. (2022). Influence of organizational learning and dynamic capability on organizational </w:t>
      </w:r>
    </w:p>
    <w:p w14:paraId="6D319BF3" w14:textId="77777777" w:rsidR="00807CC4" w:rsidRPr="00665787" w:rsidRDefault="00807CC4" w:rsidP="00807CC4">
      <w:pPr>
        <w:ind w:left="720"/>
        <w:jc w:val="both"/>
        <w:rPr>
          <w:rFonts w:ascii="Arial" w:hAnsi="Arial" w:cs="Arial"/>
        </w:rPr>
      </w:pPr>
      <w:r w:rsidRPr="00665787">
        <w:rPr>
          <w:rFonts w:ascii="Arial" w:hAnsi="Arial" w:cs="Arial"/>
        </w:rPr>
        <w:t xml:space="preserve">performance: Moderation effect of technology environment and market environment. </w:t>
      </w:r>
      <w:r w:rsidRPr="00665787">
        <w:rPr>
          <w:rFonts w:ascii="Arial" w:hAnsi="Arial" w:cs="Arial"/>
          <w:i/>
          <w:iCs/>
        </w:rPr>
        <w:t>Frontiers in Psychology, 13</w:t>
      </w:r>
      <w:r w:rsidRPr="00665787">
        <w:rPr>
          <w:rFonts w:ascii="Arial" w:hAnsi="Arial" w:cs="Arial"/>
        </w:rPr>
        <w:t xml:space="preserve">, 889327. </w:t>
      </w:r>
      <w:hyperlink r:id="rId20" w:history="1">
        <w:r w:rsidRPr="00665787">
          <w:rPr>
            <w:rStyle w:val="Hyperlink"/>
            <w:rFonts w:ascii="Arial" w:hAnsi="Arial" w:cs="Arial"/>
          </w:rPr>
          <w:t>https://doi.org/10.3389/fpsyg.2022.889327</w:t>
        </w:r>
      </w:hyperlink>
    </w:p>
    <w:p w14:paraId="2338A88C" w14:textId="77777777" w:rsidR="00807CC4" w:rsidRPr="00665787" w:rsidRDefault="00807CC4" w:rsidP="00807CC4">
      <w:pPr>
        <w:ind w:left="720"/>
        <w:jc w:val="both"/>
        <w:rPr>
          <w:rFonts w:ascii="Arial" w:hAnsi="Arial" w:cs="Arial"/>
        </w:rPr>
      </w:pPr>
      <w:r w:rsidRPr="00665787">
        <w:rPr>
          <w:rFonts w:ascii="Arial" w:hAnsi="Arial" w:cs="Arial"/>
        </w:rPr>
        <w:t xml:space="preserve">Cohen, W. M., &amp; Levinthal, D. A. (1990). Absorptive capacity: A new perspective on learning and innovation. </w:t>
      </w:r>
      <w:r w:rsidRPr="00665787">
        <w:rPr>
          <w:rFonts w:ascii="Arial" w:hAnsi="Arial" w:cs="Arial"/>
          <w:i/>
          <w:iCs/>
        </w:rPr>
        <w:t>Administrative Science Quarterly, 35</w:t>
      </w:r>
      <w:r w:rsidRPr="00665787">
        <w:rPr>
          <w:rFonts w:ascii="Arial" w:hAnsi="Arial" w:cs="Arial"/>
        </w:rPr>
        <w:t>(1), 128–152.</w:t>
      </w:r>
    </w:p>
    <w:p w14:paraId="4FA6D2A8" w14:textId="77777777" w:rsidR="00807CC4" w:rsidRDefault="00807CC4" w:rsidP="00807CC4">
      <w:pPr>
        <w:jc w:val="both"/>
        <w:rPr>
          <w:rFonts w:ascii="Arial" w:hAnsi="Arial" w:cs="Arial"/>
        </w:rPr>
      </w:pPr>
      <w:r w:rsidRPr="00665787">
        <w:rPr>
          <w:rFonts w:ascii="Arial" w:hAnsi="Arial" w:cs="Arial"/>
        </w:rPr>
        <w:t xml:space="preserve">Cui, J. (2025). Entrepreneurial motivations and ESG performance: Evidence from automobile companies </w:t>
      </w:r>
    </w:p>
    <w:p w14:paraId="4DEC6207" w14:textId="77777777" w:rsidR="00807CC4" w:rsidRPr="00665787" w:rsidRDefault="00807CC4" w:rsidP="00807CC4">
      <w:pPr>
        <w:ind w:firstLine="720"/>
        <w:jc w:val="both"/>
        <w:rPr>
          <w:rFonts w:ascii="Arial" w:hAnsi="Arial" w:cs="Arial"/>
        </w:rPr>
      </w:pPr>
      <w:r w:rsidRPr="00665787">
        <w:rPr>
          <w:rFonts w:ascii="Arial" w:hAnsi="Arial" w:cs="Arial"/>
        </w:rPr>
        <w:t xml:space="preserve">listed on the Chinese stock exchange. </w:t>
      </w:r>
      <w:proofErr w:type="spellStart"/>
      <w:r w:rsidRPr="00665787">
        <w:rPr>
          <w:rFonts w:ascii="Arial" w:hAnsi="Arial" w:cs="Arial"/>
          <w:i/>
          <w:iCs/>
        </w:rPr>
        <w:t>arXiv</w:t>
      </w:r>
      <w:proofErr w:type="spellEnd"/>
      <w:r w:rsidRPr="00665787">
        <w:rPr>
          <w:rFonts w:ascii="Arial" w:hAnsi="Arial" w:cs="Arial"/>
        </w:rPr>
        <w:t xml:space="preserve">. </w:t>
      </w:r>
      <w:hyperlink r:id="rId21" w:history="1">
        <w:r w:rsidRPr="00665787">
          <w:rPr>
            <w:rStyle w:val="Hyperlink"/>
            <w:rFonts w:ascii="Arial" w:hAnsi="Arial" w:cs="Arial"/>
          </w:rPr>
          <w:t>https://arxiv.org/abs/2503.21828</w:t>
        </w:r>
      </w:hyperlink>
    </w:p>
    <w:p w14:paraId="00798F12" w14:textId="77777777" w:rsidR="00807CC4" w:rsidRDefault="00807CC4" w:rsidP="00807CC4">
      <w:pPr>
        <w:jc w:val="both"/>
        <w:rPr>
          <w:rFonts w:ascii="Arial" w:hAnsi="Arial" w:cs="Arial"/>
        </w:rPr>
      </w:pPr>
      <w:r w:rsidRPr="00665787">
        <w:rPr>
          <w:rFonts w:ascii="Arial" w:hAnsi="Arial" w:cs="Arial"/>
        </w:rPr>
        <w:t xml:space="preserve">He, X., &amp; Wu, X. (2022). Social networks and ambidextrous innovation in SMEs: The mediating role of </w:t>
      </w:r>
    </w:p>
    <w:p w14:paraId="527267ED" w14:textId="77777777" w:rsidR="00807CC4" w:rsidRDefault="00807CC4" w:rsidP="00807CC4">
      <w:pPr>
        <w:ind w:firstLine="720"/>
        <w:jc w:val="both"/>
        <w:rPr>
          <w:rFonts w:ascii="Arial" w:hAnsi="Arial" w:cs="Arial"/>
          <w:i/>
          <w:iCs/>
        </w:rPr>
      </w:pPr>
      <w:r w:rsidRPr="00665787">
        <w:rPr>
          <w:rFonts w:ascii="Arial" w:hAnsi="Arial" w:cs="Arial"/>
        </w:rPr>
        <w:t xml:space="preserve">dynamic capabilities and the moderating role of technological turbulence. </w:t>
      </w:r>
      <w:r w:rsidRPr="00665787">
        <w:rPr>
          <w:rFonts w:ascii="Arial" w:hAnsi="Arial" w:cs="Arial"/>
          <w:i/>
          <w:iCs/>
        </w:rPr>
        <w:t xml:space="preserve">Technology Analysis &amp; </w:t>
      </w:r>
    </w:p>
    <w:p w14:paraId="0A09C665" w14:textId="77777777" w:rsidR="00807CC4" w:rsidRPr="00665787" w:rsidRDefault="00807CC4" w:rsidP="00807CC4">
      <w:pPr>
        <w:ind w:left="720"/>
        <w:jc w:val="both"/>
        <w:rPr>
          <w:rFonts w:ascii="Arial" w:hAnsi="Arial" w:cs="Arial"/>
        </w:rPr>
      </w:pPr>
      <w:r w:rsidRPr="00665787">
        <w:rPr>
          <w:rFonts w:ascii="Arial" w:hAnsi="Arial" w:cs="Arial"/>
          <w:i/>
          <w:iCs/>
        </w:rPr>
        <w:t>Strategic Management</w:t>
      </w:r>
      <w:r w:rsidRPr="00665787">
        <w:rPr>
          <w:rFonts w:ascii="Arial" w:hAnsi="Arial" w:cs="Arial"/>
        </w:rPr>
        <w:t xml:space="preserve">. </w:t>
      </w:r>
      <w:hyperlink r:id="rId22" w:history="1">
        <w:r w:rsidRPr="00665787">
          <w:rPr>
            <w:rStyle w:val="Hyperlink"/>
            <w:rFonts w:ascii="Arial" w:hAnsi="Arial" w:cs="Arial"/>
          </w:rPr>
          <w:t>https://doi.org/10.1080/09537325.2022.2157710</w:t>
        </w:r>
      </w:hyperlink>
    </w:p>
    <w:p w14:paraId="340CC0B9" w14:textId="77777777" w:rsidR="00807CC4" w:rsidRDefault="00807CC4" w:rsidP="00807CC4">
      <w:pPr>
        <w:jc w:val="both"/>
        <w:rPr>
          <w:rFonts w:ascii="Arial" w:hAnsi="Arial" w:cs="Arial"/>
          <w:i/>
          <w:iCs/>
        </w:rPr>
      </w:pPr>
      <w:r w:rsidRPr="00665787">
        <w:rPr>
          <w:rFonts w:ascii="Arial" w:hAnsi="Arial" w:cs="Arial"/>
        </w:rPr>
        <w:t xml:space="preserve">Hu, C., &amp; Liu, M. (2023). Protect or compete? Evidence of firms’ innovation from import penetration. </w:t>
      </w:r>
      <w:r w:rsidRPr="00665787">
        <w:rPr>
          <w:rFonts w:ascii="Arial" w:hAnsi="Arial" w:cs="Arial"/>
          <w:i/>
          <w:iCs/>
        </w:rPr>
        <w:t xml:space="preserve">Journal </w:t>
      </w:r>
    </w:p>
    <w:p w14:paraId="684A3D3D" w14:textId="77777777" w:rsidR="00807CC4" w:rsidRPr="00E6444A" w:rsidRDefault="00807CC4" w:rsidP="00807CC4">
      <w:pPr>
        <w:ind w:firstLine="720"/>
        <w:jc w:val="both"/>
        <w:rPr>
          <w:rFonts w:ascii="Arial" w:hAnsi="Arial" w:cs="Arial"/>
          <w:i/>
          <w:iCs/>
        </w:rPr>
      </w:pPr>
      <w:r w:rsidRPr="00665787">
        <w:rPr>
          <w:rFonts w:ascii="Arial" w:hAnsi="Arial" w:cs="Arial"/>
          <w:i/>
          <w:iCs/>
        </w:rPr>
        <w:t>of Risk and Financial Management, 16</w:t>
      </w:r>
      <w:r w:rsidRPr="00665787">
        <w:rPr>
          <w:rFonts w:ascii="Arial" w:hAnsi="Arial" w:cs="Arial"/>
        </w:rPr>
        <w:t xml:space="preserve">(4), 227. </w:t>
      </w:r>
      <w:hyperlink r:id="rId23" w:history="1">
        <w:r w:rsidRPr="00665787">
          <w:rPr>
            <w:rStyle w:val="Hyperlink"/>
            <w:rFonts w:ascii="Arial" w:hAnsi="Arial" w:cs="Arial"/>
          </w:rPr>
          <w:t>https://doi.org/10.3390/jrfm16040227</w:t>
        </w:r>
      </w:hyperlink>
    </w:p>
    <w:p w14:paraId="031C4AAB" w14:textId="77777777" w:rsidR="00807CC4" w:rsidRDefault="00807CC4" w:rsidP="00807CC4">
      <w:pPr>
        <w:jc w:val="both"/>
        <w:rPr>
          <w:rFonts w:ascii="Arial" w:hAnsi="Arial" w:cs="Arial"/>
        </w:rPr>
      </w:pPr>
      <w:r w:rsidRPr="00665787">
        <w:rPr>
          <w:rFonts w:ascii="Arial" w:hAnsi="Arial" w:cs="Arial"/>
        </w:rPr>
        <w:t xml:space="preserve">Koomson, E. S. B., Arhin, E. T., </w:t>
      </w:r>
      <w:proofErr w:type="spellStart"/>
      <w:r w:rsidRPr="00665787">
        <w:rPr>
          <w:rFonts w:ascii="Arial" w:hAnsi="Arial" w:cs="Arial"/>
        </w:rPr>
        <w:t>Paliszkiewicz</w:t>
      </w:r>
      <w:proofErr w:type="spellEnd"/>
      <w:r w:rsidRPr="00665787">
        <w:rPr>
          <w:rFonts w:ascii="Arial" w:hAnsi="Arial" w:cs="Arial"/>
        </w:rPr>
        <w:t xml:space="preserve">, J., &amp; Pietrzak, P. (2025). Statistical analysis of the impact of </w:t>
      </w:r>
    </w:p>
    <w:p w14:paraId="6F693F1C" w14:textId="77777777" w:rsidR="00807CC4" w:rsidRDefault="00807CC4" w:rsidP="00807CC4">
      <w:pPr>
        <w:ind w:firstLine="720"/>
        <w:jc w:val="both"/>
        <w:rPr>
          <w:rFonts w:ascii="Arial" w:hAnsi="Arial" w:cs="Arial"/>
        </w:rPr>
      </w:pPr>
      <w:r w:rsidRPr="00665787">
        <w:rPr>
          <w:rFonts w:ascii="Arial" w:hAnsi="Arial" w:cs="Arial"/>
        </w:rPr>
        <w:t xml:space="preserve">e-procurement practices and technological capability on innovation and organizational </w:t>
      </w:r>
    </w:p>
    <w:p w14:paraId="44807375" w14:textId="77777777" w:rsidR="00D1268C" w:rsidRDefault="00807CC4" w:rsidP="00D1268C">
      <w:pPr>
        <w:ind w:left="720"/>
        <w:jc w:val="both"/>
        <w:rPr>
          <w:rStyle w:val="Hyperlink"/>
          <w:rFonts w:ascii="Arial" w:hAnsi="Arial" w:cs="Arial"/>
        </w:rPr>
      </w:pPr>
      <w:r w:rsidRPr="00665787">
        <w:rPr>
          <w:rFonts w:ascii="Arial" w:hAnsi="Arial" w:cs="Arial"/>
        </w:rPr>
        <w:t xml:space="preserve">performance: Evidence from Ghana. </w:t>
      </w:r>
      <w:r w:rsidRPr="00665787">
        <w:rPr>
          <w:rFonts w:ascii="Arial" w:hAnsi="Arial" w:cs="Arial"/>
          <w:i/>
          <w:iCs/>
        </w:rPr>
        <w:t>African Journal of Empirical Research</w:t>
      </w:r>
      <w:r w:rsidRPr="00665787">
        <w:rPr>
          <w:rFonts w:ascii="Arial" w:hAnsi="Arial" w:cs="Arial"/>
        </w:rPr>
        <w:t xml:space="preserve">. </w:t>
      </w:r>
      <w:hyperlink r:id="rId24" w:history="1">
        <w:r w:rsidRPr="00665787">
          <w:rPr>
            <w:rStyle w:val="Hyperlink"/>
            <w:rFonts w:ascii="Arial" w:hAnsi="Arial" w:cs="Arial"/>
          </w:rPr>
          <w:t>https://doi.org/10.51867/ajernet.6.4.92</w:t>
        </w:r>
      </w:hyperlink>
    </w:p>
    <w:p w14:paraId="600122B4" w14:textId="77777777" w:rsidR="00D1268C" w:rsidRDefault="00D1268C" w:rsidP="00D1268C">
      <w:pPr>
        <w:jc w:val="both"/>
      </w:pPr>
      <w:proofErr w:type="spellStart"/>
      <w:r>
        <w:t>Kusumah</w:t>
      </w:r>
      <w:proofErr w:type="spellEnd"/>
      <w:r>
        <w:t xml:space="preserve">, I. H., Rahayu, A., Gaffar, V., &amp; Wibowo, L. A. (2026). Market forces, dynamic capabilities, and SME </w:t>
      </w:r>
    </w:p>
    <w:p w14:paraId="13CEFA11" w14:textId="7894CE51" w:rsidR="00D1268C" w:rsidRPr="00D1268C" w:rsidRDefault="00D1268C" w:rsidP="00D1268C">
      <w:pPr>
        <w:ind w:left="720"/>
        <w:jc w:val="both"/>
        <w:rPr>
          <w:rFonts w:ascii="Arial" w:hAnsi="Arial" w:cs="Arial"/>
          <w:color w:val="FF0080"/>
          <w:u w:val="single"/>
        </w:rPr>
      </w:pPr>
      <w:r>
        <w:t>performance: Testing the mediating role of competitive strategy in Indonesian processed food SMEs. Journal of Law and Interdisciplinary Studies, 13(1), 242–257.</w:t>
      </w:r>
    </w:p>
    <w:p w14:paraId="2B17361F" w14:textId="77777777" w:rsidR="00807CC4" w:rsidRDefault="00807CC4" w:rsidP="00807CC4">
      <w:pPr>
        <w:jc w:val="both"/>
        <w:rPr>
          <w:rFonts w:ascii="Arial" w:hAnsi="Arial" w:cs="Arial"/>
        </w:rPr>
      </w:pPr>
      <w:r w:rsidRPr="00665787">
        <w:rPr>
          <w:rFonts w:ascii="Arial" w:hAnsi="Arial" w:cs="Arial"/>
        </w:rPr>
        <w:t xml:space="preserve">OECD. (2018). </w:t>
      </w:r>
      <w:r w:rsidRPr="00665787">
        <w:rPr>
          <w:rFonts w:ascii="Arial" w:hAnsi="Arial" w:cs="Arial"/>
          <w:i/>
          <w:iCs/>
        </w:rPr>
        <w:t>Oslo Manual 2018: Guidelines for collecting, reporting and using data on innovation</w:t>
      </w:r>
      <w:r w:rsidRPr="00665787">
        <w:rPr>
          <w:rFonts w:ascii="Arial" w:hAnsi="Arial" w:cs="Arial"/>
        </w:rPr>
        <w:t xml:space="preserve"> (4th </w:t>
      </w:r>
    </w:p>
    <w:p w14:paraId="348411A3" w14:textId="77777777" w:rsidR="00807CC4" w:rsidRPr="00E6444A" w:rsidRDefault="00807CC4" w:rsidP="00807CC4">
      <w:pPr>
        <w:ind w:firstLine="720"/>
        <w:jc w:val="both"/>
        <w:rPr>
          <w:rFonts w:ascii="Arial" w:hAnsi="Arial" w:cs="Arial"/>
        </w:rPr>
      </w:pPr>
      <w:r w:rsidRPr="00665787">
        <w:rPr>
          <w:rFonts w:ascii="Arial" w:hAnsi="Arial" w:cs="Arial"/>
        </w:rPr>
        <w:t xml:space="preserve">ed.). OECD Publishing. </w:t>
      </w:r>
      <w:hyperlink r:id="rId25" w:history="1">
        <w:r w:rsidRPr="00665787">
          <w:rPr>
            <w:rStyle w:val="Hyperlink"/>
            <w:rFonts w:ascii="Arial" w:hAnsi="Arial" w:cs="Arial"/>
          </w:rPr>
          <w:t>https://doi.org/10.1787/9789264304604-en</w:t>
        </w:r>
      </w:hyperlink>
    </w:p>
    <w:p w14:paraId="49A573E7" w14:textId="77777777" w:rsidR="00807CC4" w:rsidRDefault="00807CC4" w:rsidP="00807CC4">
      <w:pPr>
        <w:jc w:val="both"/>
        <w:rPr>
          <w:rFonts w:ascii="Arial" w:hAnsi="Arial" w:cs="Arial"/>
          <w:i/>
          <w:iCs/>
        </w:rPr>
      </w:pPr>
      <w:r w:rsidRPr="00665787">
        <w:rPr>
          <w:rFonts w:ascii="Arial" w:hAnsi="Arial" w:cs="Arial"/>
        </w:rPr>
        <w:t xml:space="preserve">Palikot, E. (2023). Competition–innovation nexus: Product vs. process, does it matter? </w:t>
      </w:r>
      <w:r w:rsidRPr="00665787">
        <w:rPr>
          <w:rFonts w:ascii="Arial" w:hAnsi="Arial" w:cs="Arial"/>
          <w:i/>
          <w:iCs/>
        </w:rPr>
        <w:t xml:space="preserve">Econometrics, </w:t>
      </w:r>
    </w:p>
    <w:p w14:paraId="0F7FE671" w14:textId="77777777" w:rsidR="00D1268C" w:rsidRDefault="00807CC4" w:rsidP="00D1268C">
      <w:pPr>
        <w:ind w:firstLine="720"/>
        <w:jc w:val="both"/>
        <w:rPr>
          <w:rFonts w:ascii="Arial" w:hAnsi="Arial" w:cs="Arial"/>
        </w:rPr>
      </w:pPr>
      <w:r w:rsidRPr="00665787">
        <w:rPr>
          <w:rFonts w:ascii="Arial" w:hAnsi="Arial" w:cs="Arial"/>
          <w:i/>
          <w:iCs/>
        </w:rPr>
        <w:t>11</w:t>
      </w:r>
      <w:r w:rsidRPr="00665787">
        <w:rPr>
          <w:rFonts w:ascii="Arial" w:hAnsi="Arial" w:cs="Arial"/>
        </w:rPr>
        <w:t xml:space="preserve">(3), 21. </w:t>
      </w:r>
      <w:hyperlink r:id="rId26" w:history="1">
        <w:r w:rsidRPr="00665787">
          <w:rPr>
            <w:rStyle w:val="Hyperlink"/>
            <w:rFonts w:ascii="Arial" w:hAnsi="Arial" w:cs="Arial"/>
          </w:rPr>
          <w:t>https://doi.org/10.3390/econometrics11030021</w:t>
        </w:r>
      </w:hyperlink>
    </w:p>
    <w:p w14:paraId="0D80B8D7" w14:textId="77777777" w:rsidR="00D1268C" w:rsidRDefault="00D1268C" w:rsidP="00D1268C">
      <w:pPr>
        <w:jc w:val="both"/>
        <w:rPr>
          <w:rFonts w:cs="Helvetica"/>
          <w:color w:val="222222"/>
          <w:shd w:val="clear" w:color="auto" w:fill="FFFFFF"/>
        </w:rPr>
      </w:pPr>
      <w:r>
        <w:rPr>
          <w:rFonts w:cs="Helvetica"/>
          <w:color w:val="222222"/>
          <w:shd w:val="clear" w:color="auto" w:fill="FFFFFF"/>
        </w:rPr>
        <w:t>Sulemana, M.A., Tutu-Boahene, B., Owusu, S.O. </w:t>
      </w:r>
      <w:r>
        <w:rPr>
          <w:rFonts w:cs="Helvetica"/>
          <w:i/>
          <w:iCs/>
          <w:color w:val="222222"/>
          <w:shd w:val="clear" w:color="auto" w:fill="FFFFFF"/>
        </w:rPr>
        <w:t>et al.</w:t>
      </w:r>
      <w:r>
        <w:rPr>
          <w:rFonts w:cs="Helvetica"/>
          <w:color w:val="222222"/>
          <w:shd w:val="clear" w:color="auto" w:fill="FFFFFF"/>
        </w:rPr>
        <w:t xml:space="preserve"> The role of absorptive capacity in strengthening entrepreneurial </w:t>
      </w:r>
    </w:p>
    <w:p w14:paraId="119B166A" w14:textId="0DE60C53" w:rsidR="00D1268C" w:rsidRDefault="00D1268C" w:rsidP="00D1268C">
      <w:pPr>
        <w:ind w:left="720"/>
        <w:jc w:val="both"/>
        <w:rPr>
          <w:rFonts w:ascii="Arial" w:hAnsi="Arial" w:cs="Arial"/>
        </w:rPr>
      </w:pPr>
      <w:r>
        <w:rPr>
          <w:rFonts w:cs="Helvetica"/>
          <w:color w:val="222222"/>
          <w:shd w:val="clear" w:color="auto" w:fill="FFFFFF"/>
        </w:rPr>
        <w:t>innovation and agribusiness competitiveness among food processing SMEs in Ghana. </w:t>
      </w:r>
      <w:proofErr w:type="spellStart"/>
      <w:r>
        <w:rPr>
          <w:rFonts w:cs="Helvetica"/>
          <w:i/>
          <w:iCs/>
          <w:color w:val="222222"/>
          <w:shd w:val="clear" w:color="auto" w:fill="FFFFFF"/>
        </w:rPr>
        <w:t>Discov</w:t>
      </w:r>
      <w:proofErr w:type="spellEnd"/>
      <w:r>
        <w:rPr>
          <w:rFonts w:cs="Helvetica"/>
          <w:i/>
          <w:iCs/>
          <w:color w:val="222222"/>
          <w:shd w:val="clear" w:color="auto" w:fill="FFFFFF"/>
        </w:rPr>
        <w:t xml:space="preserve"> Agric</w:t>
      </w:r>
      <w:r>
        <w:rPr>
          <w:rFonts w:cs="Helvetica"/>
          <w:color w:val="222222"/>
          <w:shd w:val="clear" w:color="auto" w:fill="FFFFFF"/>
        </w:rPr>
        <w:t> </w:t>
      </w:r>
      <w:r>
        <w:rPr>
          <w:rFonts w:cs="Helvetica"/>
          <w:b/>
          <w:bCs/>
          <w:color w:val="222222"/>
          <w:shd w:val="clear" w:color="auto" w:fill="FFFFFF"/>
        </w:rPr>
        <w:t>4</w:t>
      </w:r>
      <w:r>
        <w:rPr>
          <w:rFonts w:cs="Helvetica"/>
          <w:color w:val="222222"/>
          <w:shd w:val="clear" w:color="auto" w:fill="FFFFFF"/>
        </w:rPr>
        <w:t xml:space="preserve">, 7 (2026). </w:t>
      </w:r>
      <w:hyperlink r:id="rId27" w:history="1">
        <w:r w:rsidRPr="003D474B">
          <w:rPr>
            <w:rStyle w:val="Hyperlink"/>
            <w:rFonts w:cs="Helvetica"/>
            <w:shd w:val="clear" w:color="auto" w:fill="FFFFFF"/>
          </w:rPr>
          <w:t>https://doi.org/10.1007/s44279-025-00466-3</w:t>
        </w:r>
      </w:hyperlink>
    </w:p>
    <w:p w14:paraId="4F502E16" w14:textId="34E6B42E" w:rsidR="00807CC4" w:rsidRPr="00665787" w:rsidRDefault="00807CC4" w:rsidP="00807CC4">
      <w:pPr>
        <w:jc w:val="both"/>
        <w:rPr>
          <w:rFonts w:ascii="Arial" w:hAnsi="Arial" w:cs="Arial"/>
        </w:rPr>
      </w:pPr>
      <w:r w:rsidRPr="00665787">
        <w:rPr>
          <w:rFonts w:ascii="Arial" w:hAnsi="Arial" w:cs="Arial"/>
        </w:rPr>
        <w:t xml:space="preserve">Wooldridge, J. M. (2010). </w:t>
      </w:r>
      <w:r w:rsidRPr="00665787">
        <w:rPr>
          <w:rFonts w:ascii="Arial" w:hAnsi="Arial" w:cs="Arial"/>
          <w:i/>
          <w:iCs/>
        </w:rPr>
        <w:t>Econometric analysis of cross section and panel data</w:t>
      </w:r>
      <w:r w:rsidRPr="00665787">
        <w:rPr>
          <w:rFonts w:ascii="Arial" w:hAnsi="Arial" w:cs="Arial"/>
        </w:rPr>
        <w:t xml:space="preserve"> (2nd ed.). MIT Press.</w:t>
      </w:r>
    </w:p>
    <w:p w14:paraId="5204CF8B" w14:textId="77777777" w:rsidR="00807CC4" w:rsidRPr="00665787" w:rsidRDefault="00807CC4" w:rsidP="00807CC4">
      <w:pPr>
        <w:jc w:val="both"/>
        <w:rPr>
          <w:rFonts w:ascii="Arial" w:hAnsi="Arial" w:cs="Arial"/>
        </w:rPr>
      </w:pPr>
      <w:r w:rsidRPr="00665787">
        <w:rPr>
          <w:rFonts w:ascii="Arial" w:hAnsi="Arial" w:cs="Arial"/>
        </w:rPr>
        <w:t xml:space="preserve">World Bank. (2023). </w:t>
      </w:r>
      <w:r w:rsidRPr="00665787">
        <w:rPr>
          <w:rStyle w:val="Emphasis"/>
          <w:rFonts w:ascii="Arial" w:hAnsi="Arial" w:cs="Arial"/>
        </w:rPr>
        <w:t>Enterprise Surveys: Ghana 2023 Dataset</w:t>
      </w:r>
      <w:r w:rsidRPr="00665787">
        <w:rPr>
          <w:rFonts w:ascii="Arial" w:hAnsi="Arial" w:cs="Arial"/>
        </w:rPr>
        <w:t>. Washington, DC: World Bank.</w:t>
      </w:r>
    </w:p>
    <w:p w14:paraId="1D9AE143" w14:textId="77777777" w:rsidR="00807CC4" w:rsidRDefault="00807CC4" w:rsidP="00807CC4">
      <w:pPr>
        <w:jc w:val="both"/>
        <w:rPr>
          <w:rFonts w:ascii="Arial" w:hAnsi="Arial" w:cs="Arial"/>
        </w:rPr>
      </w:pPr>
      <w:r w:rsidRPr="00665787">
        <w:rPr>
          <w:rFonts w:ascii="Arial" w:hAnsi="Arial" w:cs="Arial"/>
        </w:rPr>
        <w:t xml:space="preserve">Yamaguchi, S., Nitta, R., Hara, Y., &amp; Shimizu, H. (2025). Age of U.S. public firms, proximity to the past </w:t>
      </w:r>
    </w:p>
    <w:p w14:paraId="59C0920B" w14:textId="77777777" w:rsidR="00807CC4" w:rsidRPr="00665787" w:rsidRDefault="00807CC4" w:rsidP="00807CC4">
      <w:pPr>
        <w:ind w:left="720"/>
        <w:jc w:val="both"/>
        <w:rPr>
          <w:rFonts w:ascii="Arial" w:hAnsi="Arial" w:cs="Arial"/>
        </w:rPr>
      </w:pPr>
      <w:r w:rsidRPr="00665787">
        <w:rPr>
          <w:rFonts w:ascii="Arial" w:hAnsi="Arial" w:cs="Arial"/>
        </w:rPr>
        <w:t xml:space="preserve">patent portfolio, and innovation. </w:t>
      </w:r>
      <w:r w:rsidRPr="00665787">
        <w:rPr>
          <w:rFonts w:ascii="Arial" w:hAnsi="Arial" w:cs="Arial"/>
          <w:i/>
          <w:iCs/>
        </w:rPr>
        <w:t>Journal of Evolutionary Economics, 35</w:t>
      </w:r>
      <w:r w:rsidRPr="00665787">
        <w:rPr>
          <w:rFonts w:ascii="Arial" w:hAnsi="Arial" w:cs="Arial"/>
        </w:rPr>
        <w:t xml:space="preserve">, 415–439. </w:t>
      </w:r>
      <w:hyperlink r:id="rId28" w:history="1">
        <w:r w:rsidRPr="00665787">
          <w:rPr>
            <w:rStyle w:val="Hyperlink"/>
            <w:rFonts w:ascii="Arial" w:hAnsi="Arial" w:cs="Arial"/>
          </w:rPr>
          <w:t>https://doi.org/10.1007/s00191-025-00898-6</w:t>
        </w:r>
      </w:hyperlink>
    </w:p>
    <w:p w14:paraId="4BAF8D82" w14:textId="77777777" w:rsidR="00807CC4" w:rsidRPr="00665787" w:rsidRDefault="00807CC4" w:rsidP="00807CC4">
      <w:pPr>
        <w:jc w:val="both"/>
        <w:rPr>
          <w:rFonts w:ascii="Arial" w:hAnsi="Arial" w:cs="Arial"/>
        </w:rPr>
      </w:pPr>
      <w:proofErr w:type="spellStart"/>
      <w:r w:rsidRPr="00665787">
        <w:rPr>
          <w:rFonts w:ascii="Arial" w:hAnsi="Arial" w:cs="Arial"/>
        </w:rPr>
        <w:t>YuSheng</w:t>
      </w:r>
      <w:proofErr w:type="spellEnd"/>
      <w:r w:rsidRPr="00665787">
        <w:rPr>
          <w:rFonts w:ascii="Arial" w:hAnsi="Arial" w:cs="Arial"/>
        </w:rPr>
        <w:t xml:space="preserve">, K., &amp; Ibrahim, M. (2020). Innovation capabilities, innovation types, and firm </w:t>
      </w:r>
    </w:p>
    <w:p w14:paraId="28D48214" w14:textId="77777777" w:rsidR="00807CC4" w:rsidRPr="00665787" w:rsidRDefault="00807CC4" w:rsidP="00807CC4">
      <w:pPr>
        <w:ind w:left="720"/>
        <w:jc w:val="both"/>
        <w:rPr>
          <w:rFonts w:ascii="Arial" w:hAnsi="Arial" w:cs="Arial"/>
        </w:rPr>
      </w:pPr>
      <w:r w:rsidRPr="00665787">
        <w:rPr>
          <w:rFonts w:ascii="Arial" w:hAnsi="Arial" w:cs="Arial"/>
        </w:rPr>
        <w:t xml:space="preserve">performance: Evidence from the banking sector of Ghana. </w:t>
      </w:r>
      <w:r w:rsidRPr="00665787">
        <w:rPr>
          <w:rFonts w:ascii="Arial" w:hAnsi="Arial" w:cs="Arial"/>
          <w:i/>
          <w:iCs/>
        </w:rPr>
        <w:t>Journal of Open Innovation: Technology, Market, and Complexity, 6</w:t>
      </w:r>
      <w:r w:rsidRPr="00665787">
        <w:rPr>
          <w:rFonts w:ascii="Arial" w:hAnsi="Arial" w:cs="Arial"/>
        </w:rPr>
        <w:t xml:space="preserve">(4), 1–20. </w:t>
      </w:r>
      <w:hyperlink r:id="rId29" w:history="1">
        <w:r w:rsidRPr="00665787">
          <w:rPr>
            <w:rStyle w:val="Hyperlink"/>
            <w:rFonts w:ascii="Arial" w:hAnsi="Arial" w:cs="Arial"/>
          </w:rPr>
          <w:t>https://doi.org/10.1177/2158244020920892</w:t>
        </w:r>
      </w:hyperlink>
    </w:p>
    <w:p w14:paraId="7B8F0889" w14:textId="77777777" w:rsidR="00807CC4" w:rsidRDefault="00807CC4" w:rsidP="00807CC4">
      <w:pPr>
        <w:jc w:val="both"/>
        <w:rPr>
          <w:rFonts w:ascii="Arial" w:hAnsi="Arial" w:cs="Arial"/>
        </w:rPr>
      </w:pPr>
      <w:r w:rsidRPr="00665787">
        <w:rPr>
          <w:rFonts w:ascii="Arial" w:hAnsi="Arial" w:cs="Arial"/>
        </w:rPr>
        <w:t xml:space="preserve">Zaman, M., &amp; </w:t>
      </w:r>
      <w:proofErr w:type="spellStart"/>
      <w:r w:rsidRPr="00665787">
        <w:rPr>
          <w:rFonts w:ascii="Arial" w:hAnsi="Arial" w:cs="Arial"/>
        </w:rPr>
        <w:t>Tanewski</w:t>
      </w:r>
      <w:proofErr w:type="spellEnd"/>
      <w:r w:rsidRPr="00665787">
        <w:rPr>
          <w:rFonts w:ascii="Arial" w:hAnsi="Arial" w:cs="Arial"/>
        </w:rPr>
        <w:t xml:space="preserve">, G. (2024). R&amp;D investment, innovation, and export performance: An analysis of </w:t>
      </w:r>
    </w:p>
    <w:p w14:paraId="05A22991" w14:textId="66D224EC" w:rsidR="00B01FCD" w:rsidRPr="00D1268C" w:rsidRDefault="00807CC4" w:rsidP="00D1268C">
      <w:pPr>
        <w:ind w:left="720"/>
        <w:jc w:val="both"/>
        <w:rPr>
          <w:rFonts w:ascii="Arial" w:hAnsi="Arial" w:cs="Arial"/>
        </w:rPr>
      </w:pPr>
      <w:r w:rsidRPr="00665787">
        <w:rPr>
          <w:rFonts w:ascii="Arial" w:hAnsi="Arial" w:cs="Arial"/>
        </w:rPr>
        <w:t xml:space="preserve">SME and large firms. </w:t>
      </w:r>
      <w:r w:rsidRPr="00665787">
        <w:rPr>
          <w:rFonts w:ascii="Arial" w:hAnsi="Arial" w:cs="Arial"/>
          <w:i/>
          <w:iCs/>
        </w:rPr>
        <w:t>Journal of Small Business Management, 62</w:t>
      </w:r>
      <w:r w:rsidRPr="00665787">
        <w:rPr>
          <w:rFonts w:ascii="Arial" w:hAnsi="Arial" w:cs="Arial"/>
        </w:rPr>
        <w:t xml:space="preserve">, 3053–3086. </w:t>
      </w:r>
      <w:hyperlink r:id="rId30" w:history="1">
        <w:r w:rsidRPr="00665787">
          <w:rPr>
            <w:rStyle w:val="Hyperlink"/>
            <w:rFonts w:ascii="Arial" w:hAnsi="Arial" w:cs="Arial"/>
          </w:rPr>
          <w:t>https://doi.org/10.1080/00472778.2023.2291363</w:t>
        </w:r>
      </w:hyperlink>
    </w:p>
    <w:sectPr w:rsidR="00B01FCD" w:rsidRPr="00D1268C" w:rsidSect="003E75FE">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6097" w14:textId="77777777" w:rsidR="0021590F" w:rsidRDefault="0021590F" w:rsidP="00C37E61">
      <w:r>
        <w:separator/>
      </w:r>
    </w:p>
  </w:endnote>
  <w:endnote w:type="continuationSeparator" w:id="0">
    <w:p w14:paraId="128DD731" w14:textId="77777777" w:rsidR="0021590F" w:rsidRDefault="002159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E048" w14:textId="77777777" w:rsidR="00B82B32" w:rsidRDefault="00B8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94E" w14:textId="77777777" w:rsidR="00B82B32" w:rsidRDefault="00B82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72D9" w14:textId="77777777" w:rsidR="00B82B32" w:rsidRDefault="00B82B32">
    <w:pPr>
      <w:pStyle w:val="Footer"/>
      <w:rPr>
        <w:rFonts w:ascii="Arial" w:hAnsi="Arial" w:cs="Arial"/>
        <w:sz w:val="16"/>
      </w:rPr>
    </w:pPr>
  </w:p>
  <w:p w14:paraId="35F79439" w14:textId="77777777" w:rsidR="00B82B32" w:rsidRDefault="00B82B3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5FE1AAE" w14:textId="77777777" w:rsidR="00B82B32" w:rsidRDefault="00B82B32">
    <w:pPr>
      <w:pStyle w:val="Footer"/>
      <w:rPr>
        <w:rFonts w:ascii="Arial" w:hAnsi="Arial" w:cs="Arial"/>
        <w:sz w:val="16"/>
      </w:rPr>
    </w:pPr>
  </w:p>
  <w:p w14:paraId="30528C75" w14:textId="6CB73787" w:rsidR="00B82B32" w:rsidRPr="009E048A" w:rsidRDefault="00B82B3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50B1" w14:textId="77777777" w:rsidR="00B82B32" w:rsidRPr="00C37E61" w:rsidRDefault="00B82B3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6B92" w14:textId="77777777" w:rsidR="0021590F" w:rsidRDefault="0021590F" w:rsidP="00C37E61">
      <w:r>
        <w:separator/>
      </w:r>
    </w:p>
  </w:footnote>
  <w:footnote w:type="continuationSeparator" w:id="0">
    <w:p w14:paraId="7BB8229A" w14:textId="77777777" w:rsidR="0021590F" w:rsidRDefault="002159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636" w14:textId="5AE8A11D" w:rsidR="00B82B32" w:rsidRDefault="00000000">
    <w:pPr>
      <w:pStyle w:val="Header"/>
    </w:pPr>
    <w:r>
      <w:rPr>
        <w:noProof/>
      </w:rPr>
      <w:pict w14:anchorId="6877E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3" o:spid="_x0000_s1026" type="#_x0000_t136" style="position:absolute;margin-left:0;margin-top:0;width:520.7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F0A" w14:textId="12F5A985" w:rsidR="00B82B32" w:rsidRDefault="00000000">
    <w:pPr>
      <w:pStyle w:val="Header"/>
    </w:pPr>
    <w:r>
      <w:rPr>
        <w:noProof/>
      </w:rPr>
      <w:pict w14:anchorId="5F066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4" o:spid="_x0000_s1027" type="#_x0000_t136" style="position:absolute;margin-left:0;margin-top:0;width:520.7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F0B4" w14:textId="4DE98524" w:rsidR="00B82B32" w:rsidRPr="00296529" w:rsidRDefault="00000000" w:rsidP="00296529">
    <w:pPr>
      <w:ind w:left="2160"/>
      <w:jc w:val="center"/>
      <w:rPr>
        <w:rFonts w:ascii="Times New Roman" w:eastAsia="Calibri" w:hAnsi="Times New Roman"/>
        <w:i/>
        <w:sz w:val="18"/>
        <w:szCs w:val="22"/>
      </w:rPr>
    </w:pPr>
    <w:r>
      <w:rPr>
        <w:noProof/>
      </w:rPr>
      <w:pict w14:anchorId="2CC64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2" o:spid="_x0000_s1025" type="#_x0000_t136" style="position:absolute;left:0;text-align:left;margin-left:0;margin-top:0;width:520.7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90EC87" w14:textId="77777777" w:rsidR="00B82B32" w:rsidRPr="00296529" w:rsidRDefault="00B82B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CEC74A" w14:textId="77777777" w:rsidR="00B82B32" w:rsidRPr="00296529" w:rsidRDefault="00B82B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C05055" w14:textId="77777777" w:rsidR="00B82B32" w:rsidRPr="00296529" w:rsidRDefault="00B82B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D67651" w14:textId="77777777" w:rsidR="00B82B32" w:rsidRDefault="00B82B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85C60F" w14:textId="77777777" w:rsidR="00B82B32" w:rsidRDefault="00B82B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0C15FA" w14:textId="77777777" w:rsidR="00B82B32" w:rsidRDefault="00B82B3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439" w14:textId="4B75517F" w:rsidR="00B82B32" w:rsidRDefault="00000000">
    <w:pPr>
      <w:pStyle w:val="Header"/>
    </w:pPr>
    <w:r>
      <w:rPr>
        <w:noProof/>
      </w:rPr>
      <w:pict w14:anchorId="6C13B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6" o:spid="_x0000_s1031" type="#_x0000_t136" style="position:absolute;margin-left:0;margin-top:0;width:520.7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E845B6B">
        <v:shape id="_x0000_s1030" type="#_x0000_t136" style="position:absolute;margin-left:0;margin-top:0;width:520.7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8E93" w14:textId="213D2389" w:rsidR="00B82B32" w:rsidRDefault="00000000">
    <w:pPr>
      <w:pStyle w:val="Header"/>
    </w:pPr>
    <w:r>
      <w:rPr>
        <w:noProof/>
      </w:rPr>
      <w:pict w14:anchorId="4D571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7" o:spid="_x0000_s1033" type="#_x0000_t136" style="position:absolute;margin-left:0;margin-top:0;width:520.7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226A425C">
        <v:shape id="_x0000_s1032" type="#_x0000_t136" style="position:absolute;margin-left:0;margin-top:0;width:520.7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4915" w14:textId="05452442" w:rsidR="00B82B32" w:rsidRPr="00296529" w:rsidRDefault="00000000" w:rsidP="00296529">
    <w:pPr>
      <w:ind w:left="2160"/>
      <w:jc w:val="center"/>
      <w:rPr>
        <w:rFonts w:ascii="Times New Roman" w:eastAsia="Calibri" w:hAnsi="Times New Roman"/>
        <w:i/>
        <w:sz w:val="18"/>
        <w:szCs w:val="22"/>
      </w:rPr>
    </w:pPr>
    <w:r>
      <w:rPr>
        <w:noProof/>
      </w:rPr>
      <w:pict w14:anchorId="1FD9E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72815" o:spid="_x0000_s1029" type="#_x0000_t136" style="position:absolute;left:0;text-align:left;margin-left:0;margin-top:0;width:520.7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714D81D9">
        <v:shape id="_x0000_s1028" type="#_x0000_t136" style="position:absolute;left:0;text-align:left;margin-left:0;margin-top:0;width:520.7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AF9029" w14:textId="77777777" w:rsidR="00B82B32" w:rsidRPr="00296529" w:rsidRDefault="00B82B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B3A2D17" w14:textId="77777777" w:rsidR="00B82B32" w:rsidRPr="00296529" w:rsidRDefault="00B82B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E0AE09" w14:textId="77777777" w:rsidR="00B82B32" w:rsidRPr="00296529" w:rsidRDefault="00B82B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817194" w14:textId="77777777" w:rsidR="00B82B32" w:rsidRDefault="00B82B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EEFA3C" w14:textId="77777777" w:rsidR="00B82B32" w:rsidRDefault="00B82B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027D81" w14:textId="77777777" w:rsidR="00B82B32" w:rsidRDefault="00B82B3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E7838"/>
    <w:multiLevelType w:val="multilevel"/>
    <w:tmpl w:val="97D2BC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64992"/>
    <w:multiLevelType w:val="hybridMultilevel"/>
    <w:tmpl w:val="B6381238"/>
    <w:lvl w:ilvl="0" w:tplc="4A5E8C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9382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5332126">
    <w:abstractNumId w:val="15"/>
  </w:num>
  <w:num w:numId="3" w16cid:durableId="775520137">
    <w:abstractNumId w:val="25"/>
  </w:num>
  <w:num w:numId="4" w16cid:durableId="3297231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906214">
    <w:abstractNumId w:val="7"/>
  </w:num>
  <w:num w:numId="6" w16cid:durableId="1995987756">
    <w:abstractNumId w:val="6"/>
  </w:num>
  <w:num w:numId="7" w16cid:durableId="1947812203">
    <w:abstractNumId w:val="1"/>
  </w:num>
  <w:num w:numId="8" w16cid:durableId="1417245979">
    <w:abstractNumId w:val="12"/>
  </w:num>
  <w:num w:numId="9" w16cid:durableId="251397005">
    <w:abstractNumId w:val="27"/>
  </w:num>
  <w:num w:numId="10" w16cid:durableId="1863666843">
    <w:abstractNumId w:val="2"/>
  </w:num>
  <w:num w:numId="11" w16cid:durableId="177162738">
    <w:abstractNumId w:val="20"/>
  </w:num>
  <w:num w:numId="12" w16cid:durableId="2049599539">
    <w:abstractNumId w:val="3"/>
  </w:num>
  <w:num w:numId="13" w16cid:durableId="139200880">
    <w:abstractNumId w:val="18"/>
  </w:num>
  <w:num w:numId="14" w16cid:durableId="1747071143">
    <w:abstractNumId w:val="8"/>
  </w:num>
  <w:num w:numId="15" w16cid:durableId="409280765">
    <w:abstractNumId w:val="23"/>
  </w:num>
  <w:num w:numId="16" w16cid:durableId="739063803">
    <w:abstractNumId w:val="5"/>
  </w:num>
  <w:num w:numId="17" w16cid:durableId="199513786">
    <w:abstractNumId w:val="24"/>
  </w:num>
  <w:num w:numId="18" w16cid:durableId="339552392">
    <w:abstractNumId w:val="14"/>
  </w:num>
  <w:num w:numId="19" w16cid:durableId="625621272">
    <w:abstractNumId w:val="30"/>
  </w:num>
  <w:num w:numId="20" w16cid:durableId="1341619328">
    <w:abstractNumId w:val="11"/>
  </w:num>
  <w:num w:numId="21" w16cid:durableId="724527334">
    <w:abstractNumId w:val="9"/>
  </w:num>
  <w:num w:numId="22" w16cid:durableId="1763263269">
    <w:abstractNumId w:val="13"/>
  </w:num>
  <w:num w:numId="23" w16cid:durableId="717702054">
    <w:abstractNumId w:val="21"/>
  </w:num>
  <w:num w:numId="24" w16cid:durableId="2045983793">
    <w:abstractNumId w:val="28"/>
  </w:num>
  <w:num w:numId="25" w16cid:durableId="1249383206">
    <w:abstractNumId w:val="4"/>
  </w:num>
  <w:num w:numId="26" w16cid:durableId="1014646613">
    <w:abstractNumId w:val="16"/>
  </w:num>
  <w:num w:numId="27" w16cid:durableId="782303524">
    <w:abstractNumId w:val="22"/>
  </w:num>
  <w:num w:numId="28" w16cid:durableId="1075594133">
    <w:abstractNumId w:val="29"/>
  </w:num>
  <w:num w:numId="29" w16cid:durableId="2114393955">
    <w:abstractNumId w:val="26"/>
  </w:num>
  <w:num w:numId="30" w16cid:durableId="897403557">
    <w:abstractNumId w:val="10"/>
  </w:num>
  <w:num w:numId="31" w16cid:durableId="960843366">
    <w:abstractNumId w:val="17"/>
  </w:num>
  <w:num w:numId="32" w16cid:durableId="2023584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00"/>
    <w:rsid w:val="00030174"/>
    <w:rsid w:val="0004579C"/>
    <w:rsid w:val="000A2A52"/>
    <w:rsid w:val="000A47FA"/>
    <w:rsid w:val="000A65D3"/>
    <w:rsid w:val="000B1E33"/>
    <w:rsid w:val="000D689F"/>
    <w:rsid w:val="000E7B7B"/>
    <w:rsid w:val="000E7D62"/>
    <w:rsid w:val="00103357"/>
    <w:rsid w:val="00123C9F"/>
    <w:rsid w:val="00126190"/>
    <w:rsid w:val="00130F17"/>
    <w:rsid w:val="001320BF"/>
    <w:rsid w:val="0015038E"/>
    <w:rsid w:val="00163BC4"/>
    <w:rsid w:val="00191062"/>
    <w:rsid w:val="00192B72"/>
    <w:rsid w:val="001A29D8"/>
    <w:rsid w:val="001A5CAA"/>
    <w:rsid w:val="001B0427"/>
    <w:rsid w:val="001D3A51"/>
    <w:rsid w:val="001E10D2"/>
    <w:rsid w:val="001E25B4"/>
    <w:rsid w:val="001E44FE"/>
    <w:rsid w:val="00200595"/>
    <w:rsid w:val="00204835"/>
    <w:rsid w:val="0021590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75FE"/>
    <w:rsid w:val="00401927"/>
    <w:rsid w:val="0041027F"/>
    <w:rsid w:val="00412475"/>
    <w:rsid w:val="004133D7"/>
    <w:rsid w:val="00414522"/>
    <w:rsid w:val="00423789"/>
    <w:rsid w:val="00440F43"/>
    <w:rsid w:val="00441B6F"/>
    <w:rsid w:val="00446221"/>
    <w:rsid w:val="00446CA7"/>
    <w:rsid w:val="00450E62"/>
    <w:rsid w:val="004539DB"/>
    <w:rsid w:val="00471A80"/>
    <w:rsid w:val="004D305E"/>
    <w:rsid w:val="004D3EF2"/>
    <w:rsid w:val="004D4277"/>
    <w:rsid w:val="004F09D6"/>
    <w:rsid w:val="00502516"/>
    <w:rsid w:val="00505F06"/>
    <w:rsid w:val="00506828"/>
    <w:rsid w:val="0053056E"/>
    <w:rsid w:val="00554FDA"/>
    <w:rsid w:val="005C784C"/>
    <w:rsid w:val="005D17F6"/>
    <w:rsid w:val="005E1DD3"/>
    <w:rsid w:val="005E5539"/>
    <w:rsid w:val="00602BF5"/>
    <w:rsid w:val="00617B7E"/>
    <w:rsid w:val="00617FDD"/>
    <w:rsid w:val="00633614"/>
    <w:rsid w:val="00633F68"/>
    <w:rsid w:val="00636EB2"/>
    <w:rsid w:val="006375B8"/>
    <w:rsid w:val="0066510A"/>
    <w:rsid w:val="00670BAE"/>
    <w:rsid w:val="00673F9F"/>
    <w:rsid w:val="00685FAC"/>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6069"/>
    <w:rsid w:val="00761D52"/>
    <w:rsid w:val="0077749E"/>
    <w:rsid w:val="00790ADA"/>
    <w:rsid w:val="007B22AC"/>
    <w:rsid w:val="007C1F1A"/>
    <w:rsid w:val="007D2288"/>
    <w:rsid w:val="007D631E"/>
    <w:rsid w:val="007E088F"/>
    <w:rsid w:val="007E50E4"/>
    <w:rsid w:val="007F7B32"/>
    <w:rsid w:val="00804BC2"/>
    <w:rsid w:val="00807CC4"/>
    <w:rsid w:val="0081431A"/>
    <w:rsid w:val="0083216F"/>
    <w:rsid w:val="00860000"/>
    <w:rsid w:val="00863BD3"/>
    <w:rsid w:val="008641ED"/>
    <w:rsid w:val="00866D66"/>
    <w:rsid w:val="008671C6"/>
    <w:rsid w:val="00875803"/>
    <w:rsid w:val="008B459E"/>
    <w:rsid w:val="008D580F"/>
    <w:rsid w:val="008E13AE"/>
    <w:rsid w:val="008E1506"/>
    <w:rsid w:val="008E710C"/>
    <w:rsid w:val="008F69D6"/>
    <w:rsid w:val="00902823"/>
    <w:rsid w:val="00915CA6"/>
    <w:rsid w:val="00927834"/>
    <w:rsid w:val="00945EE6"/>
    <w:rsid w:val="009500A6"/>
    <w:rsid w:val="00957C18"/>
    <w:rsid w:val="009659BA"/>
    <w:rsid w:val="00983040"/>
    <w:rsid w:val="009B3FB9"/>
    <w:rsid w:val="009C2465"/>
    <w:rsid w:val="009C69BF"/>
    <w:rsid w:val="009D35A0"/>
    <w:rsid w:val="009D7EB7"/>
    <w:rsid w:val="009E048A"/>
    <w:rsid w:val="009E08E9"/>
    <w:rsid w:val="009E3DB9"/>
    <w:rsid w:val="009E6E35"/>
    <w:rsid w:val="009F0EDA"/>
    <w:rsid w:val="00A03B96"/>
    <w:rsid w:val="00A05B19"/>
    <w:rsid w:val="00A07D32"/>
    <w:rsid w:val="00A1134E"/>
    <w:rsid w:val="00A24E7E"/>
    <w:rsid w:val="00A258C3"/>
    <w:rsid w:val="00A347C0"/>
    <w:rsid w:val="00A51431"/>
    <w:rsid w:val="00A539AD"/>
    <w:rsid w:val="00A90D46"/>
    <w:rsid w:val="00A94063"/>
    <w:rsid w:val="00AA6219"/>
    <w:rsid w:val="00AA74E0"/>
    <w:rsid w:val="00AB703F"/>
    <w:rsid w:val="00AC6BB8"/>
    <w:rsid w:val="00AE008F"/>
    <w:rsid w:val="00B01FCD"/>
    <w:rsid w:val="00B1776C"/>
    <w:rsid w:val="00B52583"/>
    <w:rsid w:val="00B52896"/>
    <w:rsid w:val="00B8158B"/>
    <w:rsid w:val="00B82B32"/>
    <w:rsid w:val="00B95236"/>
    <w:rsid w:val="00B96BD9"/>
    <w:rsid w:val="00BA1B01"/>
    <w:rsid w:val="00BA2641"/>
    <w:rsid w:val="00BB37AA"/>
    <w:rsid w:val="00BC53A0"/>
    <w:rsid w:val="00BE62AD"/>
    <w:rsid w:val="00BF121F"/>
    <w:rsid w:val="00BF1F80"/>
    <w:rsid w:val="00C12F3D"/>
    <w:rsid w:val="00C166EF"/>
    <w:rsid w:val="00C17EB0"/>
    <w:rsid w:val="00C27F5F"/>
    <w:rsid w:val="00C30A0F"/>
    <w:rsid w:val="00C37E61"/>
    <w:rsid w:val="00C70F1B"/>
    <w:rsid w:val="00C71A47"/>
    <w:rsid w:val="00C7464C"/>
    <w:rsid w:val="00C85588"/>
    <w:rsid w:val="00C949A4"/>
    <w:rsid w:val="00CB283E"/>
    <w:rsid w:val="00CD6755"/>
    <w:rsid w:val="00CD6856"/>
    <w:rsid w:val="00CE0089"/>
    <w:rsid w:val="00CE793C"/>
    <w:rsid w:val="00CF193C"/>
    <w:rsid w:val="00CF57FA"/>
    <w:rsid w:val="00D1268C"/>
    <w:rsid w:val="00D173F1"/>
    <w:rsid w:val="00D31AE9"/>
    <w:rsid w:val="00D74CB0"/>
    <w:rsid w:val="00D8295D"/>
    <w:rsid w:val="00DC2A65"/>
    <w:rsid w:val="00DE134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D8C"/>
    <w:rsid w:val="00E94285"/>
    <w:rsid w:val="00EA012C"/>
    <w:rsid w:val="00EC6A55"/>
    <w:rsid w:val="00ED0288"/>
    <w:rsid w:val="00EE52CB"/>
    <w:rsid w:val="00EF581D"/>
    <w:rsid w:val="00EF7FD8"/>
    <w:rsid w:val="00F00AD7"/>
    <w:rsid w:val="00F06F59"/>
    <w:rsid w:val="00F17988"/>
    <w:rsid w:val="00F469F0"/>
    <w:rsid w:val="00F53273"/>
    <w:rsid w:val="00F755E4"/>
    <w:rsid w:val="00F77D02"/>
    <w:rsid w:val="00FB3A86"/>
    <w:rsid w:val="00FD36C8"/>
    <w:rsid w:val="00F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rules v:ext="edit">
        <o:r id="V:Rule1" type="connector" idref="#_x0000_s2056"/>
        <o:r id="V:Rule2" type="connector" idref="#Straight Arrow Connector 15"/>
        <o:r id="V:Rule3" type="connector" idref="#Straight Arrow Connector 14"/>
      </o:rules>
    </o:shapelayout>
  </w:shapeDefaults>
  <w:decimalSymbol w:val="."/>
  <w:listSeparator w:val=","/>
  <w14:docId w14:val="70FA516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46C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756069"/>
    <w:rPr>
      <w:rFonts w:ascii="Helvetica" w:hAnsi="Helvetica"/>
    </w:rPr>
  </w:style>
  <w:style w:type="character" w:styleId="Strong">
    <w:name w:val="Strong"/>
    <w:basedOn w:val="DefaultParagraphFont"/>
    <w:uiPriority w:val="22"/>
    <w:qFormat/>
    <w:rsid w:val="00756069"/>
    <w:rPr>
      <w:b/>
      <w:bCs/>
    </w:rPr>
  </w:style>
  <w:style w:type="paragraph" w:styleId="NormalWeb">
    <w:name w:val="Normal (Web)"/>
    <w:basedOn w:val="Normal"/>
    <w:uiPriority w:val="99"/>
    <w:unhideWhenUsed/>
    <w:rsid w:val="00756069"/>
    <w:pPr>
      <w:spacing w:before="100" w:beforeAutospacing="1" w:after="100" w:afterAutospacing="1"/>
    </w:pPr>
    <w:rPr>
      <w:rFonts w:ascii="Times New Roman" w:hAnsi="Times New Roman"/>
      <w:sz w:val="24"/>
      <w:szCs w:val="24"/>
      <w:lang w:val="en-GB" w:eastAsia="en-GB"/>
    </w:rPr>
  </w:style>
  <w:style w:type="table" w:styleId="PlainTable2">
    <w:name w:val="Plain Table 2"/>
    <w:basedOn w:val="TableNormal"/>
    <w:uiPriority w:val="42"/>
    <w:rsid w:val="00DE13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446CA7"/>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4D3EF2"/>
    <w:rPr>
      <w:color w:val="605E5C"/>
      <w:shd w:val="clear" w:color="auto" w:fill="E1DFDD"/>
    </w:rPr>
  </w:style>
  <w:style w:type="paragraph" w:styleId="NoSpacing">
    <w:name w:val="No Spacing"/>
    <w:uiPriority w:val="1"/>
    <w:qFormat/>
    <w:rsid w:val="008D580F"/>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871527">
      <w:bodyDiv w:val="1"/>
      <w:marLeft w:val="0"/>
      <w:marRight w:val="0"/>
      <w:marTop w:val="0"/>
      <w:marBottom w:val="0"/>
      <w:divBdr>
        <w:top w:val="none" w:sz="0" w:space="0" w:color="auto"/>
        <w:left w:val="none" w:sz="0" w:space="0" w:color="auto"/>
        <w:bottom w:val="none" w:sz="0" w:space="0" w:color="auto"/>
        <w:right w:val="none" w:sz="0" w:space="0" w:color="auto"/>
      </w:divBdr>
    </w:div>
    <w:div w:id="271673645">
      <w:bodyDiv w:val="1"/>
      <w:marLeft w:val="0"/>
      <w:marRight w:val="0"/>
      <w:marTop w:val="0"/>
      <w:marBottom w:val="0"/>
      <w:divBdr>
        <w:top w:val="none" w:sz="0" w:space="0" w:color="auto"/>
        <w:left w:val="none" w:sz="0" w:space="0" w:color="auto"/>
        <w:bottom w:val="none" w:sz="0" w:space="0" w:color="auto"/>
        <w:right w:val="none" w:sz="0" w:space="0" w:color="auto"/>
      </w:divBdr>
    </w:div>
    <w:div w:id="361564017">
      <w:bodyDiv w:val="1"/>
      <w:marLeft w:val="0"/>
      <w:marRight w:val="0"/>
      <w:marTop w:val="0"/>
      <w:marBottom w:val="0"/>
      <w:divBdr>
        <w:top w:val="none" w:sz="0" w:space="0" w:color="auto"/>
        <w:left w:val="none" w:sz="0" w:space="0" w:color="auto"/>
        <w:bottom w:val="none" w:sz="0" w:space="0" w:color="auto"/>
        <w:right w:val="none" w:sz="0" w:space="0" w:color="auto"/>
      </w:divBdr>
    </w:div>
    <w:div w:id="412704632">
      <w:bodyDiv w:val="1"/>
      <w:marLeft w:val="0"/>
      <w:marRight w:val="0"/>
      <w:marTop w:val="0"/>
      <w:marBottom w:val="0"/>
      <w:divBdr>
        <w:top w:val="none" w:sz="0" w:space="0" w:color="auto"/>
        <w:left w:val="none" w:sz="0" w:space="0" w:color="auto"/>
        <w:bottom w:val="none" w:sz="0" w:space="0" w:color="auto"/>
        <w:right w:val="none" w:sz="0" w:space="0" w:color="auto"/>
      </w:divBdr>
    </w:div>
    <w:div w:id="541676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5807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031378" TargetMode="External"/><Relationship Id="rId26" Type="http://schemas.openxmlformats.org/officeDocument/2006/relationships/hyperlink" Target="https://doi.org/10.3390/econometrics11030021" TargetMode="External"/><Relationship Id="rId3" Type="http://schemas.openxmlformats.org/officeDocument/2006/relationships/styles" Target="styles.xml"/><Relationship Id="rId21" Type="http://schemas.openxmlformats.org/officeDocument/2006/relationships/hyperlink" Target="https://arxiv.org/abs/2503.21828"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3322373.2024.2316450" TargetMode="External"/><Relationship Id="rId25" Type="http://schemas.openxmlformats.org/officeDocument/2006/relationships/hyperlink" Target="https://doi.org/10.1787/9789264304604-en"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62/rest_a_01199" TargetMode="External"/><Relationship Id="rId20" Type="http://schemas.openxmlformats.org/officeDocument/2006/relationships/hyperlink" Target="https://doi.org/10.3389/fpsyg.2022.889327" TargetMode="External"/><Relationship Id="rId29" Type="http://schemas.openxmlformats.org/officeDocument/2006/relationships/hyperlink" Target="https://doi.org/10.1177/2158244020920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867/ajernet.6.4.92"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93/jleo/ewy004" TargetMode="External"/><Relationship Id="rId23" Type="http://schemas.openxmlformats.org/officeDocument/2006/relationships/hyperlink" Target="https://doi.org/10.3390/jrfm16040227" TargetMode="External"/><Relationship Id="rId28" Type="http://schemas.openxmlformats.org/officeDocument/2006/relationships/hyperlink" Target="https://doi.org/10.1007/s00191-025-00898-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371/journal.pone.0298358"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102/sajbm.v54i1.2885" TargetMode="External"/><Relationship Id="rId22" Type="http://schemas.openxmlformats.org/officeDocument/2006/relationships/hyperlink" Target="https://doi.org/10.1080/09537325.2022.2157710" TargetMode="External"/><Relationship Id="rId27" Type="http://schemas.openxmlformats.org/officeDocument/2006/relationships/hyperlink" Target="https://doi.org/10.1007/s44279-025-00466-3" TargetMode="External"/><Relationship Id="rId30" Type="http://schemas.openxmlformats.org/officeDocument/2006/relationships/hyperlink" Target="https://doi.org/10.1080/00472778.2023.229136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3AE71-C5B1-4E0B-8463-63E82864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10</Pages>
  <Words>6881</Words>
  <Characters>39228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35</cp:revision>
  <cp:lastPrinted>1999-07-06T11:00:00Z</cp:lastPrinted>
  <dcterms:created xsi:type="dcterms:W3CDTF">2014-10-25T14:34:00Z</dcterms:created>
  <dcterms:modified xsi:type="dcterms:W3CDTF">2026-06-01T09:06:00Z</dcterms:modified>
</cp:coreProperties>
</file>