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88F0" w14:textId="68379EC6" w:rsidR="0073566E" w:rsidRPr="00DA7A90" w:rsidRDefault="0073566E" w:rsidP="004A480E">
      <w:pPr>
        <w:pStyle w:val="Title"/>
        <w:ind w:right="288"/>
        <w:jc w:val="right"/>
        <w:rPr>
          <w:b/>
          <w:bCs/>
          <w:color w:val="000000" w:themeColor="text1"/>
          <w:sz w:val="36"/>
          <w:szCs w:val="36"/>
          <w:lang w:val="en-US"/>
        </w:rPr>
      </w:pPr>
      <w:r w:rsidRPr="00DA7A90">
        <w:rPr>
          <w:b/>
          <w:bCs/>
          <w:color w:val="000000" w:themeColor="text1"/>
          <w:sz w:val="36"/>
          <w:szCs w:val="36"/>
          <w:lang w:val="en-US"/>
        </w:rPr>
        <w:t xml:space="preserve">Assessment of heavy metal contamination in </w:t>
      </w:r>
      <w:r w:rsidR="00E92763" w:rsidRPr="00DA7A90">
        <w:rPr>
          <w:b/>
          <w:bCs/>
          <w:color w:val="000000" w:themeColor="text1"/>
          <w:sz w:val="36"/>
          <w:szCs w:val="36"/>
          <w:lang w:val="en-US"/>
        </w:rPr>
        <w:t xml:space="preserve">the </w:t>
      </w:r>
      <w:r w:rsidR="001131CF" w:rsidRPr="00DA7A90">
        <w:rPr>
          <w:b/>
          <w:bCs/>
          <w:color w:val="000000" w:themeColor="text1"/>
          <w:sz w:val="36"/>
          <w:szCs w:val="36"/>
          <w:lang w:val="en-US"/>
        </w:rPr>
        <w:t xml:space="preserve">leaves of the medicinal plant </w:t>
      </w:r>
      <w:r w:rsidR="00E92763" w:rsidRPr="00DA7A90">
        <w:rPr>
          <w:b/>
          <w:bCs/>
          <w:i/>
          <w:iCs/>
          <w:color w:val="000000" w:themeColor="text1"/>
          <w:sz w:val="36"/>
          <w:szCs w:val="36"/>
          <w:lang w:val="en-US"/>
        </w:rPr>
        <w:t xml:space="preserve">Pterocarpus marsupium </w:t>
      </w:r>
      <w:r w:rsidR="00E92763" w:rsidRPr="00DA7A90">
        <w:rPr>
          <w:b/>
          <w:bCs/>
          <w:color w:val="000000" w:themeColor="text1"/>
          <w:sz w:val="36"/>
          <w:szCs w:val="36"/>
          <w:lang w:val="en-US"/>
        </w:rPr>
        <w:t>Roxb. (Fabaceae)</w:t>
      </w:r>
      <w:r w:rsidR="00E92763" w:rsidRPr="00DA7A90">
        <w:rPr>
          <w:b/>
          <w:bCs/>
          <w:i/>
          <w:iCs/>
          <w:color w:val="000000" w:themeColor="text1"/>
          <w:sz w:val="36"/>
          <w:szCs w:val="36"/>
          <w:lang w:val="en-US"/>
        </w:rPr>
        <w:t xml:space="preserve"> </w:t>
      </w:r>
      <w:r w:rsidR="001131CF" w:rsidRPr="00DA7A90">
        <w:rPr>
          <w:b/>
          <w:bCs/>
          <w:color w:val="000000" w:themeColor="text1"/>
          <w:sz w:val="36"/>
          <w:szCs w:val="36"/>
          <w:lang w:val="en-US"/>
        </w:rPr>
        <w:t>consumed</w:t>
      </w:r>
      <w:r w:rsidRPr="00DA7A90">
        <w:rPr>
          <w:b/>
          <w:bCs/>
          <w:color w:val="000000" w:themeColor="text1"/>
          <w:sz w:val="36"/>
          <w:szCs w:val="36"/>
          <w:lang w:val="en-US"/>
        </w:rPr>
        <w:t xml:space="preserve"> in Senegal: Implication for Human health</w:t>
      </w:r>
    </w:p>
    <w:p w14:paraId="1128A108" w14:textId="77777777" w:rsidR="009E670A" w:rsidRPr="00DA7A90" w:rsidRDefault="009E670A" w:rsidP="004A480E">
      <w:pPr>
        <w:jc w:val="right"/>
        <w:rPr>
          <w:b/>
          <w:bCs/>
          <w:color w:val="000000" w:themeColor="text1"/>
          <w:sz w:val="24"/>
          <w:szCs w:val="24"/>
        </w:rPr>
      </w:pPr>
    </w:p>
    <w:p w14:paraId="7743A535" w14:textId="77777777" w:rsidR="00785E7B" w:rsidRDefault="00785E7B" w:rsidP="004A480E">
      <w:pPr>
        <w:jc w:val="right"/>
        <w:rPr>
          <w:rFonts w:eastAsia="Times New Roman"/>
          <w:b/>
          <w:bCs/>
          <w:color w:val="000000" w:themeColor="text1"/>
          <w:sz w:val="32"/>
          <w:szCs w:val="32"/>
          <w:lang w:val="en-US"/>
        </w:rPr>
      </w:pPr>
    </w:p>
    <w:p w14:paraId="1B1F6D90" w14:textId="77777777" w:rsidR="009379AE" w:rsidRPr="00DA7A90" w:rsidRDefault="009379AE" w:rsidP="004A480E">
      <w:pPr>
        <w:jc w:val="right"/>
        <w:rPr>
          <w:rFonts w:eastAsia="Times New Roman"/>
          <w:b/>
          <w:i/>
          <w:color w:val="000000" w:themeColor="text1"/>
          <w:sz w:val="16"/>
          <w:szCs w:val="16"/>
        </w:rPr>
      </w:pPr>
    </w:p>
    <w:p w14:paraId="61C36E7E" w14:textId="77777777" w:rsidR="002C0ABB" w:rsidRPr="00DA7A90" w:rsidRDefault="002C0ABB" w:rsidP="004A480E">
      <w:pPr>
        <w:jc w:val="both"/>
        <w:rPr>
          <w:color w:val="000000" w:themeColor="text1"/>
          <w:sz w:val="24"/>
          <w:szCs w:val="24"/>
        </w:rPr>
      </w:pPr>
    </w:p>
    <w:p w14:paraId="234F58A3" w14:textId="5FE2E024" w:rsidR="007B5C2E" w:rsidRPr="00DA7A90" w:rsidRDefault="00133D51" w:rsidP="004A480E">
      <w:pPr>
        <w:jc w:val="both"/>
        <w:rPr>
          <w:b/>
          <w:bCs/>
          <w:color w:val="000000" w:themeColor="text1"/>
          <w:szCs w:val="24"/>
        </w:rPr>
      </w:pPr>
      <w:r w:rsidRPr="00DA7A90">
        <w:rPr>
          <w:b/>
          <w:bCs/>
          <w:color w:val="000000" w:themeColor="text1"/>
          <w:szCs w:val="24"/>
        </w:rPr>
        <w:t>ABSTRACT</w:t>
      </w:r>
    </w:p>
    <w:tbl>
      <w:tblPr>
        <w:tblStyle w:val="TableGrid"/>
        <w:tblW w:w="0" w:type="auto"/>
        <w:tblLook w:val="04A0" w:firstRow="1" w:lastRow="0" w:firstColumn="1" w:lastColumn="0" w:noHBand="0" w:noVBand="1"/>
      </w:tblPr>
      <w:tblGrid>
        <w:gridCol w:w="8755"/>
      </w:tblGrid>
      <w:tr w:rsidR="003C78C7" w:rsidRPr="00DA7A90" w14:paraId="61BFEA07" w14:textId="77777777" w:rsidTr="000111BD">
        <w:tc>
          <w:tcPr>
            <w:tcW w:w="8755" w:type="dxa"/>
            <w:shd w:val="clear" w:color="auto" w:fill="E8E8E8" w:themeFill="background2"/>
          </w:tcPr>
          <w:p w14:paraId="7CC6628E" w14:textId="37A0F55C" w:rsidR="003C78C7" w:rsidRPr="00DA7A90" w:rsidRDefault="009B24AA" w:rsidP="00AD06E1">
            <w:pPr>
              <w:jc w:val="both"/>
              <w:rPr>
                <w:color w:val="000000" w:themeColor="text1"/>
                <w:sz w:val="20"/>
                <w:szCs w:val="20"/>
              </w:rPr>
            </w:pPr>
            <w:r w:rsidRPr="00DA7A90">
              <w:rPr>
                <w:i/>
                <w:iCs/>
                <w:color w:val="000000" w:themeColor="text1"/>
                <w:sz w:val="20"/>
                <w:szCs w:val="20"/>
              </w:rPr>
              <w:t xml:space="preserve">Pterocarpus marsupium </w:t>
            </w:r>
            <w:r w:rsidRPr="00DA7A90">
              <w:rPr>
                <w:color w:val="000000" w:themeColor="text1"/>
                <w:sz w:val="20"/>
                <w:szCs w:val="20"/>
              </w:rPr>
              <w:t xml:space="preserve">Roxb. (Fabaceae), known as "Indian Kino," "Vijayasar," or "Malabar Kino," is a deciduous tree with high medicinal value used for centuries in traditional African, </w:t>
            </w:r>
            <w:r w:rsidRPr="00DA7A90">
              <w:rPr>
                <w:i/>
                <w:iCs/>
                <w:color w:val="000000" w:themeColor="text1"/>
                <w:sz w:val="20"/>
                <w:szCs w:val="20"/>
              </w:rPr>
              <w:t>Ayurvedic</w:t>
            </w:r>
            <w:r w:rsidRPr="00DA7A90">
              <w:rPr>
                <w:color w:val="000000" w:themeColor="text1"/>
                <w:sz w:val="20"/>
                <w:szCs w:val="20"/>
              </w:rPr>
              <w:t xml:space="preserve">, and </w:t>
            </w:r>
            <w:r w:rsidRPr="00DA7A90">
              <w:rPr>
                <w:i/>
                <w:iCs/>
                <w:color w:val="000000" w:themeColor="text1"/>
                <w:sz w:val="20"/>
                <w:szCs w:val="20"/>
              </w:rPr>
              <w:t>Unani</w:t>
            </w:r>
            <w:r w:rsidRPr="00DA7A90">
              <w:rPr>
                <w:color w:val="000000" w:themeColor="text1"/>
                <w:sz w:val="20"/>
                <w:szCs w:val="20"/>
              </w:rPr>
              <w:t xml:space="preserve"> medicine. </w:t>
            </w:r>
            <w:r w:rsidR="00902910" w:rsidRPr="00330EB1">
              <w:rPr>
                <w:i/>
                <w:iCs/>
                <w:color w:val="000000" w:themeColor="text1"/>
                <w:sz w:val="20"/>
                <w:szCs w:val="20"/>
                <w:highlight w:val="yellow"/>
              </w:rPr>
              <w:t>Pterocarpus marsupium</w:t>
            </w:r>
            <w:r w:rsidR="00902910" w:rsidRPr="00AD06E1">
              <w:rPr>
                <w:color w:val="000000" w:themeColor="text1"/>
                <w:sz w:val="20"/>
                <w:szCs w:val="20"/>
                <w:highlight w:val="yellow"/>
              </w:rPr>
              <w:t xml:space="preserve"> is widely used in traditional medicine for its antidiabetic properties, particularly due to its wood and bark extracts which help regulate blood sugar levels.</w:t>
            </w:r>
            <w:r w:rsidR="00AD06E1">
              <w:rPr>
                <w:color w:val="000000" w:themeColor="text1"/>
                <w:sz w:val="20"/>
                <w:szCs w:val="20"/>
                <w:highlight w:val="yellow"/>
              </w:rPr>
              <w:t xml:space="preserve"> </w:t>
            </w:r>
            <w:r w:rsidR="00902910" w:rsidRPr="00AD06E1">
              <w:rPr>
                <w:color w:val="000000" w:themeColor="text1"/>
                <w:sz w:val="20"/>
                <w:szCs w:val="20"/>
                <w:highlight w:val="yellow"/>
              </w:rPr>
              <w:t>It is also used for its anti-inflammatory and healing properties, contributing to the treatment of wounds, skin infections, and certain digestive disorders.</w:t>
            </w:r>
            <w:r w:rsidR="00AD06E1">
              <w:rPr>
                <w:color w:val="000000" w:themeColor="text1"/>
                <w:sz w:val="20"/>
                <w:szCs w:val="20"/>
              </w:rPr>
              <w:t xml:space="preserve"> </w:t>
            </w:r>
            <w:r w:rsidRPr="00DA7A90">
              <w:rPr>
                <w:color w:val="000000" w:themeColor="text1"/>
                <w:sz w:val="20"/>
                <w:szCs w:val="20"/>
              </w:rPr>
              <w:t xml:space="preserve">This study aims to </w:t>
            </w:r>
            <w:proofErr w:type="spellStart"/>
            <w:r w:rsidRPr="00DA7A90">
              <w:rPr>
                <w:color w:val="000000" w:themeColor="text1"/>
                <w:sz w:val="20"/>
                <w:szCs w:val="20"/>
              </w:rPr>
              <w:t>characteri</w:t>
            </w:r>
            <w:r w:rsidR="003F2CAB">
              <w:rPr>
                <w:color w:val="000000" w:themeColor="text1"/>
                <w:sz w:val="20"/>
                <w:szCs w:val="20"/>
              </w:rPr>
              <w:t>s</w:t>
            </w:r>
            <w:r w:rsidRPr="00DA7A90">
              <w:rPr>
                <w:color w:val="000000" w:themeColor="text1"/>
                <w:sz w:val="20"/>
                <w:szCs w:val="20"/>
              </w:rPr>
              <w:t>e</w:t>
            </w:r>
            <w:proofErr w:type="spellEnd"/>
            <w:r w:rsidRPr="00DA7A90">
              <w:rPr>
                <w:color w:val="000000" w:themeColor="text1"/>
                <w:sz w:val="20"/>
                <w:szCs w:val="20"/>
              </w:rPr>
              <w:t xml:space="preserve"> the composition of eleven metallic elements in the leaves of this species by atomic absorption spectrometry (AAS) and assess the biohazard risks associated with each detected element, with reference to </w:t>
            </w:r>
            <w:r w:rsidRPr="00DA7A90">
              <w:rPr>
                <w:color w:val="000000" w:themeColor="text1"/>
                <w:sz w:val="20"/>
                <w:szCs w:val="20"/>
                <w:lang w:val="en-US"/>
              </w:rPr>
              <w:t xml:space="preserve">World Health </w:t>
            </w:r>
            <w:proofErr w:type="spellStart"/>
            <w:r w:rsidRPr="00DA7A90">
              <w:rPr>
                <w:color w:val="000000" w:themeColor="text1"/>
                <w:sz w:val="20"/>
                <w:szCs w:val="20"/>
                <w:lang w:val="en-US"/>
              </w:rPr>
              <w:t>Organi</w:t>
            </w:r>
            <w:r w:rsidR="003F2CAB">
              <w:rPr>
                <w:color w:val="000000" w:themeColor="text1"/>
                <w:sz w:val="20"/>
                <w:szCs w:val="20"/>
                <w:lang w:val="en-US"/>
              </w:rPr>
              <w:t>s</w:t>
            </w:r>
            <w:r w:rsidRPr="00DA7A90">
              <w:rPr>
                <w:color w:val="000000" w:themeColor="text1"/>
                <w:sz w:val="20"/>
                <w:szCs w:val="20"/>
                <w:lang w:val="en-US"/>
              </w:rPr>
              <w:t>ation</w:t>
            </w:r>
            <w:proofErr w:type="spellEnd"/>
            <w:r w:rsidRPr="00DA7A90">
              <w:rPr>
                <w:color w:val="000000" w:themeColor="text1"/>
                <w:sz w:val="20"/>
                <w:szCs w:val="20"/>
                <w:lang w:val="en-US"/>
              </w:rPr>
              <w:t xml:space="preserve"> </w:t>
            </w:r>
            <w:r w:rsidRPr="00DA7A90">
              <w:rPr>
                <w:color w:val="000000" w:themeColor="text1"/>
                <w:sz w:val="20"/>
                <w:szCs w:val="20"/>
              </w:rPr>
              <w:t xml:space="preserve">(WHO) regulatory thresholds and </w:t>
            </w:r>
            <w:r w:rsidRPr="00DA7A90">
              <w:rPr>
                <w:color w:val="000000" w:themeColor="text1"/>
                <w:sz w:val="20"/>
                <w:szCs w:val="20"/>
                <w:lang w:val="en-US"/>
              </w:rPr>
              <w:t>International Agency for Research on Cancer</w:t>
            </w:r>
            <w:r w:rsidRPr="00DA7A90">
              <w:rPr>
                <w:color w:val="000000" w:themeColor="text1"/>
                <w:sz w:val="20"/>
                <w:szCs w:val="20"/>
              </w:rPr>
              <w:t xml:space="preserve"> classifications (IARC</w:t>
            </w:r>
            <w:r w:rsidRPr="00DA7A90">
              <w:rPr>
                <w:color w:val="000000" w:themeColor="text1"/>
                <w:sz w:val="20"/>
                <w:szCs w:val="20"/>
                <w:lang w:val="en-US"/>
              </w:rPr>
              <w:t>)</w:t>
            </w:r>
            <w:r w:rsidRPr="00DA7A90">
              <w:rPr>
                <w:color w:val="000000" w:themeColor="text1"/>
                <w:sz w:val="20"/>
                <w:szCs w:val="20"/>
              </w:rPr>
              <w:t xml:space="preserve">. The results reveal a predominance of calcium (59.27 mg/g Dry Matter (DM)), followed by potassium (10.61 mg/g DM) and magnesium (2.02 mg/g </w:t>
            </w:r>
            <w:r w:rsidR="0091514D" w:rsidRPr="00DA7A90">
              <w:rPr>
                <w:color w:val="000000" w:themeColor="text1"/>
                <w:sz w:val="20"/>
                <w:szCs w:val="20"/>
              </w:rPr>
              <w:t>DM</w:t>
            </w:r>
            <w:r w:rsidRPr="00DA7A90">
              <w:rPr>
                <w:color w:val="000000" w:themeColor="text1"/>
                <w:sz w:val="20"/>
                <w:szCs w:val="20"/>
              </w:rPr>
              <w:t xml:space="preserve">). Cadmium was quantified at trace levels (0.0010 mg/g DM), while lead and chromium were not detected. The toxicological assessment indicates an overall </w:t>
            </w:r>
            <w:proofErr w:type="spellStart"/>
            <w:r w:rsidRPr="00DA7A90">
              <w:rPr>
                <w:color w:val="000000" w:themeColor="text1"/>
                <w:sz w:val="20"/>
                <w:szCs w:val="20"/>
              </w:rPr>
              <w:t>favo</w:t>
            </w:r>
            <w:r w:rsidR="003F2CAB">
              <w:rPr>
                <w:color w:val="000000" w:themeColor="text1"/>
                <w:sz w:val="20"/>
                <w:szCs w:val="20"/>
              </w:rPr>
              <w:t>u</w:t>
            </w:r>
            <w:r w:rsidRPr="00DA7A90">
              <w:rPr>
                <w:color w:val="000000" w:themeColor="text1"/>
                <w:sz w:val="20"/>
                <w:szCs w:val="20"/>
              </w:rPr>
              <w:t>rable</w:t>
            </w:r>
            <w:proofErr w:type="spellEnd"/>
            <w:r w:rsidRPr="00DA7A90">
              <w:rPr>
                <w:color w:val="000000" w:themeColor="text1"/>
                <w:sz w:val="20"/>
                <w:szCs w:val="20"/>
              </w:rPr>
              <w:t xml:space="preserve"> biohazard profile, with two areas of concern: nickel for topical use in atopic individuals, and cadmium for chronic exposure. These results contribute to the scientific development and safety of medicinal uses of this species.</w:t>
            </w:r>
            <w:r w:rsidR="003F2CAB">
              <w:rPr>
                <w:color w:val="000000" w:themeColor="text1"/>
                <w:sz w:val="20"/>
                <w:szCs w:val="20"/>
              </w:rPr>
              <w:t xml:space="preserve"> </w:t>
            </w:r>
            <w:r w:rsidR="003F2CAB">
              <w:t xml:space="preserve">Further investigations into the oral bioavailability of these elements, the effects of traditional preparation methods such as decoction and maceration on their metal concentrations, and the influence of geographical variation on mineral composition are warranted. Such studies would provide a more comprehensive understanding of the potential risks and benefits associated with the medicinal use of </w:t>
            </w:r>
            <w:r w:rsidR="003F2CAB">
              <w:rPr>
                <w:rStyle w:val="Emphasis"/>
              </w:rPr>
              <w:t>Pterocarpus marsupium</w:t>
            </w:r>
            <w:r w:rsidR="003F2CAB">
              <w:t xml:space="preserve"> </w:t>
            </w:r>
            <w:proofErr w:type="spellStart"/>
            <w:r w:rsidR="003F2CAB">
              <w:t>Roxb</w:t>
            </w:r>
            <w:proofErr w:type="spellEnd"/>
            <w:r w:rsidR="003F2CAB">
              <w:t>. leaves. Moreover, the resulting evidence would contribute to refining health risk assessments and establishing a stronger scientific foundation for their safe, effective, and rational therapeutic application.</w:t>
            </w:r>
          </w:p>
        </w:tc>
      </w:tr>
    </w:tbl>
    <w:p w14:paraId="2B93F355" w14:textId="77777777" w:rsidR="007D3730" w:rsidRPr="00DA7A90" w:rsidRDefault="007D3730" w:rsidP="004A480E">
      <w:pPr>
        <w:jc w:val="both"/>
        <w:rPr>
          <w:b/>
          <w:bCs/>
          <w:i/>
          <w:iCs/>
          <w:color w:val="000000" w:themeColor="text1"/>
          <w:sz w:val="20"/>
          <w:szCs w:val="20"/>
        </w:rPr>
      </w:pPr>
    </w:p>
    <w:p w14:paraId="7572476D" w14:textId="5B5D7665" w:rsidR="00465827" w:rsidRPr="00DA7A90" w:rsidRDefault="00465827" w:rsidP="004A480E">
      <w:pPr>
        <w:jc w:val="both"/>
        <w:rPr>
          <w:i/>
          <w:iCs/>
          <w:color w:val="000000" w:themeColor="text1"/>
          <w:sz w:val="20"/>
          <w:szCs w:val="20"/>
        </w:rPr>
      </w:pPr>
      <w:r w:rsidRPr="00DA7A90">
        <w:rPr>
          <w:i/>
          <w:iCs/>
          <w:color w:val="000000" w:themeColor="text1"/>
          <w:sz w:val="20"/>
          <w:szCs w:val="20"/>
        </w:rPr>
        <w:t>Keywords: Pterocarpus marsupium, leaves, mineral elements, heavy metals, biohazards , atomic absorption spectrometry, Fabaceae</w:t>
      </w:r>
    </w:p>
    <w:p w14:paraId="71C8E28C" w14:textId="297B2CCC" w:rsidR="00465827" w:rsidRPr="00DA7A90" w:rsidRDefault="00465827" w:rsidP="004A480E">
      <w:pPr>
        <w:jc w:val="both"/>
        <w:rPr>
          <w:b/>
          <w:bCs/>
          <w:color w:val="000000" w:themeColor="text1"/>
          <w:sz w:val="24"/>
          <w:szCs w:val="24"/>
        </w:rPr>
      </w:pPr>
    </w:p>
    <w:p w14:paraId="792CA4E0" w14:textId="1E9FC157" w:rsidR="007B5C2E" w:rsidRPr="00DA7A90" w:rsidRDefault="009101A4" w:rsidP="004A480E">
      <w:pPr>
        <w:pStyle w:val="Heading1"/>
        <w:spacing w:before="0"/>
        <w:ind w:left="284" w:hanging="284"/>
      </w:pPr>
      <w:r w:rsidRPr="00DA7A90">
        <w:t>Introduction</w:t>
      </w:r>
    </w:p>
    <w:p w14:paraId="5AA025E8" w14:textId="34F1A755" w:rsidR="007B5C2E" w:rsidRPr="00DA7A90" w:rsidRDefault="00AC1B58" w:rsidP="00EC4FF4">
      <w:pPr>
        <w:jc w:val="both"/>
        <w:rPr>
          <w:color w:val="000000" w:themeColor="text1"/>
          <w:sz w:val="20"/>
          <w:szCs w:val="20"/>
        </w:rPr>
      </w:pPr>
      <w:r w:rsidRPr="00DA7A90">
        <w:rPr>
          <w:color w:val="000000" w:themeColor="text1"/>
          <w:sz w:val="20"/>
          <w:szCs w:val="20"/>
        </w:rPr>
        <w:t>The failure of healthcare systems in developing countries is driving populations to rely on medicinal plants. Indeed, in these countries, the WHO estimates that more than 80% of the population depends on herbal medicine for their primary healthcare</w:t>
      </w:r>
      <w:r w:rsidR="00575D69" w:rsidRPr="00DA7A90">
        <w:rPr>
          <w:color w:val="000000" w:themeColor="text1"/>
          <w:sz w:val="20"/>
          <w:szCs w:val="20"/>
        </w:rPr>
        <w:t xml:space="preserve"> [1]</w:t>
      </w:r>
      <w:r w:rsidRPr="00DA7A90">
        <w:rPr>
          <w:color w:val="000000" w:themeColor="text1"/>
          <w:sz w:val="20"/>
          <w:szCs w:val="20"/>
        </w:rPr>
        <w:t xml:space="preserve">. </w:t>
      </w:r>
      <w:r w:rsidR="00686E77" w:rsidRPr="00DA7A90">
        <w:rPr>
          <w:color w:val="000000" w:themeColor="text1"/>
          <w:sz w:val="20"/>
          <w:szCs w:val="20"/>
          <w:lang w:val="en-US"/>
        </w:rPr>
        <w:t xml:space="preserve">The use of plants for several decades in the treatment of chronic diseases demonstrates the fascinating potential offered by the plant world. </w:t>
      </w:r>
      <w:r w:rsidR="00F36D65" w:rsidRPr="00DA7A90">
        <w:rPr>
          <w:color w:val="000000" w:themeColor="text1"/>
          <w:sz w:val="20"/>
          <w:szCs w:val="20"/>
        </w:rPr>
        <w:t xml:space="preserve">These medicinal plants are used in their raw form and in large quantities to prepare decoctions, infusions, or powders to treat various illnesses. In this context, the chemical characterization of species used in traditional medicine is crucial for controlling both their efficacy and toxicity. </w:t>
      </w:r>
      <w:r w:rsidR="003140AD" w:rsidRPr="00DA7A90">
        <w:rPr>
          <w:color w:val="000000" w:themeColor="text1"/>
          <w:sz w:val="20"/>
          <w:szCs w:val="20"/>
        </w:rPr>
        <w:t xml:space="preserve">The deciduous plant, </w:t>
      </w:r>
      <w:r w:rsidR="003140AD" w:rsidRPr="00DA7A90">
        <w:rPr>
          <w:i/>
          <w:iCs/>
          <w:color w:val="000000" w:themeColor="text1"/>
          <w:sz w:val="20"/>
          <w:szCs w:val="20"/>
        </w:rPr>
        <w:t>Pterocarpus marsupium</w:t>
      </w:r>
      <w:r w:rsidR="003140AD" w:rsidRPr="00DA7A90">
        <w:rPr>
          <w:color w:val="000000" w:themeColor="text1"/>
          <w:sz w:val="20"/>
          <w:szCs w:val="20"/>
        </w:rPr>
        <w:t xml:space="preserve"> Roxb. (Fabaceae), is a large tree commonly called Indian Kino or Vijayasar, which has medicinal properties recognized in Asia for millennia.</w:t>
      </w:r>
      <w:r w:rsidR="00431F20" w:rsidRPr="00DA7A90">
        <w:rPr>
          <w:color w:val="000000" w:themeColor="text1"/>
          <w:sz w:val="20"/>
          <w:szCs w:val="20"/>
        </w:rPr>
        <w:t xml:space="preserve"> </w:t>
      </w:r>
      <w:r w:rsidR="006053F0" w:rsidRPr="00DA7A90">
        <w:rPr>
          <w:color w:val="000000" w:themeColor="text1"/>
          <w:sz w:val="20"/>
          <w:szCs w:val="20"/>
          <w:lang w:val="en-US"/>
        </w:rPr>
        <w:t xml:space="preserve">It is one of the most widely used and versatile medicinal plants, with a broad spectrum of biological activities. All parts of the plant are used in traditional medicine to treat various </w:t>
      </w:r>
      <w:r w:rsidR="00FB4662" w:rsidRPr="00DA7A90">
        <w:rPr>
          <w:color w:val="000000" w:themeColor="text1"/>
          <w:sz w:val="20"/>
          <w:szCs w:val="20"/>
          <w:lang w:val="en-US"/>
        </w:rPr>
        <w:t>conditions</w:t>
      </w:r>
      <w:r w:rsidR="006053F0" w:rsidRPr="00DA7A90">
        <w:rPr>
          <w:color w:val="000000" w:themeColor="text1"/>
          <w:sz w:val="20"/>
          <w:szCs w:val="20"/>
          <w:lang w:val="en-US"/>
        </w:rPr>
        <w:t xml:space="preserve"> such as diabetes, skin problems, and </w:t>
      </w:r>
      <w:r w:rsidR="006053F0" w:rsidRPr="00DA7A90">
        <w:rPr>
          <w:color w:val="000000" w:themeColor="text1"/>
          <w:sz w:val="20"/>
          <w:szCs w:val="20"/>
        </w:rPr>
        <w:t>gastrointestinal disorders</w:t>
      </w:r>
      <w:r w:rsidR="006053F0" w:rsidRPr="00DA7A90">
        <w:rPr>
          <w:color w:val="000000" w:themeColor="text1"/>
          <w:sz w:val="20"/>
          <w:szCs w:val="20"/>
          <w:lang w:val="en-US"/>
        </w:rPr>
        <w:t xml:space="preserve">. </w:t>
      </w:r>
      <w:r w:rsidR="006053F0" w:rsidRPr="00DA7A90">
        <w:rPr>
          <w:i/>
          <w:iCs/>
          <w:color w:val="000000" w:themeColor="text1"/>
          <w:sz w:val="20"/>
          <w:szCs w:val="20"/>
          <w:lang w:val="en-US"/>
        </w:rPr>
        <w:t xml:space="preserve">Pterocarpus marsupium </w:t>
      </w:r>
      <w:r w:rsidR="006053F0" w:rsidRPr="00DA7A90">
        <w:rPr>
          <w:color w:val="000000" w:themeColor="text1"/>
          <w:sz w:val="20"/>
          <w:szCs w:val="20"/>
          <w:lang w:val="en-US"/>
        </w:rPr>
        <w:t>has become a subject of interest in modern medicine due to its extensive use</w:t>
      </w:r>
      <w:r w:rsidR="006053F0" w:rsidRPr="00DA7A90">
        <w:rPr>
          <w:i/>
          <w:iCs/>
          <w:color w:val="000000" w:themeColor="text1"/>
          <w:sz w:val="20"/>
          <w:szCs w:val="20"/>
          <w:lang w:val="en-US"/>
        </w:rPr>
        <w:t xml:space="preserve"> in </w:t>
      </w:r>
      <w:r w:rsidR="006053F0" w:rsidRPr="00DA7A90">
        <w:rPr>
          <w:color w:val="000000" w:themeColor="text1"/>
          <w:sz w:val="20"/>
          <w:szCs w:val="20"/>
        </w:rPr>
        <w:t xml:space="preserve">Ayurveda, Unani, and Homeopathic </w:t>
      </w:r>
      <w:r w:rsidR="006053F0" w:rsidRPr="00DA7A90">
        <w:rPr>
          <w:color w:val="000000" w:themeColor="text1"/>
          <w:sz w:val="20"/>
          <w:szCs w:val="20"/>
          <w:lang w:val="en-US"/>
        </w:rPr>
        <w:t>systems</w:t>
      </w:r>
      <w:r w:rsidR="00575D69" w:rsidRPr="00DA7A90">
        <w:rPr>
          <w:color w:val="000000" w:themeColor="text1"/>
          <w:sz w:val="20"/>
          <w:szCs w:val="20"/>
          <w:lang w:val="en-US"/>
        </w:rPr>
        <w:t xml:space="preserve"> </w:t>
      </w:r>
      <w:r w:rsidR="00575D69" w:rsidRPr="00DA7A90">
        <w:rPr>
          <w:color w:val="000000" w:themeColor="text1"/>
          <w:sz w:val="20"/>
          <w:szCs w:val="20"/>
        </w:rPr>
        <w:t>[2,3]</w:t>
      </w:r>
      <w:r w:rsidR="009101A4" w:rsidRPr="00DA7A90">
        <w:rPr>
          <w:color w:val="000000" w:themeColor="text1"/>
          <w:sz w:val="20"/>
          <w:szCs w:val="20"/>
        </w:rPr>
        <w:t>. Therefore, consumption of this plant should be monitored.</w:t>
      </w:r>
      <w:r w:rsidR="00BF6EED" w:rsidRPr="00DA7A90">
        <w:rPr>
          <w:color w:val="000000" w:themeColor="text1"/>
          <w:sz w:val="20"/>
          <w:szCs w:val="20"/>
        </w:rPr>
        <w:t xml:space="preserve"> </w:t>
      </w:r>
      <w:r w:rsidR="009101A4" w:rsidRPr="00DA7A90">
        <w:rPr>
          <w:color w:val="000000" w:themeColor="text1"/>
          <w:sz w:val="20"/>
          <w:szCs w:val="20"/>
        </w:rPr>
        <w:t xml:space="preserve">The mineral elements present in medicinal plants play a dual role: on the one hand, macro-elements (Ca, K, Mg, Na) and essential trace elements (Fe, Zn, Cu) participate in the biochemical mechanisms underlying therapeutic activities; on the other hand, so-called heavy metals (Pb, Cd, Cr, Ni) can represent significant biohazard risks </w:t>
      </w:r>
      <w:r w:rsidR="009101A4" w:rsidRPr="00DA7A90">
        <w:rPr>
          <w:color w:val="000000" w:themeColor="text1"/>
          <w:sz w:val="20"/>
          <w:szCs w:val="20"/>
        </w:rPr>
        <w:lastRenderedPageBreak/>
        <w:t xml:space="preserve">for users, even at low concentrations </w:t>
      </w:r>
      <w:r w:rsidR="007E0F2C" w:rsidRPr="00DA7A90">
        <w:rPr>
          <w:color w:val="000000" w:themeColor="text1"/>
          <w:sz w:val="20"/>
          <w:szCs w:val="20"/>
        </w:rPr>
        <w:t>[4,5]</w:t>
      </w:r>
      <w:r w:rsidR="009101A4" w:rsidRPr="00DA7A90">
        <w:rPr>
          <w:color w:val="000000" w:themeColor="text1"/>
          <w:sz w:val="20"/>
          <w:szCs w:val="20"/>
        </w:rPr>
        <w:t xml:space="preserve">. Contamination of herbal drugs by these elements, which can occur through soils, runoff water, or domestic or industrial wastewater, is a growing public health concern in Africa </w:t>
      </w:r>
      <w:r w:rsidR="007E0F2C" w:rsidRPr="00DA7A90">
        <w:rPr>
          <w:color w:val="000000" w:themeColor="text1"/>
          <w:sz w:val="20"/>
          <w:szCs w:val="20"/>
        </w:rPr>
        <w:t>[6,7]</w:t>
      </w:r>
      <w:r w:rsidR="009101A4" w:rsidRPr="00DA7A90">
        <w:rPr>
          <w:color w:val="000000" w:themeColor="text1"/>
          <w:sz w:val="20"/>
          <w:szCs w:val="20"/>
        </w:rPr>
        <w:t>.</w:t>
      </w:r>
    </w:p>
    <w:p w14:paraId="4CDB1CFB" w14:textId="793B2287" w:rsidR="007B5C2E" w:rsidRDefault="001A6FD8" w:rsidP="004A480E">
      <w:pPr>
        <w:jc w:val="both"/>
        <w:rPr>
          <w:color w:val="000000" w:themeColor="text1"/>
          <w:sz w:val="20"/>
          <w:szCs w:val="20"/>
        </w:rPr>
      </w:pPr>
      <w:r w:rsidRPr="00DA7A90">
        <w:rPr>
          <w:color w:val="000000" w:themeColor="text1"/>
          <w:sz w:val="20"/>
          <w:szCs w:val="20"/>
        </w:rPr>
        <w:t>Currently</w:t>
      </w:r>
      <w:r w:rsidR="009101A4" w:rsidRPr="00DA7A90">
        <w:rPr>
          <w:color w:val="000000" w:themeColor="text1"/>
          <w:sz w:val="20"/>
          <w:szCs w:val="20"/>
        </w:rPr>
        <w:t xml:space="preserve">, data on the mineral composition of </w:t>
      </w:r>
      <w:r w:rsidR="009101A4" w:rsidRPr="00DA7A90">
        <w:rPr>
          <w:i/>
          <w:iCs/>
          <w:color w:val="000000" w:themeColor="text1"/>
          <w:sz w:val="20"/>
          <w:szCs w:val="20"/>
        </w:rPr>
        <w:t xml:space="preserve">P. marsupium leaves </w:t>
      </w:r>
      <w:r w:rsidR="009101A4" w:rsidRPr="00DA7A90">
        <w:rPr>
          <w:color w:val="000000" w:themeColor="text1"/>
          <w:sz w:val="20"/>
          <w:szCs w:val="20"/>
        </w:rPr>
        <w:t xml:space="preserve">and the assessment of associated biohazard risks are lacking in </w:t>
      </w:r>
      <w:r w:rsidR="00CE7FC1" w:rsidRPr="00DA7A90">
        <w:rPr>
          <w:color w:val="000000" w:themeColor="text1"/>
          <w:sz w:val="20"/>
          <w:szCs w:val="20"/>
        </w:rPr>
        <w:t>scientific</w:t>
      </w:r>
      <w:r w:rsidR="009101A4" w:rsidRPr="00DA7A90">
        <w:rPr>
          <w:color w:val="000000" w:themeColor="text1"/>
          <w:sz w:val="20"/>
          <w:szCs w:val="20"/>
        </w:rPr>
        <w:t xml:space="preserve"> literature. This study aims to fill this gap by evaluating the levels of eleven metallic elements in dried leaves and by conducting a systematic assessment of the biological risk level of each detected element, with reference to WHO standards</w:t>
      </w:r>
      <w:r w:rsidR="007E0F2C" w:rsidRPr="00DA7A90">
        <w:rPr>
          <w:color w:val="000000" w:themeColor="text1"/>
          <w:sz w:val="20"/>
          <w:szCs w:val="20"/>
        </w:rPr>
        <w:t xml:space="preserve"> [4]</w:t>
      </w:r>
      <w:r w:rsidR="009101A4" w:rsidRPr="00DA7A90">
        <w:rPr>
          <w:color w:val="000000" w:themeColor="text1"/>
          <w:sz w:val="20"/>
          <w:szCs w:val="20"/>
        </w:rPr>
        <w:t xml:space="preserve"> and IARC classifications </w:t>
      </w:r>
      <w:r w:rsidR="007E0F2C" w:rsidRPr="00DA7A90">
        <w:rPr>
          <w:color w:val="000000" w:themeColor="text1"/>
          <w:sz w:val="20"/>
          <w:szCs w:val="20"/>
        </w:rPr>
        <w:t>[5]</w:t>
      </w:r>
      <w:r w:rsidR="007B4DF9" w:rsidRPr="00DA7A90">
        <w:rPr>
          <w:color w:val="000000" w:themeColor="text1"/>
          <w:sz w:val="20"/>
          <w:szCs w:val="20"/>
        </w:rPr>
        <w:t>.</w:t>
      </w:r>
    </w:p>
    <w:p w14:paraId="5FB31287" w14:textId="77777777" w:rsidR="009379AE" w:rsidRDefault="009379AE" w:rsidP="004A480E">
      <w:pPr>
        <w:jc w:val="both"/>
        <w:rPr>
          <w:color w:val="000000" w:themeColor="text1"/>
          <w:sz w:val="20"/>
          <w:szCs w:val="20"/>
        </w:rPr>
      </w:pPr>
    </w:p>
    <w:p w14:paraId="265E66A5" w14:textId="77777777" w:rsidR="009379AE" w:rsidRDefault="009379AE" w:rsidP="004A480E">
      <w:pPr>
        <w:jc w:val="both"/>
        <w:rPr>
          <w:color w:val="000000" w:themeColor="text1"/>
          <w:sz w:val="20"/>
          <w:szCs w:val="20"/>
        </w:rPr>
      </w:pPr>
    </w:p>
    <w:p w14:paraId="73BC6D9B" w14:textId="77777777" w:rsidR="009379AE" w:rsidRPr="00DA7A90" w:rsidRDefault="009379AE" w:rsidP="004A480E">
      <w:pPr>
        <w:jc w:val="both"/>
        <w:rPr>
          <w:color w:val="000000" w:themeColor="text1"/>
          <w:sz w:val="20"/>
          <w:szCs w:val="20"/>
        </w:rPr>
      </w:pPr>
    </w:p>
    <w:p w14:paraId="5D5082A0" w14:textId="77777777" w:rsidR="00575D69" w:rsidRPr="00DA7A90" w:rsidRDefault="00575D69" w:rsidP="004A480E">
      <w:pPr>
        <w:jc w:val="both"/>
        <w:rPr>
          <w:color w:val="000000" w:themeColor="text1"/>
          <w:sz w:val="20"/>
          <w:szCs w:val="20"/>
        </w:rPr>
      </w:pPr>
    </w:p>
    <w:p w14:paraId="0CF3B203" w14:textId="77777777" w:rsidR="007B5C2E" w:rsidRPr="00DA7A90" w:rsidRDefault="009101A4" w:rsidP="004A480E">
      <w:pPr>
        <w:pStyle w:val="Heading1"/>
        <w:numPr>
          <w:ilvl w:val="0"/>
          <w:numId w:val="0"/>
        </w:numPr>
      </w:pPr>
      <w:r w:rsidRPr="00DA7A90">
        <w:t>2. Materials and methods</w:t>
      </w:r>
    </w:p>
    <w:p w14:paraId="7C00D4FC" w14:textId="28C6429D" w:rsidR="007B5C2E" w:rsidRPr="00DA7A90" w:rsidRDefault="009101A4" w:rsidP="004A480E">
      <w:pPr>
        <w:pStyle w:val="Heading2"/>
        <w:spacing w:line="240" w:lineRule="auto"/>
      </w:pPr>
      <w:r w:rsidRPr="00DA7A90">
        <w:t>Plant material and preparation</w:t>
      </w:r>
    </w:p>
    <w:p w14:paraId="46F7B4B8" w14:textId="62AE9E31" w:rsidR="007B5C2E" w:rsidRPr="00DA7A90" w:rsidRDefault="009101A4" w:rsidP="004A480E">
      <w:pPr>
        <w:jc w:val="both"/>
        <w:rPr>
          <w:color w:val="000000" w:themeColor="text1"/>
          <w:sz w:val="20"/>
          <w:szCs w:val="20"/>
        </w:rPr>
      </w:pPr>
      <w:r w:rsidRPr="00DA7A90">
        <w:rPr>
          <w:color w:val="000000" w:themeColor="text1"/>
          <w:sz w:val="20"/>
          <w:szCs w:val="20"/>
        </w:rPr>
        <w:t xml:space="preserve">The leaves of </w:t>
      </w:r>
      <w:r w:rsidRPr="00DA7A90">
        <w:rPr>
          <w:i/>
          <w:iCs/>
          <w:color w:val="000000" w:themeColor="text1"/>
          <w:sz w:val="20"/>
          <w:szCs w:val="20"/>
        </w:rPr>
        <w:t>Pterocarpus marsupium</w:t>
      </w:r>
      <w:r w:rsidRPr="00DA7A90">
        <w:rPr>
          <w:color w:val="000000" w:themeColor="text1"/>
          <w:sz w:val="20"/>
          <w:szCs w:val="20"/>
        </w:rPr>
        <w:t xml:space="preserve"> Roxb. were collected in the southern Casamance region at Ziguinchor (12° 33' 50.933" N 16° 15' 50.335" W) in Senegal. Botanical identification was carried out by a botanist from the Fundamental Institute of Black Africa, Cheikh Anta Diop University of Dakar. After harvesting, the leaves were shade-dried at room temperature (25–30 °C, relative humidity &lt; 40%) for 3 weeks, then ground into a fine powder (500 µm sieve). The dried powder was stored in the dark in airtight amber glass bottles until use.</w:t>
      </w:r>
    </w:p>
    <w:p w14:paraId="27DCC359" w14:textId="169CF233" w:rsidR="007B5C2E" w:rsidRPr="00DA7A90" w:rsidRDefault="009101A4" w:rsidP="004A480E">
      <w:pPr>
        <w:pStyle w:val="Heading2"/>
        <w:spacing w:line="240" w:lineRule="auto"/>
      </w:pPr>
      <w:r w:rsidRPr="00DA7A90">
        <w:t xml:space="preserve">Acid </w:t>
      </w:r>
      <w:proofErr w:type="spellStart"/>
      <w:r w:rsidRPr="00DA7A90">
        <w:t>minerali</w:t>
      </w:r>
      <w:r w:rsidR="003F2CAB">
        <w:t>s</w:t>
      </w:r>
      <w:r w:rsidRPr="00DA7A90">
        <w:t>ation</w:t>
      </w:r>
      <w:proofErr w:type="spellEnd"/>
      <w:r w:rsidRPr="00DA7A90">
        <w:t xml:space="preserve"> and preparation of solutions</w:t>
      </w:r>
    </w:p>
    <w:p w14:paraId="5DAFF5F9" w14:textId="35ABA139" w:rsidR="00F15EB4" w:rsidRPr="00DA7A90" w:rsidRDefault="00F15EB4" w:rsidP="004A480E">
      <w:pPr>
        <w:jc w:val="both"/>
        <w:rPr>
          <w:color w:val="000000" w:themeColor="text1"/>
          <w:sz w:val="20"/>
          <w:szCs w:val="20"/>
        </w:rPr>
      </w:pPr>
      <w:r w:rsidRPr="00DA7A90">
        <w:rPr>
          <w:color w:val="000000" w:themeColor="text1"/>
          <w:sz w:val="20"/>
          <w:szCs w:val="20"/>
        </w:rPr>
        <w:t>Approximately 0.5 g of dry plant powder was subjected to wet acid mineralization using a 65% HNO</w:t>
      </w:r>
      <w:r w:rsidRPr="00DA7A90">
        <w:rPr>
          <w:rFonts w:ascii="Cambria Math" w:hAnsi="Cambria Math" w:cs="Cambria Math"/>
          <w:color w:val="000000" w:themeColor="text1"/>
          <w:sz w:val="20"/>
          <w:szCs w:val="20"/>
        </w:rPr>
        <w:t>₃</w:t>
      </w:r>
      <w:r w:rsidRPr="00DA7A90">
        <w:rPr>
          <w:color w:val="000000" w:themeColor="text1"/>
          <w:sz w:val="20"/>
          <w:szCs w:val="20"/>
        </w:rPr>
        <w:t>/70% HClO</w:t>
      </w:r>
      <w:r w:rsidRPr="00DA7A90">
        <w:rPr>
          <w:color w:val="000000" w:themeColor="text1"/>
          <w:sz w:val="20"/>
          <w:szCs w:val="20"/>
          <w:vertAlign w:val="subscript"/>
        </w:rPr>
        <w:t>4</w:t>
      </w:r>
      <w:r w:rsidRPr="00DA7A90">
        <w:rPr>
          <w:color w:val="000000" w:themeColor="text1"/>
          <w:sz w:val="20"/>
          <w:szCs w:val="20"/>
        </w:rPr>
        <w:t xml:space="preserve"> mixture (4:1, v/v) at 120</w:t>
      </w:r>
      <w:r w:rsidR="003F2CAB">
        <w:rPr>
          <w:color w:val="000000" w:themeColor="text1"/>
          <w:sz w:val="20"/>
          <w:szCs w:val="20"/>
        </w:rPr>
        <w:t xml:space="preserve"> </w:t>
      </w:r>
      <w:r w:rsidRPr="00DA7A90">
        <w:rPr>
          <w:color w:val="000000" w:themeColor="text1"/>
          <w:sz w:val="20"/>
          <w:szCs w:val="20"/>
        </w:rPr>
        <w:t>°C for 4 hours. After complete cooling, the residue was resuspended in 25 mL of ultrapure water (resistivity &gt; 18 MΩ·cm, Milli-Q) and filtered through Whatman No. 42 paper. Blank reagent</w:t>
      </w:r>
      <w:r w:rsidR="00AB3DFD" w:rsidRPr="00DA7A90">
        <w:rPr>
          <w:color w:val="000000" w:themeColor="text1"/>
          <w:sz w:val="20"/>
          <w:szCs w:val="20"/>
        </w:rPr>
        <w:t>s</w:t>
      </w:r>
      <w:r w:rsidRPr="00DA7A90">
        <w:rPr>
          <w:color w:val="000000" w:themeColor="text1"/>
          <w:sz w:val="20"/>
          <w:szCs w:val="20"/>
        </w:rPr>
        <w:t xml:space="preserve"> were prepared in parallel. The analytical solutions were prepared from dilutions of 1000 mg mL</w:t>
      </w:r>
      <w:r w:rsidRPr="00DA7A90">
        <w:rPr>
          <w:color w:val="000000" w:themeColor="text1"/>
          <w:sz w:val="20"/>
          <w:szCs w:val="20"/>
          <w:vertAlign w:val="superscript"/>
        </w:rPr>
        <w:t>-1</w:t>
      </w:r>
      <w:r w:rsidRPr="00DA7A90">
        <w:rPr>
          <w:color w:val="000000" w:themeColor="text1"/>
          <w:sz w:val="20"/>
          <w:szCs w:val="20"/>
        </w:rPr>
        <w:t xml:space="preserve"> standard solutions of Na, K, Mg, Ca, Cr, Fe, Ni, Cu, Zn, Cd and Pb (Aldrich, France). All materials used were decontaminated in </w:t>
      </w:r>
      <w:r w:rsidR="003F2CAB">
        <w:rPr>
          <w:color w:val="000000" w:themeColor="text1"/>
          <w:sz w:val="20"/>
          <w:szCs w:val="20"/>
        </w:rPr>
        <w:t>10% nitric acid solution</w:t>
      </w:r>
      <w:r w:rsidRPr="00DA7A90">
        <w:rPr>
          <w:color w:val="000000" w:themeColor="text1"/>
          <w:sz w:val="20"/>
          <w:szCs w:val="20"/>
        </w:rPr>
        <w:t xml:space="preserve"> for 24 hours. Each assay was performed in triplicate. Results are expressed in mg per gram of dry matter (mg/g DM).</w:t>
      </w:r>
    </w:p>
    <w:p w14:paraId="18E0F8BE" w14:textId="57B831CE" w:rsidR="007B5C2E" w:rsidRPr="00DA7A90" w:rsidRDefault="009101A4" w:rsidP="004A480E">
      <w:pPr>
        <w:pStyle w:val="Heading2"/>
        <w:spacing w:line="240" w:lineRule="auto"/>
      </w:pPr>
      <w:r w:rsidRPr="00DA7A90">
        <w:t>Assay by atomic absorption spectrometry (AAS)</w:t>
      </w:r>
    </w:p>
    <w:p w14:paraId="09B342EE" w14:textId="3D17345F" w:rsidR="007B5C2E" w:rsidRPr="00DA7A90" w:rsidRDefault="009101A4" w:rsidP="004A480E">
      <w:pPr>
        <w:jc w:val="both"/>
        <w:rPr>
          <w:color w:val="000000" w:themeColor="text1"/>
          <w:sz w:val="20"/>
          <w:szCs w:val="20"/>
        </w:rPr>
      </w:pPr>
      <w:r w:rsidRPr="00DA7A90">
        <w:rPr>
          <w:color w:val="000000" w:themeColor="text1"/>
          <w:sz w:val="20"/>
          <w:szCs w:val="20"/>
        </w:rPr>
        <w:t>Macro</w:t>
      </w:r>
      <w:r w:rsidR="00E01B49" w:rsidRPr="00DA7A90">
        <w:rPr>
          <w:color w:val="000000" w:themeColor="text1"/>
          <w:sz w:val="20"/>
          <w:szCs w:val="20"/>
        </w:rPr>
        <w:t>-</w:t>
      </w:r>
      <w:r w:rsidRPr="00DA7A90">
        <w:rPr>
          <w:color w:val="000000" w:themeColor="text1"/>
          <w:sz w:val="20"/>
          <w:szCs w:val="20"/>
        </w:rPr>
        <w:t xml:space="preserve">elements (Ca, K, Mg, Na, Fe) and trace elements (Cd, Cu, Zn, Ni, Pb, Cr) were quantified by air-acetylene flame spectroscopy using a </w:t>
      </w:r>
      <w:r w:rsidR="008D6E84" w:rsidRPr="00DA7A90">
        <w:rPr>
          <w:color w:val="000000" w:themeColor="text1"/>
          <w:sz w:val="20"/>
          <w:szCs w:val="20"/>
          <w:lang w:val="en-US"/>
        </w:rPr>
        <w:t xml:space="preserve">Thermo Fisher </w:t>
      </w:r>
      <w:r w:rsidR="008D6E84" w:rsidRPr="00DA7A90">
        <w:rPr>
          <w:color w:val="000000" w:themeColor="text1"/>
          <w:sz w:val="20"/>
          <w:szCs w:val="20"/>
        </w:rPr>
        <w:t>3000 spectrometer, which offers high sensitivity</w:t>
      </w:r>
      <w:r w:rsidR="00E72DD0" w:rsidRPr="00DA7A90">
        <w:rPr>
          <w:color w:val="000000" w:themeColor="text1"/>
          <w:sz w:val="20"/>
          <w:szCs w:val="20"/>
        </w:rPr>
        <w:t xml:space="preserve"> (Table 1)</w:t>
      </w:r>
      <w:r w:rsidR="008D6E84" w:rsidRPr="00DA7A90">
        <w:rPr>
          <w:color w:val="000000" w:themeColor="text1"/>
          <w:sz w:val="20"/>
          <w:szCs w:val="20"/>
        </w:rPr>
        <w:t>.</w:t>
      </w:r>
    </w:p>
    <w:p w14:paraId="1CA668A3" w14:textId="77777777" w:rsidR="003E7FCB" w:rsidRPr="00DA7A90" w:rsidRDefault="003E7FCB" w:rsidP="004A480E">
      <w:pPr>
        <w:jc w:val="both"/>
        <w:rPr>
          <w:color w:val="000000" w:themeColor="text1"/>
          <w:sz w:val="20"/>
          <w:szCs w:val="20"/>
        </w:rPr>
      </w:pPr>
    </w:p>
    <w:p w14:paraId="6DA03301" w14:textId="32C9D650" w:rsidR="008F4BAE" w:rsidRPr="00DA7A90" w:rsidRDefault="008F4BAE" w:rsidP="008F4BAE">
      <w:pPr>
        <w:jc w:val="both"/>
        <w:rPr>
          <w:b/>
          <w:bCs/>
          <w:color w:val="000000" w:themeColor="text1"/>
          <w:sz w:val="20"/>
          <w:szCs w:val="20"/>
          <w:lang w:val="en-US"/>
        </w:rPr>
      </w:pPr>
      <w:r w:rsidRPr="00DA7A90">
        <w:rPr>
          <w:b/>
          <w:bCs/>
          <w:color w:val="000000" w:themeColor="text1"/>
          <w:sz w:val="20"/>
          <w:szCs w:val="20"/>
          <w:lang w:val="en-US"/>
        </w:rPr>
        <w:t>Table 1. Analytical conditions and calibration curves for Na, K, Mg, Ca, Fe, Ni, Cu, Zn and Cd</w:t>
      </w:r>
      <w:r w:rsidR="00E72DD0" w:rsidRPr="00DA7A90">
        <w:rPr>
          <w:b/>
          <w:bCs/>
          <w:color w:val="000000" w:themeColor="text1"/>
          <w:sz w:val="20"/>
          <w:szCs w:val="20"/>
          <w:lang w:val="en-US"/>
        </w:rPr>
        <w:t>.</w:t>
      </w:r>
    </w:p>
    <w:p w14:paraId="2CA77F2D" w14:textId="77777777" w:rsidR="00E72DD0" w:rsidRPr="00DA7A90" w:rsidRDefault="00E72DD0" w:rsidP="008F4BAE">
      <w:pPr>
        <w:jc w:val="both"/>
        <w:rPr>
          <w:b/>
          <w:bCs/>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629"/>
        <w:gridCol w:w="1834"/>
        <w:gridCol w:w="1640"/>
        <w:gridCol w:w="2381"/>
      </w:tblGrid>
      <w:tr w:rsidR="008F4BAE" w:rsidRPr="00DA7A90" w14:paraId="4B89E739" w14:textId="77777777" w:rsidTr="00A65C93">
        <w:tc>
          <w:tcPr>
            <w:tcW w:w="1271" w:type="dxa"/>
            <w:tcBorders>
              <w:top w:val="single" w:sz="8" w:space="0" w:color="auto"/>
              <w:bottom w:val="single" w:sz="8" w:space="0" w:color="auto"/>
            </w:tcBorders>
            <w:vAlign w:val="center"/>
          </w:tcPr>
          <w:p w14:paraId="35D18F72" w14:textId="77777777" w:rsidR="008F4BAE" w:rsidRPr="00DA7A90" w:rsidRDefault="008F4BAE" w:rsidP="00A65C93">
            <w:pPr>
              <w:jc w:val="center"/>
              <w:rPr>
                <w:color w:val="000000" w:themeColor="text1"/>
                <w:sz w:val="20"/>
                <w:szCs w:val="20"/>
                <w:lang w:val="en-US"/>
              </w:rPr>
            </w:pPr>
            <w:r w:rsidRPr="00DA7A90">
              <w:rPr>
                <w:color w:val="000000" w:themeColor="text1"/>
                <w:sz w:val="20"/>
                <w:szCs w:val="20"/>
                <w:lang w:val="en-US"/>
              </w:rPr>
              <w:t>Mineral</w:t>
            </w:r>
          </w:p>
        </w:tc>
        <w:tc>
          <w:tcPr>
            <w:tcW w:w="1629" w:type="dxa"/>
            <w:tcBorders>
              <w:top w:val="single" w:sz="8" w:space="0" w:color="auto"/>
              <w:bottom w:val="single" w:sz="8" w:space="0" w:color="auto"/>
            </w:tcBorders>
            <w:vAlign w:val="center"/>
          </w:tcPr>
          <w:p w14:paraId="4378D969" w14:textId="77777777" w:rsidR="008F4BAE" w:rsidRPr="00DA7A90" w:rsidRDefault="008F4BAE" w:rsidP="00A65C93">
            <w:pPr>
              <w:ind w:left="-109" w:right="-181"/>
              <w:jc w:val="center"/>
              <w:rPr>
                <w:color w:val="000000" w:themeColor="text1"/>
                <w:sz w:val="20"/>
                <w:szCs w:val="20"/>
                <w:lang w:val="en-US"/>
              </w:rPr>
            </w:pPr>
            <w:r w:rsidRPr="00DA7A90">
              <w:rPr>
                <w:color w:val="000000" w:themeColor="text1"/>
                <w:sz w:val="20"/>
                <w:szCs w:val="20"/>
                <w:lang w:val="en-US"/>
              </w:rPr>
              <w:t>Wavelength (nm)</w:t>
            </w:r>
          </w:p>
        </w:tc>
        <w:tc>
          <w:tcPr>
            <w:tcW w:w="1834" w:type="dxa"/>
            <w:tcBorders>
              <w:top w:val="single" w:sz="8" w:space="0" w:color="auto"/>
              <w:bottom w:val="single" w:sz="8" w:space="0" w:color="auto"/>
            </w:tcBorders>
            <w:vAlign w:val="center"/>
          </w:tcPr>
          <w:p w14:paraId="0E39788D" w14:textId="77777777" w:rsidR="008F4BAE" w:rsidRPr="00DA7A90" w:rsidRDefault="008F4BAE" w:rsidP="00A65C93">
            <w:pPr>
              <w:ind w:left="-37" w:right="-46"/>
              <w:jc w:val="center"/>
              <w:rPr>
                <w:color w:val="000000" w:themeColor="text1"/>
                <w:sz w:val="20"/>
                <w:szCs w:val="20"/>
                <w:lang w:val="en-US"/>
              </w:rPr>
            </w:pPr>
            <w:r w:rsidRPr="00DA7A90">
              <w:rPr>
                <w:color w:val="000000" w:themeColor="text1"/>
                <w:sz w:val="20"/>
                <w:szCs w:val="20"/>
                <w:lang w:val="en-US"/>
              </w:rPr>
              <w:t>Range of detection (mg/L)</w:t>
            </w:r>
          </w:p>
        </w:tc>
        <w:tc>
          <w:tcPr>
            <w:tcW w:w="1640" w:type="dxa"/>
            <w:tcBorders>
              <w:top w:val="single" w:sz="8" w:space="0" w:color="auto"/>
              <w:bottom w:val="single" w:sz="8" w:space="0" w:color="auto"/>
            </w:tcBorders>
            <w:vAlign w:val="center"/>
          </w:tcPr>
          <w:p w14:paraId="4DD25FCF" w14:textId="77777777" w:rsidR="008F4BAE" w:rsidRPr="00DA7A90" w:rsidRDefault="008F4BAE" w:rsidP="00A65C93">
            <w:pPr>
              <w:ind w:left="-26" w:right="-109"/>
              <w:jc w:val="center"/>
              <w:rPr>
                <w:color w:val="000000" w:themeColor="text1"/>
                <w:sz w:val="20"/>
                <w:szCs w:val="20"/>
                <w:lang w:val="en-US"/>
              </w:rPr>
            </w:pPr>
            <w:r w:rsidRPr="00DA7A90">
              <w:rPr>
                <w:color w:val="000000" w:themeColor="text1"/>
                <w:sz w:val="20"/>
                <w:szCs w:val="20"/>
                <w:lang w:val="en-US"/>
              </w:rPr>
              <w:t>Correlation coefficient (R²)</w:t>
            </w:r>
          </w:p>
        </w:tc>
        <w:tc>
          <w:tcPr>
            <w:tcW w:w="2381" w:type="dxa"/>
            <w:tcBorders>
              <w:top w:val="single" w:sz="8" w:space="0" w:color="auto"/>
              <w:bottom w:val="single" w:sz="8" w:space="0" w:color="auto"/>
            </w:tcBorders>
            <w:vAlign w:val="center"/>
          </w:tcPr>
          <w:p w14:paraId="1AB276F2" w14:textId="77777777" w:rsidR="008F4BAE" w:rsidRPr="00DA7A90" w:rsidRDefault="008F4BAE" w:rsidP="00A65C93">
            <w:pPr>
              <w:jc w:val="center"/>
              <w:rPr>
                <w:color w:val="000000" w:themeColor="text1"/>
                <w:sz w:val="20"/>
                <w:szCs w:val="20"/>
                <w:lang w:val="en-US"/>
              </w:rPr>
            </w:pPr>
            <w:r w:rsidRPr="00DA7A90">
              <w:rPr>
                <w:color w:val="000000" w:themeColor="text1"/>
                <w:sz w:val="20"/>
                <w:szCs w:val="20"/>
                <w:lang w:val="en-US"/>
              </w:rPr>
              <w:t>Calibration curve equation</w:t>
            </w:r>
          </w:p>
        </w:tc>
      </w:tr>
      <w:tr w:rsidR="008F4BAE" w:rsidRPr="00DA7A90" w14:paraId="03E8C3C7" w14:textId="77777777" w:rsidTr="00A65C93">
        <w:tc>
          <w:tcPr>
            <w:tcW w:w="1271" w:type="dxa"/>
            <w:tcBorders>
              <w:top w:val="single" w:sz="8" w:space="0" w:color="auto"/>
            </w:tcBorders>
            <w:vAlign w:val="center"/>
          </w:tcPr>
          <w:p w14:paraId="04785039"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Sodium</w:t>
            </w:r>
          </w:p>
        </w:tc>
        <w:tc>
          <w:tcPr>
            <w:tcW w:w="1629" w:type="dxa"/>
            <w:tcBorders>
              <w:top w:val="single" w:sz="8" w:space="0" w:color="auto"/>
            </w:tcBorders>
            <w:vAlign w:val="center"/>
          </w:tcPr>
          <w:p w14:paraId="16AA5E5F"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598</w:t>
            </w:r>
          </w:p>
        </w:tc>
        <w:tc>
          <w:tcPr>
            <w:tcW w:w="1834" w:type="dxa"/>
            <w:tcBorders>
              <w:top w:val="single" w:sz="8" w:space="0" w:color="auto"/>
            </w:tcBorders>
            <w:vAlign w:val="center"/>
          </w:tcPr>
          <w:p w14:paraId="20F316D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0.02-0.8</w:t>
            </w:r>
          </w:p>
        </w:tc>
        <w:tc>
          <w:tcPr>
            <w:tcW w:w="1640" w:type="dxa"/>
            <w:tcBorders>
              <w:top w:val="single" w:sz="8" w:space="0" w:color="auto"/>
            </w:tcBorders>
            <w:vAlign w:val="center"/>
          </w:tcPr>
          <w:p w14:paraId="28BEFB29"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0.9975</w:t>
            </w:r>
          </w:p>
        </w:tc>
        <w:tc>
          <w:tcPr>
            <w:tcW w:w="2381" w:type="dxa"/>
            <w:tcBorders>
              <w:top w:val="single" w:sz="8" w:space="0" w:color="auto"/>
            </w:tcBorders>
            <w:vAlign w:val="center"/>
          </w:tcPr>
          <w:p w14:paraId="41B6265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86.518x + 20.71</w:t>
            </w:r>
          </w:p>
        </w:tc>
      </w:tr>
      <w:tr w:rsidR="008F4BAE" w:rsidRPr="00DA7A90" w14:paraId="68EF1270" w14:textId="77777777" w:rsidTr="00A65C93">
        <w:tc>
          <w:tcPr>
            <w:tcW w:w="1271" w:type="dxa"/>
            <w:vAlign w:val="center"/>
          </w:tcPr>
          <w:p w14:paraId="13AB4E5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Potassium</w:t>
            </w:r>
          </w:p>
        </w:tc>
        <w:tc>
          <w:tcPr>
            <w:tcW w:w="1629" w:type="dxa"/>
            <w:vAlign w:val="center"/>
          </w:tcPr>
          <w:p w14:paraId="2DE7FC3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766.5</w:t>
            </w:r>
          </w:p>
        </w:tc>
        <w:tc>
          <w:tcPr>
            <w:tcW w:w="1834" w:type="dxa"/>
            <w:vAlign w:val="center"/>
          </w:tcPr>
          <w:p w14:paraId="37C2FFA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0.03-1.6</w:t>
            </w:r>
          </w:p>
        </w:tc>
        <w:tc>
          <w:tcPr>
            <w:tcW w:w="1640" w:type="dxa"/>
            <w:vAlign w:val="center"/>
          </w:tcPr>
          <w:p w14:paraId="4ED67C5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0.9983</w:t>
            </w:r>
          </w:p>
        </w:tc>
        <w:tc>
          <w:tcPr>
            <w:tcW w:w="2381" w:type="dxa"/>
            <w:vAlign w:val="center"/>
          </w:tcPr>
          <w:p w14:paraId="156BF05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0.2374x + 0.0032</w:t>
            </w:r>
          </w:p>
        </w:tc>
      </w:tr>
      <w:tr w:rsidR="008F4BAE" w:rsidRPr="00DA7A90" w14:paraId="5544FC97" w14:textId="77777777" w:rsidTr="00A65C93">
        <w:tc>
          <w:tcPr>
            <w:tcW w:w="1271" w:type="dxa"/>
            <w:vAlign w:val="center"/>
          </w:tcPr>
          <w:p w14:paraId="36A349AD"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Magnesium</w:t>
            </w:r>
          </w:p>
        </w:tc>
        <w:tc>
          <w:tcPr>
            <w:tcW w:w="1629" w:type="dxa"/>
            <w:vAlign w:val="center"/>
          </w:tcPr>
          <w:p w14:paraId="314E3669"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285.2</w:t>
            </w:r>
          </w:p>
        </w:tc>
        <w:tc>
          <w:tcPr>
            <w:tcW w:w="1834" w:type="dxa"/>
            <w:vAlign w:val="center"/>
          </w:tcPr>
          <w:p w14:paraId="208A155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0.003-0.6</w:t>
            </w:r>
          </w:p>
        </w:tc>
        <w:tc>
          <w:tcPr>
            <w:tcW w:w="1640" w:type="dxa"/>
            <w:vAlign w:val="center"/>
          </w:tcPr>
          <w:p w14:paraId="6C61711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0.9998</w:t>
            </w:r>
          </w:p>
        </w:tc>
        <w:tc>
          <w:tcPr>
            <w:tcW w:w="2381" w:type="dxa"/>
            <w:vAlign w:val="center"/>
          </w:tcPr>
          <w:p w14:paraId="713D3C7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0.661x + 0.00005</w:t>
            </w:r>
          </w:p>
        </w:tc>
      </w:tr>
      <w:tr w:rsidR="008F4BAE" w:rsidRPr="00DA7A90" w14:paraId="7387EB2F" w14:textId="77777777" w:rsidTr="00A65C93">
        <w:tc>
          <w:tcPr>
            <w:tcW w:w="1271" w:type="dxa"/>
            <w:vAlign w:val="center"/>
          </w:tcPr>
          <w:p w14:paraId="529B0D9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Calcium</w:t>
            </w:r>
          </w:p>
        </w:tc>
        <w:tc>
          <w:tcPr>
            <w:tcW w:w="1629" w:type="dxa"/>
            <w:vAlign w:val="center"/>
          </w:tcPr>
          <w:p w14:paraId="2165207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422.7</w:t>
            </w:r>
          </w:p>
        </w:tc>
        <w:tc>
          <w:tcPr>
            <w:tcW w:w="1834" w:type="dxa"/>
            <w:vAlign w:val="center"/>
          </w:tcPr>
          <w:p w14:paraId="3F9A469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0.005-4</w:t>
            </w:r>
          </w:p>
        </w:tc>
        <w:tc>
          <w:tcPr>
            <w:tcW w:w="1640" w:type="dxa"/>
            <w:vAlign w:val="center"/>
          </w:tcPr>
          <w:p w14:paraId="1C923FB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0.9916</w:t>
            </w:r>
          </w:p>
        </w:tc>
        <w:tc>
          <w:tcPr>
            <w:tcW w:w="2381" w:type="dxa"/>
            <w:vAlign w:val="center"/>
          </w:tcPr>
          <w:p w14:paraId="31A3C9F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0.0153x + 0.0107</w:t>
            </w:r>
          </w:p>
        </w:tc>
      </w:tr>
      <w:tr w:rsidR="008F4BAE" w:rsidRPr="00DA7A90" w14:paraId="3AFBF1A3" w14:textId="77777777" w:rsidTr="00A65C93">
        <w:tc>
          <w:tcPr>
            <w:tcW w:w="1271" w:type="dxa"/>
            <w:vAlign w:val="center"/>
          </w:tcPr>
          <w:p w14:paraId="40565DD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Chromium</w:t>
            </w:r>
          </w:p>
        </w:tc>
        <w:tc>
          <w:tcPr>
            <w:tcW w:w="1629" w:type="dxa"/>
            <w:vAlign w:val="center"/>
          </w:tcPr>
          <w:p w14:paraId="4C5ACD0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357.9</w:t>
            </w:r>
          </w:p>
        </w:tc>
        <w:tc>
          <w:tcPr>
            <w:tcW w:w="1834" w:type="dxa"/>
            <w:vAlign w:val="center"/>
          </w:tcPr>
          <w:p w14:paraId="52779FA4"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0.03-10</w:t>
            </w:r>
          </w:p>
        </w:tc>
        <w:tc>
          <w:tcPr>
            <w:tcW w:w="1640" w:type="dxa"/>
            <w:vAlign w:val="center"/>
          </w:tcPr>
          <w:p w14:paraId="52342F3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0.9981</w:t>
            </w:r>
          </w:p>
        </w:tc>
        <w:tc>
          <w:tcPr>
            <w:tcW w:w="2381" w:type="dxa"/>
            <w:vAlign w:val="center"/>
          </w:tcPr>
          <w:p w14:paraId="37044C9D"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0.0114x + 0.0156</w:t>
            </w:r>
          </w:p>
        </w:tc>
      </w:tr>
      <w:tr w:rsidR="008F4BAE" w:rsidRPr="00DA7A90" w14:paraId="71687327" w14:textId="77777777" w:rsidTr="00A65C93">
        <w:tc>
          <w:tcPr>
            <w:tcW w:w="1271" w:type="dxa"/>
            <w:vAlign w:val="center"/>
          </w:tcPr>
          <w:p w14:paraId="6E71C27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Iron</w:t>
            </w:r>
          </w:p>
        </w:tc>
        <w:tc>
          <w:tcPr>
            <w:tcW w:w="1629" w:type="dxa"/>
            <w:vAlign w:val="center"/>
          </w:tcPr>
          <w:p w14:paraId="1D3D6D2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248.3</w:t>
            </w:r>
          </w:p>
        </w:tc>
        <w:tc>
          <w:tcPr>
            <w:tcW w:w="1834" w:type="dxa"/>
            <w:vAlign w:val="center"/>
          </w:tcPr>
          <w:p w14:paraId="58912DA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0.05-0.8</w:t>
            </w:r>
          </w:p>
        </w:tc>
        <w:tc>
          <w:tcPr>
            <w:tcW w:w="1640" w:type="dxa"/>
            <w:vAlign w:val="center"/>
          </w:tcPr>
          <w:p w14:paraId="5490901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0.9987</w:t>
            </w:r>
          </w:p>
        </w:tc>
        <w:tc>
          <w:tcPr>
            <w:tcW w:w="2381" w:type="dxa"/>
            <w:vAlign w:val="center"/>
          </w:tcPr>
          <w:p w14:paraId="48F4C64E"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0.0464x + 0.0077</w:t>
            </w:r>
          </w:p>
        </w:tc>
      </w:tr>
      <w:tr w:rsidR="008F4BAE" w:rsidRPr="00DA7A90" w14:paraId="3C41C188" w14:textId="77777777" w:rsidTr="00A65C93">
        <w:tc>
          <w:tcPr>
            <w:tcW w:w="1271" w:type="dxa"/>
            <w:vAlign w:val="center"/>
          </w:tcPr>
          <w:p w14:paraId="4F1690AF"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Nickel</w:t>
            </w:r>
          </w:p>
        </w:tc>
        <w:tc>
          <w:tcPr>
            <w:tcW w:w="1629" w:type="dxa"/>
            <w:vAlign w:val="center"/>
          </w:tcPr>
          <w:p w14:paraId="2FB96A9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232</w:t>
            </w:r>
          </w:p>
        </w:tc>
        <w:tc>
          <w:tcPr>
            <w:tcW w:w="1834" w:type="dxa"/>
            <w:vAlign w:val="center"/>
          </w:tcPr>
          <w:p w14:paraId="773B9EC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0.09-8</w:t>
            </w:r>
          </w:p>
        </w:tc>
        <w:tc>
          <w:tcPr>
            <w:tcW w:w="1640" w:type="dxa"/>
            <w:vAlign w:val="center"/>
          </w:tcPr>
          <w:p w14:paraId="4546929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0.9997</w:t>
            </w:r>
          </w:p>
        </w:tc>
        <w:tc>
          <w:tcPr>
            <w:tcW w:w="2381" w:type="dxa"/>
            <w:vAlign w:val="center"/>
          </w:tcPr>
          <w:p w14:paraId="3F73103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0.0248x + 0.0035</w:t>
            </w:r>
          </w:p>
        </w:tc>
      </w:tr>
      <w:tr w:rsidR="008F4BAE" w:rsidRPr="00DA7A90" w14:paraId="344BBCD4" w14:textId="77777777" w:rsidTr="00A65C93">
        <w:tc>
          <w:tcPr>
            <w:tcW w:w="1271" w:type="dxa"/>
            <w:vAlign w:val="center"/>
          </w:tcPr>
          <w:p w14:paraId="41AA570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Copper</w:t>
            </w:r>
          </w:p>
        </w:tc>
        <w:tc>
          <w:tcPr>
            <w:tcW w:w="1629" w:type="dxa"/>
            <w:vAlign w:val="center"/>
          </w:tcPr>
          <w:p w14:paraId="3EDA3CA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324.8</w:t>
            </w:r>
          </w:p>
        </w:tc>
        <w:tc>
          <w:tcPr>
            <w:tcW w:w="1834" w:type="dxa"/>
            <w:vAlign w:val="center"/>
          </w:tcPr>
          <w:p w14:paraId="5554BB1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0.01-4</w:t>
            </w:r>
          </w:p>
        </w:tc>
        <w:tc>
          <w:tcPr>
            <w:tcW w:w="1640" w:type="dxa"/>
            <w:vAlign w:val="center"/>
          </w:tcPr>
          <w:p w14:paraId="2E9A299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0.9989</w:t>
            </w:r>
          </w:p>
        </w:tc>
        <w:tc>
          <w:tcPr>
            <w:tcW w:w="2381" w:type="dxa"/>
            <w:vAlign w:val="center"/>
          </w:tcPr>
          <w:p w14:paraId="6B3A3D3A"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0.0347x + 0.0041</w:t>
            </w:r>
          </w:p>
        </w:tc>
      </w:tr>
      <w:tr w:rsidR="008F4BAE" w:rsidRPr="00DA7A90" w14:paraId="34E3C232" w14:textId="77777777" w:rsidTr="00A65C93">
        <w:tc>
          <w:tcPr>
            <w:tcW w:w="1271" w:type="dxa"/>
            <w:vAlign w:val="center"/>
          </w:tcPr>
          <w:p w14:paraId="5897D41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Zinc</w:t>
            </w:r>
          </w:p>
        </w:tc>
        <w:tc>
          <w:tcPr>
            <w:tcW w:w="1629" w:type="dxa"/>
            <w:vAlign w:val="center"/>
          </w:tcPr>
          <w:p w14:paraId="53AFCC8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213.9</w:t>
            </w:r>
          </w:p>
        </w:tc>
        <w:tc>
          <w:tcPr>
            <w:tcW w:w="1834" w:type="dxa"/>
            <w:vAlign w:val="center"/>
          </w:tcPr>
          <w:p w14:paraId="1A46E31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0.005.1.6</w:t>
            </w:r>
          </w:p>
        </w:tc>
        <w:tc>
          <w:tcPr>
            <w:tcW w:w="1640" w:type="dxa"/>
            <w:vAlign w:val="center"/>
          </w:tcPr>
          <w:p w14:paraId="2C81AC3D"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0.9909</w:t>
            </w:r>
          </w:p>
        </w:tc>
        <w:tc>
          <w:tcPr>
            <w:tcW w:w="2381" w:type="dxa"/>
            <w:vAlign w:val="center"/>
          </w:tcPr>
          <w:p w14:paraId="05B9685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0.2102x + 0.0199</w:t>
            </w:r>
          </w:p>
        </w:tc>
      </w:tr>
      <w:tr w:rsidR="008F4BAE" w:rsidRPr="00DA7A90" w14:paraId="5C59C58D" w14:textId="77777777" w:rsidTr="00A65C93">
        <w:tc>
          <w:tcPr>
            <w:tcW w:w="1271" w:type="dxa"/>
            <w:vAlign w:val="center"/>
          </w:tcPr>
          <w:p w14:paraId="209DB8AE"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Cadmium</w:t>
            </w:r>
          </w:p>
        </w:tc>
        <w:tc>
          <w:tcPr>
            <w:tcW w:w="1629" w:type="dxa"/>
            <w:vAlign w:val="center"/>
          </w:tcPr>
          <w:p w14:paraId="5DC2ADBF"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228.8</w:t>
            </w:r>
          </w:p>
        </w:tc>
        <w:tc>
          <w:tcPr>
            <w:tcW w:w="1834" w:type="dxa"/>
            <w:vAlign w:val="center"/>
          </w:tcPr>
          <w:p w14:paraId="10905D9E"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0.004-1.8</w:t>
            </w:r>
          </w:p>
        </w:tc>
        <w:tc>
          <w:tcPr>
            <w:tcW w:w="1640" w:type="dxa"/>
            <w:vAlign w:val="center"/>
          </w:tcPr>
          <w:p w14:paraId="0D64391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0.9960</w:t>
            </w:r>
          </w:p>
        </w:tc>
        <w:tc>
          <w:tcPr>
            <w:tcW w:w="2381" w:type="dxa"/>
            <w:vAlign w:val="center"/>
          </w:tcPr>
          <w:p w14:paraId="58EECDC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0.336x – 0.0075</w:t>
            </w:r>
          </w:p>
        </w:tc>
      </w:tr>
      <w:tr w:rsidR="008F4BAE" w:rsidRPr="00DA7A90" w14:paraId="6480F3AA" w14:textId="77777777" w:rsidTr="00A65C93">
        <w:tc>
          <w:tcPr>
            <w:tcW w:w="1271" w:type="dxa"/>
            <w:tcBorders>
              <w:bottom w:val="single" w:sz="8" w:space="0" w:color="auto"/>
            </w:tcBorders>
            <w:vAlign w:val="center"/>
          </w:tcPr>
          <w:p w14:paraId="7AFCA62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Lead</w:t>
            </w:r>
          </w:p>
        </w:tc>
        <w:tc>
          <w:tcPr>
            <w:tcW w:w="1629" w:type="dxa"/>
            <w:tcBorders>
              <w:bottom w:val="single" w:sz="8" w:space="0" w:color="auto"/>
            </w:tcBorders>
            <w:vAlign w:val="center"/>
          </w:tcPr>
          <w:p w14:paraId="497E667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217</w:t>
            </w:r>
          </w:p>
        </w:tc>
        <w:tc>
          <w:tcPr>
            <w:tcW w:w="1834" w:type="dxa"/>
            <w:tcBorders>
              <w:bottom w:val="single" w:sz="8" w:space="0" w:color="auto"/>
            </w:tcBorders>
            <w:vAlign w:val="center"/>
          </w:tcPr>
          <w:p w14:paraId="112E478A"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0.1-12</w:t>
            </w:r>
          </w:p>
        </w:tc>
        <w:tc>
          <w:tcPr>
            <w:tcW w:w="1640" w:type="dxa"/>
            <w:tcBorders>
              <w:bottom w:val="single" w:sz="8" w:space="0" w:color="auto"/>
            </w:tcBorders>
            <w:vAlign w:val="center"/>
          </w:tcPr>
          <w:p w14:paraId="377B3E3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0.9979</w:t>
            </w:r>
          </w:p>
        </w:tc>
        <w:tc>
          <w:tcPr>
            <w:tcW w:w="2381" w:type="dxa"/>
            <w:tcBorders>
              <w:bottom w:val="single" w:sz="8" w:space="0" w:color="auto"/>
            </w:tcBorders>
            <w:vAlign w:val="center"/>
          </w:tcPr>
          <w:p w14:paraId="0E0EAFF5"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0.0488x + 0.009</w:t>
            </w:r>
          </w:p>
        </w:tc>
      </w:tr>
    </w:tbl>
    <w:p w14:paraId="207CC50C" w14:textId="77777777" w:rsidR="008F4BAE" w:rsidRPr="00DA7A90" w:rsidRDefault="008F4BAE" w:rsidP="004A480E">
      <w:pPr>
        <w:jc w:val="both"/>
        <w:rPr>
          <w:color w:val="000000" w:themeColor="text1"/>
          <w:sz w:val="20"/>
          <w:szCs w:val="20"/>
        </w:rPr>
      </w:pPr>
    </w:p>
    <w:p w14:paraId="3D1B56E3" w14:textId="77777777" w:rsidR="007B5C2E" w:rsidRPr="00DA7A90" w:rsidRDefault="009101A4" w:rsidP="004A480E">
      <w:pPr>
        <w:pStyle w:val="Heading2"/>
        <w:spacing w:line="240" w:lineRule="auto"/>
      </w:pPr>
      <w:r w:rsidRPr="00DA7A90">
        <w:t>Biohazard risk assessment</w:t>
      </w:r>
    </w:p>
    <w:p w14:paraId="257B1646" w14:textId="671A7D03" w:rsidR="00AB3975" w:rsidRPr="00DA7A90" w:rsidRDefault="009101A4" w:rsidP="004A480E">
      <w:pPr>
        <w:jc w:val="both"/>
        <w:rPr>
          <w:color w:val="000000" w:themeColor="text1"/>
          <w:sz w:val="20"/>
          <w:szCs w:val="20"/>
        </w:rPr>
      </w:pPr>
      <w:r w:rsidRPr="00DA7A90">
        <w:rPr>
          <w:color w:val="000000" w:themeColor="text1"/>
          <w:sz w:val="20"/>
          <w:szCs w:val="20"/>
        </w:rPr>
        <w:t>For each detected element, the estimated daily intake (EDI) by oral route was calculated based on a daily consumption of 5 g of leaf powder, which is the usual dose in traditional herbal medicine, for a 70 kg adult, according to the formula:</w:t>
      </w:r>
    </w:p>
    <w:p w14:paraId="6CAACF7D" w14:textId="6767C9AF" w:rsidR="00AB3975" w:rsidRPr="00DA7A90" w:rsidRDefault="0062569A" w:rsidP="004A480E">
      <w:pPr>
        <w:jc w:val="both"/>
        <w:rPr>
          <w:color w:val="000000" w:themeColor="text1"/>
          <w:sz w:val="20"/>
          <w:szCs w:val="20"/>
        </w:rPr>
      </w:pPr>
      <m:oMathPara>
        <m:oMath>
          <m:r>
            <w:rPr>
              <w:rFonts w:ascii="Cambria Math" w:hAnsi="Cambria Math"/>
              <w:color w:val="000000" w:themeColor="text1"/>
              <w:sz w:val="20"/>
              <w:szCs w:val="20"/>
            </w:rPr>
            <w:lastRenderedPageBreak/>
            <m:t>EDI (mg/kg/day)</m:t>
          </m:r>
          <m:r>
            <m:rPr>
              <m:sty m:val="p"/>
            </m:rPr>
            <w:rPr>
              <w:rFonts w:ascii="Cambria Math" w:hAnsi="Cambria Math"/>
              <w:color w:val="000000" w:themeColor="text1"/>
              <w:sz w:val="20"/>
              <w:szCs w:val="20"/>
            </w:rPr>
            <m:t>=</m:t>
          </m:r>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rPr>
                <m:t>C*IR*EF*ED</m:t>
              </m:r>
            </m:num>
            <m:den>
              <m:r>
                <m:rPr>
                  <m:sty m:val="p"/>
                </m:rPr>
                <w:rPr>
                  <w:rFonts w:ascii="Cambria Math" w:hAnsi="Cambria Math"/>
                  <w:color w:val="000000" w:themeColor="text1"/>
                  <w:sz w:val="20"/>
                  <w:szCs w:val="20"/>
                </w:rPr>
                <m:t>BW*AT*1000</m:t>
              </m:r>
            </m:den>
          </m:f>
        </m:oMath>
      </m:oMathPara>
    </w:p>
    <w:p w14:paraId="38908F3F" w14:textId="77777777" w:rsidR="007744F9" w:rsidRPr="00DA7A90" w:rsidRDefault="007744F9" w:rsidP="004A480E">
      <w:pPr>
        <w:jc w:val="both"/>
        <w:rPr>
          <w:color w:val="000000" w:themeColor="text1"/>
          <w:sz w:val="20"/>
          <w:szCs w:val="20"/>
        </w:rPr>
      </w:pPr>
    </w:p>
    <w:p w14:paraId="144E25E2" w14:textId="1AC2E004" w:rsidR="007744F9" w:rsidRPr="00DA7A90" w:rsidRDefault="007744F9" w:rsidP="004A480E">
      <w:pPr>
        <w:jc w:val="both"/>
        <w:rPr>
          <w:color w:val="000000" w:themeColor="text1"/>
          <w:sz w:val="20"/>
          <w:szCs w:val="20"/>
          <w:lang w:val="en-US"/>
        </w:rPr>
      </w:pPr>
      <w:r w:rsidRPr="00DA7A90">
        <w:rPr>
          <w:color w:val="000000" w:themeColor="text1"/>
          <w:sz w:val="20"/>
          <w:szCs w:val="20"/>
          <w:lang w:val="en-US"/>
        </w:rPr>
        <w:t>where EDI is the estimated daily intake of heavy metals</w:t>
      </w:r>
      <w:r w:rsidR="0062569A" w:rsidRPr="00DA7A90">
        <w:rPr>
          <w:color w:val="000000" w:themeColor="text1"/>
          <w:sz w:val="20"/>
          <w:szCs w:val="20"/>
          <w:lang w:val="en-US"/>
        </w:rPr>
        <w:t xml:space="preserve"> </w:t>
      </w:r>
      <w:r w:rsidRPr="00DA7A90">
        <w:rPr>
          <w:color w:val="000000" w:themeColor="text1"/>
          <w:sz w:val="20"/>
          <w:szCs w:val="20"/>
          <w:lang w:val="en-US"/>
        </w:rPr>
        <w:t>ingested from a medicinal plant in mg/kg day, C is the concentration</w:t>
      </w:r>
      <w:r w:rsidR="0062569A" w:rsidRPr="00DA7A90">
        <w:rPr>
          <w:color w:val="000000" w:themeColor="text1"/>
          <w:sz w:val="20"/>
          <w:szCs w:val="20"/>
          <w:lang w:val="en-US"/>
        </w:rPr>
        <w:t xml:space="preserve"> </w:t>
      </w:r>
      <w:r w:rsidRPr="00DA7A90">
        <w:rPr>
          <w:color w:val="000000" w:themeColor="text1"/>
          <w:sz w:val="20"/>
          <w:szCs w:val="20"/>
          <w:lang w:val="en-US"/>
        </w:rPr>
        <w:t>of metal in medicinal plants measured in</w:t>
      </w:r>
      <w:r w:rsidR="0062569A" w:rsidRPr="00DA7A90">
        <w:rPr>
          <w:color w:val="000000" w:themeColor="text1"/>
          <w:sz w:val="20"/>
          <w:szCs w:val="20"/>
          <w:lang w:val="en-US"/>
        </w:rPr>
        <w:t xml:space="preserve"> </w:t>
      </w:r>
      <w:r w:rsidRPr="00DA7A90">
        <w:rPr>
          <w:color w:val="000000" w:themeColor="text1"/>
          <w:sz w:val="20"/>
          <w:szCs w:val="20"/>
          <w:lang w:val="en-US"/>
        </w:rPr>
        <w:t>mg/kg, IR is the ingestion rate which is measured in mg/day,</w:t>
      </w:r>
      <w:r w:rsidR="0062569A" w:rsidRPr="00DA7A90">
        <w:rPr>
          <w:color w:val="000000" w:themeColor="text1"/>
          <w:sz w:val="20"/>
          <w:szCs w:val="20"/>
          <w:lang w:val="en-US"/>
        </w:rPr>
        <w:t xml:space="preserve"> </w:t>
      </w:r>
      <w:r w:rsidRPr="00DA7A90">
        <w:rPr>
          <w:color w:val="000000" w:themeColor="text1"/>
          <w:sz w:val="20"/>
          <w:szCs w:val="20"/>
          <w:lang w:val="en-US"/>
        </w:rPr>
        <w:t>exposure frequency (EF) in days/year, ED is the exposure</w:t>
      </w:r>
      <w:r w:rsidR="00D1714C" w:rsidRPr="00DA7A90">
        <w:rPr>
          <w:color w:val="000000" w:themeColor="text1"/>
          <w:sz w:val="20"/>
          <w:szCs w:val="20"/>
          <w:lang w:val="en-US"/>
        </w:rPr>
        <w:t xml:space="preserve"> </w:t>
      </w:r>
      <w:r w:rsidRPr="00DA7A90">
        <w:rPr>
          <w:color w:val="000000" w:themeColor="text1"/>
          <w:sz w:val="20"/>
          <w:szCs w:val="20"/>
          <w:lang w:val="en-US"/>
        </w:rPr>
        <w:t>duration over years, BW is the body weight of the exposed individual in kg, AT is the time period over which the dose</w:t>
      </w:r>
      <w:r w:rsidR="00D1714C" w:rsidRPr="00DA7A90">
        <w:rPr>
          <w:color w:val="000000" w:themeColor="text1"/>
          <w:sz w:val="20"/>
          <w:szCs w:val="20"/>
          <w:lang w:val="en-US"/>
        </w:rPr>
        <w:t xml:space="preserve"> </w:t>
      </w:r>
      <w:r w:rsidRPr="00DA7A90">
        <w:rPr>
          <w:color w:val="000000" w:themeColor="text1"/>
          <w:sz w:val="20"/>
          <w:szCs w:val="20"/>
          <w:lang w:val="en-US"/>
        </w:rPr>
        <w:t>is averaged in days as seen in Table 2</w:t>
      </w:r>
      <w:r w:rsidR="002F2556" w:rsidRPr="00DA7A90">
        <w:rPr>
          <w:color w:val="000000" w:themeColor="text1"/>
          <w:sz w:val="20"/>
          <w:szCs w:val="20"/>
          <w:lang w:val="en-US"/>
        </w:rPr>
        <w:t xml:space="preserve"> </w:t>
      </w:r>
      <w:r w:rsidR="00432E6B" w:rsidRPr="00DA7A90">
        <w:rPr>
          <w:color w:val="000000" w:themeColor="text1"/>
          <w:sz w:val="20"/>
          <w:szCs w:val="20"/>
        </w:rPr>
        <w:t>[8]</w:t>
      </w:r>
      <w:r w:rsidRPr="00DA7A90">
        <w:rPr>
          <w:color w:val="000000" w:themeColor="text1"/>
          <w:sz w:val="20"/>
          <w:szCs w:val="20"/>
          <w:lang w:val="en-US"/>
        </w:rPr>
        <w:t>.</w:t>
      </w:r>
    </w:p>
    <w:p w14:paraId="4A545FF4" w14:textId="77777777" w:rsidR="006703EA" w:rsidRPr="00DA7A90" w:rsidRDefault="006703EA" w:rsidP="004A480E">
      <w:pPr>
        <w:jc w:val="both"/>
        <w:rPr>
          <w:b/>
          <w:bCs/>
          <w:color w:val="000000" w:themeColor="text1"/>
          <w:sz w:val="20"/>
          <w:szCs w:val="20"/>
          <w:lang w:val="en-US"/>
        </w:rPr>
      </w:pPr>
    </w:p>
    <w:p w14:paraId="5ABFE761" w14:textId="77777777" w:rsidR="006703EA" w:rsidRPr="00DA7A90" w:rsidRDefault="006703EA" w:rsidP="004A480E">
      <w:pPr>
        <w:jc w:val="both"/>
        <w:rPr>
          <w:b/>
          <w:bCs/>
          <w:color w:val="000000" w:themeColor="text1"/>
          <w:sz w:val="20"/>
          <w:szCs w:val="20"/>
          <w:lang w:val="en-US"/>
        </w:rPr>
      </w:pPr>
    </w:p>
    <w:p w14:paraId="4C3F8330" w14:textId="77777777" w:rsidR="006703EA" w:rsidRPr="00DA7A90" w:rsidRDefault="006703EA" w:rsidP="004A480E">
      <w:pPr>
        <w:jc w:val="both"/>
        <w:rPr>
          <w:b/>
          <w:bCs/>
          <w:color w:val="000000" w:themeColor="text1"/>
          <w:sz w:val="20"/>
          <w:szCs w:val="20"/>
          <w:lang w:val="en-US"/>
        </w:rPr>
      </w:pPr>
    </w:p>
    <w:p w14:paraId="372ABBBE" w14:textId="73DB0849" w:rsidR="007744F9" w:rsidRPr="00DA7A90" w:rsidRDefault="007744F9" w:rsidP="004A480E">
      <w:pPr>
        <w:jc w:val="both"/>
        <w:rPr>
          <w:b/>
          <w:bCs/>
          <w:color w:val="000000" w:themeColor="text1"/>
          <w:sz w:val="20"/>
          <w:szCs w:val="20"/>
          <w:lang w:val="en-US"/>
        </w:rPr>
      </w:pPr>
      <w:r w:rsidRPr="00DA7A90">
        <w:rPr>
          <w:b/>
          <w:bCs/>
          <w:color w:val="000000" w:themeColor="text1"/>
          <w:sz w:val="20"/>
          <w:szCs w:val="20"/>
          <w:lang w:val="en-US"/>
        </w:rPr>
        <w:t>Table 2</w:t>
      </w:r>
      <w:r w:rsidR="00A96E8C" w:rsidRPr="00DA7A90">
        <w:rPr>
          <w:b/>
          <w:bCs/>
          <w:color w:val="000000" w:themeColor="text1"/>
          <w:sz w:val="20"/>
          <w:szCs w:val="20"/>
          <w:lang w:val="en-US"/>
        </w:rPr>
        <w:t>.</w:t>
      </w:r>
      <w:r w:rsidRPr="00DA7A90">
        <w:rPr>
          <w:b/>
          <w:bCs/>
          <w:color w:val="000000" w:themeColor="text1"/>
          <w:sz w:val="20"/>
          <w:szCs w:val="20"/>
          <w:lang w:val="en-US"/>
        </w:rPr>
        <w:t xml:space="preserve"> Exposure parameters for the health risk assessment through various exposure pathways for plants</w:t>
      </w:r>
      <w:r w:rsidR="00A96E8C" w:rsidRPr="00DA7A90">
        <w:rPr>
          <w:b/>
          <w:bCs/>
          <w:color w:val="000000" w:themeColor="text1"/>
          <w:sz w:val="20"/>
          <w:szCs w:val="20"/>
          <w:lang w:val="en-US"/>
        </w:rPr>
        <w:t>.</w:t>
      </w:r>
    </w:p>
    <w:p w14:paraId="1775F667" w14:textId="77777777" w:rsidR="0058563E" w:rsidRPr="00DA7A90" w:rsidRDefault="0058563E" w:rsidP="004A480E">
      <w:pPr>
        <w:jc w:val="both"/>
        <w:rPr>
          <w:color w:val="000000" w:themeColor="text1"/>
          <w:sz w:val="20"/>
          <w:szCs w:val="20"/>
          <w:lang w:val="en-US"/>
        </w:rPr>
      </w:pPr>
    </w:p>
    <w:tbl>
      <w:tblPr>
        <w:tblStyle w:val="TableGrid"/>
        <w:tblW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85"/>
        <w:gridCol w:w="1200"/>
      </w:tblGrid>
      <w:tr w:rsidR="00A3139C" w:rsidRPr="00DA7A90" w14:paraId="7BA90FB9" w14:textId="77777777" w:rsidTr="00A557BE">
        <w:tc>
          <w:tcPr>
            <w:tcW w:w="3823" w:type="dxa"/>
            <w:tcBorders>
              <w:top w:val="single" w:sz="12" w:space="0" w:color="auto"/>
              <w:bottom w:val="single" w:sz="12" w:space="0" w:color="auto"/>
            </w:tcBorders>
          </w:tcPr>
          <w:p w14:paraId="538C141F" w14:textId="1A999486" w:rsidR="00A3139C" w:rsidRPr="00DA7A90" w:rsidRDefault="00A3139C" w:rsidP="004A480E">
            <w:pPr>
              <w:jc w:val="both"/>
              <w:rPr>
                <w:b/>
                <w:bCs/>
                <w:color w:val="000000" w:themeColor="text1"/>
                <w:sz w:val="20"/>
                <w:szCs w:val="20"/>
                <w:lang w:val="en-US"/>
              </w:rPr>
            </w:pPr>
            <w:r w:rsidRPr="00DA7A90">
              <w:rPr>
                <w:b/>
                <w:bCs/>
                <w:color w:val="000000" w:themeColor="text1"/>
                <w:sz w:val="20"/>
                <w:szCs w:val="20"/>
                <w:lang w:val="en-US"/>
              </w:rPr>
              <w:t xml:space="preserve">Parameter     </w:t>
            </w:r>
          </w:p>
        </w:tc>
        <w:tc>
          <w:tcPr>
            <w:tcW w:w="2485" w:type="dxa"/>
            <w:tcBorders>
              <w:top w:val="single" w:sz="12" w:space="0" w:color="auto"/>
              <w:bottom w:val="single" w:sz="12" w:space="0" w:color="auto"/>
            </w:tcBorders>
          </w:tcPr>
          <w:p w14:paraId="4695C4E4" w14:textId="46548C1D" w:rsidR="00A3139C" w:rsidRPr="00DA7A90" w:rsidRDefault="00A3139C" w:rsidP="004A480E">
            <w:pPr>
              <w:jc w:val="both"/>
              <w:rPr>
                <w:b/>
                <w:bCs/>
                <w:color w:val="000000" w:themeColor="text1"/>
                <w:sz w:val="20"/>
                <w:szCs w:val="20"/>
                <w:lang w:val="en-US"/>
              </w:rPr>
            </w:pPr>
            <w:r w:rsidRPr="00DA7A90">
              <w:rPr>
                <w:b/>
                <w:bCs/>
                <w:color w:val="000000" w:themeColor="text1"/>
                <w:sz w:val="20"/>
                <w:szCs w:val="20"/>
                <w:lang w:val="en-US"/>
              </w:rPr>
              <w:t>Unit</w:t>
            </w:r>
          </w:p>
        </w:tc>
        <w:tc>
          <w:tcPr>
            <w:tcW w:w="1200" w:type="dxa"/>
            <w:tcBorders>
              <w:top w:val="single" w:sz="12" w:space="0" w:color="auto"/>
              <w:bottom w:val="single" w:sz="12" w:space="0" w:color="auto"/>
            </w:tcBorders>
          </w:tcPr>
          <w:p w14:paraId="3FECD4B6" w14:textId="10E3960D" w:rsidR="00A3139C" w:rsidRPr="00DA7A90" w:rsidRDefault="00A3139C" w:rsidP="004A480E">
            <w:pPr>
              <w:jc w:val="both"/>
              <w:rPr>
                <w:b/>
                <w:bCs/>
                <w:color w:val="000000" w:themeColor="text1"/>
                <w:sz w:val="20"/>
                <w:szCs w:val="20"/>
                <w:lang w:val="en-US"/>
              </w:rPr>
            </w:pPr>
            <w:r w:rsidRPr="00DA7A90">
              <w:rPr>
                <w:b/>
                <w:bCs/>
                <w:color w:val="000000" w:themeColor="text1"/>
                <w:sz w:val="20"/>
                <w:szCs w:val="20"/>
                <w:lang w:val="en-US"/>
              </w:rPr>
              <w:t>Adult</w:t>
            </w:r>
          </w:p>
        </w:tc>
      </w:tr>
      <w:tr w:rsidR="00A3139C" w:rsidRPr="00DA7A90" w14:paraId="165F1717" w14:textId="77777777" w:rsidTr="00A557BE">
        <w:tc>
          <w:tcPr>
            <w:tcW w:w="3823" w:type="dxa"/>
            <w:tcBorders>
              <w:top w:val="single" w:sz="12" w:space="0" w:color="auto"/>
            </w:tcBorders>
          </w:tcPr>
          <w:p w14:paraId="1BB4FAC3" w14:textId="37596B9D" w:rsidR="00A3139C" w:rsidRPr="00DA7A90" w:rsidRDefault="00A3139C" w:rsidP="004A480E">
            <w:pPr>
              <w:jc w:val="both"/>
              <w:rPr>
                <w:color w:val="000000" w:themeColor="text1"/>
                <w:sz w:val="20"/>
                <w:szCs w:val="20"/>
                <w:lang w:val="en-US"/>
              </w:rPr>
            </w:pPr>
            <w:r w:rsidRPr="00DA7A90">
              <w:rPr>
                <w:color w:val="000000" w:themeColor="text1"/>
                <w:sz w:val="20"/>
                <w:szCs w:val="20"/>
                <w:lang w:val="fr-SN"/>
              </w:rPr>
              <w:t>Body weight</w:t>
            </w:r>
          </w:p>
        </w:tc>
        <w:tc>
          <w:tcPr>
            <w:tcW w:w="2485" w:type="dxa"/>
            <w:tcBorders>
              <w:top w:val="single" w:sz="12" w:space="0" w:color="auto"/>
            </w:tcBorders>
          </w:tcPr>
          <w:p w14:paraId="31513072" w14:textId="228490DD"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k</w:t>
            </w:r>
            <w:r w:rsidR="00284A7F" w:rsidRPr="00DA7A90">
              <w:rPr>
                <w:color w:val="000000" w:themeColor="text1"/>
                <w:sz w:val="20"/>
                <w:szCs w:val="20"/>
                <w:lang w:val="en-US"/>
              </w:rPr>
              <w:t>g</w:t>
            </w:r>
          </w:p>
        </w:tc>
        <w:tc>
          <w:tcPr>
            <w:tcW w:w="1200" w:type="dxa"/>
            <w:tcBorders>
              <w:top w:val="single" w:sz="12" w:space="0" w:color="auto"/>
            </w:tcBorders>
          </w:tcPr>
          <w:p w14:paraId="0904C0A4" w14:textId="69330542"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70</w:t>
            </w:r>
          </w:p>
        </w:tc>
      </w:tr>
      <w:tr w:rsidR="00A3139C" w:rsidRPr="00DA7A90" w14:paraId="62F3BC17" w14:textId="77777777" w:rsidTr="00A557BE">
        <w:tc>
          <w:tcPr>
            <w:tcW w:w="3823" w:type="dxa"/>
          </w:tcPr>
          <w:p w14:paraId="46F4F178" w14:textId="5CB38DD1" w:rsidR="00A3139C" w:rsidRPr="00DA7A90" w:rsidRDefault="00A3139C" w:rsidP="004A480E">
            <w:pPr>
              <w:jc w:val="both"/>
              <w:rPr>
                <w:color w:val="000000" w:themeColor="text1"/>
                <w:sz w:val="20"/>
                <w:szCs w:val="20"/>
                <w:lang w:val="en-US"/>
              </w:rPr>
            </w:pPr>
            <w:r w:rsidRPr="00DA7A90">
              <w:rPr>
                <w:color w:val="000000" w:themeColor="text1"/>
                <w:sz w:val="20"/>
                <w:szCs w:val="20"/>
                <w:lang w:val="fr-SN"/>
              </w:rPr>
              <w:t>Exposure frequency (EF)</w:t>
            </w:r>
          </w:p>
        </w:tc>
        <w:tc>
          <w:tcPr>
            <w:tcW w:w="2485" w:type="dxa"/>
          </w:tcPr>
          <w:p w14:paraId="5F43166C" w14:textId="2ACAC13B"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d</w:t>
            </w:r>
            <w:r w:rsidR="00284A7F" w:rsidRPr="00DA7A90">
              <w:rPr>
                <w:color w:val="000000" w:themeColor="text1"/>
                <w:sz w:val="20"/>
                <w:szCs w:val="20"/>
                <w:lang w:val="en-US"/>
              </w:rPr>
              <w:t>ay</w:t>
            </w:r>
            <w:r w:rsidRPr="00DA7A90">
              <w:rPr>
                <w:color w:val="000000" w:themeColor="text1"/>
                <w:sz w:val="20"/>
                <w:szCs w:val="20"/>
                <w:lang w:val="en-US"/>
              </w:rPr>
              <w:t>s</w:t>
            </w:r>
            <w:r w:rsidR="00284A7F" w:rsidRPr="00DA7A90">
              <w:rPr>
                <w:color w:val="000000" w:themeColor="text1"/>
                <w:sz w:val="20"/>
                <w:szCs w:val="20"/>
                <w:lang w:val="en-US"/>
              </w:rPr>
              <w:t>/years</w:t>
            </w:r>
          </w:p>
        </w:tc>
        <w:tc>
          <w:tcPr>
            <w:tcW w:w="1200" w:type="dxa"/>
          </w:tcPr>
          <w:p w14:paraId="3DE05A44" w14:textId="655DAA3D"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350</w:t>
            </w:r>
          </w:p>
        </w:tc>
      </w:tr>
      <w:tr w:rsidR="00A3139C" w:rsidRPr="00DA7A90" w14:paraId="31481CF7" w14:textId="77777777" w:rsidTr="00A557BE">
        <w:tc>
          <w:tcPr>
            <w:tcW w:w="3823" w:type="dxa"/>
          </w:tcPr>
          <w:p w14:paraId="4674B9AB" w14:textId="198ABAD6" w:rsidR="00A3139C" w:rsidRPr="00DA7A90" w:rsidRDefault="006611FC" w:rsidP="004A480E">
            <w:pPr>
              <w:jc w:val="both"/>
              <w:rPr>
                <w:color w:val="000000" w:themeColor="text1"/>
                <w:sz w:val="20"/>
                <w:szCs w:val="20"/>
                <w:lang w:val="en-US"/>
              </w:rPr>
            </w:pPr>
            <w:r w:rsidRPr="00DA7A90">
              <w:rPr>
                <w:color w:val="000000" w:themeColor="text1"/>
                <w:sz w:val="20"/>
                <w:szCs w:val="20"/>
                <w:lang w:val="fr-SN"/>
              </w:rPr>
              <w:t>Exposure duration (ED)</w:t>
            </w:r>
          </w:p>
        </w:tc>
        <w:tc>
          <w:tcPr>
            <w:tcW w:w="2485" w:type="dxa"/>
          </w:tcPr>
          <w:p w14:paraId="034ED963" w14:textId="7024452C"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y</w:t>
            </w:r>
            <w:r w:rsidR="00284A7F" w:rsidRPr="00DA7A90">
              <w:rPr>
                <w:color w:val="000000" w:themeColor="text1"/>
                <w:sz w:val="20"/>
                <w:szCs w:val="20"/>
                <w:lang w:val="en-US"/>
              </w:rPr>
              <w:t>ear</w:t>
            </w:r>
          </w:p>
        </w:tc>
        <w:tc>
          <w:tcPr>
            <w:tcW w:w="1200" w:type="dxa"/>
          </w:tcPr>
          <w:p w14:paraId="0703A11A" w14:textId="63147B1B"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30</w:t>
            </w:r>
          </w:p>
        </w:tc>
      </w:tr>
      <w:tr w:rsidR="00A3139C" w:rsidRPr="00DA7A90" w14:paraId="1F8F3D0F" w14:textId="77777777" w:rsidTr="00A557BE">
        <w:tc>
          <w:tcPr>
            <w:tcW w:w="3823" w:type="dxa"/>
          </w:tcPr>
          <w:p w14:paraId="348BE0E5" w14:textId="440E0ECE" w:rsidR="00A3139C" w:rsidRPr="00DA7A90" w:rsidRDefault="006611FC" w:rsidP="004A480E">
            <w:pPr>
              <w:jc w:val="both"/>
              <w:rPr>
                <w:color w:val="000000" w:themeColor="text1"/>
                <w:sz w:val="20"/>
                <w:szCs w:val="20"/>
                <w:lang w:val="en-US"/>
              </w:rPr>
            </w:pPr>
            <w:r w:rsidRPr="00DA7A90">
              <w:rPr>
                <w:color w:val="000000" w:themeColor="text1"/>
                <w:sz w:val="20"/>
                <w:szCs w:val="20"/>
                <w:lang w:val="fr-SN"/>
              </w:rPr>
              <w:t>Ingestion rate (IR)</w:t>
            </w:r>
          </w:p>
        </w:tc>
        <w:tc>
          <w:tcPr>
            <w:tcW w:w="2485" w:type="dxa"/>
          </w:tcPr>
          <w:p w14:paraId="3E19832D" w14:textId="260B40C2"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m</w:t>
            </w:r>
            <w:r w:rsidR="00284A7F" w:rsidRPr="00DA7A90">
              <w:rPr>
                <w:color w:val="000000" w:themeColor="text1"/>
                <w:sz w:val="20"/>
                <w:szCs w:val="20"/>
                <w:lang w:val="en-US"/>
              </w:rPr>
              <w:t>g/day</w:t>
            </w:r>
          </w:p>
        </w:tc>
        <w:tc>
          <w:tcPr>
            <w:tcW w:w="1200" w:type="dxa"/>
          </w:tcPr>
          <w:p w14:paraId="753F7C44" w14:textId="21A7AD39"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100</w:t>
            </w:r>
          </w:p>
        </w:tc>
      </w:tr>
      <w:tr w:rsidR="00A3139C" w:rsidRPr="00DA7A90" w14:paraId="67545F0B" w14:textId="77777777" w:rsidTr="00A557BE">
        <w:tc>
          <w:tcPr>
            <w:tcW w:w="3823" w:type="dxa"/>
          </w:tcPr>
          <w:p w14:paraId="32EA5AAF" w14:textId="3C8327C6" w:rsidR="00A3139C" w:rsidRPr="00DA7A90" w:rsidRDefault="006611FC" w:rsidP="004A480E">
            <w:pPr>
              <w:jc w:val="both"/>
              <w:rPr>
                <w:color w:val="000000" w:themeColor="text1"/>
                <w:sz w:val="20"/>
                <w:szCs w:val="20"/>
                <w:lang w:val="en-US"/>
              </w:rPr>
            </w:pPr>
            <w:r w:rsidRPr="00DA7A90">
              <w:rPr>
                <w:color w:val="000000" w:themeColor="text1"/>
                <w:sz w:val="20"/>
                <w:szCs w:val="20"/>
                <w:lang w:val="fr-SN"/>
              </w:rPr>
              <w:t>Plant adherence factor (AF)</w:t>
            </w:r>
          </w:p>
        </w:tc>
        <w:tc>
          <w:tcPr>
            <w:tcW w:w="2485" w:type="dxa"/>
          </w:tcPr>
          <w:p w14:paraId="2FC5B97E" w14:textId="02390597"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m</w:t>
            </w:r>
            <w:r w:rsidR="00284A7F" w:rsidRPr="00DA7A90">
              <w:rPr>
                <w:color w:val="000000" w:themeColor="text1"/>
                <w:sz w:val="20"/>
                <w:szCs w:val="20"/>
                <w:lang w:val="en-US"/>
              </w:rPr>
              <w:t>g/cm</w:t>
            </w:r>
            <w:r w:rsidR="00284A7F" w:rsidRPr="00DA7A90">
              <w:rPr>
                <w:color w:val="000000" w:themeColor="text1"/>
                <w:sz w:val="20"/>
                <w:szCs w:val="20"/>
                <w:vertAlign w:val="superscript"/>
                <w:lang w:val="en-US"/>
              </w:rPr>
              <w:t>2</w:t>
            </w:r>
          </w:p>
        </w:tc>
        <w:tc>
          <w:tcPr>
            <w:tcW w:w="1200" w:type="dxa"/>
          </w:tcPr>
          <w:p w14:paraId="63A5B66D" w14:textId="40955556"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0.07</w:t>
            </w:r>
          </w:p>
        </w:tc>
      </w:tr>
      <w:tr w:rsidR="006611FC" w:rsidRPr="00DA7A90" w14:paraId="25074F63" w14:textId="77777777" w:rsidTr="00A557BE">
        <w:tc>
          <w:tcPr>
            <w:tcW w:w="3823" w:type="dxa"/>
          </w:tcPr>
          <w:p w14:paraId="7AE96F0A" w14:textId="6B5D26D6" w:rsidR="006611FC" w:rsidRPr="00DA7A90" w:rsidRDefault="006611FC" w:rsidP="004A480E">
            <w:pPr>
              <w:jc w:val="both"/>
              <w:rPr>
                <w:color w:val="000000" w:themeColor="text1"/>
                <w:sz w:val="20"/>
                <w:szCs w:val="20"/>
                <w:lang w:val="fr-SN"/>
              </w:rPr>
            </w:pPr>
            <w:r w:rsidRPr="00DA7A90">
              <w:rPr>
                <w:color w:val="000000" w:themeColor="text1"/>
                <w:sz w:val="20"/>
                <w:szCs w:val="20"/>
                <w:lang w:val="fr-SN"/>
              </w:rPr>
              <w:t>Dermal absorption factor (ABS)</w:t>
            </w:r>
          </w:p>
        </w:tc>
        <w:tc>
          <w:tcPr>
            <w:tcW w:w="2485" w:type="dxa"/>
          </w:tcPr>
          <w:p w14:paraId="6855D695" w14:textId="2E1E1313" w:rsidR="006611FC" w:rsidRPr="00DA7A90" w:rsidRDefault="00284A7F" w:rsidP="004A480E">
            <w:pPr>
              <w:jc w:val="both"/>
              <w:rPr>
                <w:color w:val="000000" w:themeColor="text1"/>
                <w:sz w:val="20"/>
                <w:szCs w:val="20"/>
                <w:lang w:val="en-US"/>
              </w:rPr>
            </w:pPr>
            <w:r w:rsidRPr="00DA7A90">
              <w:rPr>
                <w:color w:val="000000" w:themeColor="text1"/>
                <w:sz w:val="20"/>
                <w:szCs w:val="20"/>
                <w:lang w:val="en-US"/>
              </w:rPr>
              <w:t>None</w:t>
            </w:r>
          </w:p>
        </w:tc>
        <w:tc>
          <w:tcPr>
            <w:tcW w:w="1200" w:type="dxa"/>
          </w:tcPr>
          <w:p w14:paraId="4015F290" w14:textId="6B038D88"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0.1</w:t>
            </w:r>
          </w:p>
        </w:tc>
      </w:tr>
      <w:tr w:rsidR="006611FC" w:rsidRPr="00DA7A90" w14:paraId="08A88972" w14:textId="77777777" w:rsidTr="00A557BE">
        <w:tc>
          <w:tcPr>
            <w:tcW w:w="3823" w:type="dxa"/>
          </w:tcPr>
          <w:p w14:paraId="247D50F9" w14:textId="15C63928" w:rsidR="006611FC" w:rsidRPr="00DA7A90" w:rsidRDefault="006611FC" w:rsidP="004A480E">
            <w:pPr>
              <w:jc w:val="both"/>
              <w:rPr>
                <w:color w:val="000000" w:themeColor="text1"/>
                <w:sz w:val="20"/>
                <w:szCs w:val="20"/>
                <w:lang w:val="fr-SN"/>
              </w:rPr>
            </w:pPr>
            <w:r w:rsidRPr="00DA7A90">
              <w:rPr>
                <w:color w:val="000000" w:themeColor="text1"/>
                <w:sz w:val="20"/>
                <w:szCs w:val="20"/>
                <w:lang w:val="fr-SN"/>
              </w:rPr>
              <w:t>Dermal exposure ratio (FE)</w:t>
            </w:r>
          </w:p>
        </w:tc>
        <w:tc>
          <w:tcPr>
            <w:tcW w:w="2485" w:type="dxa"/>
          </w:tcPr>
          <w:p w14:paraId="76982949" w14:textId="55245A73" w:rsidR="006611FC" w:rsidRPr="00DA7A90" w:rsidRDefault="00284A7F" w:rsidP="004A480E">
            <w:pPr>
              <w:jc w:val="both"/>
              <w:rPr>
                <w:color w:val="000000" w:themeColor="text1"/>
                <w:sz w:val="20"/>
                <w:szCs w:val="20"/>
                <w:lang w:val="en-US"/>
              </w:rPr>
            </w:pPr>
            <w:r w:rsidRPr="00DA7A90">
              <w:rPr>
                <w:color w:val="000000" w:themeColor="text1"/>
                <w:sz w:val="20"/>
                <w:szCs w:val="20"/>
                <w:lang w:val="en-US"/>
              </w:rPr>
              <w:t>None</w:t>
            </w:r>
          </w:p>
        </w:tc>
        <w:tc>
          <w:tcPr>
            <w:tcW w:w="1200" w:type="dxa"/>
          </w:tcPr>
          <w:p w14:paraId="4674C4A3" w14:textId="3621BDDB"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0.61</w:t>
            </w:r>
          </w:p>
        </w:tc>
      </w:tr>
      <w:tr w:rsidR="006611FC" w:rsidRPr="00DA7A90" w14:paraId="2CC4EDFA" w14:textId="77777777" w:rsidTr="00A557BE">
        <w:tc>
          <w:tcPr>
            <w:tcW w:w="3823" w:type="dxa"/>
          </w:tcPr>
          <w:p w14:paraId="44AD80ED" w14:textId="58A95A45" w:rsidR="006611FC" w:rsidRPr="00DA7A90" w:rsidRDefault="006611FC" w:rsidP="004A480E">
            <w:pPr>
              <w:jc w:val="both"/>
              <w:rPr>
                <w:color w:val="000000" w:themeColor="text1"/>
                <w:sz w:val="20"/>
                <w:szCs w:val="20"/>
                <w:lang w:val="en-US"/>
              </w:rPr>
            </w:pPr>
            <w:r w:rsidRPr="00DA7A90">
              <w:rPr>
                <w:color w:val="000000" w:themeColor="text1"/>
                <w:sz w:val="20"/>
                <w:szCs w:val="20"/>
                <w:lang w:val="en-US"/>
              </w:rPr>
              <w:t>Average time (AT): For carcinogens</w:t>
            </w:r>
          </w:p>
        </w:tc>
        <w:tc>
          <w:tcPr>
            <w:tcW w:w="2485" w:type="dxa"/>
          </w:tcPr>
          <w:p w14:paraId="4F37EBDF" w14:textId="49FC471C"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d</w:t>
            </w:r>
            <w:r w:rsidR="00284A7F" w:rsidRPr="00DA7A90">
              <w:rPr>
                <w:color w:val="000000" w:themeColor="text1"/>
                <w:sz w:val="20"/>
                <w:szCs w:val="20"/>
                <w:lang w:val="en-US"/>
              </w:rPr>
              <w:t>ays</w:t>
            </w:r>
          </w:p>
        </w:tc>
        <w:tc>
          <w:tcPr>
            <w:tcW w:w="1200" w:type="dxa"/>
          </w:tcPr>
          <w:p w14:paraId="2F60B9CE" w14:textId="4F2B41DF"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365 x 70</w:t>
            </w:r>
          </w:p>
        </w:tc>
      </w:tr>
      <w:tr w:rsidR="006611FC" w:rsidRPr="00DA7A90" w14:paraId="475E5169" w14:textId="77777777" w:rsidTr="00A557BE">
        <w:tc>
          <w:tcPr>
            <w:tcW w:w="3823" w:type="dxa"/>
            <w:tcBorders>
              <w:bottom w:val="single" w:sz="12" w:space="0" w:color="auto"/>
            </w:tcBorders>
          </w:tcPr>
          <w:p w14:paraId="19EA5701" w14:textId="2C9B5C0A" w:rsidR="006611FC" w:rsidRPr="00DA7A90" w:rsidRDefault="00284A7F" w:rsidP="004A480E">
            <w:pPr>
              <w:jc w:val="both"/>
              <w:rPr>
                <w:color w:val="000000" w:themeColor="text1"/>
                <w:sz w:val="20"/>
                <w:szCs w:val="20"/>
                <w:lang w:val="en-US"/>
              </w:rPr>
            </w:pPr>
            <w:r w:rsidRPr="00DA7A90">
              <w:rPr>
                <w:color w:val="000000" w:themeColor="text1"/>
                <w:sz w:val="20"/>
                <w:szCs w:val="20"/>
                <w:lang w:val="fr-SN"/>
              </w:rPr>
              <w:t>For Non-carcinogens</w:t>
            </w:r>
          </w:p>
        </w:tc>
        <w:tc>
          <w:tcPr>
            <w:tcW w:w="2485" w:type="dxa"/>
            <w:tcBorders>
              <w:bottom w:val="single" w:sz="12" w:space="0" w:color="auto"/>
            </w:tcBorders>
          </w:tcPr>
          <w:p w14:paraId="4E188A45" w14:textId="4A290CE1"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d</w:t>
            </w:r>
            <w:r w:rsidR="00284A7F" w:rsidRPr="00DA7A90">
              <w:rPr>
                <w:color w:val="000000" w:themeColor="text1"/>
                <w:sz w:val="20"/>
                <w:szCs w:val="20"/>
                <w:lang w:val="en-US"/>
              </w:rPr>
              <w:t>ays</w:t>
            </w:r>
          </w:p>
        </w:tc>
        <w:tc>
          <w:tcPr>
            <w:tcW w:w="1200" w:type="dxa"/>
            <w:tcBorders>
              <w:bottom w:val="single" w:sz="12" w:space="0" w:color="auto"/>
            </w:tcBorders>
          </w:tcPr>
          <w:p w14:paraId="1E7D48CB" w14:textId="212CB68E"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365 x ED</w:t>
            </w:r>
          </w:p>
        </w:tc>
      </w:tr>
    </w:tbl>
    <w:p w14:paraId="00DFDA5C" w14:textId="77777777" w:rsidR="00A557BE" w:rsidRPr="00DA7A90" w:rsidRDefault="00A557BE" w:rsidP="004A480E">
      <w:pPr>
        <w:jc w:val="both"/>
        <w:rPr>
          <w:color w:val="000000" w:themeColor="text1"/>
          <w:sz w:val="20"/>
          <w:szCs w:val="20"/>
          <w:lang w:val="en-US"/>
        </w:rPr>
      </w:pPr>
    </w:p>
    <w:p w14:paraId="5CE125AB" w14:textId="6BA06D44" w:rsidR="007B5C2E" w:rsidRPr="00DA7A90" w:rsidRDefault="009101A4" w:rsidP="004A480E">
      <w:pPr>
        <w:jc w:val="both"/>
        <w:rPr>
          <w:color w:val="000000" w:themeColor="text1"/>
          <w:sz w:val="20"/>
          <w:szCs w:val="20"/>
        </w:rPr>
      </w:pPr>
      <w:r w:rsidRPr="00DA7A90">
        <w:rPr>
          <w:color w:val="000000" w:themeColor="text1"/>
          <w:sz w:val="20"/>
          <w:szCs w:val="20"/>
        </w:rPr>
        <w:t xml:space="preserve">The </w:t>
      </w:r>
      <w:r w:rsidR="00BA525D" w:rsidRPr="00DA7A90">
        <w:rPr>
          <w:color w:val="000000" w:themeColor="text1"/>
          <w:sz w:val="20"/>
          <w:szCs w:val="20"/>
        </w:rPr>
        <w:t>ED</w:t>
      </w:r>
      <w:r w:rsidR="002F2556" w:rsidRPr="00DA7A90">
        <w:rPr>
          <w:color w:val="000000" w:themeColor="text1"/>
          <w:sz w:val="20"/>
          <w:szCs w:val="20"/>
        </w:rPr>
        <w:t>I</w:t>
      </w:r>
      <w:r w:rsidRPr="00DA7A90">
        <w:rPr>
          <w:color w:val="000000" w:themeColor="text1"/>
          <w:sz w:val="20"/>
          <w:szCs w:val="20"/>
        </w:rPr>
        <w:t xml:space="preserve"> was then compared to the provisional tolerable daily intake (PTDI) or the applicable WHO/EFSA guideline value </w:t>
      </w:r>
      <w:r w:rsidR="00432E6B" w:rsidRPr="00DA7A90">
        <w:rPr>
          <w:color w:val="000000" w:themeColor="text1"/>
          <w:sz w:val="20"/>
          <w:szCs w:val="20"/>
        </w:rPr>
        <w:t>[4,9,10]</w:t>
      </w:r>
      <w:r w:rsidRPr="00DA7A90">
        <w:rPr>
          <w:color w:val="000000" w:themeColor="text1"/>
          <w:sz w:val="20"/>
          <w:szCs w:val="20"/>
        </w:rPr>
        <w:t xml:space="preserve">. </w:t>
      </w:r>
    </w:p>
    <w:p w14:paraId="446EFDD8" w14:textId="74115FB4" w:rsidR="007B5C2E" w:rsidRPr="00DA7A90" w:rsidRDefault="009101A4" w:rsidP="004A480E">
      <w:pPr>
        <w:pStyle w:val="Heading1"/>
        <w:numPr>
          <w:ilvl w:val="0"/>
          <w:numId w:val="0"/>
        </w:numPr>
      </w:pPr>
      <w:r w:rsidRPr="00DA7A90">
        <w:t>3. Results</w:t>
      </w:r>
      <w:r w:rsidR="00051CCC" w:rsidRPr="00DA7A90">
        <w:t xml:space="preserve"> and discussions</w:t>
      </w:r>
    </w:p>
    <w:p w14:paraId="710D1072" w14:textId="75CF5BBA" w:rsidR="007B5C2E" w:rsidRPr="00DA7A90" w:rsidRDefault="00AC1841" w:rsidP="004A480E">
      <w:pPr>
        <w:pStyle w:val="Heading3"/>
      </w:pPr>
      <w:r w:rsidRPr="00DA7A90">
        <w:t xml:space="preserve">Metal content </w:t>
      </w:r>
      <w:r w:rsidR="00816E42" w:rsidRPr="00DA7A90">
        <w:t xml:space="preserve">of </w:t>
      </w:r>
      <w:r w:rsidR="002A22FB" w:rsidRPr="00DA7A90">
        <w:rPr>
          <w:i/>
          <w:iCs/>
        </w:rPr>
        <w:t>Pterocarpus</w:t>
      </w:r>
      <w:r w:rsidR="00965BF7" w:rsidRPr="00DA7A90">
        <w:rPr>
          <w:i/>
          <w:iCs/>
        </w:rPr>
        <w:t xml:space="preserve"> marsupium</w:t>
      </w:r>
      <w:r w:rsidR="00965BF7" w:rsidRPr="00DA7A90">
        <w:t xml:space="preserve"> </w:t>
      </w:r>
      <w:r w:rsidR="002A22FB" w:rsidRPr="00DA7A90">
        <w:t>l</w:t>
      </w:r>
      <w:r w:rsidR="00E255AA" w:rsidRPr="00DA7A90">
        <w:t>eaves</w:t>
      </w:r>
    </w:p>
    <w:p w14:paraId="1D3CE279" w14:textId="3C265F64" w:rsidR="007B5C2E" w:rsidRPr="00DA7A90" w:rsidRDefault="009101A4" w:rsidP="004A480E">
      <w:pPr>
        <w:jc w:val="both"/>
        <w:rPr>
          <w:color w:val="000000" w:themeColor="text1"/>
          <w:sz w:val="20"/>
          <w:szCs w:val="20"/>
        </w:rPr>
      </w:pPr>
      <w:r w:rsidRPr="00DA7A90">
        <w:rPr>
          <w:color w:val="000000" w:themeColor="text1"/>
          <w:sz w:val="20"/>
          <w:szCs w:val="20"/>
        </w:rPr>
        <w:t xml:space="preserve">Table </w:t>
      </w:r>
      <w:r w:rsidR="00E72DD0" w:rsidRPr="00DA7A90">
        <w:rPr>
          <w:color w:val="000000" w:themeColor="text1"/>
          <w:sz w:val="20"/>
          <w:szCs w:val="20"/>
        </w:rPr>
        <w:t>3</w:t>
      </w:r>
      <w:r w:rsidRPr="00DA7A90">
        <w:rPr>
          <w:color w:val="000000" w:themeColor="text1"/>
          <w:sz w:val="20"/>
          <w:szCs w:val="20"/>
        </w:rPr>
        <w:t xml:space="preserve"> presents the concentrations of eleven metallic elements measured in the dried leaves of </w:t>
      </w:r>
      <w:r w:rsidRPr="00DA7A90">
        <w:rPr>
          <w:i/>
          <w:iCs/>
          <w:color w:val="000000" w:themeColor="text1"/>
          <w:sz w:val="20"/>
          <w:szCs w:val="20"/>
        </w:rPr>
        <w:t>P. marsupium</w:t>
      </w:r>
      <w:r w:rsidRPr="00DA7A90">
        <w:rPr>
          <w:color w:val="000000" w:themeColor="text1"/>
          <w:sz w:val="20"/>
          <w:szCs w:val="20"/>
        </w:rPr>
        <w:t>. The results show a mineral composition dominated by macro</w:t>
      </w:r>
      <w:r w:rsidR="00D52133" w:rsidRPr="00DA7A90">
        <w:rPr>
          <w:color w:val="000000" w:themeColor="text1"/>
          <w:sz w:val="20"/>
          <w:szCs w:val="20"/>
        </w:rPr>
        <w:t>-</w:t>
      </w:r>
      <w:r w:rsidRPr="00DA7A90">
        <w:rPr>
          <w:color w:val="000000" w:themeColor="text1"/>
          <w:sz w:val="20"/>
          <w:szCs w:val="20"/>
        </w:rPr>
        <w:t>elements, with a clear predominance of calcium. Among the potential contaminants, cadmium was detected in trace amounts, while lead and chromium remained below the detection threshold of the method.</w:t>
      </w:r>
    </w:p>
    <w:p w14:paraId="43C8F594" w14:textId="77777777" w:rsidR="007B5C2E" w:rsidRPr="00DA7A90" w:rsidRDefault="007B5C2E" w:rsidP="004A480E">
      <w:pPr>
        <w:jc w:val="both"/>
        <w:rPr>
          <w:color w:val="000000" w:themeColor="text1"/>
          <w:sz w:val="20"/>
          <w:szCs w:val="20"/>
        </w:rPr>
      </w:pPr>
    </w:p>
    <w:p w14:paraId="0F81FC65" w14:textId="4E5F07C7" w:rsidR="007B5C2E" w:rsidRPr="00DA7A90" w:rsidRDefault="009101A4" w:rsidP="004A480E">
      <w:pPr>
        <w:jc w:val="both"/>
        <w:rPr>
          <w:color w:val="000000" w:themeColor="text1"/>
          <w:sz w:val="20"/>
          <w:szCs w:val="20"/>
        </w:rPr>
      </w:pPr>
      <w:r w:rsidRPr="00DA7A90">
        <w:rPr>
          <w:b/>
          <w:bCs/>
          <w:color w:val="000000" w:themeColor="text1"/>
          <w:sz w:val="20"/>
          <w:szCs w:val="20"/>
        </w:rPr>
        <w:t xml:space="preserve">Table </w:t>
      </w:r>
      <w:r w:rsidR="00E72DD0" w:rsidRPr="00DA7A90">
        <w:rPr>
          <w:b/>
          <w:bCs/>
          <w:color w:val="000000" w:themeColor="text1"/>
          <w:sz w:val="20"/>
          <w:szCs w:val="20"/>
        </w:rPr>
        <w:t>3</w:t>
      </w:r>
      <w:r w:rsidRPr="00DA7A90">
        <w:rPr>
          <w:b/>
          <w:bCs/>
          <w:color w:val="000000" w:themeColor="text1"/>
          <w:sz w:val="20"/>
          <w:szCs w:val="20"/>
        </w:rPr>
        <w:t xml:space="preserve">. Metal content of </w:t>
      </w:r>
      <w:r w:rsidRPr="00DA7A90">
        <w:rPr>
          <w:b/>
          <w:bCs/>
          <w:i/>
          <w:iCs/>
          <w:color w:val="000000" w:themeColor="text1"/>
          <w:sz w:val="20"/>
          <w:szCs w:val="20"/>
        </w:rPr>
        <w:t>Pterocarpus marsupium</w:t>
      </w:r>
      <w:r w:rsidRPr="00DA7A90">
        <w:rPr>
          <w:b/>
          <w:bCs/>
          <w:color w:val="000000" w:themeColor="text1"/>
          <w:sz w:val="20"/>
          <w:szCs w:val="20"/>
        </w:rPr>
        <w:t xml:space="preserve"> Roxb . leaves ( mg /g dry matter). ND: not detected.</w:t>
      </w:r>
    </w:p>
    <w:tbl>
      <w:tblPr>
        <w:tblW w:w="8648" w:type="dxa"/>
        <w:tblInd w:w="-1" w:type="dxa"/>
        <w:shd w:val="clear" w:color="auto" w:fill="FFFFFF" w:themeFill="background1"/>
        <w:tblCellMar>
          <w:left w:w="10" w:type="dxa"/>
          <w:right w:w="10" w:type="dxa"/>
        </w:tblCellMar>
        <w:tblLook w:val="0000" w:firstRow="0" w:lastRow="0" w:firstColumn="0" w:lastColumn="0" w:noHBand="0" w:noVBand="0"/>
      </w:tblPr>
      <w:tblGrid>
        <w:gridCol w:w="4112"/>
        <w:gridCol w:w="4536"/>
      </w:tblGrid>
      <w:tr w:rsidR="00B85621" w:rsidRPr="00DA7A90" w14:paraId="4B6A9118" w14:textId="77777777" w:rsidTr="00B85621">
        <w:trPr>
          <w:trHeight w:hRule="exact" w:val="454"/>
          <w:tblHeader/>
        </w:trPr>
        <w:tc>
          <w:tcPr>
            <w:tcW w:w="4112" w:type="dxa"/>
            <w:tcBorders>
              <w:top w:val="single" w:sz="12" w:space="0" w:color="auto"/>
              <w:bottom w:val="single" w:sz="12" w:space="0" w:color="auto"/>
            </w:tcBorders>
            <w:shd w:val="clear" w:color="auto" w:fill="FFFFFF" w:themeFill="background1"/>
            <w:tcMar>
              <w:top w:w="100" w:type="dxa"/>
              <w:left w:w="140" w:type="dxa"/>
              <w:bottom w:w="100" w:type="dxa"/>
              <w:right w:w="140" w:type="dxa"/>
            </w:tcMar>
            <w:vAlign w:val="center"/>
          </w:tcPr>
          <w:p w14:paraId="08BC6910" w14:textId="77777777" w:rsidR="00B85621" w:rsidRPr="00DA7A90" w:rsidRDefault="00B85621" w:rsidP="004A480E">
            <w:pPr>
              <w:jc w:val="both"/>
              <w:rPr>
                <w:b/>
                <w:bCs/>
                <w:color w:val="000000" w:themeColor="text1"/>
                <w:sz w:val="20"/>
                <w:szCs w:val="20"/>
              </w:rPr>
            </w:pPr>
            <w:r w:rsidRPr="00DA7A90">
              <w:rPr>
                <w:b/>
                <w:bCs/>
                <w:color w:val="000000" w:themeColor="text1"/>
                <w:sz w:val="20"/>
                <w:szCs w:val="20"/>
              </w:rPr>
              <w:t>Metal</w:t>
            </w:r>
          </w:p>
        </w:tc>
        <w:tc>
          <w:tcPr>
            <w:tcW w:w="4536" w:type="dxa"/>
            <w:tcBorders>
              <w:top w:val="single" w:sz="12" w:space="0" w:color="auto"/>
              <w:bottom w:val="single" w:sz="12" w:space="0" w:color="auto"/>
            </w:tcBorders>
            <w:shd w:val="clear" w:color="auto" w:fill="FFFFFF" w:themeFill="background1"/>
            <w:tcMar>
              <w:top w:w="100" w:type="dxa"/>
              <w:left w:w="140" w:type="dxa"/>
              <w:bottom w:w="100" w:type="dxa"/>
              <w:right w:w="140" w:type="dxa"/>
            </w:tcMar>
            <w:vAlign w:val="center"/>
          </w:tcPr>
          <w:p w14:paraId="3F175165" w14:textId="77777777" w:rsidR="00B85621" w:rsidRPr="00DA7A90" w:rsidRDefault="00B85621" w:rsidP="004A480E">
            <w:pPr>
              <w:jc w:val="both"/>
              <w:rPr>
                <w:b/>
                <w:bCs/>
                <w:color w:val="000000" w:themeColor="text1"/>
                <w:sz w:val="20"/>
                <w:szCs w:val="20"/>
              </w:rPr>
            </w:pPr>
            <w:r w:rsidRPr="00DA7A90">
              <w:rPr>
                <w:b/>
                <w:bCs/>
                <w:color w:val="000000" w:themeColor="text1"/>
                <w:sz w:val="20"/>
                <w:szCs w:val="20"/>
              </w:rPr>
              <w:t>Quantity (mg/g DM)</w:t>
            </w:r>
          </w:p>
        </w:tc>
      </w:tr>
      <w:tr w:rsidR="00B85621" w:rsidRPr="00DA7A90" w14:paraId="2E6DED1E" w14:textId="77777777" w:rsidTr="00B85621">
        <w:trPr>
          <w:trHeight w:hRule="exact" w:val="454"/>
        </w:trPr>
        <w:tc>
          <w:tcPr>
            <w:tcW w:w="4112" w:type="dxa"/>
            <w:tcBorders>
              <w:top w:val="single" w:sz="12" w:space="0" w:color="auto"/>
            </w:tcBorders>
            <w:shd w:val="clear" w:color="auto" w:fill="FFFFFF" w:themeFill="background1"/>
            <w:tcMar>
              <w:top w:w="100" w:type="dxa"/>
              <w:left w:w="140" w:type="dxa"/>
              <w:bottom w:w="100" w:type="dxa"/>
              <w:right w:w="140" w:type="dxa"/>
            </w:tcMar>
          </w:tcPr>
          <w:p w14:paraId="4A038917" w14:textId="04705134" w:rsidR="00B85621" w:rsidRPr="00DA7A90" w:rsidRDefault="00B85621" w:rsidP="004A480E">
            <w:pPr>
              <w:jc w:val="both"/>
              <w:rPr>
                <w:color w:val="000000" w:themeColor="text1"/>
                <w:sz w:val="20"/>
                <w:szCs w:val="20"/>
              </w:rPr>
            </w:pPr>
            <w:r w:rsidRPr="00DA7A90">
              <w:rPr>
                <w:color w:val="000000" w:themeColor="text1"/>
                <w:sz w:val="20"/>
                <w:szCs w:val="20"/>
              </w:rPr>
              <w:t>Sodium (Na)</w:t>
            </w:r>
          </w:p>
        </w:tc>
        <w:tc>
          <w:tcPr>
            <w:tcW w:w="4536" w:type="dxa"/>
            <w:tcBorders>
              <w:top w:val="single" w:sz="12" w:space="0" w:color="auto"/>
            </w:tcBorders>
            <w:shd w:val="clear" w:color="auto" w:fill="FFFFFF" w:themeFill="background1"/>
            <w:tcMar>
              <w:top w:w="100" w:type="dxa"/>
              <w:left w:w="140" w:type="dxa"/>
              <w:bottom w:w="100" w:type="dxa"/>
              <w:right w:w="140" w:type="dxa"/>
            </w:tcMar>
          </w:tcPr>
          <w:p w14:paraId="04AF0D4E" w14:textId="6C81D625" w:rsidR="00B85621" w:rsidRPr="00DA7A90" w:rsidRDefault="00B85621" w:rsidP="004A480E">
            <w:pPr>
              <w:jc w:val="both"/>
              <w:rPr>
                <w:color w:val="000000" w:themeColor="text1"/>
                <w:sz w:val="20"/>
                <w:szCs w:val="20"/>
              </w:rPr>
            </w:pPr>
            <w:r w:rsidRPr="00DA7A90">
              <w:rPr>
                <w:color w:val="000000" w:themeColor="text1"/>
                <w:sz w:val="20"/>
                <w:szCs w:val="20"/>
              </w:rPr>
              <w:t>1.0374</w:t>
            </w:r>
            <w:r w:rsidR="00377383" w:rsidRPr="00DA7A90">
              <w:rPr>
                <w:color w:val="000000" w:themeColor="text1"/>
                <w:sz w:val="20"/>
                <w:szCs w:val="20"/>
              </w:rPr>
              <w:t xml:space="preserve"> </w:t>
            </w:r>
            <w:r w:rsidR="007F10ED" w:rsidRPr="00DA7A90">
              <w:rPr>
                <w:color w:val="000000" w:themeColor="text1"/>
                <w:sz w:val="20"/>
                <w:szCs w:val="20"/>
              </w:rPr>
              <w:t xml:space="preserve">± </w:t>
            </w:r>
            <w:r w:rsidR="004F7603" w:rsidRPr="00DA7A90">
              <w:rPr>
                <w:color w:val="000000" w:themeColor="text1"/>
                <w:sz w:val="20"/>
                <w:szCs w:val="20"/>
              </w:rPr>
              <w:t>0.0066</w:t>
            </w:r>
          </w:p>
        </w:tc>
      </w:tr>
      <w:tr w:rsidR="00B85621" w:rsidRPr="00DA7A90" w14:paraId="7F684554"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1F932AC3" w14:textId="21E6DA03" w:rsidR="00B85621" w:rsidRPr="00DA7A90" w:rsidRDefault="00B85621" w:rsidP="004A480E">
            <w:pPr>
              <w:jc w:val="both"/>
              <w:rPr>
                <w:color w:val="000000" w:themeColor="text1"/>
                <w:sz w:val="20"/>
                <w:szCs w:val="20"/>
              </w:rPr>
            </w:pPr>
            <w:r w:rsidRPr="00DA7A90">
              <w:rPr>
                <w:color w:val="000000" w:themeColor="text1"/>
                <w:sz w:val="20"/>
                <w:szCs w:val="20"/>
              </w:rPr>
              <w:t>Potassium (K)</w:t>
            </w:r>
          </w:p>
        </w:tc>
        <w:tc>
          <w:tcPr>
            <w:tcW w:w="4536" w:type="dxa"/>
            <w:shd w:val="clear" w:color="auto" w:fill="FFFFFF" w:themeFill="background1"/>
            <w:tcMar>
              <w:top w:w="100" w:type="dxa"/>
              <w:left w:w="140" w:type="dxa"/>
              <w:bottom w:w="100" w:type="dxa"/>
              <w:right w:w="140" w:type="dxa"/>
            </w:tcMar>
          </w:tcPr>
          <w:p w14:paraId="6BDC4DEF" w14:textId="7D8A1106" w:rsidR="00B85621" w:rsidRPr="00DA7A90" w:rsidRDefault="00B85621" w:rsidP="004A480E">
            <w:pPr>
              <w:jc w:val="both"/>
              <w:rPr>
                <w:color w:val="000000" w:themeColor="text1"/>
                <w:sz w:val="20"/>
                <w:szCs w:val="20"/>
              </w:rPr>
            </w:pPr>
            <w:r w:rsidRPr="00DA7A90">
              <w:rPr>
                <w:color w:val="000000" w:themeColor="text1"/>
                <w:sz w:val="20"/>
                <w:szCs w:val="20"/>
              </w:rPr>
              <w:t>10.6087</w:t>
            </w:r>
            <w:r w:rsidR="007F10ED" w:rsidRPr="00DA7A90">
              <w:rPr>
                <w:color w:val="000000" w:themeColor="text1"/>
                <w:sz w:val="20"/>
                <w:szCs w:val="20"/>
              </w:rPr>
              <w:t xml:space="preserve"> ± </w:t>
            </w:r>
            <w:r w:rsidR="0009408C" w:rsidRPr="00DA7A90">
              <w:rPr>
                <w:color w:val="000000" w:themeColor="text1"/>
                <w:sz w:val="20"/>
                <w:szCs w:val="20"/>
              </w:rPr>
              <w:t>0.0241</w:t>
            </w:r>
          </w:p>
        </w:tc>
      </w:tr>
      <w:tr w:rsidR="00B85621" w:rsidRPr="00DA7A90" w14:paraId="0BD1D96F"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5E38A0D3" w14:textId="0B813402" w:rsidR="00B85621" w:rsidRPr="00DA7A90" w:rsidRDefault="00B85621" w:rsidP="004A480E">
            <w:pPr>
              <w:jc w:val="both"/>
              <w:rPr>
                <w:color w:val="000000" w:themeColor="text1"/>
                <w:sz w:val="20"/>
                <w:szCs w:val="20"/>
              </w:rPr>
            </w:pPr>
            <w:r w:rsidRPr="00DA7A90">
              <w:rPr>
                <w:color w:val="000000" w:themeColor="text1"/>
                <w:sz w:val="20"/>
                <w:szCs w:val="20"/>
              </w:rPr>
              <w:t>Magnesium (Mg)</w:t>
            </w:r>
          </w:p>
        </w:tc>
        <w:tc>
          <w:tcPr>
            <w:tcW w:w="4536" w:type="dxa"/>
            <w:shd w:val="clear" w:color="auto" w:fill="FFFFFF" w:themeFill="background1"/>
            <w:tcMar>
              <w:top w:w="100" w:type="dxa"/>
              <w:left w:w="140" w:type="dxa"/>
              <w:bottom w:w="100" w:type="dxa"/>
              <w:right w:w="140" w:type="dxa"/>
            </w:tcMar>
          </w:tcPr>
          <w:p w14:paraId="3D7E9B7D" w14:textId="4FBB1122" w:rsidR="00B85621" w:rsidRPr="00DA7A90" w:rsidRDefault="00B85621" w:rsidP="004A480E">
            <w:pPr>
              <w:jc w:val="both"/>
              <w:rPr>
                <w:color w:val="000000" w:themeColor="text1"/>
                <w:sz w:val="20"/>
                <w:szCs w:val="20"/>
              </w:rPr>
            </w:pPr>
            <w:r w:rsidRPr="00DA7A90">
              <w:rPr>
                <w:color w:val="000000" w:themeColor="text1"/>
                <w:sz w:val="20"/>
                <w:szCs w:val="20"/>
              </w:rPr>
              <w:t>2.0203</w:t>
            </w:r>
            <w:r w:rsidR="007F10ED" w:rsidRPr="00DA7A90">
              <w:rPr>
                <w:color w:val="000000" w:themeColor="text1"/>
                <w:sz w:val="20"/>
                <w:szCs w:val="20"/>
              </w:rPr>
              <w:t xml:space="preserve"> ± </w:t>
            </w:r>
            <w:r w:rsidR="0009408C" w:rsidRPr="00DA7A90">
              <w:rPr>
                <w:color w:val="000000" w:themeColor="text1"/>
                <w:sz w:val="20"/>
                <w:szCs w:val="20"/>
              </w:rPr>
              <w:t>0.0005</w:t>
            </w:r>
          </w:p>
        </w:tc>
      </w:tr>
      <w:tr w:rsidR="00B85621" w:rsidRPr="00DA7A90" w14:paraId="65CA52E0"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0C8F2E2D" w14:textId="52D1DC9A" w:rsidR="00B85621" w:rsidRPr="00DA7A90" w:rsidRDefault="00B85621" w:rsidP="004A480E">
            <w:pPr>
              <w:jc w:val="both"/>
              <w:rPr>
                <w:color w:val="000000" w:themeColor="text1"/>
                <w:sz w:val="20"/>
                <w:szCs w:val="20"/>
              </w:rPr>
            </w:pPr>
            <w:r w:rsidRPr="00DA7A90">
              <w:rPr>
                <w:color w:val="000000" w:themeColor="text1"/>
                <w:sz w:val="20"/>
                <w:szCs w:val="20"/>
              </w:rPr>
              <w:t>Calcium (Ca)</w:t>
            </w:r>
          </w:p>
        </w:tc>
        <w:tc>
          <w:tcPr>
            <w:tcW w:w="4536" w:type="dxa"/>
            <w:shd w:val="clear" w:color="auto" w:fill="FFFFFF" w:themeFill="background1"/>
            <w:tcMar>
              <w:top w:w="100" w:type="dxa"/>
              <w:left w:w="140" w:type="dxa"/>
              <w:bottom w:w="100" w:type="dxa"/>
              <w:right w:w="140" w:type="dxa"/>
            </w:tcMar>
          </w:tcPr>
          <w:p w14:paraId="6BEB2653" w14:textId="087D7B6D" w:rsidR="00B85621" w:rsidRPr="00DA7A90" w:rsidRDefault="00B85621" w:rsidP="004A480E">
            <w:pPr>
              <w:jc w:val="both"/>
              <w:rPr>
                <w:color w:val="000000" w:themeColor="text1"/>
                <w:sz w:val="20"/>
                <w:szCs w:val="20"/>
              </w:rPr>
            </w:pPr>
            <w:r w:rsidRPr="00DA7A90">
              <w:rPr>
                <w:color w:val="000000" w:themeColor="text1"/>
                <w:sz w:val="20"/>
                <w:szCs w:val="20"/>
              </w:rPr>
              <w:t>59.2670</w:t>
            </w:r>
            <w:r w:rsidR="007F10ED" w:rsidRPr="00DA7A90">
              <w:rPr>
                <w:color w:val="000000" w:themeColor="text1"/>
                <w:sz w:val="20"/>
                <w:szCs w:val="20"/>
              </w:rPr>
              <w:t xml:space="preserve"> ±</w:t>
            </w:r>
            <w:r w:rsidR="0009408C" w:rsidRPr="00DA7A90">
              <w:rPr>
                <w:color w:val="000000" w:themeColor="text1"/>
                <w:sz w:val="20"/>
                <w:szCs w:val="20"/>
              </w:rPr>
              <w:t xml:space="preserve"> 0.0005</w:t>
            </w:r>
          </w:p>
        </w:tc>
      </w:tr>
      <w:tr w:rsidR="00B85621" w:rsidRPr="00DA7A90" w14:paraId="25D1A4EF"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524D26C0" w14:textId="4DBE6DC2" w:rsidR="00B85621" w:rsidRPr="00DA7A90" w:rsidRDefault="00B85621" w:rsidP="004A480E">
            <w:pPr>
              <w:jc w:val="both"/>
              <w:rPr>
                <w:color w:val="000000" w:themeColor="text1"/>
                <w:sz w:val="20"/>
                <w:szCs w:val="20"/>
              </w:rPr>
            </w:pPr>
            <w:r w:rsidRPr="00DA7A90">
              <w:rPr>
                <w:color w:val="000000" w:themeColor="text1"/>
                <w:sz w:val="20"/>
                <w:szCs w:val="20"/>
              </w:rPr>
              <w:t>Chrome (Cr)</w:t>
            </w:r>
          </w:p>
        </w:tc>
        <w:tc>
          <w:tcPr>
            <w:tcW w:w="4536" w:type="dxa"/>
            <w:shd w:val="clear" w:color="auto" w:fill="FFFFFF" w:themeFill="background1"/>
            <w:tcMar>
              <w:top w:w="100" w:type="dxa"/>
              <w:left w:w="140" w:type="dxa"/>
              <w:bottom w:w="100" w:type="dxa"/>
              <w:right w:w="140" w:type="dxa"/>
            </w:tcMar>
          </w:tcPr>
          <w:p w14:paraId="74D47634" w14:textId="651668D2" w:rsidR="00B85621" w:rsidRPr="00DA7A90" w:rsidRDefault="00B85621" w:rsidP="004A480E">
            <w:pPr>
              <w:jc w:val="both"/>
              <w:rPr>
                <w:color w:val="000000" w:themeColor="text1"/>
                <w:sz w:val="20"/>
                <w:szCs w:val="20"/>
              </w:rPr>
            </w:pPr>
            <w:r w:rsidRPr="00DA7A90">
              <w:rPr>
                <w:color w:val="000000" w:themeColor="text1"/>
                <w:sz w:val="20"/>
                <w:szCs w:val="20"/>
              </w:rPr>
              <w:t>&lt; LD</w:t>
            </w:r>
          </w:p>
        </w:tc>
      </w:tr>
      <w:tr w:rsidR="00B85621" w:rsidRPr="00DA7A90" w14:paraId="420574FE"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76B13EBC" w14:textId="77777777" w:rsidR="00B85621" w:rsidRPr="00DA7A90" w:rsidRDefault="00B85621" w:rsidP="004A480E">
            <w:pPr>
              <w:jc w:val="both"/>
              <w:rPr>
                <w:color w:val="000000" w:themeColor="text1"/>
                <w:sz w:val="20"/>
                <w:szCs w:val="20"/>
              </w:rPr>
            </w:pPr>
            <w:r w:rsidRPr="00DA7A90">
              <w:rPr>
                <w:color w:val="000000" w:themeColor="text1"/>
                <w:sz w:val="20"/>
                <w:szCs w:val="20"/>
              </w:rPr>
              <w:t>Iron (Fe)</w:t>
            </w:r>
          </w:p>
        </w:tc>
        <w:tc>
          <w:tcPr>
            <w:tcW w:w="4536" w:type="dxa"/>
            <w:shd w:val="clear" w:color="auto" w:fill="FFFFFF" w:themeFill="background1"/>
            <w:tcMar>
              <w:top w:w="100" w:type="dxa"/>
              <w:left w:w="140" w:type="dxa"/>
              <w:bottom w:w="100" w:type="dxa"/>
              <w:right w:w="140" w:type="dxa"/>
            </w:tcMar>
          </w:tcPr>
          <w:p w14:paraId="08C0B14E" w14:textId="46501A39" w:rsidR="00B85621" w:rsidRPr="00DA7A90" w:rsidRDefault="00B85621" w:rsidP="004A480E">
            <w:pPr>
              <w:jc w:val="both"/>
              <w:rPr>
                <w:color w:val="000000" w:themeColor="text1"/>
                <w:sz w:val="20"/>
                <w:szCs w:val="20"/>
              </w:rPr>
            </w:pPr>
            <w:r w:rsidRPr="00DA7A90">
              <w:rPr>
                <w:color w:val="000000" w:themeColor="text1"/>
                <w:sz w:val="20"/>
                <w:szCs w:val="20"/>
              </w:rPr>
              <w:t>0.0995</w:t>
            </w:r>
            <w:r w:rsidR="007F10ED" w:rsidRPr="00DA7A90">
              <w:rPr>
                <w:color w:val="000000" w:themeColor="text1"/>
                <w:sz w:val="20"/>
                <w:szCs w:val="20"/>
              </w:rPr>
              <w:t xml:space="preserve"> ± </w:t>
            </w:r>
            <w:r w:rsidR="00957625" w:rsidRPr="00DA7A90">
              <w:rPr>
                <w:color w:val="000000" w:themeColor="text1"/>
                <w:sz w:val="20"/>
                <w:szCs w:val="20"/>
              </w:rPr>
              <w:t>0.0005</w:t>
            </w:r>
          </w:p>
        </w:tc>
      </w:tr>
      <w:tr w:rsidR="00B85621" w:rsidRPr="00DA7A90" w14:paraId="6B46B741"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66661EBF" w14:textId="52870C64" w:rsidR="00B85621" w:rsidRPr="00DA7A90" w:rsidRDefault="00B85621" w:rsidP="004A480E">
            <w:pPr>
              <w:jc w:val="both"/>
              <w:rPr>
                <w:color w:val="000000" w:themeColor="text1"/>
                <w:sz w:val="20"/>
                <w:szCs w:val="20"/>
              </w:rPr>
            </w:pPr>
            <w:r w:rsidRPr="00DA7A90">
              <w:rPr>
                <w:color w:val="000000" w:themeColor="text1"/>
                <w:sz w:val="20"/>
                <w:szCs w:val="20"/>
              </w:rPr>
              <w:t>Nickel (Ni)</w:t>
            </w:r>
          </w:p>
        </w:tc>
        <w:tc>
          <w:tcPr>
            <w:tcW w:w="4536" w:type="dxa"/>
            <w:shd w:val="clear" w:color="auto" w:fill="FFFFFF" w:themeFill="background1"/>
            <w:tcMar>
              <w:top w:w="100" w:type="dxa"/>
              <w:left w:w="140" w:type="dxa"/>
              <w:bottom w:w="100" w:type="dxa"/>
              <w:right w:w="140" w:type="dxa"/>
            </w:tcMar>
          </w:tcPr>
          <w:p w14:paraId="76B6637E" w14:textId="6AA5A2AF" w:rsidR="00B85621" w:rsidRPr="00DA7A90" w:rsidRDefault="00B85621" w:rsidP="004A480E">
            <w:pPr>
              <w:jc w:val="both"/>
              <w:rPr>
                <w:color w:val="000000" w:themeColor="text1"/>
                <w:sz w:val="20"/>
                <w:szCs w:val="20"/>
              </w:rPr>
            </w:pPr>
            <w:r w:rsidRPr="00DA7A90">
              <w:rPr>
                <w:color w:val="000000" w:themeColor="text1"/>
                <w:sz w:val="20"/>
                <w:szCs w:val="20"/>
              </w:rPr>
              <w:t>0.0172</w:t>
            </w:r>
            <w:r w:rsidR="007F10ED" w:rsidRPr="00DA7A90">
              <w:rPr>
                <w:color w:val="000000" w:themeColor="text1"/>
                <w:sz w:val="20"/>
                <w:szCs w:val="20"/>
              </w:rPr>
              <w:t xml:space="preserve"> ± </w:t>
            </w:r>
            <w:r w:rsidR="00957625" w:rsidRPr="00DA7A90">
              <w:rPr>
                <w:color w:val="000000" w:themeColor="text1"/>
                <w:sz w:val="20"/>
                <w:szCs w:val="20"/>
              </w:rPr>
              <w:t>0.0008</w:t>
            </w:r>
          </w:p>
        </w:tc>
      </w:tr>
      <w:tr w:rsidR="00B85621" w:rsidRPr="00DA7A90" w14:paraId="10631516"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12F1232A" w14:textId="62338C24" w:rsidR="00B85621" w:rsidRPr="00DA7A90" w:rsidRDefault="00B85621" w:rsidP="004A480E">
            <w:pPr>
              <w:jc w:val="both"/>
              <w:rPr>
                <w:color w:val="000000" w:themeColor="text1"/>
                <w:sz w:val="20"/>
                <w:szCs w:val="20"/>
              </w:rPr>
            </w:pPr>
            <w:r w:rsidRPr="00DA7A90">
              <w:rPr>
                <w:color w:val="000000" w:themeColor="text1"/>
                <w:sz w:val="20"/>
                <w:szCs w:val="20"/>
              </w:rPr>
              <w:t>Copper (Cu)</w:t>
            </w:r>
          </w:p>
        </w:tc>
        <w:tc>
          <w:tcPr>
            <w:tcW w:w="4536" w:type="dxa"/>
            <w:shd w:val="clear" w:color="auto" w:fill="FFFFFF" w:themeFill="background1"/>
            <w:tcMar>
              <w:top w:w="100" w:type="dxa"/>
              <w:left w:w="140" w:type="dxa"/>
              <w:bottom w:w="100" w:type="dxa"/>
              <w:right w:w="140" w:type="dxa"/>
            </w:tcMar>
          </w:tcPr>
          <w:p w14:paraId="47DEC0F9" w14:textId="1B39D2C7" w:rsidR="00B85621" w:rsidRPr="00DA7A90" w:rsidRDefault="00B85621" w:rsidP="004A480E">
            <w:pPr>
              <w:jc w:val="both"/>
              <w:rPr>
                <w:color w:val="000000" w:themeColor="text1"/>
                <w:sz w:val="20"/>
                <w:szCs w:val="20"/>
              </w:rPr>
            </w:pPr>
            <w:r w:rsidRPr="00DA7A90">
              <w:rPr>
                <w:color w:val="000000" w:themeColor="text1"/>
                <w:sz w:val="20"/>
                <w:szCs w:val="20"/>
              </w:rPr>
              <w:t>0.0161</w:t>
            </w:r>
            <w:r w:rsidR="007F10ED" w:rsidRPr="00DA7A90">
              <w:rPr>
                <w:color w:val="000000" w:themeColor="text1"/>
                <w:sz w:val="20"/>
                <w:szCs w:val="20"/>
              </w:rPr>
              <w:t xml:space="preserve"> ± </w:t>
            </w:r>
            <w:r w:rsidR="004F7603" w:rsidRPr="00DA7A90">
              <w:rPr>
                <w:color w:val="000000" w:themeColor="text1"/>
                <w:sz w:val="20"/>
                <w:szCs w:val="20"/>
              </w:rPr>
              <w:t>0.0006</w:t>
            </w:r>
          </w:p>
        </w:tc>
      </w:tr>
      <w:tr w:rsidR="00B85621" w:rsidRPr="00DA7A90" w14:paraId="4B4D2761"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0F33D429" w14:textId="7B056D11" w:rsidR="00B85621" w:rsidRPr="00DA7A90" w:rsidRDefault="00B85621" w:rsidP="004A480E">
            <w:pPr>
              <w:jc w:val="both"/>
              <w:rPr>
                <w:color w:val="000000" w:themeColor="text1"/>
                <w:sz w:val="20"/>
                <w:szCs w:val="20"/>
              </w:rPr>
            </w:pPr>
            <w:r w:rsidRPr="00DA7A90">
              <w:rPr>
                <w:color w:val="000000" w:themeColor="text1"/>
                <w:sz w:val="20"/>
                <w:szCs w:val="20"/>
              </w:rPr>
              <w:lastRenderedPageBreak/>
              <w:t>Zinc (Zn)</w:t>
            </w:r>
          </w:p>
        </w:tc>
        <w:tc>
          <w:tcPr>
            <w:tcW w:w="4536" w:type="dxa"/>
            <w:shd w:val="clear" w:color="auto" w:fill="FFFFFF" w:themeFill="background1"/>
            <w:tcMar>
              <w:top w:w="100" w:type="dxa"/>
              <w:left w:w="140" w:type="dxa"/>
              <w:bottom w:w="100" w:type="dxa"/>
              <w:right w:w="140" w:type="dxa"/>
            </w:tcMar>
          </w:tcPr>
          <w:p w14:paraId="525ECF68" w14:textId="18945F27" w:rsidR="00B85621" w:rsidRPr="00DA7A90" w:rsidRDefault="00B85621" w:rsidP="004A480E">
            <w:pPr>
              <w:jc w:val="both"/>
              <w:rPr>
                <w:color w:val="000000" w:themeColor="text1"/>
                <w:sz w:val="20"/>
                <w:szCs w:val="20"/>
              </w:rPr>
            </w:pPr>
            <w:r w:rsidRPr="00DA7A90">
              <w:rPr>
                <w:color w:val="000000" w:themeColor="text1"/>
                <w:sz w:val="20"/>
                <w:szCs w:val="20"/>
              </w:rPr>
              <w:t>0.0247</w:t>
            </w:r>
            <w:r w:rsidR="007F10ED" w:rsidRPr="00DA7A90">
              <w:rPr>
                <w:color w:val="000000" w:themeColor="text1"/>
                <w:sz w:val="20"/>
                <w:szCs w:val="20"/>
              </w:rPr>
              <w:t xml:space="preserve"> ± </w:t>
            </w:r>
            <w:r w:rsidR="00957625" w:rsidRPr="00DA7A90">
              <w:rPr>
                <w:color w:val="000000" w:themeColor="text1"/>
                <w:sz w:val="20"/>
                <w:szCs w:val="20"/>
              </w:rPr>
              <w:t>0.0001</w:t>
            </w:r>
          </w:p>
        </w:tc>
      </w:tr>
      <w:tr w:rsidR="00B85621" w:rsidRPr="00DA7A90" w14:paraId="7D101EC6"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442CA6B0" w14:textId="77777777" w:rsidR="00B85621" w:rsidRPr="00DA7A90" w:rsidRDefault="00B85621" w:rsidP="004A480E">
            <w:pPr>
              <w:jc w:val="both"/>
              <w:rPr>
                <w:color w:val="000000" w:themeColor="text1"/>
                <w:sz w:val="20"/>
                <w:szCs w:val="20"/>
              </w:rPr>
            </w:pPr>
            <w:r w:rsidRPr="00DA7A90">
              <w:rPr>
                <w:color w:val="000000" w:themeColor="text1"/>
                <w:sz w:val="20"/>
                <w:szCs w:val="20"/>
              </w:rPr>
              <w:t>Cadmium (Cd)</w:t>
            </w:r>
          </w:p>
        </w:tc>
        <w:tc>
          <w:tcPr>
            <w:tcW w:w="4536" w:type="dxa"/>
            <w:shd w:val="clear" w:color="auto" w:fill="FFFFFF" w:themeFill="background1"/>
            <w:tcMar>
              <w:top w:w="100" w:type="dxa"/>
              <w:left w:w="140" w:type="dxa"/>
              <w:bottom w:w="100" w:type="dxa"/>
              <w:right w:w="140" w:type="dxa"/>
            </w:tcMar>
          </w:tcPr>
          <w:p w14:paraId="00038289" w14:textId="5B33D2F6" w:rsidR="00B85621" w:rsidRPr="00DA7A90" w:rsidRDefault="00B85621" w:rsidP="004A480E">
            <w:pPr>
              <w:jc w:val="both"/>
              <w:rPr>
                <w:color w:val="000000" w:themeColor="text1"/>
                <w:sz w:val="20"/>
                <w:szCs w:val="20"/>
              </w:rPr>
            </w:pPr>
            <w:r w:rsidRPr="00DA7A90">
              <w:rPr>
                <w:color w:val="000000" w:themeColor="text1"/>
                <w:sz w:val="20"/>
                <w:szCs w:val="20"/>
              </w:rPr>
              <w:t>0.0010</w:t>
            </w:r>
            <w:r w:rsidR="007F10ED" w:rsidRPr="00DA7A90">
              <w:rPr>
                <w:color w:val="000000" w:themeColor="text1"/>
                <w:sz w:val="20"/>
                <w:szCs w:val="20"/>
              </w:rPr>
              <w:t xml:space="preserve"> ± </w:t>
            </w:r>
            <w:r w:rsidR="00957625" w:rsidRPr="00DA7A90">
              <w:rPr>
                <w:color w:val="000000" w:themeColor="text1"/>
                <w:sz w:val="20"/>
                <w:szCs w:val="20"/>
              </w:rPr>
              <w:t>0.0001</w:t>
            </w:r>
          </w:p>
        </w:tc>
      </w:tr>
      <w:tr w:rsidR="00B85621" w:rsidRPr="00DA7A90" w14:paraId="231C33DD" w14:textId="77777777" w:rsidTr="00B85621">
        <w:trPr>
          <w:trHeight w:hRule="exact" w:val="454"/>
        </w:trPr>
        <w:tc>
          <w:tcPr>
            <w:tcW w:w="4112" w:type="dxa"/>
            <w:tcBorders>
              <w:bottom w:val="single" w:sz="12" w:space="0" w:color="auto"/>
            </w:tcBorders>
            <w:shd w:val="clear" w:color="auto" w:fill="FFFFFF" w:themeFill="background1"/>
            <w:tcMar>
              <w:top w:w="100" w:type="dxa"/>
              <w:left w:w="140" w:type="dxa"/>
              <w:bottom w:w="100" w:type="dxa"/>
              <w:right w:w="140" w:type="dxa"/>
            </w:tcMar>
          </w:tcPr>
          <w:p w14:paraId="2B9F8019" w14:textId="5C9F2C58" w:rsidR="00B85621" w:rsidRPr="00DA7A90" w:rsidRDefault="00B85621" w:rsidP="004A480E">
            <w:pPr>
              <w:jc w:val="both"/>
              <w:rPr>
                <w:color w:val="000000" w:themeColor="text1"/>
                <w:sz w:val="20"/>
                <w:szCs w:val="20"/>
              </w:rPr>
            </w:pPr>
            <w:r w:rsidRPr="00DA7A90">
              <w:rPr>
                <w:color w:val="000000" w:themeColor="text1"/>
                <w:sz w:val="20"/>
                <w:szCs w:val="20"/>
              </w:rPr>
              <w:t>Lead (Pb)</w:t>
            </w:r>
          </w:p>
        </w:tc>
        <w:tc>
          <w:tcPr>
            <w:tcW w:w="4536" w:type="dxa"/>
            <w:tcBorders>
              <w:bottom w:val="single" w:sz="12" w:space="0" w:color="auto"/>
            </w:tcBorders>
            <w:shd w:val="clear" w:color="auto" w:fill="FFFFFF" w:themeFill="background1"/>
            <w:tcMar>
              <w:top w:w="100" w:type="dxa"/>
              <w:left w:w="140" w:type="dxa"/>
              <w:bottom w:w="100" w:type="dxa"/>
              <w:right w:w="140" w:type="dxa"/>
            </w:tcMar>
          </w:tcPr>
          <w:p w14:paraId="2101FDB9" w14:textId="14D8DA90" w:rsidR="00B85621" w:rsidRPr="00DA7A90" w:rsidRDefault="00B85621" w:rsidP="004A480E">
            <w:pPr>
              <w:jc w:val="both"/>
              <w:rPr>
                <w:color w:val="000000" w:themeColor="text1"/>
                <w:sz w:val="20"/>
                <w:szCs w:val="20"/>
              </w:rPr>
            </w:pPr>
            <w:r w:rsidRPr="00DA7A90">
              <w:rPr>
                <w:color w:val="000000" w:themeColor="text1"/>
                <w:sz w:val="20"/>
                <w:szCs w:val="20"/>
              </w:rPr>
              <w:t>&lt; LD</w:t>
            </w:r>
          </w:p>
        </w:tc>
      </w:tr>
    </w:tbl>
    <w:p w14:paraId="70E51843" w14:textId="77777777" w:rsidR="00822531" w:rsidRPr="00DA7A90" w:rsidRDefault="00822531" w:rsidP="004A480E">
      <w:pPr>
        <w:jc w:val="both"/>
        <w:rPr>
          <w:color w:val="000000" w:themeColor="text1"/>
          <w:sz w:val="20"/>
          <w:szCs w:val="20"/>
        </w:rPr>
      </w:pPr>
    </w:p>
    <w:p w14:paraId="425BB696" w14:textId="0586767E" w:rsidR="007B5C2E" w:rsidRPr="00DA7A90" w:rsidRDefault="009101A4" w:rsidP="004A480E">
      <w:pPr>
        <w:jc w:val="both"/>
        <w:rPr>
          <w:color w:val="000000" w:themeColor="text1"/>
          <w:sz w:val="24"/>
          <w:szCs w:val="24"/>
        </w:rPr>
      </w:pPr>
      <w:r w:rsidRPr="00DA7A90">
        <w:rPr>
          <w:color w:val="000000" w:themeColor="text1"/>
          <w:sz w:val="20"/>
          <w:szCs w:val="20"/>
        </w:rPr>
        <w:t>Calcium (Ca) is the predominant element at 59.27 mg/g DM, representing over 81</w:t>
      </w:r>
      <w:r w:rsidR="0049464F" w:rsidRPr="00DA7A90">
        <w:rPr>
          <w:color w:val="000000" w:themeColor="text1"/>
          <w:sz w:val="20"/>
          <w:szCs w:val="20"/>
        </w:rPr>
        <w:t xml:space="preserve"> </w:t>
      </w:r>
      <w:r w:rsidRPr="00DA7A90">
        <w:rPr>
          <w:color w:val="000000" w:themeColor="text1"/>
          <w:sz w:val="20"/>
          <w:szCs w:val="20"/>
        </w:rPr>
        <w:t xml:space="preserve">% of the total mass of minerals measured in the plant's leaves. It is followed by potassium (K, 10.61 mg/g DM), which accounts for 14.5% of the total mineral mass, while magnesium (Mg, 2.02 mg/g DM) and sodium (Na, 1.04 mg/g DM) represent </w:t>
      </w:r>
      <w:r w:rsidR="00343450" w:rsidRPr="00DA7A90">
        <w:rPr>
          <w:color w:val="000000" w:themeColor="text1"/>
          <w:sz w:val="20"/>
          <w:szCs w:val="20"/>
        </w:rPr>
        <w:t>2.76</w:t>
      </w:r>
      <w:r w:rsidRPr="00DA7A90">
        <w:rPr>
          <w:color w:val="000000" w:themeColor="text1"/>
          <w:sz w:val="20"/>
          <w:szCs w:val="20"/>
        </w:rPr>
        <w:t xml:space="preserve">% and </w:t>
      </w:r>
      <w:r w:rsidR="00343450" w:rsidRPr="00DA7A90">
        <w:rPr>
          <w:color w:val="000000" w:themeColor="text1"/>
          <w:sz w:val="20"/>
          <w:szCs w:val="20"/>
        </w:rPr>
        <w:t>1.42</w:t>
      </w:r>
      <w:r w:rsidRPr="00DA7A90">
        <w:rPr>
          <w:color w:val="000000" w:themeColor="text1"/>
          <w:sz w:val="20"/>
          <w:szCs w:val="20"/>
        </w:rPr>
        <w:t>%, respectively. These four macro-elements constitute the bulk of the plant's mineral profile (99.78%). Among the trace elements that make up 0.22% of the mineral content, iron (Fe) has the highest concentration (</w:t>
      </w:r>
      <w:r w:rsidR="00822531" w:rsidRPr="00DA7A90">
        <w:rPr>
          <w:color w:val="000000" w:themeColor="text1"/>
          <w:sz w:val="20"/>
          <w:szCs w:val="20"/>
        </w:rPr>
        <w:t xml:space="preserve">0.0995 mg/g </w:t>
      </w:r>
      <w:r w:rsidR="0091514D" w:rsidRPr="00DA7A90">
        <w:rPr>
          <w:color w:val="000000" w:themeColor="text1"/>
          <w:sz w:val="20"/>
          <w:szCs w:val="20"/>
        </w:rPr>
        <w:t>DM</w:t>
      </w:r>
      <w:r w:rsidR="00822531" w:rsidRPr="00DA7A90">
        <w:rPr>
          <w:color w:val="000000" w:themeColor="text1"/>
          <w:sz w:val="20"/>
          <w:szCs w:val="20"/>
        </w:rPr>
        <w:t xml:space="preserve">), followed by zinc (Zn, 0.0247 mg/g </w:t>
      </w:r>
      <w:r w:rsidR="0091514D" w:rsidRPr="00DA7A90">
        <w:rPr>
          <w:color w:val="000000" w:themeColor="text1"/>
          <w:sz w:val="20"/>
          <w:szCs w:val="20"/>
        </w:rPr>
        <w:t>DM</w:t>
      </w:r>
      <w:r w:rsidR="00822531" w:rsidRPr="00DA7A90">
        <w:rPr>
          <w:color w:val="000000" w:themeColor="text1"/>
          <w:sz w:val="20"/>
          <w:szCs w:val="20"/>
        </w:rPr>
        <w:t xml:space="preserve">), nickel (Ni, 0.0172 mg/g </w:t>
      </w:r>
      <w:r w:rsidR="0091514D" w:rsidRPr="00DA7A90">
        <w:rPr>
          <w:color w:val="000000" w:themeColor="text1"/>
          <w:sz w:val="20"/>
          <w:szCs w:val="20"/>
        </w:rPr>
        <w:t>DM</w:t>
      </w:r>
      <w:r w:rsidR="00822531" w:rsidRPr="00DA7A90">
        <w:rPr>
          <w:color w:val="000000" w:themeColor="text1"/>
          <w:sz w:val="20"/>
          <w:szCs w:val="20"/>
        </w:rPr>
        <w:t xml:space="preserve">), and copper (Cu, 0.0161 mg/g </w:t>
      </w:r>
      <w:r w:rsidR="0091514D" w:rsidRPr="00DA7A90">
        <w:rPr>
          <w:color w:val="000000" w:themeColor="text1"/>
          <w:sz w:val="20"/>
          <w:szCs w:val="20"/>
        </w:rPr>
        <w:t>DM</w:t>
      </w:r>
      <w:r w:rsidR="00822531" w:rsidRPr="00DA7A90">
        <w:rPr>
          <w:color w:val="000000" w:themeColor="text1"/>
          <w:sz w:val="20"/>
          <w:szCs w:val="20"/>
        </w:rPr>
        <w:t xml:space="preserve">). Cadmium (Cd) was detected and quantified at 0.0010 mg/g </w:t>
      </w:r>
      <w:r w:rsidR="0091514D" w:rsidRPr="00DA7A90">
        <w:rPr>
          <w:color w:val="000000" w:themeColor="text1"/>
          <w:sz w:val="20"/>
          <w:szCs w:val="20"/>
        </w:rPr>
        <w:t>DM</w:t>
      </w:r>
      <w:r w:rsidR="00822531" w:rsidRPr="00DA7A90">
        <w:rPr>
          <w:color w:val="000000" w:themeColor="text1"/>
          <w:sz w:val="20"/>
          <w:szCs w:val="20"/>
        </w:rPr>
        <w:t>, while the levels of lead (Pb) and chromium (Cr) remain below the detection limits of the analytical method used in this study</w:t>
      </w:r>
      <w:r w:rsidR="00822531" w:rsidRPr="00DA7A90">
        <w:rPr>
          <w:color w:val="000000" w:themeColor="text1"/>
          <w:sz w:val="24"/>
          <w:szCs w:val="24"/>
        </w:rPr>
        <w:t>.</w:t>
      </w:r>
    </w:p>
    <w:p w14:paraId="5378606C" w14:textId="77777777" w:rsidR="007B5C2E" w:rsidRPr="00DA7A90" w:rsidRDefault="009101A4" w:rsidP="004A480E">
      <w:pPr>
        <w:pStyle w:val="Heading3"/>
      </w:pPr>
      <w:r w:rsidRPr="00DA7A90">
        <w:t>Biohazard risk assessment</w:t>
      </w:r>
    </w:p>
    <w:p w14:paraId="4E7D36BE" w14:textId="2591271C" w:rsidR="007B5C2E" w:rsidRPr="00DA7A90" w:rsidRDefault="00DB0EA2" w:rsidP="004A480E">
      <w:pPr>
        <w:jc w:val="both"/>
        <w:rPr>
          <w:color w:val="000000" w:themeColor="text1"/>
          <w:sz w:val="20"/>
          <w:szCs w:val="20"/>
        </w:rPr>
      </w:pPr>
      <w:r w:rsidRPr="00DA7A90">
        <w:rPr>
          <w:color w:val="000000" w:themeColor="text1"/>
          <w:sz w:val="20"/>
          <w:szCs w:val="20"/>
        </w:rPr>
        <w:t xml:space="preserve">The estimated daily intake (EDI) of minerals when consuming </w:t>
      </w:r>
      <w:r w:rsidRPr="00DA7A90">
        <w:rPr>
          <w:i/>
          <w:iCs/>
          <w:color w:val="000000" w:themeColor="text1"/>
          <w:sz w:val="20"/>
          <w:szCs w:val="20"/>
        </w:rPr>
        <w:t>P. marsupium</w:t>
      </w:r>
      <w:r w:rsidRPr="00DA7A90">
        <w:rPr>
          <w:color w:val="000000" w:themeColor="text1"/>
          <w:sz w:val="20"/>
          <w:szCs w:val="20"/>
        </w:rPr>
        <w:t xml:space="preserve"> leaves and the provisional tolerable daily intake (PTDI) of the metal</w:t>
      </w:r>
      <w:r w:rsidR="001E50E7" w:rsidRPr="00DA7A90">
        <w:rPr>
          <w:color w:val="000000" w:themeColor="text1"/>
          <w:sz w:val="20"/>
          <w:szCs w:val="20"/>
        </w:rPr>
        <w:t xml:space="preserve"> concerned</w:t>
      </w:r>
      <w:r w:rsidRPr="00DA7A90">
        <w:rPr>
          <w:color w:val="000000" w:themeColor="text1"/>
          <w:sz w:val="20"/>
          <w:szCs w:val="20"/>
        </w:rPr>
        <w:t xml:space="preserve">, according to the reference thresholds of the WHO or other organizations, are indicated in Table </w:t>
      </w:r>
      <w:r w:rsidR="00E21924">
        <w:rPr>
          <w:color w:val="000000" w:themeColor="text1"/>
          <w:sz w:val="20"/>
          <w:szCs w:val="20"/>
        </w:rPr>
        <w:t>4</w:t>
      </w:r>
      <w:r w:rsidR="007F7140" w:rsidRPr="00DA7A90">
        <w:rPr>
          <w:color w:val="000000" w:themeColor="text1"/>
          <w:sz w:val="20"/>
          <w:szCs w:val="20"/>
        </w:rPr>
        <w:t xml:space="preserve"> </w:t>
      </w:r>
      <w:r w:rsidR="001402AD" w:rsidRPr="00DA7A90">
        <w:rPr>
          <w:color w:val="000000" w:themeColor="text1"/>
          <w:sz w:val="20"/>
          <w:szCs w:val="20"/>
        </w:rPr>
        <w:t>[11-19]</w:t>
      </w:r>
      <w:r w:rsidR="00A22D12" w:rsidRPr="00DA7A90">
        <w:rPr>
          <w:color w:val="000000" w:themeColor="text1"/>
          <w:sz w:val="20"/>
          <w:szCs w:val="20"/>
        </w:rPr>
        <w:t>.</w:t>
      </w:r>
    </w:p>
    <w:p w14:paraId="7AD050A0" w14:textId="77777777" w:rsidR="00522DDA" w:rsidRPr="00DA7A90" w:rsidRDefault="00522DDA" w:rsidP="004A480E">
      <w:pPr>
        <w:jc w:val="both"/>
        <w:rPr>
          <w:color w:val="000000" w:themeColor="text1"/>
          <w:sz w:val="20"/>
          <w:szCs w:val="20"/>
        </w:rPr>
      </w:pPr>
    </w:p>
    <w:p w14:paraId="34A9FECD" w14:textId="37B8578F" w:rsidR="007B5C2E" w:rsidRPr="00DA7A90" w:rsidRDefault="00522DDA" w:rsidP="004A480E">
      <w:pPr>
        <w:jc w:val="both"/>
        <w:rPr>
          <w:b/>
          <w:bCs/>
          <w:color w:val="000000" w:themeColor="text1"/>
          <w:sz w:val="20"/>
          <w:szCs w:val="20"/>
        </w:rPr>
      </w:pPr>
      <w:r w:rsidRPr="00DA7A90">
        <w:rPr>
          <w:b/>
          <w:bCs/>
          <w:color w:val="000000" w:themeColor="text1"/>
          <w:sz w:val="20"/>
          <w:szCs w:val="20"/>
        </w:rPr>
        <w:t xml:space="preserve">Table </w:t>
      </w:r>
      <w:r w:rsidR="00E21924">
        <w:rPr>
          <w:b/>
          <w:bCs/>
          <w:color w:val="000000" w:themeColor="text1"/>
          <w:sz w:val="20"/>
          <w:szCs w:val="20"/>
        </w:rPr>
        <w:t>4</w:t>
      </w:r>
      <w:r w:rsidRPr="00DA7A90">
        <w:rPr>
          <w:b/>
          <w:bCs/>
          <w:color w:val="000000" w:themeColor="text1"/>
          <w:sz w:val="20"/>
          <w:szCs w:val="20"/>
        </w:rPr>
        <w:t xml:space="preserve">. </w:t>
      </w:r>
      <w:r w:rsidR="001E50E7" w:rsidRPr="00DA7A90">
        <w:rPr>
          <w:b/>
          <w:bCs/>
          <w:color w:val="000000" w:themeColor="text1"/>
          <w:sz w:val="20"/>
          <w:szCs w:val="20"/>
        </w:rPr>
        <w:t xml:space="preserve">EDI and PTDI </w:t>
      </w:r>
      <w:r w:rsidR="009101A4" w:rsidRPr="00DA7A90">
        <w:rPr>
          <w:b/>
          <w:bCs/>
          <w:color w:val="000000" w:themeColor="text1"/>
          <w:sz w:val="20"/>
          <w:szCs w:val="20"/>
        </w:rPr>
        <w:t xml:space="preserve">of metal elements in the leaves of </w:t>
      </w:r>
      <w:r w:rsidR="009101A4" w:rsidRPr="00DA7A90">
        <w:rPr>
          <w:b/>
          <w:bCs/>
          <w:i/>
          <w:iCs/>
          <w:color w:val="000000" w:themeColor="text1"/>
          <w:sz w:val="20"/>
          <w:szCs w:val="20"/>
        </w:rPr>
        <w:t>Pterocarpus marsupium</w:t>
      </w:r>
      <w:r w:rsidR="009101A4" w:rsidRPr="00DA7A90">
        <w:rPr>
          <w:b/>
          <w:bCs/>
          <w:color w:val="000000" w:themeColor="text1"/>
          <w:sz w:val="20"/>
          <w:szCs w:val="20"/>
        </w:rPr>
        <w:t xml:space="preserve"> Roxb.</w:t>
      </w:r>
    </w:p>
    <w:p w14:paraId="1083EB8A" w14:textId="77777777" w:rsidR="008303ED" w:rsidRPr="00DA7A90" w:rsidRDefault="008303ED" w:rsidP="004A480E">
      <w:pPr>
        <w:jc w:val="both"/>
        <w:rPr>
          <w:color w:val="000000" w:themeColor="text1"/>
          <w:sz w:val="20"/>
          <w:szCs w:val="20"/>
        </w:rPr>
      </w:pPr>
    </w:p>
    <w:tbl>
      <w:tblPr>
        <w:tblW w:w="0" w:type="auto"/>
        <w:tblInd w:w="-1" w:type="dxa"/>
        <w:shd w:val="clear" w:color="auto" w:fill="FFFFFF" w:themeFill="background1"/>
        <w:tblCellMar>
          <w:left w:w="10" w:type="dxa"/>
          <w:right w:w="10" w:type="dxa"/>
        </w:tblCellMar>
        <w:tblLook w:val="0000" w:firstRow="0" w:lastRow="0" w:firstColumn="0" w:lastColumn="0" w:noHBand="0" w:noVBand="0"/>
      </w:tblPr>
      <w:tblGrid>
        <w:gridCol w:w="1556"/>
        <w:gridCol w:w="1984"/>
        <w:gridCol w:w="5216"/>
      </w:tblGrid>
      <w:tr w:rsidR="00DA04CD" w:rsidRPr="00DA7A90" w14:paraId="13500AC3" w14:textId="77777777" w:rsidTr="008303ED">
        <w:trPr>
          <w:trHeight w:hRule="exact" w:val="340"/>
          <w:tblHeader/>
        </w:trPr>
        <w:tc>
          <w:tcPr>
            <w:tcW w:w="1556" w:type="dxa"/>
            <w:tcBorders>
              <w:top w:val="single" w:sz="8" w:space="0" w:color="auto"/>
              <w:bottom w:val="single" w:sz="8" w:space="0" w:color="auto"/>
            </w:tcBorders>
            <w:shd w:val="clear" w:color="auto" w:fill="FFFFFF" w:themeFill="background1"/>
            <w:tcMar>
              <w:top w:w="100" w:type="dxa"/>
              <w:left w:w="140" w:type="dxa"/>
              <w:bottom w:w="100" w:type="dxa"/>
              <w:right w:w="140" w:type="dxa"/>
            </w:tcMar>
            <w:vAlign w:val="center"/>
          </w:tcPr>
          <w:p w14:paraId="78A0C7E6" w14:textId="77777777" w:rsidR="00DA04CD" w:rsidRPr="00DA7A90" w:rsidRDefault="00DA04CD" w:rsidP="004A480E">
            <w:pPr>
              <w:jc w:val="both"/>
              <w:rPr>
                <w:b/>
                <w:bCs/>
                <w:color w:val="000000" w:themeColor="text1"/>
                <w:sz w:val="20"/>
                <w:szCs w:val="20"/>
              </w:rPr>
            </w:pPr>
            <w:r w:rsidRPr="00DA7A90">
              <w:rPr>
                <w:b/>
                <w:bCs/>
                <w:color w:val="000000" w:themeColor="text1"/>
                <w:sz w:val="20"/>
                <w:szCs w:val="20"/>
              </w:rPr>
              <w:t>Metal</w:t>
            </w:r>
          </w:p>
        </w:tc>
        <w:tc>
          <w:tcPr>
            <w:tcW w:w="1984" w:type="dxa"/>
            <w:tcBorders>
              <w:top w:val="single" w:sz="8" w:space="0" w:color="auto"/>
              <w:bottom w:val="single" w:sz="8" w:space="0" w:color="auto"/>
            </w:tcBorders>
            <w:shd w:val="clear" w:color="auto" w:fill="FFFFFF" w:themeFill="background1"/>
            <w:tcMar>
              <w:top w:w="100" w:type="dxa"/>
              <w:left w:w="140" w:type="dxa"/>
              <w:bottom w:w="100" w:type="dxa"/>
              <w:right w:w="140" w:type="dxa"/>
            </w:tcMar>
            <w:vAlign w:val="center"/>
          </w:tcPr>
          <w:p w14:paraId="4B21C30E" w14:textId="3342E481" w:rsidR="00DA04CD" w:rsidRPr="00DA7A90" w:rsidRDefault="00DA04CD" w:rsidP="004A480E">
            <w:pPr>
              <w:ind w:right="-35"/>
              <w:jc w:val="both"/>
              <w:rPr>
                <w:b/>
                <w:bCs/>
                <w:color w:val="000000" w:themeColor="text1"/>
                <w:sz w:val="20"/>
                <w:szCs w:val="20"/>
              </w:rPr>
            </w:pPr>
            <w:r w:rsidRPr="00DA7A90">
              <w:rPr>
                <w:b/>
                <w:bCs/>
                <w:color w:val="000000" w:themeColor="text1"/>
                <w:sz w:val="20"/>
                <w:szCs w:val="20"/>
              </w:rPr>
              <w:t>EDI (µg/Kg/day)</w:t>
            </w:r>
          </w:p>
        </w:tc>
        <w:tc>
          <w:tcPr>
            <w:tcW w:w="5216" w:type="dxa"/>
            <w:tcBorders>
              <w:top w:val="single" w:sz="8" w:space="0" w:color="auto"/>
              <w:bottom w:val="single" w:sz="8" w:space="0" w:color="auto"/>
            </w:tcBorders>
            <w:shd w:val="clear" w:color="auto" w:fill="FFFFFF" w:themeFill="background1"/>
            <w:vAlign w:val="center"/>
          </w:tcPr>
          <w:p w14:paraId="34E468FA" w14:textId="59908957" w:rsidR="00DA04CD" w:rsidRPr="00DA7A90" w:rsidRDefault="00DA04CD" w:rsidP="004A480E">
            <w:pPr>
              <w:ind w:left="132"/>
              <w:jc w:val="both"/>
              <w:rPr>
                <w:b/>
                <w:bCs/>
                <w:color w:val="000000" w:themeColor="text1"/>
                <w:sz w:val="20"/>
                <w:szCs w:val="20"/>
                <w:lang w:val="en-US"/>
              </w:rPr>
            </w:pPr>
            <w:r w:rsidRPr="00DA7A90">
              <w:rPr>
                <w:b/>
                <w:bCs/>
                <w:color w:val="000000" w:themeColor="text1"/>
                <w:sz w:val="20"/>
                <w:szCs w:val="20"/>
                <w:lang w:val="en-US"/>
              </w:rPr>
              <w:t>PTDI (mg/Kg/day)</w:t>
            </w:r>
          </w:p>
        </w:tc>
      </w:tr>
      <w:tr w:rsidR="00DA04CD" w:rsidRPr="00DA7A90" w14:paraId="1F2ED7CB" w14:textId="77777777" w:rsidTr="008303ED">
        <w:trPr>
          <w:trHeight w:hRule="exact" w:val="340"/>
        </w:trPr>
        <w:tc>
          <w:tcPr>
            <w:tcW w:w="1556" w:type="dxa"/>
            <w:tcBorders>
              <w:top w:val="single" w:sz="8" w:space="0" w:color="auto"/>
            </w:tcBorders>
            <w:shd w:val="clear" w:color="auto" w:fill="FFFFFF" w:themeFill="background1"/>
            <w:tcMar>
              <w:top w:w="100" w:type="dxa"/>
              <w:left w:w="140" w:type="dxa"/>
              <w:bottom w:w="100" w:type="dxa"/>
              <w:right w:w="140" w:type="dxa"/>
            </w:tcMar>
            <w:vAlign w:val="center"/>
          </w:tcPr>
          <w:p w14:paraId="2C689340" w14:textId="1E6A86FB" w:rsidR="00DA04CD" w:rsidRPr="00DA7A90" w:rsidRDefault="00DA04CD" w:rsidP="004A480E">
            <w:pPr>
              <w:jc w:val="both"/>
              <w:rPr>
                <w:color w:val="000000" w:themeColor="text1"/>
                <w:sz w:val="20"/>
                <w:szCs w:val="20"/>
              </w:rPr>
            </w:pPr>
            <w:r w:rsidRPr="00DA7A90">
              <w:rPr>
                <w:color w:val="000000" w:themeColor="text1"/>
                <w:sz w:val="20"/>
                <w:szCs w:val="20"/>
              </w:rPr>
              <w:t>Sodium</w:t>
            </w:r>
          </w:p>
        </w:tc>
        <w:tc>
          <w:tcPr>
            <w:tcW w:w="1984" w:type="dxa"/>
            <w:tcBorders>
              <w:top w:val="single" w:sz="8" w:space="0" w:color="auto"/>
            </w:tcBorders>
            <w:shd w:val="clear" w:color="auto" w:fill="FFFFFF" w:themeFill="background1"/>
            <w:tcMar>
              <w:top w:w="100" w:type="dxa"/>
              <w:left w:w="140" w:type="dxa"/>
              <w:bottom w:w="100" w:type="dxa"/>
              <w:right w:w="140" w:type="dxa"/>
            </w:tcMar>
            <w:vAlign w:val="center"/>
          </w:tcPr>
          <w:p w14:paraId="42E5D684" w14:textId="4D896889" w:rsidR="00DA04CD" w:rsidRPr="00DA7A90" w:rsidRDefault="00984472" w:rsidP="004A480E">
            <w:pPr>
              <w:ind w:right="-35"/>
              <w:jc w:val="both"/>
              <w:rPr>
                <w:color w:val="000000" w:themeColor="text1"/>
                <w:sz w:val="20"/>
                <w:szCs w:val="20"/>
              </w:rPr>
            </w:pPr>
            <w:r w:rsidRPr="00DA7A90">
              <w:rPr>
                <w:color w:val="000000" w:themeColor="text1"/>
                <w:sz w:val="20"/>
                <w:szCs w:val="20"/>
              </w:rPr>
              <w:t>30.45</w:t>
            </w:r>
          </w:p>
        </w:tc>
        <w:tc>
          <w:tcPr>
            <w:tcW w:w="5216" w:type="dxa"/>
            <w:tcBorders>
              <w:top w:val="single" w:sz="8" w:space="0" w:color="auto"/>
            </w:tcBorders>
            <w:shd w:val="clear" w:color="auto" w:fill="FFFFFF" w:themeFill="background1"/>
            <w:vAlign w:val="center"/>
          </w:tcPr>
          <w:p w14:paraId="06635EBF" w14:textId="67CB335F" w:rsidR="00DA04CD" w:rsidRPr="00DA7A90" w:rsidRDefault="003767FD" w:rsidP="004A480E">
            <w:pPr>
              <w:ind w:left="132"/>
              <w:jc w:val="both"/>
              <w:rPr>
                <w:color w:val="000000" w:themeColor="text1"/>
                <w:sz w:val="20"/>
                <w:szCs w:val="20"/>
              </w:rPr>
            </w:pPr>
            <w:r w:rsidRPr="00DA7A90">
              <w:rPr>
                <w:color w:val="000000" w:themeColor="text1"/>
                <w:sz w:val="20"/>
                <w:szCs w:val="20"/>
                <w:lang w:val="en-US"/>
              </w:rPr>
              <w:t xml:space="preserve">28.57 </w:t>
            </w:r>
            <w:r w:rsidR="001402AD" w:rsidRPr="00DA7A90">
              <w:rPr>
                <w:color w:val="000000" w:themeColor="text1"/>
                <w:sz w:val="20"/>
                <w:szCs w:val="20"/>
              </w:rPr>
              <w:t>[11]</w:t>
            </w:r>
          </w:p>
        </w:tc>
      </w:tr>
      <w:tr w:rsidR="00DA04CD" w:rsidRPr="00DA7A90" w14:paraId="584B3935"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63194FB9" w14:textId="79CC524A" w:rsidR="00DA04CD" w:rsidRPr="00DA7A90" w:rsidRDefault="00DA04CD" w:rsidP="004A480E">
            <w:pPr>
              <w:jc w:val="both"/>
              <w:rPr>
                <w:color w:val="000000" w:themeColor="text1"/>
                <w:sz w:val="20"/>
                <w:szCs w:val="20"/>
              </w:rPr>
            </w:pPr>
            <w:r w:rsidRPr="00DA7A90">
              <w:rPr>
                <w:color w:val="000000" w:themeColor="text1"/>
                <w:sz w:val="20"/>
                <w:szCs w:val="20"/>
              </w:rPr>
              <w:t>Potassium</w:t>
            </w:r>
          </w:p>
        </w:tc>
        <w:tc>
          <w:tcPr>
            <w:tcW w:w="1984" w:type="dxa"/>
            <w:shd w:val="clear" w:color="auto" w:fill="FFFFFF" w:themeFill="background1"/>
            <w:tcMar>
              <w:top w:w="100" w:type="dxa"/>
              <w:left w:w="140" w:type="dxa"/>
              <w:bottom w:w="100" w:type="dxa"/>
              <w:right w:w="140" w:type="dxa"/>
            </w:tcMar>
            <w:vAlign w:val="center"/>
          </w:tcPr>
          <w:p w14:paraId="5D146943" w14:textId="080721B0" w:rsidR="00DA04CD" w:rsidRPr="00DA7A90" w:rsidRDefault="00984472" w:rsidP="004A480E">
            <w:pPr>
              <w:ind w:right="-35"/>
              <w:jc w:val="both"/>
              <w:rPr>
                <w:color w:val="000000" w:themeColor="text1"/>
                <w:sz w:val="20"/>
                <w:szCs w:val="20"/>
              </w:rPr>
            </w:pPr>
            <w:r w:rsidRPr="00DA7A90">
              <w:rPr>
                <w:color w:val="000000" w:themeColor="text1"/>
                <w:sz w:val="20"/>
                <w:szCs w:val="20"/>
              </w:rPr>
              <w:t>311</w:t>
            </w:r>
          </w:p>
        </w:tc>
        <w:tc>
          <w:tcPr>
            <w:tcW w:w="5216" w:type="dxa"/>
            <w:shd w:val="clear" w:color="auto" w:fill="FFFFFF" w:themeFill="background1"/>
            <w:vAlign w:val="center"/>
          </w:tcPr>
          <w:p w14:paraId="0C354BB8" w14:textId="6818001A" w:rsidR="000C3486" w:rsidRPr="00DA7A90" w:rsidRDefault="0036272D" w:rsidP="004A480E">
            <w:pPr>
              <w:ind w:left="132"/>
              <w:jc w:val="both"/>
              <w:rPr>
                <w:color w:val="000000" w:themeColor="text1"/>
                <w:sz w:val="20"/>
                <w:szCs w:val="20"/>
              </w:rPr>
            </w:pPr>
            <w:r w:rsidRPr="00DA7A90">
              <w:rPr>
                <w:color w:val="000000" w:themeColor="text1"/>
                <w:sz w:val="20"/>
                <w:szCs w:val="20"/>
                <w:lang w:val="en-US"/>
              </w:rPr>
              <w:t>50</w:t>
            </w:r>
            <w:r w:rsidR="002A48D5" w:rsidRPr="00DA7A90">
              <w:rPr>
                <w:color w:val="000000" w:themeColor="text1"/>
                <w:sz w:val="20"/>
                <w:szCs w:val="20"/>
                <w:lang w:val="en-US"/>
              </w:rPr>
              <w:t xml:space="preserve"> </w:t>
            </w:r>
            <w:r w:rsidR="001402AD" w:rsidRPr="00DA7A90">
              <w:rPr>
                <w:color w:val="000000" w:themeColor="text1"/>
                <w:sz w:val="20"/>
                <w:szCs w:val="20"/>
              </w:rPr>
              <w:t>[11]</w:t>
            </w:r>
            <w:r w:rsidR="0021778A" w:rsidRPr="00DA7A90">
              <w:rPr>
                <w:color w:val="000000" w:themeColor="text1"/>
                <w:sz w:val="20"/>
                <w:szCs w:val="20"/>
              </w:rPr>
              <w:t xml:space="preserve"> </w:t>
            </w:r>
          </w:p>
          <w:p w14:paraId="73170F3F" w14:textId="517561F6" w:rsidR="00DA04CD" w:rsidRPr="00DA7A90" w:rsidRDefault="00DA04CD" w:rsidP="004A480E">
            <w:pPr>
              <w:ind w:left="132"/>
              <w:jc w:val="both"/>
              <w:rPr>
                <w:color w:val="000000" w:themeColor="text1"/>
                <w:sz w:val="20"/>
                <w:szCs w:val="20"/>
              </w:rPr>
            </w:pPr>
          </w:p>
        </w:tc>
      </w:tr>
      <w:tr w:rsidR="00DA04CD" w:rsidRPr="00DA7A90" w14:paraId="640519DB"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58DE99CB" w14:textId="2D39A5DD" w:rsidR="00DA04CD" w:rsidRPr="00DA7A90" w:rsidRDefault="00DA04CD" w:rsidP="004A480E">
            <w:pPr>
              <w:jc w:val="both"/>
              <w:rPr>
                <w:color w:val="000000" w:themeColor="text1"/>
                <w:sz w:val="20"/>
                <w:szCs w:val="20"/>
              </w:rPr>
            </w:pPr>
            <w:r w:rsidRPr="00DA7A90">
              <w:rPr>
                <w:color w:val="000000" w:themeColor="text1"/>
                <w:sz w:val="20"/>
                <w:szCs w:val="20"/>
              </w:rPr>
              <w:t>Magnesium</w:t>
            </w:r>
          </w:p>
        </w:tc>
        <w:tc>
          <w:tcPr>
            <w:tcW w:w="1984" w:type="dxa"/>
            <w:shd w:val="clear" w:color="auto" w:fill="FFFFFF" w:themeFill="background1"/>
            <w:tcMar>
              <w:top w:w="100" w:type="dxa"/>
              <w:left w:w="140" w:type="dxa"/>
              <w:bottom w:w="100" w:type="dxa"/>
              <w:right w:w="140" w:type="dxa"/>
            </w:tcMar>
            <w:vAlign w:val="center"/>
          </w:tcPr>
          <w:p w14:paraId="6EBEDE07" w14:textId="4014267F" w:rsidR="00DA04CD" w:rsidRPr="00DA7A90" w:rsidRDefault="00984472" w:rsidP="004A480E">
            <w:pPr>
              <w:ind w:right="-35"/>
              <w:jc w:val="both"/>
              <w:rPr>
                <w:color w:val="000000" w:themeColor="text1"/>
                <w:sz w:val="20"/>
                <w:szCs w:val="20"/>
              </w:rPr>
            </w:pPr>
            <w:r w:rsidRPr="00DA7A90">
              <w:rPr>
                <w:color w:val="000000" w:themeColor="text1"/>
                <w:sz w:val="20"/>
                <w:szCs w:val="20"/>
              </w:rPr>
              <w:t>59.3</w:t>
            </w:r>
          </w:p>
        </w:tc>
        <w:tc>
          <w:tcPr>
            <w:tcW w:w="5216" w:type="dxa"/>
            <w:shd w:val="clear" w:color="auto" w:fill="FFFFFF" w:themeFill="background1"/>
            <w:vAlign w:val="center"/>
          </w:tcPr>
          <w:p w14:paraId="2B58B837" w14:textId="57EB8079" w:rsidR="00DA04CD" w:rsidRPr="00DA7A90" w:rsidRDefault="00083777" w:rsidP="004A480E">
            <w:pPr>
              <w:ind w:left="132"/>
              <w:jc w:val="both"/>
              <w:rPr>
                <w:color w:val="000000" w:themeColor="text1"/>
                <w:sz w:val="20"/>
                <w:szCs w:val="20"/>
              </w:rPr>
            </w:pPr>
            <w:r w:rsidRPr="00DA7A90">
              <w:rPr>
                <w:color w:val="000000" w:themeColor="text1"/>
                <w:sz w:val="20"/>
                <w:szCs w:val="20"/>
                <w:lang w:val="en-US"/>
              </w:rPr>
              <w:t>6</w:t>
            </w:r>
            <w:r w:rsidR="0036272D" w:rsidRPr="00DA7A90">
              <w:rPr>
                <w:color w:val="000000" w:themeColor="text1"/>
                <w:sz w:val="20"/>
                <w:szCs w:val="20"/>
                <w:lang w:val="en-US"/>
              </w:rPr>
              <w:t xml:space="preserve"> </w:t>
            </w:r>
            <w:r w:rsidR="001402AD" w:rsidRPr="00DA7A90">
              <w:rPr>
                <w:color w:val="000000" w:themeColor="text1"/>
                <w:sz w:val="20"/>
                <w:szCs w:val="20"/>
              </w:rPr>
              <w:t>[12]</w:t>
            </w:r>
            <w:r w:rsidR="0021778A" w:rsidRPr="00DA7A90">
              <w:rPr>
                <w:color w:val="000000" w:themeColor="text1"/>
                <w:sz w:val="20"/>
                <w:szCs w:val="20"/>
              </w:rPr>
              <w:t xml:space="preserve"> </w:t>
            </w:r>
          </w:p>
        </w:tc>
      </w:tr>
      <w:tr w:rsidR="00DA04CD" w:rsidRPr="00DA7A90" w14:paraId="3348CC2E"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00B99D9B" w14:textId="7641497B" w:rsidR="00DA04CD" w:rsidRPr="00DA7A90" w:rsidRDefault="00DA04CD" w:rsidP="004A480E">
            <w:pPr>
              <w:jc w:val="both"/>
              <w:rPr>
                <w:color w:val="000000" w:themeColor="text1"/>
                <w:sz w:val="20"/>
                <w:szCs w:val="20"/>
              </w:rPr>
            </w:pPr>
            <w:r w:rsidRPr="00DA7A90">
              <w:rPr>
                <w:color w:val="000000" w:themeColor="text1"/>
                <w:sz w:val="20"/>
                <w:szCs w:val="20"/>
              </w:rPr>
              <w:t>Calcium</w:t>
            </w:r>
          </w:p>
        </w:tc>
        <w:tc>
          <w:tcPr>
            <w:tcW w:w="1984" w:type="dxa"/>
            <w:shd w:val="clear" w:color="auto" w:fill="FFFFFF" w:themeFill="background1"/>
            <w:tcMar>
              <w:top w:w="100" w:type="dxa"/>
              <w:left w:w="140" w:type="dxa"/>
              <w:bottom w:w="100" w:type="dxa"/>
              <w:right w:w="140" w:type="dxa"/>
            </w:tcMar>
            <w:vAlign w:val="center"/>
          </w:tcPr>
          <w:p w14:paraId="6BDFF0B6" w14:textId="3FE7C850" w:rsidR="00DA04CD" w:rsidRPr="00DA7A90" w:rsidRDefault="00DE53AA" w:rsidP="004A480E">
            <w:pPr>
              <w:ind w:right="-35"/>
              <w:jc w:val="both"/>
              <w:rPr>
                <w:color w:val="000000" w:themeColor="text1"/>
                <w:sz w:val="20"/>
                <w:szCs w:val="20"/>
              </w:rPr>
            </w:pPr>
            <w:r w:rsidRPr="00DA7A90">
              <w:rPr>
                <w:color w:val="000000" w:themeColor="text1"/>
                <w:sz w:val="20"/>
                <w:szCs w:val="20"/>
              </w:rPr>
              <w:t>1739.8</w:t>
            </w:r>
            <w:r w:rsidR="00DA04CD" w:rsidRPr="00DA7A90">
              <w:rPr>
                <w:color w:val="000000" w:themeColor="text1"/>
                <w:sz w:val="20"/>
                <w:szCs w:val="20"/>
              </w:rPr>
              <w:t>3</w:t>
            </w:r>
          </w:p>
        </w:tc>
        <w:tc>
          <w:tcPr>
            <w:tcW w:w="5216" w:type="dxa"/>
            <w:shd w:val="clear" w:color="auto" w:fill="FFFFFF" w:themeFill="background1"/>
            <w:vAlign w:val="center"/>
          </w:tcPr>
          <w:p w14:paraId="08E9F44C" w14:textId="22E645DC" w:rsidR="00DA04CD" w:rsidRPr="00DA7A90" w:rsidRDefault="00E045F7" w:rsidP="004A480E">
            <w:pPr>
              <w:ind w:left="132"/>
              <w:jc w:val="both"/>
              <w:rPr>
                <w:color w:val="000000" w:themeColor="text1"/>
                <w:sz w:val="20"/>
                <w:szCs w:val="20"/>
              </w:rPr>
            </w:pPr>
            <w:r w:rsidRPr="00DA7A90">
              <w:rPr>
                <w:color w:val="000000" w:themeColor="text1"/>
                <w:sz w:val="20"/>
                <w:szCs w:val="20"/>
                <w:lang w:val="en-US"/>
              </w:rPr>
              <w:t xml:space="preserve">17.15 </w:t>
            </w:r>
            <w:r w:rsidR="001402AD" w:rsidRPr="00DA7A90">
              <w:rPr>
                <w:color w:val="000000" w:themeColor="text1"/>
                <w:sz w:val="20"/>
                <w:szCs w:val="20"/>
              </w:rPr>
              <w:t>[12]</w:t>
            </w:r>
            <w:r w:rsidR="0021778A" w:rsidRPr="00DA7A90">
              <w:rPr>
                <w:color w:val="000000" w:themeColor="text1"/>
                <w:sz w:val="20"/>
                <w:szCs w:val="20"/>
              </w:rPr>
              <w:t xml:space="preserve"> </w:t>
            </w:r>
          </w:p>
        </w:tc>
      </w:tr>
      <w:tr w:rsidR="00DA04CD" w:rsidRPr="00DA7A90" w14:paraId="11615BB9"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0ACDCCB1" w14:textId="206BDBF0" w:rsidR="00DA04CD" w:rsidRPr="00DA7A90" w:rsidRDefault="00DA04CD" w:rsidP="004A480E">
            <w:pPr>
              <w:jc w:val="both"/>
              <w:rPr>
                <w:color w:val="000000" w:themeColor="text1"/>
                <w:sz w:val="20"/>
                <w:szCs w:val="20"/>
              </w:rPr>
            </w:pPr>
            <w:r w:rsidRPr="00DA7A90">
              <w:rPr>
                <w:color w:val="000000" w:themeColor="text1"/>
                <w:sz w:val="20"/>
                <w:szCs w:val="20"/>
              </w:rPr>
              <w:t>Chrome</w:t>
            </w:r>
          </w:p>
        </w:tc>
        <w:tc>
          <w:tcPr>
            <w:tcW w:w="1984" w:type="dxa"/>
            <w:shd w:val="clear" w:color="auto" w:fill="FFFFFF" w:themeFill="background1"/>
            <w:tcMar>
              <w:top w:w="100" w:type="dxa"/>
              <w:left w:w="140" w:type="dxa"/>
              <w:bottom w:w="100" w:type="dxa"/>
              <w:right w:w="140" w:type="dxa"/>
            </w:tcMar>
            <w:vAlign w:val="center"/>
          </w:tcPr>
          <w:p w14:paraId="14325CD3" w14:textId="7464FB2C" w:rsidR="00DA04CD" w:rsidRPr="00DA7A90" w:rsidRDefault="00DA04CD" w:rsidP="004A480E">
            <w:pPr>
              <w:ind w:right="-35"/>
              <w:jc w:val="both"/>
              <w:rPr>
                <w:color w:val="000000" w:themeColor="text1"/>
                <w:sz w:val="20"/>
                <w:szCs w:val="20"/>
              </w:rPr>
            </w:pPr>
            <w:r w:rsidRPr="00DA7A90">
              <w:rPr>
                <w:color w:val="000000" w:themeColor="text1"/>
                <w:sz w:val="20"/>
                <w:szCs w:val="20"/>
              </w:rPr>
              <w:t>ND</w:t>
            </w:r>
          </w:p>
        </w:tc>
        <w:tc>
          <w:tcPr>
            <w:tcW w:w="5216" w:type="dxa"/>
            <w:shd w:val="clear" w:color="auto" w:fill="FFFFFF" w:themeFill="background1"/>
            <w:vAlign w:val="center"/>
          </w:tcPr>
          <w:p w14:paraId="7BF1C7BA" w14:textId="0B309610" w:rsidR="00DA04CD" w:rsidRPr="00DA7A90" w:rsidRDefault="008D2CDC" w:rsidP="004A480E">
            <w:pPr>
              <w:ind w:left="132"/>
              <w:jc w:val="both"/>
              <w:rPr>
                <w:color w:val="000000" w:themeColor="text1"/>
                <w:sz w:val="20"/>
                <w:szCs w:val="20"/>
                <w:lang w:val="en-US"/>
              </w:rPr>
            </w:pPr>
            <w:r w:rsidRPr="00DA7A90">
              <w:rPr>
                <w:color w:val="000000" w:themeColor="text1"/>
                <w:sz w:val="20"/>
                <w:szCs w:val="20"/>
                <w:lang w:val="en-US"/>
              </w:rPr>
              <w:t xml:space="preserve">0.0033 </w:t>
            </w:r>
            <w:r w:rsidR="001402AD" w:rsidRPr="00DA7A90">
              <w:rPr>
                <w:color w:val="000000" w:themeColor="text1"/>
                <w:sz w:val="20"/>
                <w:szCs w:val="20"/>
              </w:rPr>
              <w:t>[13]</w:t>
            </w:r>
            <w:r w:rsidR="0021778A" w:rsidRPr="00DA7A90">
              <w:rPr>
                <w:color w:val="000000" w:themeColor="text1"/>
                <w:sz w:val="20"/>
                <w:szCs w:val="20"/>
                <w:lang w:val="en-US"/>
              </w:rPr>
              <w:t xml:space="preserve"> </w:t>
            </w:r>
          </w:p>
        </w:tc>
      </w:tr>
      <w:tr w:rsidR="00DA04CD" w:rsidRPr="00DA7A90" w14:paraId="708FE172"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7AA8EEB9" w14:textId="3416EAC3" w:rsidR="00DA04CD" w:rsidRPr="00DA7A90" w:rsidRDefault="00DA04CD" w:rsidP="004A480E">
            <w:pPr>
              <w:jc w:val="both"/>
              <w:rPr>
                <w:color w:val="000000" w:themeColor="text1"/>
                <w:sz w:val="20"/>
                <w:szCs w:val="20"/>
              </w:rPr>
            </w:pPr>
            <w:r w:rsidRPr="00DA7A90">
              <w:rPr>
                <w:color w:val="000000" w:themeColor="text1"/>
                <w:sz w:val="20"/>
                <w:szCs w:val="20"/>
              </w:rPr>
              <w:t>Iron</w:t>
            </w:r>
          </w:p>
        </w:tc>
        <w:tc>
          <w:tcPr>
            <w:tcW w:w="1984" w:type="dxa"/>
            <w:shd w:val="clear" w:color="auto" w:fill="FFFFFF" w:themeFill="background1"/>
            <w:tcMar>
              <w:top w:w="100" w:type="dxa"/>
              <w:left w:w="140" w:type="dxa"/>
              <w:bottom w:w="100" w:type="dxa"/>
              <w:right w:w="140" w:type="dxa"/>
            </w:tcMar>
            <w:vAlign w:val="center"/>
          </w:tcPr>
          <w:p w14:paraId="3DDB39FA" w14:textId="3E6E64A2" w:rsidR="00DA04CD" w:rsidRPr="00DA7A90" w:rsidRDefault="00DE53AA" w:rsidP="004A480E">
            <w:pPr>
              <w:ind w:right="-35"/>
              <w:jc w:val="both"/>
              <w:rPr>
                <w:color w:val="000000" w:themeColor="text1"/>
                <w:sz w:val="20"/>
                <w:szCs w:val="20"/>
              </w:rPr>
            </w:pPr>
            <w:r w:rsidRPr="00DA7A90">
              <w:rPr>
                <w:color w:val="000000" w:themeColor="text1"/>
                <w:sz w:val="20"/>
                <w:szCs w:val="20"/>
              </w:rPr>
              <w:t>2.92</w:t>
            </w:r>
          </w:p>
        </w:tc>
        <w:tc>
          <w:tcPr>
            <w:tcW w:w="5216" w:type="dxa"/>
            <w:shd w:val="clear" w:color="auto" w:fill="FFFFFF" w:themeFill="background1"/>
            <w:vAlign w:val="center"/>
          </w:tcPr>
          <w:p w14:paraId="1285B2BC" w14:textId="2E861E65" w:rsidR="00DA04CD" w:rsidRPr="00DA7A90" w:rsidRDefault="008D2CDC" w:rsidP="004A480E">
            <w:pPr>
              <w:ind w:left="132"/>
              <w:jc w:val="both"/>
              <w:rPr>
                <w:color w:val="000000" w:themeColor="text1"/>
                <w:sz w:val="20"/>
                <w:szCs w:val="20"/>
                <w:lang w:val="en-US"/>
              </w:rPr>
            </w:pPr>
            <w:r w:rsidRPr="00DA7A90">
              <w:rPr>
                <w:color w:val="000000" w:themeColor="text1"/>
                <w:sz w:val="20"/>
                <w:szCs w:val="20"/>
                <w:lang w:val="en-US"/>
              </w:rPr>
              <w:t xml:space="preserve">0.800 </w:t>
            </w:r>
            <w:r w:rsidR="001402AD" w:rsidRPr="00DA7A90">
              <w:rPr>
                <w:color w:val="000000" w:themeColor="text1"/>
                <w:sz w:val="20"/>
                <w:szCs w:val="20"/>
              </w:rPr>
              <w:t>[14]</w:t>
            </w:r>
            <w:r w:rsidR="0021778A" w:rsidRPr="00DA7A90">
              <w:rPr>
                <w:color w:val="000000" w:themeColor="text1"/>
                <w:sz w:val="20"/>
                <w:szCs w:val="20"/>
                <w:lang w:val="en-US"/>
              </w:rPr>
              <w:t xml:space="preserve"> </w:t>
            </w:r>
          </w:p>
        </w:tc>
      </w:tr>
      <w:tr w:rsidR="00DA04CD" w:rsidRPr="00DA7A90" w14:paraId="20E970C9"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5F51BE43" w14:textId="1B743012" w:rsidR="00DA04CD" w:rsidRPr="00DA7A90" w:rsidRDefault="00DA04CD" w:rsidP="004A480E">
            <w:pPr>
              <w:jc w:val="both"/>
              <w:rPr>
                <w:color w:val="000000" w:themeColor="text1"/>
                <w:sz w:val="20"/>
                <w:szCs w:val="20"/>
              </w:rPr>
            </w:pPr>
            <w:r w:rsidRPr="00DA7A90">
              <w:rPr>
                <w:color w:val="000000" w:themeColor="text1"/>
                <w:sz w:val="20"/>
                <w:szCs w:val="20"/>
              </w:rPr>
              <w:t>Nickel</w:t>
            </w:r>
          </w:p>
        </w:tc>
        <w:tc>
          <w:tcPr>
            <w:tcW w:w="1984" w:type="dxa"/>
            <w:shd w:val="clear" w:color="auto" w:fill="FFFFFF" w:themeFill="background1"/>
            <w:tcMar>
              <w:top w:w="100" w:type="dxa"/>
              <w:left w:w="140" w:type="dxa"/>
              <w:bottom w:w="100" w:type="dxa"/>
              <w:right w:w="140" w:type="dxa"/>
            </w:tcMar>
            <w:vAlign w:val="center"/>
          </w:tcPr>
          <w:p w14:paraId="5DFCFCC2" w14:textId="0F48FDD1" w:rsidR="00DA04CD" w:rsidRPr="00DA7A90" w:rsidRDefault="00DE53AA" w:rsidP="004A480E">
            <w:pPr>
              <w:ind w:right="-35"/>
              <w:jc w:val="both"/>
              <w:rPr>
                <w:color w:val="000000" w:themeColor="text1"/>
                <w:sz w:val="20"/>
                <w:szCs w:val="20"/>
              </w:rPr>
            </w:pPr>
            <w:r w:rsidRPr="00DA7A90">
              <w:rPr>
                <w:color w:val="000000" w:themeColor="text1"/>
                <w:sz w:val="20"/>
                <w:szCs w:val="20"/>
              </w:rPr>
              <w:t>0.50</w:t>
            </w:r>
          </w:p>
        </w:tc>
        <w:tc>
          <w:tcPr>
            <w:tcW w:w="5216" w:type="dxa"/>
            <w:shd w:val="clear" w:color="auto" w:fill="FFFFFF" w:themeFill="background1"/>
            <w:vAlign w:val="center"/>
          </w:tcPr>
          <w:p w14:paraId="4D79984F" w14:textId="34113CB8" w:rsidR="00DA04CD" w:rsidRPr="00DA7A90" w:rsidRDefault="008D2CDC" w:rsidP="004A480E">
            <w:pPr>
              <w:ind w:left="132"/>
              <w:jc w:val="both"/>
              <w:rPr>
                <w:color w:val="000000" w:themeColor="text1"/>
                <w:sz w:val="20"/>
                <w:szCs w:val="20"/>
                <w:lang w:val="en-US"/>
              </w:rPr>
            </w:pPr>
            <w:r w:rsidRPr="00DA7A90">
              <w:rPr>
                <w:color w:val="000000" w:themeColor="text1"/>
                <w:sz w:val="20"/>
                <w:szCs w:val="20"/>
                <w:lang w:val="en-US"/>
              </w:rPr>
              <w:t xml:space="preserve">0.005 </w:t>
            </w:r>
            <w:r w:rsidR="001402AD" w:rsidRPr="00DA7A90">
              <w:rPr>
                <w:color w:val="000000" w:themeColor="text1"/>
                <w:sz w:val="20"/>
                <w:szCs w:val="20"/>
              </w:rPr>
              <w:t>[15]</w:t>
            </w:r>
            <w:r w:rsidR="0021778A" w:rsidRPr="00DA7A90">
              <w:rPr>
                <w:color w:val="000000" w:themeColor="text1"/>
                <w:sz w:val="20"/>
                <w:szCs w:val="20"/>
                <w:lang w:val="en-US"/>
              </w:rPr>
              <w:t xml:space="preserve"> </w:t>
            </w:r>
          </w:p>
        </w:tc>
      </w:tr>
      <w:tr w:rsidR="00DA04CD" w:rsidRPr="00DA7A90" w14:paraId="05AD7938"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3698A3C4" w14:textId="618C856E" w:rsidR="00DA04CD" w:rsidRPr="00DA7A90" w:rsidRDefault="00DA04CD" w:rsidP="004A480E">
            <w:pPr>
              <w:jc w:val="both"/>
              <w:rPr>
                <w:color w:val="000000" w:themeColor="text1"/>
                <w:sz w:val="20"/>
                <w:szCs w:val="20"/>
              </w:rPr>
            </w:pPr>
            <w:r w:rsidRPr="00DA7A90">
              <w:rPr>
                <w:color w:val="000000" w:themeColor="text1"/>
                <w:sz w:val="20"/>
                <w:szCs w:val="20"/>
              </w:rPr>
              <w:t>Copper</w:t>
            </w:r>
          </w:p>
        </w:tc>
        <w:tc>
          <w:tcPr>
            <w:tcW w:w="1984" w:type="dxa"/>
            <w:shd w:val="clear" w:color="auto" w:fill="FFFFFF" w:themeFill="background1"/>
            <w:tcMar>
              <w:top w:w="100" w:type="dxa"/>
              <w:left w:w="140" w:type="dxa"/>
              <w:bottom w:w="100" w:type="dxa"/>
              <w:right w:w="140" w:type="dxa"/>
            </w:tcMar>
            <w:vAlign w:val="center"/>
          </w:tcPr>
          <w:p w14:paraId="18CF5A64" w14:textId="649D3CA5" w:rsidR="00DA04CD" w:rsidRPr="00DA7A90" w:rsidRDefault="00790B70" w:rsidP="004A480E">
            <w:pPr>
              <w:ind w:right="-35"/>
              <w:jc w:val="both"/>
              <w:rPr>
                <w:color w:val="000000" w:themeColor="text1"/>
                <w:sz w:val="20"/>
                <w:szCs w:val="20"/>
              </w:rPr>
            </w:pPr>
            <w:r w:rsidRPr="00DA7A90">
              <w:rPr>
                <w:color w:val="000000" w:themeColor="text1"/>
                <w:sz w:val="20"/>
                <w:szCs w:val="20"/>
              </w:rPr>
              <w:t>0.47</w:t>
            </w:r>
          </w:p>
        </w:tc>
        <w:tc>
          <w:tcPr>
            <w:tcW w:w="5216" w:type="dxa"/>
            <w:shd w:val="clear" w:color="auto" w:fill="FFFFFF" w:themeFill="background1"/>
            <w:vAlign w:val="center"/>
          </w:tcPr>
          <w:p w14:paraId="65CB6D0B" w14:textId="5E723B87" w:rsidR="00DA04CD" w:rsidRPr="00DA7A90" w:rsidRDefault="008B436B" w:rsidP="004A480E">
            <w:pPr>
              <w:ind w:left="132"/>
              <w:jc w:val="both"/>
              <w:rPr>
                <w:color w:val="000000" w:themeColor="text1"/>
                <w:sz w:val="20"/>
                <w:szCs w:val="20"/>
              </w:rPr>
            </w:pPr>
            <w:r w:rsidRPr="00DA7A90">
              <w:rPr>
                <w:color w:val="000000" w:themeColor="text1"/>
                <w:sz w:val="20"/>
                <w:szCs w:val="20"/>
                <w:lang w:val="fr-SN"/>
              </w:rPr>
              <w:t xml:space="preserve">0.5 </w:t>
            </w:r>
            <w:r w:rsidR="001402AD" w:rsidRPr="00DA7A90">
              <w:rPr>
                <w:color w:val="000000" w:themeColor="text1"/>
                <w:sz w:val="20"/>
                <w:szCs w:val="20"/>
              </w:rPr>
              <w:t>[16]</w:t>
            </w:r>
            <w:r w:rsidR="0021778A" w:rsidRPr="00DA7A90">
              <w:rPr>
                <w:color w:val="000000" w:themeColor="text1"/>
                <w:sz w:val="20"/>
                <w:szCs w:val="20"/>
              </w:rPr>
              <w:t xml:space="preserve"> </w:t>
            </w:r>
          </w:p>
        </w:tc>
      </w:tr>
      <w:tr w:rsidR="00DA04CD" w:rsidRPr="00DA7A90" w14:paraId="454381A9"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6B101309" w14:textId="66E7B3D6" w:rsidR="00DA04CD" w:rsidRPr="00DA7A90" w:rsidRDefault="00DA04CD" w:rsidP="004A480E">
            <w:pPr>
              <w:jc w:val="both"/>
              <w:rPr>
                <w:color w:val="000000" w:themeColor="text1"/>
                <w:sz w:val="20"/>
                <w:szCs w:val="20"/>
              </w:rPr>
            </w:pPr>
            <w:r w:rsidRPr="00DA7A90">
              <w:rPr>
                <w:color w:val="000000" w:themeColor="text1"/>
                <w:sz w:val="20"/>
                <w:szCs w:val="20"/>
              </w:rPr>
              <w:t>Zinc</w:t>
            </w:r>
          </w:p>
        </w:tc>
        <w:tc>
          <w:tcPr>
            <w:tcW w:w="1984" w:type="dxa"/>
            <w:shd w:val="clear" w:color="auto" w:fill="FFFFFF" w:themeFill="background1"/>
            <w:tcMar>
              <w:top w:w="100" w:type="dxa"/>
              <w:left w:w="140" w:type="dxa"/>
              <w:bottom w:w="100" w:type="dxa"/>
              <w:right w:w="140" w:type="dxa"/>
            </w:tcMar>
            <w:vAlign w:val="center"/>
          </w:tcPr>
          <w:p w14:paraId="62B73B3A" w14:textId="6B54DA01" w:rsidR="00DA04CD" w:rsidRPr="00DA7A90" w:rsidRDefault="00790B70" w:rsidP="004A480E">
            <w:pPr>
              <w:ind w:right="-35"/>
              <w:jc w:val="both"/>
              <w:rPr>
                <w:color w:val="000000" w:themeColor="text1"/>
                <w:sz w:val="20"/>
                <w:szCs w:val="20"/>
              </w:rPr>
            </w:pPr>
            <w:r w:rsidRPr="00DA7A90">
              <w:rPr>
                <w:color w:val="000000" w:themeColor="text1"/>
                <w:sz w:val="20"/>
                <w:szCs w:val="20"/>
              </w:rPr>
              <w:t>7.25</w:t>
            </w:r>
          </w:p>
        </w:tc>
        <w:tc>
          <w:tcPr>
            <w:tcW w:w="5216" w:type="dxa"/>
            <w:shd w:val="clear" w:color="auto" w:fill="FFFFFF" w:themeFill="background1"/>
            <w:vAlign w:val="center"/>
          </w:tcPr>
          <w:p w14:paraId="2A67FCC2" w14:textId="5422D99E" w:rsidR="00DA04CD" w:rsidRPr="00DA7A90" w:rsidRDefault="000F4B5C" w:rsidP="004A480E">
            <w:pPr>
              <w:ind w:left="132"/>
              <w:jc w:val="both"/>
              <w:rPr>
                <w:color w:val="000000" w:themeColor="text1"/>
                <w:sz w:val="20"/>
                <w:szCs w:val="20"/>
                <w:lang w:val="en-US"/>
              </w:rPr>
            </w:pPr>
            <w:r w:rsidRPr="00DA7A90">
              <w:rPr>
                <w:color w:val="000000" w:themeColor="text1"/>
                <w:sz w:val="20"/>
                <w:szCs w:val="20"/>
                <w:lang w:val="en-US"/>
              </w:rPr>
              <w:t xml:space="preserve">1 </w:t>
            </w:r>
            <w:r w:rsidR="001402AD" w:rsidRPr="00DA7A90">
              <w:rPr>
                <w:color w:val="000000" w:themeColor="text1"/>
                <w:sz w:val="20"/>
                <w:szCs w:val="20"/>
              </w:rPr>
              <w:t>[17]</w:t>
            </w:r>
            <w:r w:rsidR="0021778A" w:rsidRPr="00DA7A90">
              <w:rPr>
                <w:color w:val="000000" w:themeColor="text1"/>
                <w:sz w:val="20"/>
                <w:szCs w:val="20"/>
                <w:lang w:val="en-US"/>
              </w:rPr>
              <w:t xml:space="preserve"> </w:t>
            </w:r>
          </w:p>
        </w:tc>
      </w:tr>
      <w:tr w:rsidR="00DA04CD" w:rsidRPr="00DA7A90" w14:paraId="1399BE70"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6038571D" w14:textId="0FAAD5CF" w:rsidR="00DA04CD" w:rsidRPr="00DA7A90" w:rsidRDefault="00DA04CD" w:rsidP="004A480E">
            <w:pPr>
              <w:jc w:val="both"/>
              <w:rPr>
                <w:color w:val="000000" w:themeColor="text1"/>
                <w:sz w:val="20"/>
                <w:szCs w:val="20"/>
              </w:rPr>
            </w:pPr>
            <w:r w:rsidRPr="00DA7A90">
              <w:rPr>
                <w:color w:val="000000" w:themeColor="text1"/>
                <w:sz w:val="20"/>
                <w:szCs w:val="20"/>
              </w:rPr>
              <w:t>Cadmium</w:t>
            </w:r>
          </w:p>
        </w:tc>
        <w:tc>
          <w:tcPr>
            <w:tcW w:w="1984" w:type="dxa"/>
            <w:shd w:val="clear" w:color="auto" w:fill="FFFFFF" w:themeFill="background1"/>
            <w:tcMar>
              <w:top w:w="100" w:type="dxa"/>
              <w:left w:w="140" w:type="dxa"/>
              <w:bottom w:w="100" w:type="dxa"/>
              <w:right w:w="140" w:type="dxa"/>
            </w:tcMar>
            <w:vAlign w:val="center"/>
          </w:tcPr>
          <w:p w14:paraId="6C72D730" w14:textId="2D10E938" w:rsidR="00DA04CD" w:rsidRPr="00DA7A90" w:rsidRDefault="00DA04CD" w:rsidP="004A480E">
            <w:pPr>
              <w:ind w:right="-35"/>
              <w:jc w:val="both"/>
              <w:rPr>
                <w:color w:val="000000" w:themeColor="text1"/>
                <w:sz w:val="20"/>
                <w:szCs w:val="20"/>
              </w:rPr>
            </w:pPr>
            <w:r w:rsidRPr="00DA7A90">
              <w:rPr>
                <w:color w:val="000000" w:themeColor="text1"/>
                <w:sz w:val="20"/>
                <w:szCs w:val="20"/>
              </w:rPr>
              <w:t>0.</w:t>
            </w:r>
            <w:r w:rsidR="00790B70" w:rsidRPr="00DA7A90">
              <w:rPr>
                <w:color w:val="000000" w:themeColor="text1"/>
                <w:sz w:val="20"/>
                <w:szCs w:val="20"/>
              </w:rPr>
              <w:t>029</w:t>
            </w:r>
          </w:p>
        </w:tc>
        <w:tc>
          <w:tcPr>
            <w:tcW w:w="5216" w:type="dxa"/>
            <w:shd w:val="clear" w:color="auto" w:fill="FFFFFF" w:themeFill="background1"/>
            <w:vAlign w:val="center"/>
          </w:tcPr>
          <w:p w14:paraId="28D3976D" w14:textId="40FF4420" w:rsidR="00DA04CD" w:rsidRPr="00DA7A90" w:rsidRDefault="00DA04CD" w:rsidP="004A480E">
            <w:pPr>
              <w:ind w:left="132"/>
              <w:jc w:val="both"/>
              <w:rPr>
                <w:color w:val="000000" w:themeColor="text1"/>
                <w:sz w:val="20"/>
                <w:szCs w:val="20"/>
                <w:lang w:val="en-US"/>
              </w:rPr>
            </w:pPr>
            <w:r w:rsidRPr="00DA7A90">
              <w:rPr>
                <w:color w:val="000000" w:themeColor="text1"/>
                <w:sz w:val="20"/>
                <w:szCs w:val="20"/>
                <w:lang w:val="en-US"/>
              </w:rPr>
              <w:t xml:space="preserve">0.00083 </w:t>
            </w:r>
            <w:r w:rsidR="001402AD" w:rsidRPr="00DA7A90">
              <w:rPr>
                <w:color w:val="000000" w:themeColor="text1"/>
                <w:sz w:val="20"/>
                <w:szCs w:val="20"/>
              </w:rPr>
              <w:t>[18]</w:t>
            </w:r>
            <w:r w:rsidR="0021778A" w:rsidRPr="00DA7A90">
              <w:rPr>
                <w:color w:val="000000" w:themeColor="text1"/>
                <w:sz w:val="20"/>
                <w:szCs w:val="20"/>
                <w:lang w:val="en-US"/>
              </w:rPr>
              <w:t xml:space="preserve"> </w:t>
            </w:r>
          </w:p>
        </w:tc>
      </w:tr>
      <w:tr w:rsidR="00DA04CD" w:rsidRPr="00DA7A90" w14:paraId="407817ED" w14:textId="77777777" w:rsidTr="008303ED">
        <w:trPr>
          <w:trHeight w:hRule="exact" w:val="340"/>
        </w:trPr>
        <w:tc>
          <w:tcPr>
            <w:tcW w:w="1556" w:type="dxa"/>
            <w:tcBorders>
              <w:bottom w:val="single" w:sz="8" w:space="0" w:color="auto"/>
            </w:tcBorders>
            <w:shd w:val="clear" w:color="auto" w:fill="FFFFFF" w:themeFill="background1"/>
            <w:tcMar>
              <w:top w:w="100" w:type="dxa"/>
              <w:left w:w="140" w:type="dxa"/>
              <w:bottom w:w="100" w:type="dxa"/>
              <w:right w:w="140" w:type="dxa"/>
            </w:tcMar>
            <w:vAlign w:val="center"/>
          </w:tcPr>
          <w:p w14:paraId="0C2B8B16" w14:textId="51025944" w:rsidR="00DA04CD" w:rsidRPr="00DA7A90" w:rsidRDefault="00DA04CD" w:rsidP="004A480E">
            <w:pPr>
              <w:jc w:val="both"/>
              <w:rPr>
                <w:color w:val="000000" w:themeColor="text1"/>
                <w:sz w:val="20"/>
                <w:szCs w:val="20"/>
              </w:rPr>
            </w:pPr>
            <w:r w:rsidRPr="00DA7A90">
              <w:rPr>
                <w:color w:val="000000" w:themeColor="text1"/>
                <w:sz w:val="20"/>
                <w:szCs w:val="20"/>
              </w:rPr>
              <w:t>Lead</w:t>
            </w:r>
          </w:p>
        </w:tc>
        <w:tc>
          <w:tcPr>
            <w:tcW w:w="1984" w:type="dxa"/>
            <w:tcBorders>
              <w:bottom w:val="single" w:sz="8" w:space="0" w:color="auto"/>
            </w:tcBorders>
            <w:shd w:val="clear" w:color="auto" w:fill="FFFFFF" w:themeFill="background1"/>
            <w:tcMar>
              <w:top w:w="100" w:type="dxa"/>
              <w:left w:w="140" w:type="dxa"/>
              <w:bottom w:w="100" w:type="dxa"/>
              <w:right w:w="140" w:type="dxa"/>
            </w:tcMar>
            <w:vAlign w:val="center"/>
          </w:tcPr>
          <w:p w14:paraId="7D837E8A" w14:textId="5CE7B0C5" w:rsidR="00DA04CD" w:rsidRPr="00DA7A90" w:rsidRDefault="00DA04CD" w:rsidP="004A480E">
            <w:pPr>
              <w:ind w:right="-35"/>
              <w:jc w:val="both"/>
              <w:rPr>
                <w:color w:val="000000" w:themeColor="text1"/>
                <w:sz w:val="20"/>
                <w:szCs w:val="20"/>
              </w:rPr>
            </w:pPr>
            <w:r w:rsidRPr="00DA7A90">
              <w:rPr>
                <w:color w:val="000000" w:themeColor="text1"/>
                <w:sz w:val="20"/>
                <w:szCs w:val="20"/>
              </w:rPr>
              <w:t>0.00</w:t>
            </w:r>
          </w:p>
        </w:tc>
        <w:tc>
          <w:tcPr>
            <w:tcW w:w="5216" w:type="dxa"/>
            <w:tcBorders>
              <w:bottom w:val="single" w:sz="8" w:space="0" w:color="auto"/>
            </w:tcBorders>
            <w:shd w:val="clear" w:color="auto" w:fill="FFFFFF" w:themeFill="background1"/>
            <w:vAlign w:val="center"/>
          </w:tcPr>
          <w:p w14:paraId="54FBF89E" w14:textId="09879D0E" w:rsidR="00DA04CD" w:rsidRPr="00DA7A90" w:rsidRDefault="00162F85" w:rsidP="004A480E">
            <w:pPr>
              <w:ind w:left="132"/>
              <w:jc w:val="both"/>
              <w:rPr>
                <w:color w:val="000000" w:themeColor="text1"/>
                <w:sz w:val="20"/>
                <w:szCs w:val="20"/>
                <w:lang w:val="en-US"/>
              </w:rPr>
            </w:pPr>
            <w:r w:rsidRPr="00DA7A90">
              <w:rPr>
                <w:color w:val="000000" w:themeColor="text1"/>
                <w:sz w:val="20"/>
                <w:szCs w:val="20"/>
                <w:lang w:val="en-US"/>
              </w:rPr>
              <w:t>0.0036</w:t>
            </w:r>
            <w:r w:rsidR="001402AD" w:rsidRPr="00DA7A90">
              <w:rPr>
                <w:color w:val="000000" w:themeColor="text1"/>
                <w:sz w:val="20"/>
                <w:szCs w:val="20"/>
              </w:rPr>
              <w:t>[19]</w:t>
            </w:r>
            <w:r w:rsidR="0021778A" w:rsidRPr="00DA7A90">
              <w:rPr>
                <w:color w:val="000000" w:themeColor="text1"/>
                <w:sz w:val="20"/>
                <w:szCs w:val="20"/>
                <w:lang w:val="en-US"/>
              </w:rPr>
              <w:t xml:space="preserve"> </w:t>
            </w:r>
          </w:p>
        </w:tc>
      </w:tr>
    </w:tbl>
    <w:p w14:paraId="6F6927BA" w14:textId="18D6D366" w:rsidR="007B5C2E" w:rsidRPr="00DA7A90" w:rsidRDefault="009101A4" w:rsidP="0042192D">
      <w:pPr>
        <w:pStyle w:val="Heading4"/>
      </w:pPr>
      <w:r w:rsidRPr="00DA7A90">
        <w:t>Macro</w:t>
      </w:r>
      <w:r w:rsidR="007D3924" w:rsidRPr="00DA7A90">
        <w:t>-</w:t>
      </w:r>
      <w:r w:rsidRPr="00DA7A90">
        <w:t>elements and pharmacological profile</w:t>
      </w:r>
    </w:p>
    <w:p w14:paraId="38FFB878" w14:textId="1CADB5DE" w:rsidR="006C3365" w:rsidRPr="00DA7A90" w:rsidRDefault="006C3365" w:rsidP="004A480E">
      <w:pPr>
        <w:jc w:val="both"/>
        <w:rPr>
          <w:color w:val="000000" w:themeColor="text1"/>
          <w:sz w:val="20"/>
          <w:szCs w:val="20"/>
        </w:rPr>
      </w:pPr>
      <w:r w:rsidRPr="00DA7A90">
        <w:rPr>
          <w:color w:val="000000" w:themeColor="text1"/>
          <w:sz w:val="20"/>
          <w:szCs w:val="20"/>
        </w:rPr>
        <w:t xml:space="preserve">Sodium (1.04 mg/g DM) warrants particular attention in a West African context. Although its content is modest, the accumulation of sodium from multiple dietary and medicinal sources may contribute to cardiovascular risk in patients with hypertension or heart failure, especially if the plant is used chronically </w:t>
      </w:r>
      <w:r w:rsidR="0048122D" w:rsidRPr="00DA7A90">
        <w:rPr>
          <w:color w:val="000000" w:themeColor="text1"/>
          <w:sz w:val="20"/>
          <w:szCs w:val="20"/>
        </w:rPr>
        <w:t>[4]</w:t>
      </w:r>
      <w:r w:rsidR="00A9509D" w:rsidRPr="00DA7A90">
        <w:rPr>
          <w:color w:val="000000" w:themeColor="text1"/>
          <w:sz w:val="20"/>
          <w:szCs w:val="20"/>
        </w:rPr>
        <w:t>.</w:t>
      </w:r>
      <w:r w:rsidRPr="00DA7A90">
        <w:rPr>
          <w:color w:val="000000" w:themeColor="text1"/>
          <w:sz w:val="20"/>
          <w:szCs w:val="20"/>
        </w:rPr>
        <w:t xml:space="preserve"> This warning should be included in any therapeutic guidelines for the use of this species.</w:t>
      </w:r>
    </w:p>
    <w:p w14:paraId="2C66BA1F" w14:textId="684DD0CB" w:rsidR="006C3365" w:rsidRPr="00DA7A90" w:rsidRDefault="006C3365" w:rsidP="004A480E">
      <w:pPr>
        <w:jc w:val="both"/>
        <w:rPr>
          <w:color w:val="000000" w:themeColor="text1"/>
          <w:sz w:val="20"/>
          <w:szCs w:val="20"/>
        </w:rPr>
      </w:pPr>
      <w:r w:rsidRPr="00DA7A90">
        <w:rPr>
          <w:color w:val="000000" w:themeColor="text1"/>
          <w:sz w:val="20"/>
          <w:szCs w:val="20"/>
        </w:rPr>
        <w:t>Potassium (10.61 mg/g D</w:t>
      </w:r>
      <w:r w:rsidR="0091514D" w:rsidRPr="00DA7A90">
        <w:rPr>
          <w:color w:val="000000" w:themeColor="text1"/>
          <w:sz w:val="20"/>
          <w:szCs w:val="20"/>
        </w:rPr>
        <w:t>M</w:t>
      </w:r>
      <w:r w:rsidRPr="00DA7A90">
        <w:rPr>
          <w:color w:val="000000" w:themeColor="text1"/>
          <w:sz w:val="20"/>
          <w:szCs w:val="20"/>
        </w:rPr>
        <w:t>) is essential for blood pressure regulation</w:t>
      </w:r>
      <w:r w:rsidR="006B1429" w:rsidRPr="00DA7A90">
        <w:rPr>
          <w:color w:val="000000" w:themeColor="text1"/>
          <w:sz w:val="20"/>
          <w:szCs w:val="20"/>
        </w:rPr>
        <w:t xml:space="preserve"> </w:t>
      </w:r>
      <w:r w:rsidR="0048122D" w:rsidRPr="00DA7A90">
        <w:rPr>
          <w:color w:val="000000" w:themeColor="text1"/>
          <w:sz w:val="20"/>
          <w:szCs w:val="20"/>
        </w:rPr>
        <w:t>[20]</w:t>
      </w:r>
      <w:r w:rsidRPr="00DA7A90">
        <w:rPr>
          <w:color w:val="000000" w:themeColor="text1"/>
          <w:sz w:val="20"/>
          <w:szCs w:val="20"/>
        </w:rPr>
        <w:t>, neuromuscular excitability</w:t>
      </w:r>
      <w:r w:rsidR="0037337B" w:rsidRPr="00DA7A90">
        <w:rPr>
          <w:color w:val="000000" w:themeColor="text1"/>
          <w:sz w:val="20"/>
          <w:szCs w:val="20"/>
        </w:rPr>
        <w:t xml:space="preserve"> </w:t>
      </w:r>
      <w:r w:rsidR="0048122D" w:rsidRPr="00DA7A90">
        <w:rPr>
          <w:color w:val="000000" w:themeColor="text1"/>
          <w:sz w:val="20"/>
          <w:szCs w:val="20"/>
        </w:rPr>
        <w:t>[21]</w:t>
      </w:r>
      <w:r w:rsidRPr="00DA7A90">
        <w:rPr>
          <w:color w:val="000000" w:themeColor="text1"/>
          <w:sz w:val="20"/>
          <w:szCs w:val="20"/>
        </w:rPr>
        <w:t xml:space="preserve">, and acid-base balance </w:t>
      </w:r>
      <w:r w:rsidR="0048122D" w:rsidRPr="00DA7A90">
        <w:rPr>
          <w:color w:val="000000" w:themeColor="text1"/>
          <w:sz w:val="20"/>
          <w:szCs w:val="20"/>
        </w:rPr>
        <w:t>[22]</w:t>
      </w:r>
      <w:r w:rsidRPr="00DA7A90">
        <w:rPr>
          <w:color w:val="000000" w:themeColor="text1"/>
          <w:sz w:val="20"/>
          <w:szCs w:val="20"/>
        </w:rPr>
        <w:t xml:space="preserve">. Its biohazard risk is low in a healthy individual with </w:t>
      </w:r>
      <w:r w:rsidRPr="00DA7A90">
        <w:rPr>
          <w:color w:val="000000" w:themeColor="text1"/>
          <w:sz w:val="20"/>
          <w:szCs w:val="20"/>
        </w:rPr>
        <w:lastRenderedPageBreak/>
        <w:t xml:space="preserve">normal renal function. However, in patients with chronic renal insufficiency or those taking angiotensin-converting enzyme (ACE) inhibitors, hyperkalemia may occur with prolonged and intensive use, representing a clinical signal that should not be overlooked </w:t>
      </w:r>
      <w:r w:rsidR="0048122D" w:rsidRPr="00DA7A90">
        <w:rPr>
          <w:color w:val="000000" w:themeColor="text1"/>
          <w:sz w:val="20"/>
          <w:szCs w:val="20"/>
        </w:rPr>
        <w:t>[9]</w:t>
      </w:r>
      <w:r w:rsidRPr="00DA7A90">
        <w:rPr>
          <w:color w:val="000000" w:themeColor="text1"/>
          <w:sz w:val="20"/>
          <w:szCs w:val="20"/>
        </w:rPr>
        <w:t xml:space="preserve">. </w:t>
      </w:r>
    </w:p>
    <w:p w14:paraId="7EF5D584" w14:textId="296A806E" w:rsidR="006C3365" w:rsidRPr="00DA7A90" w:rsidRDefault="006C3365" w:rsidP="004A480E">
      <w:pPr>
        <w:jc w:val="both"/>
        <w:rPr>
          <w:color w:val="000000" w:themeColor="text1"/>
          <w:sz w:val="20"/>
          <w:szCs w:val="20"/>
        </w:rPr>
      </w:pPr>
      <w:r w:rsidRPr="00DA7A90">
        <w:rPr>
          <w:color w:val="000000" w:themeColor="text1"/>
          <w:sz w:val="20"/>
          <w:szCs w:val="20"/>
        </w:rPr>
        <w:t xml:space="preserve">Magnesium (2.02 mg/g </w:t>
      </w:r>
      <w:r w:rsidR="0091514D" w:rsidRPr="00DA7A90">
        <w:rPr>
          <w:color w:val="000000" w:themeColor="text1"/>
          <w:sz w:val="20"/>
          <w:szCs w:val="20"/>
        </w:rPr>
        <w:t>DM</w:t>
      </w:r>
      <w:r w:rsidRPr="00DA7A90">
        <w:rPr>
          <w:color w:val="000000" w:themeColor="text1"/>
          <w:sz w:val="20"/>
          <w:szCs w:val="20"/>
        </w:rPr>
        <w:t xml:space="preserve">), a cofactor of more than 300 enzyme systems involved in carbohydrate and lipid metabolism </w:t>
      </w:r>
      <w:r w:rsidR="008D0041" w:rsidRPr="00DA7A90">
        <w:rPr>
          <w:color w:val="000000" w:themeColor="text1"/>
          <w:sz w:val="20"/>
          <w:szCs w:val="20"/>
        </w:rPr>
        <w:t>[23]</w:t>
      </w:r>
      <w:r w:rsidRPr="00DA7A90">
        <w:rPr>
          <w:color w:val="000000" w:themeColor="text1"/>
          <w:sz w:val="20"/>
          <w:szCs w:val="20"/>
        </w:rPr>
        <w:t xml:space="preserve">, may contribute to the well-documented antidiabetic activity of </w:t>
      </w:r>
      <w:r w:rsidRPr="00DA7A90">
        <w:rPr>
          <w:i/>
          <w:iCs/>
          <w:color w:val="000000" w:themeColor="text1"/>
          <w:sz w:val="20"/>
          <w:szCs w:val="20"/>
        </w:rPr>
        <w:t xml:space="preserve">P. marsupium </w:t>
      </w:r>
      <w:r w:rsidR="008D0041" w:rsidRPr="00DA7A90">
        <w:rPr>
          <w:color w:val="000000" w:themeColor="text1"/>
          <w:sz w:val="20"/>
          <w:szCs w:val="20"/>
        </w:rPr>
        <w:t>[24]</w:t>
      </w:r>
      <w:r w:rsidR="00995EF1" w:rsidRPr="00DA7A90">
        <w:rPr>
          <w:color w:val="000000" w:themeColor="text1"/>
          <w:sz w:val="20"/>
          <w:szCs w:val="20"/>
        </w:rPr>
        <w:t>.</w:t>
      </w:r>
      <w:r w:rsidRPr="00DA7A90">
        <w:rPr>
          <w:color w:val="000000" w:themeColor="text1"/>
          <w:sz w:val="20"/>
          <w:szCs w:val="20"/>
        </w:rPr>
        <w:t xml:space="preserve"> No biohazard risk is expected at standard therapeutic doses.</w:t>
      </w:r>
    </w:p>
    <w:p w14:paraId="66854CE0" w14:textId="0A6BDA02" w:rsidR="00286DDF" w:rsidRPr="00DA7A90" w:rsidRDefault="001B3CE2" w:rsidP="004A480E">
      <w:pPr>
        <w:jc w:val="both"/>
        <w:rPr>
          <w:color w:val="000000" w:themeColor="text1"/>
          <w:sz w:val="20"/>
          <w:szCs w:val="20"/>
        </w:rPr>
      </w:pPr>
      <w:r w:rsidRPr="00DA7A90">
        <w:rPr>
          <w:color w:val="000000" w:themeColor="text1"/>
          <w:sz w:val="20"/>
          <w:szCs w:val="20"/>
        </w:rPr>
        <w:t xml:space="preserve">The predominance of calcium (59.27 mg/g DM) in the leaves of </w:t>
      </w:r>
      <w:r w:rsidRPr="00DA7A90">
        <w:rPr>
          <w:i/>
          <w:iCs/>
          <w:color w:val="000000" w:themeColor="text1"/>
          <w:sz w:val="20"/>
          <w:szCs w:val="20"/>
        </w:rPr>
        <w:t>P. marsupium</w:t>
      </w:r>
      <w:r w:rsidRPr="00DA7A90">
        <w:rPr>
          <w:color w:val="000000" w:themeColor="text1"/>
          <w:sz w:val="20"/>
          <w:szCs w:val="20"/>
        </w:rPr>
        <w:t xml:space="preserve"> is the most remarkable result of this study.</w:t>
      </w:r>
      <w:r w:rsidR="009101A4" w:rsidRPr="00DA7A90">
        <w:rPr>
          <w:color w:val="000000" w:themeColor="text1"/>
          <w:sz w:val="20"/>
          <w:szCs w:val="20"/>
        </w:rPr>
        <w:t xml:space="preserve"> High calcium levels have been reported in other African and Asian medicinal </w:t>
      </w:r>
      <w:r w:rsidR="009101A4" w:rsidRPr="00DA7A90">
        <w:rPr>
          <w:i/>
          <w:iCs/>
          <w:color w:val="000000" w:themeColor="text1"/>
          <w:sz w:val="20"/>
          <w:szCs w:val="20"/>
        </w:rPr>
        <w:t>Fabaceae</w:t>
      </w:r>
      <w:r w:rsidR="009101A4" w:rsidRPr="00DA7A90">
        <w:rPr>
          <w:color w:val="000000" w:themeColor="text1"/>
          <w:sz w:val="20"/>
          <w:szCs w:val="20"/>
        </w:rPr>
        <w:t xml:space="preserve">, suggesting that this family preferentially accumulates this element in its leaf tissues </w:t>
      </w:r>
      <w:r w:rsidR="008D0041" w:rsidRPr="00DA7A90">
        <w:rPr>
          <w:color w:val="000000" w:themeColor="text1"/>
          <w:sz w:val="20"/>
          <w:szCs w:val="20"/>
        </w:rPr>
        <w:t>[25,26]</w:t>
      </w:r>
      <w:r w:rsidR="009101A4" w:rsidRPr="00DA7A90">
        <w:rPr>
          <w:color w:val="000000" w:themeColor="text1"/>
          <w:sz w:val="20"/>
          <w:szCs w:val="20"/>
        </w:rPr>
        <w:t xml:space="preserve">. </w:t>
      </w:r>
      <w:r w:rsidR="005A12AE" w:rsidRPr="00DA7A90">
        <w:rPr>
          <w:color w:val="000000" w:themeColor="text1"/>
          <w:sz w:val="20"/>
          <w:szCs w:val="20"/>
        </w:rPr>
        <w:t>Calcium plays a structural role in the rigidity of the cell wall</w:t>
      </w:r>
      <w:r w:rsidR="00FD4A1D" w:rsidRPr="00DA7A90">
        <w:rPr>
          <w:color w:val="000000" w:themeColor="text1"/>
          <w:sz w:val="20"/>
          <w:szCs w:val="20"/>
        </w:rPr>
        <w:t xml:space="preserve"> </w:t>
      </w:r>
      <w:r w:rsidR="008D0041" w:rsidRPr="00DA7A90">
        <w:rPr>
          <w:color w:val="000000" w:themeColor="text1"/>
          <w:sz w:val="20"/>
          <w:szCs w:val="20"/>
        </w:rPr>
        <w:t>[27]</w:t>
      </w:r>
      <w:r w:rsidR="005A12AE" w:rsidRPr="00DA7A90">
        <w:rPr>
          <w:color w:val="000000" w:themeColor="text1"/>
          <w:sz w:val="20"/>
          <w:szCs w:val="20"/>
        </w:rPr>
        <w:t xml:space="preserve">, a role in cell signaling </w:t>
      </w:r>
      <w:r w:rsidR="008D0041" w:rsidRPr="00DA7A90">
        <w:rPr>
          <w:color w:val="000000" w:themeColor="text1"/>
          <w:sz w:val="20"/>
          <w:szCs w:val="20"/>
        </w:rPr>
        <w:t>[28]</w:t>
      </w:r>
      <w:r w:rsidR="00E94784" w:rsidRPr="00DA7A90">
        <w:rPr>
          <w:color w:val="000000" w:themeColor="text1"/>
          <w:sz w:val="20"/>
          <w:szCs w:val="20"/>
        </w:rPr>
        <w:t xml:space="preserve"> </w:t>
      </w:r>
      <w:r w:rsidR="005A12AE" w:rsidRPr="00DA7A90">
        <w:rPr>
          <w:color w:val="000000" w:themeColor="text1"/>
          <w:sz w:val="20"/>
          <w:szCs w:val="20"/>
        </w:rPr>
        <w:t xml:space="preserve">as a secondary messenger, and an enzymatic role as a cofactor for many proteases </w:t>
      </w:r>
      <w:r w:rsidR="009E1B0B" w:rsidRPr="00DA7A90">
        <w:rPr>
          <w:color w:val="000000" w:themeColor="text1"/>
          <w:sz w:val="20"/>
          <w:szCs w:val="20"/>
        </w:rPr>
        <w:t>[29]</w:t>
      </w:r>
      <w:r w:rsidR="005A12AE" w:rsidRPr="00DA7A90">
        <w:rPr>
          <w:color w:val="000000" w:themeColor="text1"/>
          <w:sz w:val="20"/>
          <w:szCs w:val="20"/>
        </w:rPr>
        <w:t xml:space="preserve">. </w:t>
      </w:r>
      <w:r w:rsidR="009101A4" w:rsidRPr="00DA7A90">
        <w:rPr>
          <w:color w:val="000000" w:themeColor="text1"/>
          <w:sz w:val="20"/>
          <w:szCs w:val="20"/>
        </w:rPr>
        <w:t xml:space="preserve">In terms of biohazard risk, hypercalcemia is only conceivable at daily intakes exceeding 2,500 mg/day, which is far greater than the maximum possible intake from </w:t>
      </w:r>
      <w:r w:rsidR="009101A4" w:rsidRPr="00DA7A90">
        <w:rPr>
          <w:i/>
          <w:iCs/>
          <w:color w:val="000000" w:themeColor="text1"/>
          <w:sz w:val="20"/>
          <w:szCs w:val="20"/>
        </w:rPr>
        <w:t xml:space="preserve">P. marsupium </w:t>
      </w:r>
      <w:r w:rsidR="009101A4" w:rsidRPr="00DA7A90">
        <w:rPr>
          <w:color w:val="000000" w:themeColor="text1"/>
          <w:sz w:val="20"/>
          <w:szCs w:val="20"/>
        </w:rPr>
        <w:t>leaf preparations at usual therapeutic doses</w:t>
      </w:r>
      <w:r w:rsidR="004649A9" w:rsidRPr="00DA7A90">
        <w:rPr>
          <w:color w:val="000000" w:themeColor="text1"/>
          <w:sz w:val="20"/>
          <w:szCs w:val="20"/>
        </w:rPr>
        <w:t xml:space="preserve"> </w:t>
      </w:r>
      <w:r w:rsidR="009E1B0B" w:rsidRPr="00DA7A90">
        <w:rPr>
          <w:color w:val="000000" w:themeColor="text1"/>
          <w:sz w:val="20"/>
          <w:szCs w:val="20"/>
        </w:rPr>
        <w:t>[12]</w:t>
      </w:r>
      <w:r w:rsidR="004649A9" w:rsidRPr="00DA7A90">
        <w:rPr>
          <w:color w:val="000000" w:themeColor="text1"/>
          <w:sz w:val="20"/>
          <w:szCs w:val="20"/>
        </w:rPr>
        <w:t>.</w:t>
      </w:r>
    </w:p>
    <w:p w14:paraId="130D3BEA" w14:textId="21C06BE0" w:rsidR="007B5C2E" w:rsidRPr="00DA7A90" w:rsidRDefault="009101A4" w:rsidP="0042192D">
      <w:pPr>
        <w:pStyle w:val="Heading4"/>
      </w:pPr>
      <w:r w:rsidRPr="00DA7A90">
        <w:t>Essential trace elements</w:t>
      </w:r>
      <w:r w:rsidR="00385D6C" w:rsidRPr="00DA7A90">
        <w:t>,</w:t>
      </w:r>
      <w:r w:rsidRPr="00DA7A90">
        <w:t xml:space="preserve"> biological benefits and safety limits</w:t>
      </w:r>
    </w:p>
    <w:p w14:paraId="611D91B1" w14:textId="6912D89B" w:rsidR="00014101" w:rsidRPr="00DA7A90" w:rsidRDefault="009101A4" w:rsidP="004A480E">
      <w:pPr>
        <w:jc w:val="both"/>
        <w:rPr>
          <w:color w:val="000000" w:themeColor="text1"/>
          <w:sz w:val="20"/>
          <w:szCs w:val="20"/>
        </w:rPr>
      </w:pPr>
      <w:r w:rsidRPr="00DA7A90">
        <w:rPr>
          <w:color w:val="000000" w:themeColor="text1"/>
          <w:sz w:val="20"/>
          <w:szCs w:val="20"/>
        </w:rPr>
        <w:t>Iron (0.0995 mg/g D</w:t>
      </w:r>
      <w:r w:rsidR="0057796D" w:rsidRPr="00DA7A90">
        <w:rPr>
          <w:color w:val="000000" w:themeColor="text1"/>
          <w:sz w:val="20"/>
          <w:szCs w:val="20"/>
        </w:rPr>
        <w:t>M</w:t>
      </w:r>
      <w:r w:rsidRPr="00DA7A90">
        <w:rPr>
          <w:color w:val="000000" w:themeColor="text1"/>
          <w:sz w:val="20"/>
          <w:szCs w:val="20"/>
        </w:rPr>
        <w:t>), zinc (0.0247 mg/g D</w:t>
      </w:r>
      <w:r w:rsidR="0057796D" w:rsidRPr="00DA7A90">
        <w:rPr>
          <w:color w:val="000000" w:themeColor="text1"/>
          <w:sz w:val="20"/>
          <w:szCs w:val="20"/>
        </w:rPr>
        <w:t>M</w:t>
      </w:r>
      <w:r w:rsidRPr="00DA7A90">
        <w:rPr>
          <w:color w:val="000000" w:themeColor="text1"/>
          <w:sz w:val="20"/>
          <w:szCs w:val="20"/>
        </w:rPr>
        <w:t>), and copper (0.0161 mg/g D</w:t>
      </w:r>
      <w:r w:rsidR="0057796D" w:rsidRPr="00DA7A90">
        <w:rPr>
          <w:color w:val="000000" w:themeColor="text1"/>
          <w:sz w:val="20"/>
          <w:szCs w:val="20"/>
        </w:rPr>
        <w:t>M</w:t>
      </w:r>
      <w:r w:rsidRPr="00DA7A90">
        <w:rPr>
          <w:color w:val="000000" w:themeColor="text1"/>
          <w:sz w:val="20"/>
          <w:szCs w:val="20"/>
        </w:rPr>
        <w:t xml:space="preserve">) are essential trace elements involved in numerous enzymatic systems, particularly antioxidant defenses </w:t>
      </w:r>
      <w:r w:rsidR="009E1B0B" w:rsidRPr="00DA7A90">
        <w:rPr>
          <w:color w:val="000000" w:themeColor="text1"/>
          <w:sz w:val="20"/>
          <w:szCs w:val="20"/>
        </w:rPr>
        <w:t>[30-32]</w:t>
      </w:r>
      <w:r w:rsidRPr="00DA7A90">
        <w:rPr>
          <w:color w:val="000000" w:themeColor="text1"/>
          <w:sz w:val="20"/>
          <w:szCs w:val="20"/>
        </w:rPr>
        <w:t xml:space="preserve">. These concentrations fall within the ranges typically reported for medicinal plants in the region and remain well below the upper tolerable limits for conventional doses </w:t>
      </w:r>
      <w:r w:rsidR="009E1B0B" w:rsidRPr="00DA7A90">
        <w:rPr>
          <w:color w:val="000000" w:themeColor="text1"/>
          <w:sz w:val="20"/>
          <w:szCs w:val="20"/>
        </w:rPr>
        <w:t>[25,26]</w:t>
      </w:r>
      <w:r w:rsidRPr="00DA7A90">
        <w:rPr>
          <w:color w:val="000000" w:themeColor="text1"/>
          <w:sz w:val="20"/>
          <w:szCs w:val="20"/>
        </w:rPr>
        <w:t xml:space="preserve">. </w:t>
      </w:r>
      <w:r w:rsidR="00D55D18" w:rsidRPr="00DA7A90">
        <w:rPr>
          <w:color w:val="000000" w:themeColor="text1"/>
          <w:sz w:val="20"/>
          <w:szCs w:val="20"/>
        </w:rPr>
        <w:t xml:space="preserve">Their contributions to the antioxidant properties of </w:t>
      </w:r>
      <w:r w:rsidR="00604F69" w:rsidRPr="00DA7A90">
        <w:rPr>
          <w:i/>
          <w:iCs/>
          <w:color w:val="000000" w:themeColor="text1"/>
          <w:sz w:val="20"/>
          <w:szCs w:val="20"/>
        </w:rPr>
        <w:t>Pterocarpus</w:t>
      </w:r>
      <w:r w:rsidR="00D55D18" w:rsidRPr="00DA7A90">
        <w:rPr>
          <w:i/>
          <w:iCs/>
          <w:color w:val="000000" w:themeColor="text1"/>
          <w:sz w:val="20"/>
          <w:szCs w:val="20"/>
        </w:rPr>
        <w:t xml:space="preserve"> marsupium</w:t>
      </w:r>
      <w:r w:rsidR="00D55D18" w:rsidRPr="00DA7A90">
        <w:rPr>
          <w:color w:val="000000" w:themeColor="text1"/>
          <w:sz w:val="20"/>
          <w:szCs w:val="20"/>
        </w:rPr>
        <w:t xml:space="preserve">, although widely documented in the literature </w:t>
      </w:r>
      <w:r w:rsidR="009E1B0B" w:rsidRPr="00DA7A90">
        <w:rPr>
          <w:color w:val="000000" w:themeColor="text1"/>
          <w:sz w:val="20"/>
          <w:szCs w:val="20"/>
        </w:rPr>
        <w:t>[33]</w:t>
      </w:r>
      <w:r w:rsidR="00D55D18" w:rsidRPr="00DA7A90">
        <w:rPr>
          <w:color w:val="000000" w:themeColor="text1"/>
          <w:sz w:val="20"/>
          <w:szCs w:val="20"/>
        </w:rPr>
        <w:t>, still justify further work.</w:t>
      </w:r>
    </w:p>
    <w:p w14:paraId="52390592" w14:textId="6450224F" w:rsidR="007B5C2E" w:rsidRPr="00DA7A90" w:rsidRDefault="00EE03EC" w:rsidP="004A480E">
      <w:pPr>
        <w:jc w:val="both"/>
        <w:rPr>
          <w:color w:val="000000" w:themeColor="text1"/>
          <w:sz w:val="20"/>
          <w:szCs w:val="20"/>
        </w:rPr>
      </w:pPr>
      <w:r w:rsidRPr="00DA7A90">
        <w:rPr>
          <w:color w:val="000000" w:themeColor="text1"/>
          <w:sz w:val="20"/>
          <w:szCs w:val="20"/>
        </w:rPr>
        <w:t>Despite the low dose of nickel (Ni, 0.0172 mg/g D</w:t>
      </w:r>
      <w:r w:rsidR="0091514D" w:rsidRPr="00DA7A90">
        <w:rPr>
          <w:color w:val="000000" w:themeColor="text1"/>
          <w:sz w:val="20"/>
          <w:szCs w:val="20"/>
        </w:rPr>
        <w:t>M</w:t>
      </w:r>
      <w:r w:rsidRPr="00DA7A90">
        <w:rPr>
          <w:color w:val="000000" w:themeColor="text1"/>
          <w:sz w:val="20"/>
          <w:szCs w:val="20"/>
        </w:rPr>
        <w:t xml:space="preserve">) in </w:t>
      </w:r>
      <w:r w:rsidRPr="00DA7A90">
        <w:rPr>
          <w:i/>
          <w:iCs/>
          <w:color w:val="000000" w:themeColor="text1"/>
          <w:sz w:val="20"/>
          <w:szCs w:val="20"/>
        </w:rPr>
        <w:t>Pterocarpus marsupium</w:t>
      </w:r>
      <w:r w:rsidRPr="00DA7A90">
        <w:rPr>
          <w:color w:val="000000" w:themeColor="text1"/>
          <w:sz w:val="20"/>
          <w:szCs w:val="20"/>
        </w:rPr>
        <w:t xml:space="preserve"> leaves, monitoring must be carried out to prevent patients from being contaminated by this highly toxic metal.</w:t>
      </w:r>
      <w:r w:rsidR="005C5276" w:rsidRPr="00DA7A90">
        <w:rPr>
          <w:color w:val="000000" w:themeColor="text1"/>
          <w:sz w:val="20"/>
          <w:szCs w:val="20"/>
        </w:rPr>
        <w:t xml:space="preserve"> In fact, d</w:t>
      </w:r>
      <w:r w:rsidR="009101A4" w:rsidRPr="00DA7A90">
        <w:rPr>
          <w:color w:val="000000" w:themeColor="text1"/>
          <w:sz w:val="20"/>
          <w:szCs w:val="20"/>
        </w:rPr>
        <w:t>ivalent nickel (Ni²</w:t>
      </w:r>
      <w:r w:rsidR="009101A4" w:rsidRPr="00DA7A90">
        <w:rPr>
          <w:rFonts w:ascii="Cambria Math" w:hAnsi="Cambria Math" w:cs="Cambria Math"/>
          <w:color w:val="000000" w:themeColor="text1"/>
          <w:sz w:val="20"/>
          <w:szCs w:val="20"/>
        </w:rPr>
        <w:t>⁺</w:t>
      </w:r>
      <w:r w:rsidR="009101A4" w:rsidRPr="00DA7A90">
        <w:rPr>
          <w:color w:val="000000" w:themeColor="text1"/>
          <w:sz w:val="20"/>
          <w:szCs w:val="20"/>
        </w:rPr>
        <w:t xml:space="preserve">) is classified as a possible carcinogen by the IARC and is one of the most common contact allergens in dermatology </w:t>
      </w:r>
      <w:r w:rsidR="00925633" w:rsidRPr="00DA7A90">
        <w:rPr>
          <w:color w:val="000000" w:themeColor="text1"/>
          <w:sz w:val="20"/>
          <w:szCs w:val="20"/>
        </w:rPr>
        <w:t>[34]</w:t>
      </w:r>
      <w:r w:rsidR="009101A4" w:rsidRPr="00DA7A90">
        <w:rPr>
          <w:color w:val="000000" w:themeColor="text1"/>
          <w:sz w:val="20"/>
          <w:szCs w:val="20"/>
        </w:rPr>
        <w:t xml:space="preserve">. When taken orally, the calculated </w:t>
      </w:r>
      <w:r w:rsidR="00E47D35" w:rsidRPr="00DA7A90">
        <w:rPr>
          <w:color w:val="000000" w:themeColor="text1"/>
          <w:sz w:val="20"/>
          <w:szCs w:val="20"/>
        </w:rPr>
        <w:t>E</w:t>
      </w:r>
      <w:r w:rsidR="009101A4" w:rsidRPr="00DA7A90">
        <w:rPr>
          <w:color w:val="000000" w:themeColor="text1"/>
          <w:sz w:val="20"/>
          <w:szCs w:val="20"/>
        </w:rPr>
        <w:t xml:space="preserve">DI </w:t>
      </w:r>
      <w:r w:rsidR="00461FE4" w:rsidRPr="00DA7A90">
        <w:rPr>
          <w:color w:val="000000" w:themeColor="text1"/>
          <w:sz w:val="20"/>
          <w:szCs w:val="20"/>
        </w:rPr>
        <w:t xml:space="preserve">(0.5 </w:t>
      </w:r>
      <w:r w:rsidR="00DD2FA9" w:rsidRPr="00DA7A90">
        <w:rPr>
          <w:color w:val="000000" w:themeColor="text1"/>
          <w:sz w:val="20"/>
          <w:szCs w:val="20"/>
        </w:rPr>
        <w:sym w:font="Symbol" w:char="F06D"/>
      </w:r>
      <w:r w:rsidR="00DD2FA9" w:rsidRPr="00DA7A90">
        <w:rPr>
          <w:color w:val="000000" w:themeColor="text1"/>
          <w:sz w:val="20"/>
          <w:szCs w:val="20"/>
        </w:rPr>
        <w:t xml:space="preserve">g/Kg/day) </w:t>
      </w:r>
      <w:r w:rsidR="009101A4" w:rsidRPr="00DA7A90">
        <w:rPr>
          <w:color w:val="000000" w:themeColor="text1"/>
          <w:sz w:val="20"/>
          <w:szCs w:val="20"/>
        </w:rPr>
        <w:t xml:space="preserve">remains significantly lower than the WHO PTDI of </w:t>
      </w:r>
      <w:r w:rsidR="0064726E" w:rsidRPr="00DA7A90">
        <w:rPr>
          <w:color w:val="000000" w:themeColor="text1"/>
          <w:sz w:val="20"/>
          <w:szCs w:val="20"/>
        </w:rPr>
        <w:t>5</w:t>
      </w:r>
      <w:r w:rsidR="009101A4" w:rsidRPr="00DA7A90">
        <w:rPr>
          <w:color w:val="000000" w:themeColor="text1"/>
          <w:sz w:val="20"/>
          <w:szCs w:val="20"/>
        </w:rPr>
        <w:t xml:space="preserve"> </w:t>
      </w:r>
      <w:r w:rsidR="0064726E" w:rsidRPr="00DA7A90">
        <w:rPr>
          <w:color w:val="000000" w:themeColor="text1"/>
          <w:sz w:val="20"/>
          <w:szCs w:val="20"/>
        </w:rPr>
        <w:sym w:font="Symbol" w:char="F06D"/>
      </w:r>
      <w:r w:rsidR="009101A4" w:rsidRPr="00DA7A90">
        <w:rPr>
          <w:color w:val="000000" w:themeColor="text1"/>
          <w:sz w:val="20"/>
          <w:szCs w:val="20"/>
        </w:rPr>
        <w:t>g/kg/day</w:t>
      </w:r>
      <w:r w:rsidR="007B4E09" w:rsidRPr="00DA7A90">
        <w:rPr>
          <w:color w:val="000000" w:themeColor="text1"/>
          <w:sz w:val="20"/>
          <w:szCs w:val="20"/>
        </w:rPr>
        <w:t xml:space="preserve"> </w:t>
      </w:r>
      <w:r w:rsidR="00925633" w:rsidRPr="00DA7A90">
        <w:rPr>
          <w:color w:val="000000" w:themeColor="text1"/>
          <w:sz w:val="20"/>
          <w:szCs w:val="20"/>
        </w:rPr>
        <w:t>[15]</w:t>
      </w:r>
      <w:r w:rsidR="009101A4" w:rsidRPr="00DA7A90">
        <w:rPr>
          <w:color w:val="000000" w:themeColor="text1"/>
          <w:sz w:val="20"/>
          <w:szCs w:val="20"/>
        </w:rPr>
        <w:t xml:space="preserve">. </w:t>
      </w:r>
      <w:r w:rsidR="00490F15" w:rsidRPr="00DA7A90">
        <w:rPr>
          <w:color w:val="000000" w:themeColor="text1"/>
          <w:sz w:val="20"/>
          <w:szCs w:val="20"/>
        </w:rPr>
        <w:t>However, the use of poultices made from fresh or dried leaves in traditional African medicine increases the risk of skin sensitization, even at low doses. This risk is higher in users with atopic skin</w:t>
      </w:r>
      <w:r w:rsidR="004E6126" w:rsidRPr="00DA7A90">
        <w:rPr>
          <w:color w:val="000000" w:themeColor="text1"/>
          <w:sz w:val="20"/>
          <w:szCs w:val="20"/>
        </w:rPr>
        <w:t xml:space="preserve"> </w:t>
      </w:r>
      <w:r w:rsidR="00925633" w:rsidRPr="00DA7A90">
        <w:rPr>
          <w:color w:val="000000" w:themeColor="text1"/>
          <w:sz w:val="20"/>
          <w:szCs w:val="20"/>
        </w:rPr>
        <w:t>[34,35]</w:t>
      </w:r>
      <w:r w:rsidR="009101A4" w:rsidRPr="00DA7A90">
        <w:rPr>
          <w:color w:val="000000" w:themeColor="text1"/>
          <w:sz w:val="20"/>
          <w:szCs w:val="20"/>
        </w:rPr>
        <w:t>.</w:t>
      </w:r>
    </w:p>
    <w:p w14:paraId="7097946B" w14:textId="0012E760" w:rsidR="007B5C2E" w:rsidRPr="00DA7A90" w:rsidRDefault="00BE30CC" w:rsidP="0042192D">
      <w:pPr>
        <w:pStyle w:val="Heading4"/>
      </w:pPr>
      <w:r w:rsidRPr="00DA7A90">
        <w:t>T</w:t>
      </w:r>
      <w:r w:rsidR="009101A4" w:rsidRPr="00DA7A90">
        <w:t xml:space="preserve">oxicological assessment </w:t>
      </w:r>
      <w:r w:rsidRPr="00DA7A90">
        <w:t>of heavy metal</w:t>
      </w:r>
    </w:p>
    <w:p w14:paraId="0225B9AC" w14:textId="017967FD" w:rsidR="007B5C2E" w:rsidRPr="00DA7A90" w:rsidRDefault="009101A4" w:rsidP="004A480E">
      <w:pPr>
        <w:jc w:val="both"/>
        <w:rPr>
          <w:color w:val="000000" w:themeColor="text1"/>
          <w:sz w:val="20"/>
          <w:szCs w:val="20"/>
        </w:rPr>
      </w:pPr>
      <w:r w:rsidRPr="00DA7A90">
        <w:rPr>
          <w:color w:val="000000" w:themeColor="text1"/>
          <w:sz w:val="20"/>
          <w:szCs w:val="20"/>
        </w:rPr>
        <w:t xml:space="preserve">Cadmium (Cd), detected at 0.0010 mg/g dry matter (DM), is classified as a carcinogen by the IARC, with well-established irreversible nephrotoxicity linked to its renal tubular accumulation </w:t>
      </w:r>
      <w:r w:rsidR="00925633" w:rsidRPr="00DA7A90">
        <w:rPr>
          <w:color w:val="000000" w:themeColor="text1"/>
          <w:sz w:val="20"/>
          <w:szCs w:val="20"/>
        </w:rPr>
        <w:t>[5,35]</w:t>
      </w:r>
      <w:r w:rsidRPr="00DA7A90">
        <w:rPr>
          <w:color w:val="000000" w:themeColor="text1"/>
          <w:sz w:val="20"/>
          <w:szCs w:val="20"/>
        </w:rPr>
        <w:t>. The WHO's PTDI is 0.</w:t>
      </w:r>
      <w:r w:rsidR="007E53EE" w:rsidRPr="00DA7A90">
        <w:rPr>
          <w:color w:val="000000" w:themeColor="text1"/>
          <w:sz w:val="20"/>
          <w:szCs w:val="20"/>
        </w:rPr>
        <w:t>83</w:t>
      </w:r>
      <w:r w:rsidRPr="00DA7A90">
        <w:rPr>
          <w:color w:val="000000" w:themeColor="text1"/>
          <w:sz w:val="20"/>
          <w:szCs w:val="20"/>
        </w:rPr>
        <w:t xml:space="preserve"> </w:t>
      </w:r>
      <w:r w:rsidR="007E53EE" w:rsidRPr="00DA7A90">
        <w:rPr>
          <w:color w:val="000000" w:themeColor="text1"/>
          <w:sz w:val="20"/>
          <w:szCs w:val="20"/>
        </w:rPr>
        <w:sym w:font="Symbol" w:char="F06D"/>
      </w:r>
      <w:r w:rsidRPr="00DA7A90">
        <w:rPr>
          <w:color w:val="000000" w:themeColor="text1"/>
          <w:sz w:val="20"/>
          <w:szCs w:val="20"/>
        </w:rPr>
        <w:t xml:space="preserve">g/kg/day. </w:t>
      </w:r>
      <w:r w:rsidR="00FF1191" w:rsidRPr="00DA7A90">
        <w:rPr>
          <w:color w:val="000000" w:themeColor="text1"/>
          <w:sz w:val="20"/>
          <w:szCs w:val="20"/>
        </w:rPr>
        <w:t xml:space="preserve">The calculated EDI </w:t>
      </w:r>
      <w:r w:rsidR="00B22223" w:rsidRPr="00DA7A90">
        <w:rPr>
          <w:color w:val="000000" w:themeColor="text1"/>
          <w:sz w:val="20"/>
          <w:szCs w:val="20"/>
        </w:rPr>
        <w:t xml:space="preserve">value of </w:t>
      </w:r>
      <w:r w:rsidR="000266D2" w:rsidRPr="00DA7A90">
        <w:rPr>
          <w:color w:val="000000" w:themeColor="text1"/>
          <w:sz w:val="20"/>
          <w:szCs w:val="20"/>
        </w:rPr>
        <w:t xml:space="preserve">0.029 </w:t>
      </w:r>
      <w:r w:rsidR="000266D2" w:rsidRPr="00DA7A90">
        <w:rPr>
          <w:color w:val="000000" w:themeColor="text1"/>
          <w:sz w:val="20"/>
          <w:szCs w:val="20"/>
        </w:rPr>
        <w:sym w:font="Symbol" w:char="F06D"/>
      </w:r>
      <w:r w:rsidR="000266D2" w:rsidRPr="00DA7A90">
        <w:rPr>
          <w:color w:val="000000" w:themeColor="text1"/>
          <w:sz w:val="20"/>
          <w:szCs w:val="20"/>
        </w:rPr>
        <w:t>g/kg/day</w:t>
      </w:r>
      <w:r w:rsidRPr="00DA7A90">
        <w:rPr>
          <w:color w:val="000000" w:themeColor="text1"/>
          <w:sz w:val="20"/>
          <w:szCs w:val="20"/>
        </w:rPr>
        <w:t xml:space="preserve">, </w:t>
      </w:r>
      <w:r w:rsidR="00B22223" w:rsidRPr="00DA7A90">
        <w:rPr>
          <w:color w:val="000000" w:themeColor="text1"/>
          <w:sz w:val="20"/>
          <w:szCs w:val="20"/>
        </w:rPr>
        <w:t xml:space="preserve">is </w:t>
      </w:r>
      <w:r w:rsidRPr="00DA7A90">
        <w:rPr>
          <w:color w:val="000000" w:themeColor="text1"/>
          <w:sz w:val="20"/>
          <w:szCs w:val="20"/>
        </w:rPr>
        <w:t xml:space="preserve">approximately 30 times lower than the PTDI </w:t>
      </w:r>
      <w:r w:rsidR="00701CAB" w:rsidRPr="00DA7A90">
        <w:rPr>
          <w:color w:val="000000" w:themeColor="text1"/>
          <w:sz w:val="20"/>
          <w:szCs w:val="20"/>
        </w:rPr>
        <w:t>[4]</w:t>
      </w:r>
      <w:r w:rsidRPr="00DA7A90">
        <w:rPr>
          <w:color w:val="000000" w:themeColor="text1"/>
          <w:sz w:val="20"/>
          <w:szCs w:val="20"/>
        </w:rPr>
        <w:t xml:space="preserve">. The acute risk is therefore </w:t>
      </w:r>
      <w:r w:rsidR="003027AD" w:rsidRPr="00DA7A90">
        <w:rPr>
          <w:color w:val="000000" w:themeColor="text1"/>
          <w:sz w:val="20"/>
          <w:szCs w:val="20"/>
        </w:rPr>
        <w:t>zero</w:t>
      </w:r>
      <w:r w:rsidRPr="00DA7A90">
        <w:rPr>
          <w:color w:val="000000" w:themeColor="text1"/>
          <w:sz w:val="20"/>
          <w:szCs w:val="20"/>
        </w:rPr>
        <w:t>. Nevertheless, the strictly cumulative nature of cadmium in the body necessitates rigorous analytical monitoring of batches intended for long-term use, as well as adherence to good harvesting practices. Recent African studies have shown that medicinal plants from mining areas can have Cd levels exceeding WHO limits by 4 to 5 times</w:t>
      </w:r>
      <w:r w:rsidR="0024486D" w:rsidRPr="00DA7A90">
        <w:rPr>
          <w:color w:val="000000" w:themeColor="text1"/>
          <w:sz w:val="20"/>
          <w:szCs w:val="20"/>
        </w:rPr>
        <w:t xml:space="preserve"> </w:t>
      </w:r>
      <w:r w:rsidR="00701CAB" w:rsidRPr="00DA7A90">
        <w:rPr>
          <w:color w:val="000000" w:themeColor="text1"/>
          <w:sz w:val="20"/>
          <w:szCs w:val="20"/>
        </w:rPr>
        <w:t>[6,7]</w:t>
      </w:r>
      <w:r w:rsidRPr="00DA7A90">
        <w:rPr>
          <w:color w:val="000000" w:themeColor="text1"/>
          <w:sz w:val="20"/>
          <w:szCs w:val="20"/>
        </w:rPr>
        <w:t>.</w:t>
      </w:r>
    </w:p>
    <w:p w14:paraId="7C50A511" w14:textId="713E450E" w:rsidR="007B5C2E" w:rsidRPr="00DA7A90" w:rsidRDefault="009101A4" w:rsidP="004A480E">
      <w:pPr>
        <w:jc w:val="both"/>
        <w:rPr>
          <w:color w:val="000000" w:themeColor="text1"/>
          <w:sz w:val="20"/>
          <w:szCs w:val="20"/>
        </w:rPr>
      </w:pPr>
      <w:r w:rsidRPr="00DA7A90">
        <w:rPr>
          <w:color w:val="000000" w:themeColor="text1"/>
          <w:sz w:val="20"/>
          <w:szCs w:val="20"/>
        </w:rPr>
        <w:t xml:space="preserve">The absence of lead (Pb) in the </w:t>
      </w:r>
      <w:r w:rsidR="00025771" w:rsidRPr="00DA7A90">
        <w:rPr>
          <w:color w:val="000000" w:themeColor="text1"/>
          <w:sz w:val="20"/>
          <w:szCs w:val="20"/>
        </w:rPr>
        <w:t>samples analyzed</w:t>
      </w:r>
      <w:r w:rsidRPr="00DA7A90">
        <w:rPr>
          <w:color w:val="000000" w:themeColor="text1"/>
          <w:sz w:val="20"/>
          <w:szCs w:val="20"/>
        </w:rPr>
        <w:t xml:space="preserve"> is a particularly favorable result. The IARC and WHO agree that there is no safe dose of lead for humans, due to its developmental neurotoxicity, reproductive toxicity, and impact on cognitive functions, particularly in children and pregnant women </w:t>
      </w:r>
      <w:r w:rsidR="00701CAB" w:rsidRPr="00DA7A90">
        <w:rPr>
          <w:color w:val="000000" w:themeColor="text1"/>
          <w:sz w:val="20"/>
          <w:szCs w:val="20"/>
        </w:rPr>
        <w:t>[5]</w:t>
      </w:r>
      <w:r w:rsidRPr="00DA7A90">
        <w:rPr>
          <w:color w:val="000000" w:themeColor="text1"/>
          <w:sz w:val="20"/>
          <w:szCs w:val="20"/>
        </w:rPr>
        <w:t>. Its absence indicates that the collection site is located far from sources of anthropogenic lead pollution. Similarly, the absence of chromium (Cr) rules out the risk associated with hexavalent chromium Cr</w:t>
      </w:r>
      <w:r w:rsidR="00173C53" w:rsidRPr="00DA7A90">
        <w:rPr>
          <w:color w:val="000000" w:themeColor="text1"/>
          <w:sz w:val="20"/>
          <w:szCs w:val="20"/>
          <w:vertAlign w:val="superscript"/>
        </w:rPr>
        <w:t>6</w:t>
      </w:r>
      <w:r w:rsidR="002F4D03" w:rsidRPr="00DA7A90">
        <w:rPr>
          <w:color w:val="000000" w:themeColor="text1"/>
          <w:sz w:val="20"/>
          <w:szCs w:val="20"/>
          <w:vertAlign w:val="superscript"/>
        </w:rPr>
        <w:t>+</w:t>
      </w:r>
      <w:r w:rsidRPr="00DA7A90">
        <w:rPr>
          <w:color w:val="000000" w:themeColor="text1"/>
          <w:sz w:val="20"/>
          <w:szCs w:val="20"/>
        </w:rPr>
        <w:t xml:space="preserve">, a genotoxic and carcinogenic form </w:t>
      </w:r>
      <w:r w:rsidR="008F49C5" w:rsidRPr="00DA7A90">
        <w:rPr>
          <w:color w:val="000000" w:themeColor="text1"/>
          <w:sz w:val="20"/>
          <w:szCs w:val="20"/>
        </w:rPr>
        <w:t xml:space="preserve">as </w:t>
      </w:r>
      <w:r w:rsidRPr="00DA7A90">
        <w:rPr>
          <w:color w:val="000000" w:themeColor="text1"/>
          <w:sz w:val="20"/>
          <w:szCs w:val="20"/>
        </w:rPr>
        <w:t xml:space="preserve">classified by the IARC </w:t>
      </w:r>
      <w:r w:rsidR="00701CAB" w:rsidRPr="00DA7A90">
        <w:rPr>
          <w:color w:val="000000" w:themeColor="text1"/>
          <w:sz w:val="20"/>
          <w:szCs w:val="20"/>
        </w:rPr>
        <w:t>[5]</w:t>
      </w:r>
      <w:r w:rsidRPr="00DA7A90">
        <w:rPr>
          <w:color w:val="000000" w:themeColor="text1"/>
          <w:sz w:val="20"/>
          <w:szCs w:val="20"/>
        </w:rPr>
        <w:t>, which should be distinguished from trivalent chromium Cr</w:t>
      </w:r>
      <w:r w:rsidR="00FE3A10" w:rsidRPr="00DA7A90">
        <w:rPr>
          <w:color w:val="000000" w:themeColor="text1"/>
          <w:sz w:val="20"/>
          <w:szCs w:val="20"/>
          <w:vertAlign w:val="superscript"/>
        </w:rPr>
        <w:t>3+</w:t>
      </w:r>
      <w:r w:rsidRPr="00DA7A90">
        <w:rPr>
          <w:color w:val="000000" w:themeColor="text1"/>
          <w:sz w:val="20"/>
          <w:szCs w:val="20"/>
        </w:rPr>
        <w:t>, which is essential for carbohydrate metabolism at very low doses</w:t>
      </w:r>
      <w:r w:rsidR="009F6BEF" w:rsidRPr="00DA7A90">
        <w:rPr>
          <w:color w:val="000000" w:themeColor="text1"/>
          <w:sz w:val="20"/>
          <w:szCs w:val="20"/>
        </w:rPr>
        <w:t xml:space="preserve"> [37]</w:t>
      </w:r>
      <w:r w:rsidRPr="00DA7A90">
        <w:rPr>
          <w:color w:val="000000" w:themeColor="text1"/>
          <w:sz w:val="20"/>
          <w:szCs w:val="20"/>
        </w:rPr>
        <w:t>.</w:t>
      </w:r>
    </w:p>
    <w:p w14:paraId="3CD9761D" w14:textId="1E044920" w:rsidR="007B5C2E" w:rsidRPr="00DA7A90" w:rsidRDefault="009101A4" w:rsidP="004A480E">
      <w:pPr>
        <w:jc w:val="both"/>
        <w:rPr>
          <w:color w:val="000000" w:themeColor="text1"/>
          <w:sz w:val="20"/>
          <w:szCs w:val="20"/>
        </w:rPr>
      </w:pPr>
      <w:r w:rsidRPr="00DA7A90">
        <w:rPr>
          <w:color w:val="000000" w:themeColor="text1"/>
          <w:sz w:val="20"/>
          <w:szCs w:val="20"/>
        </w:rPr>
        <w:t xml:space="preserve">In summary, the biohazard profile of the </w:t>
      </w:r>
      <w:r w:rsidRPr="00DA7A90">
        <w:rPr>
          <w:i/>
          <w:iCs/>
          <w:color w:val="000000" w:themeColor="text1"/>
          <w:sz w:val="20"/>
          <w:szCs w:val="20"/>
        </w:rPr>
        <w:t xml:space="preserve">P. marsupium </w:t>
      </w:r>
      <w:r w:rsidRPr="00DA7A90">
        <w:rPr>
          <w:color w:val="000000" w:themeColor="text1"/>
          <w:sz w:val="20"/>
          <w:szCs w:val="20"/>
        </w:rPr>
        <w:t xml:space="preserve">leaves analyzed in this study is generally </w:t>
      </w:r>
      <w:proofErr w:type="spellStart"/>
      <w:r w:rsidRPr="00DA7A90">
        <w:rPr>
          <w:color w:val="000000" w:themeColor="text1"/>
          <w:sz w:val="20"/>
          <w:szCs w:val="20"/>
        </w:rPr>
        <w:t>favo</w:t>
      </w:r>
      <w:r w:rsidR="003F2CAB">
        <w:rPr>
          <w:color w:val="000000" w:themeColor="text1"/>
          <w:sz w:val="20"/>
          <w:szCs w:val="20"/>
        </w:rPr>
        <w:t>u</w:t>
      </w:r>
      <w:r w:rsidRPr="00DA7A90">
        <w:rPr>
          <w:color w:val="000000" w:themeColor="text1"/>
          <w:sz w:val="20"/>
          <w:szCs w:val="20"/>
        </w:rPr>
        <w:t>rable</w:t>
      </w:r>
      <w:proofErr w:type="spellEnd"/>
      <w:r w:rsidRPr="00DA7A90">
        <w:rPr>
          <w:color w:val="000000" w:themeColor="text1"/>
          <w:sz w:val="20"/>
          <w:szCs w:val="20"/>
        </w:rPr>
        <w:t xml:space="preserve"> for conventional therapeutic use. The results are comparable to those reported for other medicinal </w:t>
      </w:r>
      <w:r w:rsidRPr="00DA7A90">
        <w:rPr>
          <w:i/>
          <w:iCs/>
          <w:color w:val="000000" w:themeColor="text1"/>
          <w:sz w:val="20"/>
          <w:szCs w:val="20"/>
        </w:rPr>
        <w:t>Fabaceae</w:t>
      </w:r>
      <w:r w:rsidRPr="00DA7A90">
        <w:rPr>
          <w:color w:val="000000" w:themeColor="text1"/>
          <w:sz w:val="20"/>
          <w:szCs w:val="20"/>
        </w:rPr>
        <w:t xml:space="preserve"> from West and Central Africa collected from uncontaminated soils</w:t>
      </w:r>
      <w:r w:rsidR="00C8029D">
        <w:rPr>
          <w:color w:val="000000" w:themeColor="text1"/>
          <w:sz w:val="20"/>
          <w:szCs w:val="20"/>
        </w:rPr>
        <w:t xml:space="preserve"> </w:t>
      </w:r>
      <w:r w:rsidR="00C8029D" w:rsidRPr="009F5E93">
        <w:rPr>
          <w:color w:val="000000" w:themeColor="text1"/>
          <w:sz w:val="20"/>
          <w:szCs w:val="20"/>
          <w:highlight w:val="yellow"/>
        </w:rPr>
        <w:t>[25</w:t>
      </w:r>
      <w:r w:rsidR="009F5E93" w:rsidRPr="009F5E93">
        <w:rPr>
          <w:color w:val="000000" w:themeColor="text1"/>
          <w:sz w:val="20"/>
          <w:szCs w:val="20"/>
          <w:highlight w:val="yellow"/>
        </w:rPr>
        <w:t>, 6, 36</w:t>
      </w:r>
      <w:r w:rsidR="00C8029D" w:rsidRPr="009F5E93">
        <w:rPr>
          <w:color w:val="000000" w:themeColor="text1"/>
          <w:sz w:val="20"/>
          <w:szCs w:val="20"/>
          <w:highlight w:val="yellow"/>
        </w:rPr>
        <w:t>]</w:t>
      </w:r>
      <w:r w:rsidRPr="00DA7A90">
        <w:rPr>
          <w:color w:val="000000" w:themeColor="text1"/>
          <w:sz w:val="20"/>
          <w:szCs w:val="20"/>
        </w:rPr>
        <w:t xml:space="preserve"> </w:t>
      </w:r>
      <w:r w:rsidR="00733AC7" w:rsidRPr="00DA7A90">
        <w:rPr>
          <w:color w:val="000000" w:themeColor="text1"/>
          <w:sz w:val="20"/>
          <w:szCs w:val="20"/>
        </w:rPr>
        <w:fldChar w:fldCharType="begin"/>
      </w:r>
      <w:r w:rsidR="00B62CB2" w:rsidRPr="00DA7A90">
        <w:rPr>
          <w:color w:val="000000" w:themeColor="text1"/>
          <w:sz w:val="20"/>
          <w:szCs w:val="20"/>
        </w:rPr>
        <w:instrText xml:space="preserve"> ADDIN ZOTERO_ITEM CSL_CITATION {"citationID":"UsNHHxUE","properties":{"formattedCitation":"\\super 25,26,36\\nosupersub{}","plainCitation":"25,26,36","noteIndex":0},"citationItems":[{"id":3989,"uris":["http://zotero.org/users/local/JzcqJHT8/items/D7RWFKRH"],"itemData":{"id":3989,"type":"article-journal","container-title":"African Journal of Pharmacy and Pharmacology","page":"1829-1832","title":"Investigation of macro and micro-nutrients in selected medicinal plants","volume":"6","author":[{"family":"Ullah","given":"Riaz"},{"family":"Khader","given":"Jameel Ahmed"},{"family":"Hussain","given":"Iqbal"},{"family":"AbdEl-Salam","given":"Naser M."},{"family":"Talha","given":"Muhammad"},{"family":"Khan","given":"Naeem Ahmad"},{"family":"Khel","given":"Ara"}],"issued":{"date-parts":[["2012"]]}},"label":"page"},{"id":3990,"uris":["http://zotero.org/users/local/JzcqJHT8/items/YSTLDG8J"],"itemData":{"id":3990,"type":"article-journal","container-title":"African Journal of Pharmacy and Pharmacology","issue":"12","page":"325-331","title":"Trace elements in selected medicinal plants from Nigeria.","volume":"8","author":[{"family":"Adeyemi","given":"O.S."},{"family":"Sulaiman","given":"F.A."},{"family":"Akanji","given":"M.A."}],"issued":{"date-parts":[["2014"]]}},"label":"page"},{"id":4003,"uris":["http://zotero.org/users/local/JzcqJHT8/items/FMVRUV4C"],"itemData":{"id":4003,"type":"article-journal","abstract":"Background. Most traditional medicines were prepared from plant origins. These plants could be contaminated by heavy metals, pesticides, and/or toxins. Therefore, the aim of the present study was to determine the level of heavy metals such as lead (Pb), cadmium (Cd), chromium (Cr), and copper (Cu) in frequently used traditional herbal preparations sold in Northeast Ethiopia and to estimate their health risks associated with their daily intake. Methods. A total of 6 traditional herbal preparations were randomly collected from local herbal shops of Dessie and Kombolcha town, Northeast Ethiopia. The samples were prepared for analysis by wet digestion method using nitric acid and hydrochloric acid treatment. The accuracy of the method was analyzed by the spike recovery test. Determination of Pb, Cd, Cr, and Cu by microwave plasma atomic emission spectroscopy was made in herbal preparations traditionally used in Dessie and Kombolcha town, Northeast Ethiopia. By calculating estimated daily intake (EDI), hazard quotients (HQ), and Hazard Index (HI) of metals, the health risk associated with the consumption of the analyzed herbal preparations was also evaluated. Results. The levels of heavy metals were in the range of 3.0–3.92 mg/kg for Pb, 5.35–10.7 mg/kg for Cr, and 0.815–12.3 mg/kg for Cu. However, cadmium was not detected in any of the traditional herbal preparations. This study revealed that the level of Pb and Cu in all analyzed samples was within the WHO maximum permissible limit of 10 mg/kg and 40 mg/kg, respectively. The level of Cr in all traditional herbal preparations was beyond the WHO maximum permissible limit (2 mg/kg). From the health point of view, the HQ value of Cr for KD-03 and KD-04 is greater than 1, suggesting potential health risk. Furthermore, the HI value had revealed that the consumption of KD-02, KD-03, and KD-04 samples had the potential of posing health risks to consumers over long-term consumption of herbal preparations. Conclusion. This study showed that most of the metal concentration levels in the herbal products were within the WHO maximum permissible limits. However, all samples had Cr levels above the WHO maximum permissible limit. Based on the results of this study, there would be a noncarcinogenic health risk to the consumer associated with the consumption of some herbal preparations marketed in Northeast Ethiopia.","container-title":"Journal of Chemistry","DOI":"https://doi.org/10.1155/2020/8883837","issue":"1","note":"_eprint: https://onlinelibrary.wiley.com/doi/pdf/10.1155/2020/8883837","page":"8883837","title":"Health Risk Assessment and Determination of Some Heavy Metals in Commonly Consumed Traditional Herbal Preparations in Northeast Ethiopia","volume":"2020","author":[{"family":"Meseret","given":"Mihreteab"},{"family":"Ketema","given":"Gebremariam"},{"family":"Kassahun","given":"Haile"}],"issued":{"date-parts":[["2020"]]}},"label":"page"}],"schema":"https://github.com/citation-style-language/schema/raw/master/csl-citation.json"} </w:instrText>
      </w:r>
      <w:r w:rsidR="00733AC7" w:rsidRPr="00DA7A90">
        <w:rPr>
          <w:color w:val="000000" w:themeColor="text1"/>
          <w:sz w:val="20"/>
          <w:szCs w:val="20"/>
        </w:rPr>
        <w:fldChar w:fldCharType="separate"/>
      </w:r>
      <w:r w:rsidR="001B7B50" w:rsidRPr="00DA7A90">
        <w:rPr>
          <w:color w:val="000000" w:themeColor="text1"/>
          <w:sz w:val="20"/>
          <w:szCs w:val="20"/>
          <w:vertAlign w:val="superscript"/>
        </w:rPr>
        <w:t>25,26,36</w:t>
      </w:r>
      <w:r w:rsidR="00733AC7" w:rsidRPr="00DA7A90">
        <w:rPr>
          <w:color w:val="000000" w:themeColor="text1"/>
          <w:sz w:val="20"/>
          <w:szCs w:val="20"/>
        </w:rPr>
        <w:fldChar w:fldCharType="end"/>
      </w:r>
      <w:r w:rsidRPr="00DA7A90">
        <w:rPr>
          <w:color w:val="000000" w:themeColor="text1"/>
          <w:sz w:val="20"/>
          <w:szCs w:val="20"/>
          <w:lang w:val="en-US"/>
        </w:rPr>
        <w:t xml:space="preserve">. </w:t>
      </w:r>
      <w:r w:rsidR="00384E5F" w:rsidRPr="00DA7A90">
        <w:rPr>
          <w:color w:val="000000" w:themeColor="text1"/>
          <w:sz w:val="20"/>
          <w:szCs w:val="20"/>
        </w:rPr>
        <w:t>The only points of concern identified relate to nickel for use in poultice form in users with atopic skin, cadmium for prolonged use and sodium in patients with cardiovascular risk.</w:t>
      </w:r>
    </w:p>
    <w:p w14:paraId="7D950761" w14:textId="77777777" w:rsidR="007B5C2E" w:rsidRPr="00DA7A90" w:rsidRDefault="009101A4" w:rsidP="004A480E">
      <w:pPr>
        <w:pStyle w:val="Heading1"/>
        <w:numPr>
          <w:ilvl w:val="0"/>
          <w:numId w:val="0"/>
        </w:numPr>
      </w:pPr>
      <w:r w:rsidRPr="00DA7A90">
        <w:t>5. Conclusion</w:t>
      </w:r>
    </w:p>
    <w:p w14:paraId="6393A55E" w14:textId="18499267" w:rsidR="007B5C2E" w:rsidRPr="00DA7A90" w:rsidRDefault="003F7FDF" w:rsidP="004A480E">
      <w:pPr>
        <w:jc w:val="both"/>
        <w:rPr>
          <w:color w:val="000000" w:themeColor="text1"/>
          <w:sz w:val="20"/>
          <w:szCs w:val="20"/>
        </w:rPr>
      </w:pPr>
      <w:r w:rsidRPr="00DA7A90">
        <w:rPr>
          <w:color w:val="000000" w:themeColor="text1"/>
          <w:sz w:val="20"/>
          <w:szCs w:val="20"/>
        </w:rPr>
        <w:t xml:space="preserve">This study provides quantitative data on the profile of eleven metallic elements in the leaves of </w:t>
      </w:r>
      <w:r w:rsidRPr="00DA7A90">
        <w:rPr>
          <w:i/>
          <w:iCs/>
          <w:color w:val="000000" w:themeColor="text1"/>
          <w:sz w:val="20"/>
          <w:szCs w:val="20"/>
        </w:rPr>
        <w:t xml:space="preserve">Pterocarpus marsupium </w:t>
      </w:r>
      <w:r w:rsidRPr="00DA7A90">
        <w:rPr>
          <w:color w:val="000000" w:themeColor="text1"/>
          <w:sz w:val="20"/>
          <w:szCs w:val="20"/>
        </w:rPr>
        <w:t>Roxb. and constitutes one of the first assessments of the biological risks associated with their medicinal use.</w:t>
      </w:r>
      <w:r w:rsidR="00F75617" w:rsidRPr="00DA7A90">
        <w:rPr>
          <w:i/>
          <w:iCs/>
          <w:color w:val="000000" w:themeColor="text1"/>
          <w:sz w:val="20"/>
          <w:szCs w:val="20"/>
        </w:rPr>
        <w:t xml:space="preserve"> </w:t>
      </w:r>
      <w:r w:rsidR="009101A4" w:rsidRPr="00DA7A90">
        <w:rPr>
          <w:color w:val="000000" w:themeColor="text1"/>
          <w:sz w:val="20"/>
          <w:szCs w:val="20"/>
        </w:rPr>
        <w:t xml:space="preserve">The predominance of calcium (59.27 mg/g DM), potassium (10.61 mg/g DM), and magnesium (2.02 mg/g DM) gives these leaves undeniable nutritional and pharmacological value, consistent with the documented antidiabetic and anti-inflammatory activities of this species. The absence of lead and chromium, combined with a cadmium content approximately </w:t>
      </w:r>
      <w:r w:rsidR="009101A4" w:rsidRPr="00DA7A90">
        <w:rPr>
          <w:color w:val="000000" w:themeColor="text1"/>
          <w:sz w:val="20"/>
          <w:szCs w:val="20"/>
        </w:rPr>
        <w:lastRenderedPageBreak/>
        <w:t>30 times lower than the WHO PTDI, attests to the satisfactory phytosanitary quality of the samples studied.</w:t>
      </w:r>
      <w:r w:rsidR="0076414F" w:rsidRPr="00DA7A90">
        <w:rPr>
          <w:color w:val="000000" w:themeColor="text1"/>
          <w:sz w:val="20"/>
          <w:szCs w:val="20"/>
        </w:rPr>
        <w:t xml:space="preserve"> </w:t>
      </w:r>
      <w:r w:rsidR="009101A4" w:rsidRPr="00DA7A90">
        <w:rPr>
          <w:color w:val="000000" w:themeColor="text1"/>
          <w:sz w:val="20"/>
          <w:szCs w:val="20"/>
        </w:rPr>
        <w:t xml:space="preserve">These results support the safe use of </w:t>
      </w:r>
      <w:r w:rsidR="00D83B43" w:rsidRPr="00DA7A90">
        <w:rPr>
          <w:color w:val="000000" w:themeColor="text1"/>
          <w:sz w:val="20"/>
          <w:szCs w:val="20"/>
        </w:rPr>
        <w:t xml:space="preserve">the leaves of </w:t>
      </w:r>
      <w:r w:rsidR="00D83B43" w:rsidRPr="00DA7A90">
        <w:rPr>
          <w:i/>
          <w:iCs/>
          <w:color w:val="000000" w:themeColor="text1"/>
          <w:sz w:val="20"/>
          <w:szCs w:val="20"/>
        </w:rPr>
        <w:t xml:space="preserve">Pterocarpus marsupium </w:t>
      </w:r>
      <w:r w:rsidR="00D83B43" w:rsidRPr="00DA7A90">
        <w:rPr>
          <w:color w:val="000000" w:themeColor="text1"/>
          <w:sz w:val="20"/>
          <w:szCs w:val="20"/>
        </w:rPr>
        <w:t>Roxb</w:t>
      </w:r>
      <w:r w:rsidR="005C74E6" w:rsidRPr="00DA7A90">
        <w:rPr>
          <w:color w:val="000000" w:themeColor="text1"/>
          <w:sz w:val="20"/>
          <w:szCs w:val="20"/>
        </w:rPr>
        <w:t>.</w:t>
      </w:r>
      <w:r w:rsidR="00D83B43" w:rsidRPr="00DA7A90">
        <w:rPr>
          <w:color w:val="000000" w:themeColor="text1"/>
          <w:sz w:val="20"/>
          <w:szCs w:val="20"/>
        </w:rPr>
        <w:t xml:space="preserve"> </w:t>
      </w:r>
      <w:r w:rsidR="009101A4" w:rsidRPr="00DA7A90">
        <w:rPr>
          <w:color w:val="000000" w:themeColor="text1"/>
          <w:sz w:val="20"/>
          <w:szCs w:val="20"/>
        </w:rPr>
        <w:t xml:space="preserve">at conventional therapeutic doses, subject to three practical recommendations: systematic analytical monitoring of cadmium and nickel levels for all batches intended for prolonged use; advising against topical use in patients with a documented nickel allergy; and cardiovascular caution in hypertensive individuals with intensive use. </w:t>
      </w:r>
      <w:r w:rsidR="00873824" w:rsidRPr="00DA7A90">
        <w:rPr>
          <w:color w:val="000000" w:themeColor="text1"/>
          <w:sz w:val="20"/>
          <w:szCs w:val="20"/>
        </w:rPr>
        <w:t xml:space="preserve">Further studies on the oral bioavailability of these elements, the impact of traditional preparation methods (decoction or maceration) on their metal content, and the geographical variability of the mineral composition would be necessary to refine the risk assessment and strengthen the basis for a rational medicinal use of </w:t>
      </w:r>
      <w:r w:rsidR="00873824" w:rsidRPr="00DA7A90">
        <w:rPr>
          <w:i/>
          <w:iCs/>
          <w:color w:val="000000" w:themeColor="text1"/>
          <w:sz w:val="20"/>
          <w:szCs w:val="20"/>
        </w:rPr>
        <w:t>Pterocarpus marsupium</w:t>
      </w:r>
      <w:r w:rsidR="00873824" w:rsidRPr="00DA7A90">
        <w:rPr>
          <w:color w:val="000000" w:themeColor="text1"/>
          <w:sz w:val="20"/>
          <w:szCs w:val="20"/>
        </w:rPr>
        <w:t xml:space="preserve"> Roxb. leaves.</w:t>
      </w:r>
    </w:p>
    <w:p w14:paraId="508A7642" w14:textId="77777777" w:rsidR="00BA06C2" w:rsidRPr="00DA7A90" w:rsidRDefault="00BA06C2" w:rsidP="004A480E">
      <w:pPr>
        <w:jc w:val="both"/>
        <w:rPr>
          <w:color w:val="000000" w:themeColor="text1"/>
          <w:sz w:val="20"/>
          <w:szCs w:val="20"/>
        </w:rPr>
      </w:pPr>
    </w:p>
    <w:p w14:paraId="35C36EBE" w14:textId="77777777" w:rsidR="00D725FE" w:rsidRPr="00D725FE" w:rsidRDefault="00D725FE" w:rsidP="00D725FE">
      <w:pPr>
        <w:rPr>
          <w:rFonts w:ascii="Times New Roman" w:eastAsia="Calibri" w:hAnsi="Times New Roman" w:cs="Times New Roman"/>
          <w:kern w:val="2"/>
          <w:highlight w:val="yellow"/>
          <w:lang w:val="en-US" w:eastAsia="en-US"/>
        </w:rPr>
      </w:pPr>
      <w:bookmarkStart w:id="0" w:name="_Hlk198031404"/>
      <w:bookmarkStart w:id="1" w:name="_Hlk219125673"/>
      <w:r w:rsidRPr="00D725FE">
        <w:rPr>
          <w:rFonts w:ascii="Times New Roman" w:eastAsia="Calibri" w:hAnsi="Times New Roman" w:cs="Times New Roman"/>
          <w:kern w:val="2"/>
          <w:highlight w:val="yellow"/>
          <w:lang w:val="en-US" w:eastAsia="en-US"/>
        </w:rPr>
        <w:t>Disclaimer (Artificial intelligence)</w:t>
      </w:r>
    </w:p>
    <w:p w14:paraId="257C34A2" w14:textId="77777777" w:rsidR="00D725FE" w:rsidRPr="00D725FE" w:rsidRDefault="00D725FE" w:rsidP="00D725FE">
      <w:pPr>
        <w:rPr>
          <w:rFonts w:ascii="Times New Roman" w:eastAsia="Calibri" w:hAnsi="Times New Roman" w:cs="Times New Roman"/>
          <w:kern w:val="2"/>
          <w:highlight w:val="yellow"/>
          <w:lang w:val="en-US" w:eastAsia="en-US"/>
        </w:rPr>
      </w:pPr>
    </w:p>
    <w:p w14:paraId="28FBFAE0" w14:textId="77777777" w:rsidR="00D725FE" w:rsidRPr="00D725FE" w:rsidRDefault="00D725FE" w:rsidP="00D725FE">
      <w:pPr>
        <w:rPr>
          <w:rFonts w:ascii="Times New Roman" w:eastAsia="Calibri" w:hAnsi="Times New Roman" w:cs="Times New Roman"/>
          <w:kern w:val="2"/>
          <w:highlight w:val="yellow"/>
          <w:lang w:val="en-US" w:eastAsia="en-US"/>
        </w:rPr>
      </w:pPr>
      <w:r w:rsidRPr="00D725FE">
        <w:rPr>
          <w:rFonts w:ascii="Times New Roman" w:eastAsia="Calibri" w:hAnsi="Times New Roman" w:cs="Times New Roman"/>
          <w:kern w:val="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bookmarkEnd w:id="0"/>
    <w:p w14:paraId="65D43CEA" w14:textId="77777777" w:rsidR="00D725FE" w:rsidRPr="00D725FE" w:rsidRDefault="00D725FE" w:rsidP="00D725FE">
      <w:pPr>
        <w:spacing w:after="200" w:line="276" w:lineRule="auto"/>
        <w:rPr>
          <w:rFonts w:ascii="Calibri" w:eastAsia="Calibri" w:hAnsi="Calibri" w:cs="Times New Roman"/>
          <w:sz w:val="28"/>
          <w:lang w:val="en-US" w:eastAsia="en-US"/>
        </w:rPr>
      </w:pPr>
    </w:p>
    <w:bookmarkEnd w:id="1"/>
    <w:p w14:paraId="06D23C17" w14:textId="77777777" w:rsidR="00DC53A1" w:rsidRPr="00D725FE" w:rsidRDefault="00DC53A1" w:rsidP="004A480E">
      <w:pPr>
        <w:jc w:val="both"/>
        <w:rPr>
          <w:b/>
          <w:bCs/>
          <w:color w:val="000000" w:themeColor="text1"/>
          <w:lang w:val="en-US"/>
        </w:rPr>
      </w:pPr>
    </w:p>
    <w:p w14:paraId="413858CB" w14:textId="7CEC0D96" w:rsidR="007B5C2E" w:rsidRPr="00DA7A90" w:rsidRDefault="00411773" w:rsidP="004A480E">
      <w:pPr>
        <w:jc w:val="both"/>
        <w:rPr>
          <w:b/>
          <w:bCs/>
          <w:color w:val="000000" w:themeColor="text1"/>
        </w:rPr>
      </w:pPr>
      <w:r w:rsidRPr="00DA7A90">
        <w:rPr>
          <w:b/>
          <w:bCs/>
          <w:color w:val="000000" w:themeColor="text1"/>
        </w:rPr>
        <w:t>R</w:t>
      </w:r>
      <w:r w:rsidR="009101A4" w:rsidRPr="00DA7A90">
        <w:rPr>
          <w:b/>
          <w:bCs/>
          <w:color w:val="000000" w:themeColor="text1"/>
        </w:rPr>
        <w:t>eferences</w:t>
      </w:r>
    </w:p>
    <w:p w14:paraId="2BA8C142" w14:textId="77777777" w:rsidR="00DC53A1" w:rsidRPr="00DA7A90" w:rsidRDefault="00DC53A1" w:rsidP="004A480E">
      <w:pPr>
        <w:jc w:val="both"/>
        <w:rPr>
          <w:color w:val="000000" w:themeColor="text1"/>
        </w:rPr>
      </w:pPr>
    </w:p>
    <w:p w14:paraId="2FAFBDE5" w14:textId="7C18989B" w:rsidR="001B7B50" w:rsidRPr="00DA7A90" w:rsidRDefault="00AD6264" w:rsidP="004A480E">
      <w:pPr>
        <w:pStyle w:val="Bibliography"/>
        <w:jc w:val="both"/>
        <w:rPr>
          <w:color w:val="000000" w:themeColor="text1"/>
          <w:sz w:val="20"/>
          <w:szCs w:val="20"/>
        </w:rPr>
      </w:pPr>
      <w:r w:rsidRPr="00DA7A90">
        <w:rPr>
          <w:color w:val="000000" w:themeColor="text1"/>
          <w:sz w:val="20"/>
          <w:szCs w:val="20"/>
        </w:rPr>
        <w:fldChar w:fldCharType="begin"/>
      </w:r>
      <w:r w:rsidR="001B7B50" w:rsidRPr="00DA7A90">
        <w:rPr>
          <w:color w:val="000000" w:themeColor="text1"/>
          <w:sz w:val="20"/>
          <w:szCs w:val="20"/>
          <w:lang w:val="en-US"/>
        </w:rPr>
        <w:instrText xml:space="preserve"> ADDIN ZOTERO_BIBL {"uncited":[],"omitted":[],"custom":[]} CSL_BIBLIOGRAPHY </w:instrText>
      </w:r>
      <w:r w:rsidRPr="00DA7A90">
        <w:rPr>
          <w:color w:val="000000" w:themeColor="text1"/>
          <w:sz w:val="20"/>
          <w:szCs w:val="20"/>
        </w:rPr>
        <w:fldChar w:fldCharType="separate"/>
      </w:r>
      <w:r w:rsidR="001B7B50" w:rsidRPr="00DA7A90">
        <w:rPr>
          <w:color w:val="000000" w:themeColor="text1"/>
          <w:sz w:val="20"/>
          <w:szCs w:val="20"/>
        </w:rPr>
        <w:t>1</w:t>
      </w:r>
      <w:r w:rsidR="0084322B" w:rsidRPr="00DA7A90">
        <w:rPr>
          <w:color w:val="000000" w:themeColor="text1"/>
          <w:sz w:val="20"/>
          <w:szCs w:val="20"/>
        </w:rPr>
        <w:t>.</w:t>
      </w:r>
      <w:r w:rsidR="001B7B50" w:rsidRPr="00DA7A90">
        <w:rPr>
          <w:color w:val="000000" w:themeColor="text1"/>
          <w:sz w:val="20"/>
          <w:szCs w:val="20"/>
        </w:rPr>
        <w:tab/>
        <w:t>WHO (2019). World Health Organization Global Report on Traditional and Complementary Medicine. Geneva: WHO.</w:t>
      </w:r>
    </w:p>
    <w:p w14:paraId="0FF823D4" w14:textId="3D357FAE" w:rsidR="00D428D2" w:rsidRPr="00DA7A90" w:rsidRDefault="001B7B50" w:rsidP="004A480E">
      <w:pPr>
        <w:pStyle w:val="Bibliography"/>
        <w:jc w:val="both"/>
        <w:rPr>
          <w:color w:val="000000" w:themeColor="text1"/>
          <w:sz w:val="20"/>
          <w:szCs w:val="20"/>
        </w:rPr>
      </w:pPr>
      <w:r w:rsidRPr="00DA7A90">
        <w:rPr>
          <w:color w:val="000000" w:themeColor="text1"/>
          <w:sz w:val="20"/>
          <w:szCs w:val="20"/>
        </w:rPr>
        <w:t>2</w:t>
      </w:r>
      <w:r w:rsidR="0084322B" w:rsidRPr="00DA7A90">
        <w:rPr>
          <w:color w:val="000000" w:themeColor="text1"/>
          <w:sz w:val="20"/>
          <w:szCs w:val="20"/>
        </w:rPr>
        <w:t>.</w:t>
      </w:r>
      <w:r w:rsidRPr="00DA7A90">
        <w:rPr>
          <w:color w:val="000000" w:themeColor="text1"/>
          <w:sz w:val="20"/>
          <w:szCs w:val="20"/>
        </w:rPr>
        <w:tab/>
        <w:t>Аrbаin D</w:t>
      </w:r>
      <w:r w:rsidR="003B025B" w:rsidRPr="00DA7A90">
        <w:rPr>
          <w:color w:val="000000" w:themeColor="text1"/>
          <w:sz w:val="20"/>
          <w:szCs w:val="20"/>
        </w:rPr>
        <w:t>,</w:t>
      </w:r>
      <w:r w:rsidRPr="00DA7A90">
        <w:rPr>
          <w:color w:val="000000" w:themeColor="text1"/>
          <w:sz w:val="20"/>
          <w:szCs w:val="20"/>
        </w:rPr>
        <w:t xml:space="preserve"> Saputri GA</w:t>
      </w:r>
      <w:r w:rsidR="003B025B" w:rsidRPr="00DA7A90">
        <w:rPr>
          <w:color w:val="000000" w:themeColor="text1"/>
          <w:sz w:val="20"/>
          <w:szCs w:val="20"/>
        </w:rPr>
        <w:t>,</w:t>
      </w:r>
      <w:r w:rsidRPr="00DA7A90">
        <w:rPr>
          <w:color w:val="000000" w:themeColor="text1"/>
          <w:sz w:val="20"/>
          <w:szCs w:val="20"/>
        </w:rPr>
        <w:t xml:space="preserve"> Syahputra GS</w:t>
      </w:r>
      <w:r w:rsidR="003B025B" w:rsidRPr="00DA7A90">
        <w:rPr>
          <w:color w:val="000000" w:themeColor="text1"/>
          <w:sz w:val="20"/>
          <w:szCs w:val="20"/>
        </w:rPr>
        <w:t>,</w:t>
      </w:r>
      <w:r w:rsidRPr="00DA7A90">
        <w:rPr>
          <w:color w:val="000000" w:themeColor="text1"/>
          <w:sz w:val="20"/>
          <w:szCs w:val="20"/>
        </w:rPr>
        <w:t xml:space="preserve"> Widiyastuti Y</w:t>
      </w:r>
      <w:r w:rsidR="003B025B" w:rsidRPr="00DA7A90">
        <w:rPr>
          <w:color w:val="000000" w:themeColor="text1"/>
          <w:sz w:val="20"/>
          <w:szCs w:val="20"/>
        </w:rPr>
        <w:t>,</w:t>
      </w:r>
      <w:r w:rsidRPr="00DA7A90">
        <w:rPr>
          <w:color w:val="000000" w:themeColor="text1"/>
          <w:sz w:val="20"/>
          <w:szCs w:val="20"/>
        </w:rPr>
        <w:t xml:space="preserve"> Susanti D</w:t>
      </w:r>
      <w:r w:rsidR="003B025B" w:rsidRPr="00DA7A90">
        <w:rPr>
          <w:color w:val="000000" w:themeColor="text1"/>
          <w:sz w:val="20"/>
          <w:szCs w:val="20"/>
        </w:rPr>
        <w:t>,</w:t>
      </w:r>
      <w:r w:rsidRPr="00DA7A90">
        <w:rPr>
          <w:color w:val="000000" w:themeColor="text1"/>
          <w:sz w:val="20"/>
          <w:szCs w:val="20"/>
        </w:rPr>
        <w:t xml:space="preserve"> Taher M. Genus Pterocarpus: A Review of Ethnopharmacology, Phytochemistry, Biological Activities, and Clinical Evidence. J</w:t>
      </w:r>
      <w:r w:rsidR="0072536B" w:rsidRPr="00DA7A90">
        <w:rPr>
          <w:color w:val="000000" w:themeColor="text1"/>
          <w:sz w:val="20"/>
          <w:szCs w:val="20"/>
        </w:rPr>
        <w:t>.</w:t>
      </w:r>
      <w:r w:rsidRPr="00DA7A90">
        <w:rPr>
          <w:color w:val="000000" w:themeColor="text1"/>
          <w:sz w:val="20"/>
          <w:szCs w:val="20"/>
        </w:rPr>
        <w:t xml:space="preserve"> Ethnopharmacol</w:t>
      </w:r>
      <w:r w:rsidR="0072536B" w:rsidRPr="00DA7A90">
        <w:rPr>
          <w:color w:val="000000" w:themeColor="text1"/>
          <w:sz w:val="20"/>
          <w:szCs w:val="20"/>
        </w:rPr>
        <w:t>.</w:t>
      </w:r>
      <w:r w:rsidRPr="00DA7A90">
        <w:rPr>
          <w:color w:val="000000" w:themeColor="text1"/>
          <w:sz w:val="20"/>
          <w:szCs w:val="20"/>
        </w:rPr>
        <w:t xml:space="preserve"> </w:t>
      </w:r>
      <w:r w:rsidR="008A6094" w:rsidRPr="00DA7A90">
        <w:rPr>
          <w:color w:val="000000" w:themeColor="text1"/>
          <w:sz w:val="20"/>
          <w:szCs w:val="20"/>
        </w:rPr>
        <w:t>2021;</w:t>
      </w:r>
      <w:r w:rsidRPr="00DA7A90">
        <w:rPr>
          <w:color w:val="000000" w:themeColor="text1"/>
          <w:sz w:val="20"/>
          <w:szCs w:val="20"/>
        </w:rPr>
        <w:t>278</w:t>
      </w:r>
      <w:r w:rsidR="008A6094" w:rsidRPr="00DA7A90">
        <w:rPr>
          <w:color w:val="000000" w:themeColor="text1"/>
          <w:sz w:val="20"/>
          <w:szCs w:val="20"/>
        </w:rPr>
        <w:t>:</w:t>
      </w:r>
      <w:r w:rsidRPr="00DA7A90">
        <w:rPr>
          <w:color w:val="000000" w:themeColor="text1"/>
          <w:sz w:val="20"/>
          <w:szCs w:val="20"/>
        </w:rPr>
        <w:t xml:space="preserve">114316. </w:t>
      </w:r>
    </w:p>
    <w:p w14:paraId="0414D3BC" w14:textId="07ADC4BC" w:rsidR="001B7B50" w:rsidRPr="00DA7A90" w:rsidRDefault="00D428D2"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://doi.org/10.1016/j.jep.2021.114316</w:t>
      </w:r>
    </w:p>
    <w:p w14:paraId="4CD823CF" w14:textId="16B54471" w:rsidR="00D428D2" w:rsidRPr="00DA7A90" w:rsidRDefault="001B7B50" w:rsidP="004A480E">
      <w:pPr>
        <w:pStyle w:val="Bibliography"/>
        <w:jc w:val="both"/>
        <w:rPr>
          <w:color w:val="000000" w:themeColor="text1"/>
          <w:sz w:val="20"/>
          <w:szCs w:val="20"/>
        </w:rPr>
      </w:pPr>
      <w:r w:rsidRPr="00DA7A90">
        <w:rPr>
          <w:color w:val="000000" w:themeColor="text1"/>
          <w:sz w:val="20"/>
          <w:szCs w:val="20"/>
          <w:lang w:val="en-US"/>
        </w:rPr>
        <w:t>3</w:t>
      </w:r>
      <w:r w:rsidR="0084322B" w:rsidRPr="00DA7A90">
        <w:rPr>
          <w:color w:val="000000" w:themeColor="text1"/>
          <w:sz w:val="20"/>
          <w:szCs w:val="20"/>
          <w:lang w:val="en-US"/>
        </w:rPr>
        <w:t>.</w:t>
      </w:r>
      <w:r w:rsidRPr="00DA7A90">
        <w:rPr>
          <w:color w:val="000000" w:themeColor="text1"/>
          <w:sz w:val="20"/>
          <w:szCs w:val="20"/>
          <w:lang w:val="en-US"/>
        </w:rPr>
        <w:tab/>
        <w:t>Rahman MS</w:t>
      </w:r>
      <w:r w:rsidR="003B025B" w:rsidRPr="00DA7A90">
        <w:rPr>
          <w:color w:val="000000" w:themeColor="text1"/>
          <w:sz w:val="20"/>
          <w:szCs w:val="20"/>
          <w:lang w:val="en-US"/>
        </w:rPr>
        <w:t>,</w:t>
      </w:r>
      <w:r w:rsidRPr="00DA7A90">
        <w:rPr>
          <w:color w:val="000000" w:themeColor="text1"/>
          <w:sz w:val="20"/>
          <w:szCs w:val="20"/>
          <w:lang w:val="en-US"/>
        </w:rPr>
        <w:t xml:space="preserve"> Mujahid M</w:t>
      </w:r>
      <w:r w:rsidR="003B025B" w:rsidRPr="00DA7A90">
        <w:rPr>
          <w:color w:val="000000" w:themeColor="text1"/>
          <w:sz w:val="20"/>
          <w:szCs w:val="20"/>
          <w:lang w:val="en-US"/>
        </w:rPr>
        <w:t>,</w:t>
      </w:r>
      <w:r w:rsidRPr="00DA7A90">
        <w:rPr>
          <w:color w:val="000000" w:themeColor="text1"/>
          <w:sz w:val="20"/>
          <w:szCs w:val="20"/>
          <w:lang w:val="en-US"/>
        </w:rPr>
        <w:t xml:space="preserve"> Siddiqui MA</w:t>
      </w:r>
      <w:r w:rsidR="003B025B" w:rsidRPr="00DA7A90">
        <w:rPr>
          <w:color w:val="000000" w:themeColor="text1"/>
          <w:sz w:val="20"/>
          <w:szCs w:val="20"/>
          <w:lang w:val="en-US"/>
        </w:rPr>
        <w:t>,</w:t>
      </w:r>
      <w:r w:rsidRPr="00DA7A90">
        <w:rPr>
          <w:color w:val="000000" w:themeColor="text1"/>
          <w:sz w:val="20"/>
          <w:szCs w:val="20"/>
          <w:lang w:val="en-US"/>
        </w:rPr>
        <w:t xml:space="preserve"> </w:t>
      </w:r>
      <w:r w:rsidR="008C15EC" w:rsidRPr="00DA7A90">
        <w:rPr>
          <w:color w:val="000000" w:themeColor="text1"/>
          <w:sz w:val="20"/>
          <w:szCs w:val="20"/>
          <w:lang w:val="en-US"/>
        </w:rPr>
        <w:t xml:space="preserve">Rahman </w:t>
      </w:r>
      <w:r w:rsidRPr="00DA7A90">
        <w:rPr>
          <w:color w:val="000000" w:themeColor="text1"/>
          <w:sz w:val="20"/>
          <w:szCs w:val="20"/>
          <w:lang w:val="en-US"/>
        </w:rPr>
        <w:t>M</w:t>
      </w:r>
      <w:r w:rsidR="00AF6E6B" w:rsidRPr="00DA7A90">
        <w:rPr>
          <w:color w:val="000000" w:themeColor="text1"/>
          <w:sz w:val="20"/>
          <w:szCs w:val="20"/>
        </w:rPr>
        <w:t>,</w:t>
      </w:r>
      <w:r w:rsidRPr="00DA7A90">
        <w:rPr>
          <w:color w:val="000000" w:themeColor="text1"/>
          <w:sz w:val="20"/>
          <w:szCs w:val="20"/>
        </w:rPr>
        <w:t xml:space="preserve"> Arif M</w:t>
      </w:r>
      <w:r w:rsidR="003B025B" w:rsidRPr="00DA7A90">
        <w:rPr>
          <w:color w:val="000000" w:themeColor="text1"/>
          <w:sz w:val="20"/>
          <w:szCs w:val="20"/>
        </w:rPr>
        <w:t>,</w:t>
      </w:r>
      <w:r w:rsidRPr="00DA7A90">
        <w:rPr>
          <w:color w:val="000000" w:themeColor="text1"/>
          <w:sz w:val="20"/>
          <w:szCs w:val="20"/>
        </w:rPr>
        <w:t xml:space="preserve"> Eram S</w:t>
      </w:r>
      <w:r w:rsidR="003B025B" w:rsidRPr="00DA7A90">
        <w:rPr>
          <w:color w:val="000000" w:themeColor="text1"/>
          <w:sz w:val="20"/>
          <w:szCs w:val="20"/>
        </w:rPr>
        <w:t>,</w:t>
      </w:r>
      <w:r w:rsidRPr="00DA7A90">
        <w:rPr>
          <w:color w:val="000000" w:themeColor="text1"/>
          <w:sz w:val="20"/>
          <w:szCs w:val="20"/>
        </w:rPr>
        <w:t xml:space="preserve"> Khan A</w:t>
      </w:r>
      <w:r w:rsidR="003B025B" w:rsidRPr="00DA7A90">
        <w:rPr>
          <w:color w:val="000000" w:themeColor="text1"/>
          <w:sz w:val="20"/>
          <w:szCs w:val="20"/>
        </w:rPr>
        <w:t>,</w:t>
      </w:r>
      <w:r w:rsidRPr="00DA7A90">
        <w:rPr>
          <w:color w:val="000000" w:themeColor="text1"/>
          <w:sz w:val="20"/>
          <w:szCs w:val="20"/>
        </w:rPr>
        <w:t xml:space="preserve"> Azeemuddin, M</w:t>
      </w:r>
      <w:r w:rsidR="00A651BB" w:rsidRPr="00DA7A90">
        <w:rPr>
          <w:color w:val="000000" w:themeColor="text1"/>
          <w:sz w:val="20"/>
          <w:szCs w:val="20"/>
        </w:rPr>
        <w:t xml:space="preserve">. </w:t>
      </w:r>
      <w:r w:rsidRPr="00DA7A90">
        <w:rPr>
          <w:color w:val="000000" w:themeColor="text1"/>
          <w:sz w:val="20"/>
          <w:szCs w:val="20"/>
        </w:rPr>
        <w:t>Ethnobotanical Uses, Phytochemistry and Pharmacological Activities of Pterocarpus Marsupium: A Review. Pharmacogn</w:t>
      </w:r>
      <w:r w:rsidR="00E0604C" w:rsidRPr="00DA7A90">
        <w:rPr>
          <w:color w:val="000000" w:themeColor="text1"/>
          <w:sz w:val="20"/>
          <w:szCs w:val="20"/>
        </w:rPr>
        <w:t>.</w:t>
      </w:r>
      <w:r w:rsidRPr="00DA7A90">
        <w:rPr>
          <w:color w:val="000000" w:themeColor="text1"/>
          <w:sz w:val="20"/>
          <w:szCs w:val="20"/>
        </w:rPr>
        <w:t xml:space="preserve"> J</w:t>
      </w:r>
      <w:r w:rsidR="00E0604C" w:rsidRPr="00DA7A90">
        <w:rPr>
          <w:color w:val="000000" w:themeColor="text1"/>
          <w:sz w:val="20"/>
          <w:szCs w:val="20"/>
        </w:rPr>
        <w:t>.</w:t>
      </w:r>
      <w:r w:rsidR="00AA70CC" w:rsidRPr="00DA7A90">
        <w:rPr>
          <w:color w:val="000000" w:themeColor="text1"/>
          <w:sz w:val="20"/>
          <w:szCs w:val="20"/>
        </w:rPr>
        <w:t xml:space="preserve"> </w:t>
      </w:r>
      <w:r w:rsidR="00E0604C" w:rsidRPr="00DA7A90">
        <w:rPr>
          <w:color w:val="000000" w:themeColor="text1"/>
          <w:sz w:val="20"/>
          <w:szCs w:val="20"/>
        </w:rPr>
        <w:t>2018;</w:t>
      </w:r>
      <w:r w:rsidRPr="00DA7A90">
        <w:rPr>
          <w:color w:val="000000" w:themeColor="text1"/>
          <w:sz w:val="20"/>
          <w:szCs w:val="20"/>
        </w:rPr>
        <w:t>10</w:t>
      </w:r>
      <w:r w:rsidR="00E0604C" w:rsidRPr="00DA7A90">
        <w:rPr>
          <w:color w:val="000000" w:themeColor="text1"/>
          <w:sz w:val="20"/>
          <w:szCs w:val="20"/>
        </w:rPr>
        <w:t>:</w:t>
      </w:r>
      <w:r w:rsidRPr="00DA7A90">
        <w:rPr>
          <w:color w:val="000000" w:themeColor="text1"/>
          <w:sz w:val="20"/>
          <w:szCs w:val="20"/>
        </w:rPr>
        <w:t xml:space="preserve">s1–s8. </w:t>
      </w:r>
    </w:p>
    <w:p w14:paraId="2E0B8919" w14:textId="16C1EA4B" w:rsidR="001B7B50" w:rsidRPr="00DA7A90" w:rsidRDefault="00D428D2"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://doi.org/10.5530/pj.2018.6s.1</w:t>
      </w:r>
    </w:p>
    <w:p w14:paraId="0B974799" w14:textId="406B5598" w:rsidR="001B7B50" w:rsidRPr="00DA7A90" w:rsidRDefault="001B7B50" w:rsidP="004A480E">
      <w:pPr>
        <w:pStyle w:val="Bibliography"/>
        <w:jc w:val="both"/>
        <w:rPr>
          <w:color w:val="000000" w:themeColor="text1"/>
          <w:sz w:val="20"/>
          <w:szCs w:val="20"/>
        </w:rPr>
      </w:pPr>
      <w:r w:rsidRPr="00DA7A90">
        <w:rPr>
          <w:color w:val="000000" w:themeColor="text1"/>
          <w:sz w:val="20"/>
          <w:szCs w:val="20"/>
        </w:rPr>
        <w:t>4</w:t>
      </w:r>
      <w:r w:rsidR="0084322B" w:rsidRPr="00DA7A90">
        <w:rPr>
          <w:color w:val="000000" w:themeColor="text1"/>
          <w:sz w:val="20"/>
          <w:szCs w:val="20"/>
        </w:rPr>
        <w:t>.</w:t>
      </w:r>
      <w:r w:rsidRPr="00DA7A90">
        <w:rPr>
          <w:color w:val="000000" w:themeColor="text1"/>
          <w:sz w:val="20"/>
          <w:szCs w:val="20"/>
        </w:rPr>
        <w:tab/>
        <w:t>WHO (2007). WHO Guidelines for Assessing Quality of Herbal Medicines with Reference to Contaminants and Residues. World Health Organization, Geneva.</w:t>
      </w:r>
    </w:p>
    <w:p w14:paraId="45A25EF2" w14:textId="1121009C" w:rsidR="001B7B50" w:rsidRPr="00DA7A90" w:rsidRDefault="001B7B50" w:rsidP="004A480E">
      <w:pPr>
        <w:pStyle w:val="Bibliography"/>
        <w:jc w:val="both"/>
        <w:rPr>
          <w:color w:val="000000" w:themeColor="text1"/>
          <w:sz w:val="20"/>
          <w:szCs w:val="20"/>
        </w:rPr>
      </w:pPr>
      <w:r w:rsidRPr="00DA7A90">
        <w:rPr>
          <w:color w:val="000000" w:themeColor="text1"/>
          <w:sz w:val="20"/>
          <w:szCs w:val="20"/>
        </w:rPr>
        <w:t>5</w:t>
      </w:r>
      <w:r w:rsidR="0084322B" w:rsidRPr="00DA7A90">
        <w:rPr>
          <w:color w:val="000000" w:themeColor="text1"/>
          <w:sz w:val="20"/>
          <w:szCs w:val="20"/>
        </w:rPr>
        <w:t>.</w:t>
      </w:r>
      <w:r w:rsidRPr="00DA7A90">
        <w:rPr>
          <w:color w:val="000000" w:themeColor="text1"/>
          <w:sz w:val="20"/>
          <w:szCs w:val="20"/>
        </w:rPr>
        <w:tab/>
        <w:t xml:space="preserve">IARC (2012). Monographs on the Evaluation of Carcinogenic Risks to Humans. Vol. 100C </w:t>
      </w:r>
      <w:r w:rsidR="00F94CDD" w:rsidRPr="00DA7A90">
        <w:rPr>
          <w:color w:val="000000" w:themeColor="text1"/>
          <w:sz w:val="20"/>
          <w:szCs w:val="20"/>
        </w:rPr>
        <w:t>-</w:t>
      </w:r>
      <w:r w:rsidRPr="00DA7A90">
        <w:rPr>
          <w:color w:val="000000" w:themeColor="text1"/>
          <w:sz w:val="20"/>
          <w:szCs w:val="20"/>
        </w:rPr>
        <w:t xml:space="preserve"> Arsenic, Metals, Fibres, and Dusts. International Agency for Research on Cancer, Lyon.</w:t>
      </w:r>
    </w:p>
    <w:p w14:paraId="23B27499" w14:textId="7EA36BEF" w:rsidR="00F94CDD" w:rsidRPr="00DA7A90" w:rsidRDefault="001B7B50" w:rsidP="004A480E">
      <w:pPr>
        <w:pStyle w:val="Bibliography"/>
        <w:jc w:val="both"/>
        <w:rPr>
          <w:color w:val="000000" w:themeColor="text1"/>
          <w:sz w:val="20"/>
          <w:szCs w:val="20"/>
        </w:rPr>
      </w:pPr>
      <w:r w:rsidRPr="00DA7A90">
        <w:rPr>
          <w:color w:val="000000" w:themeColor="text1"/>
          <w:sz w:val="20"/>
          <w:szCs w:val="20"/>
        </w:rPr>
        <w:t>6</w:t>
      </w:r>
      <w:r w:rsidR="0084322B" w:rsidRPr="00DA7A90">
        <w:rPr>
          <w:color w:val="000000" w:themeColor="text1"/>
          <w:sz w:val="20"/>
          <w:szCs w:val="20"/>
        </w:rPr>
        <w:t>.</w:t>
      </w:r>
      <w:r w:rsidRPr="00DA7A90">
        <w:rPr>
          <w:color w:val="000000" w:themeColor="text1"/>
          <w:sz w:val="20"/>
          <w:szCs w:val="20"/>
        </w:rPr>
        <w:tab/>
        <w:t>Amarh F</w:t>
      </w:r>
      <w:r w:rsidR="00EF58A6" w:rsidRPr="00DA7A90">
        <w:rPr>
          <w:color w:val="000000" w:themeColor="text1"/>
          <w:sz w:val="20"/>
          <w:szCs w:val="20"/>
        </w:rPr>
        <w:t>A</w:t>
      </w:r>
      <w:r w:rsidR="003B025B" w:rsidRPr="00DA7A90">
        <w:rPr>
          <w:color w:val="000000" w:themeColor="text1"/>
          <w:sz w:val="20"/>
          <w:szCs w:val="20"/>
        </w:rPr>
        <w:t>,</w:t>
      </w:r>
      <w:r w:rsidRPr="00DA7A90">
        <w:rPr>
          <w:color w:val="000000" w:themeColor="text1"/>
          <w:sz w:val="20"/>
          <w:szCs w:val="20"/>
        </w:rPr>
        <w:t xml:space="preserve"> Agorku</w:t>
      </w:r>
      <w:r w:rsidR="000D4875" w:rsidRPr="00DA7A90">
        <w:rPr>
          <w:color w:val="000000" w:themeColor="text1"/>
          <w:sz w:val="20"/>
          <w:szCs w:val="20"/>
        </w:rPr>
        <w:t xml:space="preserve"> </w:t>
      </w:r>
      <w:r w:rsidRPr="00DA7A90">
        <w:rPr>
          <w:color w:val="000000" w:themeColor="text1"/>
          <w:sz w:val="20"/>
          <w:szCs w:val="20"/>
        </w:rPr>
        <w:t>E</w:t>
      </w:r>
      <w:r w:rsidR="000D4875" w:rsidRPr="00DA7A90">
        <w:rPr>
          <w:color w:val="000000" w:themeColor="text1"/>
          <w:sz w:val="20"/>
          <w:szCs w:val="20"/>
        </w:rPr>
        <w:t>S</w:t>
      </w:r>
      <w:r w:rsidR="003B025B" w:rsidRPr="00DA7A90">
        <w:rPr>
          <w:color w:val="000000" w:themeColor="text1"/>
          <w:sz w:val="20"/>
          <w:szCs w:val="20"/>
        </w:rPr>
        <w:t>,</w:t>
      </w:r>
      <w:r w:rsidRPr="00DA7A90">
        <w:rPr>
          <w:color w:val="000000" w:themeColor="text1"/>
          <w:sz w:val="20"/>
          <w:szCs w:val="20"/>
        </w:rPr>
        <w:t xml:space="preserve"> Voegborlo R</w:t>
      </w:r>
      <w:r w:rsidR="000D4875" w:rsidRPr="00DA7A90">
        <w:rPr>
          <w:color w:val="000000" w:themeColor="text1"/>
          <w:sz w:val="20"/>
          <w:szCs w:val="20"/>
        </w:rPr>
        <w:t>B</w:t>
      </w:r>
      <w:r w:rsidR="003B025B" w:rsidRPr="00DA7A90">
        <w:rPr>
          <w:color w:val="000000" w:themeColor="text1"/>
          <w:sz w:val="20"/>
          <w:szCs w:val="20"/>
        </w:rPr>
        <w:t>,</w:t>
      </w:r>
      <w:r w:rsidRPr="00DA7A90">
        <w:rPr>
          <w:color w:val="000000" w:themeColor="text1"/>
          <w:sz w:val="20"/>
          <w:szCs w:val="20"/>
        </w:rPr>
        <w:t xml:space="preserve"> Ashong G</w:t>
      </w:r>
      <w:r w:rsidR="00B24E93" w:rsidRPr="00DA7A90">
        <w:rPr>
          <w:color w:val="000000" w:themeColor="text1"/>
          <w:sz w:val="20"/>
          <w:szCs w:val="20"/>
        </w:rPr>
        <w:t>W</w:t>
      </w:r>
      <w:r w:rsidR="003B025B" w:rsidRPr="00DA7A90">
        <w:rPr>
          <w:color w:val="000000" w:themeColor="text1"/>
          <w:sz w:val="20"/>
          <w:szCs w:val="20"/>
        </w:rPr>
        <w:t>,</w:t>
      </w:r>
      <w:r w:rsidRPr="00DA7A90">
        <w:rPr>
          <w:color w:val="000000" w:themeColor="text1"/>
          <w:sz w:val="20"/>
          <w:szCs w:val="20"/>
        </w:rPr>
        <w:t xml:space="preserve"> Norte E</w:t>
      </w:r>
      <w:r w:rsidR="00B24E93" w:rsidRPr="00DA7A90">
        <w:rPr>
          <w:color w:val="000000" w:themeColor="text1"/>
          <w:sz w:val="20"/>
          <w:szCs w:val="20"/>
        </w:rPr>
        <w:t>NK</w:t>
      </w:r>
      <w:r w:rsidR="003B025B" w:rsidRPr="00DA7A90">
        <w:rPr>
          <w:color w:val="000000" w:themeColor="text1"/>
          <w:sz w:val="20"/>
          <w:szCs w:val="20"/>
        </w:rPr>
        <w:t>,</w:t>
      </w:r>
      <w:r w:rsidRPr="00DA7A90">
        <w:rPr>
          <w:color w:val="000000" w:themeColor="text1"/>
          <w:sz w:val="20"/>
          <w:szCs w:val="20"/>
        </w:rPr>
        <w:t xml:space="preserve"> Mensah N</w:t>
      </w:r>
      <w:r w:rsidR="004B165D" w:rsidRPr="00DA7A90">
        <w:rPr>
          <w:color w:val="000000" w:themeColor="text1"/>
          <w:sz w:val="20"/>
          <w:szCs w:val="20"/>
        </w:rPr>
        <w:t>J</w:t>
      </w:r>
      <w:r w:rsidRPr="00DA7A90">
        <w:rPr>
          <w:color w:val="000000" w:themeColor="text1"/>
          <w:sz w:val="20"/>
          <w:szCs w:val="20"/>
        </w:rPr>
        <w:t>.</w:t>
      </w:r>
      <w:r w:rsidR="00347637" w:rsidRPr="00DA7A90">
        <w:rPr>
          <w:color w:val="000000" w:themeColor="text1"/>
          <w:sz w:val="20"/>
          <w:szCs w:val="20"/>
        </w:rPr>
        <w:t xml:space="preserve"> </w:t>
      </w:r>
      <w:r w:rsidRPr="00DA7A90">
        <w:rPr>
          <w:color w:val="000000" w:themeColor="text1"/>
          <w:sz w:val="20"/>
          <w:szCs w:val="20"/>
        </w:rPr>
        <w:t>Heavy Metal Content and Health Risk Assessment of Some Selected Medicinal Plants from Obuasi, a Mining Town in Ghana. J</w:t>
      </w:r>
      <w:r w:rsidR="00BE6F65" w:rsidRPr="00DA7A90">
        <w:rPr>
          <w:color w:val="000000" w:themeColor="text1"/>
          <w:sz w:val="20"/>
          <w:szCs w:val="20"/>
        </w:rPr>
        <w:t>.</w:t>
      </w:r>
      <w:r w:rsidRPr="00DA7A90">
        <w:rPr>
          <w:color w:val="000000" w:themeColor="text1"/>
          <w:sz w:val="20"/>
          <w:szCs w:val="20"/>
        </w:rPr>
        <w:t xml:space="preserve"> Chem</w:t>
      </w:r>
      <w:r w:rsidR="00BE6F65" w:rsidRPr="00DA7A90">
        <w:rPr>
          <w:color w:val="000000" w:themeColor="text1"/>
          <w:sz w:val="20"/>
          <w:szCs w:val="20"/>
        </w:rPr>
        <w:t>. 2023;</w:t>
      </w:r>
      <w:r w:rsidRPr="00DA7A90">
        <w:rPr>
          <w:color w:val="000000" w:themeColor="text1"/>
          <w:sz w:val="20"/>
          <w:szCs w:val="20"/>
        </w:rPr>
        <w:t>2023</w:t>
      </w:r>
      <w:r w:rsidR="001C5B86" w:rsidRPr="00DA7A90">
        <w:rPr>
          <w:color w:val="000000" w:themeColor="text1"/>
          <w:sz w:val="20"/>
          <w:szCs w:val="20"/>
        </w:rPr>
        <w:t>:</w:t>
      </w:r>
      <w:r w:rsidRPr="00DA7A90">
        <w:rPr>
          <w:color w:val="000000" w:themeColor="text1"/>
          <w:sz w:val="20"/>
          <w:szCs w:val="20"/>
        </w:rPr>
        <w:t xml:space="preserve">9928577. </w:t>
      </w:r>
    </w:p>
    <w:p w14:paraId="012143C2" w14:textId="2299858C" w:rsidR="001B7B50" w:rsidRPr="00DA7A90" w:rsidRDefault="00F94CDD"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://doi.org/10.1155/2023/9928577</w:t>
      </w:r>
    </w:p>
    <w:p w14:paraId="2537AD15" w14:textId="2BFC5B2D" w:rsidR="0007296C" w:rsidRPr="00DA7A90" w:rsidRDefault="001B7B50" w:rsidP="004A480E">
      <w:pPr>
        <w:pStyle w:val="Bibliography"/>
        <w:jc w:val="both"/>
        <w:rPr>
          <w:color w:val="000000" w:themeColor="text1"/>
          <w:sz w:val="20"/>
          <w:szCs w:val="20"/>
        </w:rPr>
      </w:pPr>
      <w:r w:rsidRPr="00DA7A90">
        <w:rPr>
          <w:color w:val="000000" w:themeColor="text1"/>
          <w:sz w:val="20"/>
          <w:szCs w:val="20"/>
        </w:rPr>
        <w:t>7</w:t>
      </w:r>
      <w:r w:rsidR="0084322B" w:rsidRPr="00DA7A90">
        <w:rPr>
          <w:color w:val="000000" w:themeColor="text1"/>
          <w:sz w:val="20"/>
          <w:szCs w:val="20"/>
        </w:rPr>
        <w:t>.</w:t>
      </w:r>
      <w:r w:rsidRPr="00DA7A90">
        <w:rPr>
          <w:color w:val="000000" w:themeColor="text1"/>
          <w:sz w:val="20"/>
          <w:szCs w:val="20"/>
        </w:rPr>
        <w:tab/>
        <w:t>Street RA</w:t>
      </w:r>
      <w:r w:rsidR="003B025B" w:rsidRPr="00DA7A90">
        <w:rPr>
          <w:color w:val="000000" w:themeColor="text1"/>
          <w:sz w:val="20"/>
          <w:szCs w:val="20"/>
        </w:rPr>
        <w:t>,</w:t>
      </w:r>
      <w:r w:rsidRPr="00DA7A90">
        <w:rPr>
          <w:color w:val="000000" w:themeColor="text1"/>
          <w:sz w:val="20"/>
          <w:szCs w:val="20"/>
        </w:rPr>
        <w:t xml:space="preserve"> Kulkarni MG</w:t>
      </w:r>
      <w:r w:rsidR="003B025B" w:rsidRPr="00DA7A90">
        <w:rPr>
          <w:color w:val="000000" w:themeColor="text1"/>
          <w:sz w:val="20"/>
          <w:szCs w:val="20"/>
        </w:rPr>
        <w:t>,</w:t>
      </w:r>
      <w:r w:rsidRPr="00DA7A90">
        <w:rPr>
          <w:color w:val="000000" w:themeColor="text1"/>
          <w:sz w:val="20"/>
          <w:szCs w:val="20"/>
        </w:rPr>
        <w:t xml:space="preserve"> Stirk WA</w:t>
      </w:r>
      <w:r w:rsidR="003B025B" w:rsidRPr="00DA7A90">
        <w:rPr>
          <w:color w:val="000000" w:themeColor="text1"/>
          <w:sz w:val="20"/>
          <w:szCs w:val="20"/>
        </w:rPr>
        <w:t>,</w:t>
      </w:r>
      <w:r w:rsidRPr="00DA7A90">
        <w:rPr>
          <w:color w:val="000000" w:themeColor="text1"/>
          <w:sz w:val="20"/>
          <w:szCs w:val="20"/>
        </w:rPr>
        <w:t xml:space="preserve"> Southway C</w:t>
      </w:r>
      <w:r w:rsidR="003B025B" w:rsidRPr="00DA7A90">
        <w:rPr>
          <w:color w:val="000000" w:themeColor="text1"/>
          <w:sz w:val="20"/>
          <w:szCs w:val="20"/>
        </w:rPr>
        <w:t>,</w:t>
      </w:r>
      <w:r w:rsidRPr="00DA7A90">
        <w:rPr>
          <w:color w:val="000000" w:themeColor="text1"/>
          <w:sz w:val="20"/>
          <w:szCs w:val="20"/>
        </w:rPr>
        <w:t xml:space="preserve"> Staden JV.</w:t>
      </w:r>
      <w:r w:rsidR="00347637" w:rsidRPr="00DA7A90">
        <w:rPr>
          <w:color w:val="000000" w:themeColor="text1"/>
          <w:sz w:val="20"/>
          <w:szCs w:val="20"/>
        </w:rPr>
        <w:t xml:space="preserve"> </w:t>
      </w:r>
      <w:r w:rsidRPr="00DA7A90">
        <w:rPr>
          <w:color w:val="000000" w:themeColor="text1"/>
          <w:sz w:val="20"/>
          <w:szCs w:val="20"/>
        </w:rPr>
        <w:t>Variation in Heavy Metals and Microelements in South African Medicinal Plants Obtained from Street Markets. Food Addit</w:t>
      </w:r>
      <w:r w:rsidR="008D2C1A" w:rsidRPr="00DA7A90">
        <w:rPr>
          <w:color w:val="000000" w:themeColor="text1"/>
          <w:sz w:val="20"/>
          <w:szCs w:val="20"/>
        </w:rPr>
        <w:t>.</w:t>
      </w:r>
      <w:r w:rsidRPr="00DA7A90">
        <w:rPr>
          <w:color w:val="000000" w:themeColor="text1"/>
          <w:sz w:val="20"/>
          <w:szCs w:val="20"/>
        </w:rPr>
        <w:t xml:space="preserve"> Contam</w:t>
      </w:r>
      <w:r w:rsidR="008D2C1A" w:rsidRPr="00DA7A90">
        <w:rPr>
          <w:color w:val="000000" w:themeColor="text1"/>
          <w:sz w:val="20"/>
          <w:szCs w:val="20"/>
        </w:rPr>
        <w:t>.</w:t>
      </w:r>
      <w:r w:rsidRPr="00DA7A90">
        <w:rPr>
          <w:color w:val="000000" w:themeColor="text1"/>
          <w:sz w:val="20"/>
          <w:szCs w:val="20"/>
        </w:rPr>
        <w:t xml:space="preserve"> Part A</w:t>
      </w:r>
      <w:r w:rsidR="008D2C1A" w:rsidRPr="00DA7A90">
        <w:rPr>
          <w:color w:val="000000" w:themeColor="text1"/>
          <w:sz w:val="20"/>
          <w:szCs w:val="20"/>
        </w:rPr>
        <w:t xml:space="preserve"> </w:t>
      </w:r>
      <w:r w:rsidR="001C5B86" w:rsidRPr="00DA7A90">
        <w:rPr>
          <w:color w:val="000000" w:themeColor="text1"/>
          <w:sz w:val="20"/>
          <w:szCs w:val="20"/>
        </w:rPr>
        <w:t>2008;</w:t>
      </w:r>
      <w:r w:rsidRPr="00DA7A90">
        <w:rPr>
          <w:color w:val="000000" w:themeColor="text1"/>
          <w:sz w:val="20"/>
          <w:szCs w:val="20"/>
        </w:rPr>
        <w:t>25(8)</w:t>
      </w:r>
      <w:r w:rsidR="001C5B86" w:rsidRPr="00DA7A90">
        <w:rPr>
          <w:color w:val="000000" w:themeColor="text1"/>
          <w:sz w:val="20"/>
          <w:szCs w:val="20"/>
        </w:rPr>
        <w:t>:</w:t>
      </w:r>
      <w:r w:rsidRPr="00DA7A90">
        <w:rPr>
          <w:color w:val="000000" w:themeColor="text1"/>
          <w:sz w:val="20"/>
          <w:szCs w:val="20"/>
        </w:rPr>
        <w:t xml:space="preserve">953–960. </w:t>
      </w:r>
    </w:p>
    <w:p w14:paraId="743114C8" w14:textId="36C12B6D" w:rsidR="001B7B50" w:rsidRPr="00DA7A90" w:rsidRDefault="0007296C"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://doi.org/10.1080/02652030801993605</w:t>
      </w:r>
    </w:p>
    <w:p w14:paraId="19B53F1B" w14:textId="76667F57" w:rsidR="00B93336" w:rsidRPr="00DA7A90" w:rsidRDefault="001B7B50" w:rsidP="004A480E">
      <w:pPr>
        <w:pStyle w:val="Bibliography"/>
        <w:jc w:val="both"/>
        <w:rPr>
          <w:color w:val="000000" w:themeColor="text1"/>
          <w:sz w:val="20"/>
          <w:szCs w:val="20"/>
        </w:rPr>
      </w:pPr>
      <w:r w:rsidRPr="00DA7A90">
        <w:rPr>
          <w:color w:val="000000" w:themeColor="text1"/>
          <w:sz w:val="20"/>
          <w:szCs w:val="20"/>
        </w:rPr>
        <w:t>8</w:t>
      </w:r>
      <w:r w:rsidR="0084322B" w:rsidRPr="00DA7A90">
        <w:rPr>
          <w:color w:val="000000" w:themeColor="text1"/>
          <w:sz w:val="20"/>
          <w:szCs w:val="20"/>
        </w:rPr>
        <w:t>.</w:t>
      </w:r>
      <w:r w:rsidRPr="00DA7A90">
        <w:rPr>
          <w:color w:val="000000" w:themeColor="text1"/>
          <w:sz w:val="20"/>
          <w:szCs w:val="20"/>
        </w:rPr>
        <w:tab/>
        <w:t>Oladeji M</w:t>
      </w:r>
      <w:r w:rsidR="003B025B" w:rsidRPr="00DA7A90">
        <w:rPr>
          <w:color w:val="000000" w:themeColor="text1"/>
          <w:sz w:val="20"/>
          <w:szCs w:val="20"/>
        </w:rPr>
        <w:t>,</w:t>
      </w:r>
      <w:r w:rsidRPr="00DA7A90">
        <w:rPr>
          <w:color w:val="000000" w:themeColor="text1"/>
          <w:sz w:val="20"/>
          <w:szCs w:val="20"/>
        </w:rPr>
        <w:t xml:space="preserve"> Kopaopa BG</w:t>
      </w:r>
      <w:r w:rsidR="003B025B" w:rsidRPr="00DA7A90">
        <w:rPr>
          <w:color w:val="000000" w:themeColor="text1"/>
          <w:sz w:val="20"/>
          <w:szCs w:val="20"/>
        </w:rPr>
        <w:t>,</w:t>
      </w:r>
      <w:r w:rsidRPr="00DA7A90">
        <w:rPr>
          <w:color w:val="000000" w:themeColor="text1"/>
          <w:sz w:val="20"/>
          <w:szCs w:val="20"/>
        </w:rPr>
        <w:t xml:space="preserve"> Mugivhisa LL</w:t>
      </w:r>
      <w:r w:rsidR="003B025B" w:rsidRPr="00DA7A90">
        <w:rPr>
          <w:color w:val="000000" w:themeColor="text1"/>
          <w:sz w:val="20"/>
          <w:szCs w:val="20"/>
        </w:rPr>
        <w:t>,</w:t>
      </w:r>
      <w:r w:rsidRPr="00DA7A90">
        <w:rPr>
          <w:color w:val="000000" w:themeColor="text1"/>
          <w:sz w:val="20"/>
          <w:szCs w:val="20"/>
        </w:rPr>
        <w:t xml:space="preserve"> Olowoyo JO. Investigation of Heavy Metal Analysis on Medicinal Plants Used for the Treatment of Skin Cancer by Traditional Practitioners in Pretoria. Biol</w:t>
      </w:r>
      <w:r w:rsidR="00707711" w:rsidRPr="00DA7A90">
        <w:rPr>
          <w:color w:val="000000" w:themeColor="text1"/>
          <w:sz w:val="20"/>
          <w:szCs w:val="20"/>
        </w:rPr>
        <w:t>.</w:t>
      </w:r>
      <w:r w:rsidRPr="00DA7A90">
        <w:rPr>
          <w:color w:val="000000" w:themeColor="text1"/>
          <w:sz w:val="20"/>
          <w:szCs w:val="20"/>
        </w:rPr>
        <w:t xml:space="preserve"> Trace Elem</w:t>
      </w:r>
      <w:r w:rsidR="00707711" w:rsidRPr="00DA7A90">
        <w:rPr>
          <w:color w:val="000000" w:themeColor="text1"/>
          <w:sz w:val="20"/>
          <w:szCs w:val="20"/>
        </w:rPr>
        <w:t>.</w:t>
      </w:r>
      <w:r w:rsidRPr="00DA7A90">
        <w:rPr>
          <w:color w:val="000000" w:themeColor="text1"/>
          <w:sz w:val="20"/>
          <w:szCs w:val="20"/>
        </w:rPr>
        <w:t xml:space="preserve"> Res</w:t>
      </w:r>
      <w:r w:rsidR="00707711" w:rsidRPr="00DA7A90">
        <w:rPr>
          <w:color w:val="000000" w:themeColor="text1"/>
          <w:sz w:val="20"/>
          <w:szCs w:val="20"/>
        </w:rPr>
        <w:t xml:space="preserve">. </w:t>
      </w:r>
      <w:r w:rsidR="004433A6" w:rsidRPr="00DA7A90">
        <w:rPr>
          <w:color w:val="000000" w:themeColor="text1"/>
          <w:sz w:val="20"/>
          <w:szCs w:val="20"/>
        </w:rPr>
        <w:t>2024;</w:t>
      </w:r>
      <w:r w:rsidRPr="00DA7A90">
        <w:rPr>
          <w:color w:val="000000" w:themeColor="text1"/>
          <w:sz w:val="20"/>
          <w:szCs w:val="20"/>
        </w:rPr>
        <w:t>202</w:t>
      </w:r>
      <w:r w:rsidR="004433A6" w:rsidRPr="00DA7A90">
        <w:rPr>
          <w:color w:val="000000" w:themeColor="text1"/>
          <w:sz w:val="20"/>
          <w:szCs w:val="20"/>
        </w:rPr>
        <w:t>:</w:t>
      </w:r>
      <w:r w:rsidRPr="00DA7A90">
        <w:rPr>
          <w:color w:val="000000" w:themeColor="text1"/>
          <w:sz w:val="20"/>
          <w:szCs w:val="20"/>
        </w:rPr>
        <w:t xml:space="preserve">778–786. </w:t>
      </w:r>
    </w:p>
    <w:p w14:paraId="19F73C6A" w14:textId="7954EDC5" w:rsidR="001B7B50" w:rsidRPr="00DA7A90" w:rsidRDefault="00B93336"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://doi.org/10.1007/s12011-023-03701-4</w:t>
      </w:r>
    </w:p>
    <w:p w14:paraId="791AD96C" w14:textId="17873E7A" w:rsidR="00CC4C45" w:rsidRPr="00DA7A90" w:rsidRDefault="001B7B50" w:rsidP="004A480E">
      <w:pPr>
        <w:pStyle w:val="Bibliography"/>
        <w:jc w:val="both"/>
        <w:rPr>
          <w:color w:val="000000" w:themeColor="text1"/>
          <w:sz w:val="20"/>
          <w:szCs w:val="20"/>
          <w:lang w:val="en-US"/>
        </w:rPr>
      </w:pPr>
      <w:r w:rsidRPr="00DA7A90">
        <w:rPr>
          <w:color w:val="000000" w:themeColor="text1"/>
          <w:sz w:val="20"/>
          <w:szCs w:val="20"/>
        </w:rPr>
        <w:t>9</w:t>
      </w:r>
      <w:r w:rsidR="0084322B" w:rsidRPr="00DA7A90">
        <w:rPr>
          <w:color w:val="000000" w:themeColor="text1"/>
          <w:sz w:val="20"/>
          <w:szCs w:val="20"/>
        </w:rPr>
        <w:t>.</w:t>
      </w:r>
      <w:r w:rsidRPr="00DA7A90">
        <w:rPr>
          <w:color w:val="000000" w:themeColor="text1"/>
          <w:sz w:val="20"/>
          <w:szCs w:val="20"/>
        </w:rPr>
        <w:tab/>
        <w:t>EFSA Panel on Dietetic Products, Nutrition and Allergies (NDA); Turck D</w:t>
      </w:r>
      <w:r w:rsidR="003B025B" w:rsidRPr="00DA7A90">
        <w:rPr>
          <w:color w:val="000000" w:themeColor="text1"/>
          <w:sz w:val="20"/>
          <w:szCs w:val="20"/>
        </w:rPr>
        <w:t>,</w:t>
      </w:r>
      <w:r w:rsidRPr="00DA7A90">
        <w:rPr>
          <w:color w:val="000000" w:themeColor="text1"/>
          <w:sz w:val="20"/>
          <w:szCs w:val="20"/>
        </w:rPr>
        <w:t xml:space="preserve"> Bresson J-L</w:t>
      </w:r>
      <w:r w:rsidR="003B025B" w:rsidRPr="00DA7A90">
        <w:rPr>
          <w:color w:val="000000" w:themeColor="text1"/>
          <w:sz w:val="20"/>
          <w:szCs w:val="20"/>
        </w:rPr>
        <w:t>,</w:t>
      </w:r>
      <w:r w:rsidRPr="00DA7A90">
        <w:rPr>
          <w:color w:val="000000" w:themeColor="text1"/>
          <w:sz w:val="20"/>
          <w:szCs w:val="20"/>
        </w:rPr>
        <w:t xml:space="preserve"> Burlingame B</w:t>
      </w:r>
      <w:r w:rsidR="003B025B" w:rsidRPr="00DA7A90">
        <w:rPr>
          <w:color w:val="000000" w:themeColor="text1"/>
          <w:sz w:val="20"/>
          <w:szCs w:val="20"/>
        </w:rPr>
        <w:t>,</w:t>
      </w:r>
      <w:r w:rsidRPr="00DA7A90">
        <w:rPr>
          <w:color w:val="000000" w:themeColor="text1"/>
          <w:sz w:val="20"/>
          <w:szCs w:val="20"/>
        </w:rPr>
        <w:t xml:space="preserve"> Dean T</w:t>
      </w:r>
      <w:r w:rsidR="003B025B" w:rsidRPr="00DA7A90">
        <w:rPr>
          <w:color w:val="000000" w:themeColor="text1"/>
          <w:sz w:val="20"/>
          <w:szCs w:val="20"/>
        </w:rPr>
        <w:t>,</w:t>
      </w:r>
      <w:r w:rsidRPr="00DA7A90">
        <w:rPr>
          <w:color w:val="000000" w:themeColor="text1"/>
          <w:sz w:val="20"/>
          <w:szCs w:val="20"/>
        </w:rPr>
        <w:t xml:space="preserve"> Fairweather-Tait S</w:t>
      </w:r>
      <w:r w:rsidR="003B025B" w:rsidRPr="00DA7A90">
        <w:rPr>
          <w:color w:val="000000" w:themeColor="text1"/>
          <w:sz w:val="20"/>
          <w:szCs w:val="20"/>
        </w:rPr>
        <w:t>,</w:t>
      </w:r>
      <w:r w:rsidRPr="00DA7A90">
        <w:rPr>
          <w:color w:val="000000" w:themeColor="text1"/>
          <w:sz w:val="20"/>
          <w:szCs w:val="20"/>
        </w:rPr>
        <w:t xml:space="preserve"> Heinonen M</w:t>
      </w:r>
      <w:r w:rsidR="003B025B" w:rsidRPr="00DA7A90">
        <w:rPr>
          <w:color w:val="000000" w:themeColor="text1"/>
          <w:sz w:val="20"/>
          <w:szCs w:val="20"/>
        </w:rPr>
        <w:t>,</w:t>
      </w:r>
      <w:r w:rsidRPr="00DA7A90">
        <w:rPr>
          <w:color w:val="000000" w:themeColor="text1"/>
          <w:sz w:val="20"/>
          <w:szCs w:val="20"/>
        </w:rPr>
        <w:t xml:space="preserve"> Hirsch-Ernst KI</w:t>
      </w:r>
      <w:r w:rsidR="003B025B" w:rsidRPr="00DA7A90">
        <w:rPr>
          <w:color w:val="000000" w:themeColor="text1"/>
          <w:sz w:val="20"/>
          <w:szCs w:val="20"/>
        </w:rPr>
        <w:t>,</w:t>
      </w:r>
      <w:r w:rsidRPr="00DA7A90">
        <w:rPr>
          <w:color w:val="000000" w:themeColor="text1"/>
          <w:sz w:val="20"/>
          <w:szCs w:val="20"/>
        </w:rPr>
        <w:t xml:space="preserve"> Mangelsdorf I</w:t>
      </w:r>
      <w:r w:rsidR="003B025B" w:rsidRPr="00DA7A90">
        <w:rPr>
          <w:color w:val="000000" w:themeColor="text1"/>
          <w:sz w:val="20"/>
          <w:szCs w:val="20"/>
        </w:rPr>
        <w:t>,</w:t>
      </w:r>
      <w:r w:rsidRPr="00DA7A90">
        <w:rPr>
          <w:color w:val="000000" w:themeColor="text1"/>
          <w:sz w:val="20"/>
          <w:szCs w:val="20"/>
        </w:rPr>
        <w:t xml:space="preserve"> McArdle H</w:t>
      </w:r>
      <w:r w:rsidR="003B025B" w:rsidRPr="00DA7A90">
        <w:rPr>
          <w:color w:val="000000" w:themeColor="text1"/>
          <w:sz w:val="20"/>
          <w:szCs w:val="20"/>
        </w:rPr>
        <w:t>,</w:t>
      </w:r>
      <w:r w:rsidRPr="00DA7A90">
        <w:rPr>
          <w:color w:val="000000" w:themeColor="text1"/>
          <w:sz w:val="20"/>
          <w:szCs w:val="20"/>
        </w:rPr>
        <w:t xml:space="preserve"> Neuhäuser-Berthold M</w:t>
      </w:r>
      <w:r w:rsidR="003B025B" w:rsidRPr="00DA7A90">
        <w:rPr>
          <w:color w:val="000000" w:themeColor="text1"/>
          <w:sz w:val="20"/>
          <w:szCs w:val="20"/>
        </w:rPr>
        <w:t>,</w:t>
      </w:r>
      <w:r w:rsidRPr="00DA7A90">
        <w:rPr>
          <w:color w:val="000000" w:themeColor="text1"/>
          <w:sz w:val="20"/>
          <w:szCs w:val="20"/>
        </w:rPr>
        <w:t xml:space="preserve"> Nowicka G</w:t>
      </w:r>
      <w:r w:rsidR="003B025B" w:rsidRPr="00DA7A90">
        <w:rPr>
          <w:color w:val="000000" w:themeColor="text1"/>
          <w:sz w:val="20"/>
          <w:szCs w:val="20"/>
        </w:rPr>
        <w:t>,</w:t>
      </w:r>
      <w:r w:rsidRPr="00DA7A90">
        <w:rPr>
          <w:color w:val="000000" w:themeColor="text1"/>
          <w:sz w:val="20"/>
          <w:szCs w:val="20"/>
        </w:rPr>
        <w:t xml:space="preserve"> Pentieva K</w:t>
      </w:r>
      <w:r w:rsidR="003B025B" w:rsidRPr="00DA7A90">
        <w:rPr>
          <w:color w:val="000000" w:themeColor="text1"/>
          <w:sz w:val="20"/>
          <w:szCs w:val="20"/>
        </w:rPr>
        <w:t>,</w:t>
      </w:r>
      <w:r w:rsidRPr="00DA7A90">
        <w:rPr>
          <w:color w:val="000000" w:themeColor="text1"/>
          <w:sz w:val="20"/>
          <w:szCs w:val="20"/>
        </w:rPr>
        <w:t xml:space="preserve"> Sanz Y</w:t>
      </w:r>
      <w:r w:rsidR="003B025B" w:rsidRPr="00DA7A90">
        <w:rPr>
          <w:color w:val="000000" w:themeColor="text1"/>
          <w:sz w:val="20"/>
          <w:szCs w:val="20"/>
        </w:rPr>
        <w:t>,</w:t>
      </w:r>
      <w:r w:rsidRPr="00DA7A90">
        <w:rPr>
          <w:color w:val="000000" w:themeColor="text1"/>
          <w:sz w:val="20"/>
          <w:szCs w:val="20"/>
        </w:rPr>
        <w:t xml:space="preserve"> Sian,</w:t>
      </w:r>
      <w:r w:rsidR="00F16A35" w:rsidRPr="00DA7A90">
        <w:rPr>
          <w:color w:val="000000" w:themeColor="text1"/>
          <w:sz w:val="20"/>
          <w:szCs w:val="20"/>
        </w:rPr>
        <w:t xml:space="preserve"> </w:t>
      </w:r>
      <w:r w:rsidRPr="00DA7A90">
        <w:rPr>
          <w:color w:val="000000" w:themeColor="text1"/>
          <w:sz w:val="20"/>
          <w:szCs w:val="20"/>
        </w:rPr>
        <w:t>A</w:t>
      </w:r>
      <w:r w:rsidR="003B025B" w:rsidRPr="00DA7A90">
        <w:rPr>
          <w:color w:val="000000" w:themeColor="text1"/>
          <w:sz w:val="20"/>
          <w:szCs w:val="20"/>
        </w:rPr>
        <w:t>,</w:t>
      </w:r>
      <w:r w:rsidRPr="00DA7A90">
        <w:rPr>
          <w:color w:val="000000" w:themeColor="text1"/>
          <w:sz w:val="20"/>
          <w:szCs w:val="20"/>
        </w:rPr>
        <w:t xml:space="preserve"> Sjödi, A</w:t>
      </w:r>
      <w:r w:rsidR="003B025B" w:rsidRPr="00DA7A90">
        <w:rPr>
          <w:color w:val="000000" w:themeColor="text1"/>
          <w:sz w:val="20"/>
          <w:szCs w:val="20"/>
        </w:rPr>
        <w:t>,</w:t>
      </w:r>
      <w:r w:rsidRPr="00DA7A90">
        <w:rPr>
          <w:color w:val="000000" w:themeColor="text1"/>
          <w:sz w:val="20"/>
          <w:szCs w:val="20"/>
        </w:rPr>
        <w:t xml:space="preserve"> Ster, M</w:t>
      </w:r>
      <w:r w:rsidR="003B025B" w:rsidRPr="00DA7A90">
        <w:rPr>
          <w:color w:val="000000" w:themeColor="text1"/>
          <w:sz w:val="20"/>
          <w:szCs w:val="20"/>
        </w:rPr>
        <w:t>,</w:t>
      </w:r>
      <w:r w:rsidRPr="00DA7A90">
        <w:rPr>
          <w:color w:val="000000" w:themeColor="text1"/>
          <w:sz w:val="20"/>
          <w:szCs w:val="20"/>
        </w:rPr>
        <w:t xml:space="preserve"> Tomé D</w:t>
      </w:r>
      <w:r w:rsidR="003B025B" w:rsidRPr="00DA7A90">
        <w:rPr>
          <w:color w:val="000000" w:themeColor="text1"/>
          <w:sz w:val="20"/>
          <w:szCs w:val="20"/>
        </w:rPr>
        <w:t>,</w:t>
      </w:r>
      <w:r w:rsidRPr="00DA7A90">
        <w:rPr>
          <w:color w:val="000000" w:themeColor="text1"/>
          <w:sz w:val="20"/>
          <w:szCs w:val="20"/>
        </w:rPr>
        <w:t xml:space="preserve"> Van Loveren H</w:t>
      </w:r>
      <w:r w:rsidR="003B025B" w:rsidRPr="00DA7A90">
        <w:rPr>
          <w:color w:val="000000" w:themeColor="text1"/>
          <w:sz w:val="20"/>
          <w:szCs w:val="20"/>
        </w:rPr>
        <w:t>,</w:t>
      </w:r>
      <w:r w:rsidRPr="00DA7A90">
        <w:rPr>
          <w:color w:val="000000" w:themeColor="text1"/>
          <w:sz w:val="20"/>
          <w:szCs w:val="20"/>
        </w:rPr>
        <w:t xml:space="preserve"> Vinceti M</w:t>
      </w:r>
      <w:r w:rsidR="003B025B" w:rsidRPr="00DA7A90">
        <w:rPr>
          <w:color w:val="000000" w:themeColor="text1"/>
          <w:sz w:val="20"/>
          <w:szCs w:val="20"/>
        </w:rPr>
        <w:t>,</w:t>
      </w:r>
      <w:r w:rsidRPr="00DA7A90">
        <w:rPr>
          <w:color w:val="000000" w:themeColor="text1"/>
          <w:sz w:val="20"/>
          <w:szCs w:val="20"/>
        </w:rPr>
        <w:t xml:space="preserve"> Willatts P</w:t>
      </w:r>
      <w:r w:rsidR="003B025B" w:rsidRPr="00DA7A90">
        <w:rPr>
          <w:color w:val="000000" w:themeColor="text1"/>
          <w:sz w:val="20"/>
          <w:szCs w:val="20"/>
        </w:rPr>
        <w:t>,</w:t>
      </w:r>
      <w:r w:rsidRPr="00DA7A90">
        <w:rPr>
          <w:color w:val="000000" w:themeColor="text1"/>
          <w:sz w:val="20"/>
          <w:szCs w:val="20"/>
        </w:rPr>
        <w:t xml:space="preserve"> Aggett P</w:t>
      </w:r>
      <w:r w:rsidR="003B025B" w:rsidRPr="00DA7A90">
        <w:rPr>
          <w:color w:val="000000" w:themeColor="text1"/>
          <w:sz w:val="20"/>
          <w:szCs w:val="20"/>
        </w:rPr>
        <w:t>,</w:t>
      </w:r>
      <w:r w:rsidRPr="00DA7A90">
        <w:rPr>
          <w:color w:val="000000" w:themeColor="text1"/>
          <w:sz w:val="20"/>
          <w:szCs w:val="20"/>
        </w:rPr>
        <w:t xml:space="preserve"> Martin A</w:t>
      </w:r>
      <w:r w:rsidR="003B025B" w:rsidRPr="00DA7A90">
        <w:rPr>
          <w:color w:val="000000" w:themeColor="text1"/>
          <w:sz w:val="20"/>
          <w:szCs w:val="20"/>
        </w:rPr>
        <w:t>,</w:t>
      </w:r>
      <w:r w:rsidRPr="00DA7A90">
        <w:rPr>
          <w:color w:val="000000" w:themeColor="text1"/>
          <w:sz w:val="20"/>
          <w:szCs w:val="20"/>
        </w:rPr>
        <w:t xml:space="preserve"> Przyrembel H</w:t>
      </w:r>
      <w:r w:rsidR="003B025B" w:rsidRPr="00DA7A90">
        <w:rPr>
          <w:color w:val="000000" w:themeColor="text1"/>
          <w:sz w:val="20"/>
          <w:szCs w:val="20"/>
        </w:rPr>
        <w:t>,</w:t>
      </w:r>
      <w:r w:rsidRPr="00DA7A90">
        <w:rPr>
          <w:color w:val="000000" w:themeColor="text1"/>
          <w:sz w:val="20"/>
          <w:szCs w:val="20"/>
        </w:rPr>
        <w:t xml:space="preserve"> Brönstrup A</w:t>
      </w:r>
      <w:r w:rsidR="003B025B" w:rsidRPr="00DA7A90">
        <w:rPr>
          <w:color w:val="000000" w:themeColor="text1"/>
          <w:sz w:val="20"/>
          <w:szCs w:val="20"/>
        </w:rPr>
        <w:t>,</w:t>
      </w:r>
      <w:r w:rsidRPr="00DA7A90">
        <w:rPr>
          <w:color w:val="000000" w:themeColor="text1"/>
          <w:sz w:val="20"/>
          <w:szCs w:val="20"/>
        </w:rPr>
        <w:t xml:space="preserve"> Ciok J</w:t>
      </w:r>
      <w:r w:rsidR="003B025B" w:rsidRPr="00DA7A90">
        <w:rPr>
          <w:color w:val="000000" w:themeColor="text1"/>
          <w:sz w:val="20"/>
          <w:szCs w:val="20"/>
        </w:rPr>
        <w:t>,</w:t>
      </w:r>
      <w:r w:rsidRPr="00DA7A90">
        <w:rPr>
          <w:color w:val="000000" w:themeColor="text1"/>
          <w:sz w:val="20"/>
          <w:szCs w:val="20"/>
        </w:rPr>
        <w:t xml:space="preserve"> Gómez Ruiz JÁ</w:t>
      </w:r>
      <w:r w:rsidR="003B025B" w:rsidRPr="00DA7A90">
        <w:rPr>
          <w:color w:val="000000" w:themeColor="text1"/>
          <w:sz w:val="20"/>
          <w:szCs w:val="20"/>
        </w:rPr>
        <w:t>,</w:t>
      </w:r>
      <w:r w:rsidRPr="00DA7A90">
        <w:rPr>
          <w:color w:val="000000" w:themeColor="text1"/>
          <w:sz w:val="20"/>
          <w:szCs w:val="20"/>
        </w:rPr>
        <w:t xml:space="preserve"> de Sesmaisons-Lecarré A</w:t>
      </w:r>
      <w:r w:rsidR="003B025B" w:rsidRPr="00DA7A90">
        <w:rPr>
          <w:color w:val="000000" w:themeColor="text1"/>
          <w:sz w:val="20"/>
          <w:szCs w:val="20"/>
        </w:rPr>
        <w:t>,</w:t>
      </w:r>
      <w:r w:rsidRPr="00DA7A90">
        <w:rPr>
          <w:color w:val="000000" w:themeColor="text1"/>
          <w:sz w:val="20"/>
          <w:szCs w:val="20"/>
        </w:rPr>
        <w:t xml:space="preserve"> Naska A. Dietary Reference Values for Potassium. </w:t>
      </w:r>
      <w:r w:rsidRPr="00DA7A90">
        <w:rPr>
          <w:color w:val="000000" w:themeColor="text1"/>
          <w:sz w:val="20"/>
          <w:szCs w:val="20"/>
          <w:lang w:val="en-US"/>
        </w:rPr>
        <w:t>EFSA J</w:t>
      </w:r>
      <w:r w:rsidR="004004D6" w:rsidRPr="00DA7A90">
        <w:rPr>
          <w:color w:val="000000" w:themeColor="text1"/>
          <w:sz w:val="20"/>
          <w:szCs w:val="20"/>
          <w:lang w:val="en-US"/>
        </w:rPr>
        <w:t>. 2016;</w:t>
      </w:r>
      <w:r w:rsidRPr="00DA7A90">
        <w:rPr>
          <w:color w:val="000000" w:themeColor="text1"/>
          <w:sz w:val="20"/>
          <w:szCs w:val="20"/>
          <w:lang w:val="en-US"/>
        </w:rPr>
        <w:t>14(10)</w:t>
      </w:r>
      <w:r w:rsidR="004004D6" w:rsidRPr="00DA7A90">
        <w:rPr>
          <w:color w:val="000000" w:themeColor="text1"/>
          <w:sz w:val="20"/>
          <w:szCs w:val="20"/>
          <w:lang w:val="en-US"/>
        </w:rPr>
        <w:t>:</w:t>
      </w:r>
      <w:r w:rsidRPr="00DA7A90">
        <w:rPr>
          <w:color w:val="000000" w:themeColor="text1"/>
          <w:sz w:val="20"/>
          <w:szCs w:val="20"/>
          <w:lang w:val="en-US"/>
        </w:rPr>
        <w:t xml:space="preserve">e04592. </w:t>
      </w:r>
    </w:p>
    <w:p w14:paraId="3CD561FC" w14:textId="121607EC" w:rsidR="001B7B50" w:rsidRPr="00DA7A90" w:rsidRDefault="00CC4C45" w:rsidP="004A480E">
      <w:pPr>
        <w:pStyle w:val="Bibliography"/>
        <w:jc w:val="both"/>
        <w:rPr>
          <w:color w:val="000000" w:themeColor="text1"/>
          <w:sz w:val="20"/>
          <w:szCs w:val="20"/>
          <w:lang w:val="en-US"/>
        </w:rPr>
      </w:pPr>
      <w:r w:rsidRPr="00DA7A90">
        <w:rPr>
          <w:color w:val="000000" w:themeColor="text1"/>
          <w:sz w:val="20"/>
          <w:szCs w:val="20"/>
          <w:lang w:val="en-US"/>
        </w:rPr>
        <w:tab/>
      </w:r>
      <w:r w:rsidR="00EB7D2E" w:rsidRPr="00DA7A90">
        <w:rPr>
          <w:color w:val="000000" w:themeColor="text1"/>
          <w:sz w:val="20"/>
          <w:szCs w:val="20"/>
          <w:lang w:val="en-US"/>
        </w:rPr>
        <w:t>Available:https</w:t>
      </w:r>
      <w:r w:rsidR="001B7B50" w:rsidRPr="00DA7A90">
        <w:rPr>
          <w:color w:val="000000" w:themeColor="text1"/>
          <w:sz w:val="20"/>
          <w:szCs w:val="20"/>
          <w:lang w:val="en-US"/>
        </w:rPr>
        <w:t>://doi.org/10.2903/j.efsa.2016.4592</w:t>
      </w:r>
    </w:p>
    <w:p w14:paraId="5281D1BF" w14:textId="614642DF" w:rsidR="002571DD" w:rsidRPr="00DA7A90" w:rsidRDefault="001B7B50" w:rsidP="004A480E">
      <w:pPr>
        <w:pStyle w:val="Bibliography"/>
        <w:jc w:val="both"/>
        <w:rPr>
          <w:color w:val="000000" w:themeColor="text1"/>
          <w:sz w:val="20"/>
          <w:szCs w:val="20"/>
        </w:rPr>
      </w:pPr>
      <w:r w:rsidRPr="00DA7A90">
        <w:rPr>
          <w:color w:val="000000" w:themeColor="text1"/>
          <w:sz w:val="20"/>
          <w:szCs w:val="20"/>
        </w:rPr>
        <w:t>10</w:t>
      </w:r>
      <w:r w:rsidR="0084322B" w:rsidRPr="00DA7A90">
        <w:rPr>
          <w:color w:val="000000" w:themeColor="text1"/>
          <w:sz w:val="20"/>
          <w:szCs w:val="20"/>
        </w:rPr>
        <w:t>.</w:t>
      </w:r>
      <w:r w:rsidRPr="00DA7A90">
        <w:rPr>
          <w:color w:val="000000" w:themeColor="text1"/>
          <w:sz w:val="20"/>
          <w:szCs w:val="20"/>
        </w:rPr>
        <w:tab/>
        <w:t>Balali-Mood M</w:t>
      </w:r>
      <w:r w:rsidR="003B025B" w:rsidRPr="00DA7A90">
        <w:rPr>
          <w:color w:val="000000" w:themeColor="text1"/>
          <w:sz w:val="20"/>
          <w:szCs w:val="20"/>
        </w:rPr>
        <w:t>,</w:t>
      </w:r>
      <w:r w:rsidRPr="00DA7A90">
        <w:rPr>
          <w:color w:val="000000" w:themeColor="text1"/>
          <w:sz w:val="20"/>
          <w:szCs w:val="20"/>
        </w:rPr>
        <w:t xml:space="preserve"> Naseri K</w:t>
      </w:r>
      <w:r w:rsidR="003B025B" w:rsidRPr="00DA7A90">
        <w:rPr>
          <w:color w:val="000000" w:themeColor="text1"/>
          <w:sz w:val="20"/>
          <w:szCs w:val="20"/>
        </w:rPr>
        <w:t>,</w:t>
      </w:r>
      <w:r w:rsidRPr="00DA7A90">
        <w:rPr>
          <w:color w:val="000000" w:themeColor="text1"/>
          <w:sz w:val="20"/>
          <w:szCs w:val="20"/>
        </w:rPr>
        <w:t xml:space="preserve"> Tahergorabi Z</w:t>
      </w:r>
      <w:r w:rsidR="003B025B" w:rsidRPr="00DA7A90">
        <w:rPr>
          <w:color w:val="000000" w:themeColor="text1"/>
          <w:sz w:val="20"/>
          <w:szCs w:val="20"/>
        </w:rPr>
        <w:t>,</w:t>
      </w:r>
      <w:r w:rsidRPr="00DA7A90">
        <w:rPr>
          <w:color w:val="000000" w:themeColor="text1"/>
          <w:sz w:val="20"/>
          <w:szCs w:val="20"/>
        </w:rPr>
        <w:t xml:space="preserve"> Khazdair MR</w:t>
      </w:r>
      <w:r w:rsidR="003B025B" w:rsidRPr="00DA7A90">
        <w:rPr>
          <w:color w:val="000000" w:themeColor="text1"/>
          <w:sz w:val="20"/>
          <w:szCs w:val="20"/>
        </w:rPr>
        <w:t>,</w:t>
      </w:r>
      <w:r w:rsidRPr="00DA7A90">
        <w:rPr>
          <w:color w:val="000000" w:themeColor="text1"/>
          <w:sz w:val="20"/>
          <w:szCs w:val="20"/>
        </w:rPr>
        <w:t xml:space="preserve"> Sadeghi M. Toxic Mechanisms of Five Heavy Metals: Mercury, Lead, Chromium, Cadmium, and Arsenic. Front</w:t>
      </w:r>
      <w:r w:rsidR="003A4AA2" w:rsidRPr="00DA7A90">
        <w:rPr>
          <w:color w:val="000000" w:themeColor="text1"/>
          <w:sz w:val="20"/>
          <w:szCs w:val="20"/>
        </w:rPr>
        <w:t xml:space="preserve">. </w:t>
      </w:r>
      <w:r w:rsidRPr="00DA7A90">
        <w:rPr>
          <w:color w:val="000000" w:themeColor="text1"/>
          <w:sz w:val="20"/>
          <w:szCs w:val="20"/>
        </w:rPr>
        <w:t>Pharmacol</w:t>
      </w:r>
      <w:r w:rsidR="003A4AA2" w:rsidRPr="00DA7A90">
        <w:rPr>
          <w:color w:val="000000" w:themeColor="text1"/>
          <w:sz w:val="20"/>
          <w:szCs w:val="20"/>
        </w:rPr>
        <w:t xml:space="preserve">. </w:t>
      </w:r>
      <w:r w:rsidR="004004D6" w:rsidRPr="00DA7A90">
        <w:rPr>
          <w:color w:val="000000" w:themeColor="text1"/>
          <w:sz w:val="20"/>
          <w:szCs w:val="20"/>
        </w:rPr>
        <w:t>2021;</w:t>
      </w:r>
      <w:r w:rsidRPr="00DA7A90">
        <w:rPr>
          <w:color w:val="000000" w:themeColor="text1"/>
          <w:sz w:val="20"/>
          <w:szCs w:val="20"/>
        </w:rPr>
        <w:t>12</w:t>
      </w:r>
      <w:r w:rsidR="004004D6" w:rsidRPr="00DA7A90">
        <w:rPr>
          <w:color w:val="000000" w:themeColor="text1"/>
          <w:sz w:val="20"/>
          <w:szCs w:val="20"/>
        </w:rPr>
        <w:t>:</w:t>
      </w:r>
      <w:r w:rsidR="003E0734" w:rsidRPr="00DA7A90">
        <w:rPr>
          <w:color w:val="000000" w:themeColor="text1"/>
          <w:sz w:val="20"/>
          <w:szCs w:val="20"/>
        </w:rPr>
        <w:t>643972</w:t>
      </w:r>
      <w:r w:rsidRPr="00DA7A90">
        <w:rPr>
          <w:color w:val="000000" w:themeColor="text1"/>
          <w:sz w:val="20"/>
          <w:szCs w:val="20"/>
        </w:rPr>
        <w:t xml:space="preserve">. </w:t>
      </w:r>
    </w:p>
    <w:p w14:paraId="611CD238" w14:textId="4D67F6B6" w:rsidR="001B7B50" w:rsidRPr="00DA7A90" w:rsidRDefault="002571DD"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://doi.org/10.3389/fphar.2021.643972</w:t>
      </w:r>
    </w:p>
    <w:p w14:paraId="29B987BC" w14:textId="736EB810" w:rsidR="001B7B50" w:rsidRPr="00DA7A90" w:rsidRDefault="001B7B50" w:rsidP="004A480E">
      <w:pPr>
        <w:pStyle w:val="Bibliography"/>
        <w:jc w:val="both"/>
        <w:rPr>
          <w:color w:val="000000" w:themeColor="text1"/>
          <w:sz w:val="20"/>
          <w:szCs w:val="20"/>
        </w:rPr>
      </w:pPr>
      <w:r w:rsidRPr="00DA7A90">
        <w:rPr>
          <w:color w:val="000000" w:themeColor="text1"/>
          <w:sz w:val="20"/>
          <w:szCs w:val="20"/>
        </w:rPr>
        <w:t>11</w:t>
      </w:r>
      <w:r w:rsidR="0084322B" w:rsidRPr="00DA7A90">
        <w:rPr>
          <w:color w:val="000000" w:themeColor="text1"/>
          <w:sz w:val="20"/>
          <w:szCs w:val="20"/>
        </w:rPr>
        <w:t>.</w:t>
      </w:r>
      <w:r w:rsidRPr="00DA7A90">
        <w:rPr>
          <w:color w:val="000000" w:themeColor="text1"/>
          <w:sz w:val="20"/>
          <w:szCs w:val="20"/>
        </w:rPr>
        <w:tab/>
        <w:t>World Health Organization. (2012). Guideline: Sodium Intake for Adults and Children. Geneva: World Health Organization (WHO).</w:t>
      </w:r>
    </w:p>
    <w:p w14:paraId="4D990586" w14:textId="3EB50092" w:rsidR="001B7B50" w:rsidRPr="00DA7A90" w:rsidRDefault="001B7B50" w:rsidP="004A480E">
      <w:pPr>
        <w:pStyle w:val="Bibliography"/>
        <w:jc w:val="both"/>
        <w:rPr>
          <w:color w:val="000000" w:themeColor="text1"/>
          <w:sz w:val="20"/>
          <w:szCs w:val="20"/>
        </w:rPr>
      </w:pPr>
      <w:r w:rsidRPr="00DA7A90">
        <w:rPr>
          <w:color w:val="000000" w:themeColor="text1"/>
          <w:sz w:val="20"/>
          <w:szCs w:val="20"/>
        </w:rPr>
        <w:lastRenderedPageBreak/>
        <w:t>12</w:t>
      </w:r>
      <w:r w:rsidR="0084322B" w:rsidRPr="00DA7A90">
        <w:rPr>
          <w:color w:val="000000" w:themeColor="text1"/>
          <w:sz w:val="20"/>
          <w:szCs w:val="20"/>
        </w:rPr>
        <w:t>.</w:t>
      </w:r>
      <w:r w:rsidRPr="00DA7A90">
        <w:rPr>
          <w:color w:val="000000" w:themeColor="text1"/>
          <w:sz w:val="20"/>
          <w:szCs w:val="20"/>
        </w:rPr>
        <w:tab/>
        <w:t>Institute of Medicine (US) Standing Committee on the Scientific Evaluation of Dietary Reference Intakes. (1997). Dietary Reference Intakes for Calcium, Phosphorus, Magnesium, Vitamin D, and Fluoride. Washington (DC): National Academies Press (US). PMID: 23115811.</w:t>
      </w:r>
    </w:p>
    <w:p w14:paraId="0275B170" w14:textId="17CA15DA" w:rsidR="001B7B50" w:rsidRPr="00DA7A90" w:rsidRDefault="001B7B50" w:rsidP="004A480E">
      <w:pPr>
        <w:pStyle w:val="Bibliography"/>
        <w:jc w:val="both"/>
        <w:rPr>
          <w:color w:val="000000" w:themeColor="text1"/>
          <w:sz w:val="20"/>
          <w:szCs w:val="20"/>
        </w:rPr>
      </w:pPr>
      <w:r w:rsidRPr="00DA7A90">
        <w:rPr>
          <w:color w:val="000000" w:themeColor="text1"/>
          <w:sz w:val="20"/>
          <w:szCs w:val="20"/>
        </w:rPr>
        <w:t>13</w:t>
      </w:r>
      <w:r w:rsidR="0084322B" w:rsidRPr="00DA7A90">
        <w:rPr>
          <w:color w:val="000000" w:themeColor="text1"/>
          <w:sz w:val="20"/>
          <w:szCs w:val="20"/>
        </w:rPr>
        <w:t>.</w:t>
      </w:r>
      <w:r w:rsidRPr="00DA7A90">
        <w:rPr>
          <w:color w:val="000000" w:themeColor="text1"/>
          <w:sz w:val="20"/>
          <w:szCs w:val="20"/>
        </w:rPr>
        <w:tab/>
        <w:t>FAO/WHO. (2004). Safety Evaluation of Certain Food Additives and Contaminants: Prepared by the Sixty-First Meeting of the Joint FAO/WHO Expert Committee on Food Additives (JECFA). Geneva: FAO and WHO.</w:t>
      </w:r>
    </w:p>
    <w:p w14:paraId="7824BB4C" w14:textId="375EBC2A" w:rsidR="001B7B50" w:rsidRPr="00DA7A90" w:rsidRDefault="001B7B50" w:rsidP="004A480E">
      <w:pPr>
        <w:pStyle w:val="Bibliography"/>
        <w:jc w:val="both"/>
        <w:rPr>
          <w:color w:val="000000" w:themeColor="text1"/>
          <w:sz w:val="20"/>
          <w:szCs w:val="20"/>
        </w:rPr>
      </w:pPr>
      <w:r w:rsidRPr="00DA7A90">
        <w:rPr>
          <w:color w:val="000000" w:themeColor="text1"/>
          <w:sz w:val="20"/>
          <w:szCs w:val="20"/>
        </w:rPr>
        <w:t>14</w:t>
      </w:r>
      <w:r w:rsidR="0084322B" w:rsidRPr="00DA7A90">
        <w:rPr>
          <w:color w:val="000000" w:themeColor="text1"/>
          <w:sz w:val="20"/>
          <w:szCs w:val="20"/>
        </w:rPr>
        <w:t>.</w:t>
      </w:r>
      <w:r w:rsidRPr="00DA7A90">
        <w:rPr>
          <w:color w:val="000000" w:themeColor="text1"/>
          <w:sz w:val="20"/>
          <w:szCs w:val="20"/>
        </w:rPr>
        <w:tab/>
        <w:t>JECFA (1983)</w:t>
      </w:r>
      <w:r w:rsidR="00826440" w:rsidRPr="00DA7A90">
        <w:rPr>
          <w:color w:val="000000" w:themeColor="text1"/>
          <w:sz w:val="20"/>
          <w:szCs w:val="20"/>
        </w:rPr>
        <w:t>.</w:t>
      </w:r>
      <w:r w:rsidRPr="00DA7A90">
        <w:rPr>
          <w:color w:val="000000" w:themeColor="text1"/>
          <w:sz w:val="20"/>
          <w:szCs w:val="20"/>
        </w:rPr>
        <w:t xml:space="preserve"> Evaluation of Certain Food Additives and Contaminants, 27th Report. WHO, Geneva.</w:t>
      </w:r>
    </w:p>
    <w:p w14:paraId="343259DC" w14:textId="1DA0DEEF" w:rsidR="001B7B50" w:rsidRPr="00DA7A90" w:rsidRDefault="001B7B50" w:rsidP="004A480E">
      <w:pPr>
        <w:pStyle w:val="Bibliography"/>
        <w:jc w:val="both"/>
        <w:rPr>
          <w:color w:val="000000" w:themeColor="text1"/>
          <w:sz w:val="20"/>
          <w:szCs w:val="20"/>
        </w:rPr>
      </w:pPr>
      <w:r w:rsidRPr="00DA7A90">
        <w:rPr>
          <w:color w:val="000000" w:themeColor="text1"/>
          <w:sz w:val="20"/>
          <w:szCs w:val="20"/>
        </w:rPr>
        <w:t>15</w:t>
      </w:r>
      <w:r w:rsidR="0084322B" w:rsidRPr="00DA7A90">
        <w:rPr>
          <w:color w:val="000000" w:themeColor="text1"/>
          <w:sz w:val="20"/>
          <w:szCs w:val="20"/>
        </w:rPr>
        <w:t>.</w:t>
      </w:r>
      <w:r w:rsidRPr="00DA7A90">
        <w:rPr>
          <w:color w:val="000000" w:themeColor="text1"/>
          <w:sz w:val="20"/>
          <w:szCs w:val="20"/>
        </w:rPr>
        <w:tab/>
        <w:t>Agency for Toxic Substances and Disease Registry (ATSDR). (1994). Toxicological Profile for Nickel and Iron. Agency for Toxic Substances and Disease Registry. US Department of Health and Human Services, Public Health Service 205-88</w:t>
      </w:r>
      <w:r w:rsidR="008F753B" w:rsidRPr="00DA7A90">
        <w:rPr>
          <w:color w:val="000000" w:themeColor="text1"/>
          <w:sz w:val="20"/>
          <w:szCs w:val="20"/>
        </w:rPr>
        <w:t>-</w:t>
      </w:r>
      <w:r w:rsidRPr="00DA7A90">
        <w:rPr>
          <w:color w:val="000000" w:themeColor="text1"/>
          <w:sz w:val="20"/>
          <w:szCs w:val="20"/>
        </w:rPr>
        <w:t>0608</w:t>
      </w:r>
      <w:r w:rsidR="00FD7678" w:rsidRPr="00DA7A90">
        <w:rPr>
          <w:color w:val="000000" w:themeColor="text1"/>
          <w:sz w:val="20"/>
          <w:szCs w:val="20"/>
        </w:rPr>
        <w:t>, 1994b.</w:t>
      </w:r>
    </w:p>
    <w:p w14:paraId="6A1758BA" w14:textId="16316C1E" w:rsidR="006B15C4" w:rsidRPr="00DA7A90" w:rsidRDefault="001B7B50" w:rsidP="004A480E">
      <w:pPr>
        <w:pStyle w:val="Bibliography"/>
        <w:jc w:val="both"/>
        <w:rPr>
          <w:color w:val="000000" w:themeColor="text1"/>
          <w:sz w:val="20"/>
          <w:szCs w:val="20"/>
        </w:rPr>
      </w:pPr>
      <w:r w:rsidRPr="00DA7A90">
        <w:rPr>
          <w:color w:val="000000" w:themeColor="text1"/>
          <w:sz w:val="20"/>
          <w:szCs w:val="20"/>
        </w:rPr>
        <w:t>16</w:t>
      </w:r>
      <w:r w:rsidR="0084322B" w:rsidRPr="00DA7A90">
        <w:rPr>
          <w:color w:val="000000" w:themeColor="text1"/>
          <w:sz w:val="20"/>
          <w:szCs w:val="20"/>
        </w:rPr>
        <w:t>.</w:t>
      </w:r>
      <w:r w:rsidRPr="00DA7A90">
        <w:rPr>
          <w:color w:val="000000" w:themeColor="text1"/>
          <w:sz w:val="20"/>
          <w:szCs w:val="20"/>
        </w:rPr>
        <w:tab/>
        <w:t>Larsen K-V</w:t>
      </w:r>
      <w:r w:rsidR="003B025B" w:rsidRPr="00DA7A90">
        <w:rPr>
          <w:color w:val="000000" w:themeColor="text1"/>
          <w:sz w:val="20"/>
          <w:szCs w:val="20"/>
        </w:rPr>
        <w:t>,</w:t>
      </w:r>
      <w:r w:rsidRPr="00DA7A90">
        <w:rPr>
          <w:color w:val="000000" w:themeColor="text1"/>
          <w:sz w:val="20"/>
          <w:szCs w:val="20"/>
        </w:rPr>
        <w:t xml:space="preserve"> Cobbina SJ</w:t>
      </w:r>
      <w:r w:rsidR="003B025B" w:rsidRPr="00DA7A90">
        <w:rPr>
          <w:color w:val="000000" w:themeColor="text1"/>
          <w:sz w:val="20"/>
          <w:szCs w:val="20"/>
        </w:rPr>
        <w:t>,</w:t>
      </w:r>
      <w:r w:rsidRPr="00DA7A90">
        <w:rPr>
          <w:color w:val="000000" w:themeColor="text1"/>
          <w:sz w:val="20"/>
          <w:szCs w:val="20"/>
        </w:rPr>
        <w:t xml:space="preserve"> Ofori SA</w:t>
      </w:r>
      <w:r w:rsidR="003B025B" w:rsidRPr="00DA7A90">
        <w:rPr>
          <w:color w:val="000000" w:themeColor="text1"/>
          <w:sz w:val="20"/>
          <w:szCs w:val="20"/>
        </w:rPr>
        <w:t>,</w:t>
      </w:r>
      <w:r w:rsidRPr="00DA7A90">
        <w:rPr>
          <w:color w:val="000000" w:themeColor="text1"/>
          <w:sz w:val="20"/>
          <w:szCs w:val="20"/>
        </w:rPr>
        <w:t xml:space="preserve"> Addo D. Quantification and Health Risk Assessment of Heavy Metals in Milled Maize and Millet in the Tolon District, Northern Ghana. Food Sci</w:t>
      </w:r>
      <w:r w:rsidR="00885562" w:rsidRPr="00DA7A90">
        <w:rPr>
          <w:color w:val="000000" w:themeColor="text1"/>
          <w:sz w:val="20"/>
          <w:szCs w:val="20"/>
        </w:rPr>
        <w:t>.</w:t>
      </w:r>
      <w:r w:rsidRPr="00DA7A90">
        <w:rPr>
          <w:color w:val="000000" w:themeColor="text1"/>
          <w:sz w:val="20"/>
          <w:szCs w:val="20"/>
        </w:rPr>
        <w:t xml:space="preserve"> Nutr</w:t>
      </w:r>
      <w:r w:rsidR="00885562" w:rsidRPr="00DA7A90">
        <w:rPr>
          <w:color w:val="000000" w:themeColor="text1"/>
          <w:sz w:val="20"/>
          <w:szCs w:val="20"/>
        </w:rPr>
        <w:t>.:Curr.</w:t>
      </w:r>
      <w:r w:rsidRPr="00DA7A90">
        <w:rPr>
          <w:color w:val="000000" w:themeColor="text1"/>
          <w:sz w:val="20"/>
          <w:szCs w:val="20"/>
        </w:rPr>
        <w:t xml:space="preserve"> </w:t>
      </w:r>
      <w:r w:rsidR="004F1539" w:rsidRPr="00DA7A90">
        <w:rPr>
          <w:color w:val="000000" w:themeColor="text1"/>
          <w:sz w:val="20"/>
          <w:szCs w:val="20"/>
        </w:rPr>
        <w:t>2020;</w:t>
      </w:r>
      <w:r w:rsidRPr="00DA7A90">
        <w:rPr>
          <w:color w:val="000000" w:themeColor="text1"/>
          <w:sz w:val="20"/>
          <w:szCs w:val="20"/>
        </w:rPr>
        <w:t>8</w:t>
      </w:r>
      <w:r w:rsidR="004F1539" w:rsidRPr="00DA7A90">
        <w:rPr>
          <w:color w:val="000000" w:themeColor="text1"/>
          <w:sz w:val="20"/>
          <w:szCs w:val="20"/>
        </w:rPr>
        <w:t>:</w:t>
      </w:r>
      <w:r w:rsidRPr="00DA7A90">
        <w:rPr>
          <w:color w:val="000000" w:themeColor="text1"/>
          <w:sz w:val="20"/>
          <w:szCs w:val="20"/>
        </w:rPr>
        <w:t xml:space="preserve">4205–4213. </w:t>
      </w:r>
    </w:p>
    <w:p w14:paraId="0AAE1216" w14:textId="71F1AB4D" w:rsidR="001B7B50" w:rsidRPr="00DA7A90" w:rsidRDefault="006B15C4"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w:t>
      </w:r>
      <w:r w:rsidR="00EB7D2E" w:rsidRPr="00DA7A90">
        <w:rPr>
          <w:color w:val="000000" w:themeColor="text1"/>
          <w:sz w:val="20"/>
          <w:szCs w:val="20"/>
        </w:rPr>
        <w:t>Available:https</w:t>
      </w:r>
      <w:r w:rsidR="001B7B50" w:rsidRPr="00DA7A90">
        <w:rPr>
          <w:color w:val="000000" w:themeColor="text1"/>
          <w:sz w:val="20"/>
          <w:szCs w:val="20"/>
        </w:rPr>
        <w:t>://doi.org/10.1002/fsn3.1714</w:t>
      </w:r>
    </w:p>
    <w:p w14:paraId="52F87C34" w14:textId="3DEDAFED" w:rsidR="001B7B50" w:rsidRPr="00DA7A90" w:rsidRDefault="001B7B50" w:rsidP="004A480E">
      <w:pPr>
        <w:pStyle w:val="Bibliography"/>
        <w:jc w:val="both"/>
        <w:rPr>
          <w:color w:val="000000" w:themeColor="text1"/>
          <w:sz w:val="20"/>
          <w:szCs w:val="20"/>
        </w:rPr>
      </w:pPr>
      <w:r w:rsidRPr="00DA7A90">
        <w:rPr>
          <w:color w:val="000000" w:themeColor="text1"/>
          <w:sz w:val="20"/>
          <w:szCs w:val="20"/>
        </w:rPr>
        <w:t>17</w:t>
      </w:r>
      <w:r w:rsidR="0084322B" w:rsidRPr="00DA7A90">
        <w:rPr>
          <w:color w:val="000000" w:themeColor="text1"/>
          <w:sz w:val="20"/>
          <w:szCs w:val="20"/>
        </w:rPr>
        <w:t>.</w:t>
      </w:r>
      <w:r w:rsidRPr="00DA7A90">
        <w:rPr>
          <w:color w:val="000000" w:themeColor="text1"/>
          <w:sz w:val="20"/>
          <w:szCs w:val="20"/>
        </w:rPr>
        <w:tab/>
        <w:t>JECFA</w:t>
      </w:r>
      <w:r w:rsidR="00585891" w:rsidRPr="00DA7A90">
        <w:rPr>
          <w:color w:val="000000" w:themeColor="text1"/>
          <w:sz w:val="20"/>
          <w:szCs w:val="20"/>
        </w:rPr>
        <w:t>.</w:t>
      </w:r>
      <w:r w:rsidRPr="00DA7A90">
        <w:rPr>
          <w:color w:val="000000" w:themeColor="text1"/>
          <w:sz w:val="20"/>
          <w:szCs w:val="20"/>
        </w:rPr>
        <w:t xml:space="preserve"> (1982)</w:t>
      </w:r>
      <w:r w:rsidR="00585891" w:rsidRPr="00DA7A90">
        <w:rPr>
          <w:color w:val="000000" w:themeColor="text1"/>
          <w:sz w:val="20"/>
          <w:szCs w:val="20"/>
        </w:rPr>
        <w:t>.</w:t>
      </w:r>
      <w:r w:rsidRPr="00DA7A90">
        <w:rPr>
          <w:color w:val="000000" w:themeColor="text1"/>
          <w:sz w:val="20"/>
          <w:szCs w:val="20"/>
        </w:rPr>
        <w:t xml:space="preserve"> Evaluation of Certain Food Additives and Contaminants. Twenty-Six Report of Joint FAO/WHO Expert Committee on Food Additives WHO Technical Report Series 683.</w:t>
      </w:r>
    </w:p>
    <w:p w14:paraId="21C1C929" w14:textId="2AA22B72" w:rsidR="001B7B50" w:rsidRPr="00DA7A90" w:rsidRDefault="001B7B50" w:rsidP="004A480E">
      <w:pPr>
        <w:pStyle w:val="Bibliography"/>
        <w:jc w:val="both"/>
        <w:rPr>
          <w:color w:val="000000" w:themeColor="text1"/>
          <w:sz w:val="20"/>
          <w:szCs w:val="20"/>
        </w:rPr>
      </w:pPr>
      <w:r w:rsidRPr="00DA7A90">
        <w:rPr>
          <w:color w:val="000000" w:themeColor="text1"/>
          <w:sz w:val="20"/>
          <w:szCs w:val="20"/>
        </w:rPr>
        <w:t>18</w:t>
      </w:r>
      <w:r w:rsidR="0084322B" w:rsidRPr="00DA7A90">
        <w:rPr>
          <w:color w:val="000000" w:themeColor="text1"/>
          <w:sz w:val="20"/>
          <w:szCs w:val="20"/>
        </w:rPr>
        <w:t>.</w:t>
      </w:r>
      <w:r w:rsidRPr="00DA7A90">
        <w:rPr>
          <w:color w:val="000000" w:themeColor="text1"/>
          <w:sz w:val="20"/>
          <w:szCs w:val="20"/>
        </w:rPr>
        <w:tab/>
        <w:t>Food and Agriculture Organization of the United Nations (FAO) World Health Organization (WHO)</w:t>
      </w:r>
      <w:r w:rsidR="0063689F" w:rsidRPr="00DA7A90">
        <w:rPr>
          <w:color w:val="000000" w:themeColor="text1"/>
          <w:sz w:val="20"/>
          <w:szCs w:val="20"/>
        </w:rPr>
        <w:t xml:space="preserve">. </w:t>
      </w:r>
      <w:r w:rsidR="00B94672" w:rsidRPr="00DA7A90">
        <w:rPr>
          <w:color w:val="000000" w:themeColor="text1"/>
          <w:sz w:val="20"/>
          <w:szCs w:val="20"/>
        </w:rPr>
        <w:t>(</w:t>
      </w:r>
      <w:r w:rsidR="0063689F" w:rsidRPr="00DA7A90">
        <w:rPr>
          <w:color w:val="000000" w:themeColor="text1"/>
          <w:sz w:val="20"/>
          <w:szCs w:val="20"/>
        </w:rPr>
        <w:t>2013</w:t>
      </w:r>
      <w:r w:rsidR="00B94672" w:rsidRPr="00DA7A90">
        <w:rPr>
          <w:color w:val="000000" w:themeColor="text1"/>
          <w:sz w:val="20"/>
          <w:szCs w:val="20"/>
        </w:rPr>
        <w:t>).</w:t>
      </w:r>
      <w:r w:rsidRPr="00DA7A90">
        <w:rPr>
          <w:color w:val="000000" w:themeColor="text1"/>
          <w:sz w:val="20"/>
          <w:szCs w:val="20"/>
        </w:rPr>
        <w:t xml:space="preserve"> Evaluation of Certain Food Additives and Contaminants; Proceedings of the Seventy-Seventh Report of the Joint Expert Committee on Food Additives JECFA, Technical Report Series 983; Rome, Italy.</w:t>
      </w:r>
    </w:p>
    <w:p w14:paraId="224EDD73" w14:textId="6C8E6B53" w:rsidR="001B7B50" w:rsidRPr="00DA7A90" w:rsidRDefault="001B7B50" w:rsidP="004A480E">
      <w:pPr>
        <w:pStyle w:val="Bibliography"/>
        <w:jc w:val="both"/>
        <w:rPr>
          <w:color w:val="000000" w:themeColor="text1"/>
          <w:sz w:val="20"/>
          <w:szCs w:val="20"/>
        </w:rPr>
      </w:pPr>
      <w:r w:rsidRPr="00DA7A90">
        <w:rPr>
          <w:color w:val="000000" w:themeColor="text1"/>
          <w:sz w:val="20"/>
          <w:szCs w:val="20"/>
        </w:rPr>
        <w:t>19</w:t>
      </w:r>
      <w:r w:rsidR="0084322B" w:rsidRPr="00DA7A90">
        <w:rPr>
          <w:color w:val="000000" w:themeColor="text1"/>
          <w:sz w:val="20"/>
          <w:szCs w:val="20"/>
        </w:rPr>
        <w:t>.</w:t>
      </w:r>
      <w:r w:rsidRPr="00DA7A90">
        <w:rPr>
          <w:color w:val="000000" w:themeColor="text1"/>
          <w:sz w:val="20"/>
          <w:szCs w:val="20"/>
        </w:rPr>
        <w:tab/>
        <w:t>Food and Agriculture Organization of the United Nations (FAO) World Health Organization (WHO)</w:t>
      </w:r>
      <w:r w:rsidR="00B1176C" w:rsidRPr="00DA7A90">
        <w:rPr>
          <w:color w:val="000000" w:themeColor="text1"/>
          <w:sz w:val="20"/>
          <w:szCs w:val="20"/>
        </w:rPr>
        <w:t>. (2011).</w:t>
      </w:r>
      <w:r w:rsidRPr="00DA7A90">
        <w:rPr>
          <w:color w:val="000000" w:themeColor="text1"/>
          <w:sz w:val="20"/>
          <w:szCs w:val="20"/>
        </w:rPr>
        <w:t xml:space="preserve"> Evaluation of Certain Food Additives and Contaminants; Proceedings of the Seventy-Third Meeting of the Joint Expert Committee on Food Additives JECFA, Technical Report Series 960; Geneva, Switzerland.</w:t>
      </w:r>
    </w:p>
    <w:p w14:paraId="30C56E1B" w14:textId="5709F621" w:rsidR="00DA6C21" w:rsidRPr="00DA7A90" w:rsidRDefault="001B7B50" w:rsidP="004A480E">
      <w:pPr>
        <w:pStyle w:val="Bibliography"/>
        <w:jc w:val="both"/>
        <w:rPr>
          <w:color w:val="000000" w:themeColor="text1"/>
          <w:sz w:val="20"/>
          <w:szCs w:val="20"/>
        </w:rPr>
      </w:pPr>
      <w:r w:rsidRPr="00DA7A90">
        <w:rPr>
          <w:color w:val="000000" w:themeColor="text1"/>
          <w:sz w:val="20"/>
          <w:szCs w:val="20"/>
        </w:rPr>
        <w:t>20</w:t>
      </w:r>
      <w:r w:rsidR="0084322B" w:rsidRPr="00DA7A90">
        <w:rPr>
          <w:color w:val="000000" w:themeColor="text1"/>
          <w:sz w:val="20"/>
          <w:szCs w:val="20"/>
        </w:rPr>
        <w:t>.</w:t>
      </w:r>
      <w:r w:rsidRPr="00DA7A90">
        <w:rPr>
          <w:color w:val="000000" w:themeColor="text1"/>
          <w:sz w:val="20"/>
          <w:szCs w:val="20"/>
        </w:rPr>
        <w:tab/>
        <w:t>Gollasch M</w:t>
      </w:r>
      <w:r w:rsidR="003B025B" w:rsidRPr="00DA7A90">
        <w:rPr>
          <w:color w:val="000000" w:themeColor="text1"/>
          <w:sz w:val="20"/>
          <w:szCs w:val="20"/>
        </w:rPr>
        <w:t>,</w:t>
      </w:r>
      <w:r w:rsidRPr="00DA7A90">
        <w:rPr>
          <w:color w:val="000000" w:themeColor="text1"/>
          <w:sz w:val="20"/>
          <w:szCs w:val="20"/>
        </w:rPr>
        <w:t xml:space="preserve"> Kassmann M</w:t>
      </w:r>
      <w:r w:rsidR="003B025B" w:rsidRPr="00DA7A90">
        <w:rPr>
          <w:color w:val="000000" w:themeColor="text1"/>
          <w:sz w:val="20"/>
          <w:szCs w:val="20"/>
        </w:rPr>
        <w:t>,</w:t>
      </w:r>
      <w:r w:rsidRPr="00DA7A90">
        <w:rPr>
          <w:color w:val="000000" w:themeColor="text1"/>
          <w:sz w:val="20"/>
          <w:szCs w:val="20"/>
        </w:rPr>
        <w:t xml:space="preserve"> Alves DT</w:t>
      </w:r>
      <w:r w:rsidR="003B025B" w:rsidRPr="00DA7A90">
        <w:rPr>
          <w:color w:val="000000" w:themeColor="text1"/>
          <w:sz w:val="20"/>
          <w:szCs w:val="20"/>
        </w:rPr>
        <w:t>,</w:t>
      </w:r>
      <w:r w:rsidRPr="00DA7A90">
        <w:rPr>
          <w:color w:val="000000" w:themeColor="text1"/>
          <w:sz w:val="20"/>
          <w:szCs w:val="20"/>
        </w:rPr>
        <w:t xml:space="preserve"> Garscha U</w:t>
      </w:r>
      <w:r w:rsidR="003B025B" w:rsidRPr="00DA7A90">
        <w:rPr>
          <w:color w:val="000000" w:themeColor="text1"/>
          <w:sz w:val="20"/>
          <w:szCs w:val="20"/>
        </w:rPr>
        <w:t>,</w:t>
      </w:r>
      <w:r w:rsidRPr="00DA7A90">
        <w:rPr>
          <w:color w:val="000000" w:themeColor="text1"/>
          <w:sz w:val="20"/>
          <w:szCs w:val="20"/>
        </w:rPr>
        <w:t xml:space="preserve"> Tsvetkov D.</w:t>
      </w:r>
      <w:r w:rsidR="00DA6C21" w:rsidRPr="00DA7A90">
        <w:rPr>
          <w:color w:val="000000" w:themeColor="text1"/>
          <w:sz w:val="20"/>
          <w:szCs w:val="20"/>
        </w:rPr>
        <w:t xml:space="preserve"> </w:t>
      </w:r>
      <w:r w:rsidRPr="00DA7A90">
        <w:rPr>
          <w:color w:val="000000" w:themeColor="text1"/>
          <w:sz w:val="20"/>
          <w:szCs w:val="20"/>
        </w:rPr>
        <w:t xml:space="preserve">Metabolic Regulation of Vascular Smooth Muscle Potassium Channels by Perivascular Adipose Tissue. </w:t>
      </w:r>
      <w:r w:rsidR="00CE4F3C" w:rsidRPr="00DA7A90">
        <w:rPr>
          <w:color w:val="000000" w:themeColor="text1"/>
          <w:sz w:val="20"/>
          <w:szCs w:val="20"/>
        </w:rPr>
        <w:t>Arterioscler., Thromb., Vasc. Biol.</w:t>
      </w:r>
      <w:r w:rsidRPr="00DA7A90">
        <w:rPr>
          <w:color w:val="000000" w:themeColor="text1"/>
          <w:sz w:val="20"/>
          <w:szCs w:val="20"/>
        </w:rPr>
        <w:t xml:space="preserve"> </w:t>
      </w:r>
      <w:r w:rsidR="00091744" w:rsidRPr="00DA7A90">
        <w:rPr>
          <w:color w:val="000000" w:themeColor="text1"/>
          <w:sz w:val="20"/>
          <w:szCs w:val="20"/>
        </w:rPr>
        <w:t>2025;</w:t>
      </w:r>
      <w:r w:rsidRPr="00DA7A90">
        <w:rPr>
          <w:color w:val="000000" w:themeColor="text1"/>
          <w:sz w:val="20"/>
          <w:szCs w:val="20"/>
        </w:rPr>
        <w:t>45(7)</w:t>
      </w:r>
      <w:r w:rsidR="00091744" w:rsidRPr="00DA7A90">
        <w:rPr>
          <w:color w:val="000000" w:themeColor="text1"/>
          <w:sz w:val="20"/>
          <w:szCs w:val="20"/>
        </w:rPr>
        <w:t>:</w:t>
      </w:r>
      <w:r w:rsidRPr="00DA7A90">
        <w:rPr>
          <w:color w:val="000000" w:themeColor="text1"/>
          <w:sz w:val="20"/>
          <w:szCs w:val="20"/>
        </w:rPr>
        <w:t xml:space="preserve">1031–1040. </w:t>
      </w:r>
    </w:p>
    <w:p w14:paraId="4692370E" w14:textId="0CF3E67B" w:rsidR="001B7B50" w:rsidRPr="00DA7A90" w:rsidRDefault="00DA6C21"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://doi.org/10.1161/ATVBAHA.125.321693</w:t>
      </w:r>
    </w:p>
    <w:p w14:paraId="3644424E" w14:textId="57C90159" w:rsidR="00CA079C" w:rsidRPr="00DA7A90" w:rsidRDefault="001B7B50" w:rsidP="004A480E">
      <w:pPr>
        <w:pStyle w:val="Bibliography"/>
        <w:jc w:val="both"/>
        <w:rPr>
          <w:color w:val="000000" w:themeColor="text1"/>
          <w:sz w:val="20"/>
          <w:szCs w:val="20"/>
        </w:rPr>
      </w:pPr>
      <w:r w:rsidRPr="00DA7A90">
        <w:rPr>
          <w:color w:val="000000" w:themeColor="text1"/>
          <w:sz w:val="20"/>
          <w:szCs w:val="20"/>
        </w:rPr>
        <w:t>21</w:t>
      </w:r>
      <w:r w:rsidR="0084322B" w:rsidRPr="00DA7A90">
        <w:rPr>
          <w:color w:val="000000" w:themeColor="text1"/>
          <w:sz w:val="20"/>
          <w:szCs w:val="20"/>
        </w:rPr>
        <w:t>.</w:t>
      </w:r>
      <w:r w:rsidRPr="00DA7A90">
        <w:rPr>
          <w:color w:val="000000" w:themeColor="text1"/>
          <w:sz w:val="20"/>
          <w:szCs w:val="20"/>
        </w:rPr>
        <w:tab/>
        <w:t>Gast LV</w:t>
      </w:r>
      <w:r w:rsidR="003B025B" w:rsidRPr="00DA7A90">
        <w:rPr>
          <w:color w:val="000000" w:themeColor="text1"/>
          <w:sz w:val="20"/>
          <w:szCs w:val="20"/>
        </w:rPr>
        <w:t>,</w:t>
      </w:r>
      <w:r w:rsidRPr="00DA7A90">
        <w:rPr>
          <w:color w:val="000000" w:themeColor="text1"/>
          <w:sz w:val="20"/>
          <w:szCs w:val="20"/>
        </w:rPr>
        <w:t xml:space="preserve"> Gerhalter T</w:t>
      </w:r>
      <w:r w:rsidR="003B025B" w:rsidRPr="00DA7A90">
        <w:rPr>
          <w:color w:val="000000" w:themeColor="text1"/>
          <w:sz w:val="20"/>
          <w:szCs w:val="20"/>
        </w:rPr>
        <w:t>,</w:t>
      </w:r>
      <w:r w:rsidRPr="00DA7A90">
        <w:rPr>
          <w:color w:val="000000" w:themeColor="text1"/>
          <w:sz w:val="20"/>
          <w:szCs w:val="20"/>
        </w:rPr>
        <w:t xml:space="preserve"> Türk M</w:t>
      </w:r>
      <w:r w:rsidR="003B025B" w:rsidRPr="00DA7A90">
        <w:rPr>
          <w:color w:val="000000" w:themeColor="text1"/>
          <w:sz w:val="20"/>
          <w:szCs w:val="20"/>
        </w:rPr>
        <w:t>,</w:t>
      </w:r>
      <w:r w:rsidRPr="00DA7A90">
        <w:rPr>
          <w:color w:val="000000" w:themeColor="text1"/>
          <w:sz w:val="20"/>
          <w:szCs w:val="20"/>
        </w:rPr>
        <w:t xml:space="preserve"> Sapli A</w:t>
      </w:r>
      <w:r w:rsidR="003B025B" w:rsidRPr="00DA7A90">
        <w:rPr>
          <w:color w:val="000000" w:themeColor="text1"/>
          <w:sz w:val="20"/>
          <w:szCs w:val="20"/>
        </w:rPr>
        <w:t>,</w:t>
      </w:r>
      <w:r w:rsidRPr="00DA7A90">
        <w:rPr>
          <w:color w:val="000000" w:themeColor="text1"/>
          <w:sz w:val="20"/>
          <w:szCs w:val="20"/>
        </w:rPr>
        <w:t xml:space="preserve"> Mathy CS</w:t>
      </w:r>
      <w:r w:rsidR="003B025B" w:rsidRPr="00DA7A90">
        <w:rPr>
          <w:color w:val="000000" w:themeColor="text1"/>
          <w:sz w:val="20"/>
          <w:szCs w:val="20"/>
        </w:rPr>
        <w:t>,</w:t>
      </w:r>
      <w:r w:rsidRPr="00DA7A90">
        <w:rPr>
          <w:color w:val="000000" w:themeColor="text1"/>
          <w:sz w:val="20"/>
          <w:szCs w:val="20"/>
        </w:rPr>
        <w:t xml:space="preserve"> Heiss R</w:t>
      </w:r>
      <w:r w:rsidR="003B025B" w:rsidRPr="00DA7A90">
        <w:rPr>
          <w:color w:val="000000" w:themeColor="text1"/>
          <w:sz w:val="20"/>
          <w:szCs w:val="20"/>
        </w:rPr>
        <w:t>,</w:t>
      </w:r>
      <w:r w:rsidRPr="00DA7A90">
        <w:rPr>
          <w:color w:val="000000" w:themeColor="text1"/>
          <w:sz w:val="20"/>
          <w:szCs w:val="20"/>
        </w:rPr>
        <w:t xml:space="preserve"> Baudin P-Y</w:t>
      </w:r>
      <w:r w:rsidR="003B025B" w:rsidRPr="00DA7A90">
        <w:rPr>
          <w:color w:val="000000" w:themeColor="text1"/>
          <w:sz w:val="20"/>
          <w:szCs w:val="20"/>
        </w:rPr>
        <w:t>,</w:t>
      </w:r>
      <w:r w:rsidRPr="00DA7A90">
        <w:rPr>
          <w:color w:val="000000" w:themeColor="text1"/>
          <w:sz w:val="20"/>
          <w:szCs w:val="20"/>
        </w:rPr>
        <w:t xml:space="preserve"> Marty B</w:t>
      </w:r>
      <w:r w:rsidR="003B025B" w:rsidRPr="00DA7A90">
        <w:rPr>
          <w:color w:val="000000" w:themeColor="text1"/>
          <w:sz w:val="20"/>
          <w:szCs w:val="20"/>
        </w:rPr>
        <w:t>,</w:t>
      </w:r>
      <w:r w:rsidRPr="00DA7A90">
        <w:rPr>
          <w:color w:val="000000" w:themeColor="text1"/>
          <w:sz w:val="20"/>
          <w:szCs w:val="20"/>
        </w:rPr>
        <w:t xml:space="preserve"> Uder M</w:t>
      </w:r>
      <w:r w:rsidR="003B025B" w:rsidRPr="00DA7A90">
        <w:rPr>
          <w:color w:val="000000" w:themeColor="text1"/>
          <w:sz w:val="20"/>
          <w:szCs w:val="20"/>
        </w:rPr>
        <w:t>,</w:t>
      </w:r>
      <w:r w:rsidRPr="00DA7A90">
        <w:rPr>
          <w:color w:val="000000" w:themeColor="text1"/>
          <w:sz w:val="20"/>
          <w:szCs w:val="20"/>
        </w:rPr>
        <w:t xml:space="preserve"> Nagel AM.</w:t>
      </w:r>
      <w:r w:rsidR="00FB22CB" w:rsidRPr="00DA7A90">
        <w:rPr>
          <w:color w:val="000000" w:themeColor="text1"/>
          <w:sz w:val="20"/>
          <w:szCs w:val="20"/>
        </w:rPr>
        <w:t xml:space="preserve"> </w:t>
      </w:r>
      <w:r w:rsidRPr="00DA7A90">
        <w:rPr>
          <w:color w:val="000000" w:themeColor="text1"/>
          <w:sz w:val="20"/>
          <w:szCs w:val="20"/>
        </w:rPr>
        <w:t>Determination of Tissue Potassium and Sodium Concentrations in Dystrophic Skeletal Muscle Tissue Using Combined Potassium (</w:t>
      </w:r>
      <w:r w:rsidRPr="00DA7A90">
        <w:rPr>
          <w:color w:val="000000" w:themeColor="text1"/>
          <w:sz w:val="20"/>
          <w:szCs w:val="20"/>
          <w:vertAlign w:val="superscript"/>
        </w:rPr>
        <w:t>39</w:t>
      </w:r>
      <w:r w:rsidRPr="00DA7A90">
        <w:rPr>
          <w:color w:val="000000" w:themeColor="text1"/>
          <w:sz w:val="20"/>
          <w:szCs w:val="20"/>
        </w:rPr>
        <w:t>K) and Sodium (</w:t>
      </w:r>
      <w:r w:rsidRPr="00DA7A90">
        <w:rPr>
          <w:color w:val="000000" w:themeColor="text1"/>
          <w:sz w:val="20"/>
          <w:szCs w:val="20"/>
          <w:vertAlign w:val="superscript"/>
        </w:rPr>
        <w:t>23</w:t>
      </w:r>
      <w:r w:rsidRPr="00DA7A90">
        <w:rPr>
          <w:color w:val="000000" w:themeColor="text1"/>
          <w:sz w:val="20"/>
          <w:szCs w:val="20"/>
        </w:rPr>
        <w:t>Na) MRI at 7 T. NMR Biomed</w:t>
      </w:r>
      <w:r w:rsidR="00F17AFB" w:rsidRPr="00DA7A90">
        <w:rPr>
          <w:color w:val="000000" w:themeColor="text1"/>
          <w:sz w:val="20"/>
          <w:szCs w:val="20"/>
        </w:rPr>
        <w:t>.</w:t>
      </w:r>
      <w:r w:rsidRPr="00DA7A90">
        <w:rPr>
          <w:color w:val="000000" w:themeColor="text1"/>
          <w:sz w:val="20"/>
          <w:szCs w:val="20"/>
        </w:rPr>
        <w:t xml:space="preserve"> </w:t>
      </w:r>
      <w:r w:rsidR="00CE4F3C" w:rsidRPr="00DA7A90">
        <w:rPr>
          <w:color w:val="000000" w:themeColor="text1"/>
          <w:sz w:val="20"/>
          <w:szCs w:val="20"/>
        </w:rPr>
        <w:t>2025;</w:t>
      </w:r>
      <w:r w:rsidRPr="00DA7A90">
        <w:rPr>
          <w:color w:val="000000" w:themeColor="text1"/>
          <w:sz w:val="20"/>
          <w:szCs w:val="20"/>
        </w:rPr>
        <w:t>38(4)</w:t>
      </w:r>
      <w:r w:rsidR="00CE4F3C" w:rsidRPr="00DA7A90">
        <w:rPr>
          <w:color w:val="000000" w:themeColor="text1"/>
          <w:sz w:val="20"/>
          <w:szCs w:val="20"/>
        </w:rPr>
        <w:t>:</w:t>
      </w:r>
      <w:r w:rsidRPr="00DA7A90">
        <w:rPr>
          <w:color w:val="000000" w:themeColor="text1"/>
          <w:sz w:val="20"/>
          <w:szCs w:val="20"/>
        </w:rPr>
        <w:t>e70009.</w:t>
      </w:r>
    </w:p>
    <w:p w14:paraId="7256E95A" w14:textId="74BF574B" w:rsidR="001B7B50" w:rsidRPr="00DA7A90" w:rsidRDefault="00CA079C"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w:t>
      </w:r>
      <w:r w:rsidR="00EB7D2E" w:rsidRPr="00DA7A90">
        <w:rPr>
          <w:color w:val="000000" w:themeColor="text1"/>
          <w:sz w:val="20"/>
          <w:szCs w:val="20"/>
        </w:rPr>
        <w:t>Available:https</w:t>
      </w:r>
      <w:r w:rsidR="001B7B50" w:rsidRPr="00DA7A90">
        <w:rPr>
          <w:color w:val="000000" w:themeColor="text1"/>
          <w:sz w:val="20"/>
          <w:szCs w:val="20"/>
        </w:rPr>
        <w:t>://doi.org/10.1002/nbm.70009</w:t>
      </w:r>
    </w:p>
    <w:p w14:paraId="512662BC" w14:textId="1E3FF35B" w:rsidR="007C26FA" w:rsidRPr="00DA7A90" w:rsidRDefault="001B7B50" w:rsidP="004A480E">
      <w:pPr>
        <w:pStyle w:val="Bibliography"/>
        <w:jc w:val="both"/>
        <w:rPr>
          <w:color w:val="000000" w:themeColor="text1"/>
          <w:sz w:val="20"/>
          <w:szCs w:val="20"/>
        </w:rPr>
      </w:pPr>
      <w:r w:rsidRPr="00DA7A90">
        <w:rPr>
          <w:color w:val="000000" w:themeColor="text1"/>
          <w:sz w:val="20"/>
          <w:szCs w:val="20"/>
        </w:rPr>
        <w:t>22</w:t>
      </w:r>
      <w:r w:rsidR="0084322B" w:rsidRPr="00DA7A90">
        <w:rPr>
          <w:color w:val="000000" w:themeColor="text1"/>
          <w:sz w:val="20"/>
          <w:szCs w:val="20"/>
        </w:rPr>
        <w:t>.</w:t>
      </w:r>
      <w:r w:rsidRPr="00DA7A90">
        <w:rPr>
          <w:color w:val="000000" w:themeColor="text1"/>
          <w:sz w:val="20"/>
          <w:szCs w:val="20"/>
        </w:rPr>
        <w:tab/>
        <w:t>Phetrittikun R</w:t>
      </w:r>
      <w:r w:rsidR="003B025B" w:rsidRPr="00DA7A90">
        <w:rPr>
          <w:color w:val="000000" w:themeColor="text1"/>
          <w:sz w:val="20"/>
          <w:szCs w:val="20"/>
        </w:rPr>
        <w:t>,</w:t>
      </w:r>
      <w:r w:rsidRPr="00DA7A90">
        <w:rPr>
          <w:color w:val="000000" w:themeColor="text1"/>
          <w:sz w:val="20"/>
          <w:szCs w:val="20"/>
        </w:rPr>
        <w:t xml:space="preserve"> Suvirat K</w:t>
      </w:r>
      <w:r w:rsidR="003B025B" w:rsidRPr="00DA7A90">
        <w:rPr>
          <w:color w:val="000000" w:themeColor="text1"/>
          <w:sz w:val="20"/>
          <w:szCs w:val="20"/>
        </w:rPr>
        <w:t>,</w:t>
      </w:r>
      <w:r w:rsidRPr="00DA7A90">
        <w:rPr>
          <w:color w:val="000000" w:themeColor="text1"/>
          <w:sz w:val="20"/>
          <w:szCs w:val="20"/>
        </w:rPr>
        <w:t xml:space="preserve"> Horsiritham K</w:t>
      </w:r>
      <w:r w:rsidR="003B025B" w:rsidRPr="00DA7A90">
        <w:rPr>
          <w:color w:val="000000" w:themeColor="text1"/>
          <w:sz w:val="20"/>
          <w:szCs w:val="20"/>
        </w:rPr>
        <w:t>,</w:t>
      </w:r>
      <w:r w:rsidRPr="00DA7A90">
        <w:rPr>
          <w:color w:val="000000" w:themeColor="text1"/>
          <w:sz w:val="20"/>
          <w:szCs w:val="20"/>
        </w:rPr>
        <w:t xml:space="preserve"> Ingviya T</w:t>
      </w:r>
      <w:r w:rsidR="003B025B" w:rsidRPr="00DA7A90">
        <w:rPr>
          <w:color w:val="000000" w:themeColor="text1"/>
          <w:sz w:val="20"/>
          <w:szCs w:val="20"/>
        </w:rPr>
        <w:t>,</w:t>
      </w:r>
      <w:r w:rsidRPr="00DA7A90">
        <w:rPr>
          <w:color w:val="000000" w:themeColor="text1"/>
          <w:sz w:val="20"/>
          <w:szCs w:val="20"/>
        </w:rPr>
        <w:t xml:space="preserve"> Chaichulee S. Prediction of Acid-Base and Potassium Imbalances in Intensive Care Patients Using Machine Learning Techniques. Diagnostics</w:t>
      </w:r>
      <w:r w:rsidR="00173D01" w:rsidRPr="00DA7A90">
        <w:rPr>
          <w:color w:val="000000" w:themeColor="text1"/>
          <w:sz w:val="20"/>
          <w:szCs w:val="20"/>
        </w:rPr>
        <w:t>.</w:t>
      </w:r>
      <w:r w:rsidRPr="00DA7A90">
        <w:rPr>
          <w:color w:val="000000" w:themeColor="text1"/>
          <w:sz w:val="20"/>
          <w:szCs w:val="20"/>
        </w:rPr>
        <w:t xml:space="preserve"> </w:t>
      </w:r>
      <w:r w:rsidR="00F17AFB" w:rsidRPr="00DA7A90">
        <w:rPr>
          <w:color w:val="000000" w:themeColor="text1"/>
          <w:sz w:val="20"/>
          <w:szCs w:val="20"/>
        </w:rPr>
        <w:t>2023;</w:t>
      </w:r>
      <w:r w:rsidRPr="00DA7A90">
        <w:rPr>
          <w:color w:val="000000" w:themeColor="text1"/>
          <w:sz w:val="20"/>
          <w:szCs w:val="20"/>
        </w:rPr>
        <w:t>13(6)</w:t>
      </w:r>
      <w:r w:rsidR="00F17AFB" w:rsidRPr="00DA7A90">
        <w:rPr>
          <w:color w:val="000000" w:themeColor="text1"/>
          <w:sz w:val="20"/>
          <w:szCs w:val="20"/>
        </w:rPr>
        <w:t>:</w:t>
      </w:r>
      <w:r w:rsidR="007D66C7" w:rsidRPr="00DA7A90">
        <w:rPr>
          <w:color w:val="000000" w:themeColor="text1"/>
          <w:sz w:val="20"/>
          <w:szCs w:val="20"/>
        </w:rPr>
        <w:t>1171.</w:t>
      </w:r>
      <w:r w:rsidRPr="00DA7A90">
        <w:rPr>
          <w:color w:val="000000" w:themeColor="text1"/>
          <w:sz w:val="20"/>
          <w:szCs w:val="20"/>
        </w:rPr>
        <w:t xml:space="preserve"> </w:t>
      </w:r>
    </w:p>
    <w:p w14:paraId="0B4316A9" w14:textId="6017C0A0" w:rsidR="001B7B50" w:rsidRPr="00DA7A90" w:rsidRDefault="007C26FA"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://doi.org/10.3390/diagnostics13061171</w:t>
      </w:r>
    </w:p>
    <w:p w14:paraId="27C919B4" w14:textId="53FEEF28" w:rsidR="001B7B50" w:rsidRPr="00DA7A90" w:rsidRDefault="001B7B50" w:rsidP="004A480E">
      <w:pPr>
        <w:pStyle w:val="Bibliography"/>
        <w:jc w:val="both"/>
        <w:rPr>
          <w:color w:val="000000" w:themeColor="text1"/>
          <w:sz w:val="20"/>
          <w:szCs w:val="20"/>
        </w:rPr>
      </w:pPr>
      <w:r w:rsidRPr="00DA7A90">
        <w:rPr>
          <w:color w:val="000000" w:themeColor="text1"/>
          <w:sz w:val="20"/>
          <w:szCs w:val="20"/>
        </w:rPr>
        <w:t>23</w:t>
      </w:r>
      <w:r w:rsidR="0084322B" w:rsidRPr="00DA7A90">
        <w:rPr>
          <w:color w:val="000000" w:themeColor="text1"/>
          <w:sz w:val="20"/>
          <w:szCs w:val="20"/>
        </w:rPr>
        <w:t>.</w:t>
      </w:r>
      <w:r w:rsidRPr="00DA7A90">
        <w:rPr>
          <w:color w:val="000000" w:themeColor="text1"/>
          <w:sz w:val="20"/>
          <w:szCs w:val="20"/>
        </w:rPr>
        <w:tab/>
        <w:t>Harborne JB. (1998). Phytochemical Methods: A Guide to Modern Techniques of Plant Analysis. 3e Éd. Chapman &amp; Hall, London.</w:t>
      </w:r>
    </w:p>
    <w:p w14:paraId="68EBCCBB" w14:textId="4266AD31" w:rsidR="001B7B50" w:rsidRPr="00DA7A90" w:rsidRDefault="001B7B50" w:rsidP="004A480E">
      <w:pPr>
        <w:pStyle w:val="Bibliography"/>
        <w:jc w:val="both"/>
        <w:rPr>
          <w:color w:val="000000" w:themeColor="text1"/>
          <w:sz w:val="20"/>
          <w:szCs w:val="20"/>
        </w:rPr>
      </w:pPr>
      <w:r w:rsidRPr="00DA7A90">
        <w:rPr>
          <w:color w:val="000000" w:themeColor="text1"/>
          <w:sz w:val="20"/>
          <w:szCs w:val="20"/>
        </w:rPr>
        <w:t>24</w:t>
      </w:r>
      <w:r w:rsidR="0084322B" w:rsidRPr="00DA7A90">
        <w:rPr>
          <w:color w:val="000000" w:themeColor="text1"/>
          <w:sz w:val="20"/>
          <w:szCs w:val="20"/>
        </w:rPr>
        <w:t>.</w:t>
      </w:r>
      <w:r w:rsidRPr="00DA7A90">
        <w:rPr>
          <w:color w:val="000000" w:themeColor="text1"/>
          <w:sz w:val="20"/>
          <w:szCs w:val="20"/>
        </w:rPr>
        <w:tab/>
        <w:t>Chakravarthy BK</w:t>
      </w:r>
      <w:r w:rsidR="003B025B" w:rsidRPr="00DA7A90">
        <w:rPr>
          <w:color w:val="000000" w:themeColor="text1"/>
          <w:sz w:val="20"/>
          <w:szCs w:val="20"/>
        </w:rPr>
        <w:t>,</w:t>
      </w:r>
      <w:r w:rsidRPr="00DA7A90">
        <w:rPr>
          <w:color w:val="000000" w:themeColor="text1"/>
          <w:sz w:val="20"/>
          <w:szCs w:val="20"/>
        </w:rPr>
        <w:t xml:space="preserve"> Gode K. Isolation of (-)-Epicatechin from Pterocarpus Marsupium and Its Pharmacological Actions. Planta </w:t>
      </w:r>
      <w:r w:rsidR="00951D11" w:rsidRPr="00DA7A90">
        <w:rPr>
          <w:color w:val="000000" w:themeColor="text1"/>
          <w:sz w:val="20"/>
          <w:szCs w:val="20"/>
        </w:rPr>
        <w:t>M</w:t>
      </w:r>
      <w:r w:rsidRPr="00DA7A90">
        <w:rPr>
          <w:color w:val="000000" w:themeColor="text1"/>
          <w:sz w:val="20"/>
          <w:szCs w:val="20"/>
        </w:rPr>
        <w:t>ed</w:t>
      </w:r>
      <w:r w:rsidR="00951D11" w:rsidRPr="00DA7A90">
        <w:rPr>
          <w:color w:val="000000" w:themeColor="text1"/>
          <w:sz w:val="20"/>
          <w:szCs w:val="20"/>
        </w:rPr>
        <w:t>.</w:t>
      </w:r>
      <w:r w:rsidR="00173D01" w:rsidRPr="00DA7A90">
        <w:rPr>
          <w:color w:val="000000" w:themeColor="text1"/>
          <w:sz w:val="20"/>
          <w:szCs w:val="20"/>
        </w:rPr>
        <w:t xml:space="preserve"> 1985;</w:t>
      </w:r>
      <w:r w:rsidRPr="00DA7A90">
        <w:rPr>
          <w:color w:val="000000" w:themeColor="text1"/>
          <w:sz w:val="20"/>
          <w:szCs w:val="20"/>
        </w:rPr>
        <w:t>51</w:t>
      </w:r>
      <w:r w:rsidR="008F5307" w:rsidRPr="00DA7A90">
        <w:rPr>
          <w:color w:val="000000" w:themeColor="text1"/>
          <w:sz w:val="20"/>
          <w:szCs w:val="20"/>
        </w:rPr>
        <w:t>(</w:t>
      </w:r>
      <w:r w:rsidRPr="00DA7A90">
        <w:rPr>
          <w:color w:val="000000" w:themeColor="text1"/>
          <w:sz w:val="20"/>
          <w:szCs w:val="20"/>
        </w:rPr>
        <w:t>1</w:t>
      </w:r>
      <w:r w:rsidR="008F5307" w:rsidRPr="00DA7A90">
        <w:rPr>
          <w:color w:val="000000" w:themeColor="text1"/>
          <w:sz w:val="20"/>
          <w:szCs w:val="20"/>
        </w:rPr>
        <w:t>)</w:t>
      </w:r>
      <w:r w:rsidR="00173D01" w:rsidRPr="00DA7A90">
        <w:rPr>
          <w:color w:val="000000" w:themeColor="text1"/>
          <w:sz w:val="20"/>
          <w:szCs w:val="20"/>
        </w:rPr>
        <w:t>:</w:t>
      </w:r>
      <w:r w:rsidRPr="00DA7A90">
        <w:rPr>
          <w:color w:val="000000" w:themeColor="text1"/>
          <w:sz w:val="20"/>
          <w:szCs w:val="20"/>
        </w:rPr>
        <w:t>56–59.</w:t>
      </w:r>
    </w:p>
    <w:p w14:paraId="5DEF8210" w14:textId="2EEA871F" w:rsidR="002642F9" w:rsidRPr="00DA7A90" w:rsidRDefault="002642F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Pr="00DA7A90">
        <w:rPr>
          <w:color w:val="000000" w:themeColor="text1"/>
          <w:sz w:val="20"/>
          <w:szCs w:val="20"/>
        </w:rPr>
        <w:t>://doi.org/10.1055/s-2007-969393</w:t>
      </w:r>
    </w:p>
    <w:p w14:paraId="391A0092" w14:textId="3E0E8822" w:rsidR="001B7B50" w:rsidRPr="00DA7A90" w:rsidRDefault="001B7B50" w:rsidP="004A480E">
      <w:pPr>
        <w:pStyle w:val="Bibliography"/>
        <w:jc w:val="both"/>
        <w:rPr>
          <w:color w:val="000000" w:themeColor="text1"/>
          <w:sz w:val="20"/>
          <w:szCs w:val="20"/>
        </w:rPr>
      </w:pPr>
      <w:r w:rsidRPr="00DA7A90">
        <w:rPr>
          <w:color w:val="000000" w:themeColor="text1"/>
          <w:sz w:val="20"/>
          <w:szCs w:val="20"/>
        </w:rPr>
        <w:t>25</w:t>
      </w:r>
      <w:r w:rsidR="0084322B" w:rsidRPr="00DA7A90">
        <w:rPr>
          <w:color w:val="000000" w:themeColor="text1"/>
          <w:sz w:val="20"/>
          <w:szCs w:val="20"/>
        </w:rPr>
        <w:t>.</w:t>
      </w:r>
      <w:r w:rsidRPr="00DA7A90">
        <w:rPr>
          <w:color w:val="000000" w:themeColor="text1"/>
          <w:sz w:val="20"/>
          <w:szCs w:val="20"/>
        </w:rPr>
        <w:tab/>
        <w:t>Ullah R</w:t>
      </w:r>
      <w:r w:rsidR="003B025B" w:rsidRPr="00DA7A90">
        <w:rPr>
          <w:color w:val="000000" w:themeColor="text1"/>
          <w:sz w:val="20"/>
          <w:szCs w:val="20"/>
        </w:rPr>
        <w:t>,</w:t>
      </w:r>
      <w:r w:rsidRPr="00DA7A90">
        <w:rPr>
          <w:color w:val="000000" w:themeColor="text1"/>
          <w:sz w:val="20"/>
          <w:szCs w:val="20"/>
        </w:rPr>
        <w:t xml:space="preserve"> Khader JA</w:t>
      </w:r>
      <w:r w:rsidR="003B025B" w:rsidRPr="00DA7A90">
        <w:rPr>
          <w:color w:val="000000" w:themeColor="text1"/>
          <w:sz w:val="20"/>
          <w:szCs w:val="20"/>
        </w:rPr>
        <w:t>,</w:t>
      </w:r>
      <w:r w:rsidRPr="00DA7A90">
        <w:rPr>
          <w:color w:val="000000" w:themeColor="text1"/>
          <w:sz w:val="20"/>
          <w:szCs w:val="20"/>
        </w:rPr>
        <w:t xml:space="preserve"> Hussain I</w:t>
      </w:r>
      <w:r w:rsidR="003B025B" w:rsidRPr="00DA7A90">
        <w:rPr>
          <w:color w:val="000000" w:themeColor="text1"/>
          <w:sz w:val="20"/>
          <w:szCs w:val="20"/>
        </w:rPr>
        <w:t>,</w:t>
      </w:r>
      <w:r w:rsidRPr="00DA7A90">
        <w:rPr>
          <w:color w:val="000000" w:themeColor="text1"/>
          <w:sz w:val="20"/>
          <w:szCs w:val="20"/>
        </w:rPr>
        <w:t xml:space="preserve"> AbdEl-Salam NM</w:t>
      </w:r>
      <w:r w:rsidR="003B025B" w:rsidRPr="00DA7A90">
        <w:rPr>
          <w:color w:val="000000" w:themeColor="text1"/>
          <w:sz w:val="20"/>
          <w:szCs w:val="20"/>
        </w:rPr>
        <w:t>,</w:t>
      </w:r>
      <w:r w:rsidRPr="00DA7A90">
        <w:rPr>
          <w:color w:val="000000" w:themeColor="text1"/>
          <w:sz w:val="20"/>
          <w:szCs w:val="20"/>
        </w:rPr>
        <w:t xml:space="preserve"> Talha M</w:t>
      </w:r>
      <w:r w:rsidR="003B025B" w:rsidRPr="00DA7A90">
        <w:rPr>
          <w:color w:val="000000" w:themeColor="text1"/>
          <w:sz w:val="20"/>
          <w:szCs w:val="20"/>
        </w:rPr>
        <w:t>,</w:t>
      </w:r>
      <w:r w:rsidRPr="00DA7A90">
        <w:rPr>
          <w:color w:val="000000" w:themeColor="text1"/>
          <w:sz w:val="20"/>
          <w:szCs w:val="20"/>
        </w:rPr>
        <w:t xml:space="preserve"> Khan NA</w:t>
      </w:r>
      <w:r w:rsidR="003B025B" w:rsidRPr="00DA7A90">
        <w:rPr>
          <w:color w:val="000000" w:themeColor="text1"/>
          <w:sz w:val="20"/>
          <w:szCs w:val="20"/>
        </w:rPr>
        <w:t>,</w:t>
      </w:r>
      <w:r w:rsidRPr="00DA7A90">
        <w:rPr>
          <w:color w:val="000000" w:themeColor="text1"/>
          <w:sz w:val="20"/>
          <w:szCs w:val="20"/>
        </w:rPr>
        <w:t xml:space="preserve"> Khel A. Investigation of Macro and Micro-Nutrients in Selected Medicinal Plants. </w:t>
      </w:r>
      <w:r w:rsidR="00B920D8" w:rsidRPr="00DA7A90">
        <w:rPr>
          <w:color w:val="000000" w:themeColor="text1"/>
          <w:sz w:val="20"/>
          <w:szCs w:val="20"/>
        </w:rPr>
        <w:t>Afr. J. Pharm. Pharmacol.</w:t>
      </w:r>
      <w:r w:rsidRPr="00DA7A90">
        <w:rPr>
          <w:color w:val="000000" w:themeColor="text1"/>
          <w:sz w:val="20"/>
          <w:szCs w:val="20"/>
        </w:rPr>
        <w:t xml:space="preserve"> </w:t>
      </w:r>
      <w:r w:rsidR="00951D11" w:rsidRPr="00DA7A90">
        <w:rPr>
          <w:color w:val="000000" w:themeColor="text1"/>
          <w:sz w:val="20"/>
          <w:szCs w:val="20"/>
        </w:rPr>
        <w:t>2012;</w:t>
      </w:r>
      <w:r w:rsidRPr="00DA7A90">
        <w:rPr>
          <w:color w:val="000000" w:themeColor="text1"/>
          <w:sz w:val="20"/>
          <w:szCs w:val="20"/>
        </w:rPr>
        <w:t>6</w:t>
      </w:r>
      <w:r w:rsidR="00951D11" w:rsidRPr="00DA7A90">
        <w:rPr>
          <w:color w:val="000000" w:themeColor="text1"/>
          <w:sz w:val="20"/>
          <w:szCs w:val="20"/>
        </w:rPr>
        <w:t>:</w:t>
      </w:r>
      <w:r w:rsidRPr="00DA7A90">
        <w:rPr>
          <w:color w:val="000000" w:themeColor="text1"/>
          <w:sz w:val="20"/>
          <w:szCs w:val="20"/>
        </w:rPr>
        <w:t>1829–1832.</w:t>
      </w:r>
    </w:p>
    <w:p w14:paraId="22BBD0D7" w14:textId="3C882AF7" w:rsidR="00C175F5" w:rsidRPr="00DA7A90" w:rsidRDefault="00EB7D2E" w:rsidP="004A480E">
      <w:pPr>
        <w:ind w:firstLine="504"/>
        <w:rPr>
          <w:color w:val="000000" w:themeColor="text1"/>
          <w:sz w:val="20"/>
          <w:szCs w:val="20"/>
        </w:rPr>
      </w:pPr>
      <w:r w:rsidRPr="00DA7A90">
        <w:rPr>
          <w:color w:val="000000" w:themeColor="text1"/>
          <w:sz w:val="20"/>
          <w:szCs w:val="20"/>
        </w:rPr>
        <w:t>Available:https</w:t>
      </w:r>
      <w:r w:rsidR="00C175F5" w:rsidRPr="00DA7A90">
        <w:rPr>
          <w:color w:val="000000" w:themeColor="text1"/>
          <w:sz w:val="20"/>
          <w:szCs w:val="20"/>
        </w:rPr>
        <w:t>://doi.org/10.5897/AJPP12.006</w:t>
      </w:r>
    </w:p>
    <w:p w14:paraId="0EC3B165" w14:textId="4BC6C8D2" w:rsidR="005F0EBA" w:rsidRPr="00DA7A90" w:rsidRDefault="001B7B50" w:rsidP="004A480E">
      <w:pPr>
        <w:pStyle w:val="Bibliography"/>
        <w:jc w:val="both"/>
        <w:rPr>
          <w:color w:val="000000" w:themeColor="text1"/>
          <w:sz w:val="20"/>
          <w:szCs w:val="20"/>
          <w:lang w:val="en-US"/>
        </w:rPr>
      </w:pPr>
      <w:r w:rsidRPr="00DA7A90">
        <w:rPr>
          <w:color w:val="000000" w:themeColor="text1"/>
          <w:sz w:val="20"/>
          <w:szCs w:val="20"/>
        </w:rPr>
        <w:t>26</w:t>
      </w:r>
      <w:r w:rsidR="0084322B" w:rsidRPr="00DA7A90">
        <w:rPr>
          <w:color w:val="000000" w:themeColor="text1"/>
          <w:sz w:val="20"/>
          <w:szCs w:val="20"/>
        </w:rPr>
        <w:t>.</w:t>
      </w:r>
      <w:r w:rsidRPr="00DA7A90">
        <w:rPr>
          <w:color w:val="000000" w:themeColor="text1"/>
          <w:sz w:val="20"/>
          <w:szCs w:val="20"/>
        </w:rPr>
        <w:tab/>
      </w:r>
      <w:r w:rsidR="001E5390" w:rsidRPr="00DA7A90">
        <w:rPr>
          <w:color w:val="000000" w:themeColor="text1"/>
          <w:sz w:val="20"/>
          <w:szCs w:val="20"/>
        </w:rPr>
        <w:t xml:space="preserve">Ikeagwulonu RC, Nkereuwem SE, Ejinaka OR, Ibanga IE, Obeta MU, Uro-Chukwu HC, Odeh EC. </w:t>
      </w:r>
      <w:r w:rsidR="001E5390" w:rsidRPr="00DA7A90">
        <w:rPr>
          <w:color w:val="000000" w:themeColor="text1"/>
          <w:sz w:val="20"/>
          <w:szCs w:val="20"/>
          <w:lang w:val="en-US"/>
        </w:rPr>
        <w:t xml:space="preserve">Profile of Some Trace Elements in Selected Traditional Medicines used for Various Aliments in Ebonyi State, Nigeria. </w:t>
      </w:r>
      <w:r w:rsidR="001E5390" w:rsidRPr="00DA7A90">
        <w:rPr>
          <w:rFonts w:eastAsiaTheme="minorHAnsi"/>
          <w:color w:val="000000" w:themeColor="text1"/>
          <w:sz w:val="20"/>
          <w:szCs w:val="20"/>
          <w:lang w:val="en-US"/>
        </w:rPr>
        <w:t> Am</w:t>
      </w:r>
      <w:r w:rsidR="00C36B1D"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J</w:t>
      </w:r>
      <w:r w:rsidR="00C36B1D"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Biomed</w:t>
      </w:r>
      <w:r w:rsidR="00C36B1D"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Sci</w:t>
      </w:r>
      <w:r w:rsidR="003024CC"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&amp; Res</w:t>
      </w:r>
      <w:r w:rsidR="003024CC" w:rsidRPr="00DA7A90">
        <w:rPr>
          <w:rFonts w:eastAsiaTheme="minorHAnsi"/>
          <w:color w:val="000000" w:themeColor="text1"/>
          <w:sz w:val="20"/>
          <w:szCs w:val="20"/>
          <w:lang w:val="en-US"/>
        </w:rPr>
        <w:t>.</w:t>
      </w:r>
      <w:r w:rsidR="001E5390" w:rsidRPr="00DA7A90">
        <w:rPr>
          <w:color w:val="000000" w:themeColor="text1"/>
          <w:sz w:val="20"/>
          <w:szCs w:val="20"/>
          <w:lang w:val="en-US"/>
        </w:rPr>
        <w:t xml:space="preserve"> </w:t>
      </w:r>
      <w:r w:rsidR="00B920D8" w:rsidRPr="00DA7A90">
        <w:rPr>
          <w:color w:val="000000" w:themeColor="text1"/>
          <w:sz w:val="20"/>
          <w:szCs w:val="20"/>
          <w:lang w:val="en-US"/>
        </w:rPr>
        <w:t>2020;</w:t>
      </w:r>
      <w:r w:rsidR="001E5390" w:rsidRPr="00DA7A90">
        <w:rPr>
          <w:color w:val="000000" w:themeColor="text1"/>
          <w:sz w:val="20"/>
          <w:szCs w:val="20"/>
          <w:lang w:val="en-US"/>
        </w:rPr>
        <w:t>9(3)</w:t>
      </w:r>
      <w:r w:rsidR="00B920D8" w:rsidRPr="00DA7A90">
        <w:rPr>
          <w:color w:val="000000" w:themeColor="text1"/>
          <w:sz w:val="20"/>
          <w:szCs w:val="20"/>
          <w:lang w:val="en-US"/>
        </w:rPr>
        <w:t>:</w:t>
      </w:r>
      <w:r w:rsidR="001E5390" w:rsidRPr="00DA7A90">
        <w:rPr>
          <w:color w:val="000000" w:themeColor="text1"/>
          <w:sz w:val="20"/>
          <w:szCs w:val="20"/>
          <w:lang w:val="en-US"/>
        </w:rPr>
        <w:t>AJBSR.MS.ID.001396</w:t>
      </w:r>
    </w:p>
    <w:p w14:paraId="2630A3CB" w14:textId="35FF4190" w:rsidR="001E5390" w:rsidRPr="00DA7A90" w:rsidRDefault="005F0EBA" w:rsidP="004A480E">
      <w:pPr>
        <w:pStyle w:val="Bibliography"/>
        <w:jc w:val="both"/>
        <w:rPr>
          <w:color w:val="000000" w:themeColor="text1"/>
          <w:sz w:val="20"/>
          <w:szCs w:val="20"/>
          <w:lang w:val="en-US"/>
        </w:rPr>
      </w:pPr>
      <w:r w:rsidRPr="00DA7A90">
        <w:rPr>
          <w:color w:val="000000" w:themeColor="text1"/>
          <w:sz w:val="20"/>
          <w:szCs w:val="20"/>
          <w:lang w:val="en-US"/>
        </w:rPr>
        <w:tab/>
      </w:r>
      <w:r w:rsidR="00EB7D2E" w:rsidRPr="00DA7A90">
        <w:rPr>
          <w:color w:val="000000" w:themeColor="text1"/>
          <w:sz w:val="20"/>
          <w:szCs w:val="20"/>
        </w:rPr>
        <w:t>Available:https</w:t>
      </w:r>
      <w:r w:rsidR="001E5390" w:rsidRPr="00DA7A90">
        <w:rPr>
          <w:color w:val="000000" w:themeColor="text1"/>
          <w:sz w:val="20"/>
          <w:szCs w:val="20"/>
        </w:rPr>
        <w:t>://doi.org/</w:t>
      </w:r>
      <w:r w:rsidR="001E5390" w:rsidRPr="00DA7A90">
        <w:rPr>
          <w:color w:val="000000" w:themeColor="text1"/>
          <w:sz w:val="20"/>
          <w:szCs w:val="20"/>
          <w:lang w:val="en-US"/>
        </w:rPr>
        <w:t>10.34297/AJBSR.2020.09.001396</w:t>
      </w:r>
    </w:p>
    <w:p w14:paraId="169F88F1" w14:textId="18C90F81" w:rsidR="002C3229" w:rsidRPr="00DA7A90" w:rsidRDefault="001B7B50" w:rsidP="004A480E">
      <w:pPr>
        <w:pStyle w:val="Bibliography"/>
        <w:jc w:val="both"/>
        <w:rPr>
          <w:color w:val="000000" w:themeColor="text1"/>
          <w:sz w:val="20"/>
          <w:szCs w:val="20"/>
        </w:rPr>
      </w:pPr>
      <w:r w:rsidRPr="00DA7A90">
        <w:rPr>
          <w:color w:val="000000" w:themeColor="text1"/>
          <w:sz w:val="20"/>
          <w:szCs w:val="20"/>
        </w:rPr>
        <w:t>27</w:t>
      </w:r>
      <w:r w:rsidR="0084322B" w:rsidRPr="00DA7A90">
        <w:rPr>
          <w:color w:val="000000" w:themeColor="text1"/>
          <w:sz w:val="20"/>
          <w:szCs w:val="20"/>
        </w:rPr>
        <w:t>.</w:t>
      </w:r>
      <w:r w:rsidRPr="00DA7A90">
        <w:rPr>
          <w:color w:val="000000" w:themeColor="text1"/>
          <w:sz w:val="20"/>
          <w:szCs w:val="20"/>
        </w:rPr>
        <w:tab/>
        <w:t>Fang Y</w:t>
      </w:r>
      <w:r w:rsidR="003B025B" w:rsidRPr="00DA7A90">
        <w:rPr>
          <w:color w:val="000000" w:themeColor="text1"/>
          <w:sz w:val="20"/>
          <w:szCs w:val="20"/>
        </w:rPr>
        <w:t>,</w:t>
      </w:r>
      <w:r w:rsidRPr="00DA7A90">
        <w:rPr>
          <w:color w:val="000000" w:themeColor="text1"/>
          <w:sz w:val="20"/>
          <w:szCs w:val="20"/>
        </w:rPr>
        <w:t xml:space="preserve"> Al-Assaf S</w:t>
      </w:r>
      <w:r w:rsidR="003B025B" w:rsidRPr="00DA7A90">
        <w:rPr>
          <w:color w:val="000000" w:themeColor="text1"/>
          <w:sz w:val="20"/>
          <w:szCs w:val="20"/>
        </w:rPr>
        <w:t>,</w:t>
      </w:r>
      <w:r w:rsidRPr="00DA7A90">
        <w:rPr>
          <w:color w:val="000000" w:themeColor="text1"/>
          <w:sz w:val="20"/>
          <w:szCs w:val="20"/>
        </w:rPr>
        <w:t xml:space="preserve"> Phillips GO</w:t>
      </w:r>
      <w:r w:rsidR="003B025B" w:rsidRPr="00DA7A90">
        <w:rPr>
          <w:color w:val="000000" w:themeColor="text1"/>
          <w:sz w:val="20"/>
          <w:szCs w:val="20"/>
        </w:rPr>
        <w:t>,</w:t>
      </w:r>
      <w:r w:rsidRPr="00DA7A90">
        <w:rPr>
          <w:color w:val="000000" w:themeColor="text1"/>
          <w:sz w:val="20"/>
          <w:szCs w:val="20"/>
        </w:rPr>
        <w:t xml:space="preserve"> Nishinari K</w:t>
      </w:r>
      <w:r w:rsidR="003B025B" w:rsidRPr="00DA7A90">
        <w:rPr>
          <w:color w:val="000000" w:themeColor="text1"/>
          <w:sz w:val="20"/>
          <w:szCs w:val="20"/>
        </w:rPr>
        <w:t>,</w:t>
      </w:r>
      <w:r w:rsidRPr="00DA7A90">
        <w:rPr>
          <w:color w:val="000000" w:themeColor="text1"/>
          <w:sz w:val="20"/>
          <w:szCs w:val="20"/>
        </w:rPr>
        <w:t xml:space="preserve"> Funami T</w:t>
      </w:r>
      <w:r w:rsidR="003B025B" w:rsidRPr="00DA7A90">
        <w:rPr>
          <w:color w:val="000000" w:themeColor="text1"/>
          <w:sz w:val="20"/>
          <w:szCs w:val="20"/>
        </w:rPr>
        <w:t>,</w:t>
      </w:r>
      <w:r w:rsidRPr="00DA7A90">
        <w:rPr>
          <w:color w:val="000000" w:themeColor="text1"/>
          <w:sz w:val="20"/>
          <w:szCs w:val="20"/>
        </w:rPr>
        <w:t xml:space="preserve"> Williams PA. Participation of Ions in Promoting Intermolecular Associations of Cell Wall Polysaccharides. Struct</w:t>
      </w:r>
      <w:r w:rsidR="003024CC" w:rsidRPr="00DA7A90">
        <w:rPr>
          <w:color w:val="000000" w:themeColor="text1"/>
          <w:sz w:val="20"/>
          <w:szCs w:val="20"/>
        </w:rPr>
        <w:t xml:space="preserve">. </w:t>
      </w:r>
      <w:r w:rsidRPr="00DA7A90">
        <w:rPr>
          <w:color w:val="000000" w:themeColor="text1"/>
          <w:sz w:val="20"/>
          <w:szCs w:val="20"/>
        </w:rPr>
        <w:t>Chem</w:t>
      </w:r>
      <w:r w:rsidR="003024CC" w:rsidRPr="00DA7A90">
        <w:rPr>
          <w:color w:val="000000" w:themeColor="text1"/>
          <w:sz w:val="20"/>
          <w:szCs w:val="20"/>
        </w:rPr>
        <w:t>. 2009;</w:t>
      </w:r>
      <w:r w:rsidRPr="00DA7A90">
        <w:rPr>
          <w:color w:val="000000" w:themeColor="text1"/>
          <w:sz w:val="20"/>
          <w:szCs w:val="20"/>
        </w:rPr>
        <w:t>20(2)</w:t>
      </w:r>
      <w:r w:rsidR="003024CC" w:rsidRPr="00DA7A90">
        <w:rPr>
          <w:color w:val="000000" w:themeColor="text1"/>
          <w:sz w:val="20"/>
          <w:szCs w:val="20"/>
        </w:rPr>
        <w:t>:</w:t>
      </w:r>
      <w:r w:rsidRPr="00DA7A90">
        <w:rPr>
          <w:color w:val="000000" w:themeColor="text1"/>
          <w:sz w:val="20"/>
          <w:szCs w:val="20"/>
        </w:rPr>
        <w:t>317–324.</w:t>
      </w:r>
    </w:p>
    <w:p w14:paraId="2270E257" w14:textId="6B01E0D2" w:rsidR="001B7B50" w:rsidRPr="00DA7A90" w:rsidRDefault="002C322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://doi.org/10.1007/s11224-009-9421-4</w:t>
      </w:r>
    </w:p>
    <w:p w14:paraId="51F6DB91" w14:textId="4FF25C56" w:rsidR="002C3229" w:rsidRPr="00DA7A90" w:rsidRDefault="001B7B50" w:rsidP="004A480E">
      <w:pPr>
        <w:pStyle w:val="Bibliography"/>
        <w:jc w:val="both"/>
        <w:rPr>
          <w:color w:val="000000" w:themeColor="text1"/>
          <w:sz w:val="20"/>
          <w:szCs w:val="20"/>
        </w:rPr>
      </w:pPr>
      <w:r w:rsidRPr="00DA7A90">
        <w:rPr>
          <w:color w:val="000000" w:themeColor="text1"/>
          <w:sz w:val="20"/>
          <w:szCs w:val="20"/>
        </w:rPr>
        <w:t>28</w:t>
      </w:r>
      <w:r w:rsidR="0084322B" w:rsidRPr="00DA7A90">
        <w:rPr>
          <w:color w:val="000000" w:themeColor="text1"/>
          <w:sz w:val="20"/>
          <w:szCs w:val="20"/>
        </w:rPr>
        <w:t>.</w:t>
      </w:r>
      <w:r w:rsidRPr="00DA7A90">
        <w:rPr>
          <w:color w:val="000000" w:themeColor="text1"/>
          <w:sz w:val="20"/>
          <w:szCs w:val="20"/>
        </w:rPr>
        <w:tab/>
        <w:t>Fichman Y</w:t>
      </w:r>
      <w:r w:rsidR="003B025B" w:rsidRPr="00DA7A90">
        <w:rPr>
          <w:color w:val="000000" w:themeColor="text1"/>
          <w:sz w:val="20"/>
          <w:szCs w:val="20"/>
        </w:rPr>
        <w:t>,</w:t>
      </w:r>
      <w:r w:rsidRPr="00DA7A90">
        <w:rPr>
          <w:color w:val="000000" w:themeColor="text1"/>
          <w:sz w:val="20"/>
          <w:szCs w:val="20"/>
        </w:rPr>
        <w:t xml:space="preserve"> Zandalinas SI</w:t>
      </w:r>
      <w:r w:rsidR="003B025B" w:rsidRPr="00DA7A90">
        <w:rPr>
          <w:color w:val="000000" w:themeColor="text1"/>
          <w:sz w:val="20"/>
          <w:szCs w:val="20"/>
        </w:rPr>
        <w:t>,</w:t>
      </w:r>
      <w:r w:rsidRPr="00DA7A90">
        <w:rPr>
          <w:color w:val="000000" w:themeColor="text1"/>
          <w:sz w:val="20"/>
          <w:szCs w:val="20"/>
        </w:rPr>
        <w:t xml:space="preserve"> Peck S</w:t>
      </w:r>
      <w:r w:rsidR="003B025B" w:rsidRPr="00DA7A90">
        <w:rPr>
          <w:color w:val="000000" w:themeColor="text1"/>
          <w:sz w:val="20"/>
          <w:szCs w:val="20"/>
        </w:rPr>
        <w:t>,</w:t>
      </w:r>
      <w:r w:rsidRPr="00DA7A90">
        <w:rPr>
          <w:color w:val="000000" w:themeColor="text1"/>
          <w:sz w:val="20"/>
          <w:szCs w:val="20"/>
        </w:rPr>
        <w:t xml:space="preserve"> Luan S</w:t>
      </w:r>
      <w:r w:rsidR="003B025B" w:rsidRPr="00DA7A90">
        <w:rPr>
          <w:color w:val="000000" w:themeColor="text1"/>
          <w:sz w:val="20"/>
          <w:szCs w:val="20"/>
        </w:rPr>
        <w:t>,</w:t>
      </w:r>
      <w:r w:rsidRPr="00DA7A90">
        <w:rPr>
          <w:color w:val="000000" w:themeColor="text1"/>
          <w:sz w:val="20"/>
          <w:szCs w:val="20"/>
        </w:rPr>
        <w:t xml:space="preserve"> Mittler R. HPCA1 Is Required for Systemic Reactive Oxygen Species and Calcium Cell-to-Cell Signaling and Plant Acclimation to Stress. Plant Cell</w:t>
      </w:r>
      <w:r w:rsidR="0081442E" w:rsidRPr="00DA7A90">
        <w:rPr>
          <w:color w:val="000000" w:themeColor="text1"/>
          <w:sz w:val="20"/>
          <w:szCs w:val="20"/>
        </w:rPr>
        <w:t>.</w:t>
      </w:r>
      <w:r w:rsidRPr="00DA7A90">
        <w:rPr>
          <w:color w:val="000000" w:themeColor="text1"/>
          <w:sz w:val="20"/>
          <w:szCs w:val="20"/>
        </w:rPr>
        <w:t xml:space="preserve"> </w:t>
      </w:r>
      <w:r w:rsidR="00B301E1" w:rsidRPr="00DA7A90">
        <w:rPr>
          <w:color w:val="000000" w:themeColor="text1"/>
          <w:sz w:val="20"/>
          <w:szCs w:val="20"/>
        </w:rPr>
        <w:t>2022;</w:t>
      </w:r>
      <w:r w:rsidRPr="00DA7A90">
        <w:rPr>
          <w:color w:val="000000" w:themeColor="text1"/>
          <w:sz w:val="20"/>
          <w:szCs w:val="20"/>
        </w:rPr>
        <w:t>34(11)</w:t>
      </w:r>
      <w:r w:rsidR="00B301E1" w:rsidRPr="00DA7A90">
        <w:rPr>
          <w:color w:val="000000" w:themeColor="text1"/>
          <w:sz w:val="20"/>
          <w:szCs w:val="20"/>
        </w:rPr>
        <w:t>:</w:t>
      </w:r>
      <w:r w:rsidRPr="00DA7A90">
        <w:rPr>
          <w:color w:val="000000" w:themeColor="text1"/>
          <w:sz w:val="20"/>
          <w:szCs w:val="20"/>
        </w:rPr>
        <w:t>4453–4471.</w:t>
      </w:r>
    </w:p>
    <w:p w14:paraId="5FA7E371" w14:textId="17135803" w:rsidR="001B7B50" w:rsidRPr="00DA7A90" w:rsidRDefault="002C322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://doi.org/10.1093/plcell/koac241</w:t>
      </w:r>
    </w:p>
    <w:p w14:paraId="3CA95A22" w14:textId="29856B63" w:rsidR="0041273D" w:rsidRPr="00DA7A90" w:rsidRDefault="001B7B50" w:rsidP="004A480E">
      <w:pPr>
        <w:pStyle w:val="Bibliography"/>
        <w:jc w:val="both"/>
        <w:rPr>
          <w:color w:val="000000" w:themeColor="text1"/>
          <w:sz w:val="20"/>
          <w:szCs w:val="20"/>
        </w:rPr>
      </w:pPr>
      <w:r w:rsidRPr="00DA7A90">
        <w:rPr>
          <w:color w:val="000000" w:themeColor="text1"/>
          <w:sz w:val="20"/>
          <w:szCs w:val="20"/>
        </w:rPr>
        <w:lastRenderedPageBreak/>
        <w:t>29</w:t>
      </w:r>
      <w:r w:rsidR="0084322B" w:rsidRPr="00DA7A90">
        <w:rPr>
          <w:color w:val="000000" w:themeColor="text1"/>
          <w:sz w:val="20"/>
          <w:szCs w:val="20"/>
        </w:rPr>
        <w:t>.</w:t>
      </w:r>
      <w:r w:rsidRPr="00DA7A90">
        <w:rPr>
          <w:color w:val="000000" w:themeColor="text1"/>
          <w:sz w:val="20"/>
          <w:szCs w:val="20"/>
        </w:rPr>
        <w:tab/>
        <w:t>Shum W</w:t>
      </w:r>
      <w:r w:rsidR="003B025B" w:rsidRPr="00DA7A90">
        <w:rPr>
          <w:color w:val="000000" w:themeColor="text1"/>
          <w:sz w:val="20"/>
          <w:szCs w:val="20"/>
        </w:rPr>
        <w:t>,</w:t>
      </w:r>
      <w:r w:rsidRPr="00DA7A90">
        <w:rPr>
          <w:color w:val="000000" w:themeColor="text1"/>
          <w:sz w:val="20"/>
          <w:szCs w:val="20"/>
        </w:rPr>
        <w:t xml:space="preserve"> Zhang BL</w:t>
      </w:r>
      <w:r w:rsidR="003B025B" w:rsidRPr="00DA7A90">
        <w:rPr>
          <w:color w:val="000000" w:themeColor="text1"/>
          <w:sz w:val="20"/>
          <w:szCs w:val="20"/>
        </w:rPr>
        <w:t>,</w:t>
      </w:r>
      <w:r w:rsidRPr="00DA7A90">
        <w:rPr>
          <w:color w:val="000000" w:themeColor="text1"/>
          <w:sz w:val="20"/>
          <w:szCs w:val="20"/>
        </w:rPr>
        <w:t xml:space="preserve"> Cao AS</w:t>
      </w:r>
      <w:r w:rsidR="003B025B" w:rsidRPr="00DA7A90">
        <w:rPr>
          <w:color w:val="000000" w:themeColor="text1"/>
          <w:sz w:val="20"/>
          <w:szCs w:val="20"/>
        </w:rPr>
        <w:t>,</w:t>
      </w:r>
      <w:r w:rsidRPr="00DA7A90">
        <w:rPr>
          <w:color w:val="000000" w:themeColor="text1"/>
          <w:sz w:val="20"/>
          <w:szCs w:val="20"/>
        </w:rPr>
        <w:t xml:space="preserve"> Zhou X</w:t>
      </w:r>
      <w:r w:rsidR="003B025B" w:rsidRPr="00DA7A90">
        <w:rPr>
          <w:color w:val="000000" w:themeColor="text1"/>
          <w:sz w:val="20"/>
          <w:szCs w:val="20"/>
        </w:rPr>
        <w:t>,</w:t>
      </w:r>
      <w:r w:rsidRPr="00DA7A90">
        <w:rPr>
          <w:color w:val="000000" w:themeColor="text1"/>
          <w:sz w:val="20"/>
          <w:szCs w:val="20"/>
        </w:rPr>
        <w:t xml:space="preserve"> Shi SM</w:t>
      </w:r>
      <w:r w:rsidR="003B025B" w:rsidRPr="00DA7A90">
        <w:rPr>
          <w:color w:val="000000" w:themeColor="text1"/>
          <w:sz w:val="20"/>
          <w:szCs w:val="20"/>
        </w:rPr>
        <w:t>,</w:t>
      </w:r>
      <w:r w:rsidRPr="00DA7A90">
        <w:rPr>
          <w:color w:val="000000" w:themeColor="text1"/>
          <w:sz w:val="20"/>
          <w:szCs w:val="20"/>
        </w:rPr>
        <w:t xml:space="preserve"> Zhang ZY</w:t>
      </w:r>
      <w:r w:rsidR="003B025B" w:rsidRPr="00DA7A90">
        <w:rPr>
          <w:color w:val="000000" w:themeColor="text1"/>
          <w:sz w:val="20"/>
          <w:szCs w:val="20"/>
        </w:rPr>
        <w:t>,</w:t>
      </w:r>
      <w:r w:rsidRPr="00DA7A90">
        <w:rPr>
          <w:color w:val="000000" w:themeColor="text1"/>
          <w:sz w:val="20"/>
          <w:szCs w:val="20"/>
        </w:rPr>
        <w:t xml:space="preserve"> Gu LY</w:t>
      </w:r>
      <w:r w:rsidR="003B025B" w:rsidRPr="00DA7A90">
        <w:rPr>
          <w:color w:val="000000" w:themeColor="text1"/>
          <w:sz w:val="20"/>
          <w:szCs w:val="20"/>
        </w:rPr>
        <w:t>,</w:t>
      </w:r>
      <w:r w:rsidRPr="00DA7A90">
        <w:rPr>
          <w:color w:val="000000" w:themeColor="text1"/>
          <w:sz w:val="20"/>
          <w:szCs w:val="20"/>
        </w:rPr>
        <w:t xml:space="preserve"> Shi S. Calcium Homeostasis in the Epididymal Microenvironment: Is Extracellular Calcium a Cofactor for Matrix Gla Protein-Dependent Scavenging Regulated by Vitamins. Front</w:t>
      </w:r>
      <w:r w:rsidR="00292854" w:rsidRPr="00DA7A90">
        <w:rPr>
          <w:color w:val="000000" w:themeColor="text1"/>
          <w:sz w:val="20"/>
          <w:szCs w:val="20"/>
        </w:rPr>
        <w:t xml:space="preserve">. </w:t>
      </w:r>
      <w:r w:rsidRPr="00DA7A90">
        <w:rPr>
          <w:color w:val="000000" w:themeColor="text1"/>
          <w:sz w:val="20"/>
          <w:szCs w:val="20"/>
        </w:rPr>
        <w:t>Cell Dev</w:t>
      </w:r>
      <w:r w:rsidR="00292854" w:rsidRPr="00DA7A90">
        <w:rPr>
          <w:color w:val="000000" w:themeColor="text1"/>
          <w:sz w:val="20"/>
          <w:szCs w:val="20"/>
        </w:rPr>
        <w:t>.</w:t>
      </w:r>
      <w:r w:rsidRPr="00DA7A90">
        <w:rPr>
          <w:color w:val="000000" w:themeColor="text1"/>
          <w:sz w:val="20"/>
          <w:szCs w:val="20"/>
        </w:rPr>
        <w:t xml:space="preserve"> Biol</w:t>
      </w:r>
      <w:r w:rsidR="00292854" w:rsidRPr="00DA7A90">
        <w:rPr>
          <w:color w:val="000000" w:themeColor="text1"/>
          <w:sz w:val="20"/>
          <w:szCs w:val="20"/>
        </w:rPr>
        <w:t xml:space="preserve">. </w:t>
      </w:r>
      <w:r w:rsidR="0081442E" w:rsidRPr="00DA7A90">
        <w:rPr>
          <w:color w:val="000000" w:themeColor="text1"/>
          <w:sz w:val="20"/>
          <w:szCs w:val="20"/>
        </w:rPr>
        <w:t>2022;</w:t>
      </w:r>
      <w:r w:rsidRPr="00DA7A90">
        <w:rPr>
          <w:color w:val="000000" w:themeColor="text1"/>
          <w:sz w:val="20"/>
          <w:szCs w:val="20"/>
        </w:rPr>
        <w:t>10</w:t>
      </w:r>
      <w:r w:rsidR="0081442E" w:rsidRPr="00DA7A90">
        <w:rPr>
          <w:color w:val="000000" w:themeColor="text1"/>
          <w:sz w:val="20"/>
          <w:szCs w:val="20"/>
        </w:rPr>
        <w:t>:</w:t>
      </w:r>
      <w:r w:rsidR="000C0F2A" w:rsidRPr="00DA7A90">
        <w:rPr>
          <w:color w:val="000000" w:themeColor="text1"/>
          <w:sz w:val="20"/>
          <w:szCs w:val="20"/>
        </w:rPr>
        <w:t>827940.</w:t>
      </w:r>
    </w:p>
    <w:p w14:paraId="46CD5CF6" w14:textId="716A8A33" w:rsidR="001B7B50" w:rsidRPr="00DA7A90" w:rsidRDefault="0041273D"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://doi.org/10.3389/fcell.2022.827940</w:t>
      </w:r>
    </w:p>
    <w:p w14:paraId="38D7916B" w14:textId="26763A50" w:rsidR="00B35A57" w:rsidRPr="00DA7A90" w:rsidRDefault="001B7B50" w:rsidP="004A480E">
      <w:pPr>
        <w:pStyle w:val="Bibliography"/>
        <w:jc w:val="both"/>
        <w:rPr>
          <w:color w:val="000000" w:themeColor="text1"/>
          <w:sz w:val="20"/>
          <w:szCs w:val="20"/>
        </w:rPr>
      </w:pPr>
      <w:r w:rsidRPr="00DA7A90">
        <w:rPr>
          <w:color w:val="000000" w:themeColor="text1"/>
          <w:sz w:val="20"/>
          <w:szCs w:val="20"/>
        </w:rPr>
        <w:t>30</w:t>
      </w:r>
      <w:r w:rsidR="0084322B" w:rsidRPr="00DA7A90">
        <w:rPr>
          <w:color w:val="000000" w:themeColor="text1"/>
          <w:sz w:val="20"/>
          <w:szCs w:val="20"/>
        </w:rPr>
        <w:t>.</w:t>
      </w:r>
      <w:r w:rsidRPr="00DA7A90">
        <w:rPr>
          <w:color w:val="000000" w:themeColor="text1"/>
          <w:sz w:val="20"/>
          <w:szCs w:val="20"/>
        </w:rPr>
        <w:tab/>
        <w:t>Soler J</w:t>
      </w:r>
      <w:r w:rsidR="003B025B" w:rsidRPr="00DA7A90">
        <w:rPr>
          <w:color w:val="000000" w:themeColor="text1"/>
          <w:sz w:val="20"/>
          <w:szCs w:val="20"/>
        </w:rPr>
        <w:t>,</w:t>
      </w:r>
      <w:r w:rsidRPr="00DA7A90">
        <w:rPr>
          <w:color w:val="000000" w:themeColor="text1"/>
          <w:sz w:val="20"/>
          <w:szCs w:val="20"/>
        </w:rPr>
        <w:t xml:space="preserve"> Gergel S</w:t>
      </w:r>
      <w:r w:rsidR="003B025B" w:rsidRPr="00DA7A90">
        <w:rPr>
          <w:color w:val="000000" w:themeColor="text1"/>
          <w:sz w:val="20"/>
          <w:szCs w:val="20"/>
        </w:rPr>
        <w:t>,</w:t>
      </w:r>
      <w:r w:rsidRPr="00DA7A90">
        <w:rPr>
          <w:color w:val="000000" w:themeColor="text1"/>
          <w:sz w:val="20"/>
          <w:szCs w:val="20"/>
        </w:rPr>
        <w:t xml:space="preserve"> Klaus C</w:t>
      </w:r>
      <w:r w:rsidR="003B025B" w:rsidRPr="00DA7A90">
        <w:rPr>
          <w:color w:val="000000" w:themeColor="text1"/>
          <w:sz w:val="20"/>
          <w:szCs w:val="20"/>
        </w:rPr>
        <w:t>,</w:t>
      </w:r>
      <w:r w:rsidRPr="00DA7A90">
        <w:rPr>
          <w:color w:val="000000" w:themeColor="text1"/>
          <w:sz w:val="20"/>
          <w:szCs w:val="20"/>
        </w:rPr>
        <w:t xml:space="preserve"> Hammer SC</w:t>
      </w:r>
      <w:r w:rsidR="003B025B" w:rsidRPr="00DA7A90">
        <w:rPr>
          <w:color w:val="000000" w:themeColor="text1"/>
          <w:sz w:val="20"/>
          <w:szCs w:val="20"/>
        </w:rPr>
        <w:t>,</w:t>
      </w:r>
      <w:r w:rsidRPr="00DA7A90">
        <w:rPr>
          <w:color w:val="000000" w:themeColor="text1"/>
          <w:sz w:val="20"/>
          <w:szCs w:val="20"/>
        </w:rPr>
        <w:t xml:space="preserve"> Garcia-Borràs M. Enzymatic Control over Reactive Intermediates Enables Direct Oxidation of Alkenes to Carbonyls by a P450 Iron-Oxo Species. </w:t>
      </w:r>
      <w:r w:rsidR="007B51C8" w:rsidRPr="00DA7A90">
        <w:rPr>
          <w:color w:val="000000" w:themeColor="text1"/>
          <w:sz w:val="20"/>
          <w:szCs w:val="20"/>
        </w:rPr>
        <w:t>J</w:t>
      </w:r>
      <w:r w:rsidR="00292854" w:rsidRPr="00DA7A90">
        <w:rPr>
          <w:color w:val="000000" w:themeColor="text1"/>
          <w:sz w:val="20"/>
          <w:szCs w:val="20"/>
        </w:rPr>
        <w:t xml:space="preserve">. </w:t>
      </w:r>
      <w:r w:rsidR="007B51C8" w:rsidRPr="00DA7A90">
        <w:rPr>
          <w:color w:val="000000" w:themeColor="text1"/>
          <w:sz w:val="20"/>
          <w:szCs w:val="20"/>
        </w:rPr>
        <w:t>Am</w:t>
      </w:r>
      <w:r w:rsidR="00292854" w:rsidRPr="00DA7A90">
        <w:rPr>
          <w:color w:val="000000" w:themeColor="text1"/>
          <w:sz w:val="20"/>
          <w:szCs w:val="20"/>
        </w:rPr>
        <w:t>.</w:t>
      </w:r>
      <w:r w:rsidR="007B51C8" w:rsidRPr="00DA7A90">
        <w:rPr>
          <w:color w:val="000000" w:themeColor="text1"/>
          <w:sz w:val="20"/>
          <w:szCs w:val="20"/>
        </w:rPr>
        <w:t xml:space="preserve"> Chem</w:t>
      </w:r>
      <w:r w:rsidR="00292854" w:rsidRPr="00DA7A90">
        <w:rPr>
          <w:color w:val="000000" w:themeColor="text1"/>
          <w:sz w:val="20"/>
          <w:szCs w:val="20"/>
        </w:rPr>
        <w:t>.</w:t>
      </w:r>
      <w:r w:rsidR="007B51C8" w:rsidRPr="00DA7A90">
        <w:rPr>
          <w:color w:val="000000" w:themeColor="text1"/>
          <w:sz w:val="20"/>
          <w:szCs w:val="20"/>
        </w:rPr>
        <w:t xml:space="preserve"> Soc</w:t>
      </w:r>
      <w:r w:rsidR="00292854" w:rsidRPr="00DA7A90">
        <w:rPr>
          <w:color w:val="000000" w:themeColor="text1"/>
          <w:sz w:val="20"/>
          <w:szCs w:val="20"/>
        </w:rPr>
        <w:t>.</w:t>
      </w:r>
      <w:r w:rsidRPr="00DA7A90">
        <w:rPr>
          <w:color w:val="000000" w:themeColor="text1"/>
          <w:sz w:val="20"/>
          <w:szCs w:val="20"/>
        </w:rPr>
        <w:t xml:space="preserve"> </w:t>
      </w:r>
      <w:r w:rsidR="00292854" w:rsidRPr="00DA7A90">
        <w:rPr>
          <w:color w:val="000000" w:themeColor="text1"/>
          <w:sz w:val="20"/>
          <w:szCs w:val="20"/>
        </w:rPr>
        <w:t>2022;</w:t>
      </w:r>
      <w:r w:rsidRPr="00DA7A90">
        <w:rPr>
          <w:color w:val="000000" w:themeColor="text1"/>
          <w:sz w:val="20"/>
          <w:szCs w:val="20"/>
        </w:rPr>
        <w:t>144(35)</w:t>
      </w:r>
      <w:r w:rsidR="00292854" w:rsidRPr="00DA7A90">
        <w:rPr>
          <w:color w:val="000000" w:themeColor="text1"/>
          <w:sz w:val="20"/>
          <w:szCs w:val="20"/>
        </w:rPr>
        <w:t>:</w:t>
      </w:r>
      <w:r w:rsidRPr="00DA7A90">
        <w:rPr>
          <w:color w:val="000000" w:themeColor="text1"/>
          <w:sz w:val="20"/>
          <w:szCs w:val="20"/>
        </w:rPr>
        <w:t>15954–15968.</w:t>
      </w:r>
    </w:p>
    <w:p w14:paraId="4F742D52" w14:textId="280DD935" w:rsidR="001B7B50" w:rsidRPr="00DA7A90" w:rsidRDefault="00B35A57"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://doi.org/10.1021/jacs.2c02567</w:t>
      </w:r>
    </w:p>
    <w:p w14:paraId="176CB31A" w14:textId="51EE3C88" w:rsidR="00B35A57" w:rsidRPr="00DA7A90" w:rsidRDefault="001B7B50" w:rsidP="004A480E">
      <w:pPr>
        <w:pStyle w:val="Bibliography"/>
        <w:jc w:val="both"/>
        <w:rPr>
          <w:color w:val="000000" w:themeColor="text1"/>
          <w:sz w:val="20"/>
          <w:szCs w:val="20"/>
        </w:rPr>
      </w:pPr>
      <w:r w:rsidRPr="00DA7A90">
        <w:rPr>
          <w:color w:val="000000" w:themeColor="text1"/>
          <w:sz w:val="20"/>
          <w:szCs w:val="20"/>
        </w:rPr>
        <w:t>31</w:t>
      </w:r>
      <w:r w:rsidR="0084322B" w:rsidRPr="00DA7A90">
        <w:rPr>
          <w:color w:val="000000" w:themeColor="text1"/>
          <w:sz w:val="20"/>
          <w:szCs w:val="20"/>
        </w:rPr>
        <w:t>.</w:t>
      </w:r>
      <w:r w:rsidRPr="00DA7A90">
        <w:rPr>
          <w:color w:val="000000" w:themeColor="text1"/>
          <w:sz w:val="20"/>
          <w:szCs w:val="20"/>
        </w:rPr>
        <w:tab/>
        <w:t>Kim Y</w:t>
      </w:r>
      <w:r w:rsidR="003B025B" w:rsidRPr="00DA7A90">
        <w:rPr>
          <w:color w:val="000000" w:themeColor="text1"/>
          <w:sz w:val="20"/>
          <w:szCs w:val="20"/>
        </w:rPr>
        <w:t>,</w:t>
      </w:r>
      <w:r w:rsidRPr="00DA7A90">
        <w:rPr>
          <w:color w:val="000000" w:themeColor="text1"/>
          <w:sz w:val="20"/>
          <w:szCs w:val="20"/>
        </w:rPr>
        <w:t xml:space="preserve"> Chang J-Y</w:t>
      </w:r>
      <w:r w:rsidR="003B025B" w:rsidRPr="00DA7A90">
        <w:rPr>
          <w:color w:val="000000" w:themeColor="text1"/>
          <w:sz w:val="20"/>
          <w:szCs w:val="20"/>
        </w:rPr>
        <w:t>,</w:t>
      </w:r>
      <w:r w:rsidRPr="00DA7A90">
        <w:rPr>
          <w:color w:val="000000" w:themeColor="text1"/>
          <w:sz w:val="20"/>
          <w:szCs w:val="20"/>
        </w:rPr>
        <w:t xml:space="preserve"> Kim Y-Y</w:t>
      </w:r>
      <w:r w:rsidR="003B025B" w:rsidRPr="00DA7A90">
        <w:rPr>
          <w:color w:val="000000" w:themeColor="text1"/>
          <w:sz w:val="20"/>
          <w:szCs w:val="20"/>
        </w:rPr>
        <w:t>,</w:t>
      </w:r>
      <w:r w:rsidRPr="00DA7A90">
        <w:rPr>
          <w:color w:val="000000" w:themeColor="text1"/>
          <w:sz w:val="20"/>
          <w:szCs w:val="20"/>
        </w:rPr>
        <w:t xml:space="preserve"> Lee JW</w:t>
      </w:r>
      <w:r w:rsidR="003B025B" w:rsidRPr="00DA7A90">
        <w:rPr>
          <w:color w:val="000000" w:themeColor="text1"/>
          <w:sz w:val="20"/>
          <w:szCs w:val="20"/>
        </w:rPr>
        <w:t>,</w:t>
      </w:r>
      <w:r w:rsidRPr="00DA7A90">
        <w:rPr>
          <w:color w:val="000000" w:themeColor="text1"/>
          <w:sz w:val="20"/>
          <w:szCs w:val="20"/>
        </w:rPr>
        <w:t xml:space="preserve"> Kho H-S. Effects of Zinc Compounds on the Enzymatic Activities of Lysozyme and Peroxidase and Their Antifungal Activities. Biol</w:t>
      </w:r>
      <w:r w:rsidR="00A03186" w:rsidRPr="00DA7A90">
        <w:rPr>
          <w:color w:val="000000" w:themeColor="text1"/>
          <w:sz w:val="20"/>
          <w:szCs w:val="20"/>
        </w:rPr>
        <w:t>.</w:t>
      </w:r>
      <w:r w:rsidRPr="00DA7A90">
        <w:rPr>
          <w:color w:val="000000" w:themeColor="text1"/>
          <w:sz w:val="20"/>
          <w:szCs w:val="20"/>
        </w:rPr>
        <w:t xml:space="preserve"> Trace Elem</w:t>
      </w:r>
      <w:r w:rsidR="00A03186" w:rsidRPr="00DA7A90">
        <w:rPr>
          <w:color w:val="000000" w:themeColor="text1"/>
          <w:sz w:val="20"/>
          <w:szCs w:val="20"/>
        </w:rPr>
        <w:t>.</w:t>
      </w:r>
      <w:r w:rsidRPr="00DA7A90">
        <w:rPr>
          <w:color w:val="000000" w:themeColor="text1"/>
          <w:sz w:val="20"/>
          <w:szCs w:val="20"/>
        </w:rPr>
        <w:t xml:space="preserve"> Res</w:t>
      </w:r>
      <w:r w:rsidR="00A03186" w:rsidRPr="00DA7A90">
        <w:rPr>
          <w:color w:val="000000" w:themeColor="text1"/>
          <w:sz w:val="20"/>
          <w:szCs w:val="20"/>
        </w:rPr>
        <w:t>.</w:t>
      </w:r>
      <w:r w:rsidRPr="00DA7A90">
        <w:rPr>
          <w:color w:val="000000" w:themeColor="text1"/>
          <w:sz w:val="20"/>
          <w:szCs w:val="20"/>
        </w:rPr>
        <w:t xml:space="preserve"> </w:t>
      </w:r>
      <w:r w:rsidR="00A03186" w:rsidRPr="00DA7A90">
        <w:rPr>
          <w:color w:val="000000" w:themeColor="text1"/>
          <w:sz w:val="20"/>
          <w:szCs w:val="20"/>
        </w:rPr>
        <w:t>2024;</w:t>
      </w:r>
      <w:r w:rsidRPr="00DA7A90">
        <w:rPr>
          <w:color w:val="000000" w:themeColor="text1"/>
          <w:sz w:val="20"/>
          <w:szCs w:val="20"/>
        </w:rPr>
        <w:t>202(12)</w:t>
      </w:r>
      <w:r w:rsidR="00A03186" w:rsidRPr="00DA7A90">
        <w:rPr>
          <w:color w:val="000000" w:themeColor="text1"/>
          <w:sz w:val="20"/>
          <w:szCs w:val="20"/>
        </w:rPr>
        <w:t>:</w:t>
      </w:r>
      <w:r w:rsidRPr="00DA7A90">
        <w:rPr>
          <w:color w:val="000000" w:themeColor="text1"/>
          <w:sz w:val="20"/>
          <w:szCs w:val="20"/>
        </w:rPr>
        <w:t xml:space="preserve">5850–5862. </w:t>
      </w:r>
    </w:p>
    <w:p w14:paraId="36FB8878" w14:textId="19F7345A" w:rsidR="001B7B50" w:rsidRPr="00DA7A90" w:rsidRDefault="00B35A57"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://doi.org/10.1007/s12011-024-04110-x</w:t>
      </w:r>
    </w:p>
    <w:p w14:paraId="7B41DF3D" w14:textId="692B21B6" w:rsidR="00417D23" w:rsidRPr="00DA7A90" w:rsidRDefault="001B7B50" w:rsidP="004A480E">
      <w:pPr>
        <w:pStyle w:val="Bibliography"/>
        <w:jc w:val="both"/>
        <w:rPr>
          <w:color w:val="000000" w:themeColor="text1"/>
          <w:sz w:val="20"/>
          <w:szCs w:val="20"/>
        </w:rPr>
      </w:pPr>
      <w:r w:rsidRPr="00DA7A90">
        <w:rPr>
          <w:color w:val="000000" w:themeColor="text1"/>
          <w:sz w:val="20"/>
          <w:szCs w:val="20"/>
        </w:rPr>
        <w:t>32</w:t>
      </w:r>
      <w:r w:rsidR="0084322B" w:rsidRPr="00DA7A90">
        <w:rPr>
          <w:color w:val="000000" w:themeColor="text1"/>
          <w:sz w:val="20"/>
          <w:szCs w:val="20"/>
        </w:rPr>
        <w:t>.</w:t>
      </w:r>
      <w:r w:rsidRPr="00DA7A90">
        <w:rPr>
          <w:color w:val="000000" w:themeColor="text1"/>
          <w:sz w:val="20"/>
          <w:szCs w:val="20"/>
        </w:rPr>
        <w:tab/>
        <w:t>Polo PG</w:t>
      </w:r>
      <w:r w:rsidR="003B025B" w:rsidRPr="00DA7A90">
        <w:rPr>
          <w:color w:val="000000" w:themeColor="text1"/>
          <w:sz w:val="20"/>
          <w:szCs w:val="20"/>
        </w:rPr>
        <w:t>,</w:t>
      </w:r>
      <w:r w:rsidRPr="00DA7A90">
        <w:rPr>
          <w:color w:val="000000" w:themeColor="text1"/>
          <w:sz w:val="20"/>
          <w:szCs w:val="20"/>
        </w:rPr>
        <w:t xml:space="preserve"> Galián J.</w:t>
      </w:r>
      <w:r w:rsidR="005E12C9" w:rsidRPr="00DA7A90">
        <w:rPr>
          <w:color w:val="000000" w:themeColor="text1"/>
          <w:sz w:val="20"/>
          <w:szCs w:val="20"/>
        </w:rPr>
        <w:t xml:space="preserve"> </w:t>
      </w:r>
      <w:r w:rsidRPr="00DA7A90">
        <w:rPr>
          <w:color w:val="000000" w:themeColor="text1"/>
          <w:sz w:val="20"/>
          <w:szCs w:val="20"/>
        </w:rPr>
        <w:t xml:space="preserve">Insect Laccase Like Multi Copper Oxidases: Enzymatic Functions and Applications. </w:t>
      </w:r>
      <w:r w:rsidR="005E12C9" w:rsidRPr="00DA7A90">
        <w:rPr>
          <w:color w:val="000000" w:themeColor="text1"/>
          <w:sz w:val="20"/>
          <w:szCs w:val="20"/>
        </w:rPr>
        <w:t>Arch. Insect Biochem. Physiol.</w:t>
      </w:r>
      <w:r w:rsidRPr="00DA7A90">
        <w:rPr>
          <w:color w:val="000000" w:themeColor="text1"/>
          <w:sz w:val="20"/>
          <w:szCs w:val="20"/>
        </w:rPr>
        <w:t xml:space="preserve"> </w:t>
      </w:r>
      <w:r w:rsidR="005E12C9" w:rsidRPr="00DA7A90">
        <w:rPr>
          <w:color w:val="000000" w:themeColor="text1"/>
          <w:sz w:val="20"/>
          <w:szCs w:val="20"/>
        </w:rPr>
        <w:t>2026;</w:t>
      </w:r>
      <w:r w:rsidRPr="00DA7A90">
        <w:rPr>
          <w:color w:val="000000" w:themeColor="text1"/>
          <w:sz w:val="20"/>
          <w:szCs w:val="20"/>
        </w:rPr>
        <w:t>121(4)</w:t>
      </w:r>
      <w:r w:rsidR="005E12C9" w:rsidRPr="00DA7A90">
        <w:rPr>
          <w:color w:val="000000" w:themeColor="text1"/>
          <w:sz w:val="20"/>
          <w:szCs w:val="20"/>
        </w:rPr>
        <w:t>:</w:t>
      </w:r>
      <w:r w:rsidRPr="00DA7A90">
        <w:rPr>
          <w:color w:val="000000" w:themeColor="text1"/>
          <w:sz w:val="20"/>
          <w:szCs w:val="20"/>
        </w:rPr>
        <w:t xml:space="preserve">e70155. </w:t>
      </w:r>
    </w:p>
    <w:p w14:paraId="6AAF29B9" w14:textId="76F9AB6D" w:rsidR="001B7B50" w:rsidRPr="00DA7A90" w:rsidRDefault="00417D23"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w:t>
      </w:r>
      <w:r w:rsidR="00EB7D2E" w:rsidRPr="00DA7A90">
        <w:rPr>
          <w:color w:val="000000" w:themeColor="text1"/>
          <w:sz w:val="20"/>
          <w:szCs w:val="20"/>
        </w:rPr>
        <w:t>Available:https</w:t>
      </w:r>
      <w:r w:rsidR="001B7B50" w:rsidRPr="00DA7A90">
        <w:rPr>
          <w:color w:val="000000" w:themeColor="text1"/>
          <w:sz w:val="20"/>
          <w:szCs w:val="20"/>
        </w:rPr>
        <w:t>://doi.org/10.1002/arch.70155</w:t>
      </w:r>
    </w:p>
    <w:p w14:paraId="2A0960E6" w14:textId="18B162FA" w:rsidR="00B24119" w:rsidRPr="00DA7A90" w:rsidRDefault="001B7B50" w:rsidP="004A480E">
      <w:pPr>
        <w:pStyle w:val="Bibliography"/>
        <w:jc w:val="both"/>
        <w:rPr>
          <w:color w:val="000000" w:themeColor="text1"/>
          <w:sz w:val="20"/>
          <w:szCs w:val="20"/>
        </w:rPr>
      </w:pPr>
      <w:r w:rsidRPr="00DA7A90">
        <w:rPr>
          <w:color w:val="000000" w:themeColor="text1"/>
          <w:sz w:val="20"/>
          <w:szCs w:val="20"/>
          <w:lang w:val="fr-CA"/>
        </w:rPr>
        <w:t>33</w:t>
      </w:r>
      <w:r w:rsidR="0084322B" w:rsidRPr="00DA7A90">
        <w:rPr>
          <w:color w:val="000000" w:themeColor="text1"/>
          <w:sz w:val="20"/>
          <w:szCs w:val="20"/>
          <w:lang w:val="fr-CA"/>
        </w:rPr>
        <w:t>.</w:t>
      </w:r>
      <w:r w:rsidRPr="00DA7A90">
        <w:rPr>
          <w:color w:val="000000" w:themeColor="text1"/>
          <w:sz w:val="20"/>
          <w:szCs w:val="20"/>
          <w:lang w:val="fr-CA"/>
        </w:rPr>
        <w:tab/>
        <w:t>Pant DR</w:t>
      </w:r>
      <w:r w:rsidR="003B025B" w:rsidRPr="00DA7A90">
        <w:rPr>
          <w:color w:val="000000" w:themeColor="text1"/>
          <w:sz w:val="20"/>
          <w:szCs w:val="20"/>
          <w:lang w:val="fr-CA"/>
        </w:rPr>
        <w:t>,</w:t>
      </w:r>
      <w:r w:rsidRPr="00DA7A90">
        <w:rPr>
          <w:color w:val="000000" w:themeColor="text1"/>
          <w:sz w:val="20"/>
          <w:szCs w:val="20"/>
          <w:lang w:val="fr-CA"/>
        </w:rPr>
        <w:t xml:space="preserve"> Pant ND</w:t>
      </w:r>
      <w:r w:rsidR="003B025B" w:rsidRPr="00DA7A90">
        <w:rPr>
          <w:color w:val="000000" w:themeColor="text1"/>
          <w:sz w:val="20"/>
          <w:szCs w:val="20"/>
          <w:lang w:val="fr-CA"/>
        </w:rPr>
        <w:t>,</w:t>
      </w:r>
      <w:r w:rsidRPr="00DA7A90">
        <w:rPr>
          <w:color w:val="000000" w:themeColor="text1"/>
          <w:sz w:val="20"/>
          <w:szCs w:val="20"/>
          <w:lang w:val="fr-CA"/>
        </w:rPr>
        <w:t xml:space="preserve"> Saru DB</w:t>
      </w:r>
      <w:r w:rsidR="003B025B" w:rsidRPr="00DA7A90">
        <w:rPr>
          <w:color w:val="000000" w:themeColor="text1"/>
          <w:sz w:val="20"/>
          <w:szCs w:val="20"/>
          <w:lang w:val="fr-CA"/>
        </w:rPr>
        <w:t>,</w:t>
      </w:r>
      <w:r w:rsidRPr="00DA7A90">
        <w:rPr>
          <w:color w:val="000000" w:themeColor="text1"/>
          <w:sz w:val="20"/>
          <w:szCs w:val="20"/>
          <w:lang w:val="fr-CA"/>
        </w:rPr>
        <w:t xml:space="preserve"> Yadav UN</w:t>
      </w:r>
      <w:r w:rsidR="003B025B" w:rsidRPr="00DA7A90">
        <w:rPr>
          <w:color w:val="000000" w:themeColor="text1"/>
          <w:sz w:val="20"/>
          <w:szCs w:val="20"/>
          <w:lang w:val="fr-CA"/>
        </w:rPr>
        <w:t>,</w:t>
      </w:r>
      <w:r w:rsidRPr="00DA7A90">
        <w:rPr>
          <w:color w:val="000000" w:themeColor="text1"/>
          <w:sz w:val="20"/>
          <w:szCs w:val="20"/>
          <w:lang w:val="fr-CA"/>
        </w:rPr>
        <w:t xml:space="preserve"> Khanal DP. </w:t>
      </w:r>
      <w:r w:rsidRPr="00DA7A90">
        <w:rPr>
          <w:color w:val="000000" w:themeColor="text1"/>
          <w:sz w:val="20"/>
          <w:szCs w:val="20"/>
        </w:rPr>
        <w:t>Phytochemical Screening and Study of Antioxidant, Antimicrobial, Antidiabetic, Anti-Inflammatory and Analgesic Activities of Extracts from Stem Wood of Pterocarpus Marsupium Roxburgh. J</w:t>
      </w:r>
      <w:r w:rsidR="000D155F" w:rsidRPr="00DA7A90">
        <w:rPr>
          <w:color w:val="000000" w:themeColor="text1"/>
          <w:sz w:val="20"/>
          <w:szCs w:val="20"/>
        </w:rPr>
        <w:t>.</w:t>
      </w:r>
      <w:r w:rsidRPr="00DA7A90">
        <w:rPr>
          <w:color w:val="000000" w:themeColor="text1"/>
          <w:sz w:val="20"/>
          <w:szCs w:val="20"/>
        </w:rPr>
        <w:t xml:space="preserve"> Intercult</w:t>
      </w:r>
      <w:r w:rsidR="000D155F" w:rsidRPr="00DA7A90">
        <w:rPr>
          <w:color w:val="000000" w:themeColor="text1"/>
          <w:sz w:val="20"/>
          <w:szCs w:val="20"/>
        </w:rPr>
        <w:t xml:space="preserve">. </w:t>
      </w:r>
      <w:r w:rsidRPr="00DA7A90">
        <w:rPr>
          <w:color w:val="000000" w:themeColor="text1"/>
          <w:sz w:val="20"/>
          <w:szCs w:val="20"/>
        </w:rPr>
        <w:t>Ethnopharmacol</w:t>
      </w:r>
      <w:r w:rsidR="000D155F" w:rsidRPr="00DA7A90">
        <w:rPr>
          <w:color w:val="000000" w:themeColor="text1"/>
          <w:sz w:val="20"/>
          <w:szCs w:val="20"/>
        </w:rPr>
        <w:t xml:space="preserve">. </w:t>
      </w:r>
      <w:r w:rsidR="005E12C9" w:rsidRPr="00DA7A90">
        <w:rPr>
          <w:color w:val="000000" w:themeColor="text1"/>
          <w:sz w:val="20"/>
          <w:szCs w:val="20"/>
        </w:rPr>
        <w:t>2017;</w:t>
      </w:r>
      <w:r w:rsidRPr="00DA7A90">
        <w:rPr>
          <w:color w:val="000000" w:themeColor="text1"/>
          <w:sz w:val="20"/>
          <w:szCs w:val="20"/>
        </w:rPr>
        <w:t>6(2)</w:t>
      </w:r>
      <w:r w:rsidR="005E12C9" w:rsidRPr="00DA7A90">
        <w:rPr>
          <w:color w:val="000000" w:themeColor="text1"/>
          <w:sz w:val="20"/>
          <w:szCs w:val="20"/>
        </w:rPr>
        <w:t>:</w:t>
      </w:r>
      <w:r w:rsidRPr="00DA7A90">
        <w:rPr>
          <w:color w:val="000000" w:themeColor="text1"/>
          <w:sz w:val="20"/>
          <w:szCs w:val="20"/>
        </w:rPr>
        <w:t xml:space="preserve">170–176. </w:t>
      </w:r>
    </w:p>
    <w:p w14:paraId="5CE09F02" w14:textId="1E67B44C" w:rsidR="001B7B50" w:rsidRPr="00DA7A90" w:rsidRDefault="00B2411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://doi.org/10.5455/jice.20170403094055</w:t>
      </w:r>
    </w:p>
    <w:p w14:paraId="2A804DE3" w14:textId="575396B8" w:rsidR="00DF559C" w:rsidRPr="00DA7A90" w:rsidRDefault="001B7B50" w:rsidP="004A480E">
      <w:pPr>
        <w:pStyle w:val="Bibliography"/>
        <w:jc w:val="both"/>
        <w:rPr>
          <w:color w:val="000000" w:themeColor="text1"/>
          <w:sz w:val="20"/>
          <w:szCs w:val="20"/>
        </w:rPr>
      </w:pPr>
      <w:r w:rsidRPr="00DA7A90">
        <w:rPr>
          <w:color w:val="000000" w:themeColor="text1"/>
          <w:sz w:val="20"/>
          <w:szCs w:val="20"/>
        </w:rPr>
        <w:t>34</w:t>
      </w:r>
      <w:r w:rsidR="0084322B" w:rsidRPr="00DA7A90">
        <w:rPr>
          <w:color w:val="000000" w:themeColor="text1"/>
          <w:sz w:val="20"/>
          <w:szCs w:val="20"/>
        </w:rPr>
        <w:t>.</w:t>
      </w:r>
      <w:r w:rsidRPr="00DA7A90">
        <w:rPr>
          <w:color w:val="000000" w:themeColor="text1"/>
          <w:sz w:val="20"/>
          <w:szCs w:val="20"/>
        </w:rPr>
        <w:tab/>
        <w:t>H</w:t>
      </w:r>
      <w:r w:rsidR="00721023" w:rsidRPr="00DA7A90">
        <w:rPr>
          <w:color w:val="000000" w:themeColor="text1"/>
          <w:sz w:val="20"/>
          <w:szCs w:val="20"/>
        </w:rPr>
        <w:t>ostynek JJ., Maibach HI., &amp; Maibach, HI. (Eds.). (2002). Nickel and the Skin: Absorption, Immunology, Epidemiology, and Metallurgy (1st ed.). CRC Press</w:t>
      </w:r>
      <w:r w:rsidR="00DF559C" w:rsidRPr="00DA7A90">
        <w:rPr>
          <w:color w:val="000000" w:themeColor="text1"/>
          <w:sz w:val="20"/>
          <w:szCs w:val="20"/>
        </w:rPr>
        <w:t>,</w:t>
      </w:r>
      <w:r w:rsidR="00721023" w:rsidRPr="00DA7A90">
        <w:rPr>
          <w:color w:val="000000" w:themeColor="text1"/>
          <w:sz w:val="20"/>
          <w:szCs w:val="20"/>
        </w:rPr>
        <w:t xml:space="preserve"> </w:t>
      </w:r>
      <w:r w:rsidR="008556DA" w:rsidRPr="00DA7A90">
        <w:rPr>
          <w:color w:val="000000" w:themeColor="text1"/>
          <w:sz w:val="20"/>
          <w:szCs w:val="20"/>
        </w:rPr>
        <w:t>B</w:t>
      </w:r>
      <w:r w:rsidR="00DF559C" w:rsidRPr="00DA7A90">
        <w:rPr>
          <w:color w:val="000000" w:themeColor="text1"/>
          <w:sz w:val="20"/>
          <w:szCs w:val="20"/>
        </w:rPr>
        <w:t xml:space="preserve">oca Raton. </w:t>
      </w:r>
    </w:p>
    <w:p w14:paraId="6FC042F8" w14:textId="45703FCA" w:rsidR="00721023" w:rsidRPr="00DA7A90" w:rsidRDefault="00DF559C"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721023" w:rsidRPr="00DA7A90">
        <w:rPr>
          <w:color w:val="000000" w:themeColor="text1"/>
          <w:sz w:val="20"/>
          <w:szCs w:val="20"/>
        </w:rPr>
        <w:t>://doi.org/10.1201/9780429285776</w:t>
      </w:r>
    </w:p>
    <w:p w14:paraId="0E96CB8B" w14:textId="2CACAD5B" w:rsidR="000500CB" w:rsidRPr="00DA7A90" w:rsidRDefault="001B7B50" w:rsidP="004A480E">
      <w:pPr>
        <w:pStyle w:val="Bibliography"/>
        <w:jc w:val="both"/>
        <w:rPr>
          <w:color w:val="000000" w:themeColor="text1"/>
          <w:sz w:val="20"/>
          <w:szCs w:val="20"/>
        </w:rPr>
      </w:pPr>
      <w:r w:rsidRPr="00DA7A90">
        <w:rPr>
          <w:color w:val="000000" w:themeColor="text1"/>
          <w:sz w:val="20"/>
          <w:szCs w:val="20"/>
        </w:rPr>
        <w:t>35</w:t>
      </w:r>
      <w:r w:rsidR="0084322B" w:rsidRPr="00DA7A90">
        <w:rPr>
          <w:color w:val="000000" w:themeColor="text1"/>
          <w:sz w:val="20"/>
          <w:szCs w:val="20"/>
        </w:rPr>
        <w:t>.</w:t>
      </w:r>
      <w:r w:rsidRPr="00DA7A90">
        <w:rPr>
          <w:color w:val="000000" w:themeColor="text1"/>
          <w:sz w:val="20"/>
          <w:szCs w:val="20"/>
        </w:rPr>
        <w:tab/>
        <w:t>Jaishankar M</w:t>
      </w:r>
      <w:r w:rsidR="003B025B" w:rsidRPr="00DA7A90">
        <w:rPr>
          <w:color w:val="000000" w:themeColor="text1"/>
          <w:sz w:val="20"/>
          <w:szCs w:val="20"/>
        </w:rPr>
        <w:t>,</w:t>
      </w:r>
      <w:r w:rsidRPr="00DA7A90">
        <w:rPr>
          <w:color w:val="000000" w:themeColor="text1"/>
          <w:sz w:val="20"/>
          <w:szCs w:val="20"/>
        </w:rPr>
        <w:t xml:space="preserve"> Tseten T</w:t>
      </w:r>
      <w:r w:rsidR="003B025B" w:rsidRPr="00DA7A90">
        <w:rPr>
          <w:color w:val="000000" w:themeColor="text1"/>
          <w:sz w:val="20"/>
          <w:szCs w:val="20"/>
        </w:rPr>
        <w:t>,</w:t>
      </w:r>
      <w:r w:rsidRPr="00DA7A90">
        <w:rPr>
          <w:color w:val="000000" w:themeColor="text1"/>
          <w:sz w:val="20"/>
          <w:szCs w:val="20"/>
        </w:rPr>
        <w:t xml:space="preserve"> Anbalagan N</w:t>
      </w:r>
      <w:r w:rsidR="003B025B" w:rsidRPr="00DA7A90">
        <w:rPr>
          <w:color w:val="000000" w:themeColor="text1"/>
          <w:sz w:val="20"/>
          <w:szCs w:val="20"/>
        </w:rPr>
        <w:t>,</w:t>
      </w:r>
      <w:r w:rsidRPr="00DA7A90">
        <w:rPr>
          <w:color w:val="000000" w:themeColor="text1"/>
          <w:sz w:val="20"/>
          <w:szCs w:val="20"/>
        </w:rPr>
        <w:t xml:space="preserve"> Mathew BB</w:t>
      </w:r>
      <w:r w:rsidR="003B025B" w:rsidRPr="00DA7A90">
        <w:rPr>
          <w:color w:val="000000" w:themeColor="text1"/>
          <w:sz w:val="20"/>
          <w:szCs w:val="20"/>
        </w:rPr>
        <w:t>,</w:t>
      </w:r>
      <w:r w:rsidRPr="00DA7A90">
        <w:rPr>
          <w:color w:val="000000" w:themeColor="text1"/>
          <w:sz w:val="20"/>
          <w:szCs w:val="20"/>
        </w:rPr>
        <w:t xml:space="preserve"> Beeregowda KN. Toxicity, Mechanism and Health Effects of Some Heavy Metals. Interdiscip</w:t>
      </w:r>
      <w:r w:rsidR="006C342C" w:rsidRPr="00DA7A90">
        <w:rPr>
          <w:color w:val="000000" w:themeColor="text1"/>
          <w:sz w:val="20"/>
          <w:szCs w:val="20"/>
        </w:rPr>
        <w:t>.</w:t>
      </w:r>
      <w:r w:rsidRPr="00DA7A90">
        <w:rPr>
          <w:color w:val="000000" w:themeColor="text1"/>
          <w:sz w:val="20"/>
          <w:szCs w:val="20"/>
        </w:rPr>
        <w:t xml:space="preserve"> Toxicol</w:t>
      </w:r>
      <w:r w:rsidR="006C342C" w:rsidRPr="00DA7A90">
        <w:rPr>
          <w:color w:val="000000" w:themeColor="text1"/>
          <w:sz w:val="20"/>
          <w:szCs w:val="20"/>
        </w:rPr>
        <w:t>.</w:t>
      </w:r>
      <w:r w:rsidRPr="00DA7A90">
        <w:rPr>
          <w:color w:val="000000" w:themeColor="text1"/>
          <w:sz w:val="20"/>
          <w:szCs w:val="20"/>
        </w:rPr>
        <w:t xml:space="preserve"> </w:t>
      </w:r>
      <w:r w:rsidR="006C342C" w:rsidRPr="00DA7A90">
        <w:rPr>
          <w:color w:val="000000" w:themeColor="text1"/>
          <w:sz w:val="20"/>
          <w:szCs w:val="20"/>
        </w:rPr>
        <w:t>2014;</w:t>
      </w:r>
      <w:r w:rsidRPr="00DA7A90">
        <w:rPr>
          <w:color w:val="000000" w:themeColor="text1"/>
          <w:sz w:val="20"/>
          <w:szCs w:val="20"/>
        </w:rPr>
        <w:t>7(2)</w:t>
      </w:r>
      <w:r w:rsidR="006C342C" w:rsidRPr="00DA7A90">
        <w:rPr>
          <w:color w:val="000000" w:themeColor="text1"/>
          <w:sz w:val="20"/>
          <w:szCs w:val="20"/>
        </w:rPr>
        <w:t>:</w:t>
      </w:r>
      <w:r w:rsidRPr="00DA7A90">
        <w:rPr>
          <w:color w:val="000000" w:themeColor="text1"/>
          <w:sz w:val="20"/>
          <w:szCs w:val="20"/>
        </w:rPr>
        <w:t xml:space="preserve">60–72. </w:t>
      </w:r>
    </w:p>
    <w:p w14:paraId="46AEC171" w14:textId="43578964" w:rsidR="001B7B50" w:rsidRPr="00DA7A90" w:rsidRDefault="000500CB"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://doi.org/10.2478/intox-2014-0009</w:t>
      </w:r>
    </w:p>
    <w:p w14:paraId="5189BD0F" w14:textId="7650A6E9" w:rsidR="00E0614F" w:rsidRPr="00DA7A90" w:rsidRDefault="001B7B50" w:rsidP="004A480E">
      <w:pPr>
        <w:pStyle w:val="Bibliography"/>
        <w:jc w:val="both"/>
        <w:rPr>
          <w:color w:val="000000" w:themeColor="text1"/>
          <w:sz w:val="20"/>
          <w:szCs w:val="20"/>
        </w:rPr>
      </w:pPr>
      <w:r w:rsidRPr="00DA7A90">
        <w:rPr>
          <w:color w:val="000000" w:themeColor="text1"/>
          <w:sz w:val="20"/>
          <w:szCs w:val="20"/>
        </w:rPr>
        <w:t>36</w:t>
      </w:r>
      <w:r w:rsidR="0084322B" w:rsidRPr="00DA7A90">
        <w:rPr>
          <w:color w:val="000000" w:themeColor="text1"/>
          <w:sz w:val="20"/>
          <w:szCs w:val="20"/>
        </w:rPr>
        <w:t>.</w:t>
      </w:r>
      <w:r w:rsidRPr="00DA7A90">
        <w:rPr>
          <w:color w:val="000000" w:themeColor="text1"/>
          <w:sz w:val="20"/>
          <w:szCs w:val="20"/>
        </w:rPr>
        <w:tab/>
        <w:t>Meseret M</w:t>
      </w:r>
      <w:r w:rsidR="003B025B" w:rsidRPr="00DA7A90">
        <w:rPr>
          <w:color w:val="000000" w:themeColor="text1"/>
          <w:sz w:val="20"/>
          <w:szCs w:val="20"/>
        </w:rPr>
        <w:t>,</w:t>
      </w:r>
      <w:r w:rsidRPr="00DA7A90">
        <w:rPr>
          <w:color w:val="000000" w:themeColor="text1"/>
          <w:sz w:val="20"/>
          <w:szCs w:val="20"/>
        </w:rPr>
        <w:t xml:space="preserve"> Ketema G</w:t>
      </w:r>
      <w:r w:rsidR="003B025B" w:rsidRPr="00DA7A90">
        <w:rPr>
          <w:color w:val="000000" w:themeColor="text1"/>
          <w:sz w:val="20"/>
          <w:szCs w:val="20"/>
        </w:rPr>
        <w:t>,</w:t>
      </w:r>
      <w:r w:rsidRPr="00DA7A90">
        <w:rPr>
          <w:color w:val="000000" w:themeColor="text1"/>
          <w:sz w:val="20"/>
          <w:szCs w:val="20"/>
        </w:rPr>
        <w:t xml:space="preserve"> Kassahun H. Health Risk Assessment and Determination of Some Heavy Metals in Commonly Consumed Traditional Herbal Preparations in Northeast Ethiopia. J</w:t>
      </w:r>
      <w:r w:rsidR="007B1BAC" w:rsidRPr="00DA7A90">
        <w:rPr>
          <w:color w:val="000000" w:themeColor="text1"/>
          <w:sz w:val="20"/>
          <w:szCs w:val="20"/>
        </w:rPr>
        <w:t>.</w:t>
      </w:r>
      <w:r w:rsidRPr="00DA7A90">
        <w:rPr>
          <w:color w:val="000000" w:themeColor="text1"/>
          <w:sz w:val="20"/>
          <w:szCs w:val="20"/>
        </w:rPr>
        <w:t xml:space="preserve"> Chem</w:t>
      </w:r>
      <w:r w:rsidR="007B1BAC" w:rsidRPr="00DA7A90">
        <w:rPr>
          <w:color w:val="000000" w:themeColor="text1"/>
          <w:sz w:val="20"/>
          <w:szCs w:val="20"/>
        </w:rPr>
        <w:t>. 2020;</w:t>
      </w:r>
      <w:r w:rsidRPr="00DA7A90">
        <w:rPr>
          <w:color w:val="000000" w:themeColor="text1"/>
          <w:sz w:val="20"/>
          <w:szCs w:val="20"/>
        </w:rPr>
        <w:t>2020</w:t>
      </w:r>
      <w:r w:rsidR="007B1BAC" w:rsidRPr="00DA7A90">
        <w:rPr>
          <w:color w:val="000000" w:themeColor="text1"/>
          <w:sz w:val="20"/>
          <w:szCs w:val="20"/>
        </w:rPr>
        <w:t>:</w:t>
      </w:r>
      <w:r w:rsidRPr="00DA7A90">
        <w:rPr>
          <w:color w:val="000000" w:themeColor="text1"/>
          <w:sz w:val="20"/>
          <w:szCs w:val="20"/>
        </w:rPr>
        <w:t>8883837.</w:t>
      </w:r>
    </w:p>
    <w:p w14:paraId="393FDD46" w14:textId="4B91A0C7" w:rsidR="001B7B50" w:rsidRPr="00DA7A90" w:rsidRDefault="00E0614F"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://doi.org/10.1155/2020/8883837</w:t>
      </w:r>
    </w:p>
    <w:p w14:paraId="348E51D6" w14:textId="2F024EAE" w:rsidR="009F6BEF" w:rsidRPr="00DA7A90" w:rsidRDefault="009F6BEF" w:rsidP="009F6BEF">
      <w:pPr>
        <w:pStyle w:val="Bibliography"/>
        <w:rPr>
          <w:color w:val="000000" w:themeColor="text1"/>
          <w:sz w:val="20"/>
          <w:szCs w:val="20"/>
        </w:rPr>
      </w:pPr>
      <w:r w:rsidRPr="00DA7A90">
        <w:rPr>
          <w:color w:val="000000" w:themeColor="text1"/>
          <w:sz w:val="20"/>
          <w:szCs w:val="20"/>
        </w:rPr>
        <w:t xml:space="preserve">37. </w:t>
      </w:r>
      <w:r w:rsidRPr="00DA7A90">
        <w:rPr>
          <w:color w:val="000000" w:themeColor="text1"/>
          <w:sz w:val="20"/>
          <w:szCs w:val="20"/>
          <w:lang w:val="en-US"/>
        </w:rPr>
        <w:tab/>
      </w:r>
      <w:r w:rsidRPr="00DA7A90">
        <w:rPr>
          <w:color w:val="000000" w:themeColor="text1"/>
          <w:sz w:val="20"/>
          <w:szCs w:val="20"/>
          <w:lang w:val="fr-FR"/>
        </w:rPr>
        <w:fldChar w:fldCharType="begin"/>
      </w:r>
      <w:r w:rsidRPr="00DA7A90">
        <w:rPr>
          <w:color w:val="000000" w:themeColor="text1"/>
          <w:sz w:val="20"/>
          <w:szCs w:val="20"/>
          <w:lang w:val="en-US"/>
        </w:rPr>
        <w:instrText xml:space="preserve"> ADDIN ZOTERO_BIBL {"uncited":[],"omitted":[],"custom":[]} CSL_BIBLIOGRAPHY </w:instrText>
      </w:r>
      <w:r w:rsidRPr="00DA7A90">
        <w:rPr>
          <w:color w:val="000000" w:themeColor="text1"/>
          <w:sz w:val="20"/>
          <w:szCs w:val="20"/>
          <w:lang w:val="fr-FR"/>
        </w:rPr>
        <w:fldChar w:fldCharType="separate"/>
      </w:r>
      <w:r w:rsidRPr="00DA7A90">
        <w:rPr>
          <w:color w:val="000000" w:themeColor="text1"/>
          <w:sz w:val="20"/>
          <w:szCs w:val="20"/>
          <w:lang w:val="en-US"/>
        </w:rPr>
        <w:t xml:space="preserve">Król E, Krejpcio Z. Chromium(III) propionate complex supplementation improves carbohydrate metabolism in insulin-resistance rat model. </w:t>
      </w:r>
      <w:r w:rsidRPr="00DA7A90">
        <w:rPr>
          <w:color w:val="000000" w:themeColor="text1"/>
          <w:sz w:val="20"/>
          <w:szCs w:val="20"/>
        </w:rPr>
        <w:t>Food and Chem</w:t>
      </w:r>
      <w:r w:rsidR="00A07A6F" w:rsidRPr="00DA7A90">
        <w:rPr>
          <w:color w:val="000000" w:themeColor="text1"/>
          <w:sz w:val="20"/>
          <w:szCs w:val="20"/>
        </w:rPr>
        <w:t>.</w:t>
      </w:r>
      <w:r w:rsidRPr="00DA7A90">
        <w:rPr>
          <w:color w:val="000000" w:themeColor="text1"/>
          <w:sz w:val="20"/>
          <w:szCs w:val="20"/>
        </w:rPr>
        <w:t xml:space="preserve"> Toxicol</w:t>
      </w:r>
      <w:r w:rsidR="00A07A6F" w:rsidRPr="00DA7A90">
        <w:rPr>
          <w:color w:val="000000" w:themeColor="text1"/>
          <w:sz w:val="20"/>
          <w:szCs w:val="20"/>
        </w:rPr>
        <w:t xml:space="preserve">. </w:t>
      </w:r>
      <w:r w:rsidR="007B1BAC" w:rsidRPr="00DA7A90">
        <w:rPr>
          <w:color w:val="000000" w:themeColor="text1"/>
          <w:sz w:val="20"/>
          <w:szCs w:val="20"/>
        </w:rPr>
        <w:t>2010;</w:t>
      </w:r>
      <w:r w:rsidRPr="00DA7A90">
        <w:rPr>
          <w:color w:val="000000" w:themeColor="text1"/>
          <w:sz w:val="20"/>
          <w:szCs w:val="20"/>
        </w:rPr>
        <w:t>48(10)</w:t>
      </w:r>
      <w:r w:rsidR="007B1BAC" w:rsidRPr="00DA7A90">
        <w:rPr>
          <w:color w:val="000000" w:themeColor="text1"/>
          <w:sz w:val="20"/>
          <w:szCs w:val="20"/>
        </w:rPr>
        <w:t>:</w:t>
      </w:r>
      <w:r w:rsidRPr="00DA7A90">
        <w:rPr>
          <w:color w:val="000000" w:themeColor="text1"/>
          <w:sz w:val="20"/>
          <w:szCs w:val="20"/>
        </w:rPr>
        <w:t xml:space="preserve">2791–2796. </w:t>
      </w:r>
    </w:p>
    <w:p w14:paraId="52E64001" w14:textId="25CB92A5" w:rsidR="009F6BEF" w:rsidRPr="00DA7A90" w:rsidRDefault="009F6BEF" w:rsidP="009F6BEF">
      <w:pPr>
        <w:pStyle w:val="Bibliography"/>
        <w:rPr>
          <w:color w:val="000000" w:themeColor="text1"/>
          <w:sz w:val="20"/>
          <w:szCs w:val="20"/>
        </w:rPr>
      </w:pPr>
      <w:r w:rsidRPr="00DA7A90">
        <w:rPr>
          <w:color w:val="000000" w:themeColor="text1"/>
          <w:sz w:val="20"/>
          <w:szCs w:val="20"/>
        </w:rPr>
        <w:tab/>
      </w:r>
      <w:r w:rsidR="004F1527" w:rsidRPr="00DA7A90">
        <w:rPr>
          <w:color w:val="000000" w:themeColor="text1"/>
          <w:sz w:val="20"/>
          <w:szCs w:val="20"/>
        </w:rPr>
        <w:t>Available:</w:t>
      </w:r>
      <w:r w:rsidRPr="00DA7A90">
        <w:rPr>
          <w:color w:val="000000" w:themeColor="text1"/>
          <w:sz w:val="20"/>
          <w:szCs w:val="20"/>
        </w:rPr>
        <w:t>https://doi.org/10.1016/j.fct.2010.07.008</w:t>
      </w:r>
    </w:p>
    <w:p w14:paraId="56136406" w14:textId="66324838" w:rsidR="009F6BEF" w:rsidRPr="00DA7A90" w:rsidRDefault="009F6BEF" w:rsidP="009F6BEF">
      <w:pPr>
        <w:rPr>
          <w:color w:val="000000" w:themeColor="text1"/>
          <w:sz w:val="20"/>
          <w:szCs w:val="20"/>
        </w:rPr>
      </w:pPr>
      <w:r w:rsidRPr="00DA7A90">
        <w:rPr>
          <w:color w:val="000000" w:themeColor="text1"/>
          <w:sz w:val="20"/>
          <w:szCs w:val="20"/>
          <w:lang w:val="fr-FR"/>
        </w:rPr>
        <w:fldChar w:fldCharType="end"/>
      </w:r>
    </w:p>
    <w:p w14:paraId="253C0989" w14:textId="6533CF76" w:rsidR="00AD6264" w:rsidRPr="00BC2DC6" w:rsidRDefault="00AD6264" w:rsidP="004A480E">
      <w:pPr>
        <w:ind w:left="560" w:hanging="560"/>
        <w:jc w:val="both"/>
        <w:rPr>
          <w:color w:val="000000" w:themeColor="text1"/>
          <w:sz w:val="20"/>
          <w:szCs w:val="20"/>
        </w:rPr>
      </w:pPr>
      <w:r w:rsidRPr="00DA7A90">
        <w:rPr>
          <w:color w:val="000000" w:themeColor="text1"/>
          <w:sz w:val="20"/>
          <w:szCs w:val="20"/>
        </w:rPr>
        <w:fldChar w:fldCharType="end"/>
      </w:r>
    </w:p>
    <w:sectPr w:rsidR="00AD6264" w:rsidRPr="00BC2DC6" w:rsidSect="005220FD">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440" w:right="1841"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978D" w14:textId="77777777" w:rsidR="006247F4" w:rsidRDefault="006247F4" w:rsidP="00FD525A">
      <w:r>
        <w:separator/>
      </w:r>
    </w:p>
  </w:endnote>
  <w:endnote w:type="continuationSeparator" w:id="0">
    <w:p w14:paraId="70C66ED0" w14:textId="77777777" w:rsidR="006247F4" w:rsidRDefault="006247F4" w:rsidP="00F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14FE" w14:textId="77777777" w:rsidR="00EF231E" w:rsidRDefault="00EF2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840" w14:textId="77777777" w:rsidR="00EF231E" w:rsidRDefault="00EF2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B3F2" w14:textId="77777777" w:rsidR="00EF231E" w:rsidRDefault="00EF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0E7A" w14:textId="77777777" w:rsidR="006247F4" w:rsidRDefault="006247F4" w:rsidP="00FD525A">
      <w:r>
        <w:separator/>
      </w:r>
    </w:p>
  </w:footnote>
  <w:footnote w:type="continuationSeparator" w:id="0">
    <w:p w14:paraId="03976775" w14:textId="77777777" w:rsidR="006247F4" w:rsidRDefault="006247F4" w:rsidP="00F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E2B1" w14:textId="2D8BC25E" w:rsidR="00EF231E" w:rsidRDefault="006247F4">
    <w:pPr>
      <w:pStyle w:val="Header"/>
    </w:pPr>
    <w:r>
      <w:rPr>
        <w:noProof/>
      </w:rPr>
      <w:pict w14:anchorId="6B72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282" o:spid="_x0000_s1026" type="#_x0000_t136" style="position:absolute;margin-left:0;margin-top:0;width:555.2pt;height:62.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647C" w14:textId="389E7B2E" w:rsidR="00EF231E" w:rsidRDefault="006247F4">
    <w:pPr>
      <w:pStyle w:val="Header"/>
    </w:pPr>
    <w:r>
      <w:rPr>
        <w:noProof/>
      </w:rPr>
      <w:pict w14:anchorId="5FCC3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283" o:spid="_x0000_s1027" type="#_x0000_t136" style="position:absolute;margin-left:0;margin-top:0;width:555.2pt;height:62.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98D2" w14:textId="7E650ED3" w:rsidR="00EF231E" w:rsidRDefault="006247F4">
    <w:pPr>
      <w:pStyle w:val="Header"/>
    </w:pPr>
    <w:r>
      <w:rPr>
        <w:noProof/>
      </w:rPr>
      <w:pict w14:anchorId="11E44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281" o:spid="_x0000_s1025" type="#_x0000_t136" style="position:absolute;margin-left:0;margin-top:0;width:555.2pt;height:62.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A2D"/>
    <w:multiLevelType w:val="hybridMultilevel"/>
    <w:tmpl w:val="DB9446CC"/>
    <w:lvl w:ilvl="0" w:tplc="9414339A">
      <w:start w:val="1"/>
      <w:numFmt w:val="decimal"/>
      <w:pStyle w:val="Heading4"/>
      <w:lvlText w:val="3.2.%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303D52DB"/>
    <w:multiLevelType w:val="multilevel"/>
    <w:tmpl w:val="CE8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B1A8F"/>
    <w:multiLevelType w:val="hybridMultilevel"/>
    <w:tmpl w:val="3A8209D2"/>
    <w:lvl w:ilvl="0" w:tplc="81F8660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5089D"/>
    <w:multiLevelType w:val="hybridMultilevel"/>
    <w:tmpl w:val="C206F828"/>
    <w:lvl w:ilvl="0" w:tplc="CE3C6446">
      <w:start w:val="1"/>
      <w:numFmt w:val="decimal"/>
      <w:pStyle w:val="Heading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D703C"/>
    <w:multiLevelType w:val="hybridMultilevel"/>
    <w:tmpl w:val="474EEC74"/>
    <w:lvl w:ilvl="0" w:tplc="CDE0938E">
      <w:start w:val="1"/>
      <w:numFmt w:val="decimal"/>
      <w:pStyle w:val="Heading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2352F"/>
    <w:multiLevelType w:val="hybridMultilevel"/>
    <w:tmpl w:val="04A8E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B2944"/>
    <w:multiLevelType w:val="hybridMultilevel"/>
    <w:tmpl w:val="FFFFFFFF"/>
    <w:lvl w:ilvl="0" w:tplc="8A1A8136">
      <w:start w:val="1"/>
      <w:numFmt w:val="bullet"/>
      <w:lvlText w:val="●"/>
      <w:lvlJc w:val="left"/>
      <w:pPr>
        <w:ind w:left="720" w:hanging="360"/>
      </w:pPr>
    </w:lvl>
    <w:lvl w:ilvl="1" w:tplc="565EE346">
      <w:start w:val="1"/>
      <w:numFmt w:val="bullet"/>
      <w:lvlText w:val="○"/>
      <w:lvlJc w:val="left"/>
      <w:pPr>
        <w:ind w:left="1440" w:hanging="360"/>
      </w:pPr>
    </w:lvl>
    <w:lvl w:ilvl="2" w:tplc="75469B50">
      <w:start w:val="1"/>
      <w:numFmt w:val="bullet"/>
      <w:lvlText w:val="■"/>
      <w:lvlJc w:val="left"/>
      <w:pPr>
        <w:ind w:left="2160" w:hanging="360"/>
      </w:pPr>
    </w:lvl>
    <w:lvl w:ilvl="3" w:tplc="CB54006C">
      <w:start w:val="1"/>
      <w:numFmt w:val="bullet"/>
      <w:lvlText w:val="●"/>
      <w:lvlJc w:val="left"/>
      <w:pPr>
        <w:ind w:left="2880" w:hanging="360"/>
      </w:pPr>
    </w:lvl>
    <w:lvl w:ilvl="4" w:tplc="851ABC80">
      <w:start w:val="1"/>
      <w:numFmt w:val="bullet"/>
      <w:lvlText w:val="○"/>
      <w:lvlJc w:val="left"/>
      <w:pPr>
        <w:ind w:left="3600" w:hanging="360"/>
      </w:pPr>
    </w:lvl>
    <w:lvl w:ilvl="5" w:tplc="0090E036">
      <w:start w:val="1"/>
      <w:numFmt w:val="bullet"/>
      <w:lvlText w:val="■"/>
      <w:lvlJc w:val="left"/>
      <w:pPr>
        <w:ind w:left="4320" w:hanging="360"/>
      </w:pPr>
    </w:lvl>
    <w:lvl w:ilvl="6" w:tplc="1BD6458C">
      <w:start w:val="1"/>
      <w:numFmt w:val="bullet"/>
      <w:lvlText w:val="●"/>
      <w:lvlJc w:val="left"/>
      <w:pPr>
        <w:ind w:left="5040" w:hanging="360"/>
      </w:pPr>
    </w:lvl>
    <w:lvl w:ilvl="7" w:tplc="5C00DDB6">
      <w:start w:val="1"/>
      <w:numFmt w:val="bullet"/>
      <w:lvlText w:val="●"/>
      <w:lvlJc w:val="left"/>
      <w:pPr>
        <w:ind w:left="5760" w:hanging="360"/>
      </w:pPr>
    </w:lvl>
    <w:lvl w:ilvl="8" w:tplc="0A9C48B2">
      <w:start w:val="1"/>
      <w:numFmt w:val="bullet"/>
      <w:lvlText w:val="●"/>
      <w:lvlJc w:val="left"/>
      <w:pPr>
        <w:ind w:left="6480" w:hanging="360"/>
      </w:pPr>
    </w:lvl>
  </w:abstractNum>
  <w:num w:numId="1" w16cid:durableId="1558933530">
    <w:abstractNumId w:val="6"/>
    <w:lvlOverride w:ilvl="0">
      <w:startOverride w:val="1"/>
    </w:lvlOverride>
  </w:num>
  <w:num w:numId="2" w16cid:durableId="434595373">
    <w:abstractNumId w:val="1"/>
  </w:num>
  <w:num w:numId="3" w16cid:durableId="312763307">
    <w:abstractNumId w:val="5"/>
  </w:num>
  <w:num w:numId="4" w16cid:durableId="933897122">
    <w:abstractNumId w:val="2"/>
  </w:num>
  <w:num w:numId="5" w16cid:durableId="682711594">
    <w:abstractNumId w:val="4"/>
  </w:num>
  <w:num w:numId="6" w16cid:durableId="501237909">
    <w:abstractNumId w:val="3"/>
  </w:num>
  <w:num w:numId="7" w16cid:durableId="181544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3NzYzNzY0NbYwMTFV0lEKTi0uzszPAykwrAUA8lN6oiwAAAA="/>
  </w:docVars>
  <w:rsids>
    <w:rsidRoot w:val="007B5C2E"/>
    <w:rsid w:val="000043ED"/>
    <w:rsid w:val="00005038"/>
    <w:rsid w:val="000111BD"/>
    <w:rsid w:val="000132D5"/>
    <w:rsid w:val="00014101"/>
    <w:rsid w:val="000242BB"/>
    <w:rsid w:val="00025771"/>
    <w:rsid w:val="000266D2"/>
    <w:rsid w:val="00026C03"/>
    <w:rsid w:val="00035891"/>
    <w:rsid w:val="0004105E"/>
    <w:rsid w:val="00042566"/>
    <w:rsid w:val="00042CB7"/>
    <w:rsid w:val="000500CB"/>
    <w:rsid w:val="00051CCC"/>
    <w:rsid w:val="00056443"/>
    <w:rsid w:val="00065567"/>
    <w:rsid w:val="000717A5"/>
    <w:rsid w:val="0007296C"/>
    <w:rsid w:val="00083524"/>
    <w:rsid w:val="00083777"/>
    <w:rsid w:val="00091744"/>
    <w:rsid w:val="00091F8F"/>
    <w:rsid w:val="0009408C"/>
    <w:rsid w:val="00096AA5"/>
    <w:rsid w:val="000A3C98"/>
    <w:rsid w:val="000B5328"/>
    <w:rsid w:val="000C0F2A"/>
    <w:rsid w:val="000C3486"/>
    <w:rsid w:val="000C73A7"/>
    <w:rsid w:val="000D155F"/>
    <w:rsid w:val="000D4875"/>
    <w:rsid w:val="000E7F00"/>
    <w:rsid w:val="000F4B5C"/>
    <w:rsid w:val="00102D88"/>
    <w:rsid w:val="001131CF"/>
    <w:rsid w:val="00117B84"/>
    <w:rsid w:val="00121D52"/>
    <w:rsid w:val="00125A73"/>
    <w:rsid w:val="00133D51"/>
    <w:rsid w:val="001402AD"/>
    <w:rsid w:val="00142838"/>
    <w:rsid w:val="00143EB0"/>
    <w:rsid w:val="001474C0"/>
    <w:rsid w:val="00152CED"/>
    <w:rsid w:val="001548C7"/>
    <w:rsid w:val="001550A2"/>
    <w:rsid w:val="00155369"/>
    <w:rsid w:val="001575A9"/>
    <w:rsid w:val="00162F85"/>
    <w:rsid w:val="00164E89"/>
    <w:rsid w:val="00173C53"/>
    <w:rsid w:val="00173D01"/>
    <w:rsid w:val="001813A1"/>
    <w:rsid w:val="00191686"/>
    <w:rsid w:val="0019508F"/>
    <w:rsid w:val="0019675E"/>
    <w:rsid w:val="001A2691"/>
    <w:rsid w:val="001A67D4"/>
    <w:rsid w:val="001A6FD8"/>
    <w:rsid w:val="001B0B24"/>
    <w:rsid w:val="001B3CE2"/>
    <w:rsid w:val="001B65F0"/>
    <w:rsid w:val="001B7B50"/>
    <w:rsid w:val="001C1EA8"/>
    <w:rsid w:val="001C4384"/>
    <w:rsid w:val="001C5B86"/>
    <w:rsid w:val="001C70E8"/>
    <w:rsid w:val="001E0B1C"/>
    <w:rsid w:val="001E3E4B"/>
    <w:rsid w:val="001E50E7"/>
    <w:rsid w:val="001E5390"/>
    <w:rsid w:val="001E69CD"/>
    <w:rsid w:val="001E73A4"/>
    <w:rsid w:val="001F28DA"/>
    <w:rsid w:val="001F61C6"/>
    <w:rsid w:val="00200403"/>
    <w:rsid w:val="00215E4C"/>
    <w:rsid w:val="0021778A"/>
    <w:rsid w:val="00223275"/>
    <w:rsid w:val="00225374"/>
    <w:rsid w:val="00230731"/>
    <w:rsid w:val="0023165A"/>
    <w:rsid w:val="00232CB3"/>
    <w:rsid w:val="00233EC1"/>
    <w:rsid w:val="00236659"/>
    <w:rsid w:val="00236E7B"/>
    <w:rsid w:val="00242021"/>
    <w:rsid w:val="0024486D"/>
    <w:rsid w:val="002448CC"/>
    <w:rsid w:val="00251B80"/>
    <w:rsid w:val="002571DD"/>
    <w:rsid w:val="00260B0A"/>
    <w:rsid w:val="00262E44"/>
    <w:rsid w:val="002642F9"/>
    <w:rsid w:val="00273F39"/>
    <w:rsid w:val="00275704"/>
    <w:rsid w:val="00280DBB"/>
    <w:rsid w:val="00282063"/>
    <w:rsid w:val="00282653"/>
    <w:rsid w:val="00284A7F"/>
    <w:rsid w:val="00286812"/>
    <w:rsid w:val="00286DDF"/>
    <w:rsid w:val="00287875"/>
    <w:rsid w:val="002916B9"/>
    <w:rsid w:val="0029201F"/>
    <w:rsid w:val="00292854"/>
    <w:rsid w:val="0029413C"/>
    <w:rsid w:val="002A22FB"/>
    <w:rsid w:val="002A48D5"/>
    <w:rsid w:val="002A7117"/>
    <w:rsid w:val="002B0534"/>
    <w:rsid w:val="002B6828"/>
    <w:rsid w:val="002B7335"/>
    <w:rsid w:val="002C0ABB"/>
    <w:rsid w:val="002C3229"/>
    <w:rsid w:val="002C6B24"/>
    <w:rsid w:val="002D2514"/>
    <w:rsid w:val="002D4248"/>
    <w:rsid w:val="002D4962"/>
    <w:rsid w:val="002D5F34"/>
    <w:rsid w:val="002D6E5A"/>
    <w:rsid w:val="002E111D"/>
    <w:rsid w:val="002E48DE"/>
    <w:rsid w:val="002E780C"/>
    <w:rsid w:val="002E7BC0"/>
    <w:rsid w:val="002F1B5E"/>
    <w:rsid w:val="002F2556"/>
    <w:rsid w:val="002F4D03"/>
    <w:rsid w:val="00301764"/>
    <w:rsid w:val="003024CC"/>
    <w:rsid w:val="003027AD"/>
    <w:rsid w:val="00303267"/>
    <w:rsid w:val="00310659"/>
    <w:rsid w:val="003140AD"/>
    <w:rsid w:val="003140E5"/>
    <w:rsid w:val="00317060"/>
    <w:rsid w:val="00324BD1"/>
    <w:rsid w:val="00325A66"/>
    <w:rsid w:val="00330387"/>
    <w:rsid w:val="00330EB1"/>
    <w:rsid w:val="003331F6"/>
    <w:rsid w:val="0033733E"/>
    <w:rsid w:val="003379E9"/>
    <w:rsid w:val="00343450"/>
    <w:rsid w:val="0034459A"/>
    <w:rsid w:val="00345F50"/>
    <w:rsid w:val="00346C70"/>
    <w:rsid w:val="00347637"/>
    <w:rsid w:val="003504CB"/>
    <w:rsid w:val="0035696D"/>
    <w:rsid w:val="0036272D"/>
    <w:rsid w:val="00362B5E"/>
    <w:rsid w:val="00362F0E"/>
    <w:rsid w:val="003663EB"/>
    <w:rsid w:val="0037337B"/>
    <w:rsid w:val="003767FD"/>
    <w:rsid w:val="00377383"/>
    <w:rsid w:val="00380BE8"/>
    <w:rsid w:val="003840F6"/>
    <w:rsid w:val="00384736"/>
    <w:rsid w:val="00384973"/>
    <w:rsid w:val="00384E5F"/>
    <w:rsid w:val="0038520E"/>
    <w:rsid w:val="00385D6C"/>
    <w:rsid w:val="00391F25"/>
    <w:rsid w:val="003939CE"/>
    <w:rsid w:val="00395DBF"/>
    <w:rsid w:val="003A3AE2"/>
    <w:rsid w:val="003A4AA2"/>
    <w:rsid w:val="003A54CD"/>
    <w:rsid w:val="003A6CC7"/>
    <w:rsid w:val="003B025B"/>
    <w:rsid w:val="003C32B7"/>
    <w:rsid w:val="003C6EAE"/>
    <w:rsid w:val="003C78C7"/>
    <w:rsid w:val="003D0A5E"/>
    <w:rsid w:val="003D2654"/>
    <w:rsid w:val="003E0734"/>
    <w:rsid w:val="003E0EBF"/>
    <w:rsid w:val="003E5DF2"/>
    <w:rsid w:val="003E7FCB"/>
    <w:rsid w:val="003F2CAB"/>
    <w:rsid w:val="003F676D"/>
    <w:rsid w:val="003F7FDF"/>
    <w:rsid w:val="004004D6"/>
    <w:rsid w:val="00411773"/>
    <w:rsid w:val="0041273D"/>
    <w:rsid w:val="0041391E"/>
    <w:rsid w:val="00413C3D"/>
    <w:rsid w:val="00417D23"/>
    <w:rsid w:val="0042192D"/>
    <w:rsid w:val="00431F20"/>
    <w:rsid w:val="00432E6B"/>
    <w:rsid w:val="00433912"/>
    <w:rsid w:val="0043746F"/>
    <w:rsid w:val="004433A6"/>
    <w:rsid w:val="00443BBB"/>
    <w:rsid w:val="00451878"/>
    <w:rsid w:val="00456CCA"/>
    <w:rsid w:val="00460260"/>
    <w:rsid w:val="00461F90"/>
    <w:rsid w:val="00461FE4"/>
    <w:rsid w:val="00463FE1"/>
    <w:rsid w:val="004649A9"/>
    <w:rsid w:val="00465827"/>
    <w:rsid w:val="00466D4E"/>
    <w:rsid w:val="00473264"/>
    <w:rsid w:val="004764D4"/>
    <w:rsid w:val="0048122D"/>
    <w:rsid w:val="00486247"/>
    <w:rsid w:val="0048701C"/>
    <w:rsid w:val="00490F15"/>
    <w:rsid w:val="004910ED"/>
    <w:rsid w:val="0049464F"/>
    <w:rsid w:val="00494C03"/>
    <w:rsid w:val="00495CE7"/>
    <w:rsid w:val="004A480E"/>
    <w:rsid w:val="004B165D"/>
    <w:rsid w:val="004B47EF"/>
    <w:rsid w:val="004B4B77"/>
    <w:rsid w:val="004C1CBB"/>
    <w:rsid w:val="004C2B63"/>
    <w:rsid w:val="004C402D"/>
    <w:rsid w:val="004C706D"/>
    <w:rsid w:val="004D0562"/>
    <w:rsid w:val="004D5434"/>
    <w:rsid w:val="004E6126"/>
    <w:rsid w:val="004F1527"/>
    <w:rsid w:val="004F1539"/>
    <w:rsid w:val="004F43B2"/>
    <w:rsid w:val="004F5BE3"/>
    <w:rsid w:val="004F7603"/>
    <w:rsid w:val="005032C4"/>
    <w:rsid w:val="00504792"/>
    <w:rsid w:val="00504B95"/>
    <w:rsid w:val="0051295B"/>
    <w:rsid w:val="00514A5E"/>
    <w:rsid w:val="00520F7B"/>
    <w:rsid w:val="005220FD"/>
    <w:rsid w:val="00522DDA"/>
    <w:rsid w:val="005305FF"/>
    <w:rsid w:val="00542846"/>
    <w:rsid w:val="005436E3"/>
    <w:rsid w:val="00544C11"/>
    <w:rsid w:val="00547C66"/>
    <w:rsid w:val="00550AD6"/>
    <w:rsid w:val="0055392E"/>
    <w:rsid w:val="00556006"/>
    <w:rsid w:val="00557F1E"/>
    <w:rsid w:val="00572648"/>
    <w:rsid w:val="00575D08"/>
    <w:rsid w:val="00575D69"/>
    <w:rsid w:val="00576B4C"/>
    <w:rsid w:val="0057796D"/>
    <w:rsid w:val="0058183B"/>
    <w:rsid w:val="005820DB"/>
    <w:rsid w:val="0058563E"/>
    <w:rsid w:val="00585891"/>
    <w:rsid w:val="00586427"/>
    <w:rsid w:val="00586B2F"/>
    <w:rsid w:val="00587871"/>
    <w:rsid w:val="00590B37"/>
    <w:rsid w:val="00597274"/>
    <w:rsid w:val="005A12AE"/>
    <w:rsid w:val="005A4181"/>
    <w:rsid w:val="005B0BA6"/>
    <w:rsid w:val="005B2A67"/>
    <w:rsid w:val="005C3E45"/>
    <w:rsid w:val="005C5276"/>
    <w:rsid w:val="005C74E6"/>
    <w:rsid w:val="005C7DFE"/>
    <w:rsid w:val="005E12C9"/>
    <w:rsid w:val="005E35F2"/>
    <w:rsid w:val="005F0C55"/>
    <w:rsid w:val="005F0EBA"/>
    <w:rsid w:val="005F383D"/>
    <w:rsid w:val="005F6D13"/>
    <w:rsid w:val="00602E74"/>
    <w:rsid w:val="00604F69"/>
    <w:rsid w:val="006053F0"/>
    <w:rsid w:val="006072B6"/>
    <w:rsid w:val="006112E1"/>
    <w:rsid w:val="00612928"/>
    <w:rsid w:val="00616436"/>
    <w:rsid w:val="00621196"/>
    <w:rsid w:val="0062302E"/>
    <w:rsid w:val="00623322"/>
    <w:rsid w:val="00623FDE"/>
    <w:rsid w:val="006247F4"/>
    <w:rsid w:val="0062569A"/>
    <w:rsid w:val="00634AF6"/>
    <w:rsid w:val="006362FB"/>
    <w:rsid w:val="0063689F"/>
    <w:rsid w:val="0064058C"/>
    <w:rsid w:val="00643306"/>
    <w:rsid w:val="00646D0B"/>
    <w:rsid w:val="0064726E"/>
    <w:rsid w:val="006572C1"/>
    <w:rsid w:val="006611FC"/>
    <w:rsid w:val="00661A0C"/>
    <w:rsid w:val="006703EA"/>
    <w:rsid w:val="006724E3"/>
    <w:rsid w:val="00672648"/>
    <w:rsid w:val="00673C2C"/>
    <w:rsid w:val="00686E77"/>
    <w:rsid w:val="00694226"/>
    <w:rsid w:val="006A0426"/>
    <w:rsid w:val="006A0BAE"/>
    <w:rsid w:val="006A202D"/>
    <w:rsid w:val="006B1429"/>
    <w:rsid w:val="006B15C4"/>
    <w:rsid w:val="006B5F92"/>
    <w:rsid w:val="006C03B1"/>
    <w:rsid w:val="006C3365"/>
    <w:rsid w:val="006C342C"/>
    <w:rsid w:val="006C5175"/>
    <w:rsid w:val="006D0BA3"/>
    <w:rsid w:val="006D3052"/>
    <w:rsid w:val="006D40D1"/>
    <w:rsid w:val="006D757A"/>
    <w:rsid w:val="006E0453"/>
    <w:rsid w:val="006E6604"/>
    <w:rsid w:val="006F4860"/>
    <w:rsid w:val="00701CAB"/>
    <w:rsid w:val="00707711"/>
    <w:rsid w:val="00707EC2"/>
    <w:rsid w:val="00707F9B"/>
    <w:rsid w:val="00711C6E"/>
    <w:rsid w:val="00715AE3"/>
    <w:rsid w:val="00721023"/>
    <w:rsid w:val="00724880"/>
    <w:rsid w:val="0072536B"/>
    <w:rsid w:val="00725F3F"/>
    <w:rsid w:val="0073102C"/>
    <w:rsid w:val="00732A0A"/>
    <w:rsid w:val="00733AC7"/>
    <w:rsid w:val="0073566E"/>
    <w:rsid w:val="00751BB8"/>
    <w:rsid w:val="007524B0"/>
    <w:rsid w:val="00753B13"/>
    <w:rsid w:val="00756849"/>
    <w:rsid w:val="00761C1D"/>
    <w:rsid w:val="0076409B"/>
    <w:rsid w:val="0076414F"/>
    <w:rsid w:val="00766AA4"/>
    <w:rsid w:val="00767E3C"/>
    <w:rsid w:val="0077407B"/>
    <w:rsid w:val="007744F9"/>
    <w:rsid w:val="00783808"/>
    <w:rsid w:val="00785E7B"/>
    <w:rsid w:val="00790B70"/>
    <w:rsid w:val="00794AA0"/>
    <w:rsid w:val="00797B23"/>
    <w:rsid w:val="007B1BAC"/>
    <w:rsid w:val="007B393B"/>
    <w:rsid w:val="007B4477"/>
    <w:rsid w:val="007B4DF9"/>
    <w:rsid w:val="007B4E09"/>
    <w:rsid w:val="007B51C8"/>
    <w:rsid w:val="007B5C2E"/>
    <w:rsid w:val="007C26FA"/>
    <w:rsid w:val="007C3052"/>
    <w:rsid w:val="007D3730"/>
    <w:rsid w:val="007D3924"/>
    <w:rsid w:val="007D51F7"/>
    <w:rsid w:val="007D66C7"/>
    <w:rsid w:val="007E0F2C"/>
    <w:rsid w:val="007E2688"/>
    <w:rsid w:val="007E53EE"/>
    <w:rsid w:val="007E69F8"/>
    <w:rsid w:val="007F10ED"/>
    <w:rsid w:val="007F250A"/>
    <w:rsid w:val="007F2B58"/>
    <w:rsid w:val="007F367A"/>
    <w:rsid w:val="007F7140"/>
    <w:rsid w:val="00800A0F"/>
    <w:rsid w:val="00806652"/>
    <w:rsid w:val="00807EB6"/>
    <w:rsid w:val="0081442E"/>
    <w:rsid w:val="00816E42"/>
    <w:rsid w:val="00820C21"/>
    <w:rsid w:val="00822531"/>
    <w:rsid w:val="00825500"/>
    <w:rsid w:val="00826440"/>
    <w:rsid w:val="0082719F"/>
    <w:rsid w:val="008279DC"/>
    <w:rsid w:val="008303ED"/>
    <w:rsid w:val="00833A0C"/>
    <w:rsid w:val="0084322B"/>
    <w:rsid w:val="008465EC"/>
    <w:rsid w:val="00850588"/>
    <w:rsid w:val="008515E0"/>
    <w:rsid w:val="00854BCB"/>
    <w:rsid w:val="008556DA"/>
    <w:rsid w:val="008612E4"/>
    <w:rsid w:val="00865B9F"/>
    <w:rsid w:val="00870BAE"/>
    <w:rsid w:val="00873824"/>
    <w:rsid w:val="00873B04"/>
    <w:rsid w:val="00875532"/>
    <w:rsid w:val="00876158"/>
    <w:rsid w:val="00882113"/>
    <w:rsid w:val="00883A75"/>
    <w:rsid w:val="00885562"/>
    <w:rsid w:val="00891B3D"/>
    <w:rsid w:val="00897D2E"/>
    <w:rsid w:val="008A182E"/>
    <w:rsid w:val="008A5F80"/>
    <w:rsid w:val="008A6094"/>
    <w:rsid w:val="008B3957"/>
    <w:rsid w:val="008B436B"/>
    <w:rsid w:val="008C15EC"/>
    <w:rsid w:val="008D0041"/>
    <w:rsid w:val="008D0E1E"/>
    <w:rsid w:val="008D2C1A"/>
    <w:rsid w:val="008D2CDC"/>
    <w:rsid w:val="008D6E84"/>
    <w:rsid w:val="008F49C5"/>
    <w:rsid w:val="008F4BAE"/>
    <w:rsid w:val="008F5307"/>
    <w:rsid w:val="008F753B"/>
    <w:rsid w:val="00902910"/>
    <w:rsid w:val="00904681"/>
    <w:rsid w:val="00906465"/>
    <w:rsid w:val="009101A4"/>
    <w:rsid w:val="00912889"/>
    <w:rsid w:val="0091514D"/>
    <w:rsid w:val="00915F83"/>
    <w:rsid w:val="009168D4"/>
    <w:rsid w:val="00925633"/>
    <w:rsid w:val="00931B56"/>
    <w:rsid w:val="00933754"/>
    <w:rsid w:val="009379AE"/>
    <w:rsid w:val="0094296B"/>
    <w:rsid w:val="00945FAC"/>
    <w:rsid w:val="00950EC6"/>
    <w:rsid w:val="00951D11"/>
    <w:rsid w:val="00954697"/>
    <w:rsid w:val="00957625"/>
    <w:rsid w:val="00961781"/>
    <w:rsid w:val="00965BF7"/>
    <w:rsid w:val="0097559E"/>
    <w:rsid w:val="0098317D"/>
    <w:rsid w:val="00983E64"/>
    <w:rsid w:val="00984472"/>
    <w:rsid w:val="00985D40"/>
    <w:rsid w:val="00995EF1"/>
    <w:rsid w:val="009969BD"/>
    <w:rsid w:val="009A1413"/>
    <w:rsid w:val="009A40AE"/>
    <w:rsid w:val="009A6EA4"/>
    <w:rsid w:val="009B24AA"/>
    <w:rsid w:val="009B6970"/>
    <w:rsid w:val="009D7EC0"/>
    <w:rsid w:val="009D7F34"/>
    <w:rsid w:val="009E1B0B"/>
    <w:rsid w:val="009E3427"/>
    <w:rsid w:val="009E670A"/>
    <w:rsid w:val="009F5E93"/>
    <w:rsid w:val="009F6BEF"/>
    <w:rsid w:val="009F7240"/>
    <w:rsid w:val="00A03186"/>
    <w:rsid w:val="00A04063"/>
    <w:rsid w:val="00A06CE6"/>
    <w:rsid w:val="00A07A6F"/>
    <w:rsid w:val="00A10CAA"/>
    <w:rsid w:val="00A10E2E"/>
    <w:rsid w:val="00A22D12"/>
    <w:rsid w:val="00A3139C"/>
    <w:rsid w:val="00A3418F"/>
    <w:rsid w:val="00A40A4C"/>
    <w:rsid w:val="00A43044"/>
    <w:rsid w:val="00A53297"/>
    <w:rsid w:val="00A557BE"/>
    <w:rsid w:val="00A62B3E"/>
    <w:rsid w:val="00A651BB"/>
    <w:rsid w:val="00A730B9"/>
    <w:rsid w:val="00A736CC"/>
    <w:rsid w:val="00A835A0"/>
    <w:rsid w:val="00A91376"/>
    <w:rsid w:val="00A9509D"/>
    <w:rsid w:val="00A96777"/>
    <w:rsid w:val="00A96E8C"/>
    <w:rsid w:val="00AA70CC"/>
    <w:rsid w:val="00AA7561"/>
    <w:rsid w:val="00AB0DAF"/>
    <w:rsid w:val="00AB32F0"/>
    <w:rsid w:val="00AB3975"/>
    <w:rsid w:val="00AB3DFD"/>
    <w:rsid w:val="00AB737C"/>
    <w:rsid w:val="00AC1841"/>
    <w:rsid w:val="00AC1B58"/>
    <w:rsid w:val="00AC7470"/>
    <w:rsid w:val="00AD06E1"/>
    <w:rsid w:val="00AD0A2A"/>
    <w:rsid w:val="00AD18A0"/>
    <w:rsid w:val="00AD1F9E"/>
    <w:rsid w:val="00AD2F4B"/>
    <w:rsid w:val="00AD6264"/>
    <w:rsid w:val="00AE1B12"/>
    <w:rsid w:val="00AF42EE"/>
    <w:rsid w:val="00AF6827"/>
    <w:rsid w:val="00AF6E6B"/>
    <w:rsid w:val="00B040BF"/>
    <w:rsid w:val="00B1176C"/>
    <w:rsid w:val="00B1593B"/>
    <w:rsid w:val="00B22223"/>
    <w:rsid w:val="00B24119"/>
    <w:rsid w:val="00B24E93"/>
    <w:rsid w:val="00B301E1"/>
    <w:rsid w:val="00B31482"/>
    <w:rsid w:val="00B35A57"/>
    <w:rsid w:val="00B41058"/>
    <w:rsid w:val="00B54290"/>
    <w:rsid w:val="00B61082"/>
    <w:rsid w:val="00B62CB2"/>
    <w:rsid w:val="00B641AD"/>
    <w:rsid w:val="00B65B58"/>
    <w:rsid w:val="00B765C3"/>
    <w:rsid w:val="00B8069E"/>
    <w:rsid w:val="00B85621"/>
    <w:rsid w:val="00B8626B"/>
    <w:rsid w:val="00B920D8"/>
    <w:rsid w:val="00B93336"/>
    <w:rsid w:val="00B934BB"/>
    <w:rsid w:val="00B945C7"/>
    <w:rsid w:val="00B94672"/>
    <w:rsid w:val="00B94959"/>
    <w:rsid w:val="00B97B3C"/>
    <w:rsid w:val="00BA06C2"/>
    <w:rsid w:val="00BA0BF0"/>
    <w:rsid w:val="00BA17D4"/>
    <w:rsid w:val="00BA525D"/>
    <w:rsid w:val="00BA6347"/>
    <w:rsid w:val="00BB2A30"/>
    <w:rsid w:val="00BB3103"/>
    <w:rsid w:val="00BB6D80"/>
    <w:rsid w:val="00BC2DC6"/>
    <w:rsid w:val="00BC40FE"/>
    <w:rsid w:val="00BE2D40"/>
    <w:rsid w:val="00BE30CC"/>
    <w:rsid w:val="00BE6F65"/>
    <w:rsid w:val="00BE7BB8"/>
    <w:rsid w:val="00BF03A4"/>
    <w:rsid w:val="00BF1827"/>
    <w:rsid w:val="00BF31A8"/>
    <w:rsid w:val="00BF4927"/>
    <w:rsid w:val="00BF69CA"/>
    <w:rsid w:val="00BF6EED"/>
    <w:rsid w:val="00C01C55"/>
    <w:rsid w:val="00C14D54"/>
    <w:rsid w:val="00C1556A"/>
    <w:rsid w:val="00C175F5"/>
    <w:rsid w:val="00C21656"/>
    <w:rsid w:val="00C22EA3"/>
    <w:rsid w:val="00C34050"/>
    <w:rsid w:val="00C36B1D"/>
    <w:rsid w:val="00C418E4"/>
    <w:rsid w:val="00C547AC"/>
    <w:rsid w:val="00C54C09"/>
    <w:rsid w:val="00C54E1A"/>
    <w:rsid w:val="00C57B08"/>
    <w:rsid w:val="00C61E51"/>
    <w:rsid w:val="00C720BB"/>
    <w:rsid w:val="00C8029D"/>
    <w:rsid w:val="00C92320"/>
    <w:rsid w:val="00C926E0"/>
    <w:rsid w:val="00CA079C"/>
    <w:rsid w:val="00CB2819"/>
    <w:rsid w:val="00CB5AD6"/>
    <w:rsid w:val="00CC0F02"/>
    <w:rsid w:val="00CC2496"/>
    <w:rsid w:val="00CC3967"/>
    <w:rsid w:val="00CC3CB7"/>
    <w:rsid w:val="00CC4C45"/>
    <w:rsid w:val="00CC6857"/>
    <w:rsid w:val="00CD2EF0"/>
    <w:rsid w:val="00CD563B"/>
    <w:rsid w:val="00CE31BE"/>
    <w:rsid w:val="00CE343A"/>
    <w:rsid w:val="00CE48F2"/>
    <w:rsid w:val="00CE4F3C"/>
    <w:rsid w:val="00CE60B2"/>
    <w:rsid w:val="00CE6BB2"/>
    <w:rsid w:val="00CE7FC1"/>
    <w:rsid w:val="00CF02A8"/>
    <w:rsid w:val="00CF09FC"/>
    <w:rsid w:val="00D03457"/>
    <w:rsid w:val="00D04AC9"/>
    <w:rsid w:val="00D16E0F"/>
    <w:rsid w:val="00D1714C"/>
    <w:rsid w:val="00D17C3A"/>
    <w:rsid w:val="00D23AA0"/>
    <w:rsid w:val="00D36839"/>
    <w:rsid w:val="00D36973"/>
    <w:rsid w:val="00D428D2"/>
    <w:rsid w:val="00D51B8E"/>
    <w:rsid w:val="00D52133"/>
    <w:rsid w:val="00D55D18"/>
    <w:rsid w:val="00D65458"/>
    <w:rsid w:val="00D666B0"/>
    <w:rsid w:val="00D7157F"/>
    <w:rsid w:val="00D725FE"/>
    <w:rsid w:val="00D74F51"/>
    <w:rsid w:val="00D81C00"/>
    <w:rsid w:val="00D82AA5"/>
    <w:rsid w:val="00D83B43"/>
    <w:rsid w:val="00D85B6D"/>
    <w:rsid w:val="00D92867"/>
    <w:rsid w:val="00D9378D"/>
    <w:rsid w:val="00D976C7"/>
    <w:rsid w:val="00DA04CD"/>
    <w:rsid w:val="00DA1830"/>
    <w:rsid w:val="00DA1F3B"/>
    <w:rsid w:val="00DA6BAD"/>
    <w:rsid w:val="00DA6C21"/>
    <w:rsid w:val="00DA7A90"/>
    <w:rsid w:val="00DB0EA2"/>
    <w:rsid w:val="00DB31DC"/>
    <w:rsid w:val="00DC3862"/>
    <w:rsid w:val="00DC53A1"/>
    <w:rsid w:val="00DD16A3"/>
    <w:rsid w:val="00DD1CD0"/>
    <w:rsid w:val="00DD2364"/>
    <w:rsid w:val="00DD2FA9"/>
    <w:rsid w:val="00DE53AA"/>
    <w:rsid w:val="00DE70B5"/>
    <w:rsid w:val="00DF54CB"/>
    <w:rsid w:val="00DF559C"/>
    <w:rsid w:val="00DF7F0E"/>
    <w:rsid w:val="00E000C0"/>
    <w:rsid w:val="00E01B49"/>
    <w:rsid w:val="00E024EA"/>
    <w:rsid w:val="00E02F77"/>
    <w:rsid w:val="00E045F7"/>
    <w:rsid w:val="00E0604C"/>
    <w:rsid w:val="00E0614F"/>
    <w:rsid w:val="00E064B5"/>
    <w:rsid w:val="00E0671A"/>
    <w:rsid w:val="00E06F24"/>
    <w:rsid w:val="00E0770D"/>
    <w:rsid w:val="00E10992"/>
    <w:rsid w:val="00E11246"/>
    <w:rsid w:val="00E171F2"/>
    <w:rsid w:val="00E21924"/>
    <w:rsid w:val="00E22673"/>
    <w:rsid w:val="00E2340A"/>
    <w:rsid w:val="00E255AA"/>
    <w:rsid w:val="00E37DFF"/>
    <w:rsid w:val="00E463C5"/>
    <w:rsid w:val="00E47D35"/>
    <w:rsid w:val="00E53830"/>
    <w:rsid w:val="00E63E3F"/>
    <w:rsid w:val="00E66F4E"/>
    <w:rsid w:val="00E72DD0"/>
    <w:rsid w:val="00E74E6A"/>
    <w:rsid w:val="00E80A07"/>
    <w:rsid w:val="00E825B2"/>
    <w:rsid w:val="00E92763"/>
    <w:rsid w:val="00E94488"/>
    <w:rsid w:val="00E94784"/>
    <w:rsid w:val="00EB0F49"/>
    <w:rsid w:val="00EB2357"/>
    <w:rsid w:val="00EB2469"/>
    <w:rsid w:val="00EB4A84"/>
    <w:rsid w:val="00EB4AEE"/>
    <w:rsid w:val="00EB7D2E"/>
    <w:rsid w:val="00EC27B4"/>
    <w:rsid w:val="00EC4FF4"/>
    <w:rsid w:val="00EC6C91"/>
    <w:rsid w:val="00ED63B1"/>
    <w:rsid w:val="00EE03EC"/>
    <w:rsid w:val="00EE0787"/>
    <w:rsid w:val="00EE3FC0"/>
    <w:rsid w:val="00EF231E"/>
    <w:rsid w:val="00EF3379"/>
    <w:rsid w:val="00EF58A6"/>
    <w:rsid w:val="00EF5C0A"/>
    <w:rsid w:val="00F00F1F"/>
    <w:rsid w:val="00F04E35"/>
    <w:rsid w:val="00F126BD"/>
    <w:rsid w:val="00F1425A"/>
    <w:rsid w:val="00F15EB4"/>
    <w:rsid w:val="00F16719"/>
    <w:rsid w:val="00F16A35"/>
    <w:rsid w:val="00F17AFB"/>
    <w:rsid w:val="00F216BB"/>
    <w:rsid w:val="00F2394D"/>
    <w:rsid w:val="00F24773"/>
    <w:rsid w:val="00F316FB"/>
    <w:rsid w:val="00F329FC"/>
    <w:rsid w:val="00F36D65"/>
    <w:rsid w:val="00F4107C"/>
    <w:rsid w:val="00F52D91"/>
    <w:rsid w:val="00F55224"/>
    <w:rsid w:val="00F57156"/>
    <w:rsid w:val="00F6628C"/>
    <w:rsid w:val="00F6724D"/>
    <w:rsid w:val="00F751E3"/>
    <w:rsid w:val="00F75617"/>
    <w:rsid w:val="00F84511"/>
    <w:rsid w:val="00F915EF"/>
    <w:rsid w:val="00F94CDD"/>
    <w:rsid w:val="00FA3C04"/>
    <w:rsid w:val="00FA49D9"/>
    <w:rsid w:val="00FA70F5"/>
    <w:rsid w:val="00FB22CB"/>
    <w:rsid w:val="00FB4662"/>
    <w:rsid w:val="00FB6B59"/>
    <w:rsid w:val="00FB737F"/>
    <w:rsid w:val="00FC5867"/>
    <w:rsid w:val="00FC7AD7"/>
    <w:rsid w:val="00FD062A"/>
    <w:rsid w:val="00FD081C"/>
    <w:rsid w:val="00FD4A1D"/>
    <w:rsid w:val="00FD525A"/>
    <w:rsid w:val="00FD56C5"/>
    <w:rsid w:val="00FD7678"/>
    <w:rsid w:val="00FE34EF"/>
    <w:rsid w:val="00FE3A10"/>
    <w:rsid w:val="00FE44D6"/>
    <w:rsid w:val="00FE6A47"/>
    <w:rsid w:val="00FF1191"/>
    <w:rsid w:val="00FF2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71CE5"/>
  <w15:docId w15:val="{1AD432D2-35F6-FE4B-B45F-B309E24D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5A"/>
  </w:style>
  <w:style w:type="paragraph" w:styleId="Heading1">
    <w:name w:val="heading 1"/>
    <w:uiPriority w:val="9"/>
    <w:qFormat/>
    <w:rsid w:val="006D3052"/>
    <w:pPr>
      <w:numPr>
        <w:numId w:val="4"/>
      </w:numPr>
      <w:spacing w:before="120" w:after="120"/>
      <w:ind w:left="714" w:hanging="357"/>
      <w:outlineLvl w:val="0"/>
    </w:pPr>
    <w:rPr>
      <w:b/>
      <w:bCs/>
      <w:caps/>
      <w:color w:val="000000" w:themeColor="text1"/>
      <w:szCs w:val="28"/>
    </w:rPr>
  </w:style>
  <w:style w:type="paragraph" w:styleId="Heading2">
    <w:name w:val="heading 2"/>
    <w:autoRedefine/>
    <w:uiPriority w:val="9"/>
    <w:unhideWhenUsed/>
    <w:qFormat/>
    <w:rsid w:val="00385D6C"/>
    <w:pPr>
      <w:numPr>
        <w:numId w:val="5"/>
      </w:numPr>
      <w:spacing w:before="120" w:after="120" w:line="276" w:lineRule="auto"/>
      <w:ind w:left="425" w:hanging="425"/>
      <w:outlineLvl w:val="1"/>
    </w:pPr>
    <w:rPr>
      <w:b/>
      <w:bCs/>
      <w:color w:val="000000" w:themeColor="text1"/>
      <w:szCs w:val="24"/>
    </w:rPr>
  </w:style>
  <w:style w:type="paragraph" w:styleId="Heading3">
    <w:name w:val="heading 3"/>
    <w:autoRedefine/>
    <w:uiPriority w:val="9"/>
    <w:unhideWhenUsed/>
    <w:qFormat/>
    <w:rsid w:val="00385D6C"/>
    <w:pPr>
      <w:numPr>
        <w:numId w:val="6"/>
      </w:numPr>
      <w:spacing w:before="120" w:after="120"/>
      <w:ind w:left="425" w:hanging="425"/>
      <w:outlineLvl w:val="2"/>
    </w:pPr>
    <w:rPr>
      <w:b/>
      <w:color w:val="000000" w:themeColor="text1"/>
      <w:szCs w:val="24"/>
    </w:rPr>
  </w:style>
  <w:style w:type="paragraph" w:styleId="Heading4">
    <w:name w:val="heading 4"/>
    <w:autoRedefine/>
    <w:uiPriority w:val="9"/>
    <w:unhideWhenUsed/>
    <w:qFormat/>
    <w:rsid w:val="0042192D"/>
    <w:pPr>
      <w:numPr>
        <w:numId w:val="7"/>
      </w:numPr>
      <w:spacing w:before="120" w:after="120"/>
      <w:ind w:left="425" w:hanging="425"/>
      <w:outlineLvl w:val="3"/>
    </w:pPr>
    <w:rPr>
      <w:b/>
      <w:iCs/>
      <w:color w:val="000000" w:themeColor="text1"/>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F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4784"/>
    <w:rPr>
      <w:color w:val="605E5C"/>
      <w:shd w:val="clear" w:color="auto" w:fill="E1DFDD"/>
    </w:rPr>
  </w:style>
  <w:style w:type="paragraph" w:styleId="Bibliography">
    <w:name w:val="Bibliography"/>
    <w:basedOn w:val="Normal"/>
    <w:next w:val="Normal"/>
    <w:uiPriority w:val="37"/>
    <w:unhideWhenUsed/>
    <w:rsid w:val="00AD6264"/>
    <w:pPr>
      <w:tabs>
        <w:tab w:val="left" w:pos="504"/>
      </w:tabs>
      <w:ind w:left="504" w:hanging="504"/>
    </w:pPr>
  </w:style>
  <w:style w:type="character" w:customStyle="1" w:styleId="TitleChar">
    <w:name w:val="Title Char"/>
    <w:basedOn w:val="DefaultParagraphFont"/>
    <w:link w:val="Title"/>
    <w:uiPriority w:val="10"/>
    <w:rsid w:val="0073566E"/>
    <w:rPr>
      <w:sz w:val="56"/>
      <w:szCs w:val="56"/>
    </w:rPr>
  </w:style>
  <w:style w:type="paragraph" w:styleId="Header">
    <w:name w:val="header"/>
    <w:basedOn w:val="Normal"/>
    <w:link w:val="HeaderChar"/>
    <w:uiPriority w:val="99"/>
    <w:unhideWhenUsed/>
    <w:rsid w:val="00EF231E"/>
    <w:pPr>
      <w:tabs>
        <w:tab w:val="center" w:pos="4680"/>
        <w:tab w:val="right" w:pos="9360"/>
      </w:tabs>
    </w:pPr>
  </w:style>
  <w:style w:type="character" w:customStyle="1" w:styleId="HeaderChar">
    <w:name w:val="Header Char"/>
    <w:basedOn w:val="DefaultParagraphFont"/>
    <w:link w:val="Header"/>
    <w:uiPriority w:val="99"/>
    <w:rsid w:val="00EF231E"/>
  </w:style>
  <w:style w:type="paragraph" w:styleId="Footer">
    <w:name w:val="footer"/>
    <w:basedOn w:val="Normal"/>
    <w:link w:val="FooterChar"/>
    <w:uiPriority w:val="99"/>
    <w:unhideWhenUsed/>
    <w:rsid w:val="00EF231E"/>
    <w:pPr>
      <w:tabs>
        <w:tab w:val="center" w:pos="4680"/>
        <w:tab w:val="right" w:pos="9360"/>
      </w:tabs>
    </w:pPr>
  </w:style>
  <w:style w:type="character" w:customStyle="1" w:styleId="FooterChar">
    <w:name w:val="Footer Char"/>
    <w:basedOn w:val="DefaultParagraphFont"/>
    <w:link w:val="Footer"/>
    <w:uiPriority w:val="99"/>
    <w:rsid w:val="00EF231E"/>
  </w:style>
  <w:style w:type="character" w:styleId="Emphasis">
    <w:name w:val="Emphasis"/>
    <w:basedOn w:val="DefaultParagraphFont"/>
    <w:uiPriority w:val="20"/>
    <w:qFormat/>
    <w:rsid w:val="003F2C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969D9-0E10-4F78-8C5C-517967F0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4706</Words>
  <Characters>26827</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PC New 16</cp:lastModifiedBy>
  <cp:revision>17</cp:revision>
  <dcterms:created xsi:type="dcterms:W3CDTF">2026-05-17T18:27:00Z</dcterms:created>
  <dcterms:modified xsi:type="dcterms:W3CDTF">2026-06-01T07:49:00Z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id="bNAtGavH"/&gt;&lt;style id="http://www.zotero.org/styles/chemistry-of-materials" hasBibliography="1" bibliographyStyleHasBeenSet="1"/&gt;&lt;prefs&gt;&lt;pref name="fieldType" value="Field"/&gt;&lt;/prefs&gt;&lt;/data&gt;</vt:lpwstr>
  </property>
</Properties>
</file>