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086C4" w14:textId="77777777" w:rsidR="00754C9A" w:rsidRDefault="00754C9A" w:rsidP="00441B6F">
      <w:pPr>
        <w:pStyle w:val="Title"/>
        <w:spacing w:after="0"/>
        <w:jc w:val="both"/>
        <w:rPr>
          <w:rFonts w:ascii="Arial" w:hAnsi="Arial" w:cs="Arial"/>
        </w:rPr>
      </w:pPr>
    </w:p>
    <w:p w14:paraId="5C60AD37" w14:textId="54B7CD6E" w:rsidR="00A258C3" w:rsidRPr="00790ADA" w:rsidRDefault="00633BC8" w:rsidP="00633BC8">
      <w:pPr>
        <w:pStyle w:val="Author"/>
        <w:spacing w:line="240" w:lineRule="auto"/>
        <w:jc w:val="center"/>
        <w:rPr>
          <w:rFonts w:ascii="Arial" w:hAnsi="Arial" w:cs="Arial"/>
          <w:sz w:val="36"/>
        </w:rPr>
      </w:pPr>
      <w:r w:rsidRPr="00633BC8">
        <w:rPr>
          <w:rFonts w:ascii="Arial" w:hAnsi="Arial" w:cs="Arial"/>
          <w:bCs/>
          <w:iCs/>
          <w:kern w:val="28"/>
          <w:sz w:val="36"/>
          <w:highlight w:val="yellow"/>
        </w:rPr>
        <w:t>ILLEGAL MINING AND THE RISKS ASSOCIATED WITH FISH CONSUMPTION</w:t>
      </w:r>
    </w:p>
    <w:p w14:paraId="4DBD6CDF" w14:textId="77777777" w:rsidR="00790ADA" w:rsidRDefault="00790ADA" w:rsidP="00441B6F">
      <w:pPr>
        <w:pStyle w:val="Affiliation"/>
        <w:spacing w:after="0" w:line="240" w:lineRule="auto"/>
        <w:jc w:val="both"/>
        <w:rPr>
          <w:rFonts w:ascii="Arial" w:hAnsi="Arial" w:cs="Arial"/>
        </w:rPr>
      </w:pPr>
    </w:p>
    <w:p w14:paraId="77068D96" w14:textId="77777777" w:rsidR="002C57D2" w:rsidRPr="00FB3A86" w:rsidRDefault="002C57D2" w:rsidP="00441B6F">
      <w:pPr>
        <w:pStyle w:val="Affiliation"/>
        <w:spacing w:after="0" w:line="240" w:lineRule="auto"/>
        <w:jc w:val="both"/>
        <w:rPr>
          <w:rFonts w:ascii="Arial" w:hAnsi="Arial" w:cs="Arial"/>
        </w:rPr>
      </w:pPr>
    </w:p>
    <w:p w14:paraId="5172A6E2" w14:textId="77777777" w:rsidR="00B01FCD" w:rsidRPr="00FB3A86" w:rsidRDefault="0007280F" w:rsidP="00441B6F">
      <w:pPr>
        <w:pStyle w:val="Copyright"/>
        <w:spacing w:after="0" w:line="240" w:lineRule="auto"/>
        <w:jc w:val="both"/>
        <w:rPr>
          <w:rFonts w:ascii="Arial" w:hAnsi="Arial" w:cs="Arial"/>
        </w:rPr>
        <w:sectPr w:rsidR="00B01FCD" w:rsidRPr="00FB3A86" w:rsidSect="00253C6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E2C3BE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678FB74" w14:textId="77777777" w:rsidR="00B01FCD" w:rsidRDefault="00B01FCD" w:rsidP="00113890">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A53525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93057CA" w14:textId="77777777" w:rsidTr="001E44FE">
        <w:tc>
          <w:tcPr>
            <w:tcW w:w="9576" w:type="dxa"/>
            <w:shd w:val="clear" w:color="auto" w:fill="F2F2F2"/>
          </w:tcPr>
          <w:p w14:paraId="498A3B67" w14:textId="77777777" w:rsidR="00A23981" w:rsidRPr="00BA1B01" w:rsidRDefault="00A23981" w:rsidP="00A23981">
            <w:pPr>
              <w:pStyle w:val="Body"/>
              <w:spacing w:after="0"/>
              <w:rPr>
                <w:rFonts w:ascii="Arial" w:eastAsia="Calibri" w:hAnsi="Arial" w:cs="Arial"/>
                <w:szCs w:val="22"/>
              </w:rPr>
            </w:pPr>
            <w:r w:rsidRPr="00A23981">
              <w:rPr>
                <w:rFonts w:ascii="Arial" w:eastAsia="Calibri" w:hAnsi="Arial" w:cs="Arial"/>
                <w:szCs w:val="22"/>
              </w:rPr>
              <w:t xml:space="preserve">Heavy metal pollution of fresh water bodies is of grave concern as it may lead to fish contamination posing a health risk to the consumer population. We explore the heavy metal concentrations (Fe, Pb, Cd, Cu, Mn, Zn, Ni) in fish samples from Jibia Dam, Jibia Local Government Area Katsina State, Nigeria, using Spectrophotometry. Health risks to the population from the consumption of the fish samples were evaluated using the target hazard quotient (THQ) and health risks indices (HRI) for the non-cancer health risks. While for the cancer risks incremental lifetime cancer risk (ILCR) and cumulative incremental lifetime cancer risk (ΣILCR) were used. From the results the fish samples </w:t>
            </w:r>
            <w:r w:rsidRPr="00462DAC">
              <w:rPr>
                <w:rFonts w:ascii="Arial" w:eastAsia="Calibri" w:hAnsi="Arial" w:cs="Arial"/>
                <w:i/>
                <w:iCs/>
                <w:szCs w:val="22"/>
              </w:rPr>
              <w:t>Ameiurus nebulosus</w:t>
            </w:r>
            <w:r w:rsidRPr="00A23981">
              <w:rPr>
                <w:rFonts w:ascii="Arial" w:eastAsia="Calibri" w:hAnsi="Arial" w:cs="Arial"/>
                <w:szCs w:val="22"/>
              </w:rPr>
              <w:t xml:space="preserve"> and </w:t>
            </w:r>
            <w:r w:rsidRPr="00462DAC">
              <w:rPr>
                <w:rFonts w:ascii="Arial" w:eastAsia="Calibri" w:hAnsi="Arial" w:cs="Arial"/>
                <w:i/>
                <w:iCs/>
                <w:szCs w:val="22"/>
              </w:rPr>
              <w:t xml:space="preserve">Tilapia </w:t>
            </w:r>
            <w:proofErr w:type="spellStart"/>
            <w:r w:rsidRPr="00462DAC">
              <w:rPr>
                <w:rFonts w:ascii="Arial" w:eastAsia="Calibri" w:hAnsi="Arial" w:cs="Arial"/>
                <w:i/>
                <w:iCs/>
                <w:szCs w:val="22"/>
              </w:rPr>
              <w:t>zilli</w:t>
            </w:r>
            <w:proofErr w:type="spellEnd"/>
            <w:r w:rsidRPr="00A23981">
              <w:rPr>
                <w:rFonts w:ascii="Arial" w:eastAsia="Calibri" w:hAnsi="Arial" w:cs="Arial"/>
                <w:szCs w:val="22"/>
              </w:rPr>
              <w:t xml:space="preserve"> exhibited mean concentrations of the heavy metal Pb above the permissible maximum allowable concentration, while the Pb concentration in the </w:t>
            </w:r>
            <w:r w:rsidRPr="00462DAC">
              <w:rPr>
                <w:rFonts w:ascii="Arial" w:eastAsia="Calibri" w:hAnsi="Arial" w:cs="Arial"/>
                <w:i/>
                <w:iCs/>
                <w:szCs w:val="22"/>
              </w:rPr>
              <w:t>Clarias gariepinus</w:t>
            </w:r>
            <w:r w:rsidRPr="00A23981">
              <w:rPr>
                <w:rFonts w:ascii="Arial" w:eastAsia="Calibri" w:hAnsi="Arial" w:cs="Arial"/>
                <w:szCs w:val="22"/>
              </w:rPr>
              <w:t xml:space="preserve"> sample and the rest of the evaluated heavy metals in the three fish samples were within the safety limit for heavy metals in fish samples. The computed target hazard quotient (THQ) for all the fish samples in the children and adult population were below one (1), In contrast the calculated health risk </w:t>
            </w:r>
            <w:proofErr w:type="gramStart"/>
            <w:r w:rsidRPr="00A23981">
              <w:rPr>
                <w:rFonts w:ascii="Arial" w:eastAsia="Calibri" w:hAnsi="Arial" w:cs="Arial"/>
                <w:szCs w:val="22"/>
              </w:rPr>
              <w:t>index(</w:t>
            </w:r>
            <w:proofErr w:type="gramEnd"/>
            <w:r w:rsidRPr="00A23981">
              <w:rPr>
                <w:rFonts w:ascii="Arial" w:eastAsia="Calibri" w:hAnsi="Arial" w:cs="Arial"/>
                <w:szCs w:val="22"/>
              </w:rPr>
              <w:t xml:space="preserve">HRI) for </w:t>
            </w:r>
            <w:r w:rsidRPr="00462DAC">
              <w:rPr>
                <w:rFonts w:ascii="Arial" w:eastAsia="Calibri" w:hAnsi="Arial" w:cs="Arial"/>
                <w:i/>
                <w:iCs/>
                <w:szCs w:val="22"/>
              </w:rPr>
              <w:t>Ameiurus nebulosus</w:t>
            </w:r>
            <w:r w:rsidRPr="00A23981">
              <w:rPr>
                <w:rFonts w:ascii="Arial" w:eastAsia="Calibri" w:hAnsi="Arial" w:cs="Arial"/>
                <w:szCs w:val="22"/>
              </w:rPr>
              <w:t xml:space="preserve"> and </w:t>
            </w:r>
            <w:r w:rsidRPr="00462DAC">
              <w:rPr>
                <w:rFonts w:ascii="Arial" w:eastAsia="Calibri" w:hAnsi="Arial" w:cs="Arial"/>
                <w:i/>
                <w:iCs/>
                <w:szCs w:val="22"/>
              </w:rPr>
              <w:t xml:space="preserve">Tilapia </w:t>
            </w:r>
            <w:proofErr w:type="spellStart"/>
            <w:r w:rsidRPr="00462DAC">
              <w:rPr>
                <w:rFonts w:ascii="Arial" w:eastAsia="Calibri" w:hAnsi="Arial" w:cs="Arial"/>
                <w:i/>
                <w:iCs/>
                <w:szCs w:val="22"/>
              </w:rPr>
              <w:t>zilli</w:t>
            </w:r>
            <w:proofErr w:type="spellEnd"/>
            <w:r w:rsidRPr="00A23981">
              <w:rPr>
                <w:rFonts w:ascii="Arial" w:eastAsia="Calibri" w:hAnsi="Arial" w:cs="Arial"/>
                <w:szCs w:val="22"/>
              </w:rPr>
              <w:t xml:space="preserve"> was above one (1) in the children population. While the calculated HRI for </w:t>
            </w:r>
            <w:r w:rsidRPr="00462DAC">
              <w:rPr>
                <w:rFonts w:ascii="Arial" w:eastAsia="Calibri" w:hAnsi="Arial" w:cs="Arial"/>
                <w:i/>
                <w:iCs/>
                <w:szCs w:val="22"/>
              </w:rPr>
              <w:t>Clarias gariepinus</w:t>
            </w:r>
            <w:r w:rsidRPr="00A23981">
              <w:rPr>
                <w:rFonts w:ascii="Arial" w:eastAsia="Calibri" w:hAnsi="Arial" w:cs="Arial"/>
                <w:szCs w:val="22"/>
              </w:rPr>
              <w:t xml:space="preserve"> in the children population and for the HRI for all the three samples in the adult population were below one (1). The risk assessment for carcinogenic exposure effect has revealed that the incremental lifetime cancer risk (ILCR) were all above the safe limit for cancer in the children and adult population for the heavy metal Ni. There is an indication of heightened risk of non-cancer and cancer risks to the population from consumption of the study fish samples.</w:t>
            </w:r>
          </w:p>
          <w:p w14:paraId="5715C4EB" w14:textId="77777777" w:rsidR="00505F06" w:rsidRPr="00BA1B01" w:rsidRDefault="00505F06" w:rsidP="00441B6F">
            <w:pPr>
              <w:pStyle w:val="Body"/>
              <w:spacing w:after="0"/>
              <w:rPr>
                <w:rFonts w:ascii="Arial" w:eastAsia="Calibri" w:hAnsi="Arial" w:cs="Arial"/>
                <w:szCs w:val="22"/>
              </w:rPr>
            </w:pPr>
          </w:p>
        </w:tc>
      </w:tr>
    </w:tbl>
    <w:p w14:paraId="4EA4DA37" w14:textId="77777777" w:rsidR="00636EB2" w:rsidRDefault="00636EB2" w:rsidP="00441B6F">
      <w:pPr>
        <w:pStyle w:val="Body"/>
        <w:spacing w:after="0"/>
        <w:rPr>
          <w:rFonts w:ascii="Arial" w:hAnsi="Arial" w:cs="Arial"/>
          <w:i/>
        </w:rPr>
      </w:pPr>
    </w:p>
    <w:p w14:paraId="2554574F" w14:textId="50595A97" w:rsidR="00790ADA" w:rsidRDefault="00A24E7E" w:rsidP="00113890">
      <w:pPr>
        <w:pStyle w:val="Body"/>
        <w:spacing w:after="0"/>
        <w:rPr>
          <w:rFonts w:ascii="Arial" w:hAnsi="Arial" w:cs="Arial"/>
          <w:i/>
        </w:rPr>
      </w:pPr>
      <w:r>
        <w:rPr>
          <w:rFonts w:ascii="Arial" w:hAnsi="Arial" w:cs="Arial"/>
          <w:i/>
        </w:rPr>
        <w:t xml:space="preserve">Keywords: </w:t>
      </w:r>
      <w:r w:rsidR="00FA643B" w:rsidRPr="00FA643B">
        <w:rPr>
          <w:rFonts w:ascii="Arial" w:hAnsi="Arial" w:cs="Arial"/>
          <w:i/>
        </w:rPr>
        <w:t>Katsina,</w:t>
      </w:r>
      <w:r w:rsidR="00667E7C">
        <w:rPr>
          <w:rFonts w:ascii="Arial" w:hAnsi="Arial" w:cs="Arial"/>
          <w:i/>
        </w:rPr>
        <w:t xml:space="preserve"> Pollution, Heavy metal</w:t>
      </w:r>
      <w:r w:rsidR="00FA643B" w:rsidRPr="00FA643B">
        <w:rPr>
          <w:rFonts w:ascii="Arial" w:hAnsi="Arial" w:cs="Arial"/>
          <w:i/>
        </w:rPr>
        <w:t xml:space="preserve">, Fish, Illegal mining </w:t>
      </w:r>
    </w:p>
    <w:p w14:paraId="2FA637AF" w14:textId="77777777" w:rsidR="0024282C" w:rsidRDefault="0024282C" w:rsidP="00441B6F">
      <w:pPr>
        <w:pStyle w:val="Body"/>
        <w:spacing w:after="0"/>
        <w:rPr>
          <w:rFonts w:ascii="Arial" w:hAnsi="Arial" w:cs="Arial"/>
          <w:i/>
          <w:sz w:val="18"/>
        </w:rPr>
      </w:pPr>
    </w:p>
    <w:p w14:paraId="16B30114" w14:textId="77777777" w:rsidR="00505F06" w:rsidRPr="00A24E7E" w:rsidRDefault="00505F06" w:rsidP="00441B6F">
      <w:pPr>
        <w:pStyle w:val="Body"/>
        <w:spacing w:after="0"/>
        <w:rPr>
          <w:rFonts w:ascii="Arial" w:hAnsi="Arial" w:cs="Arial"/>
          <w:i/>
        </w:rPr>
      </w:pPr>
    </w:p>
    <w:p w14:paraId="6C3D2133" w14:textId="77777777" w:rsidR="007F7B32" w:rsidRDefault="00902823" w:rsidP="00113890">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02F7F91" w14:textId="77777777" w:rsidR="00790ADA" w:rsidRPr="00FB3A86" w:rsidRDefault="00790ADA" w:rsidP="00441B6F">
      <w:pPr>
        <w:pStyle w:val="AbstHead"/>
        <w:spacing w:after="0"/>
        <w:jc w:val="both"/>
        <w:rPr>
          <w:rFonts w:ascii="Arial" w:hAnsi="Arial" w:cs="Arial"/>
        </w:rPr>
      </w:pPr>
    </w:p>
    <w:p w14:paraId="7E991F80" w14:textId="6EF2618A" w:rsidR="00933F65" w:rsidRDefault="00933F65" w:rsidP="00933F65">
      <w:pPr>
        <w:pStyle w:val="NormalWeb"/>
        <w:jc w:val="both"/>
      </w:pPr>
      <w:r>
        <w:t xml:space="preserve">Fish constitutes an affordable and accessible source of high-quality protein for approximately one billion people worldwide, irrespective of socio-economic status (FAO, 2020). The global increase in fish consumption is largely attributable to its </w:t>
      </w:r>
      <w:proofErr w:type="spellStart"/>
      <w:r>
        <w:t>recognised</w:t>
      </w:r>
      <w:proofErr w:type="spellEnd"/>
      <w:r>
        <w:t xml:space="preserve"> role as a rich source of essential nutrients beneficial to human health (FAO, 2020; </w:t>
      </w:r>
      <w:proofErr w:type="spellStart"/>
      <w:r>
        <w:t>Varol</w:t>
      </w:r>
      <w:proofErr w:type="spellEnd"/>
      <w:r>
        <w:t xml:space="preserve"> et al., 2017; </w:t>
      </w:r>
      <w:proofErr w:type="spellStart"/>
      <w:r>
        <w:t>Adegbola</w:t>
      </w:r>
      <w:proofErr w:type="spellEnd"/>
      <w:r>
        <w:t xml:space="preserve"> et al., 2021). However, the contamination of aquatic ecosystems with heavy metals poses a significant risk, as it may lead to the bioaccumulation of these toxic elements in freshwater fish, with consequent adverse health implications for human consumers (Miri et al., 2017; Fakhri et al., 2018; </w:t>
      </w:r>
      <w:proofErr w:type="spellStart"/>
      <w:r>
        <w:t>Yaradua</w:t>
      </w:r>
      <w:proofErr w:type="spellEnd"/>
      <w:r>
        <w:t xml:space="preserve"> et al., 2022).</w:t>
      </w:r>
      <w:r>
        <w:t xml:space="preserve"> </w:t>
      </w:r>
      <w:r>
        <w:t>Heavy metals are capable of undergoing biotransformation and tend to accumulate progressively along the food chain, thereby increasing exposure risks at higher trophic levels (</w:t>
      </w:r>
      <w:proofErr w:type="spellStart"/>
      <w:r>
        <w:t>Soltani</w:t>
      </w:r>
      <w:proofErr w:type="spellEnd"/>
      <w:r>
        <w:t xml:space="preserve"> et al., 2019; Nargis et al., 2021; </w:t>
      </w:r>
      <w:proofErr w:type="spellStart"/>
      <w:r>
        <w:t>Yaradua</w:t>
      </w:r>
      <w:proofErr w:type="spellEnd"/>
      <w:r>
        <w:t xml:space="preserve"> et al., 2023a). While the toxicity of these elements is often concentration-dependent, certain non-essential heavy metals, including cadmium (Cd), lead (Pb), mercury (Hg), and the metalloid arsenic (As), are known to exert toxic effects even at relatively low concentrations (</w:t>
      </w:r>
      <w:proofErr w:type="spellStart"/>
      <w:r>
        <w:t>Aljohani</w:t>
      </w:r>
      <w:proofErr w:type="spellEnd"/>
      <w:r>
        <w:t xml:space="preserve"> et al., 2023). These contaminants enter aquatic environments through both natural and anthropogenic pathways. Natural sources include geological weathering processes and volcanic lava deposition, whereas anthropogenic contributions arise primarily from industrial discharges and municipal waste effluents, thereby exacerbating </w:t>
      </w:r>
      <w:r>
        <w:lastRenderedPageBreak/>
        <w:t xml:space="preserve">environmental accumulation (Ali et al., 2019; </w:t>
      </w:r>
      <w:proofErr w:type="spellStart"/>
      <w:r>
        <w:t>Ezemonye</w:t>
      </w:r>
      <w:proofErr w:type="spellEnd"/>
      <w:r>
        <w:t xml:space="preserve"> et al., 2019; Salam et al., 2019; </w:t>
      </w:r>
      <w:proofErr w:type="spellStart"/>
      <w:r>
        <w:t>Mahmuda</w:t>
      </w:r>
      <w:proofErr w:type="spellEnd"/>
      <w:r>
        <w:t xml:space="preserve"> et al., 2020; Yousuf et al., 2022; </w:t>
      </w:r>
      <w:proofErr w:type="spellStart"/>
      <w:r>
        <w:t>Saidon</w:t>
      </w:r>
      <w:proofErr w:type="spellEnd"/>
      <w:r>
        <w:t xml:space="preserve"> et al., 2024).</w:t>
      </w:r>
    </w:p>
    <w:p w14:paraId="535A72C0" w14:textId="77777777" w:rsidR="00933F65" w:rsidRDefault="00933F65" w:rsidP="00933F65">
      <w:pPr>
        <w:pStyle w:val="NormalWeb"/>
      </w:pPr>
      <w:r>
        <w:t xml:space="preserve">The toxicological effects of heavy metals are well documented, with primary impacts observed in critical organs such as the brain and kidneys. Additionally, exposure to specific metals is associated with distinct pathological outcomes, including hypertension linked to lead exposure, carcinogenic effects associated with arsenic, and nephrotoxicity resulting from cadmium accumulation (Kabir et al., 2024). Furthermore, the consumption of food contaminated with heavy metals may interfere with the absorption and </w:t>
      </w:r>
      <w:proofErr w:type="spellStart"/>
      <w:r>
        <w:t>utilisation</w:t>
      </w:r>
      <w:proofErr w:type="spellEnd"/>
      <w:r>
        <w:t xml:space="preserve"> of essential nutrients, thereby compromising immune function, impairing growth, and contributing to malnutrition (</w:t>
      </w:r>
      <w:proofErr w:type="spellStart"/>
      <w:r>
        <w:t>Bala</w:t>
      </w:r>
      <w:proofErr w:type="spellEnd"/>
      <w:r>
        <w:t xml:space="preserve"> et al., 2024).</w:t>
      </w:r>
    </w:p>
    <w:p w14:paraId="6FA1A9F5" w14:textId="1417DC3D" w:rsidR="00AD38C1" w:rsidRDefault="00FA643B" w:rsidP="0056099B">
      <w:pPr>
        <w:pStyle w:val="Body"/>
        <w:rPr>
          <w:rFonts w:ascii="Arial" w:hAnsi="Arial" w:cs="Arial"/>
        </w:rPr>
      </w:pPr>
      <w:r w:rsidRPr="00FA643B">
        <w:rPr>
          <w:rFonts w:ascii="Arial" w:hAnsi="Arial" w:cs="Arial"/>
        </w:rPr>
        <w:t xml:space="preserve">The consumption of fish contaminated with heavy metals brings many a </w:t>
      </w:r>
      <w:proofErr w:type="gramStart"/>
      <w:r w:rsidRPr="00FA643B">
        <w:rPr>
          <w:rFonts w:ascii="Arial" w:hAnsi="Arial" w:cs="Arial"/>
        </w:rPr>
        <w:t>times  represents</w:t>
      </w:r>
      <w:proofErr w:type="gramEnd"/>
      <w:r w:rsidRPr="00FA643B">
        <w:rPr>
          <w:rFonts w:ascii="Arial" w:hAnsi="Arial" w:cs="Arial"/>
        </w:rPr>
        <w:t xml:space="preserve"> a potential health risk for the human consumers (Yaradua </w:t>
      </w:r>
      <w:r w:rsidRPr="00512DA7">
        <w:rPr>
          <w:rFonts w:ascii="Arial" w:hAnsi="Arial" w:cs="Arial"/>
          <w:i/>
          <w:iCs/>
        </w:rPr>
        <w:t>et al</w:t>
      </w:r>
      <w:r w:rsidRPr="00FA643B">
        <w:rPr>
          <w:rFonts w:ascii="Arial" w:hAnsi="Arial" w:cs="Arial"/>
        </w:rPr>
        <w:t xml:space="preserve">., 2022; Znad </w:t>
      </w:r>
      <w:r w:rsidRPr="00512DA7">
        <w:rPr>
          <w:rFonts w:ascii="Arial" w:hAnsi="Arial" w:cs="Arial"/>
          <w:i/>
          <w:iCs/>
        </w:rPr>
        <w:t>et al</w:t>
      </w:r>
      <w:r w:rsidRPr="00FA643B">
        <w:rPr>
          <w:rFonts w:ascii="Arial" w:hAnsi="Arial" w:cs="Arial"/>
        </w:rPr>
        <w:t xml:space="preserve">., 2022). Studies have revealed that heavy metal pollution of the aquatic system has detrimental health effects on both the aquatic organisms and humans (Nyarko </w:t>
      </w:r>
      <w:r w:rsidRPr="00512DA7">
        <w:rPr>
          <w:rFonts w:ascii="Arial" w:hAnsi="Arial" w:cs="Arial"/>
          <w:i/>
          <w:iCs/>
        </w:rPr>
        <w:t>et al</w:t>
      </w:r>
      <w:r w:rsidRPr="00FA643B">
        <w:rPr>
          <w:rFonts w:ascii="Arial" w:hAnsi="Arial" w:cs="Arial"/>
        </w:rPr>
        <w:t xml:space="preserve">., 2023; Alam </w:t>
      </w:r>
      <w:r w:rsidRPr="00512DA7">
        <w:rPr>
          <w:rFonts w:ascii="Arial" w:hAnsi="Arial" w:cs="Arial"/>
          <w:i/>
          <w:iCs/>
        </w:rPr>
        <w:t>et al</w:t>
      </w:r>
      <w:r w:rsidRPr="00FA643B">
        <w:rPr>
          <w:rFonts w:ascii="Arial" w:hAnsi="Arial" w:cs="Arial"/>
        </w:rPr>
        <w:t>., 2023), including an increased incidence of cancer in humans (</w:t>
      </w:r>
      <w:proofErr w:type="spellStart"/>
      <w:r w:rsidRPr="00FA643B">
        <w:rPr>
          <w:rFonts w:ascii="Arial" w:hAnsi="Arial" w:cs="Arial"/>
        </w:rPr>
        <w:t>Aljohani</w:t>
      </w:r>
      <w:proofErr w:type="spellEnd"/>
      <w:r w:rsidRPr="00FA643B">
        <w:rPr>
          <w:rFonts w:ascii="Arial" w:hAnsi="Arial" w:cs="Arial"/>
        </w:rPr>
        <w:t xml:space="preserve"> </w:t>
      </w:r>
      <w:r w:rsidRPr="00113890">
        <w:rPr>
          <w:rFonts w:ascii="Arial" w:hAnsi="Arial" w:cs="Arial"/>
          <w:i/>
          <w:iCs/>
        </w:rPr>
        <w:t>et al</w:t>
      </w:r>
      <w:r w:rsidRPr="00FA643B">
        <w:rPr>
          <w:rFonts w:ascii="Arial" w:hAnsi="Arial" w:cs="Arial"/>
        </w:rPr>
        <w:t>., 2023).</w:t>
      </w:r>
      <w:r w:rsidR="00AD38C1" w:rsidRPr="00AD38C1">
        <w:rPr>
          <w:rFonts w:ascii="Arial" w:hAnsi="Arial" w:cs="Arial"/>
        </w:rPr>
        <w:t xml:space="preserve"> </w:t>
      </w:r>
      <w:r w:rsidR="00AD38C1">
        <w:rPr>
          <w:rFonts w:ascii="Arial" w:hAnsi="Arial" w:cs="Arial"/>
        </w:rPr>
        <w:t xml:space="preserve"> </w:t>
      </w:r>
      <w:proofErr w:type="spellStart"/>
      <w:r w:rsidR="00AD38C1">
        <w:rPr>
          <w:rFonts w:ascii="Arial" w:hAnsi="Arial" w:cs="Arial"/>
        </w:rPr>
        <w:t>Aljohani</w:t>
      </w:r>
      <w:proofErr w:type="spellEnd"/>
      <w:r w:rsidR="00AD38C1">
        <w:rPr>
          <w:rFonts w:ascii="Arial" w:hAnsi="Arial" w:cs="Arial"/>
        </w:rPr>
        <w:t xml:space="preserve"> </w:t>
      </w:r>
      <w:r w:rsidR="00AD38C1">
        <w:rPr>
          <w:rFonts w:ascii="Arial" w:hAnsi="Arial" w:cs="Arial"/>
          <w:i/>
          <w:iCs/>
        </w:rPr>
        <w:t>et al</w:t>
      </w:r>
      <w:r w:rsidR="00AD38C1">
        <w:rPr>
          <w:rFonts w:ascii="Arial" w:hAnsi="Arial" w:cs="Arial"/>
        </w:rPr>
        <w:t>. (2023) have reported that aquatic biota may serve as a biological measure of heavy metal degree of contamination in water bodies and of a toxicological degree of standard for human use.</w:t>
      </w:r>
      <w:r w:rsidR="0056099B" w:rsidRPr="0056099B">
        <w:t xml:space="preserve"> </w:t>
      </w:r>
      <w:r w:rsidR="0056099B" w:rsidRPr="0056099B">
        <w:rPr>
          <w:rFonts w:ascii="Arial" w:hAnsi="Arial" w:cs="Arial"/>
          <w:highlight w:val="yellow"/>
        </w:rPr>
        <w:t xml:space="preserve">It is therefore in line to put forward a hypothesis that consumption </w:t>
      </w:r>
      <w:proofErr w:type="gramStart"/>
      <w:r w:rsidR="0056099B" w:rsidRPr="0056099B">
        <w:rPr>
          <w:rFonts w:ascii="Arial" w:hAnsi="Arial" w:cs="Arial"/>
          <w:highlight w:val="yellow"/>
        </w:rPr>
        <w:t>of  fish</w:t>
      </w:r>
      <w:proofErr w:type="gramEnd"/>
      <w:r w:rsidR="0056099B">
        <w:rPr>
          <w:rFonts w:ascii="Arial" w:hAnsi="Arial" w:cs="Arial"/>
          <w:highlight w:val="yellow"/>
        </w:rPr>
        <w:t xml:space="preserve"> </w:t>
      </w:r>
      <w:r w:rsidR="0056099B" w:rsidRPr="0056099B">
        <w:rPr>
          <w:rFonts w:ascii="Arial" w:hAnsi="Arial" w:cs="Arial"/>
          <w:highlight w:val="yellow"/>
        </w:rPr>
        <w:t xml:space="preserve"> polluted by heavy metals may present a potential health risk</w:t>
      </w:r>
      <w:r w:rsidR="0056099B" w:rsidRPr="0056099B">
        <w:rPr>
          <w:rFonts w:ascii="Arial" w:hAnsi="Arial" w:cs="Arial"/>
        </w:rPr>
        <w:t>.</w:t>
      </w:r>
    </w:p>
    <w:p w14:paraId="740652E1" w14:textId="65224644" w:rsidR="00933F65" w:rsidRDefault="00933F65" w:rsidP="00933F65">
      <w:pPr>
        <w:pStyle w:val="NormalWeb"/>
        <w:jc w:val="both"/>
      </w:pPr>
      <w:r>
        <w:t xml:space="preserve">The study was conducted in </w:t>
      </w:r>
      <w:proofErr w:type="spellStart"/>
      <w:r>
        <w:t>Jibia</w:t>
      </w:r>
      <w:proofErr w:type="spellEnd"/>
      <w:r>
        <w:t xml:space="preserve"> town, the administrative headquarters of </w:t>
      </w:r>
      <w:proofErr w:type="spellStart"/>
      <w:r>
        <w:t>Jibia</w:t>
      </w:r>
      <w:proofErr w:type="spellEnd"/>
      <w:r>
        <w:t xml:space="preserve"> Local Government Area in </w:t>
      </w:r>
      <w:proofErr w:type="spellStart"/>
      <w:r>
        <w:t>Katsina</w:t>
      </w:r>
      <w:proofErr w:type="spellEnd"/>
      <w:r>
        <w:t xml:space="preserve"> State, Nigeria. The area has become notable for extensive illegal mining activities, which have significantly shaped its socio-economic and security landscape. In mining communities, illicit extraction practices have been associated with a range of adverse outcomes, including armed conflict, banditry, criminality, widespread violence, and kidnapping, often driven by competition among rival groups for control over mineral resources (</w:t>
      </w:r>
      <w:proofErr w:type="spellStart"/>
      <w:r>
        <w:t>Amosu</w:t>
      </w:r>
      <w:proofErr w:type="spellEnd"/>
      <w:r>
        <w:t xml:space="preserve"> and Adeosun, 2021). In Nigeria, the situation is further exacerbated by the involvement of </w:t>
      </w:r>
      <w:proofErr w:type="spellStart"/>
      <w:r>
        <w:t>organised</w:t>
      </w:r>
      <w:proofErr w:type="spellEnd"/>
      <w:r>
        <w:t xml:space="preserve"> armed groups, including bandits and insurgent elements, which intensify insecurity and undermine governance structures (ENACT, 2024).</w:t>
      </w:r>
      <w:r>
        <w:t xml:space="preserve"> </w:t>
      </w:r>
      <w:proofErr w:type="spellStart"/>
      <w:r>
        <w:t>Jibia</w:t>
      </w:r>
      <w:proofErr w:type="spellEnd"/>
      <w:r>
        <w:t xml:space="preserve"> is endowed with substantial deposits of solid minerals, particularly gold and quartzite, which constitute major targets for illegal mining due to their high economic value. The predominance of alluvial gold in the region enhances its attractiveness, as such deposits are relatively easy to extract using rudimentary techniques. Furthermore, alluvial gold is highly fungible and readily transportable, facilitating its illicit trade and cross-border smuggling. Alongside </w:t>
      </w:r>
      <w:proofErr w:type="spellStart"/>
      <w:r>
        <w:t>neighbouring</w:t>
      </w:r>
      <w:proofErr w:type="spellEnd"/>
      <w:r>
        <w:t xml:space="preserve"> areas such as </w:t>
      </w:r>
      <w:proofErr w:type="spellStart"/>
      <w:r>
        <w:t>Anka</w:t>
      </w:r>
      <w:proofErr w:type="spellEnd"/>
      <w:r>
        <w:t xml:space="preserve"> and </w:t>
      </w:r>
      <w:proofErr w:type="spellStart"/>
      <w:r>
        <w:t>Birnin</w:t>
      </w:r>
      <w:proofErr w:type="spellEnd"/>
      <w:r>
        <w:t xml:space="preserve"> </w:t>
      </w:r>
      <w:proofErr w:type="spellStart"/>
      <w:r>
        <w:t>Gwari</w:t>
      </w:r>
      <w:proofErr w:type="spellEnd"/>
      <w:r>
        <w:t xml:space="preserve">, </w:t>
      </w:r>
      <w:proofErr w:type="spellStart"/>
      <w:r>
        <w:t>Jibia</w:t>
      </w:r>
      <w:proofErr w:type="spellEnd"/>
      <w:r>
        <w:t xml:space="preserve"> has emerged as a focal point of illegal mining and banditry in north-western Nigeria.</w:t>
      </w:r>
      <w:r>
        <w:t xml:space="preserve"> </w:t>
      </w:r>
      <w:r>
        <w:t xml:space="preserve">Within </w:t>
      </w:r>
      <w:proofErr w:type="spellStart"/>
      <w:r>
        <w:t>Jibia</w:t>
      </w:r>
      <w:proofErr w:type="spellEnd"/>
      <w:r>
        <w:t xml:space="preserve">, armed groups are reported to exert control over extensive mining sites, particularly in the </w:t>
      </w:r>
      <w:proofErr w:type="spellStart"/>
      <w:r>
        <w:t>Wagini</w:t>
      </w:r>
      <w:proofErr w:type="spellEnd"/>
      <w:r>
        <w:t xml:space="preserve"> community of </w:t>
      </w:r>
      <w:proofErr w:type="spellStart"/>
      <w:r>
        <w:t>Batsari</w:t>
      </w:r>
      <w:proofErr w:type="spellEnd"/>
      <w:r>
        <w:t xml:space="preserve">, located approximately 54 </w:t>
      </w:r>
      <w:proofErr w:type="spellStart"/>
      <w:r>
        <w:t>kilometres</w:t>
      </w:r>
      <w:proofErr w:type="spellEnd"/>
      <w:r>
        <w:t xml:space="preserve"> from </w:t>
      </w:r>
      <w:proofErr w:type="spellStart"/>
      <w:r>
        <w:t>Jibia</w:t>
      </w:r>
      <w:proofErr w:type="spellEnd"/>
      <w:r>
        <w:t xml:space="preserve"> town. Access to these areas is often restricted to individuals who demonstrate allegiance to these groups, thereby reinforcing their dominance over local resource extraction (ENACT, 2024). Recent empirical studies have further identified illegal mining activities and associated armed banditry as significant contributors to environmental contamination, particularly the accumulation of heavy metals in the region, with potential implications for public health (</w:t>
      </w:r>
      <w:proofErr w:type="spellStart"/>
      <w:r>
        <w:t>Yaradua</w:t>
      </w:r>
      <w:proofErr w:type="spellEnd"/>
      <w:r>
        <w:t xml:space="preserve"> et al., 2023a, b, c, d).</w:t>
      </w:r>
    </w:p>
    <w:p w14:paraId="09BCD96E" w14:textId="1F209089" w:rsidR="00B01FCD" w:rsidRDefault="00826A88" w:rsidP="00826A88">
      <w:pPr>
        <w:pStyle w:val="Body"/>
        <w:rPr>
          <w:rFonts w:ascii="Arial" w:hAnsi="Arial" w:cs="Arial"/>
        </w:rPr>
      </w:pPr>
      <w:r>
        <w:rPr>
          <w:rFonts w:ascii="Arial" w:hAnsi="Arial" w:cs="Arial"/>
        </w:rPr>
        <w:t>Therefore, t</w:t>
      </w:r>
      <w:r w:rsidR="008B2C12">
        <w:rPr>
          <w:rFonts w:ascii="Arial" w:hAnsi="Arial" w:cs="Arial"/>
        </w:rPr>
        <w:t xml:space="preserve">he current study was conducted to evaluate heavy metals in edible fish samples from Jibia dam. </w:t>
      </w:r>
      <w:r w:rsidR="00AD38C1">
        <w:rPr>
          <w:rFonts w:ascii="Arial" w:hAnsi="Arial" w:cs="Arial"/>
        </w:rPr>
        <w:t>The ma</w:t>
      </w:r>
      <w:r>
        <w:rPr>
          <w:rFonts w:ascii="Arial" w:hAnsi="Arial" w:cs="Arial"/>
        </w:rPr>
        <w:t>i</w:t>
      </w:r>
      <w:r w:rsidR="00AD38C1">
        <w:rPr>
          <w:rFonts w:ascii="Arial" w:hAnsi="Arial" w:cs="Arial"/>
        </w:rPr>
        <w:t xml:space="preserve">n </w:t>
      </w:r>
      <w:proofErr w:type="gramStart"/>
      <w:r w:rsidR="00AD38C1">
        <w:rPr>
          <w:rFonts w:ascii="Arial" w:hAnsi="Arial" w:cs="Arial"/>
        </w:rPr>
        <w:t xml:space="preserve">objective </w:t>
      </w:r>
      <w:r w:rsidR="00FA643B" w:rsidRPr="00FA643B">
        <w:rPr>
          <w:rFonts w:ascii="Arial" w:hAnsi="Arial" w:cs="Arial"/>
        </w:rPr>
        <w:t xml:space="preserve"> of</w:t>
      </w:r>
      <w:proofErr w:type="gramEnd"/>
      <w:r w:rsidR="00FA643B" w:rsidRPr="00FA643B">
        <w:rPr>
          <w:rFonts w:ascii="Arial" w:hAnsi="Arial" w:cs="Arial"/>
        </w:rPr>
        <w:t xml:space="preserve"> the current study was to analyse the heavy metal concentrations </w:t>
      </w:r>
      <w:r>
        <w:rPr>
          <w:rFonts w:ascii="Arial" w:hAnsi="Arial" w:cs="Arial"/>
        </w:rPr>
        <w:t xml:space="preserve">in the fish samples </w:t>
      </w:r>
      <w:r w:rsidR="00FA643B" w:rsidRPr="00FA643B">
        <w:rPr>
          <w:rFonts w:ascii="Arial" w:hAnsi="Arial" w:cs="Arial"/>
        </w:rPr>
        <w:t>and to quantify the health risks linked to co</w:t>
      </w:r>
      <w:r w:rsidR="00820553">
        <w:rPr>
          <w:rFonts w:ascii="Arial" w:hAnsi="Arial" w:cs="Arial"/>
        </w:rPr>
        <w:t>nsumption of these fish samples. With the hope that</w:t>
      </w:r>
      <w:r w:rsidR="00FA643B" w:rsidRPr="00FA643B">
        <w:rPr>
          <w:rFonts w:ascii="Arial" w:hAnsi="Arial" w:cs="Arial"/>
        </w:rPr>
        <w:t xml:space="preserve">, findings from the study may give insight into possible heavy metal burden of the fish samples and their health implications. </w:t>
      </w:r>
    </w:p>
    <w:p w14:paraId="2CEE1812" w14:textId="77777777" w:rsidR="00790ADA" w:rsidRPr="00FB3A86" w:rsidRDefault="00790ADA" w:rsidP="00441B6F">
      <w:pPr>
        <w:pStyle w:val="Body"/>
        <w:spacing w:after="0"/>
        <w:rPr>
          <w:rFonts w:ascii="Arial" w:hAnsi="Arial" w:cs="Arial"/>
        </w:rPr>
      </w:pPr>
    </w:p>
    <w:p w14:paraId="451E2C7A" w14:textId="77777777" w:rsidR="00790ADA" w:rsidRDefault="00902823" w:rsidP="00512DA7">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19D182B" w14:textId="77777777" w:rsidR="00512DA7" w:rsidRPr="00FB3A86" w:rsidRDefault="00512DA7" w:rsidP="00512DA7">
      <w:pPr>
        <w:pStyle w:val="AbstHead"/>
        <w:spacing w:after="0"/>
        <w:jc w:val="both"/>
        <w:rPr>
          <w:rFonts w:ascii="Arial" w:hAnsi="Arial" w:cs="Arial"/>
        </w:rPr>
      </w:pPr>
    </w:p>
    <w:p w14:paraId="72B4E6E9" w14:textId="77777777" w:rsidR="00FA643B" w:rsidRPr="00512DA7" w:rsidRDefault="00FA643B" w:rsidP="00FA643B">
      <w:pPr>
        <w:pStyle w:val="Body"/>
        <w:rPr>
          <w:rFonts w:ascii="Arial" w:hAnsi="Arial" w:cs="Arial"/>
          <w:b/>
          <w:bCs/>
        </w:rPr>
      </w:pPr>
      <w:r w:rsidRPr="00512DA7">
        <w:rPr>
          <w:rFonts w:ascii="Arial" w:hAnsi="Arial" w:cs="Arial"/>
          <w:b/>
          <w:bCs/>
        </w:rPr>
        <w:t>2.1 Sampling Area</w:t>
      </w:r>
    </w:p>
    <w:p w14:paraId="210B68D0" w14:textId="77777777" w:rsidR="00FA643B" w:rsidRDefault="00FA643B" w:rsidP="00FA643B">
      <w:pPr>
        <w:pStyle w:val="Body"/>
        <w:spacing w:after="0"/>
        <w:rPr>
          <w:rFonts w:ascii="Arial" w:hAnsi="Arial" w:cs="Arial"/>
        </w:rPr>
      </w:pPr>
      <w:r w:rsidRPr="00FA643B">
        <w:rPr>
          <w:rFonts w:ascii="Arial" w:hAnsi="Arial" w:cs="Arial"/>
        </w:rPr>
        <w:t>Jibia Dam located in Jibia town, Jibia Local Government Area, Katsina State, Northwest Nigeria was used for sampling. The Dam has a water storage capacity of 142,000,000m</w:t>
      </w:r>
      <w:r w:rsidRPr="00575266">
        <w:rPr>
          <w:rFonts w:ascii="Arial" w:hAnsi="Arial" w:cs="Arial"/>
          <w:vertAlign w:val="superscript"/>
        </w:rPr>
        <w:t>3</w:t>
      </w:r>
      <w:r w:rsidRPr="00FA643B">
        <w:rPr>
          <w:rFonts w:ascii="Arial" w:hAnsi="Arial" w:cs="Arial"/>
        </w:rPr>
        <w:t xml:space="preserve">, with a potential to irrigate 5000Ha of land during the dry season. Jibia Local Government Area was curved out from the present Katsina Local Government Area in May 1989, in Katsina State of Nigeria. The coordinates of Jibia Local Government Area fall within latitude 13°05’18.00’’N and longitude </w:t>
      </w:r>
      <w:r w:rsidRPr="00FA643B">
        <w:rPr>
          <w:rFonts w:ascii="Arial" w:hAnsi="Arial" w:cs="Arial"/>
        </w:rPr>
        <w:lastRenderedPageBreak/>
        <w:t>7°13’2.00’’E, spanning an Area of 1037km</w:t>
      </w:r>
      <w:r w:rsidRPr="00462DAC">
        <w:rPr>
          <w:rFonts w:ascii="Arial" w:hAnsi="Arial" w:cs="Arial"/>
          <w:vertAlign w:val="superscript"/>
        </w:rPr>
        <w:t>2</w:t>
      </w:r>
      <w:r w:rsidRPr="00FA643B">
        <w:rPr>
          <w:rFonts w:ascii="Arial" w:hAnsi="Arial" w:cs="Arial"/>
        </w:rPr>
        <w:t xml:space="preserve">, with a mean temperature and relative humidity of 29°C and 67% respectively (Katsina State, 2016). The Niger Republic borders the local government to the north, bordered to the South by Batsari Local Government, to the east by Katsina Local Government, and to the west by </w:t>
      </w:r>
      <w:proofErr w:type="spellStart"/>
      <w:r w:rsidRPr="00FA643B">
        <w:rPr>
          <w:rFonts w:ascii="Arial" w:hAnsi="Arial" w:cs="Arial"/>
        </w:rPr>
        <w:t>Zurmi</w:t>
      </w:r>
      <w:proofErr w:type="spellEnd"/>
      <w:r w:rsidRPr="00FA643B">
        <w:rPr>
          <w:rFonts w:ascii="Arial" w:hAnsi="Arial" w:cs="Arial"/>
        </w:rPr>
        <w:t xml:space="preserve"> Local Government area of Zamfara State. The population of the Local Government Area stood at 169,748 as of 2006 census (Fig. 1). </w:t>
      </w:r>
    </w:p>
    <w:p w14:paraId="4DC0CA41" w14:textId="77777777" w:rsidR="00FA643B" w:rsidRDefault="00FA643B" w:rsidP="00FA643B">
      <w:pPr>
        <w:pStyle w:val="Body"/>
        <w:spacing w:after="0"/>
        <w:rPr>
          <w:rFonts w:ascii="Arial" w:hAnsi="Arial" w:cs="Arial"/>
        </w:rPr>
      </w:pPr>
    </w:p>
    <w:p w14:paraId="781BFF85" w14:textId="77777777" w:rsidR="00FA643B" w:rsidRDefault="00FA643B" w:rsidP="00FA643B">
      <w:pPr>
        <w:pStyle w:val="Body"/>
        <w:spacing w:after="0"/>
        <w:rPr>
          <w:rFonts w:ascii="Arial" w:hAnsi="Arial" w:cs="Arial"/>
        </w:rPr>
      </w:pPr>
      <w:r>
        <w:rPr>
          <w:noProof/>
        </w:rPr>
        <w:drawing>
          <wp:inline distT="0" distB="0" distL="0" distR="0" wp14:anchorId="290CA318" wp14:editId="64D988BD">
            <wp:extent cx="5212080" cy="506489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080" cy="5064895"/>
                    </a:xfrm>
                    <a:prstGeom prst="rect">
                      <a:avLst/>
                    </a:prstGeom>
                    <a:noFill/>
                    <a:ln>
                      <a:noFill/>
                    </a:ln>
                  </pic:spPr>
                </pic:pic>
              </a:graphicData>
            </a:graphic>
          </wp:inline>
        </w:drawing>
      </w:r>
    </w:p>
    <w:p w14:paraId="65267E56" w14:textId="77777777" w:rsidR="00FF1992" w:rsidRDefault="00FF1992" w:rsidP="00FA643B">
      <w:pPr>
        <w:pStyle w:val="Body"/>
        <w:spacing w:after="0"/>
        <w:rPr>
          <w:rFonts w:ascii="Arial" w:hAnsi="Arial" w:cs="Arial"/>
        </w:rPr>
      </w:pPr>
    </w:p>
    <w:p w14:paraId="10C98E2C" w14:textId="77777777" w:rsidR="00FF1992" w:rsidRPr="00512DA7" w:rsidRDefault="00FF1992" w:rsidP="00FF1992">
      <w:pPr>
        <w:pStyle w:val="Body"/>
        <w:rPr>
          <w:rFonts w:ascii="Arial" w:hAnsi="Arial" w:cs="Arial"/>
          <w:b/>
          <w:bCs/>
        </w:rPr>
      </w:pPr>
      <w:r w:rsidRPr="00512DA7">
        <w:rPr>
          <w:rFonts w:ascii="Arial" w:hAnsi="Arial" w:cs="Arial"/>
          <w:b/>
          <w:bCs/>
        </w:rPr>
        <w:t>Fig. 1 Map of Katsina state showing Jibia local government area (sampling site)</w:t>
      </w:r>
    </w:p>
    <w:p w14:paraId="1F5FFB2A" w14:textId="77777777" w:rsidR="00FF1992" w:rsidRPr="00FF1992" w:rsidRDefault="00FF1992" w:rsidP="00FF1992">
      <w:pPr>
        <w:pStyle w:val="Body"/>
        <w:rPr>
          <w:rFonts w:ascii="Arial" w:hAnsi="Arial" w:cs="Arial"/>
        </w:rPr>
      </w:pPr>
    </w:p>
    <w:p w14:paraId="4033312E" w14:textId="77777777" w:rsidR="00FF1992" w:rsidRPr="00512DA7" w:rsidRDefault="00FF1992" w:rsidP="00FF1992">
      <w:pPr>
        <w:pStyle w:val="Body"/>
        <w:rPr>
          <w:rFonts w:ascii="Arial" w:hAnsi="Arial" w:cs="Arial"/>
          <w:b/>
          <w:bCs/>
        </w:rPr>
      </w:pPr>
      <w:r w:rsidRPr="00512DA7">
        <w:rPr>
          <w:rFonts w:ascii="Arial" w:hAnsi="Arial" w:cs="Arial"/>
          <w:b/>
          <w:bCs/>
        </w:rPr>
        <w:t>2.2 Fish Sampling (</w:t>
      </w:r>
      <w:proofErr w:type="spellStart"/>
      <w:r w:rsidRPr="00512DA7">
        <w:rPr>
          <w:rFonts w:ascii="Arial" w:hAnsi="Arial" w:cs="Arial"/>
          <w:b/>
          <w:bCs/>
          <w:i/>
          <w:iCs/>
        </w:rPr>
        <w:t>Clarias</w:t>
      </w:r>
      <w:proofErr w:type="spellEnd"/>
      <w:r w:rsidRPr="00512DA7">
        <w:rPr>
          <w:rFonts w:ascii="Arial" w:hAnsi="Arial" w:cs="Arial"/>
          <w:b/>
          <w:bCs/>
          <w:i/>
          <w:iCs/>
        </w:rPr>
        <w:t xml:space="preserve"> </w:t>
      </w:r>
      <w:proofErr w:type="spellStart"/>
      <w:r w:rsidRPr="00512DA7">
        <w:rPr>
          <w:rFonts w:ascii="Arial" w:hAnsi="Arial" w:cs="Arial"/>
          <w:b/>
          <w:bCs/>
          <w:i/>
          <w:iCs/>
        </w:rPr>
        <w:t>gariepinus</w:t>
      </w:r>
      <w:proofErr w:type="spellEnd"/>
      <w:r w:rsidRPr="00512DA7">
        <w:rPr>
          <w:rFonts w:ascii="Arial" w:hAnsi="Arial" w:cs="Arial"/>
          <w:b/>
          <w:bCs/>
        </w:rPr>
        <w:t xml:space="preserve">, </w:t>
      </w:r>
      <w:proofErr w:type="spellStart"/>
      <w:r w:rsidRPr="00512DA7">
        <w:rPr>
          <w:rFonts w:ascii="Arial" w:hAnsi="Arial" w:cs="Arial"/>
          <w:b/>
          <w:bCs/>
          <w:i/>
          <w:iCs/>
        </w:rPr>
        <w:t>Ameiurus</w:t>
      </w:r>
      <w:proofErr w:type="spellEnd"/>
      <w:r w:rsidRPr="00512DA7">
        <w:rPr>
          <w:rFonts w:ascii="Arial" w:hAnsi="Arial" w:cs="Arial"/>
          <w:b/>
          <w:bCs/>
          <w:i/>
          <w:iCs/>
        </w:rPr>
        <w:t xml:space="preserve"> nebulosus</w:t>
      </w:r>
      <w:r w:rsidRPr="00512DA7">
        <w:rPr>
          <w:rFonts w:ascii="Arial" w:hAnsi="Arial" w:cs="Arial"/>
          <w:b/>
          <w:bCs/>
        </w:rPr>
        <w:t xml:space="preserve"> and </w:t>
      </w:r>
      <w:r w:rsidRPr="00512DA7">
        <w:rPr>
          <w:rFonts w:ascii="Arial" w:hAnsi="Arial" w:cs="Arial"/>
          <w:b/>
          <w:bCs/>
          <w:i/>
          <w:iCs/>
        </w:rPr>
        <w:t xml:space="preserve">Tilapia </w:t>
      </w:r>
      <w:proofErr w:type="spellStart"/>
      <w:r w:rsidRPr="00512DA7">
        <w:rPr>
          <w:rFonts w:ascii="Arial" w:hAnsi="Arial" w:cs="Arial"/>
          <w:b/>
          <w:bCs/>
          <w:i/>
          <w:iCs/>
        </w:rPr>
        <w:t>zilli</w:t>
      </w:r>
      <w:proofErr w:type="spellEnd"/>
      <w:r w:rsidRPr="00512DA7">
        <w:rPr>
          <w:rFonts w:ascii="Arial" w:hAnsi="Arial" w:cs="Arial"/>
          <w:b/>
          <w:bCs/>
        </w:rPr>
        <w:t>)</w:t>
      </w:r>
    </w:p>
    <w:p w14:paraId="06F29106" w14:textId="3DDBA3C0" w:rsidR="00FF1992" w:rsidRPr="00FF1992" w:rsidRDefault="00FF1992" w:rsidP="00FF1992">
      <w:pPr>
        <w:pStyle w:val="Body"/>
        <w:rPr>
          <w:rFonts w:ascii="Arial" w:hAnsi="Arial" w:cs="Arial"/>
        </w:rPr>
      </w:pPr>
      <w:r w:rsidRPr="00FF1992">
        <w:rPr>
          <w:rFonts w:ascii="Arial" w:hAnsi="Arial" w:cs="Arial"/>
        </w:rPr>
        <w:t>Sampling in the study area includes eight fish samples per species collected from commercial angler</w:t>
      </w:r>
      <w:r w:rsidR="00575266">
        <w:rPr>
          <w:rFonts w:ascii="Arial" w:hAnsi="Arial" w:cs="Arial"/>
        </w:rPr>
        <w:t>s, was performed in February 2026</w:t>
      </w:r>
      <w:r w:rsidRPr="00FF1992">
        <w:rPr>
          <w:rFonts w:ascii="Arial" w:hAnsi="Arial" w:cs="Arial"/>
        </w:rPr>
        <w:t>, according to earlier literature (</w:t>
      </w:r>
      <w:r w:rsidRPr="00AA6B93">
        <w:rPr>
          <w:rFonts w:ascii="Arial" w:hAnsi="Arial" w:cs="Arial"/>
          <w:highlight w:val="yellow"/>
        </w:rPr>
        <w:t>Yaradua et al</w:t>
      </w:r>
      <w:r w:rsidRPr="00AA6B93">
        <w:rPr>
          <w:rFonts w:ascii="Arial" w:hAnsi="Arial" w:cs="Arial"/>
          <w:i/>
          <w:iCs/>
          <w:highlight w:val="yellow"/>
        </w:rPr>
        <w:t>., 2018</w:t>
      </w:r>
      <w:r w:rsidR="00AA6B93" w:rsidRPr="00AA6B93">
        <w:rPr>
          <w:rFonts w:ascii="Arial" w:hAnsi="Arial" w:cs="Arial"/>
          <w:i/>
          <w:iCs/>
          <w:highlight w:val="yellow"/>
        </w:rPr>
        <w:t>a</w:t>
      </w:r>
      <w:r w:rsidRPr="00575266">
        <w:rPr>
          <w:rFonts w:ascii="Arial" w:hAnsi="Arial" w:cs="Arial"/>
          <w:i/>
          <w:iCs/>
        </w:rPr>
        <w:t xml:space="preserve">). The fish </w:t>
      </w:r>
      <w:proofErr w:type="gramStart"/>
      <w:r w:rsidRPr="00575266">
        <w:rPr>
          <w:rFonts w:ascii="Arial" w:hAnsi="Arial" w:cs="Arial"/>
          <w:i/>
          <w:iCs/>
        </w:rPr>
        <w:t>samples  (</w:t>
      </w:r>
      <w:proofErr w:type="gramEnd"/>
      <w:r w:rsidRPr="00575266">
        <w:rPr>
          <w:rFonts w:ascii="Arial" w:hAnsi="Arial" w:cs="Arial"/>
          <w:i/>
          <w:iCs/>
        </w:rPr>
        <w:t>whole)were transported to the laboratory in an ice-packed container. The samples were</w:t>
      </w:r>
      <w:r w:rsidRPr="00FF1992">
        <w:rPr>
          <w:rFonts w:ascii="Arial" w:hAnsi="Arial" w:cs="Arial"/>
        </w:rPr>
        <w:t xml:space="preserve"> then kept in a deep freezer after washing with clean water. The frozen samples were allowed to thaw before being transferred into labelled sample bottles prior to heavy metal analysis.  </w:t>
      </w:r>
    </w:p>
    <w:p w14:paraId="22B24875" w14:textId="77777777" w:rsidR="00FF1992" w:rsidRPr="00512DA7" w:rsidRDefault="00FF1992" w:rsidP="00FF1992">
      <w:pPr>
        <w:pStyle w:val="Body"/>
        <w:rPr>
          <w:rFonts w:ascii="Arial" w:hAnsi="Arial" w:cs="Arial"/>
          <w:b/>
          <w:bCs/>
        </w:rPr>
      </w:pPr>
      <w:r w:rsidRPr="00512DA7">
        <w:rPr>
          <w:rFonts w:ascii="Arial" w:hAnsi="Arial" w:cs="Arial"/>
          <w:b/>
          <w:bCs/>
        </w:rPr>
        <w:t>2.3 Heavy Metals Determination</w:t>
      </w:r>
    </w:p>
    <w:p w14:paraId="2C92699A" w14:textId="454331D5" w:rsidR="00FF1992" w:rsidRPr="00FF1992" w:rsidRDefault="00FF1992" w:rsidP="00FF1992">
      <w:pPr>
        <w:pStyle w:val="Body"/>
        <w:rPr>
          <w:rFonts w:ascii="Arial" w:hAnsi="Arial" w:cs="Arial"/>
        </w:rPr>
      </w:pPr>
      <w:r w:rsidRPr="00FF1992">
        <w:rPr>
          <w:rFonts w:ascii="Arial" w:hAnsi="Arial" w:cs="Arial"/>
        </w:rPr>
        <w:t xml:space="preserve">Using standard methods (AOAC, 1995), heavy metals in the samples were determined with the help of AA210RAP BUCK Atomic Absorption Spectrometer flame emission spectrometer filter GLA-4B Graphite furnace (East Norwalk USA), after </w:t>
      </w:r>
      <w:proofErr w:type="spellStart"/>
      <w:r w:rsidRPr="00FF1992">
        <w:rPr>
          <w:rFonts w:ascii="Arial" w:hAnsi="Arial" w:cs="Arial"/>
        </w:rPr>
        <w:t>ashing</w:t>
      </w:r>
      <w:proofErr w:type="spellEnd"/>
      <w:r w:rsidRPr="00FF1992">
        <w:rPr>
          <w:rFonts w:ascii="Arial" w:hAnsi="Arial" w:cs="Arial"/>
        </w:rPr>
        <w:t xml:space="preserve"> and digestion, as reported by </w:t>
      </w:r>
      <w:r w:rsidRPr="00AA6B93">
        <w:rPr>
          <w:rFonts w:ascii="Arial" w:hAnsi="Arial" w:cs="Arial"/>
          <w:highlight w:val="yellow"/>
        </w:rPr>
        <w:t xml:space="preserve">Yaradua </w:t>
      </w:r>
      <w:r w:rsidRPr="00AA6B93">
        <w:rPr>
          <w:rFonts w:ascii="Arial" w:hAnsi="Arial" w:cs="Arial"/>
          <w:i/>
          <w:iCs/>
          <w:highlight w:val="yellow"/>
        </w:rPr>
        <w:t>et al</w:t>
      </w:r>
      <w:r w:rsidRPr="00AA6B93">
        <w:rPr>
          <w:rFonts w:ascii="Arial" w:hAnsi="Arial" w:cs="Arial"/>
          <w:highlight w:val="yellow"/>
        </w:rPr>
        <w:t>. (2018</w:t>
      </w:r>
      <w:r w:rsidR="00AA6B93" w:rsidRPr="00AA6B93">
        <w:rPr>
          <w:rFonts w:ascii="Arial" w:hAnsi="Arial" w:cs="Arial"/>
          <w:highlight w:val="yellow"/>
        </w:rPr>
        <w:t>a</w:t>
      </w:r>
      <w:r w:rsidRPr="00AA6B93">
        <w:rPr>
          <w:rFonts w:ascii="Arial" w:hAnsi="Arial" w:cs="Arial"/>
          <w:highlight w:val="yellow"/>
        </w:rPr>
        <w:t>)</w:t>
      </w:r>
      <w:r w:rsidRPr="00FF1992">
        <w:rPr>
          <w:rFonts w:ascii="Arial" w:hAnsi="Arial" w:cs="Arial"/>
        </w:rPr>
        <w:t xml:space="preserve"> and the metal concentrations in the samples were reported in mg/kg. In summary, each 5 g of composite fish sample was made to dry at 80</w:t>
      </w:r>
      <w:r w:rsidRPr="00462DAC">
        <w:rPr>
          <w:rFonts w:ascii="Arial" w:hAnsi="Arial" w:cs="Arial"/>
          <w:vertAlign w:val="superscript"/>
        </w:rPr>
        <w:t>0</w:t>
      </w:r>
      <w:r w:rsidRPr="00FF1992">
        <w:rPr>
          <w:rFonts w:ascii="Arial" w:hAnsi="Arial" w:cs="Arial"/>
        </w:rPr>
        <w:t xml:space="preserve">C spanning 2 hours with the use of a </w:t>
      </w:r>
      <w:proofErr w:type="spellStart"/>
      <w:r w:rsidRPr="00FF1992">
        <w:rPr>
          <w:rFonts w:ascii="Arial" w:hAnsi="Arial" w:cs="Arial"/>
        </w:rPr>
        <w:t>Gallenkamp</w:t>
      </w:r>
      <w:proofErr w:type="spellEnd"/>
      <w:r w:rsidRPr="00FF1992">
        <w:rPr>
          <w:rFonts w:ascii="Arial" w:hAnsi="Arial" w:cs="Arial"/>
        </w:rPr>
        <w:t xml:space="preserve"> hotbox oven (CHF097XX2.5), after which the dried samples were blended. About 0.5 g of each sample was measured followed by </w:t>
      </w:r>
      <w:proofErr w:type="spellStart"/>
      <w:r w:rsidRPr="00FF1992">
        <w:rPr>
          <w:rFonts w:ascii="Arial" w:hAnsi="Arial" w:cs="Arial"/>
        </w:rPr>
        <w:t>ashing</w:t>
      </w:r>
      <w:proofErr w:type="spellEnd"/>
      <w:r w:rsidRPr="00FF1992">
        <w:rPr>
          <w:rFonts w:ascii="Arial" w:hAnsi="Arial" w:cs="Arial"/>
        </w:rPr>
        <w:t xml:space="preserve"> at 550</w:t>
      </w:r>
      <w:r w:rsidRPr="00462DAC">
        <w:rPr>
          <w:rFonts w:ascii="Arial" w:hAnsi="Arial" w:cs="Arial"/>
          <w:vertAlign w:val="superscript"/>
        </w:rPr>
        <w:t>0</w:t>
      </w:r>
      <w:r w:rsidRPr="00FF1992">
        <w:rPr>
          <w:rFonts w:ascii="Arial" w:hAnsi="Arial" w:cs="Arial"/>
        </w:rPr>
        <w:t>C for 24 hours using electric muffle furnace (</w:t>
      </w:r>
      <w:proofErr w:type="spellStart"/>
      <w:r w:rsidRPr="00FF1992">
        <w:rPr>
          <w:rFonts w:ascii="Arial" w:hAnsi="Arial" w:cs="Arial"/>
        </w:rPr>
        <w:t>Thermolyne</w:t>
      </w:r>
      <w:proofErr w:type="spellEnd"/>
      <w:r w:rsidRPr="00FF1992">
        <w:rPr>
          <w:rFonts w:ascii="Arial" w:hAnsi="Arial" w:cs="Arial"/>
        </w:rPr>
        <w:t xml:space="preserve"> FB131DM Fisher </w:t>
      </w:r>
      <w:r w:rsidRPr="00FF1992">
        <w:rPr>
          <w:rFonts w:ascii="Arial" w:hAnsi="Arial" w:cs="Arial"/>
        </w:rPr>
        <w:lastRenderedPageBreak/>
        <w:t>Scientific). The dilution of the ash was performed with 4.5 ml concentrated hydrochloric acid (HCl) and concentrated nitric acid (HN03) in a mixed ratio of 3:1 and the volume made up to 100ml by adding 50 ml of deionized water in a volumetric flask.</w:t>
      </w:r>
    </w:p>
    <w:p w14:paraId="07E9FC29" w14:textId="77777777" w:rsidR="00FF1992" w:rsidRPr="00512DA7" w:rsidRDefault="00FF1992" w:rsidP="00FF1992">
      <w:pPr>
        <w:pStyle w:val="Body"/>
        <w:rPr>
          <w:rFonts w:ascii="Arial" w:hAnsi="Arial" w:cs="Arial"/>
          <w:b/>
          <w:bCs/>
        </w:rPr>
      </w:pPr>
      <w:r w:rsidRPr="00512DA7">
        <w:rPr>
          <w:rFonts w:ascii="Arial" w:hAnsi="Arial" w:cs="Arial"/>
          <w:b/>
          <w:bCs/>
        </w:rPr>
        <w:t>2.4 Daily Intake of Metals (DIM) from Consumption of Samples</w:t>
      </w:r>
    </w:p>
    <w:p w14:paraId="367B61C0" w14:textId="77777777" w:rsidR="00FF1992" w:rsidRPr="00FF1992" w:rsidRDefault="00FF1992" w:rsidP="00FF1992">
      <w:pPr>
        <w:pStyle w:val="Body"/>
        <w:rPr>
          <w:rFonts w:ascii="Arial" w:hAnsi="Arial" w:cs="Arial"/>
        </w:rPr>
      </w:pPr>
      <w:r w:rsidRPr="00FF1992">
        <w:rPr>
          <w:rFonts w:ascii="Arial" w:hAnsi="Arial" w:cs="Arial"/>
        </w:rPr>
        <w:t xml:space="preserve">To calculate the daily intake of metals from presumed ingestion of the samples, the equation below was used </w:t>
      </w:r>
    </w:p>
    <w:p w14:paraId="3661C6B6" w14:textId="77777777" w:rsidR="00FF1992" w:rsidRPr="00FF1992" w:rsidRDefault="00FF1992" w:rsidP="00FF1992">
      <w:pPr>
        <w:pStyle w:val="Body"/>
        <w:rPr>
          <w:rFonts w:ascii="Arial" w:hAnsi="Arial" w:cs="Arial"/>
        </w:rPr>
      </w:pPr>
      <w:r w:rsidRPr="00FF1992">
        <w:rPr>
          <w:rFonts w:ascii="Arial" w:hAnsi="Arial" w:cs="Arial"/>
        </w:rPr>
        <w:t>DIM = (</w:t>
      </w:r>
      <w:proofErr w:type="spellStart"/>
      <w:r w:rsidRPr="00FF1992">
        <w:rPr>
          <w:rFonts w:ascii="Arial" w:hAnsi="Arial" w:cs="Arial"/>
        </w:rPr>
        <w:t>Cmetal</w:t>
      </w:r>
      <w:proofErr w:type="spellEnd"/>
      <w:r w:rsidRPr="00FF1992">
        <w:rPr>
          <w:rFonts w:ascii="Arial" w:hAnsi="Arial" w:cs="Arial"/>
        </w:rPr>
        <w:t xml:space="preserve"> x </w:t>
      </w:r>
      <w:proofErr w:type="spellStart"/>
      <w:r w:rsidRPr="00FF1992">
        <w:rPr>
          <w:rFonts w:ascii="Arial" w:hAnsi="Arial" w:cs="Arial"/>
        </w:rPr>
        <w:t>Cfactor</w:t>
      </w:r>
      <w:proofErr w:type="spellEnd"/>
      <w:r w:rsidRPr="00FF1992">
        <w:rPr>
          <w:rFonts w:ascii="Arial" w:hAnsi="Arial" w:cs="Arial"/>
        </w:rPr>
        <w:t xml:space="preserve"> x </w:t>
      </w:r>
      <w:proofErr w:type="spellStart"/>
      <w:r w:rsidRPr="00FF1992">
        <w:rPr>
          <w:rFonts w:ascii="Arial" w:hAnsi="Arial" w:cs="Arial"/>
        </w:rPr>
        <w:t>Dintake</w:t>
      </w:r>
      <w:proofErr w:type="spellEnd"/>
      <w:r w:rsidRPr="00FF1992">
        <w:rPr>
          <w:rFonts w:ascii="Arial" w:hAnsi="Arial" w:cs="Arial"/>
        </w:rPr>
        <w:t>)/</w:t>
      </w:r>
      <w:proofErr w:type="spellStart"/>
      <w:r w:rsidRPr="00FF1992">
        <w:rPr>
          <w:rFonts w:ascii="Arial" w:hAnsi="Arial" w:cs="Arial"/>
        </w:rPr>
        <w:t>Bweight</w:t>
      </w:r>
      <w:proofErr w:type="spellEnd"/>
      <w:r w:rsidRPr="00FF1992">
        <w:rPr>
          <w:rFonts w:ascii="Arial" w:hAnsi="Arial" w:cs="Arial"/>
        </w:rPr>
        <w:t xml:space="preserve"> …eqn. (1)</w:t>
      </w:r>
    </w:p>
    <w:p w14:paraId="6011044A" w14:textId="77777777" w:rsidR="00FF1992" w:rsidRPr="00FF1992" w:rsidRDefault="00FF1992" w:rsidP="00FF1992">
      <w:pPr>
        <w:pStyle w:val="Body"/>
        <w:rPr>
          <w:rFonts w:ascii="Arial" w:hAnsi="Arial" w:cs="Arial"/>
        </w:rPr>
      </w:pPr>
      <w:r w:rsidRPr="00FF1992">
        <w:rPr>
          <w:rFonts w:ascii="Arial" w:hAnsi="Arial" w:cs="Arial"/>
        </w:rPr>
        <w:t xml:space="preserve">With, C metal, C factor, D intake and B weight representing the concentrations of evaluated metals in the samples, the conversion factor, the daily intake of the sample and the mean body weight, respectively. To compensate for the drying of the samples, the conversion factor (CF) of 0.085 was used (Jan </w:t>
      </w:r>
      <w:r w:rsidRPr="00462DAC">
        <w:rPr>
          <w:rFonts w:ascii="Arial" w:hAnsi="Arial" w:cs="Arial"/>
          <w:i/>
          <w:iCs/>
        </w:rPr>
        <w:t>et al</w:t>
      </w:r>
      <w:r w:rsidRPr="00FF1992">
        <w:rPr>
          <w:rFonts w:ascii="Arial" w:hAnsi="Arial" w:cs="Arial"/>
        </w:rPr>
        <w:t xml:space="preserve">., 2010). The WHO 24.7 g/d per capita consumption of fish was used for the estimation of daily intake of fish (FAO/WHO, 2011).  The body weight for the adult and children population were all adopted from the literature as 60 kg (Orisakwe </w:t>
      </w:r>
      <w:r w:rsidRPr="00462DAC">
        <w:rPr>
          <w:rFonts w:ascii="Arial" w:hAnsi="Arial" w:cs="Arial"/>
          <w:i/>
          <w:iCs/>
        </w:rPr>
        <w:t>et al</w:t>
      </w:r>
      <w:r w:rsidRPr="00FF1992">
        <w:rPr>
          <w:rFonts w:ascii="Arial" w:hAnsi="Arial" w:cs="Arial"/>
        </w:rPr>
        <w:t xml:space="preserve">., 2015) and 24 kg (Ekhator </w:t>
      </w:r>
      <w:r w:rsidRPr="00462DAC">
        <w:rPr>
          <w:rFonts w:ascii="Arial" w:hAnsi="Arial" w:cs="Arial"/>
          <w:i/>
          <w:iCs/>
        </w:rPr>
        <w:t>et al</w:t>
      </w:r>
      <w:r w:rsidRPr="00FF1992">
        <w:rPr>
          <w:rFonts w:ascii="Arial" w:hAnsi="Arial" w:cs="Arial"/>
        </w:rPr>
        <w:t>., 2017).</w:t>
      </w:r>
    </w:p>
    <w:p w14:paraId="07DE725D" w14:textId="77777777" w:rsidR="00FF1992" w:rsidRPr="00512DA7" w:rsidRDefault="00FF1992" w:rsidP="00FF1992">
      <w:pPr>
        <w:pStyle w:val="Body"/>
        <w:rPr>
          <w:rFonts w:ascii="Arial" w:hAnsi="Arial" w:cs="Arial"/>
          <w:b/>
          <w:bCs/>
        </w:rPr>
      </w:pPr>
      <w:r w:rsidRPr="00512DA7">
        <w:rPr>
          <w:rFonts w:ascii="Arial" w:hAnsi="Arial" w:cs="Arial"/>
          <w:b/>
          <w:bCs/>
        </w:rPr>
        <w:t>2.5 Determination of Non-Cancer Risks from Ingestion of Samples</w:t>
      </w:r>
    </w:p>
    <w:p w14:paraId="7BD60757" w14:textId="77777777" w:rsidR="00FF1992" w:rsidRPr="00FF1992" w:rsidRDefault="00FF1992" w:rsidP="00FF1992">
      <w:pPr>
        <w:pStyle w:val="Body"/>
        <w:rPr>
          <w:rFonts w:ascii="Arial" w:hAnsi="Arial" w:cs="Arial"/>
        </w:rPr>
      </w:pPr>
      <w:r w:rsidRPr="00FF1992">
        <w:rPr>
          <w:rFonts w:ascii="Arial" w:hAnsi="Arial" w:cs="Arial"/>
        </w:rPr>
        <w:t xml:space="preserve"> Non-carcinogenic risks for individual heavy metal of the samples were evaluated by computing the target hazard quotient (THQ) using the following equation” (Micheal </w:t>
      </w:r>
      <w:r w:rsidRPr="00462DAC">
        <w:rPr>
          <w:rFonts w:ascii="Arial" w:hAnsi="Arial" w:cs="Arial"/>
          <w:i/>
          <w:iCs/>
        </w:rPr>
        <w:t>et al</w:t>
      </w:r>
      <w:r w:rsidRPr="00FF1992">
        <w:rPr>
          <w:rFonts w:ascii="Arial" w:hAnsi="Arial" w:cs="Arial"/>
        </w:rPr>
        <w:t>., 2015).</w:t>
      </w:r>
    </w:p>
    <w:p w14:paraId="5CE47F3A" w14:textId="77777777" w:rsidR="00FF1992" w:rsidRPr="00FF1992" w:rsidRDefault="00FF1992" w:rsidP="00FF1992">
      <w:pPr>
        <w:pStyle w:val="Body"/>
        <w:rPr>
          <w:rFonts w:ascii="Arial" w:hAnsi="Arial" w:cs="Arial"/>
        </w:rPr>
      </w:pPr>
      <w:r w:rsidRPr="00FF1992">
        <w:rPr>
          <w:rFonts w:ascii="Arial" w:hAnsi="Arial" w:cs="Arial"/>
        </w:rPr>
        <w:t>THQ=CDI/RfD ………………. eqn. (2)</w:t>
      </w:r>
    </w:p>
    <w:p w14:paraId="44F1C031" w14:textId="77777777" w:rsidR="00FF1992" w:rsidRPr="00FF1992" w:rsidRDefault="00FF1992" w:rsidP="00FF1992">
      <w:pPr>
        <w:pStyle w:val="Body"/>
        <w:rPr>
          <w:rFonts w:ascii="Arial" w:hAnsi="Arial" w:cs="Arial"/>
        </w:rPr>
      </w:pPr>
      <w:r w:rsidRPr="00FF1992">
        <w:rPr>
          <w:rFonts w:ascii="Arial" w:hAnsi="Arial" w:cs="Arial"/>
        </w:rPr>
        <w:t xml:space="preserve">“CDI was the chronic daily heavy metal intake (mg/kg/day) obtained from the previous section and RfD is the oral reference dose (mg/kg/day) “The following reference doses were used (Pb = 0.6 mg/kg, Cd = 0.5 mg/kg, Zn = 0.3 mg/kg, Fe = 0.7mg/kg, Ni = 0.4 mg/kg, Cu=0.04 mg/kg)” (Li </w:t>
      </w:r>
      <w:r w:rsidRPr="00462DAC">
        <w:rPr>
          <w:rFonts w:ascii="Arial" w:hAnsi="Arial" w:cs="Arial"/>
          <w:i/>
          <w:iCs/>
        </w:rPr>
        <w:t>et al</w:t>
      </w:r>
      <w:r w:rsidRPr="00FF1992">
        <w:rPr>
          <w:rFonts w:ascii="Arial" w:hAnsi="Arial" w:cs="Arial"/>
        </w:rPr>
        <w:t xml:space="preserve">., 2013; US-EPA, 2002). </w:t>
      </w:r>
      <w:proofErr w:type="gramStart"/>
      <w:r w:rsidRPr="00FF1992">
        <w:rPr>
          <w:rFonts w:ascii="Arial" w:hAnsi="Arial" w:cs="Arial"/>
        </w:rPr>
        <w:t>”The</w:t>
      </w:r>
      <w:proofErr w:type="gramEnd"/>
      <w:r w:rsidRPr="00FF1992">
        <w:rPr>
          <w:rFonts w:ascii="Arial" w:hAnsi="Arial" w:cs="Arial"/>
        </w:rPr>
        <w:t xml:space="preserve"> evaluation of the potential risk to human health through more than one heavy metal depicted as the hazard index (HI) was obtained as the sum of all hazard quotients (THQ) calculated for individual heavy metals for a particular exposure pathway” (NFPCSP Nutrition Fact Sheet, 2011). It was calculated as follows:</w:t>
      </w:r>
    </w:p>
    <w:p w14:paraId="0966F5C4" w14:textId="77777777" w:rsidR="00FF1992" w:rsidRPr="00FF1992" w:rsidRDefault="00FF1992" w:rsidP="00FF1992">
      <w:pPr>
        <w:pStyle w:val="Body"/>
        <w:rPr>
          <w:rFonts w:ascii="Arial" w:hAnsi="Arial" w:cs="Arial"/>
        </w:rPr>
      </w:pPr>
      <w:r w:rsidRPr="00FF1992">
        <w:rPr>
          <w:rFonts w:ascii="Arial" w:hAnsi="Arial" w:cs="Arial"/>
        </w:rPr>
        <w:t>HI=THQ1+THQ2+</w:t>
      </w:r>
      <w:r w:rsidRPr="00FF1992">
        <w:rPr>
          <w:rFonts w:ascii="Cambria Math" w:hAnsi="Cambria Math" w:cs="Cambria Math"/>
        </w:rPr>
        <w:t>⋯</w:t>
      </w:r>
      <w:r w:rsidRPr="00FF1992">
        <w:rPr>
          <w:rFonts w:ascii="Arial" w:hAnsi="Arial" w:cs="Arial"/>
        </w:rPr>
        <w:t>+</w:t>
      </w:r>
      <w:proofErr w:type="spellStart"/>
      <w:r w:rsidRPr="00FF1992">
        <w:rPr>
          <w:rFonts w:ascii="Arial" w:hAnsi="Arial" w:cs="Arial"/>
        </w:rPr>
        <w:t>THQn</w:t>
      </w:r>
      <w:proofErr w:type="spellEnd"/>
      <w:r w:rsidRPr="00FF1992">
        <w:rPr>
          <w:rFonts w:ascii="Arial" w:hAnsi="Arial" w:cs="Arial"/>
        </w:rPr>
        <w:t>……… eqn. (3)</w:t>
      </w:r>
    </w:p>
    <w:p w14:paraId="4DEF0B23" w14:textId="77777777" w:rsidR="00FF1992" w:rsidRPr="00FF1992" w:rsidRDefault="00FF1992" w:rsidP="00FF1992">
      <w:pPr>
        <w:pStyle w:val="Body"/>
        <w:rPr>
          <w:rFonts w:ascii="Arial" w:hAnsi="Arial" w:cs="Arial"/>
        </w:rPr>
      </w:pPr>
      <w:r w:rsidRPr="00FF1992">
        <w:rPr>
          <w:rFonts w:ascii="Arial" w:hAnsi="Arial" w:cs="Arial"/>
        </w:rPr>
        <w:t>Where 1, 2 …. n are the individual heavy metals in samples.</w:t>
      </w:r>
    </w:p>
    <w:p w14:paraId="668B1AA0" w14:textId="77777777" w:rsidR="00FF1992" w:rsidRPr="00FF1992" w:rsidRDefault="00FF1992" w:rsidP="00FF1992">
      <w:pPr>
        <w:pStyle w:val="Body"/>
        <w:rPr>
          <w:rFonts w:ascii="Arial" w:hAnsi="Arial" w:cs="Arial"/>
        </w:rPr>
      </w:pPr>
      <w:r w:rsidRPr="00FF1992">
        <w:rPr>
          <w:rFonts w:ascii="Arial" w:hAnsi="Arial" w:cs="Arial"/>
        </w:rPr>
        <w:t xml:space="preserve">The population was assumed to be safe from non-cancer heavy metal risks when HI &lt; 1 and in a level of concern when 1 &lt; HI &lt; 5” (Guerra </w:t>
      </w:r>
      <w:r w:rsidRPr="00462DAC">
        <w:rPr>
          <w:rFonts w:ascii="Arial" w:hAnsi="Arial" w:cs="Arial"/>
          <w:i/>
          <w:iCs/>
        </w:rPr>
        <w:t>et al</w:t>
      </w:r>
      <w:r w:rsidRPr="00FF1992">
        <w:rPr>
          <w:rFonts w:ascii="Arial" w:hAnsi="Arial" w:cs="Arial"/>
        </w:rPr>
        <w:t>.,2012).</w:t>
      </w:r>
    </w:p>
    <w:p w14:paraId="01894EF6" w14:textId="77777777" w:rsidR="00FF1992" w:rsidRPr="00512DA7" w:rsidRDefault="00FF1992" w:rsidP="00FF1992">
      <w:pPr>
        <w:pStyle w:val="Body"/>
        <w:rPr>
          <w:rFonts w:ascii="Arial" w:hAnsi="Arial" w:cs="Arial"/>
          <w:b/>
          <w:bCs/>
        </w:rPr>
      </w:pPr>
      <w:r w:rsidRPr="00512DA7">
        <w:rPr>
          <w:rFonts w:ascii="Arial" w:hAnsi="Arial" w:cs="Arial"/>
          <w:b/>
          <w:bCs/>
        </w:rPr>
        <w:t>2.6 Cancer Risks from Consumption of Samples</w:t>
      </w:r>
    </w:p>
    <w:p w14:paraId="0BA6D6E3" w14:textId="77777777" w:rsidR="00FF1992" w:rsidRPr="00FF1992" w:rsidRDefault="00FF1992" w:rsidP="00FF1992">
      <w:pPr>
        <w:pStyle w:val="Body"/>
        <w:rPr>
          <w:rFonts w:ascii="Arial" w:hAnsi="Arial" w:cs="Arial"/>
        </w:rPr>
      </w:pPr>
      <w:r w:rsidRPr="00FF1992">
        <w:rPr>
          <w:rFonts w:ascii="Arial" w:hAnsi="Arial" w:cs="Arial"/>
        </w:rPr>
        <w:t xml:space="preserve">The possibility of cancer risks in the studied samples through intake of carcinogenic heavy metals were estimated using the Incremental Lifetime Cancer Risk (ILCR) (Liu </w:t>
      </w:r>
      <w:r w:rsidRPr="00462DAC">
        <w:rPr>
          <w:rFonts w:ascii="Arial" w:hAnsi="Arial" w:cs="Arial"/>
          <w:i/>
          <w:iCs/>
        </w:rPr>
        <w:t>et al</w:t>
      </w:r>
      <w:r w:rsidRPr="00FF1992">
        <w:rPr>
          <w:rFonts w:ascii="Arial" w:hAnsi="Arial" w:cs="Arial"/>
        </w:rPr>
        <w:t>., 2013).</w:t>
      </w:r>
    </w:p>
    <w:p w14:paraId="1A8E79B1" w14:textId="77777777" w:rsidR="00FF1992" w:rsidRPr="00FF1992" w:rsidRDefault="00FF1992" w:rsidP="00FF1992">
      <w:pPr>
        <w:pStyle w:val="Body"/>
        <w:rPr>
          <w:rFonts w:ascii="Arial" w:hAnsi="Arial" w:cs="Arial"/>
        </w:rPr>
      </w:pPr>
      <w:r w:rsidRPr="00FF1992">
        <w:rPr>
          <w:rFonts w:ascii="Arial" w:hAnsi="Arial" w:cs="Arial"/>
        </w:rPr>
        <w:t>ILCR=CDI x CSF ………………. eqn. (4)</w:t>
      </w:r>
    </w:p>
    <w:p w14:paraId="66DF3541" w14:textId="77777777" w:rsidR="00FF1992" w:rsidRPr="00FF1992" w:rsidRDefault="00FF1992" w:rsidP="00FF1992">
      <w:pPr>
        <w:pStyle w:val="Body"/>
        <w:rPr>
          <w:rFonts w:ascii="Arial" w:hAnsi="Arial" w:cs="Arial"/>
        </w:rPr>
      </w:pPr>
      <w:r w:rsidRPr="00FF1992">
        <w:rPr>
          <w:rFonts w:ascii="Arial" w:hAnsi="Arial" w:cs="Arial"/>
        </w:rPr>
        <w:t xml:space="preserve">Where, CDI is the chronic intake of chemical carcinogen, mg/kg BW/day which represents the lifetime average daily dose of exposure to the chemical carcinogen. The following cancer slope factor (CSF) for specific heavy metals were used; Pb = 0.0085 mg/kg/day (Kamunda </w:t>
      </w:r>
      <w:r w:rsidRPr="00512DA7">
        <w:rPr>
          <w:rFonts w:ascii="Arial" w:hAnsi="Arial" w:cs="Arial"/>
          <w:i/>
          <w:iCs/>
        </w:rPr>
        <w:t>et al</w:t>
      </w:r>
      <w:r w:rsidRPr="00FF1992">
        <w:rPr>
          <w:rFonts w:ascii="Arial" w:hAnsi="Arial" w:cs="Arial"/>
        </w:rPr>
        <w:t xml:space="preserve">., 2016), Cd = 0.38 mg/kg/day (Yang </w:t>
      </w:r>
      <w:r w:rsidRPr="00462DAC">
        <w:rPr>
          <w:rFonts w:ascii="Arial" w:hAnsi="Arial" w:cs="Arial"/>
          <w:i/>
          <w:iCs/>
        </w:rPr>
        <w:t>et al</w:t>
      </w:r>
      <w:r w:rsidRPr="00FF1992">
        <w:rPr>
          <w:rFonts w:ascii="Arial" w:hAnsi="Arial" w:cs="Arial"/>
        </w:rPr>
        <w:t xml:space="preserve">., 2018), Ni = 1.7 mg/kg/day (Javed </w:t>
      </w:r>
      <w:r w:rsidRPr="00512DA7">
        <w:rPr>
          <w:rFonts w:ascii="Arial" w:hAnsi="Arial" w:cs="Arial"/>
          <w:i/>
          <w:iCs/>
        </w:rPr>
        <w:t>et al</w:t>
      </w:r>
      <w:r w:rsidRPr="00FF1992">
        <w:rPr>
          <w:rFonts w:ascii="Arial" w:hAnsi="Arial" w:cs="Arial"/>
        </w:rPr>
        <w:t>., 2016). The level of acceptable cancer risk (ILCR) for regulatory purposes was considered within the range of 10</w:t>
      </w:r>
      <w:r w:rsidRPr="00ED744C">
        <w:rPr>
          <w:rFonts w:ascii="Arial" w:hAnsi="Arial" w:cs="Arial"/>
          <w:vertAlign w:val="superscript"/>
        </w:rPr>
        <w:t>−6</w:t>
      </w:r>
      <w:r w:rsidRPr="00FF1992">
        <w:rPr>
          <w:rFonts w:ascii="Arial" w:hAnsi="Arial" w:cs="Arial"/>
        </w:rPr>
        <w:t xml:space="preserve"> to 10</w:t>
      </w:r>
      <w:r w:rsidRPr="00ED744C">
        <w:rPr>
          <w:rFonts w:ascii="Arial" w:hAnsi="Arial" w:cs="Arial"/>
          <w:vertAlign w:val="superscript"/>
        </w:rPr>
        <w:t>−4</w:t>
      </w:r>
      <w:r w:rsidRPr="00FF1992">
        <w:rPr>
          <w:rFonts w:ascii="Arial" w:hAnsi="Arial" w:cs="Arial"/>
        </w:rPr>
        <w:t xml:space="preserve"> (Li and Zhang, 2010). The CDI values were calculated on the basis of the following equation:</w:t>
      </w:r>
    </w:p>
    <w:p w14:paraId="1C0AFEC8" w14:textId="77777777" w:rsidR="00FF1992" w:rsidRPr="00FF1992" w:rsidRDefault="00FF1992" w:rsidP="00FF1992">
      <w:pPr>
        <w:pStyle w:val="Body"/>
        <w:rPr>
          <w:rFonts w:ascii="Arial" w:hAnsi="Arial" w:cs="Arial"/>
        </w:rPr>
      </w:pPr>
      <w:r w:rsidRPr="00FF1992">
        <w:rPr>
          <w:rFonts w:ascii="Arial" w:hAnsi="Arial" w:cs="Arial"/>
        </w:rPr>
        <w:t xml:space="preserve">CDI = (EDI x </w:t>
      </w:r>
      <w:proofErr w:type="spellStart"/>
      <w:r w:rsidRPr="00FF1992">
        <w:rPr>
          <w:rFonts w:ascii="Arial" w:hAnsi="Arial" w:cs="Arial"/>
        </w:rPr>
        <w:t>EFr</w:t>
      </w:r>
      <w:proofErr w:type="spellEnd"/>
      <w:r w:rsidRPr="00FF1992">
        <w:rPr>
          <w:rFonts w:ascii="Arial" w:hAnsi="Arial" w:cs="Arial"/>
        </w:rPr>
        <w:t xml:space="preserve"> x </w:t>
      </w:r>
      <w:proofErr w:type="spellStart"/>
      <w:r w:rsidRPr="00FF1992">
        <w:rPr>
          <w:rFonts w:ascii="Arial" w:hAnsi="Arial" w:cs="Arial"/>
        </w:rPr>
        <w:t>EDtot</w:t>
      </w:r>
      <w:proofErr w:type="spellEnd"/>
      <w:r w:rsidRPr="00FF1992">
        <w:rPr>
          <w:rFonts w:ascii="Arial" w:hAnsi="Arial" w:cs="Arial"/>
        </w:rPr>
        <w:t>)/AT …eqn. (5)</w:t>
      </w:r>
    </w:p>
    <w:p w14:paraId="6CDCF9B3" w14:textId="77777777" w:rsidR="00FF1992" w:rsidRPr="00FF1992" w:rsidRDefault="00FF1992" w:rsidP="00FF1992">
      <w:pPr>
        <w:pStyle w:val="Body"/>
        <w:rPr>
          <w:rFonts w:ascii="Arial" w:hAnsi="Arial" w:cs="Arial"/>
        </w:rPr>
      </w:pPr>
      <w:r w:rsidRPr="00FF1992">
        <w:rPr>
          <w:rFonts w:ascii="Arial" w:hAnsi="Arial" w:cs="Arial"/>
        </w:rPr>
        <w:t xml:space="preserve">“Where EDI was the estimated daily intake of metal via consumption of the samples; </w:t>
      </w:r>
      <w:proofErr w:type="spellStart"/>
      <w:r w:rsidRPr="00FF1992">
        <w:rPr>
          <w:rFonts w:ascii="Arial" w:hAnsi="Arial" w:cs="Arial"/>
        </w:rPr>
        <w:t>EFr</w:t>
      </w:r>
      <w:proofErr w:type="spellEnd"/>
      <w:r w:rsidRPr="00FF1992">
        <w:rPr>
          <w:rFonts w:ascii="Arial" w:hAnsi="Arial" w:cs="Arial"/>
        </w:rPr>
        <w:t xml:space="preserve"> is representing the exposure frequency (365 days/year); </w:t>
      </w:r>
      <w:proofErr w:type="spellStart"/>
      <w:r w:rsidRPr="00FF1992">
        <w:rPr>
          <w:rFonts w:ascii="Arial" w:hAnsi="Arial" w:cs="Arial"/>
        </w:rPr>
        <w:t>EDtot</w:t>
      </w:r>
      <w:proofErr w:type="spellEnd"/>
      <w:r w:rsidRPr="00FF1992">
        <w:rPr>
          <w:rFonts w:ascii="Arial" w:hAnsi="Arial" w:cs="Arial"/>
        </w:rPr>
        <w:t xml:space="preserve"> is the exposure duration of 60 years, average lifetime for Nigerians; AT is the period of exposure for non-carcinogenic effects (</w:t>
      </w:r>
      <w:proofErr w:type="spellStart"/>
      <w:r w:rsidRPr="00FF1992">
        <w:rPr>
          <w:rFonts w:ascii="Arial" w:hAnsi="Arial" w:cs="Arial"/>
        </w:rPr>
        <w:t>EFr</w:t>
      </w:r>
      <w:proofErr w:type="spellEnd"/>
      <w:r w:rsidRPr="00FF1992">
        <w:rPr>
          <w:rFonts w:ascii="Arial" w:hAnsi="Arial" w:cs="Arial"/>
        </w:rPr>
        <w:t xml:space="preserve"> × </w:t>
      </w:r>
      <w:proofErr w:type="spellStart"/>
      <w:r w:rsidRPr="00FF1992">
        <w:rPr>
          <w:rFonts w:ascii="Arial" w:hAnsi="Arial" w:cs="Arial"/>
        </w:rPr>
        <w:t>EDtot</w:t>
      </w:r>
      <w:proofErr w:type="spellEnd"/>
      <w:r w:rsidRPr="00FF1992">
        <w:rPr>
          <w:rFonts w:ascii="Arial" w:hAnsi="Arial" w:cs="Arial"/>
        </w:rPr>
        <w:t xml:space="preserve">), and 60 years’ lifetime for carcinogenic effect” (Micheal </w:t>
      </w:r>
      <w:r w:rsidRPr="00462DAC">
        <w:rPr>
          <w:rFonts w:ascii="Arial" w:hAnsi="Arial" w:cs="Arial"/>
          <w:i/>
          <w:iCs/>
        </w:rPr>
        <w:t>et al</w:t>
      </w:r>
      <w:r w:rsidRPr="00FF1992">
        <w:rPr>
          <w:rFonts w:ascii="Arial" w:hAnsi="Arial" w:cs="Arial"/>
        </w:rPr>
        <w:t xml:space="preserve">., 2015). “The cumulative cancer risks in the samples as a result of exposure to multiple carcinogenic heavy metals due to consumption of a particular type of food were assumed to be the sum of the individual heavy metal increment risks and calculated by the following equation” (Liu </w:t>
      </w:r>
      <w:r w:rsidRPr="00462DAC">
        <w:rPr>
          <w:rFonts w:ascii="Arial" w:hAnsi="Arial" w:cs="Arial"/>
          <w:i/>
          <w:iCs/>
        </w:rPr>
        <w:t>et al</w:t>
      </w:r>
      <w:r w:rsidRPr="00FF1992">
        <w:rPr>
          <w:rFonts w:ascii="Arial" w:hAnsi="Arial" w:cs="Arial"/>
        </w:rPr>
        <w:t xml:space="preserve">., 2013). </w:t>
      </w:r>
    </w:p>
    <w:p w14:paraId="746426F5" w14:textId="77777777" w:rsidR="00FF1992" w:rsidRPr="00FF1992" w:rsidRDefault="00FF1992" w:rsidP="00FF1992">
      <w:pPr>
        <w:pStyle w:val="Body"/>
        <w:rPr>
          <w:rFonts w:ascii="Arial" w:hAnsi="Arial" w:cs="Arial"/>
        </w:rPr>
      </w:pPr>
      <w:r w:rsidRPr="00FF1992">
        <w:rPr>
          <w:rFonts w:ascii="Arial" w:hAnsi="Arial" w:cs="Arial"/>
        </w:rPr>
        <w:lastRenderedPageBreak/>
        <w:t>ΣILCR=ILCR</w:t>
      </w:r>
      <w:r w:rsidRPr="00575266">
        <w:rPr>
          <w:rFonts w:ascii="Arial" w:hAnsi="Arial" w:cs="Arial"/>
          <w:vertAlign w:val="subscript"/>
        </w:rPr>
        <w:t>1</w:t>
      </w:r>
      <w:r w:rsidRPr="00FF1992">
        <w:rPr>
          <w:rFonts w:ascii="Arial" w:hAnsi="Arial" w:cs="Arial"/>
        </w:rPr>
        <w:t>+ILCR</w:t>
      </w:r>
      <w:r w:rsidRPr="00575266">
        <w:rPr>
          <w:rFonts w:ascii="Arial" w:hAnsi="Arial" w:cs="Arial"/>
          <w:vertAlign w:val="subscript"/>
        </w:rPr>
        <w:t>2</w:t>
      </w:r>
      <w:r w:rsidRPr="00FF1992">
        <w:rPr>
          <w:rFonts w:ascii="Arial" w:hAnsi="Arial" w:cs="Arial"/>
        </w:rPr>
        <w:t>+</w:t>
      </w:r>
      <w:r w:rsidRPr="00FF1992">
        <w:rPr>
          <w:rFonts w:ascii="Cambria Math" w:hAnsi="Cambria Math" w:cs="Cambria Math"/>
        </w:rPr>
        <w:t>⋯</w:t>
      </w:r>
      <w:r w:rsidRPr="00FF1992">
        <w:rPr>
          <w:rFonts w:ascii="Arial" w:hAnsi="Arial" w:cs="Arial"/>
        </w:rPr>
        <w:t>+</w:t>
      </w:r>
      <w:proofErr w:type="spellStart"/>
      <w:r w:rsidRPr="00FF1992">
        <w:rPr>
          <w:rFonts w:ascii="Arial" w:hAnsi="Arial" w:cs="Arial"/>
        </w:rPr>
        <w:t>ILCR</w:t>
      </w:r>
      <w:r w:rsidRPr="00575266">
        <w:rPr>
          <w:rFonts w:ascii="Arial" w:hAnsi="Arial" w:cs="Arial"/>
          <w:vertAlign w:val="subscript"/>
        </w:rPr>
        <w:t>n</w:t>
      </w:r>
      <w:proofErr w:type="spellEnd"/>
      <w:r w:rsidRPr="00FF1992">
        <w:rPr>
          <w:rFonts w:ascii="Arial" w:hAnsi="Arial" w:cs="Arial"/>
        </w:rPr>
        <w:t>…… eqn. (6)</w:t>
      </w:r>
    </w:p>
    <w:p w14:paraId="41378A9A" w14:textId="77777777" w:rsidR="00FF1992" w:rsidRPr="00FF1992" w:rsidRDefault="00FF1992" w:rsidP="00FF1992">
      <w:pPr>
        <w:pStyle w:val="Body"/>
        <w:rPr>
          <w:rFonts w:ascii="Arial" w:hAnsi="Arial" w:cs="Arial"/>
        </w:rPr>
      </w:pPr>
      <w:r w:rsidRPr="00FF1992">
        <w:rPr>
          <w:rFonts w:ascii="Arial" w:hAnsi="Arial" w:cs="Arial"/>
        </w:rPr>
        <w:t>Where, n = 1, 2 …, n is the individual carcinogenic heavy metal.</w:t>
      </w:r>
    </w:p>
    <w:p w14:paraId="0ACD0AB1" w14:textId="77777777" w:rsidR="00FF1992" w:rsidRPr="00462DAC" w:rsidRDefault="00FF1992" w:rsidP="00FF1992">
      <w:pPr>
        <w:pStyle w:val="Body"/>
        <w:rPr>
          <w:rFonts w:ascii="Arial" w:hAnsi="Arial" w:cs="Arial"/>
          <w:b/>
          <w:bCs/>
        </w:rPr>
      </w:pPr>
      <w:r w:rsidRPr="00462DAC">
        <w:rPr>
          <w:rFonts w:ascii="Arial" w:hAnsi="Arial" w:cs="Arial"/>
          <w:b/>
          <w:bCs/>
        </w:rPr>
        <w:t>2.7 Statistical Analysis</w:t>
      </w:r>
    </w:p>
    <w:p w14:paraId="771FEC7C" w14:textId="77777777" w:rsidR="00FF1992" w:rsidRDefault="00FF1992" w:rsidP="00575266">
      <w:pPr>
        <w:pStyle w:val="Body"/>
        <w:rPr>
          <w:rFonts w:ascii="Arial" w:hAnsi="Arial" w:cs="Arial"/>
        </w:rPr>
      </w:pPr>
      <w:r w:rsidRPr="00FF1992">
        <w:rPr>
          <w:rFonts w:ascii="Arial" w:hAnsi="Arial" w:cs="Arial"/>
        </w:rPr>
        <w:t>The data from this present study were analysed using the SPSS 24 statistical package. Using t</w:t>
      </w:r>
      <w:r w:rsidR="00575266">
        <w:rPr>
          <w:rFonts w:ascii="Arial" w:hAnsi="Arial" w:cs="Arial"/>
        </w:rPr>
        <w:t>he analysis of variance (ANOVA).</w:t>
      </w:r>
    </w:p>
    <w:p w14:paraId="1EC03621" w14:textId="77777777" w:rsidR="00790ADA" w:rsidRPr="00FB3A86" w:rsidRDefault="00790ADA" w:rsidP="00441B6F">
      <w:pPr>
        <w:pStyle w:val="Body"/>
        <w:spacing w:after="0"/>
        <w:rPr>
          <w:rFonts w:ascii="Arial" w:hAnsi="Arial" w:cs="Arial"/>
        </w:rPr>
      </w:pPr>
    </w:p>
    <w:p w14:paraId="4EE944D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601BB93" w14:textId="77777777" w:rsidR="00790ADA" w:rsidRPr="00FB3A86" w:rsidRDefault="00790ADA" w:rsidP="00441B6F">
      <w:pPr>
        <w:pStyle w:val="Head1"/>
        <w:spacing w:after="0"/>
        <w:jc w:val="both"/>
        <w:rPr>
          <w:rFonts w:ascii="Arial" w:hAnsi="Arial" w:cs="Arial"/>
        </w:rPr>
      </w:pPr>
    </w:p>
    <w:p w14:paraId="18D12295" w14:textId="065BBD41" w:rsidR="0007280F" w:rsidRDefault="0007280F" w:rsidP="0007280F">
      <w:pPr>
        <w:pStyle w:val="NormalWeb"/>
        <w:jc w:val="both"/>
      </w:pPr>
      <w:r>
        <w:t xml:space="preserve">The present study assessed the concentrations of selected heavy metals (Fe, Pb, Cd, Cu, Mn, Zn, and Ni) in three freshwater fish species. As presented in Table 1, the findings indicate that, with the exception of </w:t>
      </w:r>
      <w:proofErr w:type="spellStart"/>
      <w:r>
        <w:rPr>
          <w:rStyle w:val="Emphasis"/>
        </w:rPr>
        <w:t>Clarias</w:t>
      </w:r>
      <w:proofErr w:type="spellEnd"/>
      <w:r>
        <w:rPr>
          <w:rStyle w:val="Emphasis"/>
        </w:rPr>
        <w:t xml:space="preserve"> </w:t>
      </w:r>
      <w:proofErr w:type="spellStart"/>
      <w:r>
        <w:rPr>
          <w:rStyle w:val="Emphasis"/>
        </w:rPr>
        <w:t>gariepinus</w:t>
      </w:r>
      <w:proofErr w:type="spellEnd"/>
      <w:r>
        <w:t xml:space="preserve">, which exhibited mean lead (Pb) levels within permissible limits, both </w:t>
      </w:r>
      <w:proofErr w:type="spellStart"/>
      <w:r>
        <w:rPr>
          <w:rStyle w:val="Emphasis"/>
        </w:rPr>
        <w:t>Ameiurus</w:t>
      </w:r>
      <w:proofErr w:type="spellEnd"/>
      <w:r>
        <w:rPr>
          <w:rStyle w:val="Emphasis"/>
        </w:rPr>
        <w:t xml:space="preserve"> nebulosus</w:t>
      </w:r>
      <w:r>
        <w:t xml:space="preserve"> and </w:t>
      </w:r>
      <w:r>
        <w:rPr>
          <w:rStyle w:val="Emphasis"/>
        </w:rPr>
        <w:t xml:space="preserve">Tilapia </w:t>
      </w:r>
      <w:proofErr w:type="spellStart"/>
      <w:r>
        <w:rPr>
          <w:rStyle w:val="Emphasis"/>
        </w:rPr>
        <w:t>zilli</w:t>
      </w:r>
      <w:proofErr w:type="spellEnd"/>
      <w:r>
        <w:t xml:space="preserve"> demonstrated mean Pb concentrations exceeding the maximum allowable limit of 0.05 mg/kg established by regulatory authorities (FAO/WHO, 2011).</w:t>
      </w:r>
      <w:r>
        <w:t xml:space="preserve"> </w:t>
      </w:r>
      <w:r>
        <w:t xml:space="preserve">Apart from cadmium (Cd), which was below the detection limit (BDL) in </w:t>
      </w:r>
      <w:proofErr w:type="spellStart"/>
      <w:r>
        <w:rPr>
          <w:rStyle w:val="Emphasis"/>
        </w:rPr>
        <w:t>Clarias</w:t>
      </w:r>
      <w:proofErr w:type="spellEnd"/>
      <w:r>
        <w:rPr>
          <w:rStyle w:val="Emphasis"/>
        </w:rPr>
        <w:t xml:space="preserve"> </w:t>
      </w:r>
      <w:proofErr w:type="spellStart"/>
      <w:r>
        <w:rPr>
          <w:rStyle w:val="Emphasis"/>
        </w:rPr>
        <w:t>gariepinus</w:t>
      </w:r>
      <w:proofErr w:type="spellEnd"/>
      <w:r>
        <w:t xml:space="preserve">, all other </w:t>
      </w:r>
      <w:proofErr w:type="spellStart"/>
      <w:r>
        <w:t>analysed</w:t>
      </w:r>
      <w:proofErr w:type="spellEnd"/>
      <w:r>
        <w:t xml:space="preserve"> heavy metals across the three fish species were found to be within the recommended safety thresholds (Cd: 0.5 mg/kg; Fe: 123.5 mg/kg; Ni: 0.5–0.6 mg/kg; Mn: 10 mg/kg; Cu: 30 mg/kg) as stipulated by FAO/WHO (2011). The elevated Pb concentrations observed in the present study are consistent with earlier findings reported in fish samples from </w:t>
      </w:r>
      <w:proofErr w:type="spellStart"/>
      <w:r>
        <w:t>Katsina</w:t>
      </w:r>
      <w:proofErr w:type="spellEnd"/>
      <w:r>
        <w:t xml:space="preserve"> State (</w:t>
      </w:r>
      <w:proofErr w:type="spellStart"/>
      <w:r>
        <w:t>Yaradua</w:t>
      </w:r>
      <w:proofErr w:type="spellEnd"/>
      <w:r>
        <w:t xml:space="preserve"> et al., 2022). Previous authors attributed such contamination to proximity to quarrying activities, vehicular emissions, agricultural runoff, and the washing of transport vehicles within the study vicinity. However, in the context of the current study, illegal mining activities are likely to represent a more significant source of contamination. This assertion is supported by earlier investigations conducted within the same local government area, which documented elevated heavy metal concentrations in various food samples and linked these findings to environmental contamination arising from artisanal and illegal mining operations (</w:t>
      </w:r>
      <w:proofErr w:type="spellStart"/>
      <w:r>
        <w:t>Yaradua</w:t>
      </w:r>
      <w:proofErr w:type="spellEnd"/>
      <w:r>
        <w:t xml:space="preserve"> et al., 2023a, b, c, d).</w:t>
      </w:r>
    </w:p>
    <w:p w14:paraId="6A4C47F2" w14:textId="01F83CC2" w:rsidR="0007280F" w:rsidRDefault="0007280F" w:rsidP="0007280F">
      <w:pPr>
        <w:pStyle w:val="NormalWeb"/>
        <w:jc w:val="both"/>
      </w:pPr>
      <w:r>
        <w:t xml:space="preserve">Furthermore, the mean Pb concentrations recorded in this study are comparable to those reported in freshwater fish from the </w:t>
      </w:r>
      <w:proofErr w:type="spellStart"/>
      <w:r>
        <w:t>Turag</w:t>
      </w:r>
      <w:proofErr w:type="spellEnd"/>
      <w:r>
        <w:t>–</w:t>
      </w:r>
      <w:proofErr w:type="spellStart"/>
      <w:r>
        <w:t>Tongi</w:t>
      </w:r>
      <w:proofErr w:type="spellEnd"/>
      <w:r>
        <w:t>–</w:t>
      </w:r>
      <w:proofErr w:type="spellStart"/>
      <w:r>
        <w:t>Balu</w:t>
      </w:r>
      <w:proofErr w:type="spellEnd"/>
      <w:r>
        <w:t xml:space="preserve"> river system in Bangladesh (Hossain et al., 2024) and from </w:t>
      </w:r>
      <w:proofErr w:type="spellStart"/>
      <w:r>
        <w:t>Ajiwa</w:t>
      </w:r>
      <w:proofErr w:type="spellEnd"/>
      <w:r>
        <w:t xml:space="preserve"> Dam in </w:t>
      </w:r>
      <w:proofErr w:type="spellStart"/>
      <w:r>
        <w:t>Katsina</w:t>
      </w:r>
      <w:proofErr w:type="spellEnd"/>
      <w:r>
        <w:t xml:space="preserve"> State, Nigeria (Ibrahim et al., 2021). Conversely, the Pb levels observed in </w:t>
      </w:r>
      <w:proofErr w:type="spellStart"/>
      <w:r>
        <w:rPr>
          <w:rStyle w:val="Emphasis"/>
        </w:rPr>
        <w:t>Ameiurus</w:t>
      </w:r>
      <w:proofErr w:type="spellEnd"/>
      <w:r>
        <w:rPr>
          <w:rStyle w:val="Emphasis"/>
        </w:rPr>
        <w:t xml:space="preserve"> nebulosus</w:t>
      </w:r>
      <w:r>
        <w:t xml:space="preserve"> and </w:t>
      </w:r>
      <w:r>
        <w:rPr>
          <w:rStyle w:val="Emphasis"/>
        </w:rPr>
        <w:t xml:space="preserve">Tilapia </w:t>
      </w:r>
      <w:proofErr w:type="spellStart"/>
      <w:r>
        <w:rPr>
          <w:rStyle w:val="Emphasis"/>
        </w:rPr>
        <w:t>zilli</w:t>
      </w:r>
      <w:proofErr w:type="spellEnd"/>
      <w:r>
        <w:t xml:space="preserve"> exceed those previously documented in fish from </w:t>
      </w:r>
      <w:proofErr w:type="spellStart"/>
      <w:r>
        <w:t>Jabi</w:t>
      </w:r>
      <w:proofErr w:type="spellEnd"/>
      <w:r>
        <w:t xml:space="preserve"> Lake, Abuja, Nigeria, and Zhejiang Province, China (Moise and </w:t>
      </w:r>
      <w:proofErr w:type="spellStart"/>
      <w:r>
        <w:t>Karimatu</w:t>
      </w:r>
      <w:proofErr w:type="spellEnd"/>
      <w:r>
        <w:t xml:space="preserve">, 2020; Han et al., 2021). Among the species examined, </w:t>
      </w:r>
      <w:r>
        <w:rPr>
          <w:rStyle w:val="Emphasis"/>
        </w:rPr>
        <w:t xml:space="preserve">Tilapia </w:t>
      </w:r>
      <w:proofErr w:type="spellStart"/>
      <w:r>
        <w:rPr>
          <w:rStyle w:val="Emphasis"/>
        </w:rPr>
        <w:t>zilli</w:t>
      </w:r>
      <w:proofErr w:type="spellEnd"/>
      <w:r>
        <w:t xml:space="preserve"> exhibited the highest mean concentrations of the </w:t>
      </w:r>
      <w:proofErr w:type="spellStart"/>
      <w:r>
        <w:t>analysed</w:t>
      </w:r>
      <w:proofErr w:type="spellEnd"/>
      <w:r>
        <w:t xml:space="preserve"> h</w:t>
      </w:r>
      <w:bookmarkStart w:id="0" w:name="_GoBack"/>
      <w:bookmarkEnd w:id="0"/>
      <w:r>
        <w:t xml:space="preserve">eavy metals, whereas </w:t>
      </w:r>
      <w:proofErr w:type="spellStart"/>
      <w:r>
        <w:rPr>
          <w:rStyle w:val="Emphasis"/>
        </w:rPr>
        <w:t>Clarias</w:t>
      </w:r>
      <w:proofErr w:type="spellEnd"/>
      <w:r>
        <w:rPr>
          <w:rStyle w:val="Emphasis"/>
        </w:rPr>
        <w:t xml:space="preserve"> </w:t>
      </w:r>
      <w:proofErr w:type="spellStart"/>
      <w:r>
        <w:rPr>
          <w:rStyle w:val="Emphasis"/>
        </w:rPr>
        <w:t>gariepinus</w:t>
      </w:r>
      <w:proofErr w:type="spellEnd"/>
      <w:r>
        <w:t xml:space="preserve"> consistently showed the lowest levels. Statistical analysis revealed that the mean concentrations of metals differed significantly among the three species (p &lt; 0.05).</w:t>
      </w:r>
      <w:r>
        <w:t xml:space="preserve"> </w:t>
      </w:r>
      <w:r>
        <w:t xml:space="preserve">These interspecies variations may be attributed to differences in bioaccumulation dynamics, which are influenced by multiple factors, including ambient metal concentrations in water, duration of exposure, feeding </w:t>
      </w:r>
      <w:proofErr w:type="spellStart"/>
      <w:r>
        <w:t>behaviour</w:t>
      </w:r>
      <w:proofErr w:type="spellEnd"/>
      <w:r>
        <w:t>, trophic level, and environmental parameters such as temperature, pH, and dissolved oxygen. Intrinsic biological characteristics, including age, metabolic rate, and habitat preference, also play a crucial role in determining metal accumulation in fish (Nyarko et al., 2023). Notably, the mean concentrations of heavy metals reported in the present study are lower than those documented in comparable studies conducted in Algeria, Iraq, and selected regions of eastern and western Nigeria (</w:t>
      </w:r>
      <w:proofErr w:type="spellStart"/>
      <w:r>
        <w:t>Leizou</w:t>
      </w:r>
      <w:proofErr w:type="spellEnd"/>
      <w:r>
        <w:t xml:space="preserve"> et al., 2016; Mansoor and Said, 2018; </w:t>
      </w:r>
      <w:proofErr w:type="spellStart"/>
      <w:r>
        <w:t>Mehouel</w:t>
      </w:r>
      <w:proofErr w:type="spellEnd"/>
      <w:r>
        <w:t xml:space="preserve"> et al., 2019; </w:t>
      </w:r>
      <w:proofErr w:type="spellStart"/>
      <w:r>
        <w:t>Adegbola</w:t>
      </w:r>
      <w:proofErr w:type="spellEnd"/>
      <w:r>
        <w:t xml:space="preserve"> et al., 2021).</w:t>
      </w:r>
    </w:p>
    <w:p w14:paraId="07E32894" w14:textId="77777777" w:rsidR="00FF1992" w:rsidRDefault="00FF1992" w:rsidP="00441B6F">
      <w:pPr>
        <w:pStyle w:val="Body"/>
        <w:spacing w:after="0"/>
        <w:rPr>
          <w:rFonts w:ascii="Arial" w:hAnsi="Arial" w:cs="Arial"/>
        </w:rPr>
      </w:pPr>
    </w:p>
    <w:p w14:paraId="309868A5" w14:textId="56FCE753" w:rsidR="00FF1992" w:rsidRDefault="00FF1992" w:rsidP="00FF1992">
      <w:pPr>
        <w:jc w:val="center"/>
        <w:rPr>
          <w:b/>
          <w:color w:val="000000"/>
        </w:rPr>
      </w:pPr>
      <w:r>
        <w:rPr>
          <w:rStyle w:val="apple-converted-space"/>
          <w:rFonts w:ascii="Verdana" w:hAnsi="Verdana"/>
          <w:b/>
          <w:color w:val="000000"/>
        </w:rPr>
        <w:t>Table 1</w:t>
      </w:r>
      <w:r w:rsidR="004A7BA1" w:rsidRPr="004A7BA1">
        <w:rPr>
          <w:rStyle w:val="apple-converted-space"/>
          <w:rFonts w:ascii="Verdana" w:hAnsi="Verdana"/>
          <w:b/>
          <w:color w:val="000000"/>
          <w:highlight w:val="yellow"/>
        </w:rPr>
        <w:t>:</w:t>
      </w:r>
      <w:r>
        <w:rPr>
          <w:rStyle w:val="apple-converted-space"/>
          <w:rFonts w:ascii="Verdana" w:hAnsi="Verdana"/>
          <w:b/>
          <w:color w:val="000000"/>
        </w:rPr>
        <w:t xml:space="preserve"> Heavy Metals Concentration (Mean ± Standard Deviation) (mg/kg) in Fish Samples from Jibia Dam, Jibia Local Government Katsina State, Nigeria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1345"/>
        <w:gridCol w:w="1164"/>
        <w:gridCol w:w="1193"/>
        <w:gridCol w:w="1225"/>
        <w:gridCol w:w="1432"/>
        <w:gridCol w:w="1254"/>
        <w:gridCol w:w="1701"/>
      </w:tblGrid>
      <w:tr w:rsidR="00FF1992" w14:paraId="726A4D49" w14:textId="77777777" w:rsidTr="00DE5BAC">
        <w:tc>
          <w:tcPr>
            <w:tcW w:w="772" w:type="pct"/>
            <w:tcBorders>
              <w:top w:val="single" w:sz="4" w:space="0" w:color="auto"/>
              <w:left w:val="nil"/>
              <w:bottom w:val="single" w:sz="4" w:space="0" w:color="auto"/>
              <w:right w:val="nil"/>
            </w:tcBorders>
            <w:hideMark/>
          </w:tcPr>
          <w:p w14:paraId="61F3423A" w14:textId="77777777" w:rsidR="00FF1992" w:rsidRDefault="00FF1992">
            <w:pPr>
              <w:rPr>
                <w:rFonts w:ascii="Verdana" w:hAnsi="Verdana"/>
                <w:b/>
                <w:sz w:val="20"/>
                <w:szCs w:val="20"/>
                <w:lang w:val="en-GB"/>
              </w:rPr>
            </w:pPr>
            <w:r>
              <w:rPr>
                <w:rFonts w:ascii="Verdana" w:hAnsi="Verdana"/>
                <w:b/>
                <w:sz w:val="20"/>
                <w:szCs w:val="20"/>
              </w:rPr>
              <w:t>Sample</w:t>
            </w:r>
          </w:p>
        </w:tc>
        <w:tc>
          <w:tcPr>
            <w:tcW w:w="610" w:type="pct"/>
            <w:tcBorders>
              <w:top w:val="single" w:sz="4" w:space="0" w:color="auto"/>
              <w:left w:val="nil"/>
              <w:bottom w:val="single" w:sz="4" w:space="0" w:color="auto"/>
              <w:right w:val="nil"/>
            </w:tcBorders>
          </w:tcPr>
          <w:p w14:paraId="4C40A56E" w14:textId="77777777" w:rsidR="00FF1992" w:rsidRDefault="00FF1992">
            <w:pPr>
              <w:rPr>
                <w:rFonts w:ascii="Verdana" w:hAnsi="Verdana"/>
                <w:b/>
                <w:sz w:val="20"/>
                <w:szCs w:val="20"/>
                <w:lang w:val="en-GB"/>
              </w:rPr>
            </w:pPr>
          </w:p>
        </w:tc>
        <w:tc>
          <w:tcPr>
            <w:tcW w:w="528" w:type="pct"/>
            <w:tcBorders>
              <w:top w:val="single" w:sz="4" w:space="0" w:color="auto"/>
              <w:left w:val="nil"/>
              <w:bottom w:val="single" w:sz="4" w:space="0" w:color="auto"/>
              <w:right w:val="nil"/>
            </w:tcBorders>
          </w:tcPr>
          <w:p w14:paraId="67173830" w14:textId="77777777" w:rsidR="00FF1992" w:rsidRDefault="00FF1992">
            <w:pPr>
              <w:rPr>
                <w:rFonts w:ascii="Verdana" w:hAnsi="Verdana"/>
                <w:b/>
                <w:sz w:val="20"/>
                <w:szCs w:val="20"/>
                <w:lang w:val="en-GB"/>
              </w:rPr>
            </w:pPr>
          </w:p>
        </w:tc>
        <w:tc>
          <w:tcPr>
            <w:tcW w:w="541" w:type="pct"/>
            <w:tcBorders>
              <w:top w:val="single" w:sz="4" w:space="0" w:color="auto"/>
              <w:left w:val="nil"/>
              <w:bottom w:val="single" w:sz="4" w:space="0" w:color="auto"/>
              <w:right w:val="nil"/>
            </w:tcBorders>
          </w:tcPr>
          <w:p w14:paraId="00D3715E" w14:textId="77777777" w:rsidR="00FF1992" w:rsidRDefault="00FF1992">
            <w:pPr>
              <w:rPr>
                <w:rFonts w:ascii="Verdana" w:hAnsi="Verdana"/>
                <w:b/>
                <w:sz w:val="20"/>
                <w:szCs w:val="20"/>
                <w:lang w:val="en-GB"/>
              </w:rPr>
            </w:pPr>
          </w:p>
        </w:tc>
        <w:tc>
          <w:tcPr>
            <w:tcW w:w="556" w:type="pct"/>
            <w:tcBorders>
              <w:top w:val="single" w:sz="4" w:space="0" w:color="auto"/>
              <w:left w:val="nil"/>
              <w:bottom w:val="single" w:sz="4" w:space="0" w:color="auto"/>
              <w:right w:val="nil"/>
            </w:tcBorders>
            <w:hideMark/>
          </w:tcPr>
          <w:p w14:paraId="4AB0D427" w14:textId="77777777" w:rsidR="00FF1992" w:rsidRDefault="00FF1992">
            <w:pPr>
              <w:rPr>
                <w:rFonts w:ascii="Verdana" w:hAnsi="Verdana"/>
                <w:b/>
                <w:sz w:val="20"/>
                <w:szCs w:val="20"/>
                <w:lang w:val="en-GB"/>
              </w:rPr>
            </w:pPr>
            <w:r>
              <w:rPr>
                <w:rFonts w:ascii="Verdana" w:hAnsi="Verdana"/>
                <w:b/>
                <w:sz w:val="20"/>
                <w:szCs w:val="20"/>
              </w:rPr>
              <w:t>Heavy metal</w:t>
            </w:r>
          </w:p>
        </w:tc>
        <w:tc>
          <w:tcPr>
            <w:tcW w:w="650" w:type="pct"/>
            <w:tcBorders>
              <w:top w:val="single" w:sz="4" w:space="0" w:color="auto"/>
              <w:left w:val="nil"/>
              <w:bottom w:val="single" w:sz="4" w:space="0" w:color="auto"/>
              <w:right w:val="nil"/>
            </w:tcBorders>
          </w:tcPr>
          <w:p w14:paraId="7CC7AE10" w14:textId="77777777" w:rsidR="00FF1992" w:rsidRDefault="00FF1992">
            <w:pPr>
              <w:rPr>
                <w:rFonts w:ascii="Verdana" w:hAnsi="Verdana"/>
                <w:b/>
                <w:sz w:val="20"/>
                <w:szCs w:val="20"/>
                <w:lang w:val="en-GB"/>
              </w:rPr>
            </w:pPr>
          </w:p>
        </w:tc>
        <w:tc>
          <w:tcPr>
            <w:tcW w:w="569" w:type="pct"/>
            <w:tcBorders>
              <w:top w:val="single" w:sz="4" w:space="0" w:color="auto"/>
              <w:left w:val="nil"/>
              <w:bottom w:val="single" w:sz="4" w:space="0" w:color="auto"/>
              <w:right w:val="nil"/>
            </w:tcBorders>
          </w:tcPr>
          <w:p w14:paraId="136D9593" w14:textId="77777777" w:rsidR="00FF1992" w:rsidRDefault="00FF1992">
            <w:pPr>
              <w:rPr>
                <w:rFonts w:ascii="Verdana" w:hAnsi="Verdana"/>
                <w:b/>
                <w:sz w:val="20"/>
                <w:szCs w:val="20"/>
                <w:lang w:val="en-GB"/>
              </w:rPr>
            </w:pPr>
          </w:p>
        </w:tc>
        <w:tc>
          <w:tcPr>
            <w:tcW w:w="772" w:type="pct"/>
            <w:tcBorders>
              <w:top w:val="single" w:sz="4" w:space="0" w:color="auto"/>
              <w:left w:val="nil"/>
              <w:bottom w:val="single" w:sz="4" w:space="0" w:color="auto"/>
              <w:right w:val="nil"/>
            </w:tcBorders>
          </w:tcPr>
          <w:p w14:paraId="6E0FE252" w14:textId="77777777" w:rsidR="00FF1992" w:rsidRDefault="00FF1992">
            <w:pPr>
              <w:rPr>
                <w:rFonts w:ascii="Verdana" w:hAnsi="Verdana"/>
                <w:b/>
                <w:sz w:val="20"/>
                <w:szCs w:val="20"/>
                <w:lang w:val="en-GB"/>
              </w:rPr>
            </w:pPr>
          </w:p>
        </w:tc>
      </w:tr>
      <w:tr w:rsidR="00FF1992" w14:paraId="64D76C31" w14:textId="77777777" w:rsidTr="00DE5BAC">
        <w:tc>
          <w:tcPr>
            <w:tcW w:w="772" w:type="pct"/>
            <w:tcBorders>
              <w:top w:val="single" w:sz="4" w:space="0" w:color="auto"/>
              <w:left w:val="nil"/>
              <w:bottom w:val="nil"/>
              <w:right w:val="nil"/>
            </w:tcBorders>
          </w:tcPr>
          <w:p w14:paraId="7323E021" w14:textId="77777777" w:rsidR="00FF1992" w:rsidRDefault="00FF1992">
            <w:pPr>
              <w:rPr>
                <w:rFonts w:ascii="Verdana" w:hAnsi="Verdana"/>
                <w:b/>
                <w:sz w:val="20"/>
                <w:szCs w:val="20"/>
                <w:lang w:val="en-GB"/>
              </w:rPr>
            </w:pPr>
          </w:p>
        </w:tc>
        <w:tc>
          <w:tcPr>
            <w:tcW w:w="610" w:type="pct"/>
            <w:tcBorders>
              <w:top w:val="single" w:sz="4" w:space="0" w:color="auto"/>
              <w:left w:val="nil"/>
              <w:bottom w:val="single" w:sz="4" w:space="0" w:color="auto"/>
              <w:right w:val="nil"/>
            </w:tcBorders>
            <w:hideMark/>
          </w:tcPr>
          <w:p w14:paraId="425A4082" w14:textId="77777777" w:rsidR="00FF1992" w:rsidRDefault="00FF1992">
            <w:pPr>
              <w:rPr>
                <w:rFonts w:ascii="Verdana" w:hAnsi="Verdana"/>
                <w:b/>
                <w:sz w:val="20"/>
                <w:szCs w:val="20"/>
                <w:lang w:val="en-GB"/>
              </w:rPr>
            </w:pPr>
            <w:r>
              <w:rPr>
                <w:rFonts w:ascii="Verdana" w:hAnsi="Verdana"/>
                <w:b/>
                <w:sz w:val="20"/>
                <w:szCs w:val="20"/>
              </w:rPr>
              <w:t>Fe</w:t>
            </w:r>
          </w:p>
        </w:tc>
        <w:tc>
          <w:tcPr>
            <w:tcW w:w="528" w:type="pct"/>
            <w:tcBorders>
              <w:top w:val="single" w:sz="4" w:space="0" w:color="auto"/>
              <w:left w:val="nil"/>
              <w:bottom w:val="single" w:sz="4" w:space="0" w:color="auto"/>
              <w:right w:val="nil"/>
            </w:tcBorders>
            <w:hideMark/>
          </w:tcPr>
          <w:p w14:paraId="1B699212" w14:textId="77777777" w:rsidR="00FF1992" w:rsidRDefault="00FF1992">
            <w:pPr>
              <w:rPr>
                <w:rFonts w:ascii="Verdana" w:hAnsi="Verdana"/>
                <w:b/>
                <w:sz w:val="20"/>
                <w:szCs w:val="20"/>
                <w:lang w:val="en-GB"/>
              </w:rPr>
            </w:pPr>
            <w:r>
              <w:rPr>
                <w:rFonts w:ascii="Verdana" w:hAnsi="Verdana"/>
                <w:b/>
                <w:sz w:val="20"/>
                <w:szCs w:val="20"/>
              </w:rPr>
              <w:t>Pb</w:t>
            </w:r>
          </w:p>
        </w:tc>
        <w:tc>
          <w:tcPr>
            <w:tcW w:w="541" w:type="pct"/>
            <w:tcBorders>
              <w:top w:val="single" w:sz="4" w:space="0" w:color="auto"/>
              <w:left w:val="nil"/>
              <w:bottom w:val="single" w:sz="4" w:space="0" w:color="auto"/>
              <w:right w:val="nil"/>
            </w:tcBorders>
            <w:hideMark/>
          </w:tcPr>
          <w:p w14:paraId="3C158405" w14:textId="77777777" w:rsidR="00FF1992" w:rsidRDefault="00FF1992">
            <w:pPr>
              <w:rPr>
                <w:rFonts w:ascii="Verdana" w:hAnsi="Verdana"/>
                <w:b/>
                <w:sz w:val="20"/>
                <w:szCs w:val="20"/>
                <w:lang w:val="en-GB"/>
              </w:rPr>
            </w:pPr>
            <w:r>
              <w:rPr>
                <w:rFonts w:ascii="Verdana" w:hAnsi="Verdana"/>
                <w:b/>
                <w:sz w:val="20"/>
                <w:szCs w:val="20"/>
              </w:rPr>
              <w:t>Cd</w:t>
            </w:r>
          </w:p>
        </w:tc>
        <w:tc>
          <w:tcPr>
            <w:tcW w:w="556" w:type="pct"/>
            <w:tcBorders>
              <w:top w:val="single" w:sz="4" w:space="0" w:color="auto"/>
              <w:left w:val="nil"/>
              <w:bottom w:val="single" w:sz="4" w:space="0" w:color="auto"/>
              <w:right w:val="nil"/>
            </w:tcBorders>
            <w:hideMark/>
          </w:tcPr>
          <w:p w14:paraId="20769899" w14:textId="77777777" w:rsidR="00FF1992" w:rsidRDefault="00FF1992">
            <w:pPr>
              <w:rPr>
                <w:rFonts w:ascii="Verdana" w:hAnsi="Verdana"/>
                <w:b/>
                <w:sz w:val="20"/>
                <w:szCs w:val="20"/>
                <w:lang w:val="en-GB"/>
              </w:rPr>
            </w:pPr>
            <w:r>
              <w:rPr>
                <w:rFonts w:ascii="Verdana" w:hAnsi="Verdana"/>
                <w:b/>
                <w:sz w:val="20"/>
                <w:szCs w:val="20"/>
              </w:rPr>
              <w:t>Cu</w:t>
            </w:r>
          </w:p>
        </w:tc>
        <w:tc>
          <w:tcPr>
            <w:tcW w:w="650" w:type="pct"/>
            <w:tcBorders>
              <w:top w:val="single" w:sz="4" w:space="0" w:color="auto"/>
              <w:left w:val="nil"/>
              <w:bottom w:val="single" w:sz="4" w:space="0" w:color="auto"/>
              <w:right w:val="nil"/>
            </w:tcBorders>
            <w:hideMark/>
          </w:tcPr>
          <w:p w14:paraId="00C8E4D3" w14:textId="77777777" w:rsidR="00FF1992" w:rsidRDefault="00FF1992">
            <w:pPr>
              <w:rPr>
                <w:rFonts w:ascii="Verdana" w:hAnsi="Verdana"/>
                <w:b/>
                <w:sz w:val="20"/>
                <w:szCs w:val="20"/>
                <w:lang w:val="en-GB"/>
              </w:rPr>
            </w:pPr>
            <w:r>
              <w:rPr>
                <w:rFonts w:ascii="Verdana" w:hAnsi="Verdana"/>
                <w:b/>
                <w:sz w:val="20"/>
                <w:szCs w:val="20"/>
              </w:rPr>
              <w:t>Mn</w:t>
            </w:r>
          </w:p>
        </w:tc>
        <w:tc>
          <w:tcPr>
            <w:tcW w:w="569" w:type="pct"/>
            <w:tcBorders>
              <w:top w:val="single" w:sz="4" w:space="0" w:color="auto"/>
              <w:left w:val="nil"/>
              <w:bottom w:val="single" w:sz="4" w:space="0" w:color="auto"/>
              <w:right w:val="nil"/>
            </w:tcBorders>
            <w:hideMark/>
          </w:tcPr>
          <w:p w14:paraId="35FF31D1" w14:textId="77777777" w:rsidR="00FF1992" w:rsidRDefault="00FF1992">
            <w:pPr>
              <w:rPr>
                <w:rFonts w:ascii="Verdana" w:hAnsi="Verdana"/>
                <w:b/>
                <w:sz w:val="20"/>
                <w:szCs w:val="20"/>
                <w:lang w:val="en-GB"/>
              </w:rPr>
            </w:pPr>
            <w:r>
              <w:rPr>
                <w:rFonts w:ascii="Verdana" w:hAnsi="Verdana"/>
                <w:b/>
                <w:sz w:val="20"/>
                <w:szCs w:val="20"/>
              </w:rPr>
              <w:t>Zn</w:t>
            </w:r>
          </w:p>
        </w:tc>
        <w:tc>
          <w:tcPr>
            <w:tcW w:w="772" w:type="pct"/>
            <w:tcBorders>
              <w:top w:val="single" w:sz="4" w:space="0" w:color="auto"/>
              <w:left w:val="nil"/>
              <w:bottom w:val="single" w:sz="4" w:space="0" w:color="auto"/>
              <w:right w:val="nil"/>
            </w:tcBorders>
            <w:hideMark/>
          </w:tcPr>
          <w:p w14:paraId="1A26FD7D" w14:textId="77777777" w:rsidR="00FF1992" w:rsidRDefault="00FF1992">
            <w:pPr>
              <w:rPr>
                <w:rFonts w:ascii="Verdana" w:hAnsi="Verdana"/>
                <w:b/>
                <w:sz w:val="20"/>
                <w:szCs w:val="20"/>
                <w:lang w:val="en-GB"/>
              </w:rPr>
            </w:pPr>
            <w:r>
              <w:rPr>
                <w:rFonts w:ascii="Verdana" w:hAnsi="Verdana"/>
                <w:b/>
                <w:sz w:val="20"/>
                <w:szCs w:val="20"/>
              </w:rPr>
              <w:t>Ni</w:t>
            </w:r>
          </w:p>
        </w:tc>
      </w:tr>
      <w:tr w:rsidR="00FF1992" w14:paraId="79217B59" w14:textId="77777777" w:rsidTr="00DE5BAC">
        <w:tc>
          <w:tcPr>
            <w:tcW w:w="772" w:type="pct"/>
            <w:hideMark/>
          </w:tcPr>
          <w:p w14:paraId="375E6E17" w14:textId="77777777" w:rsidR="00FF1992" w:rsidRDefault="00FF1992">
            <w:pPr>
              <w:rPr>
                <w:rFonts w:ascii="Verdana" w:hAnsi="Verdana"/>
                <w:b/>
                <w:sz w:val="20"/>
                <w:szCs w:val="20"/>
                <w:lang w:val="en-GB"/>
              </w:rPr>
            </w:pPr>
            <w:r>
              <w:rPr>
                <w:rFonts w:ascii="Verdana" w:hAnsi="Verdana"/>
                <w:b/>
                <w:i/>
                <w:sz w:val="20"/>
                <w:szCs w:val="20"/>
              </w:rPr>
              <w:lastRenderedPageBreak/>
              <w:t>C. gariepinus</w:t>
            </w:r>
          </w:p>
        </w:tc>
        <w:tc>
          <w:tcPr>
            <w:tcW w:w="610" w:type="pct"/>
            <w:tcBorders>
              <w:top w:val="single" w:sz="4" w:space="0" w:color="auto"/>
              <w:left w:val="nil"/>
              <w:bottom w:val="nil"/>
              <w:right w:val="nil"/>
            </w:tcBorders>
            <w:hideMark/>
          </w:tcPr>
          <w:p w14:paraId="3CB23D79" w14:textId="77777777" w:rsidR="00FF1992" w:rsidRDefault="00FF1992">
            <w:pPr>
              <w:rPr>
                <w:rFonts w:ascii="Verdana" w:hAnsi="Verdana"/>
                <w:sz w:val="20"/>
                <w:szCs w:val="20"/>
                <w:lang w:val="en-GB"/>
              </w:rPr>
            </w:pPr>
            <w:r>
              <w:rPr>
                <w:rFonts w:ascii="Verdana" w:hAnsi="Verdana"/>
                <w:sz w:val="20"/>
                <w:szCs w:val="20"/>
              </w:rPr>
              <w:t>0.6259 ± 0.0012</w:t>
            </w:r>
          </w:p>
        </w:tc>
        <w:tc>
          <w:tcPr>
            <w:tcW w:w="528" w:type="pct"/>
            <w:tcBorders>
              <w:top w:val="single" w:sz="4" w:space="0" w:color="auto"/>
              <w:left w:val="nil"/>
              <w:bottom w:val="nil"/>
              <w:right w:val="nil"/>
            </w:tcBorders>
            <w:hideMark/>
          </w:tcPr>
          <w:p w14:paraId="1CED31FC" w14:textId="77777777" w:rsidR="00FF1992" w:rsidRDefault="00FF1992">
            <w:pPr>
              <w:rPr>
                <w:rFonts w:ascii="Verdana" w:hAnsi="Verdana"/>
                <w:sz w:val="20"/>
                <w:szCs w:val="20"/>
                <w:lang w:val="en-GB"/>
              </w:rPr>
            </w:pPr>
            <w:r>
              <w:rPr>
                <w:rFonts w:ascii="Verdana" w:hAnsi="Verdana"/>
                <w:sz w:val="20"/>
                <w:szCs w:val="20"/>
              </w:rPr>
              <w:t>0.0743 ± 0.0003</w:t>
            </w:r>
          </w:p>
        </w:tc>
        <w:tc>
          <w:tcPr>
            <w:tcW w:w="541" w:type="pct"/>
            <w:tcBorders>
              <w:top w:val="single" w:sz="4" w:space="0" w:color="auto"/>
              <w:left w:val="nil"/>
              <w:bottom w:val="nil"/>
              <w:right w:val="nil"/>
            </w:tcBorders>
            <w:hideMark/>
          </w:tcPr>
          <w:p w14:paraId="52A36105" w14:textId="77777777" w:rsidR="00FF1992" w:rsidRDefault="00FF1992">
            <w:pPr>
              <w:rPr>
                <w:rFonts w:ascii="Verdana" w:hAnsi="Verdana"/>
                <w:sz w:val="20"/>
                <w:szCs w:val="20"/>
                <w:lang w:val="en-GB"/>
              </w:rPr>
            </w:pPr>
            <w:r>
              <w:rPr>
                <w:rFonts w:ascii="Verdana" w:hAnsi="Verdana"/>
                <w:sz w:val="20"/>
                <w:szCs w:val="20"/>
              </w:rPr>
              <w:t>BDL</w:t>
            </w:r>
          </w:p>
        </w:tc>
        <w:tc>
          <w:tcPr>
            <w:tcW w:w="556" w:type="pct"/>
            <w:tcBorders>
              <w:top w:val="single" w:sz="4" w:space="0" w:color="auto"/>
              <w:left w:val="nil"/>
              <w:bottom w:val="nil"/>
              <w:right w:val="nil"/>
            </w:tcBorders>
            <w:hideMark/>
          </w:tcPr>
          <w:p w14:paraId="60CDD9CD" w14:textId="77777777" w:rsidR="00FF1992" w:rsidRDefault="00FF1992">
            <w:pPr>
              <w:rPr>
                <w:rFonts w:ascii="Verdana" w:hAnsi="Verdana"/>
                <w:sz w:val="20"/>
                <w:szCs w:val="20"/>
                <w:lang w:val="en-GB"/>
              </w:rPr>
            </w:pPr>
            <w:r>
              <w:rPr>
                <w:rFonts w:ascii="Verdana" w:hAnsi="Verdana"/>
                <w:sz w:val="20"/>
                <w:szCs w:val="20"/>
              </w:rPr>
              <w:t>0.0502 ± 0.0007</w:t>
            </w:r>
          </w:p>
        </w:tc>
        <w:tc>
          <w:tcPr>
            <w:tcW w:w="650" w:type="pct"/>
            <w:tcBorders>
              <w:top w:val="single" w:sz="4" w:space="0" w:color="auto"/>
              <w:left w:val="nil"/>
              <w:bottom w:val="nil"/>
              <w:right w:val="nil"/>
            </w:tcBorders>
            <w:hideMark/>
          </w:tcPr>
          <w:p w14:paraId="54297745" w14:textId="77777777" w:rsidR="00FF1992" w:rsidRDefault="00FF1992">
            <w:pPr>
              <w:rPr>
                <w:rFonts w:ascii="Verdana" w:hAnsi="Verdana"/>
                <w:sz w:val="20"/>
                <w:szCs w:val="20"/>
                <w:lang w:val="en-GB"/>
              </w:rPr>
            </w:pPr>
            <w:r>
              <w:rPr>
                <w:rFonts w:ascii="Verdana" w:hAnsi="Verdana"/>
                <w:sz w:val="20"/>
                <w:szCs w:val="20"/>
              </w:rPr>
              <w:t>0.0524 ± 0.0005</w:t>
            </w:r>
          </w:p>
        </w:tc>
        <w:tc>
          <w:tcPr>
            <w:tcW w:w="569" w:type="pct"/>
            <w:tcBorders>
              <w:top w:val="single" w:sz="4" w:space="0" w:color="auto"/>
              <w:left w:val="nil"/>
              <w:bottom w:val="nil"/>
              <w:right w:val="nil"/>
            </w:tcBorders>
            <w:hideMark/>
          </w:tcPr>
          <w:p w14:paraId="55D17E30" w14:textId="77777777" w:rsidR="00FF1992" w:rsidRDefault="00FF1992">
            <w:pPr>
              <w:rPr>
                <w:rFonts w:ascii="Verdana" w:hAnsi="Verdana"/>
                <w:sz w:val="20"/>
                <w:szCs w:val="20"/>
                <w:lang w:val="en-GB"/>
              </w:rPr>
            </w:pPr>
            <w:r>
              <w:rPr>
                <w:rFonts w:ascii="Verdana" w:hAnsi="Verdana"/>
                <w:sz w:val="20"/>
                <w:szCs w:val="20"/>
              </w:rPr>
              <w:t>0.2533 ± 0.0013</w:t>
            </w:r>
          </w:p>
        </w:tc>
        <w:tc>
          <w:tcPr>
            <w:tcW w:w="772" w:type="pct"/>
            <w:tcBorders>
              <w:top w:val="single" w:sz="4" w:space="0" w:color="auto"/>
              <w:left w:val="nil"/>
              <w:bottom w:val="nil"/>
              <w:right w:val="nil"/>
            </w:tcBorders>
            <w:hideMark/>
          </w:tcPr>
          <w:p w14:paraId="60E2D565" w14:textId="77777777" w:rsidR="00FF1992" w:rsidRDefault="00FF1992">
            <w:pPr>
              <w:rPr>
                <w:rFonts w:ascii="Verdana" w:hAnsi="Verdana"/>
                <w:sz w:val="20"/>
                <w:szCs w:val="20"/>
                <w:lang w:val="en-GB"/>
              </w:rPr>
            </w:pPr>
            <w:r>
              <w:rPr>
                <w:rFonts w:ascii="Verdana" w:hAnsi="Verdana"/>
                <w:sz w:val="20"/>
                <w:szCs w:val="20"/>
              </w:rPr>
              <w:t>0.2002 ± 0.0004</w:t>
            </w:r>
          </w:p>
        </w:tc>
      </w:tr>
      <w:tr w:rsidR="00FF1992" w14:paraId="6CE6CB83" w14:textId="77777777" w:rsidTr="00DE5BAC">
        <w:tc>
          <w:tcPr>
            <w:tcW w:w="772" w:type="pct"/>
            <w:hideMark/>
          </w:tcPr>
          <w:p w14:paraId="1486089C" w14:textId="77777777" w:rsidR="00FF1992" w:rsidRDefault="00FF1992">
            <w:pPr>
              <w:rPr>
                <w:rFonts w:ascii="Verdana" w:hAnsi="Verdana"/>
                <w:b/>
                <w:sz w:val="20"/>
                <w:szCs w:val="20"/>
                <w:lang w:val="en-GB"/>
              </w:rPr>
            </w:pPr>
            <w:r>
              <w:rPr>
                <w:rFonts w:ascii="Verdana" w:hAnsi="Verdana"/>
                <w:b/>
                <w:i/>
                <w:sz w:val="20"/>
                <w:szCs w:val="20"/>
              </w:rPr>
              <w:t>A. nebulosus</w:t>
            </w:r>
          </w:p>
        </w:tc>
        <w:tc>
          <w:tcPr>
            <w:tcW w:w="610" w:type="pct"/>
            <w:hideMark/>
          </w:tcPr>
          <w:p w14:paraId="75050523" w14:textId="77777777" w:rsidR="00FF1992" w:rsidRDefault="00FF1992">
            <w:pPr>
              <w:rPr>
                <w:rFonts w:ascii="Verdana" w:hAnsi="Verdana"/>
                <w:sz w:val="20"/>
                <w:szCs w:val="20"/>
                <w:lang w:val="en-GB"/>
              </w:rPr>
            </w:pPr>
            <w:r>
              <w:rPr>
                <w:rFonts w:ascii="Verdana" w:hAnsi="Verdana"/>
                <w:sz w:val="20"/>
                <w:szCs w:val="20"/>
              </w:rPr>
              <w:t>1.7225 ± 0.0023</w:t>
            </w:r>
          </w:p>
        </w:tc>
        <w:tc>
          <w:tcPr>
            <w:tcW w:w="528" w:type="pct"/>
            <w:hideMark/>
          </w:tcPr>
          <w:p w14:paraId="5CA2FFF5" w14:textId="77777777" w:rsidR="00FF1992" w:rsidRDefault="00FF1992">
            <w:pPr>
              <w:rPr>
                <w:rFonts w:ascii="Verdana" w:hAnsi="Verdana"/>
                <w:sz w:val="20"/>
                <w:szCs w:val="20"/>
                <w:lang w:val="en-GB"/>
              </w:rPr>
            </w:pPr>
            <w:r>
              <w:rPr>
                <w:rFonts w:ascii="Verdana" w:hAnsi="Verdana"/>
                <w:sz w:val="20"/>
                <w:szCs w:val="20"/>
              </w:rPr>
              <w:t>0.4345 ± 0.0006</w:t>
            </w:r>
          </w:p>
        </w:tc>
        <w:tc>
          <w:tcPr>
            <w:tcW w:w="541" w:type="pct"/>
            <w:hideMark/>
          </w:tcPr>
          <w:p w14:paraId="744237BD" w14:textId="77777777" w:rsidR="00FF1992" w:rsidRDefault="00FF1992">
            <w:pPr>
              <w:rPr>
                <w:rFonts w:ascii="Verdana" w:hAnsi="Verdana"/>
                <w:sz w:val="20"/>
                <w:szCs w:val="20"/>
                <w:lang w:val="en-GB"/>
              </w:rPr>
            </w:pPr>
            <w:r>
              <w:rPr>
                <w:rFonts w:ascii="Verdana" w:hAnsi="Verdana"/>
                <w:sz w:val="20"/>
                <w:szCs w:val="20"/>
              </w:rPr>
              <w:t>0.0140 ± 0.0004</w:t>
            </w:r>
          </w:p>
        </w:tc>
        <w:tc>
          <w:tcPr>
            <w:tcW w:w="556" w:type="pct"/>
            <w:hideMark/>
          </w:tcPr>
          <w:p w14:paraId="2B61306B" w14:textId="77777777" w:rsidR="00FF1992" w:rsidRDefault="00FF1992">
            <w:pPr>
              <w:rPr>
                <w:rFonts w:ascii="Verdana" w:hAnsi="Verdana"/>
                <w:sz w:val="20"/>
                <w:szCs w:val="20"/>
                <w:lang w:val="en-GB"/>
              </w:rPr>
            </w:pPr>
            <w:r>
              <w:rPr>
                <w:rFonts w:ascii="Verdana" w:hAnsi="Verdana"/>
                <w:sz w:val="20"/>
                <w:szCs w:val="20"/>
              </w:rPr>
              <w:t>0.0592 ± 0.0004</w:t>
            </w:r>
          </w:p>
        </w:tc>
        <w:tc>
          <w:tcPr>
            <w:tcW w:w="650" w:type="pct"/>
            <w:hideMark/>
          </w:tcPr>
          <w:p w14:paraId="4A8B3BEE" w14:textId="77777777" w:rsidR="00FF1992" w:rsidRDefault="00FF1992">
            <w:pPr>
              <w:rPr>
                <w:rFonts w:ascii="Verdana" w:hAnsi="Verdana"/>
                <w:sz w:val="20"/>
                <w:szCs w:val="20"/>
                <w:lang w:val="en-GB"/>
              </w:rPr>
            </w:pPr>
            <w:r>
              <w:rPr>
                <w:rFonts w:ascii="Verdana" w:hAnsi="Verdana"/>
                <w:sz w:val="20"/>
                <w:szCs w:val="20"/>
              </w:rPr>
              <w:t>0.1428 ± 0.0006</w:t>
            </w:r>
          </w:p>
        </w:tc>
        <w:tc>
          <w:tcPr>
            <w:tcW w:w="569" w:type="pct"/>
            <w:hideMark/>
          </w:tcPr>
          <w:p w14:paraId="5A87091A" w14:textId="77777777" w:rsidR="00FF1992" w:rsidRDefault="00FF1992">
            <w:pPr>
              <w:rPr>
                <w:rFonts w:ascii="Verdana" w:hAnsi="Verdana"/>
                <w:sz w:val="20"/>
                <w:szCs w:val="20"/>
                <w:lang w:val="en-GB"/>
              </w:rPr>
            </w:pPr>
            <w:r>
              <w:rPr>
                <w:rFonts w:ascii="Verdana" w:hAnsi="Verdana"/>
                <w:sz w:val="20"/>
                <w:szCs w:val="20"/>
              </w:rPr>
              <w:t>0.3997 ± 0.0010</w:t>
            </w:r>
          </w:p>
        </w:tc>
        <w:tc>
          <w:tcPr>
            <w:tcW w:w="772" w:type="pct"/>
            <w:hideMark/>
          </w:tcPr>
          <w:p w14:paraId="09751D04" w14:textId="77777777" w:rsidR="00FF1992" w:rsidRDefault="00FF1992">
            <w:pPr>
              <w:rPr>
                <w:rFonts w:ascii="Verdana" w:hAnsi="Verdana"/>
                <w:sz w:val="20"/>
                <w:szCs w:val="20"/>
                <w:lang w:val="en-GB"/>
              </w:rPr>
            </w:pPr>
            <w:r>
              <w:rPr>
                <w:rFonts w:ascii="Verdana" w:hAnsi="Verdana"/>
                <w:sz w:val="20"/>
                <w:szCs w:val="20"/>
              </w:rPr>
              <w:t>0.2285 ± 0.0004</w:t>
            </w:r>
          </w:p>
        </w:tc>
      </w:tr>
      <w:tr w:rsidR="00FF1992" w14:paraId="66A22F9E" w14:textId="77777777" w:rsidTr="00DE5BAC">
        <w:tc>
          <w:tcPr>
            <w:tcW w:w="772" w:type="pct"/>
            <w:tcBorders>
              <w:top w:val="nil"/>
              <w:left w:val="nil"/>
              <w:bottom w:val="single" w:sz="4" w:space="0" w:color="auto"/>
              <w:right w:val="nil"/>
            </w:tcBorders>
            <w:hideMark/>
          </w:tcPr>
          <w:p w14:paraId="6D1A4F1B" w14:textId="77777777" w:rsidR="00FF1992" w:rsidRDefault="00FF1992">
            <w:pPr>
              <w:rPr>
                <w:rFonts w:ascii="Verdana" w:hAnsi="Verdana"/>
                <w:b/>
                <w:sz w:val="20"/>
                <w:szCs w:val="20"/>
                <w:lang w:val="en-GB"/>
              </w:rPr>
            </w:pPr>
            <w:r>
              <w:rPr>
                <w:rFonts w:ascii="Verdana" w:hAnsi="Verdana"/>
                <w:b/>
                <w:i/>
                <w:sz w:val="20"/>
                <w:szCs w:val="20"/>
              </w:rPr>
              <w:t xml:space="preserve">T. </w:t>
            </w:r>
            <w:proofErr w:type="spellStart"/>
            <w:r>
              <w:rPr>
                <w:rFonts w:ascii="Verdana" w:hAnsi="Verdana"/>
                <w:b/>
                <w:i/>
                <w:sz w:val="20"/>
                <w:szCs w:val="20"/>
              </w:rPr>
              <w:t>zilli</w:t>
            </w:r>
            <w:proofErr w:type="spellEnd"/>
          </w:p>
        </w:tc>
        <w:tc>
          <w:tcPr>
            <w:tcW w:w="610" w:type="pct"/>
            <w:tcBorders>
              <w:top w:val="nil"/>
              <w:left w:val="nil"/>
              <w:bottom w:val="single" w:sz="4" w:space="0" w:color="auto"/>
              <w:right w:val="nil"/>
            </w:tcBorders>
            <w:hideMark/>
          </w:tcPr>
          <w:p w14:paraId="2559BC04" w14:textId="77777777" w:rsidR="00FF1992" w:rsidRDefault="00FF1992">
            <w:pPr>
              <w:rPr>
                <w:rFonts w:ascii="Verdana" w:hAnsi="Verdana"/>
                <w:sz w:val="20"/>
                <w:szCs w:val="20"/>
                <w:lang w:val="en-GB"/>
              </w:rPr>
            </w:pPr>
            <w:r>
              <w:rPr>
                <w:rFonts w:ascii="Verdana" w:hAnsi="Verdana"/>
                <w:sz w:val="20"/>
                <w:szCs w:val="20"/>
              </w:rPr>
              <w:t>2.0274 ± 0.0008</w:t>
            </w:r>
          </w:p>
        </w:tc>
        <w:tc>
          <w:tcPr>
            <w:tcW w:w="528" w:type="pct"/>
            <w:tcBorders>
              <w:top w:val="nil"/>
              <w:left w:val="nil"/>
              <w:bottom w:val="single" w:sz="4" w:space="0" w:color="auto"/>
              <w:right w:val="nil"/>
            </w:tcBorders>
            <w:hideMark/>
          </w:tcPr>
          <w:p w14:paraId="7E8EAD02" w14:textId="77777777" w:rsidR="00FF1992" w:rsidRDefault="00FF1992">
            <w:pPr>
              <w:rPr>
                <w:rFonts w:ascii="Verdana" w:hAnsi="Verdana"/>
                <w:sz w:val="20"/>
                <w:szCs w:val="20"/>
                <w:lang w:val="en-GB"/>
              </w:rPr>
            </w:pPr>
            <w:r>
              <w:rPr>
                <w:rFonts w:ascii="Verdana" w:hAnsi="Verdana"/>
                <w:sz w:val="20"/>
                <w:szCs w:val="20"/>
              </w:rPr>
              <w:t>0.7164 ± 0.0004</w:t>
            </w:r>
          </w:p>
        </w:tc>
        <w:tc>
          <w:tcPr>
            <w:tcW w:w="541" w:type="pct"/>
            <w:tcBorders>
              <w:top w:val="nil"/>
              <w:left w:val="nil"/>
              <w:bottom w:val="single" w:sz="4" w:space="0" w:color="auto"/>
              <w:right w:val="nil"/>
            </w:tcBorders>
            <w:hideMark/>
          </w:tcPr>
          <w:p w14:paraId="42901179" w14:textId="77777777" w:rsidR="00FF1992" w:rsidRDefault="00FF1992">
            <w:pPr>
              <w:rPr>
                <w:rFonts w:ascii="Verdana" w:hAnsi="Verdana"/>
                <w:sz w:val="20"/>
                <w:szCs w:val="20"/>
                <w:lang w:val="en-GB"/>
              </w:rPr>
            </w:pPr>
            <w:r>
              <w:rPr>
                <w:rFonts w:ascii="Verdana" w:hAnsi="Verdana"/>
                <w:sz w:val="20"/>
                <w:szCs w:val="20"/>
              </w:rPr>
              <w:t>0.0340 ± 0.0006</w:t>
            </w:r>
          </w:p>
        </w:tc>
        <w:tc>
          <w:tcPr>
            <w:tcW w:w="556" w:type="pct"/>
            <w:tcBorders>
              <w:top w:val="nil"/>
              <w:left w:val="nil"/>
              <w:bottom w:val="single" w:sz="4" w:space="0" w:color="auto"/>
              <w:right w:val="nil"/>
            </w:tcBorders>
            <w:hideMark/>
          </w:tcPr>
          <w:p w14:paraId="2BFB3097" w14:textId="77777777" w:rsidR="00FF1992" w:rsidRDefault="00FF1992">
            <w:pPr>
              <w:rPr>
                <w:rFonts w:ascii="Verdana" w:hAnsi="Verdana"/>
                <w:sz w:val="20"/>
                <w:szCs w:val="20"/>
                <w:lang w:val="en-GB"/>
              </w:rPr>
            </w:pPr>
            <w:r>
              <w:rPr>
                <w:rFonts w:ascii="Verdana" w:hAnsi="Verdana"/>
                <w:sz w:val="20"/>
                <w:szCs w:val="20"/>
              </w:rPr>
              <w:t>0.0737 ± 0.0006</w:t>
            </w:r>
          </w:p>
        </w:tc>
        <w:tc>
          <w:tcPr>
            <w:tcW w:w="650" w:type="pct"/>
            <w:tcBorders>
              <w:top w:val="nil"/>
              <w:left w:val="nil"/>
              <w:bottom w:val="single" w:sz="4" w:space="0" w:color="auto"/>
              <w:right w:val="nil"/>
            </w:tcBorders>
            <w:hideMark/>
          </w:tcPr>
          <w:p w14:paraId="5E83DE54" w14:textId="77777777" w:rsidR="00FF1992" w:rsidRDefault="00FF1992">
            <w:pPr>
              <w:rPr>
                <w:rFonts w:ascii="Verdana" w:hAnsi="Verdana"/>
                <w:sz w:val="20"/>
                <w:szCs w:val="20"/>
                <w:lang w:val="en-GB"/>
              </w:rPr>
            </w:pPr>
            <w:r>
              <w:rPr>
                <w:rFonts w:ascii="Verdana" w:hAnsi="Verdana"/>
                <w:sz w:val="20"/>
                <w:szCs w:val="20"/>
              </w:rPr>
              <w:t>0.1092 ± 0.0004</w:t>
            </w:r>
          </w:p>
        </w:tc>
        <w:tc>
          <w:tcPr>
            <w:tcW w:w="569" w:type="pct"/>
            <w:tcBorders>
              <w:top w:val="nil"/>
              <w:left w:val="nil"/>
              <w:bottom w:val="single" w:sz="4" w:space="0" w:color="auto"/>
              <w:right w:val="nil"/>
            </w:tcBorders>
            <w:hideMark/>
          </w:tcPr>
          <w:p w14:paraId="03F535AE" w14:textId="77777777" w:rsidR="00FF1992" w:rsidRDefault="00FF1992">
            <w:pPr>
              <w:rPr>
                <w:rFonts w:ascii="Verdana" w:hAnsi="Verdana"/>
                <w:sz w:val="20"/>
                <w:szCs w:val="20"/>
                <w:lang w:val="en-GB"/>
              </w:rPr>
            </w:pPr>
            <w:r>
              <w:rPr>
                <w:rFonts w:ascii="Verdana" w:hAnsi="Verdana"/>
                <w:sz w:val="20"/>
                <w:szCs w:val="20"/>
              </w:rPr>
              <w:t>0.6302 ± 0.0004</w:t>
            </w:r>
          </w:p>
        </w:tc>
        <w:tc>
          <w:tcPr>
            <w:tcW w:w="772" w:type="pct"/>
            <w:tcBorders>
              <w:top w:val="nil"/>
              <w:left w:val="nil"/>
              <w:bottom w:val="single" w:sz="4" w:space="0" w:color="auto"/>
              <w:right w:val="nil"/>
            </w:tcBorders>
            <w:hideMark/>
          </w:tcPr>
          <w:p w14:paraId="7118FCAB" w14:textId="77777777" w:rsidR="00FF1992" w:rsidRDefault="00FF1992">
            <w:pPr>
              <w:rPr>
                <w:rFonts w:ascii="Verdana" w:hAnsi="Verdana"/>
                <w:sz w:val="20"/>
                <w:szCs w:val="20"/>
                <w:lang w:val="en-GB"/>
              </w:rPr>
            </w:pPr>
            <w:r>
              <w:rPr>
                <w:rFonts w:ascii="Verdana" w:hAnsi="Verdana"/>
                <w:sz w:val="20"/>
                <w:szCs w:val="20"/>
              </w:rPr>
              <w:t>0.4007 ± 0.0006</w:t>
            </w:r>
          </w:p>
        </w:tc>
      </w:tr>
    </w:tbl>
    <w:p w14:paraId="7709B835" w14:textId="77777777" w:rsidR="00FF1992" w:rsidRDefault="00FF1992" w:rsidP="00FF1992">
      <w:pPr>
        <w:rPr>
          <w:rFonts w:ascii="Verdana" w:hAnsi="Verdana"/>
          <w:b/>
          <w:lang w:val="en-GB"/>
        </w:rPr>
      </w:pPr>
    </w:p>
    <w:p w14:paraId="66E76AE6" w14:textId="77777777" w:rsidR="004A7BA1" w:rsidRDefault="004A7BA1" w:rsidP="00FF1992">
      <w:pPr>
        <w:rPr>
          <w:rFonts w:ascii="Verdana" w:hAnsi="Verdana"/>
          <w:b/>
          <w:lang w:val="en-GB"/>
        </w:rPr>
      </w:pPr>
    </w:p>
    <w:p w14:paraId="4AECB41A" w14:textId="3F4338F7" w:rsidR="00FF1992" w:rsidRDefault="00FF1992" w:rsidP="00FF1992">
      <w:pPr>
        <w:jc w:val="center"/>
        <w:rPr>
          <w:rFonts w:ascii="Verdana" w:hAnsi="Verdana"/>
          <w:b/>
        </w:rPr>
      </w:pPr>
      <w:r>
        <w:rPr>
          <w:rFonts w:ascii="Verdana" w:hAnsi="Verdana"/>
          <w:b/>
        </w:rPr>
        <w:t>Table 2</w:t>
      </w:r>
      <w:r w:rsidR="004A7BA1" w:rsidRPr="004A7BA1">
        <w:rPr>
          <w:rFonts w:ascii="Verdana" w:hAnsi="Verdana"/>
          <w:b/>
          <w:highlight w:val="yellow"/>
        </w:rPr>
        <w:t>:</w:t>
      </w:r>
      <w:r>
        <w:rPr>
          <w:rFonts w:ascii="Verdana" w:hAnsi="Verdana"/>
          <w:b/>
        </w:rPr>
        <w:t xml:space="preserve"> Daily Metal Intakes in Children from Consumption of the Fish Samples</w:t>
      </w:r>
      <w:r>
        <w:rPr>
          <w:rFonts w:ascii="Verdana" w:hAnsi="Verdana"/>
          <w:b/>
          <w:color w:val="000000"/>
        </w:rPr>
        <w:t xml:space="preserve"> </w:t>
      </w:r>
      <w:r>
        <w:rPr>
          <w:rStyle w:val="apple-converted-space"/>
          <w:rFonts w:ascii="Verdana" w:hAnsi="Verdana"/>
          <w:b/>
          <w:color w:val="000000"/>
        </w:rPr>
        <w:t>from Jibia Dam, Jibia Local Government Katsina State, Nigeria</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89"/>
        <w:gridCol w:w="1040"/>
        <w:gridCol w:w="1265"/>
        <w:gridCol w:w="1265"/>
        <w:gridCol w:w="1265"/>
        <w:gridCol w:w="1265"/>
        <w:gridCol w:w="1265"/>
        <w:gridCol w:w="1262"/>
      </w:tblGrid>
      <w:tr w:rsidR="00FF1992" w14:paraId="57D6018A" w14:textId="77777777" w:rsidTr="00DE5BAC">
        <w:tc>
          <w:tcPr>
            <w:tcW w:w="1085" w:type="pct"/>
            <w:tcBorders>
              <w:top w:val="single" w:sz="4" w:space="0" w:color="auto"/>
              <w:left w:val="nil"/>
              <w:bottom w:val="single" w:sz="4" w:space="0" w:color="auto"/>
              <w:right w:val="nil"/>
            </w:tcBorders>
            <w:hideMark/>
          </w:tcPr>
          <w:p w14:paraId="75C6242E" w14:textId="77777777" w:rsidR="00FF1992" w:rsidRDefault="00FF1992">
            <w:pPr>
              <w:rPr>
                <w:rFonts w:ascii="Verdana" w:hAnsi="Verdana"/>
                <w:b/>
                <w:sz w:val="20"/>
                <w:szCs w:val="20"/>
                <w:lang w:val="en-GB"/>
              </w:rPr>
            </w:pPr>
            <w:r>
              <w:rPr>
                <w:rFonts w:ascii="Verdana" w:hAnsi="Verdana"/>
                <w:b/>
                <w:sz w:val="20"/>
                <w:szCs w:val="20"/>
              </w:rPr>
              <w:t>Sample</w:t>
            </w:r>
          </w:p>
        </w:tc>
        <w:tc>
          <w:tcPr>
            <w:tcW w:w="472" w:type="pct"/>
            <w:tcBorders>
              <w:top w:val="single" w:sz="4" w:space="0" w:color="auto"/>
              <w:left w:val="nil"/>
              <w:bottom w:val="single" w:sz="4" w:space="0" w:color="auto"/>
              <w:right w:val="nil"/>
            </w:tcBorders>
          </w:tcPr>
          <w:p w14:paraId="4D66F7A4" w14:textId="77777777" w:rsidR="00FF1992" w:rsidRDefault="00FF1992">
            <w:pPr>
              <w:rPr>
                <w:rFonts w:ascii="Verdana" w:hAnsi="Verdana"/>
                <w:b/>
                <w:sz w:val="20"/>
                <w:szCs w:val="20"/>
                <w:lang w:val="en-GB"/>
              </w:rPr>
            </w:pPr>
          </w:p>
        </w:tc>
        <w:tc>
          <w:tcPr>
            <w:tcW w:w="574" w:type="pct"/>
            <w:tcBorders>
              <w:top w:val="single" w:sz="4" w:space="0" w:color="auto"/>
              <w:left w:val="nil"/>
              <w:bottom w:val="single" w:sz="4" w:space="0" w:color="auto"/>
              <w:right w:val="nil"/>
            </w:tcBorders>
          </w:tcPr>
          <w:p w14:paraId="02371D08" w14:textId="77777777" w:rsidR="00FF1992" w:rsidRDefault="00FF1992">
            <w:pPr>
              <w:rPr>
                <w:rFonts w:ascii="Verdana" w:hAnsi="Verdana"/>
                <w:b/>
                <w:sz w:val="20"/>
                <w:szCs w:val="20"/>
                <w:lang w:val="en-GB"/>
              </w:rPr>
            </w:pPr>
          </w:p>
        </w:tc>
        <w:tc>
          <w:tcPr>
            <w:tcW w:w="574" w:type="pct"/>
            <w:tcBorders>
              <w:top w:val="single" w:sz="4" w:space="0" w:color="auto"/>
              <w:left w:val="nil"/>
              <w:bottom w:val="single" w:sz="4" w:space="0" w:color="auto"/>
              <w:right w:val="nil"/>
            </w:tcBorders>
          </w:tcPr>
          <w:p w14:paraId="17617634" w14:textId="77777777" w:rsidR="00FF1992" w:rsidRDefault="00FF1992">
            <w:pPr>
              <w:rPr>
                <w:rFonts w:ascii="Verdana" w:hAnsi="Verdana"/>
                <w:b/>
                <w:sz w:val="20"/>
                <w:szCs w:val="20"/>
                <w:lang w:val="en-GB"/>
              </w:rPr>
            </w:pPr>
          </w:p>
        </w:tc>
        <w:tc>
          <w:tcPr>
            <w:tcW w:w="574" w:type="pct"/>
            <w:tcBorders>
              <w:top w:val="single" w:sz="4" w:space="0" w:color="auto"/>
              <w:left w:val="nil"/>
              <w:bottom w:val="single" w:sz="4" w:space="0" w:color="auto"/>
              <w:right w:val="nil"/>
            </w:tcBorders>
            <w:hideMark/>
          </w:tcPr>
          <w:p w14:paraId="11006883" w14:textId="77777777" w:rsidR="00FF1992" w:rsidRDefault="00FF1992">
            <w:pPr>
              <w:rPr>
                <w:rFonts w:ascii="Verdana" w:hAnsi="Verdana"/>
                <w:b/>
                <w:sz w:val="20"/>
                <w:szCs w:val="20"/>
                <w:lang w:val="en-GB"/>
              </w:rPr>
            </w:pPr>
            <w:r>
              <w:rPr>
                <w:rFonts w:ascii="Verdana" w:hAnsi="Verdana"/>
                <w:b/>
                <w:sz w:val="20"/>
                <w:szCs w:val="20"/>
              </w:rPr>
              <w:t>Daily metal intake</w:t>
            </w:r>
          </w:p>
        </w:tc>
        <w:tc>
          <w:tcPr>
            <w:tcW w:w="574" w:type="pct"/>
            <w:tcBorders>
              <w:top w:val="single" w:sz="4" w:space="0" w:color="auto"/>
              <w:left w:val="nil"/>
              <w:bottom w:val="single" w:sz="4" w:space="0" w:color="auto"/>
              <w:right w:val="nil"/>
            </w:tcBorders>
          </w:tcPr>
          <w:p w14:paraId="57B615DF" w14:textId="77777777" w:rsidR="00FF1992" w:rsidRDefault="00FF1992">
            <w:pPr>
              <w:rPr>
                <w:rFonts w:ascii="Verdana" w:hAnsi="Verdana"/>
                <w:b/>
                <w:sz w:val="20"/>
                <w:szCs w:val="20"/>
                <w:lang w:val="en-GB"/>
              </w:rPr>
            </w:pPr>
          </w:p>
        </w:tc>
        <w:tc>
          <w:tcPr>
            <w:tcW w:w="574" w:type="pct"/>
            <w:tcBorders>
              <w:top w:val="single" w:sz="4" w:space="0" w:color="auto"/>
              <w:left w:val="nil"/>
              <w:bottom w:val="single" w:sz="4" w:space="0" w:color="auto"/>
              <w:right w:val="nil"/>
            </w:tcBorders>
          </w:tcPr>
          <w:p w14:paraId="7F71F342" w14:textId="77777777" w:rsidR="00FF1992" w:rsidRDefault="00FF1992">
            <w:pPr>
              <w:rPr>
                <w:rFonts w:ascii="Verdana" w:hAnsi="Verdana"/>
                <w:b/>
                <w:sz w:val="20"/>
                <w:szCs w:val="20"/>
                <w:lang w:val="en-GB"/>
              </w:rPr>
            </w:pPr>
          </w:p>
        </w:tc>
        <w:tc>
          <w:tcPr>
            <w:tcW w:w="574" w:type="pct"/>
            <w:tcBorders>
              <w:top w:val="single" w:sz="4" w:space="0" w:color="auto"/>
              <w:left w:val="nil"/>
              <w:bottom w:val="single" w:sz="4" w:space="0" w:color="auto"/>
              <w:right w:val="nil"/>
            </w:tcBorders>
          </w:tcPr>
          <w:p w14:paraId="518E36B8" w14:textId="77777777" w:rsidR="00FF1992" w:rsidRDefault="00FF1992">
            <w:pPr>
              <w:rPr>
                <w:rFonts w:ascii="Verdana" w:hAnsi="Verdana"/>
                <w:b/>
                <w:sz w:val="20"/>
                <w:szCs w:val="20"/>
                <w:lang w:val="en-GB"/>
              </w:rPr>
            </w:pPr>
          </w:p>
        </w:tc>
      </w:tr>
      <w:tr w:rsidR="00FF1992" w14:paraId="00FF0DA1" w14:textId="77777777" w:rsidTr="00DE5BAC">
        <w:tc>
          <w:tcPr>
            <w:tcW w:w="1085" w:type="pct"/>
            <w:tcBorders>
              <w:top w:val="single" w:sz="4" w:space="0" w:color="auto"/>
              <w:left w:val="nil"/>
              <w:bottom w:val="nil"/>
              <w:right w:val="nil"/>
            </w:tcBorders>
          </w:tcPr>
          <w:p w14:paraId="4805FD06" w14:textId="77777777" w:rsidR="00FF1992" w:rsidRDefault="00FF1992">
            <w:pPr>
              <w:rPr>
                <w:rFonts w:ascii="Verdana" w:hAnsi="Verdana"/>
                <w:b/>
                <w:sz w:val="20"/>
                <w:szCs w:val="20"/>
                <w:lang w:val="en-GB"/>
              </w:rPr>
            </w:pPr>
          </w:p>
        </w:tc>
        <w:tc>
          <w:tcPr>
            <w:tcW w:w="472" w:type="pct"/>
            <w:tcBorders>
              <w:top w:val="single" w:sz="4" w:space="0" w:color="auto"/>
              <w:left w:val="nil"/>
              <w:bottom w:val="single" w:sz="4" w:space="0" w:color="auto"/>
              <w:right w:val="nil"/>
            </w:tcBorders>
            <w:hideMark/>
          </w:tcPr>
          <w:p w14:paraId="28C8AC9E" w14:textId="77777777" w:rsidR="00FF1992" w:rsidRDefault="00FF1992">
            <w:pPr>
              <w:rPr>
                <w:rFonts w:ascii="Verdana" w:hAnsi="Verdana"/>
                <w:b/>
                <w:sz w:val="20"/>
                <w:szCs w:val="20"/>
                <w:lang w:val="en-GB"/>
              </w:rPr>
            </w:pPr>
            <w:r>
              <w:rPr>
                <w:rFonts w:ascii="Verdana" w:hAnsi="Verdana"/>
                <w:b/>
                <w:sz w:val="20"/>
                <w:szCs w:val="20"/>
              </w:rPr>
              <w:t>Fe</w:t>
            </w:r>
          </w:p>
        </w:tc>
        <w:tc>
          <w:tcPr>
            <w:tcW w:w="574" w:type="pct"/>
            <w:tcBorders>
              <w:top w:val="single" w:sz="4" w:space="0" w:color="auto"/>
              <w:left w:val="nil"/>
              <w:bottom w:val="single" w:sz="4" w:space="0" w:color="auto"/>
              <w:right w:val="nil"/>
            </w:tcBorders>
            <w:hideMark/>
          </w:tcPr>
          <w:p w14:paraId="3592F048" w14:textId="77777777" w:rsidR="00FF1992" w:rsidRDefault="00FF1992">
            <w:pPr>
              <w:rPr>
                <w:rFonts w:ascii="Verdana" w:hAnsi="Verdana"/>
                <w:b/>
                <w:sz w:val="20"/>
                <w:szCs w:val="20"/>
                <w:lang w:val="en-GB"/>
              </w:rPr>
            </w:pPr>
            <w:r>
              <w:rPr>
                <w:rFonts w:ascii="Verdana" w:hAnsi="Verdana"/>
                <w:b/>
                <w:sz w:val="20"/>
                <w:szCs w:val="20"/>
              </w:rPr>
              <w:t>Pb</w:t>
            </w:r>
          </w:p>
        </w:tc>
        <w:tc>
          <w:tcPr>
            <w:tcW w:w="574" w:type="pct"/>
            <w:tcBorders>
              <w:top w:val="single" w:sz="4" w:space="0" w:color="auto"/>
              <w:left w:val="nil"/>
              <w:bottom w:val="single" w:sz="4" w:space="0" w:color="auto"/>
              <w:right w:val="nil"/>
            </w:tcBorders>
            <w:hideMark/>
          </w:tcPr>
          <w:p w14:paraId="6118CD8D" w14:textId="77777777" w:rsidR="00FF1992" w:rsidRDefault="00FF1992">
            <w:pPr>
              <w:rPr>
                <w:rFonts w:ascii="Verdana" w:hAnsi="Verdana"/>
                <w:b/>
                <w:sz w:val="20"/>
                <w:szCs w:val="20"/>
                <w:lang w:val="en-GB"/>
              </w:rPr>
            </w:pPr>
            <w:r>
              <w:rPr>
                <w:rFonts w:ascii="Verdana" w:hAnsi="Verdana"/>
                <w:b/>
                <w:sz w:val="20"/>
                <w:szCs w:val="20"/>
              </w:rPr>
              <w:t>Cd</w:t>
            </w:r>
          </w:p>
        </w:tc>
        <w:tc>
          <w:tcPr>
            <w:tcW w:w="574" w:type="pct"/>
            <w:tcBorders>
              <w:top w:val="single" w:sz="4" w:space="0" w:color="auto"/>
              <w:left w:val="nil"/>
              <w:bottom w:val="single" w:sz="4" w:space="0" w:color="auto"/>
              <w:right w:val="nil"/>
            </w:tcBorders>
            <w:hideMark/>
          </w:tcPr>
          <w:p w14:paraId="0F927A6F" w14:textId="77777777" w:rsidR="00FF1992" w:rsidRDefault="00FF1992">
            <w:pPr>
              <w:rPr>
                <w:rFonts w:ascii="Verdana" w:hAnsi="Verdana"/>
                <w:b/>
                <w:sz w:val="20"/>
                <w:szCs w:val="20"/>
                <w:lang w:val="en-GB"/>
              </w:rPr>
            </w:pPr>
            <w:r>
              <w:rPr>
                <w:rFonts w:ascii="Verdana" w:hAnsi="Verdana"/>
                <w:b/>
                <w:sz w:val="20"/>
                <w:szCs w:val="20"/>
              </w:rPr>
              <w:t>Cu</w:t>
            </w:r>
          </w:p>
        </w:tc>
        <w:tc>
          <w:tcPr>
            <w:tcW w:w="574" w:type="pct"/>
            <w:tcBorders>
              <w:top w:val="single" w:sz="4" w:space="0" w:color="auto"/>
              <w:left w:val="nil"/>
              <w:bottom w:val="single" w:sz="4" w:space="0" w:color="auto"/>
              <w:right w:val="nil"/>
            </w:tcBorders>
            <w:hideMark/>
          </w:tcPr>
          <w:p w14:paraId="016FB07F" w14:textId="77777777" w:rsidR="00FF1992" w:rsidRDefault="00FF1992">
            <w:pPr>
              <w:rPr>
                <w:rFonts w:ascii="Verdana" w:hAnsi="Verdana"/>
                <w:b/>
                <w:sz w:val="20"/>
                <w:szCs w:val="20"/>
                <w:lang w:val="en-GB"/>
              </w:rPr>
            </w:pPr>
            <w:r>
              <w:rPr>
                <w:rFonts w:ascii="Verdana" w:hAnsi="Verdana"/>
                <w:b/>
                <w:sz w:val="20"/>
                <w:szCs w:val="20"/>
              </w:rPr>
              <w:t>Mn</w:t>
            </w:r>
          </w:p>
        </w:tc>
        <w:tc>
          <w:tcPr>
            <w:tcW w:w="574" w:type="pct"/>
            <w:tcBorders>
              <w:top w:val="single" w:sz="4" w:space="0" w:color="auto"/>
              <w:left w:val="nil"/>
              <w:bottom w:val="single" w:sz="4" w:space="0" w:color="auto"/>
              <w:right w:val="nil"/>
            </w:tcBorders>
            <w:hideMark/>
          </w:tcPr>
          <w:p w14:paraId="34D2A625" w14:textId="77777777" w:rsidR="00FF1992" w:rsidRDefault="00FF1992">
            <w:pPr>
              <w:rPr>
                <w:rFonts w:ascii="Verdana" w:hAnsi="Verdana"/>
                <w:b/>
                <w:sz w:val="20"/>
                <w:szCs w:val="20"/>
                <w:lang w:val="en-GB"/>
              </w:rPr>
            </w:pPr>
            <w:r>
              <w:rPr>
                <w:rFonts w:ascii="Verdana" w:hAnsi="Verdana"/>
                <w:b/>
                <w:sz w:val="20"/>
                <w:szCs w:val="20"/>
              </w:rPr>
              <w:t>Zn</w:t>
            </w:r>
          </w:p>
        </w:tc>
        <w:tc>
          <w:tcPr>
            <w:tcW w:w="574" w:type="pct"/>
            <w:tcBorders>
              <w:top w:val="single" w:sz="4" w:space="0" w:color="auto"/>
              <w:left w:val="nil"/>
              <w:bottom w:val="single" w:sz="4" w:space="0" w:color="auto"/>
              <w:right w:val="nil"/>
            </w:tcBorders>
            <w:hideMark/>
          </w:tcPr>
          <w:p w14:paraId="103CA127" w14:textId="77777777" w:rsidR="00FF1992" w:rsidRDefault="00FF1992">
            <w:pPr>
              <w:rPr>
                <w:rFonts w:ascii="Verdana" w:hAnsi="Verdana"/>
                <w:b/>
                <w:sz w:val="20"/>
                <w:szCs w:val="20"/>
                <w:lang w:val="en-GB"/>
              </w:rPr>
            </w:pPr>
            <w:r>
              <w:rPr>
                <w:rFonts w:ascii="Verdana" w:hAnsi="Verdana"/>
                <w:b/>
                <w:sz w:val="20"/>
                <w:szCs w:val="20"/>
              </w:rPr>
              <w:t>Ni</w:t>
            </w:r>
          </w:p>
        </w:tc>
      </w:tr>
      <w:tr w:rsidR="00FF1992" w14:paraId="0D285A92" w14:textId="77777777" w:rsidTr="00DE5BAC">
        <w:tc>
          <w:tcPr>
            <w:tcW w:w="1085" w:type="pct"/>
            <w:tcBorders>
              <w:top w:val="nil"/>
              <w:left w:val="nil"/>
              <w:bottom w:val="nil"/>
              <w:right w:val="nil"/>
            </w:tcBorders>
            <w:hideMark/>
          </w:tcPr>
          <w:p w14:paraId="53BA9B03" w14:textId="77777777" w:rsidR="00FF1992" w:rsidRDefault="00FF1992">
            <w:pPr>
              <w:rPr>
                <w:rFonts w:ascii="Verdana" w:hAnsi="Verdana"/>
                <w:b/>
                <w:sz w:val="20"/>
                <w:szCs w:val="20"/>
                <w:lang w:val="en-GB"/>
              </w:rPr>
            </w:pPr>
            <w:r>
              <w:rPr>
                <w:rFonts w:ascii="Verdana" w:hAnsi="Verdana"/>
                <w:b/>
                <w:i/>
                <w:sz w:val="20"/>
                <w:szCs w:val="20"/>
              </w:rPr>
              <w:t>C.  gariepinus</w:t>
            </w:r>
          </w:p>
        </w:tc>
        <w:tc>
          <w:tcPr>
            <w:tcW w:w="472" w:type="pct"/>
            <w:tcBorders>
              <w:top w:val="single" w:sz="4" w:space="0" w:color="auto"/>
              <w:left w:val="nil"/>
              <w:bottom w:val="nil"/>
              <w:right w:val="nil"/>
            </w:tcBorders>
            <w:hideMark/>
          </w:tcPr>
          <w:p w14:paraId="38D9A928" w14:textId="77777777" w:rsidR="00FF1992" w:rsidRDefault="00FF1992">
            <w:pPr>
              <w:rPr>
                <w:rFonts w:ascii="Verdana" w:hAnsi="Verdana"/>
                <w:sz w:val="20"/>
                <w:szCs w:val="20"/>
                <w:lang w:val="en-GB"/>
              </w:rPr>
            </w:pPr>
            <w:r>
              <w:rPr>
                <w:rFonts w:ascii="Verdana" w:hAnsi="Verdana"/>
                <w:sz w:val="20"/>
                <w:szCs w:val="20"/>
              </w:rPr>
              <w:t>0.0548</w:t>
            </w:r>
          </w:p>
        </w:tc>
        <w:tc>
          <w:tcPr>
            <w:tcW w:w="574" w:type="pct"/>
            <w:tcBorders>
              <w:top w:val="single" w:sz="4" w:space="0" w:color="auto"/>
              <w:left w:val="nil"/>
              <w:bottom w:val="nil"/>
              <w:right w:val="nil"/>
            </w:tcBorders>
            <w:hideMark/>
          </w:tcPr>
          <w:p w14:paraId="113B2FD0" w14:textId="77777777" w:rsidR="00FF1992" w:rsidRDefault="00FF1992">
            <w:pPr>
              <w:rPr>
                <w:rFonts w:ascii="Verdana" w:hAnsi="Verdana"/>
                <w:sz w:val="20"/>
                <w:szCs w:val="20"/>
                <w:lang w:val="en-GB"/>
              </w:rPr>
            </w:pPr>
            <w:r>
              <w:rPr>
                <w:rFonts w:ascii="Verdana" w:hAnsi="Verdana"/>
                <w:sz w:val="20"/>
                <w:szCs w:val="20"/>
              </w:rPr>
              <w:t>0.0065</w:t>
            </w:r>
          </w:p>
        </w:tc>
        <w:tc>
          <w:tcPr>
            <w:tcW w:w="574" w:type="pct"/>
            <w:tcBorders>
              <w:top w:val="single" w:sz="4" w:space="0" w:color="auto"/>
              <w:left w:val="nil"/>
              <w:bottom w:val="nil"/>
              <w:right w:val="nil"/>
            </w:tcBorders>
            <w:hideMark/>
          </w:tcPr>
          <w:p w14:paraId="26A5EE98" w14:textId="77777777" w:rsidR="00FF1992" w:rsidRDefault="00FF1992">
            <w:pPr>
              <w:rPr>
                <w:rFonts w:ascii="Verdana" w:hAnsi="Verdana"/>
                <w:sz w:val="20"/>
                <w:szCs w:val="20"/>
                <w:lang w:val="en-GB"/>
              </w:rPr>
            </w:pPr>
            <w:r>
              <w:rPr>
                <w:rFonts w:ascii="Verdana" w:hAnsi="Verdana"/>
                <w:sz w:val="20"/>
                <w:szCs w:val="20"/>
              </w:rPr>
              <w:t>BDL</w:t>
            </w:r>
          </w:p>
        </w:tc>
        <w:tc>
          <w:tcPr>
            <w:tcW w:w="574" w:type="pct"/>
            <w:tcBorders>
              <w:top w:val="single" w:sz="4" w:space="0" w:color="auto"/>
              <w:left w:val="nil"/>
              <w:bottom w:val="nil"/>
              <w:right w:val="nil"/>
            </w:tcBorders>
            <w:hideMark/>
          </w:tcPr>
          <w:p w14:paraId="46BF0141" w14:textId="77777777" w:rsidR="00FF1992" w:rsidRDefault="00FF1992">
            <w:pPr>
              <w:rPr>
                <w:rFonts w:ascii="Verdana" w:hAnsi="Verdana"/>
                <w:sz w:val="20"/>
                <w:szCs w:val="20"/>
                <w:lang w:val="en-GB"/>
              </w:rPr>
            </w:pPr>
            <w:r>
              <w:rPr>
                <w:rFonts w:ascii="Verdana" w:hAnsi="Verdana"/>
                <w:sz w:val="20"/>
                <w:szCs w:val="20"/>
              </w:rPr>
              <w:t>0.0044</w:t>
            </w:r>
          </w:p>
        </w:tc>
        <w:tc>
          <w:tcPr>
            <w:tcW w:w="574" w:type="pct"/>
            <w:tcBorders>
              <w:top w:val="single" w:sz="4" w:space="0" w:color="auto"/>
              <w:left w:val="nil"/>
              <w:bottom w:val="nil"/>
              <w:right w:val="nil"/>
            </w:tcBorders>
            <w:hideMark/>
          </w:tcPr>
          <w:p w14:paraId="289FF1C2" w14:textId="77777777" w:rsidR="00FF1992" w:rsidRDefault="00FF1992">
            <w:pPr>
              <w:rPr>
                <w:rFonts w:ascii="Verdana" w:hAnsi="Verdana"/>
                <w:sz w:val="20"/>
                <w:szCs w:val="20"/>
                <w:lang w:val="en-GB"/>
              </w:rPr>
            </w:pPr>
            <w:r>
              <w:rPr>
                <w:rFonts w:ascii="Verdana" w:hAnsi="Verdana"/>
                <w:sz w:val="20"/>
                <w:szCs w:val="20"/>
              </w:rPr>
              <w:t>0.0046</w:t>
            </w:r>
          </w:p>
        </w:tc>
        <w:tc>
          <w:tcPr>
            <w:tcW w:w="574" w:type="pct"/>
            <w:tcBorders>
              <w:top w:val="single" w:sz="4" w:space="0" w:color="auto"/>
              <w:left w:val="nil"/>
              <w:bottom w:val="nil"/>
              <w:right w:val="nil"/>
            </w:tcBorders>
            <w:hideMark/>
          </w:tcPr>
          <w:p w14:paraId="1B0A5C79" w14:textId="77777777" w:rsidR="00FF1992" w:rsidRDefault="00FF1992">
            <w:pPr>
              <w:rPr>
                <w:rFonts w:ascii="Verdana" w:hAnsi="Verdana"/>
                <w:sz w:val="20"/>
                <w:szCs w:val="20"/>
                <w:lang w:val="en-GB"/>
              </w:rPr>
            </w:pPr>
            <w:r>
              <w:rPr>
                <w:rFonts w:ascii="Verdana" w:hAnsi="Verdana"/>
                <w:sz w:val="20"/>
                <w:szCs w:val="20"/>
              </w:rPr>
              <w:t>0.0222</w:t>
            </w:r>
          </w:p>
        </w:tc>
        <w:tc>
          <w:tcPr>
            <w:tcW w:w="574" w:type="pct"/>
            <w:tcBorders>
              <w:top w:val="single" w:sz="4" w:space="0" w:color="auto"/>
              <w:left w:val="nil"/>
              <w:bottom w:val="nil"/>
              <w:right w:val="nil"/>
            </w:tcBorders>
            <w:hideMark/>
          </w:tcPr>
          <w:p w14:paraId="778A3BE3" w14:textId="77777777" w:rsidR="00FF1992" w:rsidRDefault="00FF1992">
            <w:pPr>
              <w:rPr>
                <w:rFonts w:ascii="Verdana" w:hAnsi="Verdana"/>
                <w:sz w:val="20"/>
                <w:szCs w:val="20"/>
                <w:lang w:val="en-GB"/>
              </w:rPr>
            </w:pPr>
            <w:r>
              <w:rPr>
                <w:rFonts w:ascii="Verdana" w:hAnsi="Verdana"/>
                <w:sz w:val="20"/>
                <w:szCs w:val="20"/>
              </w:rPr>
              <w:t>0.0175</w:t>
            </w:r>
          </w:p>
        </w:tc>
      </w:tr>
      <w:tr w:rsidR="00FF1992" w14:paraId="7E84C3E8" w14:textId="77777777" w:rsidTr="00DE5BAC">
        <w:tc>
          <w:tcPr>
            <w:tcW w:w="1085" w:type="pct"/>
            <w:tcBorders>
              <w:top w:val="nil"/>
              <w:left w:val="nil"/>
              <w:bottom w:val="nil"/>
              <w:right w:val="nil"/>
            </w:tcBorders>
            <w:hideMark/>
          </w:tcPr>
          <w:p w14:paraId="6027441E" w14:textId="77777777" w:rsidR="00FF1992" w:rsidRDefault="00FF1992">
            <w:pPr>
              <w:rPr>
                <w:rFonts w:ascii="Verdana" w:hAnsi="Verdana"/>
                <w:b/>
                <w:sz w:val="20"/>
                <w:szCs w:val="20"/>
                <w:lang w:val="en-GB"/>
              </w:rPr>
            </w:pPr>
            <w:r>
              <w:rPr>
                <w:rFonts w:ascii="Verdana" w:hAnsi="Verdana"/>
                <w:b/>
                <w:i/>
                <w:sz w:val="20"/>
                <w:szCs w:val="20"/>
              </w:rPr>
              <w:t>A.  nebulosus</w:t>
            </w:r>
          </w:p>
        </w:tc>
        <w:tc>
          <w:tcPr>
            <w:tcW w:w="472" w:type="pct"/>
            <w:tcBorders>
              <w:top w:val="nil"/>
              <w:left w:val="nil"/>
              <w:bottom w:val="nil"/>
              <w:right w:val="nil"/>
            </w:tcBorders>
            <w:hideMark/>
          </w:tcPr>
          <w:p w14:paraId="5D6D0BC3" w14:textId="77777777" w:rsidR="00FF1992" w:rsidRDefault="00FF1992">
            <w:pPr>
              <w:rPr>
                <w:rFonts w:ascii="Verdana" w:hAnsi="Verdana"/>
                <w:sz w:val="20"/>
                <w:szCs w:val="20"/>
                <w:lang w:val="en-GB"/>
              </w:rPr>
            </w:pPr>
            <w:r>
              <w:rPr>
                <w:rFonts w:ascii="Verdana" w:hAnsi="Verdana"/>
                <w:sz w:val="20"/>
                <w:szCs w:val="20"/>
              </w:rPr>
              <w:t>0.1507</w:t>
            </w:r>
          </w:p>
        </w:tc>
        <w:tc>
          <w:tcPr>
            <w:tcW w:w="574" w:type="pct"/>
            <w:tcBorders>
              <w:top w:val="nil"/>
              <w:left w:val="nil"/>
              <w:bottom w:val="nil"/>
              <w:right w:val="nil"/>
            </w:tcBorders>
            <w:hideMark/>
          </w:tcPr>
          <w:p w14:paraId="3B692204" w14:textId="77777777" w:rsidR="00FF1992" w:rsidRDefault="00FF1992">
            <w:pPr>
              <w:rPr>
                <w:rFonts w:ascii="Verdana" w:hAnsi="Verdana"/>
                <w:sz w:val="20"/>
                <w:szCs w:val="20"/>
                <w:lang w:val="en-GB"/>
              </w:rPr>
            </w:pPr>
            <w:r>
              <w:rPr>
                <w:rFonts w:ascii="Verdana" w:hAnsi="Verdana"/>
                <w:sz w:val="20"/>
                <w:szCs w:val="20"/>
              </w:rPr>
              <w:t>0.0380</w:t>
            </w:r>
          </w:p>
        </w:tc>
        <w:tc>
          <w:tcPr>
            <w:tcW w:w="574" w:type="pct"/>
            <w:tcBorders>
              <w:top w:val="nil"/>
              <w:left w:val="nil"/>
              <w:bottom w:val="nil"/>
              <w:right w:val="nil"/>
            </w:tcBorders>
            <w:hideMark/>
          </w:tcPr>
          <w:p w14:paraId="4B4AB5B0" w14:textId="77777777" w:rsidR="00FF1992" w:rsidRDefault="00FF1992">
            <w:pPr>
              <w:rPr>
                <w:rFonts w:ascii="Verdana" w:hAnsi="Verdana"/>
                <w:sz w:val="20"/>
                <w:szCs w:val="20"/>
                <w:lang w:val="en-GB"/>
              </w:rPr>
            </w:pPr>
            <w:r>
              <w:rPr>
                <w:rFonts w:ascii="Verdana" w:hAnsi="Verdana"/>
                <w:sz w:val="20"/>
                <w:szCs w:val="20"/>
              </w:rPr>
              <w:t>0.0012</w:t>
            </w:r>
          </w:p>
        </w:tc>
        <w:tc>
          <w:tcPr>
            <w:tcW w:w="574" w:type="pct"/>
            <w:tcBorders>
              <w:top w:val="nil"/>
              <w:left w:val="nil"/>
              <w:bottom w:val="nil"/>
              <w:right w:val="nil"/>
            </w:tcBorders>
            <w:hideMark/>
          </w:tcPr>
          <w:p w14:paraId="0C2910A9" w14:textId="77777777" w:rsidR="00FF1992" w:rsidRDefault="00FF1992">
            <w:pPr>
              <w:rPr>
                <w:rFonts w:ascii="Verdana" w:hAnsi="Verdana"/>
                <w:sz w:val="20"/>
                <w:szCs w:val="20"/>
                <w:lang w:val="en-GB"/>
              </w:rPr>
            </w:pPr>
            <w:r>
              <w:rPr>
                <w:rFonts w:ascii="Verdana" w:hAnsi="Verdana"/>
                <w:sz w:val="20"/>
                <w:szCs w:val="20"/>
              </w:rPr>
              <w:t>0.0052</w:t>
            </w:r>
          </w:p>
        </w:tc>
        <w:tc>
          <w:tcPr>
            <w:tcW w:w="574" w:type="pct"/>
            <w:tcBorders>
              <w:top w:val="nil"/>
              <w:left w:val="nil"/>
              <w:bottom w:val="nil"/>
              <w:right w:val="nil"/>
            </w:tcBorders>
            <w:hideMark/>
          </w:tcPr>
          <w:p w14:paraId="1E70D034" w14:textId="77777777" w:rsidR="00FF1992" w:rsidRDefault="00FF1992">
            <w:pPr>
              <w:rPr>
                <w:rFonts w:ascii="Verdana" w:hAnsi="Verdana"/>
                <w:sz w:val="20"/>
                <w:szCs w:val="20"/>
                <w:lang w:val="en-GB"/>
              </w:rPr>
            </w:pPr>
            <w:r>
              <w:rPr>
                <w:rFonts w:ascii="Verdana" w:hAnsi="Verdana"/>
                <w:sz w:val="20"/>
                <w:szCs w:val="20"/>
              </w:rPr>
              <w:t>0.0125</w:t>
            </w:r>
          </w:p>
        </w:tc>
        <w:tc>
          <w:tcPr>
            <w:tcW w:w="574" w:type="pct"/>
            <w:tcBorders>
              <w:top w:val="nil"/>
              <w:left w:val="nil"/>
              <w:bottom w:val="nil"/>
              <w:right w:val="nil"/>
            </w:tcBorders>
            <w:hideMark/>
          </w:tcPr>
          <w:p w14:paraId="68F02631" w14:textId="77777777" w:rsidR="00FF1992" w:rsidRDefault="00FF1992">
            <w:pPr>
              <w:rPr>
                <w:rFonts w:ascii="Verdana" w:hAnsi="Verdana"/>
                <w:sz w:val="20"/>
                <w:szCs w:val="20"/>
                <w:lang w:val="en-GB"/>
              </w:rPr>
            </w:pPr>
            <w:r>
              <w:rPr>
                <w:rFonts w:ascii="Verdana" w:hAnsi="Verdana"/>
                <w:sz w:val="20"/>
                <w:szCs w:val="20"/>
              </w:rPr>
              <w:t>0.0350</w:t>
            </w:r>
          </w:p>
        </w:tc>
        <w:tc>
          <w:tcPr>
            <w:tcW w:w="574" w:type="pct"/>
            <w:tcBorders>
              <w:top w:val="nil"/>
              <w:left w:val="nil"/>
              <w:bottom w:val="nil"/>
              <w:right w:val="nil"/>
            </w:tcBorders>
            <w:hideMark/>
          </w:tcPr>
          <w:p w14:paraId="5FF614B1" w14:textId="77777777" w:rsidR="00FF1992" w:rsidRDefault="00FF1992">
            <w:pPr>
              <w:rPr>
                <w:rFonts w:ascii="Verdana" w:hAnsi="Verdana"/>
                <w:sz w:val="20"/>
                <w:szCs w:val="20"/>
                <w:lang w:val="en-GB"/>
              </w:rPr>
            </w:pPr>
            <w:r>
              <w:rPr>
                <w:rFonts w:ascii="Verdana" w:hAnsi="Verdana"/>
                <w:sz w:val="20"/>
                <w:szCs w:val="20"/>
              </w:rPr>
              <w:t>0.0200</w:t>
            </w:r>
          </w:p>
        </w:tc>
      </w:tr>
      <w:tr w:rsidR="00FF1992" w14:paraId="5D0DDDAC" w14:textId="77777777" w:rsidTr="00DE5BAC">
        <w:tc>
          <w:tcPr>
            <w:tcW w:w="1085" w:type="pct"/>
            <w:tcBorders>
              <w:top w:val="nil"/>
              <w:left w:val="nil"/>
              <w:bottom w:val="single" w:sz="4" w:space="0" w:color="auto"/>
              <w:right w:val="nil"/>
            </w:tcBorders>
            <w:hideMark/>
          </w:tcPr>
          <w:p w14:paraId="465C93EA" w14:textId="77777777" w:rsidR="00FF1992" w:rsidRDefault="00FF1992">
            <w:pPr>
              <w:rPr>
                <w:rFonts w:ascii="Verdana" w:hAnsi="Verdana"/>
                <w:b/>
                <w:sz w:val="20"/>
                <w:szCs w:val="20"/>
                <w:lang w:val="en-GB"/>
              </w:rPr>
            </w:pPr>
            <w:r>
              <w:rPr>
                <w:rFonts w:ascii="Verdana" w:hAnsi="Verdana"/>
                <w:b/>
                <w:i/>
                <w:sz w:val="20"/>
                <w:szCs w:val="20"/>
              </w:rPr>
              <w:t xml:space="preserve">T.  </w:t>
            </w:r>
            <w:proofErr w:type="spellStart"/>
            <w:r>
              <w:rPr>
                <w:rFonts w:ascii="Verdana" w:hAnsi="Verdana"/>
                <w:b/>
                <w:i/>
                <w:sz w:val="20"/>
                <w:szCs w:val="20"/>
              </w:rPr>
              <w:t>zilli</w:t>
            </w:r>
            <w:proofErr w:type="spellEnd"/>
          </w:p>
        </w:tc>
        <w:tc>
          <w:tcPr>
            <w:tcW w:w="472" w:type="pct"/>
            <w:tcBorders>
              <w:top w:val="nil"/>
              <w:left w:val="nil"/>
              <w:bottom w:val="single" w:sz="4" w:space="0" w:color="auto"/>
              <w:right w:val="nil"/>
            </w:tcBorders>
            <w:hideMark/>
          </w:tcPr>
          <w:p w14:paraId="68A362EE" w14:textId="77777777" w:rsidR="00FF1992" w:rsidRDefault="00FF1992">
            <w:pPr>
              <w:rPr>
                <w:rFonts w:ascii="Verdana" w:hAnsi="Verdana"/>
                <w:sz w:val="20"/>
                <w:szCs w:val="20"/>
                <w:lang w:val="en-GB"/>
              </w:rPr>
            </w:pPr>
            <w:r>
              <w:rPr>
                <w:rFonts w:ascii="Verdana" w:hAnsi="Verdana"/>
                <w:sz w:val="20"/>
                <w:szCs w:val="20"/>
              </w:rPr>
              <w:t>0.1774</w:t>
            </w:r>
          </w:p>
        </w:tc>
        <w:tc>
          <w:tcPr>
            <w:tcW w:w="574" w:type="pct"/>
            <w:tcBorders>
              <w:top w:val="nil"/>
              <w:left w:val="nil"/>
              <w:bottom w:val="single" w:sz="4" w:space="0" w:color="auto"/>
              <w:right w:val="nil"/>
            </w:tcBorders>
            <w:hideMark/>
          </w:tcPr>
          <w:p w14:paraId="5F172604" w14:textId="77777777" w:rsidR="00FF1992" w:rsidRDefault="00FF1992">
            <w:pPr>
              <w:rPr>
                <w:rFonts w:ascii="Verdana" w:hAnsi="Verdana"/>
                <w:sz w:val="20"/>
                <w:szCs w:val="20"/>
                <w:lang w:val="en-GB"/>
              </w:rPr>
            </w:pPr>
            <w:r>
              <w:rPr>
                <w:rFonts w:ascii="Verdana" w:hAnsi="Verdana"/>
                <w:sz w:val="20"/>
                <w:szCs w:val="20"/>
              </w:rPr>
              <w:t>0.0627</w:t>
            </w:r>
          </w:p>
        </w:tc>
        <w:tc>
          <w:tcPr>
            <w:tcW w:w="574" w:type="pct"/>
            <w:tcBorders>
              <w:top w:val="nil"/>
              <w:left w:val="nil"/>
              <w:bottom w:val="single" w:sz="4" w:space="0" w:color="auto"/>
              <w:right w:val="nil"/>
            </w:tcBorders>
            <w:hideMark/>
          </w:tcPr>
          <w:p w14:paraId="161A5454" w14:textId="77777777" w:rsidR="00FF1992" w:rsidRDefault="00FF1992">
            <w:pPr>
              <w:rPr>
                <w:rFonts w:ascii="Verdana" w:hAnsi="Verdana"/>
                <w:sz w:val="20"/>
                <w:szCs w:val="20"/>
                <w:lang w:val="en-GB"/>
              </w:rPr>
            </w:pPr>
            <w:r>
              <w:rPr>
                <w:rFonts w:ascii="Verdana" w:hAnsi="Verdana"/>
                <w:sz w:val="20"/>
                <w:szCs w:val="20"/>
              </w:rPr>
              <w:t>0.0030</w:t>
            </w:r>
          </w:p>
        </w:tc>
        <w:tc>
          <w:tcPr>
            <w:tcW w:w="574" w:type="pct"/>
            <w:tcBorders>
              <w:top w:val="nil"/>
              <w:left w:val="nil"/>
              <w:bottom w:val="single" w:sz="4" w:space="0" w:color="auto"/>
              <w:right w:val="nil"/>
            </w:tcBorders>
            <w:hideMark/>
          </w:tcPr>
          <w:p w14:paraId="0B21CB13" w14:textId="77777777" w:rsidR="00FF1992" w:rsidRDefault="00FF1992">
            <w:pPr>
              <w:rPr>
                <w:rFonts w:ascii="Verdana" w:hAnsi="Verdana"/>
                <w:sz w:val="20"/>
                <w:szCs w:val="20"/>
                <w:lang w:val="en-GB"/>
              </w:rPr>
            </w:pPr>
            <w:r>
              <w:rPr>
                <w:rFonts w:ascii="Verdana" w:hAnsi="Verdana"/>
                <w:sz w:val="20"/>
                <w:szCs w:val="20"/>
              </w:rPr>
              <w:t>0.0065</w:t>
            </w:r>
          </w:p>
        </w:tc>
        <w:tc>
          <w:tcPr>
            <w:tcW w:w="574" w:type="pct"/>
            <w:tcBorders>
              <w:top w:val="nil"/>
              <w:left w:val="nil"/>
              <w:bottom w:val="single" w:sz="4" w:space="0" w:color="auto"/>
              <w:right w:val="nil"/>
            </w:tcBorders>
            <w:hideMark/>
          </w:tcPr>
          <w:p w14:paraId="2A783FFE" w14:textId="77777777" w:rsidR="00FF1992" w:rsidRDefault="00FF1992">
            <w:pPr>
              <w:rPr>
                <w:rFonts w:ascii="Verdana" w:hAnsi="Verdana"/>
                <w:sz w:val="20"/>
                <w:szCs w:val="20"/>
                <w:lang w:val="en-GB"/>
              </w:rPr>
            </w:pPr>
            <w:r>
              <w:rPr>
                <w:rFonts w:ascii="Verdana" w:hAnsi="Verdana"/>
                <w:sz w:val="20"/>
                <w:szCs w:val="20"/>
              </w:rPr>
              <w:t>0.0096</w:t>
            </w:r>
          </w:p>
        </w:tc>
        <w:tc>
          <w:tcPr>
            <w:tcW w:w="574" w:type="pct"/>
            <w:tcBorders>
              <w:top w:val="nil"/>
              <w:left w:val="nil"/>
              <w:bottom w:val="single" w:sz="4" w:space="0" w:color="auto"/>
              <w:right w:val="nil"/>
            </w:tcBorders>
            <w:hideMark/>
          </w:tcPr>
          <w:p w14:paraId="623BAD91" w14:textId="77777777" w:rsidR="00FF1992" w:rsidRDefault="00FF1992">
            <w:pPr>
              <w:rPr>
                <w:rFonts w:ascii="Verdana" w:hAnsi="Verdana"/>
                <w:sz w:val="20"/>
                <w:szCs w:val="20"/>
                <w:lang w:val="en-GB"/>
              </w:rPr>
            </w:pPr>
            <w:r>
              <w:rPr>
                <w:rFonts w:ascii="Verdana" w:hAnsi="Verdana"/>
                <w:sz w:val="20"/>
                <w:szCs w:val="20"/>
              </w:rPr>
              <w:t>0.0527</w:t>
            </w:r>
          </w:p>
        </w:tc>
        <w:tc>
          <w:tcPr>
            <w:tcW w:w="574" w:type="pct"/>
            <w:tcBorders>
              <w:top w:val="nil"/>
              <w:left w:val="nil"/>
              <w:bottom w:val="single" w:sz="4" w:space="0" w:color="auto"/>
              <w:right w:val="nil"/>
            </w:tcBorders>
            <w:hideMark/>
          </w:tcPr>
          <w:p w14:paraId="267E79A8" w14:textId="77777777" w:rsidR="00FF1992" w:rsidRDefault="00FF1992">
            <w:pPr>
              <w:rPr>
                <w:rFonts w:ascii="Verdana" w:hAnsi="Verdana"/>
                <w:sz w:val="20"/>
                <w:szCs w:val="20"/>
                <w:lang w:val="en-GB"/>
              </w:rPr>
            </w:pPr>
            <w:r>
              <w:rPr>
                <w:rFonts w:ascii="Verdana" w:hAnsi="Verdana"/>
                <w:sz w:val="20"/>
                <w:szCs w:val="20"/>
              </w:rPr>
              <w:t>0.0351</w:t>
            </w:r>
          </w:p>
        </w:tc>
      </w:tr>
    </w:tbl>
    <w:p w14:paraId="77FDFFCC" w14:textId="77777777" w:rsidR="00FF1992" w:rsidRDefault="00FF1992" w:rsidP="00FF1992">
      <w:pPr>
        <w:rPr>
          <w:rFonts w:ascii="Verdana" w:hAnsi="Verdana"/>
          <w:b/>
          <w:lang w:val="en-GB"/>
        </w:rPr>
      </w:pPr>
    </w:p>
    <w:p w14:paraId="664B4006" w14:textId="10ED1F18" w:rsidR="00FF1992" w:rsidRDefault="00FF1992" w:rsidP="00FF1992">
      <w:pPr>
        <w:jc w:val="center"/>
        <w:rPr>
          <w:rFonts w:ascii="Verdana" w:hAnsi="Verdana"/>
          <w:b/>
        </w:rPr>
      </w:pPr>
      <w:r>
        <w:rPr>
          <w:rFonts w:ascii="Verdana" w:hAnsi="Verdana"/>
          <w:b/>
        </w:rPr>
        <w:t>Table 3</w:t>
      </w:r>
      <w:r w:rsidR="004A7BA1" w:rsidRPr="004A7BA1">
        <w:rPr>
          <w:rFonts w:ascii="Verdana" w:hAnsi="Verdana"/>
          <w:b/>
          <w:highlight w:val="yellow"/>
        </w:rPr>
        <w:t>:</w:t>
      </w:r>
      <w:r>
        <w:rPr>
          <w:rFonts w:ascii="Verdana" w:hAnsi="Verdana"/>
          <w:b/>
        </w:rPr>
        <w:t xml:space="preserve"> Daily Metal Intakes in Adults from Consumption of the Fish Samples</w:t>
      </w:r>
      <w:r>
        <w:rPr>
          <w:rFonts w:ascii="Verdana" w:hAnsi="Verdana"/>
          <w:b/>
          <w:color w:val="000000"/>
        </w:rPr>
        <w:t xml:space="preserve"> </w:t>
      </w:r>
      <w:r>
        <w:rPr>
          <w:rStyle w:val="apple-converted-space"/>
          <w:rFonts w:ascii="Verdana" w:hAnsi="Verdana"/>
          <w:b/>
          <w:color w:val="000000"/>
        </w:rPr>
        <w:t>from Jibia Dam, Jibia Local Government Katsina State, Nigeria</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89"/>
        <w:gridCol w:w="1040"/>
        <w:gridCol w:w="1265"/>
        <w:gridCol w:w="1265"/>
        <w:gridCol w:w="1265"/>
        <w:gridCol w:w="1265"/>
        <w:gridCol w:w="1265"/>
        <w:gridCol w:w="1262"/>
      </w:tblGrid>
      <w:tr w:rsidR="00FF1992" w14:paraId="1E275F92" w14:textId="77777777" w:rsidTr="00DE5BAC">
        <w:tc>
          <w:tcPr>
            <w:tcW w:w="1085" w:type="pct"/>
            <w:tcBorders>
              <w:top w:val="single" w:sz="4" w:space="0" w:color="auto"/>
              <w:left w:val="nil"/>
              <w:bottom w:val="single" w:sz="4" w:space="0" w:color="auto"/>
              <w:right w:val="nil"/>
            </w:tcBorders>
            <w:hideMark/>
          </w:tcPr>
          <w:p w14:paraId="6FE41D63" w14:textId="77777777" w:rsidR="00FF1992" w:rsidRDefault="00FF1992">
            <w:pPr>
              <w:rPr>
                <w:rFonts w:ascii="Verdana" w:hAnsi="Verdana"/>
                <w:b/>
                <w:sz w:val="20"/>
                <w:szCs w:val="20"/>
                <w:lang w:val="en-GB"/>
              </w:rPr>
            </w:pPr>
            <w:r>
              <w:rPr>
                <w:rFonts w:ascii="Verdana" w:hAnsi="Verdana"/>
                <w:b/>
                <w:sz w:val="20"/>
                <w:szCs w:val="20"/>
              </w:rPr>
              <w:t>Sample</w:t>
            </w:r>
          </w:p>
        </w:tc>
        <w:tc>
          <w:tcPr>
            <w:tcW w:w="472" w:type="pct"/>
            <w:tcBorders>
              <w:top w:val="single" w:sz="4" w:space="0" w:color="auto"/>
              <w:left w:val="nil"/>
              <w:bottom w:val="single" w:sz="4" w:space="0" w:color="auto"/>
              <w:right w:val="nil"/>
            </w:tcBorders>
          </w:tcPr>
          <w:p w14:paraId="1D485ECC" w14:textId="77777777" w:rsidR="00FF1992" w:rsidRDefault="00FF1992">
            <w:pPr>
              <w:rPr>
                <w:rFonts w:ascii="Verdana" w:hAnsi="Verdana"/>
                <w:b/>
                <w:sz w:val="20"/>
                <w:szCs w:val="20"/>
                <w:lang w:val="en-GB"/>
              </w:rPr>
            </w:pPr>
          </w:p>
        </w:tc>
        <w:tc>
          <w:tcPr>
            <w:tcW w:w="574" w:type="pct"/>
            <w:tcBorders>
              <w:top w:val="single" w:sz="4" w:space="0" w:color="auto"/>
              <w:left w:val="nil"/>
              <w:bottom w:val="single" w:sz="4" w:space="0" w:color="auto"/>
              <w:right w:val="nil"/>
            </w:tcBorders>
          </w:tcPr>
          <w:p w14:paraId="7C696716" w14:textId="77777777" w:rsidR="00FF1992" w:rsidRDefault="00FF1992">
            <w:pPr>
              <w:rPr>
                <w:rFonts w:ascii="Verdana" w:hAnsi="Verdana"/>
                <w:b/>
                <w:sz w:val="20"/>
                <w:szCs w:val="20"/>
                <w:lang w:val="en-GB"/>
              </w:rPr>
            </w:pPr>
          </w:p>
        </w:tc>
        <w:tc>
          <w:tcPr>
            <w:tcW w:w="574" w:type="pct"/>
            <w:tcBorders>
              <w:top w:val="single" w:sz="4" w:space="0" w:color="auto"/>
              <w:left w:val="nil"/>
              <w:bottom w:val="single" w:sz="4" w:space="0" w:color="auto"/>
              <w:right w:val="nil"/>
            </w:tcBorders>
          </w:tcPr>
          <w:p w14:paraId="72A4B2EC" w14:textId="77777777" w:rsidR="00FF1992" w:rsidRDefault="00FF1992">
            <w:pPr>
              <w:rPr>
                <w:rFonts w:ascii="Verdana" w:hAnsi="Verdana"/>
                <w:b/>
                <w:sz w:val="20"/>
                <w:szCs w:val="20"/>
                <w:lang w:val="en-GB"/>
              </w:rPr>
            </w:pPr>
          </w:p>
        </w:tc>
        <w:tc>
          <w:tcPr>
            <w:tcW w:w="574" w:type="pct"/>
            <w:tcBorders>
              <w:top w:val="single" w:sz="4" w:space="0" w:color="auto"/>
              <w:left w:val="nil"/>
              <w:bottom w:val="single" w:sz="4" w:space="0" w:color="auto"/>
              <w:right w:val="nil"/>
            </w:tcBorders>
            <w:hideMark/>
          </w:tcPr>
          <w:p w14:paraId="3370F25C" w14:textId="77777777" w:rsidR="00FF1992" w:rsidRDefault="00FF1992">
            <w:pPr>
              <w:rPr>
                <w:rFonts w:ascii="Verdana" w:hAnsi="Verdana"/>
                <w:b/>
                <w:sz w:val="20"/>
                <w:szCs w:val="20"/>
                <w:lang w:val="en-GB"/>
              </w:rPr>
            </w:pPr>
            <w:r>
              <w:rPr>
                <w:rFonts w:ascii="Verdana" w:hAnsi="Verdana"/>
                <w:b/>
                <w:sz w:val="20"/>
                <w:szCs w:val="20"/>
              </w:rPr>
              <w:t>Daily metal intake</w:t>
            </w:r>
          </w:p>
        </w:tc>
        <w:tc>
          <w:tcPr>
            <w:tcW w:w="574" w:type="pct"/>
            <w:tcBorders>
              <w:top w:val="single" w:sz="4" w:space="0" w:color="auto"/>
              <w:left w:val="nil"/>
              <w:bottom w:val="single" w:sz="4" w:space="0" w:color="auto"/>
              <w:right w:val="nil"/>
            </w:tcBorders>
          </w:tcPr>
          <w:p w14:paraId="0F0E792F" w14:textId="77777777" w:rsidR="00FF1992" w:rsidRDefault="00FF1992">
            <w:pPr>
              <w:rPr>
                <w:rFonts w:ascii="Verdana" w:hAnsi="Verdana"/>
                <w:b/>
                <w:sz w:val="20"/>
                <w:szCs w:val="20"/>
                <w:lang w:val="en-GB"/>
              </w:rPr>
            </w:pPr>
          </w:p>
        </w:tc>
        <w:tc>
          <w:tcPr>
            <w:tcW w:w="574" w:type="pct"/>
            <w:tcBorders>
              <w:top w:val="single" w:sz="4" w:space="0" w:color="auto"/>
              <w:left w:val="nil"/>
              <w:bottom w:val="single" w:sz="4" w:space="0" w:color="auto"/>
              <w:right w:val="nil"/>
            </w:tcBorders>
          </w:tcPr>
          <w:p w14:paraId="394BB7AC" w14:textId="77777777" w:rsidR="00FF1992" w:rsidRDefault="00FF1992">
            <w:pPr>
              <w:rPr>
                <w:rFonts w:ascii="Verdana" w:hAnsi="Verdana"/>
                <w:b/>
                <w:sz w:val="20"/>
                <w:szCs w:val="20"/>
                <w:lang w:val="en-GB"/>
              </w:rPr>
            </w:pPr>
          </w:p>
        </w:tc>
        <w:tc>
          <w:tcPr>
            <w:tcW w:w="574" w:type="pct"/>
            <w:tcBorders>
              <w:top w:val="single" w:sz="4" w:space="0" w:color="auto"/>
              <w:left w:val="nil"/>
              <w:bottom w:val="single" w:sz="4" w:space="0" w:color="auto"/>
              <w:right w:val="nil"/>
            </w:tcBorders>
          </w:tcPr>
          <w:p w14:paraId="28D212C9" w14:textId="77777777" w:rsidR="00FF1992" w:rsidRDefault="00FF1992">
            <w:pPr>
              <w:rPr>
                <w:rFonts w:ascii="Verdana" w:hAnsi="Verdana"/>
                <w:b/>
                <w:sz w:val="20"/>
                <w:szCs w:val="20"/>
                <w:lang w:val="en-GB"/>
              </w:rPr>
            </w:pPr>
          </w:p>
        </w:tc>
      </w:tr>
      <w:tr w:rsidR="00FF1992" w14:paraId="242AA62E" w14:textId="77777777" w:rsidTr="00DE5BAC">
        <w:tc>
          <w:tcPr>
            <w:tcW w:w="1085" w:type="pct"/>
            <w:tcBorders>
              <w:top w:val="single" w:sz="4" w:space="0" w:color="auto"/>
              <w:left w:val="nil"/>
              <w:bottom w:val="nil"/>
              <w:right w:val="nil"/>
            </w:tcBorders>
          </w:tcPr>
          <w:p w14:paraId="678A2081" w14:textId="77777777" w:rsidR="00FF1992" w:rsidRDefault="00FF1992">
            <w:pPr>
              <w:rPr>
                <w:rFonts w:ascii="Verdana" w:hAnsi="Verdana"/>
                <w:b/>
                <w:sz w:val="20"/>
                <w:szCs w:val="20"/>
                <w:lang w:val="en-GB"/>
              </w:rPr>
            </w:pPr>
          </w:p>
        </w:tc>
        <w:tc>
          <w:tcPr>
            <w:tcW w:w="472" w:type="pct"/>
            <w:tcBorders>
              <w:top w:val="single" w:sz="4" w:space="0" w:color="auto"/>
              <w:left w:val="nil"/>
              <w:bottom w:val="single" w:sz="4" w:space="0" w:color="auto"/>
              <w:right w:val="nil"/>
            </w:tcBorders>
            <w:hideMark/>
          </w:tcPr>
          <w:p w14:paraId="390DE51B" w14:textId="77777777" w:rsidR="00FF1992" w:rsidRDefault="00FF1992">
            <w:pPr>
              <w:rPr>
                <w:rFonts w:ascii="Verdana" w:hAnsi="Verdana"/>
                <w:b/>
                <w:sz w:val="20"/>
                <w:szCs w:val="20"/>
                <w:lang w:val="en-GB"/>
              </w:rPr>
            </w:pPr>
            <w:r>
              <w:rPr>
                <w:rFonts w:ascii="Verdana" w:hAnsi="Verdana"/>
                <w:b/>
                <w:sz w:val="20"/>
                <w:szCs w:val="20"/>
              </w:rPr>
              <w:t>Fe</w:t>
            </w:r>
          </w:p>
        </w:tc>
        <w:tc>
          <w:tcPr>
            <w:tcW w:w="574" w:type="pct"/>
            <w:tcBorders>
              <w:top w:val="single" w:sz="4" w:space="0" w:color="auto"/>
              <w:left w:val="nil"/>
              <w:bottom w:val="single" w:sz="4" w:space="0" w:color="auto"/>
              <w:right w:val="nil"/>
            </w:tcBorders>
            <w:hideMark/>
          </w:tcPr>
          <w:p w14:paraId="651B1A64" w14:textId="77777777" w:rsidR="00FF1992" w:rsidRDefault="00FF1992">
            <w:pPr>
              <w:rPr>
                <w:rFonts w:ascii="Verdana" w:hAnsi="Verdana"/>
                <w:b/>
                <w:sz w:val="20"/>
                <w:szCs w:val="20"/>
                <w:lang w:val="en-GB"/>
              </w:rPr>
            </w:pPr>
            <w:r>
              <w:rPr>
                <w:rFonts w:ascii="Verdana" w:hAnsi="Verdana"/>
                <w:b/>
                <w:sz w:val="20"/>
                <w:szCs w:val="20"/>
              </w:rPr>
              <w:t>Pb</w:t>
            </w:r>
          </w:p>
        </w:tc>
        <w:tc>
          <w:tcPr>
            <w:tcW w:w="574" w:type="pct"/>
            <w:tcBorders>
              <w:top w:val="single" w:sz="4" w:space="0" w:color="auto"/>
              <w:left w:val="nil"/>
              <w:bottom w:val="single" w:sz="4" w:space="0" w:color="auto"/>
              <w:right w:val="nil"/>
            </w:tcBorders>
            <w:hideMark/>
          </w:tcPr>
          <w:p w14:paraId="5BD06982" w14:textId="77777777" w:rsidR="00FF1992" w:rsidRDefault="00FF1992">
            <w:pPr>
              <w:rPr>
                <w:rFonts w:ascii="Verdana" w:hAnsi="Verdana"/>
                <w:b/>
                <w:sz w:val="20"/>
                <w:szCs w:val="20"/>
                <w:lang w:val="en-GB"/>
              </w:rPr>
            </w:pPr>
            <w:r>
              <w:rPr>
                <w:rFonts w:ascii="Verdana" w:hAnsi="Verdana"/>
                <w:b/>
                <w:sz w:val="20"/>
                <w:szCs w:val="20"/>
              </w:rPr>
              <w:t>Cd</w:t>
            </w:r>
          </w:p>
        </w:tc>
        <w:tc>
          <w:tcPr>
            <w:tcW w:w="574" w:type="pct"/>
            <w:tcBorders>
              <w:top w:val="single" w:sz="4" w:space="0" w:color="auto"/>
              <w:left w:val="nil"/>
              <w:bottom w:val="single" w:sz="4" w:space="0" w:color="auto"/>
              <w:right w:val="nil"/>
            </w:tcBorders>
            <w:hideMark/>
          </w:tcPr>
          <w:p w14:paraId="656C91BE" w14:textId="77777777" w:rsidR="00FF1992" w:rsidRDefault="00FF1992">
            <w:pPr>
              <w:rPr>
                <w:rFonts w:ascii="Verdana" w:hAnsi="Verdana"/>
                <w:b/>
                <w:sz w:val="20"/>
                <w:szCs w:val="20"/>
                <w:lang w:val="en-GB"/>
              </w:rPr>
            </w:pPr>
            <w:r>
              <w:rPr>
                <w:rFonts w:ascii="Verdana" w:hAnsi="Verdana"/>
                <w:b/>
                <w:sz w:val="20"/>
                <w:szCs w:val="20"/>
              </w:rPr>
              <w:t>Cu</w:t>
            </w:r>
          </w:p>
        </w:tc>
        <w:tc>
          <w:tcPr>
            <w:tcW w:w="574" w:type="pct"/>
            <w:tcBorders>
              <w:top w:val="single" w:sz="4" w:space="0" w:color="auto"/>
              <w:left w:val="nil"/>
              <w:bottom w:val="single" w:sz="4" w:space="0" w:color="auto"/>
              <w:right w:val="nil"/>
            </w:tcBorders>
            <w:hideMark/>
          </w:tcPr>
          <w:p w14:paraId="112006FC" w14:textId="77777777" w:rsidR="00FF1992" w:rsidRDefault="00FF1992">
            <w:pPr>
              <w:rPr>
                <w:rFonts w:ascii="Verdana" w:hAnsi="Verdana"/>
                <w:b/>
                <w:sz w:val="20"/>
                <w:szCs w:val="20"/>
                <w:lang w:val="en-GB"/>
              </w:rPr>
            </w:pPr>
            <w:r>
              <w:rPr>
                <w:rFonts w:ascii="Verdana" w:hAnsi="Verdana"/>
                <w:b/>
                <w:sz w:val="20"/>
                <w:szCs w:val="20"/>
              </w:rPr>
              <w:t>Mn</w:t>
            </w:r>
          </w:p>
        </w:tc>
        <w:tc>
          <w:tcPr>
            <w:tcW w:w="574" w:type="pct"/>
            <w:tcBorders>
              <w:top w:val="single" w:sz="4" w:space="0" w:color="auto"/>
              <w:left w:val="nil"/>
              <w:bottom w:val="single" w:sz="4" w:space="0" w:color="auto"/>
              <w:right w:val="nil"/>
            </w:tcBorders>
            <w:hideMark/>
          </w:tcPr>
          <w:p w14:paraId="14B8A6AD" w14:textId="77777777" w:rsidR="00FF1992" w:rsidRDefault="00FF1992">
            <w:pPr>
              <w:rPr>
                <w:rFonts w:ascii="Verdana" w:hAnsi="Verdana"/>
                <w:b/>
                <w:sz w:val="20"/>
                <w:szCs w:val="20"/>
                <w:lang w:val="en-GB"/>
              </w:rPr>
            </w:pPr>
            <w:r>
              <w:rPr>
                <w:rFonts w:ascii="Verdana" w:hAnsi="Verdana"/>
                <w:b/>
                <w:sz w:val="20"/>
                <w:szCs w:val="20"/>
              </w:rPr>
              <w:t>Zn</w:t>
            </w:r>
          </w:p>
        </w:tc>
        <w:tc>
          <w:tcPr>
            <w:tcW w:w="574" w:type="pct"/>
            <w:tcBorders>
              <w:top w:val="single" w:sz="4" w:space="0" w:color="auto"/>
              <w:left w:val="nil"/>
              <w:bottom w:val="single" w:sz="4" w:space="0" w:color="auto"/>
              <w:right w:val="nil"/>
            </w:tcBorders>
            <w:hideMark/>
          </w:tcPr>
          <w:p w14:paraId="0ADEE603" w14:textId="77777777" w:rsidR="00FF1992" w:rsidRDefault="00FF1992">
            <w:pPr>
              <w:rPr>
                <w:rFonts w:ascii="Verdana" w:hAnsi="Verdana"/>
                <w:b/>
                <w:sz w:val="20"/>
                <w:szCs w:val="20"/>
                <w:lang w:val="en-GB"/>
              </w:rPr>
            </w:pPr>
            <w:r>
              <w:rPr>
                <w:rFonts w:ascii="Verdana" w:hAnsi="Verdana"/>
                <w:b/>
                <w:sz w:val="20"/>
                <w:szCs w:val="20"/>
              </w:rPr>
              <w:t>Ni</w:t>
            </w:r>
          </w:p>
        </w:tc>
      </w:tr>
      <w:tr w:rsidR="00FF1992" w14:paraId="339985F6" w14:textId="77777777" w:rsidTr="00DE5BAC">
        <w:tc>
          <w:tcPr>
            <w:tcW w:w="1085" w:type="pct"/>
            <w:tcBorders>
              <w:top w:val="nil"/>
              <w:left w:val="nil"/>
              <w:bottom w:val="nil"/>
              <w:right w:val="nil"/>
            </w:tcBorders>
            <w:hideMark/>
          </w:tcPr>
          <w:p w14:paraId="1336092E" w14:textId="77777777" w:rsidR="00FF1992" w:rsidRDefault="00FF1992">
            <w:pPr>
              <w:rPr>
                <w:rFonts w:ascii="Verdana" w:hAnsi="Verdana"/>
                <w:b/>
                <w:sz w:val="20"/>
                <w:szCs w:val="20"/>
                <w:lang w:val="en-GB"/>
              </w:rPr>
            </w:pPr>
            <w:r>
              <w:rPr>
                <w:rFonts w:ascii="Verdana" w:hAnsi="Verdana"/>
                <w:b/>
                <w:i/>
                <w:sz w:val="20"/>
                <w:szCs w:val="20"/>
              </w:rPr>
              <w:t>C. gariepinus</w:t>
            </w:r>
          </w:p>
        </w:tc>
        <w:tc>
          <w:tcPr>
            <w:tcW w:w="472" w:type="pct"/>
            <w:tcBorders>
              <w:top w:val="single" w:sz="4" w:space="0" w:color="auto"/>
              <w:left w:val="nil"/>
              <w:bottom w:val="nil"/>
              <w:right w:val="nil"/>
            </w:tcBorders>
            <w:hideMark/>
          </w:tcPr>
          <w:p w14:paraId="1B0AF4B7" w14:textId="77777777" w:rsidR="00FF1992" w:rsidRDefault="00FF1992">
            <w:pPr>
              <w:rPr>
                <w:rFonts w:ascii="Verdana" w:hAnsi="Verdana"/>
                <w:sz w:val="20"/>
                <w:szCs w:val="20"/>
                <w:lang w:val="en-GB"/>
              </w:rPr>
            </w:pPr>
            <w:r>
              <w:rPr>
                <w:rFonts w:ascii="Verdana" w:hAnsi="Verdana"/>
                <w:sz w:val="20"/>
                <w:szCs w:val="20"/>
              </w:rPr>
              <w:t>0.0232</w:t>
            </w:r>
          </w:p>
        </w:tc>
        <w:tc>
          <w:tcPr>
            <w:tcW w:w="574" w:type="pct"/>
            <w:tcBorders>
              <w:top w:val="single" w:sz="4" w:space="0" w:color="auto"/>
              <w:left w:val="nil"/>
              <w:bottom w:val="nil"/>
              <w:right w:val="nil"/>
            </w:tcBorders>
            <w:hideMark/>
          </w:tcPr>
          <w:p w14:paraId="0E5AE381" w14:textId="77777777" w:rsidR="00FF1992" w:rsidRDefault="00FF1992">
            <w:pPr>
              <w:rPr>
                <w:rFonts w:ascii="Verdana" w:hAnsi="Verdana"/>
                <w:sz w:val="20"/>
                <w:szCs w:val="20"/>
                <w:lang w:val="en-GB"/>
              </w:rPr>
            </w:pPr>
            <w:r>
              <w:rPr>
                <w:rFonts w:ascii="Verdana" w:hAnsi="Verdana"/>
                <w:sz w:val="20"/>
                <w:szCs w:val="20"/>
              </w:rPr>
              <w:t>0.0026</w:t>
            </w:r>
          </w:p>
        </w:tc>
        <w:tc>
          <w:tcPr>
            <w:tcW w:w="574" w:type="pct"/>
            <w:tcBorders>
              <w:top w:val="single" w:sz="4" w:space="0" w:color="auto"/>
              <w:left w:val="nil"/>
              <w:bottom w:val="nil"/>
              <w:right w:val="nil"/>
            </w:tcBorders>
            <w:hideMark/>
          </w:tcPr>
          <w:p w14:paraId="4FD6893B" w14:textId="77777777" w:rsidR="00FF1992" w:rsidRDefault="00FF1992">
            <w:pPr>
              <w:rPr>
                <w:rFonts w:ascii="Verdana" w:hAnsi="Verdana"/>
                <w:sz w:val="20"/>
                <w:szCs w:val="20"/>
                <w:lang w:val="en-GB"/>
              </w:rPr>
            </w:pPr>
            <w:r>
              <w:rPr>
                <w:rFonts w:ascii="Verdana" w:hAnsi="Verdana"/>
                <w:sz w:val="20"/>
                <w:szCs w:val="20"/>
              </w:rPr>
              <w:t>BDL</w:t>
            </w:r>
          </w:p>
        </w:tc>
        <w:tc>
          <w:tcPr>
            <w:tcW w:w="574" w:type="pct"/>
            <w:tcBorders>
              <w:top w:val="single" w:sz="4" w:space="0" w:color="auto"/>
              <w:left w:val="nil"/>
              <w:bottom w:val="nil"/>
              <w:right w:val="nil"/>
            </w:tcBorders>
            <w:hideMark/>
          </w:tcPr>
          <w:p w14:paraId="745B6D34" w14:textId="77777777" w:rsidR="00FF1992" w:rsidRDefault="00FF1992">
            <w:pPr>
              <w:rPr>
                <w:rFonts w:ascii="Verdana" w:hAnsi="Verdana"/>
                <w:sz w:val="20"/>
                <w:szCs w:val="20"/>
                <w:lang w:val="en-GB"/>
              </w:rPr>
            </w:pPr>
            <w:r>
              <w:rPr>
                <w:rFonts w:ascii="Verdana" w:hAnsi="Verdana"/>
                <w:sz w:val="20"/>
                <w:szCs w:val="20"/>
              </w:rPr>
              <w:t>0.0018</w:t>
            </w:r>
          </w:p>
        </w:tc>
        <w:tc>
          <w:tcPr>
            <w:tcW w:w="574" w:type="pct"/>
            <w:tcBorders>
              <w:top w:val="single" w:sz="4" w:space="0" w:color="auto"/>
              <w:left w:val="nil"/>
              <w:bottom w:val="nil"/>
              <w:right w:val="nil"/>
            </w:tcBorders>
            <w:hideMark/>
          </w:tcPr>
          <w:p w14:paraId="72795CBF" w14:textId="77777777" w:rsidR="00FF1992" w:rsidRDefault="00FF1992">
            <w:pPr>
              <w:rPr>
                <w:rFonts w:ascii="Verdana" w:hAnsi="Verdana"/>
                <w:sz w:val="20"/>
                <w:szCs w:val="20"/>
                <w:lang w:val="en-GB"/>
              </w:rPr>
            </w:pPr>
            <w:r>
              <w:rPr>
                <w:rFonts w:ascii="Verdana" w:hAnsi="Verdana"/>
                <w:sz w:val="20"/>
                <w:szCs w:val="20"/>
              </w:rPr>
              <w:t>0.0018</w:t>
            </w:r>
          </w:p>
        </w:tc>
        <w:tc>
          <w:tcPr>
            <w:tcW w:w="574" w:type="pct"/>
            <w:tcBorders>
              <w:top w:val="single" w:sz="4" w:space="0" w:color="auto"/>
              <w:left w:val="nil"/>
              <w:bottom w:val="nil"/>
              <w:right w:val="nil"/>
            </w:tcBorders>
            <w:hideMark/>
          </w:tcPr>
          <w:p w14:paraId="34E80B24" w14:textId="77777777" w:rsidR="00FF1992" w:rsidRDefault="00FF1992">
            <w:pPr>
              <w:rPr>
                <w:rFonts w:ascii="Verdana" w:hAnsi="Verdana"/>
                <w:sz w:val="20"/>
                <w:szCs w:val="20"/>
                <w:lang w:val="en-GB"/>
              </w:rPr>
            </w:pPr>
            <w:r>
              <w:rPr>
                <w:rFonts w:ascii="Verdana" w:hAnsi="Verdana"/>
                <w:sz w:val="20"/>
                <w:szCs w:val="20"/>
              </w:rPr>
              <w:t>0.0089</w:t>
            </w:r>
          </w:p>
        </w:tc>
        <w:tc>
          <w:tcPr>
            <w:tcW w:w="574" w:type="pct"/>
            <w:tcBorders>
              <w:top w:val="single" w:sz="4" w:space="0" w:color="auto"/>
              <w:left w:val="nil"/>
              <w:bottom w:val="nil"/>
              <w:right w:val="nil"/>
            </w:tcBorders>
            <w:hideMark/>
          </w:tcPr>
          <w:p w14:paraId="45003261" w14:textId="77777777" w:rsidR="00FF1992" w:rsidRDefault="00FF1992">
            <w:pPr>
              <w:rPr>
                <w:rFonts w:ascii="Verdana" w:hAnsi="Verdana"/>
                <w:sz w:val="20"/>
                <w:szCs w:val="20"/>
                <w:lang w:val="en-GB"/>
              </w:rPr>
            </w:pPr>
            <w:r>
              <w:rPr>
                <w:rFonts w:ascii="Verdana" w:hAnsi="Verdana"/>
                <w:sz w:val="20"/>
                <w:szCs w:val="20"/>
              </w:rPr>
              <w:t>0.0070</w:t>
            </w:r>
          </w:p>
        </w:tc>
      </w:tr>
      <w:tr w:rsidR="00FF1992" w14:paraId="46D6C2F2" w14:textId="77777777" w:rsidTr="00DE5BAC">
        <w:tc>
          <w:tcPr>
            <w:tcW w:w="1085" w:type="pct"/>
            <w:tcBorders>
              <w:top w:val="nil"/>
              <w:left w:val="nil"/>
              <w:bottom w:val="nil"/>
              <w:right w:val="nil"/>
            </w:tcBorders>
            <w:hideMark/>
          </w:tcPr>
          <w:p w14:paraId="23B4F63A" w14:textId="77777777" w:rsidR="00FF1992" w:rsidRDefault="00FF1992">
            <w:pPr>
              <w:rPr>
                <w:rFonts w:ascii="Verdana" w:hAnsi="Verdana"/>
                <w:b/>
                <w:sz w:val="20"/>
                <w:szCs w:val="20"/>
                <w:lang w:val="en-GB"/>
              </w:rPr>
            </w:pPr>
            <w:r>
              <w:rPr>
                <w:rFonts w:ascii="Verdana" w:hAnsi="Verdana"/>
                <w:b/>
                <w:i/>
                <w:sz w:val="20"/>
                <w:szCs w:val="20"/>
              </w:rPr>
              <w:t>A.  nebulosus</w:t>
            </w:r>
          </w:p>
        </w:tc>
        <w:tc>
          <w:tcPr>
            <w:tcW w:w="472" w:type="pct"/>
            <w:tcBorders>
              <w:top w:val="nil"/>
              <w:left w:val="nil"/>
              <w:bottom w:val="nil"/>
              <w:right w:val="nil"/>
            </w:tcBorders>
            <w:hideMark/>
          </w:tcPr>
          <w:p w14:paraId="7056C9F6" w14:textId="77777777" w:rsidR="00FF1992" w:rsidRDefault="00FF1992">
            <w:pPr>
              <w:rPr>
                <w:rFonts w:ascii="Verdana" w:hAnsi="Verdana"/>
                <w:sz w:val="20"/>
                <w:szCs w:val="20"/>
                <w:lang w:val="en-GB"/>
              </w:rPr>
            </w:pPr>
            <w:r>
              <w:rPr>
                <w:rFonts w:ascii="Verdana" w:hAnsi="Verdana"/>
                <w:sz w:val="20"/>
                <w:szCs w:val="20"/>
              </w:rPr>
              <w:t>0.0603</w:t>
            </w:r>
          </w:p>
        </w:tc>
        <w:tc>
          <w:tcPr>
            <w:tcW w:w="574" w:type="pct"/>
            <w:tcBorders>
              <w:top w:val="nil"/>
              <w:left w:val="nil"/>
              <w:bottom w:val="nil"/>
              <w:right w:val="nil"/>
            </w:tcBorders>
            <w:hideMark/>
          </w:tcPr>
          <w:p w14:paraId="4C8ED9BA" w14:textId="77777777" w:rsidR="00FF1992" w:rsidRDefault="00FF1992">
            <w:pPr>
              <w:rPr>
                <w:rFonts w:ascii="Verdana" w:hAnsi="Verdana"/>
                <w:sz w:val="20"/>
                <w:szCs w:val="20"/>
                <w:lang w:val="en-GB"/>
              </w:rPr>
            </w:pPr>
            <w:r>
              <w:rPr>
                <w:rFonts w:ascii="Verdana" w:hAnsi="Verdana"/>
                <w:sz w:val="20"/>
                <w:szCs w:val="20"/>
              </w:rPr>
              <w:t>0.0152</w:t>
            </w:r>
          </w:p>
        </w:tc>
        <w:tc>
          <w:tcPr>
            <w:tcW w:w="574" w:type="pct"/>
            <w:tcBorders>
              <w:top w:val="nil"/>
              <w:left w:val="nil"/>
              <w:bottom w:val="nil"/>
              <w:right w:val="nil"/>
            </w:tcBorders>
            <w:hideMark/>
          </w:tcPr>
          <w:p w14:paraId="1F439C0C" w14:textId="77777777" w:rsidR="00FF1992" w:rsidRDefault="00FF1992">
            <w:pPr>
              <w:rPr>
                <w:rFonts w:ascii="Verdana" w:hAnsi="Verdana"/>
                <w:sz w:val="20"/>
                <w:szCs w:val="20"/>
                <w:lang w:val="en-GB"/>
              </w:rPr>
            </w:pPr>
            <w:r>
              <w:rPr>
                <w:rFonts w:ascii="Verdana" w:hAnsi="Verdana"/>
                <w:sz w:val="20"/>
                <w:szCs w:val="20"/>
              </w:rPr>
              <w:t>0.0010</w:t>
            </w:r>
          </w:p>
        </w:tc>
        <w:tc>
          <w:tcPr>
            <w:tcW w:w="574" w:type="pct"/>
            <w:tcBorders>
              <w:top w:val="nil"/>
              <w:left w:val="nil"/>
              <w:bottom w:val="nil"/>
              <w:right w:val="nil"/>
            </w:tcBorders>
            <w:hideMark/>
          </w:tcPr>
          <w:p w14:paraId="7FC64C47" w14:textId="77777777" w:rsidR="00FF1992" w:rsidRDefault="00FF1992">
            <w:pPr>
              <w:rPr>
                <w:rFonts w:ascii="Verdana" w:hAnsi="Verdana"/>
                <w:sz w:val="20"/>
                <w:szCs w:val="20"/>
                <w:lang w:val="en-GB"/>
              </w:rPr>
            </w:pPr>
            <w:r>
              <w:rPr>
                <w:rFonts w:ascii="Verdana" w:hAnsi="Verdana"/>
                <w:sz w:val="20"/>
                <w:szCs w:val="20"/>
              </w:rPr>
              <w:t>0.0021</w:t>
            </w:r>
          </w:p>
        </w:tc>
        <w:tc>
          <w:tcPr>
            <w:tcW w:w="574" w:type="pct"/>
            <w:tcBorders>
              <w:top w:val="nil"/>
              <w:left w:val="nil"/>
              <w:bottom w:val="nil"/>
              <w:right w:val="nil"/>
            </w:tcBorders>
            <w:hideMark/>
          </w:tcPr>
          <w:p w14:paraId="75692A6A" w14:textId="77777777" w:rsidR="00FF1992" w:rsidRDefault="00FF1992">
            <w:pPr>
              <w:rPr>
                <w:rFonts w:ascii="Verdana" w:hAnsi="Verdana"/>
                <w:sz w:val="20"/>
                <w:szCs w:val="20"/>
                <w:lang w:val="en-GB"/>
              </w:rPr>
            </w:pPr>
            <w:r>
              <w:rPr>
                <w:rFonts w:ascii="Verdana" w:hAnsi="Verdana"/>
                <w:sz w:val="20"/>
                <w:szCs w:val="20"/>
              </w:rPr>
              <w:t>0.0050</w:t>
            </w:r>
          </w:p>
        </w:tc>
        <w:tc>
          <w:tcPr>
            <w:tcW w:w="574" w:type="pct"/>
            <w:tcBorders>
              <w:top w:val="nil"/>
              <w:left w:val="nil"/>
              <w:bottom w:val="nil"/>
              <w:right w:val="nil"/>
            </w:tcBorders>
            <w:hideMark/>
          </w:tcPr>
          <w:p w14:paraId="5E8D10A1" w14:textId="77777777" w:rsidR="00FF1992" w:rsidRDefault="00FF1992">
            <w:pPr>
              <w:rPr>
                <w:rFonts w:ascii="Verdana" w:hAnsi="Verdana"/>
                <w:sz w:val="20"/>
                <w:szCs w:val="20"/>
                <w:lang w:val="en-GB"/>
              </w:rPr>
            </w:pPr>
            <w:r>
              <w:rPr>
                <w:rFonts w:ascii="Verdana" w:hAnsi="Verdana"/>
                <w:sz w:val="20"/>
                <w:szCs w:val="20"/>
              </w:rPr>
              <w:t>0.0140</w:t>
            </w:r>
          </w:p>
        </w:tc>
        <w:tc>
          <w:tcPr>
            <w:tcW w:w="574" w:type="pct"/>
            <w:tcBorders>
              <w:top w:val="nil"/>
              <w:left w:val="nil"/>
              <w:bottom w:val="nil"/>
              <w:right w:val="nil"/>
            </w:tcBorders>
            <w:hideMark/>
          </w:tcPr>
          <w:p w14:paraId="64C3CE85" w14:textId="77777777" w:rsidR="00FF1992" w:rsidRDefault="00FF1992">
            <w:pPr>
              <w:rPr>
                <w:rFonts w:ascii="Verdana" w:hAnsi="Verdana"/>
                <w:sz w:val="20"/>
                <w:szCs w:val="20"/>
                <w:lang w:val="en-GB"/>
              </w:rPr>
            </w:pPr>
            <w:r>
              <w:rPr>
                <w:rFonts w:ascii="Verdana" w:hAnsi="Verdana"/>
                <w:sz w:val="20"/>
                <w:szCs w:val="20"/>
              </w:rPr>
              <w:t>0.0080</w:t>
            </w:r>
          </w:p>
        </w:tc>
      </w:tr>
      <w:tr w:rsidR="00FF1992" w14:paraId="585C2A5F" w14:textId="77777777" w:rsidTr="00DE5BAC">
        <w:tc>
          <w:tcPr>
            <w:tcW w:w="1085" w:type="pct"/>
            <w:tcBorders>
              <w:top w:val="nil"/>
              <w:left w:val="nil"/>
              <w:bottom w:val="single" w:sz="4" w:space="0" w:color="auto"/>
              <w:right w:val="nil"/>
            </w:tcBorders>
            <w:hideMark/>
          </w:tcPr>
          <w:p w14:paraId="380196B4" w14:textId="77777777" w:rsidR="00FF1992" w:rsidRDefault="00FF1992">
            <w:pPr>
              <w:rPr>
                <w:rFonts w:ascii="Verdana" w:hAnsi="Verdana"/>
                <w:b/>
                <w:sz w:val="20"/>
                <w:szCs w:val="20"/>
                <w:lang w:val="en-GB"/>
              </w:rPr>
            </w:pPr>
            <w:r>
              <w:rPr>
                <w:rFonts w:ascii="Verdana" w:hAnsi="Verdana"/>
                <w:b/>
                <w:i/>
                <w:sz w:val="20"/>
                <w:szCs w:val="20"/>
              </w:rPr>
              <w:t xml:space="preserve">T.  </w:t>
            </w:r>
            <w:proofErr w:type="spellStart"/>
            <w:r>
              <w:rPr>
                <w:rFonts w:ascii="Verdana" w:hAnsi="Verdana"/>
                <w:b/>
                <w:i/>
                <w:sz w:val="20"/>
                <w:szCs w:val="20"/>
              </w:rPr>
              <w:t>zilli</w:t>
            </w:r>
            <w:proofErr w:type="spellEnd"/>
          </w:p>
        </w:tc>
        <w:tc>
          <w:tcPr>
            <w:tcW w:w="472" w:type="pct"/>
            <w:tcBorders>
              <w:top w:val="nil"/>
              <w:left w:val="nil"/>
              <w:bottom w:val="single" w:sz="4" w:space="0" w:color="auto"/>
              <w:right w:val="nil"/>
            </w:tcBorders>
            <w:hideMark/>
          </w:tcPr>
          <w:p w14:paraId="2FFF5A99" w14:textId="77777777" w:rsidR="00FF1992" w:rsidRDefault="00FF1992">
            <w:pPr>
              <w:rPr>
                <w:rFonts w:ascii="Verdana" w:hAnsi="Verdana"/>
                <w:sz w:val="20"/>
                <w:szCs w:val="20"/>
                <w:lang w:val="en-GB"/>
              </w:rPr>
            </w:pPr>
            <w:r>
              <w:rPr>
                <w:rFonts w:ascii="Verdana" w:hAnsi="Verdana"/>
                <w:sz w:val="20"/>
                <w:szCs w:val="20"/>
              </w:rPr>
              <w:t>0.0709</w:t>
            </w:r>
          </w:p>
        </w:tc>
        <w:tc>
          <w:tcPr>
            <w:tcW w:w="574" w:type="pct"/>
            <w:tcBorders>
              <w:top w:val="nil"/>
              <w:left w:val="nil"/>
              <w:bottom w:val="single" w:sz="4" w:space="0" w:color="auto"/>
              <w:right w:val="nil"/>
            </w:tcBorders>
            <w:hideMark/>
          </w:tcPr>
          <w:p w14:paraId="724365F0" w14:textId="77777777" w:rsidR="00FF1992" w:rsidRDefault="00FF1992">
            <w:pPr>
              <w:rPr>
                <w:rFonts w:ascii="Verdana" w:hAnsi="Verdana"/>
                <w:sz w:val="20"/>
                <w:szCs w:val="20"/>
                <w:lang w:val="en-GB"/>
              </w:rPr>
            </w:pPr>
            <w:r>
              <w:rPr>
                <w:rFonts w:ascii="Verdana" w:hAnsi="Verdana"/>
                <w:sz w:val="20"/>
                <w:szCs w:val="20"/>
              </w:rPr>
              <w:t>0.0251</w:t>
            </w:r>
          </w:p>
        </w:tc>
        <w:tc>
          <w:tcPr>
            <w:tcW w:w="574" w:type="pct"/>
            <w:tcBorders>
              <w:top w:val="nil"/>
              <w:left w:val="nil"/>
              <w:bottom w:val="single" w:sz="4" w:space="0" w:color="auto"/>
              <w:right w:val="nil"/>
            </w:tcBorders>
            <w:hideMark/>
          </w:tcPr>
          <w:p w14:paraId="1EAA9789" w14:textId="77777777" w:rsidR="00FF1992" w:rsidRDefault="00FF1992">
            <w:pPr>
              <w:rPr>
                <w:rFonts w:ascii="Verdana" w:hAnsi="Verdana"/>
                <w:sz w:val="20"/>
                <w:szCs w:val="20"/>
                <w:lang w:val="en-GB"/>
              </w:rPr>
            </w:pPr>
            <w:r>
              <w:rPr>
                <w:rFonts w:ascii="Verdana" w:hAnsi="Verdana"/>
                <w:sz w:val="20"/>
                <w:szCs w:val="20"/>
              </w:rPr>
              <w:t>0.0012</w:t>
            </w:r>
          </w:p>
        </w:tc>
        <w:tc>
          <w:tcPr>
            <w:tcW w:w="574" w:type="pct"/>
            <w:tcBorders>
              <w:top w:val="nil"/>
              <w:left w:val="nil"/>
              <w:bottom w:val="single" w:sz="4" w:space="0" w:color="auto"/>
              <w:right w:val="nil"/>
            </w:tcBorders>
            <w:hideMark/>
          </w:tcPr>
          <w:p w14:paraId="11841340" w14:textId="77777777" w:rsidR="00FF1992" w:rsidRDefault="00FF1992">
            <w:pPr>
              <w:rPr>
                <w:rFonts w:ascii="Verdana" w:hAnsi="Verdana"/>
                <w:sz w:val="20"/>
                <w:szCs w:val="20"/>
                <w:lang w:val="en-GB"/>
              </w:rPr>
            </w:pPr>
            <w:r>
              <w:rPr>
                <w:rFonts w:ascii="Verdana" w:hAnsi="Verdana"/>
                <w:sz w:val="20"/>
                <w:szCs w:val="20"/>
              </w:rPr>
              <w:t>0.0026</w:t>
            </w:r>
          </w:p>
        </w:tc>
        <w:tc>
          <w:tcPr>
            <w:tcW w:w="574" w:type="pct"/>
            <w:tcBorders>
              <w:top w:val="nil"/>
              <w:left w:val="nil"/>
              <w:bottom w:val="single" w:sz="4" w:space="0" w:color="auto"/>
              <w:right w:val="nil"/>
            </w:tcBorders>
            <w:hideMark/>
          </w:tcPr>
          <w:p w14:paraId="12E345BC" w14:textId="77777777" w:rsidR="00FF1992" w:rsidRDefault="00FF1992">
            <w:pPr>
              <w:rPr>
                <w:rFonts w:ascii="Verdana" w:hAnsi="Verdana"/>
                <w:sz w:val="20"/>
                <w:szCs w:val="20"/>
                <w:lang w:val="en-GB"/>
              </w:rPr>
            </w:pPr>
            <w:r>
              <w:rPr>
                <w:rFonts w:ascii="Verdana" w:hAnsi="Verdana"/>
                <w:sz w:val="20"/>
                <w:szCs w:val="20"/>
              </w:rPr>
              <w:t>0.0038</w:t>
            </w:r>
          </w:p>
        </w:tc>
        <w:tc>
          <w:tcPr>
            <w:tcW w:w="574" w:type="pct"/>
            <w:tcBorders>
              <w:top w:val="nil"/>
              <w:left w:val="nil"/>
              <w:bottom w:val="single" w:sz="4" w:space="0" w:color="auto"/>
              <w:right w:val="nil"/>
            </w:tcBorders>
            <w:hideMark/>
          </w:tcPr>
          <w:p w14:paraId="33F6FBB7" w14:textId="77777777" w:rsidR="00FF1992" w:rsidRDefault="00FF1992">
            <w:pPr>
              <w:rPr>
                <w:rFonts w:ascii="Verdana" w:hAnsi="Verdana"/>
                <w:sz w:val="20"/>
                <w:szCs w:val="20"/>
                <w:lang w:val="en-GB"/>
              </w:rPr>
            </w:pPr>
            <w:r>
              <w:rPr>
                <w:rFonts w:ascii="Verdana" w:hAnsi="Verdana"/>
                <w:sz w:val="20"/>
                <w:szCs w:val="20"/>
              </w:rPr>
              <w:t>0.0221</w:t>
            </w:r>
          </w:p>
        </w:tc>
        <w:tc>
          <w:tcPr>
            <w:tcW w:w="574" w:type="pct"/>
            <w:tcBorders>
              <w:top w:val="nil"/>
              <w:left w:val="nil"/>
              <w:bottom w:val="single" w:sz="4" w:space="0" w:color="auto"/>
              <w:right w:val="nil"/>
            </w:tcBorders>
            <w:hideMark/>
          </w:tcPr>
          <w:p w14:paraId="25235AB9" w14:textId="77777777" w:rsidR="00FF1992" w:rsidRDefault="00FF1992">
            <w:pPr>
              <w:rPr>
                <w:rFonts w:ascii="Verdana" w:hAnsi="Verdana"/>
                <w:sz w:val="20"/>
                <w:szCs w:val="20"/>
                <w:lang w:val="en-GB"/>
              </w:rPr>
            </w:pPr>
            <w:r>
              <w:rPr>
                <w:rFonts w:ascii="Verdana" w:hAnsi="Verdana"/>
                <w:sz w:val="20"/>
                <w:szCs w:val="20"/>
              </w:rPr>
              <w:t>0.0140</w:t>
            </w:r>
          </w:p>
        </w:tc>
      </w:tr>
    </w:tbl>
    <w:p w14:paraId="62D25D12" w14:textId="77777777" w:rsidR="00FF1992" w:rsidRDefault="00FF1992" w:rsidP="00FF1992">
      <w:pPr>
        <w:rPr>
          <w:rFonts w:ascii="Verdana" w:hAnsi="Verdana" w:cstheme="minorBidi"/>
          <w:lang w:val="en-GB"/>
        </w:rPr>
      </w:pPr>
    </w:p>
    <w:p w14:paraId="3B495E38" w14:textId="77777777" w:rsidR="00FF1992" w:rsidRDefault="00FF1992" w:rsidP="00441B6F">
      <w:pPr>
        <w:pStyle w:val="Body"/>
        <w:spacing w:after="0"/>
        <w:rPr>
          <w:rFonts w:ascii="Arial" w:hAnsi="Arial" w:cs="Arial"/>
        </w:rPr>
      </w:pPr>
    </w:p>
    <w:p w14:paraId="73CE9A81" w14:textId="77777777" w:rsidR="004A7BA1" w:rsidRDefault="004A7BA1" w:rsidP="00441B6F">
      <w:pPr>
        <w:pStyle w:val="Body"/>
        <w:spacing w:after="0"/>
        <w:rPr>
          <w:rFonts w:ascii="Arial" w:hAnsi="Arial" w:cs="Arial"/>
        </w:rPr>
      </w:pPr>
    </w:p>
    <w:p w14:paraId="08B06CA7" w14:textId="77777777" w:rsidR="00790ADA" w:rsidRDefault="00FF1992" w:rsidP="00441B6F">
      <w:pPr>
        <w:pStyle w:val="Body"/>
        <w:spacing w:after="0"/>
        <w:rPr>
          <w:rFonts w:ascii="Arial" w:hAnsi="Arial" w:cs="Arial"/>
        </w:rPr>
      </w:pPr>
      <w:r w:rsidRPr="00FF1992">
        <w:rPr>
          <w:rFonts w:ascii="Arial" w:hAnsi="Arial" w:cs="Arial"/>
        </w:rPr>
        <w:t xml:space="preserve">The computed target hazard quotient (THQ) for all the fish samples in the children and adult population were below one (1), an indication that the individual heavy metals on their own will not pose a threat of increased non-cancer risks to the population. In contrast the calculated health risk index (HRI) for </w:t>
      </w:r>
      <w:r w:rsidRPr="00462DAC">
        <w:rPr>
          <w:rFonts w:ascii="Arial" w:hAnsi="Arial" w:cs="Arial"/>
          <w:i/>
          <w:iCs/>
        </w:rPr>
        <w:t>Ameiurus nebulosus</w:t>
      </w:r>
      <w:r w:rsidRPr="00FF1992">
        <w:rPr>
          <w:rFonts w:ascii="Arial" w:hAnsi="Arial" w:cs="Arial"/>
        </w:rPr>
        <w:t xml:space="preserve"> and </w:t>
      </w:r>
      <w:r w:rsidRPr="00462DAC">
        <w:rPr>
          <w:rFonts w:ascii="Arial" w:hAnsi="Arial" w:cs="Arial"/>
          <w:i/>
          <w:iCs/>
        </w:rPr>
        <w:t xml:space="preserve">Tilapia </w:t>
      </w:r>
      <w:proofErr w:type="spellStart"/>
      <w:r w:rsidRPr="00462DAC">
        <w:rPr>
          <w:rFonts w:ascii="Arial" w:hAnsi="Arial" w:cs="Arial"/>
          <w:i/>
          <w:iCs/>
        </w:rPr>
        <w:t>zilli</w:t>
      </w:r>
      <w:proofErr w:type="spellEnd"/>
      <w:r w:rsidRPr="00FF1992">
        <w:rPr>
          <w:rFonts w:ascii="Arial" w:hAnsi="Arial" w:cs="Arial"/>
        </w:rPr>
        <w:t xml:space="preserve"> was above one (1) in the children population. While the calculated HRI for </w:t>
      </w:r>
      <w:r w:rsidRPr="00462DAC">
        <w:rPr>
          <w:rFonts w:ascii="Arial" w:hAnsi="Arial" w:cs="Arial"/>
          <w:i/>
          <w:iCs/>
        </w:rPr>
        <w:t>Clarias gariepinus</w:t>
      </w:r>
      <w:r w:rsidRPr="00FF1992">
        <w:rPr>
          <w:rFonts w:ascii="Arial" w:hAnsi="Arial" w:cs="Arial"/>
        </w:rPr>
        <w:t xml:space="preserve"> in the children population and for the HRI for all the three samples in the adult population were below one (1). The implication of the above observation is that the combine toxicity effect of the study heavy metals in the </w:t>
      </w:r>
      <w:r w:rsidRPr="00462DAC">
        <w:rPr>
          <w:rFonts w:ascii="Arial" w:hAnsi="Arial" w:cs="Arial"/>
          <w:i/>
          <w:iCs/>
        </w:rPr>
        <w:t>Ameiurus nebulosus</w:t>
      </w:r>
      <w:r w:rsidRPr="00FF1992">
        <w:rPr>
          <w:rFonts w:ascii="Arial" w:hAnsi="Arial" w:cs="Arial"/>
        </w:rPr>
        <w:t xml:space="preserve"> and </w:t>
      </w:r>
      <w:r w:rsidRPr="00462DAC">
        <w:rPr>
          <w:rFonts w:ascii="Arial" w:hAnsi="Arial" w:cs="Arial"/>
          <w:i/>
          <w:iCs/>
        </w:rPr>
        <w:t xml:space="preserve">Tilapia </w:t>
      </w:r>
      <w:proofErr w:type="spellStart"/>
      <w:r w:rsidRPr="00462DAC">
        <w:rPr>
          <w:rFonts w:ascii="Arial" w:hAnsi="Arial" w:cs="Arial"/>
          <w:i/>
          <w:iCs/>
        </w:rPr>
        <w:t>zilli</w:t>
      </w:r>
      <w:proofErr w:type="spellEnd"/>
      <w:r w:rsidRPr="00FF1992">
        <w:rPr>
          <w:rFonts w:ascii="Arial" w:hAnsi="Arial" w:cs="Arial"/>
        </w:rPr>
        <w:t xml:space="preserve"> samples will increase the risks of non-carcinogenic diseases in the children population. The observed calculated THQ in the children population for the </w:t>
      </w:r>
      <w:r w:rsidRPr="00462DAC">
        <w:rPr>
          <w:rFonts w:ascii="Arial" w:hAnsi="Arial" w:cs="Arial"/>
          <w:i/>
          <w:iCs/>
        </w:rPr>
        <w:t>Ameiurus nebulosus</w:t>
      </w:r>
      <w:r w:rsidRPr="00FF1992">
        <w:rPr>
          <w:rFonts w:ascii="Arial" w:hAnsi="Arial" w:cs="Arial"/>
        </w:rPr>
        <w:t xml:space="preserve"> and </w:t>
      </w:r>
      <w:r w:rsidRPr="00462DAC">
        <w:rPr>
          <w:rFonts w:ascii="Arial" w:hAnsi="Arial" w:cs="Arial"/>
          <w:i/>
          <w:iCs/>
        </w:rPr>
        <w:t xml:space="preserve">Tilapia </w:t>
      </w:r>
      <w:proofErr w:type="spellStart"/>
      <w:r w:rsidRPr="00462DAC">
        <w:rPr>
          <w:rFonts w:ascii="Arial" w:hAnsi="Arial" w:cs="Arial"/>
          <w:i/>
          <w:iCs/>
        </w:rPr>
        <w:t>zilli</w:t>
      </w:r>
      <w:proofErr w:type="spellEnd"/>
      <w:r w:rsidRPr="00FF1992">
        <w:rPr>
          <w:rFonts w:ascii="Arial" w:hAnsi="Arial" w:cs="Arial"/>
        </w:rPr>
        <w:t xml:space="preserve"> samples was similar to the reported THQ for the general population in an earlier study conducted in Katsina State, Nigeria (Ibrahim </w:t>
      </w:r>
      <w:r w:rsidRPr="00462DAC">
        <w:rPr>
          <w:rFonts w:ascii="Arial" w:hAnsi="Arial" w:cs="Arial"/>
          <w:i/>
          <w:iCs/>
        </w:rPr>
        <w:t>et al</w:t>
      </w:r>
      <w:r w:rsidRPr="00FF1992">
        <w:rPr>
          <w:rFonts w:ascii="Arial" w:hAnsi="Arial" w:cs="Arial"/>
        </w:rPr>
        <w:t>., 2021).</w:t>
      </w:r>
    </w:p>
    <w:p w14:paraId="580A4F4E" w14:textId="77777777" w:rsidR="004A7BA1" w:rsidRDefault="004A7BA1" w:rsidP="00441B6F">
      <w:pPr>
        <w:pStyle w:val="Body"/>
        <w:spacing w:after="0"/>
        <w:rPr>
          <w:rFonts w:ascii="Arial" w:hAnsi="Arial" w:cs="Arial"/>
        </w:rPr>
      </w:pPr>
    </w:p>
    <w:p w14:paraId="1E915AB3" w14:textId="77777777" w:rsidR="004A7BA1" w:rsidRDefault="004A7BA1" w:rsidP="00441B6F">
      <w:pPr>
        <w:pStyle w:val="Body"/>
        <w:spacing w:after="0"/>
        <w:rPr>
          <w:rFonts w:ascii="Arial" w:hAnsi="Arial" w:cs="Arial"/>
        </w:rPr>
      </w:pPr>
    </w:p>
    <w:p w14:paraId="73450221" w14:textId="49514611" w:rsidR="00FF1992" w:rsidRDefault="00FF1992" w:rsidP="00FF1992">
      <w:pPr>
        <w:jc w:val="center"/>
        <w:rPr>
          <w:rFonts w:ascii="Verdana" w:hAnsi="Verdana"/>
          <w:b/>
        </w:rPr>
      </w:pPr>
      <w:r>
        <w:rPr>
          <w:rFonts w:ascii="Verdana" w:hAnsi="Verdana"/>
          <w:b/>
        </w:rPr>
        <w:t>Table 4</w:t>
      </w:r>
      <w:r w:rsidR="004A7BA1" w:rsidRPr="004A7BA1">
        <w:rPr>
          <w:rFonts w:ascii="Verdana" w:hAnsi="Verdana"/>
          <w:b/>
          <w:highlight w:val="yellow"/>
        </w:rPr>
        <w:t>:</w:t>
      </w:r>
      <w:r>
        <w:rPr>
          <w:rFonts w:ascii="Verdana" w:hAnsi="Verdana"/>
          <w:b/>
        </w:rPr>
        <w:t xml:space="preserve"> Heavy Metal Target Hazard Quotients (THQ) and Health Risk Index (HRI) in Children from Consumption of Fish Samples from Jibia Dam Katsina State, Nigeria</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69"/>
        <w:gridCol w:w="1031"/>
        <w:gridCol w:w="1031"/>
        <w:gridCol w:w="1093"/>
        <w:gridCol w:w="1152"/>
        <w:gridCol w:w="1106"/>
        <w:gridCol w:w="1093"/>
        <w:gridCol w:w="1088"/>
        <w:gridCol w:w="1053"/>
      </w:tblGrid>
      <w:tr w:rsidR="00FF1992" w14:paraId="635ACB97" w14:textId="77777777" w:rsidTr="00DE5BAC">
        <w:tc>
          <w:tcPr>
            <w:tcW w:w="1075" w:type="pct"/>
            <w:tcBorders>
              <w:top w:val="single" w:sz="4" w:space="0" w:color="auto"/>
              <w:left w:val="nil"/>
              <w:bottom w:val="single" w:sz="4" w:space="0" w:color="auto"/>
              <w:right w:val="nil"/>
            </w:tcBorders>
            <w:hideMark/>
          </w:tcPr>
          <w:p w14:paraId="396FA66C" w14:textId="77777777" w:rsidR="00FF1992" w:rsidRDefault="00FF1992">
            <w:pPr>
              <w:rPr>
                <w:rFonts w:ascii="Verdana" w:hAnsi="Verdana"/>
                <w:b/>
                <w:sz w:val="20"/>
                <w:szCs w:val="20"/>
                <w:lang w:val="en-GB"/>
              </w:rPr>
            </w:pPr>
            <w:r>
              <w:rPr>
                <w:rFonts w:ascii="Verdana" w:hAnsi="Verdana"/>
                <w:b/>
                <w:sz w:val="20"/>
                <w:szCs w:val="20"/>
              </w:rPr>
              <w:t>Sample</w:t>
            </w:r>
          </w:p>
        </w:tc>
        <w:tc>
          <w:tcPr>
            <w:tcW w:w="468" w:type="pct"/>
            <w:tcBorders>
              <w:top w:val="single" w:sz="4" w:space="0" w:color="auto"/>
              <w:left w:val="nil"/>
              <w:bottom w:val="single" w:sz="4" w:space="0" w:color="auto"/>
              <w:right w:val="nil"/>
            </w:tcBorders>
          </w:tcPr>
          <w:p w14:paraId="0B504F96" w14:textId="77777777" w:rsidR="00FF1992" w:rsidRDefault="00FF1992">
            <w:pPr>
              <w:rPr>
                <w:rFonts w:ascii="Verdana" w:hAnsi="Verdana"/>
                <w:b/>
                <w:sz w:val="20"/>
                <w:szCs w:val="20"/>
                <w:lang w:val="en-GB"/>
              </w:rPr>
            </w:pPr>
          </w:p>
        </w:tc>
        <w:tc>
          <w:tcPr>
            <w:tcW w:w="468" w:type="pct"/>
            <w:tcBorders>
              <w:top w:val="single" w:sz="4" w:space="0" w:color="auto"/>
              <w:left w:val="nil"/>
              <w:bottom w:val="single" w:sz="4" w:space="0" w:color="auto"/>
              <w:right w:val="nil"/>
            </w:tcBorders>
          </w:tcPr>
          <w:p w14:paraId="2309D282" w14:textId="77777777" w:rsidR="00FF1992" w:rsidRDefault="00FF1992">
            <w:pPr>
              <w:rPr>
                <w:rFonts w:ascii="Verdana" w:hAnsi="Verdana"/>
                <w:b/>
                <w:sz w:val="20"/>
                <w:szCs w:val="20"/>
                <w:lang w:val="en-GB"/>
              </w:rPr>
            </w:pPr>
          </w:p>
        </w:tc>
        <w:tc>
          <w:tcPr>
            <w:tcW w:w="496" w:type="pct"/>
            <w:tcBorders>
              <w:top w:val="single" w:sz="4" w:space="0" w:color="auto"/>
              <w:left w:val="nil"/>
              <w:bottom w:val="single" w:sz="4" w:space="0" w:color="auto"/>
              <w:right w:val="nil"/>
            </w:tcBorders>
          </w:tcPr>
          <w:p w14:paraId="4ADD94BA" w14:textId="77777777" w:rsidR="00FF1992" w:rsidRDefault="00FF1992">
            <w:pPr>
              <w:rPr>
                <w:rFonts w:ascii="Verdana" w:hAnsi="Verdana"/>
                <w:b/>
                <w:sz w:val="20"/>
                <w:szCs w:val="20"/>
                <w:lang w:val="en-GB"/>
              </w:rPr>
            </w:pPr>
          </w:p>
        </w:tc>
        <w:tc>
          <w:tcPr>
            <w:tcW w:w="523" w:type="pct"/>
            <w:tcBorders>
              <w:top w:val="single" w:sz="4" w:space="0" w:color="auto"/>
              <w:left w:val="nil"/>
              <w:bottom w:val="single" w:sz="4" w:space="0" w:color="auto"/>
              <w:right w:val="nil"/>
            </w:tcBorders>
            <w:hideMark/>
          </w:tcPr>
          <w:p w14:paraId="319F72B2" w14:textId="77777777" w:rsidR="00FF1992" w:rsidRDefault="00FF1992">
            <w:pPr>
              <w:rPr>
                <w:rFonts w:ascii="Verdana" w:hAnsi="Verdana"/>
                <w:b/>
                <w:sz w:val="20"/>
                <w:szCs w:val="20"/>
                <w:lang w:val="en-GB"/>
              </w:rPr>
            </w:pPr>
            <w:r>
              <w:rPr>
                <w:rFonts w:ascii="Verdana" w:hAnsi="Verdana"/>
                <w:b/>
                <w:sz w:val="20"/>
                <w:szCs w:val="20"/>
              </w:rPr>
              <w:t>THQ</w:t>
            </w:r>
          </w:p>
        </w:tc>
        <w:tc>
          <w:tcPr>
            <w:tcW w:w="502" w:type="pct"/>
            <w:tcBorders>
              <w:top w:val="single" w:sz="4" w:space="0" w:color="auto"/>
              <w:left w:val="nil"/>
              <w:bottom w:val="single" w:sz="4" w:space="0" w:color="auto"/>
              <w:right w:val="nil"/>
            </w:tcBorders>
          </w:tcPr>
          <w:p w14:paraId="4CFFE94F" w14:textId="77777777" w:rsidR="00FF1992" w:rsidRDefault="00FF1992">
            <w:pPr>
              <w:rPr>
                <w:rFonts w:ascii="Verdana" w:hAnsi="Verdana"/>
                <w:b/>
                <w:sz w:val="20"/>
                <w:szCs w:val="20"/>
                <w:lang w:val="en-GB"/>
              </w:rPr>
            </w:pPr>
          </w:p>
        </w:tc>
        <w:tc>
          <w:tcPr>
            <w:tcW w:w="496" w:type="pct"/>
            <w:tcBorders>
              <w:top w:val="single" w:sz="4" w:space="0" w:color="auto"/>
              <w:left w:val="nil"/>
              <w:bottom w:val="single" w:sz="4" w:space="0" w:color="auto"/>
              <w:right w:val="nil"/>
            </w:tcBorders>
          </w:tcPr>
          <w:p w14:paraId="10A662F4" w14:textId="77777777" w:rsidR="00FF1992" w:rsidRDefault="00FF1992">
            <w:pPr>
              <w:rPr>
                <w:rFonts w:ascii="Verdana" w:hAnsi="Verdana"/>
                <w:b/>
                <w:sz w:val="20"/>
                <w:szCs w:val="20"/>
                <w:lang w:val="en-GB"/>
              </w:rPr>
            </w:pPr>
          </w:p>
        </w:tc>
        <w:tc>
          <w:tcPr>
            <w:tcW w:w="494" w:type="pct"/>
            <w:tcBorders>
              <w:top w:val="single" w:sz="4" w:space="0" w:color="auto"/>
              <w:left w:val="nil"/>
              <w:bottom w:val="single" w:sz="4" w:space="0" w:color="auto"/>
              <w:right w:val="nil"/>
            </w:tcBorders>
          </w:tcPr>
          <w:p w14:paraId="5A2EE9A7" w14:textId="77777777" w:rsidR="00FF1992" w:rsidRDefault="00FF1992">
            <w:pPr>
              <w:rPr>
                <w:rFonts w:ascii="Verdana" w:hAnsi="Verdana"/>
                <w:b/>
                <w:sz w:val="20"/>
                <w:szCs w:val="20"/>
                <w:lang w:val="en-GB"/>
              </w:rPr>
            </w:pPr>
          </w:p>
        </w:tc>
        <w:tc>
          <w:tcPr>
            <w:tcW w:w="478" w:type="pct"/>
            <w:tcBorders>
              <w:top w:val="single" w:sz="4" w:space="0" w:color="auto"/>
              <w:left w:val="nil"/>
              <w:bottom w:val="single" w:sz="4" w:space="0" w:color="auto"/>
              <w:right w:val="nil"/>
            </w:tcBorders>
            <w:hideMark/>
          </w:tcPr>
          <w:p w14:paraId="54C6A2A7" w14:textId="77777777" w:rsidR="00FF1992" w:rsidRDefault="00FF1992">
            <w:pPr>
              <w:rPr>
                <w:rFonts w:ascii="Verdana" w:hAnsi="Verdana"/>
                <w:b/>
                <w:sz w:val="20"/>
                <w:szCs w:val="20"/>
                <w:lang w:val="en-GB"/>
              </w:rPr>
            </w:pPr>
            <w:r>
              <w:rPr>
                <w:rFonts w:ascii="Verdana" w:hAnsi="Verdana"/>
                <w:b/>
                <w:sz w:val="20"/>
                <w:szCs w:val="20"/>
              </w:rPr>
              <w:t>HRI</w:t>
            </w:r>
          </w:p>
        </w:tc>
      </w:tr>
      <w:tr w:rsidR="00FF1992" w14:paraId="50D1556D" w14:textId="77777777" w:rsidTr="00DE5BAC">
        <w:tc>
          <w:tcPr>
            <w:tcW w:w="1075" w:type="pct"/>
            <w:tcBorders>
              <w:top w:val="single" w:sz="4" w:space="0" w:color="auto"/>
              <w:left w:val="nil"/>
              <w:bottom w:val="nil"/>
              <w:right w:val="nil"/>
            </w:tcBorders>
          </w:tcPr>
          <w:p w14:paraId="2D41416A" w14:textId="77777777" w:rsidR="00FF1992" w:rsidRDefault="00FF1992">
            <w:pPr>
              <w:rPr>
                <w:rFonts w:ascii="Verdana" w:hAnsi="Verdana"/>
                <w:b/>
                <w:sz w:val="20"/>
                <w:szCs w:val="20"/>
                <w:lang w:val="en-GB"/>
              </w:rPr>
            </w:pPr>
          </w:p>
        </w:tc>
        <w:tc>
          <w:tcPr>
            <w:tcW w:w="468" w:type="pct"/>
            <w:tcBorders>
              <w:top w:val="single" w:sz="4" w:space="0" w:color="auto"/>
              <w:left w:val="nil"/>
              <w:bottom w:val="single" w:sz="4" w:space="0" w:color="auto"/>
              <w:right w:val="nil"/>
            </w:tcBorders>
            <w:hideMark/>
          </w:tcPr>
          <w:p w14:paraId="3B774604" w14:textId="77777777" w:rsidR="00FF1992" w:rsidRDefault="00FF1992">
            <w:pPr>
              <w:rPr>
                <w:rFonts w:ascii="Verdana" w:hAnsi="Verdana"/>
                <w:b/>
                <w:sz w:val="20"/>
                <w:szCs w:val="20"/>
                <w:lang w:val="en-GB"/>
              </w:rPr>
            </w:pPr>
            <w:r>
              <w:rPr>
                <w:rFonts w:ascii="Verdana" w:hAnsi="Verdana"/>
                <w:b/>
                <w:sz w:val="20"/>
                <w:szCs w:val="20"/>
              </w:rPr>
              <w:t>Fe</w:t>
            </w:r>
          </w:p>
        </w:tc>
        <w:tc>
          <w:tcPr>
            <w:tcW w:w="468" w:type="pct"/>
            <w:tcBorders>
              <w:top w:val="single" w:sz="4" w:space="0" w:color="auto"/>
              <w:left w:val="nil"/>
              <w:bottom w:val="single" w:sz="4" w:space="0" w:color="auto"/>
              <w:right w:val="nil"/>
            </w:tcBorders>
            <w:hideMark/>
          </w:tcPr>
          <w:p w14:paraId="69C5DE5E" w14:textId="77777777" w:rsidR="00FF1992" w:rsidRDefault="00FF1992">
            <w:pPr>
              <w:rPr>
                <w:rFonts w:ascii="Verdana" w:hAnsi="Verdana"/>
                <w:b/>
                <w:sz w:val="20"/>
                <w:szCs w:val="20"/>
                <w:lang w:val="en-GB"/>
              </w:rPr>
            </w:pPr>
            <w:r>
              <w:rPr>
                <w:rFonts w:ascii="Verdana" w:hAnsi="Verdana"/>
                <w:b/>
                <w:sz w:val="20"/>
                <w:szCs w:val="20"/>
              </w:rPr>
              <w:t>Pb</w:t>
            </w:r>
          </w:p>
        </w:tc>
        <w:tc>
          <w:tcPr>
            <w:tcW w:w="496" w:type="pct"/>
            <w:tcBorders>
              <w:top w:val="single" w:sz="4" w:space="0" w:color="auto"/>
              <w:left w:val="nil"/>
              <w:bottom w:val="single" w:sz="4" w:space="0" w:color="auto"/>
              <w:right w:val="nil"/>
            </w:tcBorders>
            <w:hideMark/>
          </w:tcPr>
          <w:p w14:paraId="66F0B0F6" w14:textId="77777777" w:rsidR="00FF1992" w:rsidRDefault="00FF1992">
            <w:pPr>
              <w:rPr>
                <w:rFonts w:ascii="Verdana" w:hAnsi="Verdana"/>
                <w:b/>
                <w:sz w:val="20"/>
                <w:szCs w:val="20"/>
                <w:lang w:val="en-GB"/>
              </w:rPr>
            </w:pPr>
            <w:r>
              <w:rPr>
                <w:rFonts w:ascii="Verdana" w:hAnsi="Verdana"/>
                <w:b/>
                <w:sz w:val="20"/>
                <w:szCs w:val="20"/>
              </w:rPr>
              <w:t>Cd</w:t>
            </w:r>
          </w:p>
        </w:tc>
        <w:tc>
          <w:tcPr>
            <w:tcW w:w="523" w:type="pct"/>
            <w:tcBorders>
              <w:top w:val="single" w:sz="4" w:space="0" w:color="auto"/>
              <w:left w:val="nil"/>
              <w:bottom w:val="single" w:sz="4" w:space="0" w:color="auto"/>
              <w:right w:val="nil"/>
            </w:tcBorders>
            <w:hideMark/>
          </w:tcPr>
          <w:p w14:paraId="3AC1AE06" w14:textId="77777777" w:rsidR="00FF1992" w:rsidRDefault="00FF1992">
            <w:pPr>
              <w:rPr>
                <w:rFonts w:ascii="Verdana" w:hAnsi="Verdana"/>
                <w:b/>
                <w:sz w:val="20"/>
                <w:szCs w:val="20"/>
                <w:lang w:val="en-GB"/>
              </w:rPr>
            </w:pPr>
            <w:r>
              <w:rPr>
                <w:rFonts w:ascii="Verdana" w:hAnsi="Verdana"/>
                <w:b/>
                <w:sz w:val="20"/>
                <w:szCs w:val="20"/>
              </w:rPr>
              <w:t>Cu</w:t>
            </w:r>
          </w:p>
        </w:tc>
        <w:tc>
          <w:tcPr>
            <w:tcW w:w="502" w:type="pct"/>
            <w:tcBorders>
              <w:top w:val="single" w:sz="4" w:space="0" w:color="auto"/>
              <w:left w:val="nil"/>
              <w:bottom w:val="single" w:sz="4" w:space="0" w:color="auto"/>
              <w:right w:val="nil"/>
            </w:tcBorders>
            <w:hideMark/>
          </w:tcPr>
          <w:p w14:paraId="333E0228" w14:textId="77777777" w:rsidR="00FF1992" w:rsidRDefault="00FF1992">
            <w:pPr>
              <w:rPr>
                <w:rFonts w:ascii="Verdana" w:hAnsi="Verdana"/>
                <w:b/>
                <w:sz w:val="20"/>
                <w:szCs w:val="20"/>
                <w:lang w:val="en-GB"/>
              </w:rPr>
            </w:pPr>
            <w:r>
              <w:rPr>
                <w:rFonts w:ascii="Verdana" w:hAnsi="Verdana"/>
                <w:b/>
                <w:sz w:val="20"/>
                <w:szCs w:val="20"/>
              </w:rPr>
              <w:t>Mn</w:t>
            </w:r>
          </w:p>
        </w:tc>
        <w:tc>
          <w:tcPr>
            <w:tcW w:w="496" w:type="pct"/>
            <w:tcBorders>
              <w:top w:val="single" w:sz="4" w:space="0" w:color="auto"/>
              <w:left w:val="nil"/>
              <w:bottom w:val="single" w:sz="4" w:space="0" w:color="auto"/>
              <w:right w:val="nil"/>
            </w:tcBorders>
            <w:hideMark/>
          </w:tcPr>
          <w:p w14:paraId="6CE59A89" w14:textId="77777777" w:rsidR="00FF1992" w:rsidRDefault="00FF1992">
            <w:pPr>
              <w:rPr>
                <w:rFonts w:ascii="Verdana" w:hAnsi="Verdana"/>
                <w:b/>
                <w:sz w:val="20"/>
                <w:szCs w:val="20"/>
                <w:lang w:val="en-GB"/>
              </w:rPr>
            </w:pPr>
            <w:r>
              <w:rPr>
                <w:rFonts w:ascii="Verdana" w:hAnsi="Verdana"/>
                <w:b/>
                <w:sz w:val="20"/>
                <w:szCs w:val="20"/>
              </w:rPr>
              <w:t>Zn</w:t>
            </w:r>
          </w:p>
        </w:tc>
        <w:tc>
          <w:tcPr>
            <w:tcW w:w="494" w:type="pct"/>
            <w:tcBorders>
              <w:top w:val="single" w:sz="4" w:space="0" w:color="auto"/>
              <w:left w:val="nil"/>
              <w:bottom w:val="single" w:sz="4" w:space="0" w:color="auto"/>
              <w:right w:val="nil"/>
            </w:tcBorders>
            <w:hideMark/>
          </w:tcPr>
          <w:p w14:paraId="3F666A16" w14:textId="77777777" w:rsidR="00FF1992" w:rsidRDefault="00FF1992">
            <w:pPr>
              <w:rPr>
                <w:rFonts w:ascii="Verdana" w:hAnsi="Verdana"/>
                <w:b/>
                <w:sz w:val="20"/>
                <w:szCs w:val="20"/>
                <w:lang w:val="en-GB"/>
              </w:rPr>
            </w:pPr>
            <w:r>
              <w:rPr>
                <w:rFonts w:ascii="Verdana" w:hAnsi="Verdana"/>
                <w:b/>
                <w:sz w:val="20"/>
                <w:szCs w:val="20"/>
              </w:rPr>
              <w:t>Ni</w:t>
            </w:r>
          </w:p>
        </w:tc>
        <w:tc>
          <w:tcPr>
            <w:tcW w:w="478" w:type="pct"/>
            <w:tcBorders>
              <w:top w:val="single" w:sz="4" w:space="0" w:color="auto"/>
              <w:left w:val="nil"/>
              <w:bottom w:val="nil"/>
              <w:right w:val="nil"/>
            </w:tcBorders>
          </w:tcPr>
          <w:p w14:paraId="5700B29F" w14:textId="77777777" w:rsidR="00FF1992" w:rsidRDefault="00FF1992">
            <w:pPr>
              <w:rPr>
                <w:rFonts w:ascii="Verdana" w:hAnsi="Verdana"/>
                <w:b/>
                <w:sz w:val="20"/>
                <w:szCs w:val="20"/>
                <w:lang w:val="en-GB"/>
              </w:rPr>
            </w:pPr>
          </w:p>
        </w:tc>
      </w:tr>
      <w:tr w:rsidR="00FF1992" w14:paraId="30B56C09" w14:textId="77777777" w:rsidTr="00DE5BAC">
        <w:tc>
          <w:tcPr>
            <w:tcW w:w="1075" w:type="pct"/>
            <w:tcBorders>
              <w:top w:val="nil"/>
              <w:left w:val="nil"/>
              <w:bottom w:val="nil"/>
              <w:right w:val="nil"/>
            </w:tcBorders>
            <w:hideMark/>
          </w:tcPr>
          <w:p w14:paraId="09C7245F" w14:textId="77777777" w:rsidR="00FF1992" w:rsidRDefault="00FF1992">
            <w:pPr>
              <w:rPr>
                <w:rFonts w:ascii="Verdana" w:hAnsi="Verdana"/>
                <w:b/>
                <w:bCs/>
                <w:sz w:val="20"/>
                <w:szCs w:val="20"/>
                <w:lang w:val="en-GB"/>
              </w:rPr>
            </w:pPr>
            <w:r>
              <w:rPr>
                <w:rFonts w:ascii="Verdana" w:hAnsi="Verdana"/>
                <w:b/>
                <w:bCs/>
                <w:i/>
                <w:sz w:val="20"/>
                <w:szCs w:val="20"/>
              </w:rPr>
              <w:t>C.  gariepinus</w:t>
            </w:r>
          </w:p>
        </w:tc>
        <w:tc>
          <w:tcPr>
            <w:tcW w:w="468" w:type="pct"/>
            <w:tcBorders>
              <w:top w:val="single" w:sz="4" w:space="0" w:color="auto"/>
              <w:left w:val="nil"/>
              <w:bottom w:val="nil"/>
              <w:right w:val="nil"/>
            </w:tcBorders>
            <w:hideMark/>
          </w:tcPr>
          <w:p w14:paraId="37CB07F6" w14:textId="77777777" w:rsidR="00FF1992" w:rsidRDefault="00FF1992">
            <w:pPr>
              <w:rPr>
                <w:rFonts w:ascii="Verdana" w:hAnsi="Verdana"/>
                <w:sz w:val="20"/>
                <w:szCs w:val="20"/>
                <w:lang w:val="en-GB"/>
              </w:rPr>
            </w:pPr>
            <w:r>
              <w:rPr>
                <w:rFonts w:ascii="Verdana" w:hAnsi="Verdana"/>
                <w:sz w:val="20"/>
                <w:szCs w:val="20"/>
              </w:rPr>
              <w:t>0.0078</w:t>
            </w:r>
          </w:p>
        </w:tc>
        <w:tc>
          <w:tcPr>
            <w:tcW w:w="468" w:type="pct"/>
            <w:tcBorders>
              <w:top w:val="single" w:sz="4" w:space="0" w:color="auto"/>
              <w:left w:val="nil"/>
              <w:bottom w:val="nil"/>
              <w:right w:val="nil"/>
            </w:tcBorders>
            <w:hideMark/>
          </w:tcPr>
          <w:p w14:paraId="02FD2BBB" w14:textId="77777777" w:rsidR="00FF1992" w:rsidRDefault="00FF1992">
            <w:pPr>
              <w:rPr>
                <w:rFonts w:ascii="Verdana" w:hAnsi="Verdana"/>
                <w:sz w:val="20"/>
                <w:szCs w:val="20"/>
                <w:lang w:val="en-GB"/>
              </w:rPr>
            </w:pPr>
            <w:r>
              <w:rPr>
                <w:rFonts w:ascii="Verdana" w:hAnsi="Verdana"/>
                <w:sz w:val="20"/>
                <w:szCs w:val="20"/>
              </w:rPr>
              <w:t>0.0011</w:t>
            </w:r>
          </w:p>
        </w:tc>
        <w:tc>
          <w:tcPr>
            <w:tcW w:w="496" w:type="pct"/>
            <w:tcBorders>
              <w:top w:val="single" w:sz="4" w:space="0" w:color="auto"/>
              <w:left w:val="nil"/>
              <w:bottom w:val="nil"/>
              <w:right w:val="nil"/>
            </w:tcBorders>
            <w:hideMark/>
          </w:tcPr>
          <w:p w14:paraId="458363B9" w14:textId="77777777" w:rsidR="00FF1992" w:rsidRDefault="00FF1992">
            <w:pPr>
              <w:rPr>
                <w:rFonts w:ascii="Verdana" w:hAnsi="Verdana"/>
                <w:sz w:val="20"/>
                <w:szCs w:val="20"/>
                <w:lang w:val="en-GB"/>
              </w:rPr>
            </w:pPr>
            <w:r>
              <w:rPr>
                <w:rFonts w:ascii="Verdana" w:hAnsi="Verdana"/>
                <w:sz w:val="20"/>
                <w:szCs w:val="20"/>
              </w:rPr>
              <w:t>BDL</w:t>
            </w:r>
          </w:p>
        </w:tc>
        <w:tc>
          <w:tcPr>
            <w:tcW w:w="523" w:type="pct"/>
            <w:tcBorders>
              <w:top w:val="single" w:sz="4" w:space="0" w:color="auto"/>
              <w:left w:val="nil"/>
              <w:bottom w:val="nil"/>
              <w:right w:val="nil"/>
            </w:tcBorders>
            <w:hideMark/>
          </w:tcPr>
          <w:p w14:paraId="5C95924A" w14:textId="77777777" w:rsidR="00FF1992" w:rsidRDefault="00FF1992">
            <w:pPr>
              <w:rPr>
                <w:rFonts w:ascii="Verdana" w:hAnsi="Verdana"/>
                <w:sz w:val="20"/>
                <w:szCs w:val="20"/>
                <w:lang w:val="en-GB"/>
              </w:rPr>
            </w:pPr>
            <w:r>
              <w:rPr>
                <w:rFonts w:ascii="Verdana" w:hAnsi="Verdana"/>
                <w:sz w:val="20"/>
                <w:szCs w:val="20"/>
              </w:rPr>
              <w:t>0.0110</w:t>
            </w:r>
          </w:p>
        </w:tc>
        <w:tc>
          <w:tcPr>
            <w:tcW w:w="502" w:type="pct"/>
            <w:tcBorders>
              <w:top w:val="single" w:sz="4" w:space="0" w:color="auto"/>
              <w:left w:val="nil"/>
              <w:bottom w:val="nil"/>
              <w:right w:val="nil"/>
            </w:tcBorders>
            <w:hideMark/>
          </w:tcPr>
          <w:p w14:paraId="711A08CE" w14:textId="77777777" w:rsidR="00FF1992" w:rsidRDefault="00FF1992">
            <w:pPr>
              <w:rPr>
                <w:rFonts w:ascii="Verdana" w:hAnsi="Verdana"/>
                <w:sz w:val="20"/>
                <w:szCs w:val="20"/>
                <w:lang w:val="en-GB"/>
              </w:rPr>
            </w:pPr>
            <w:r>
              <w:rPr>
                <w:rFonts w:ascii="Verdana" w:hAnsi="Verdana"/>
                <w:sz w:val="20"/>
                <w:szCs w:val="20"/>
              </w:rPr>
              <w:t>0.3274</w:t>
            </w:r>
          </w:p>
        </w:tc>
        <w:tc>
          <w:tcPr>
            <w:tcW w:w="496" w:type="pct"/>
            <w:tcBorders>
              <w:top w:val="single" w:sz="4" w:space="0" w:color="auto"/>
              <w:left w:val="nil"/>
              <w:bottom w:val="nil"/>
              <w:right w:val="nil"/>
            </w:tcBorders>
            <w:hideMark/>
          </w:tcPr>
          <w:p w14:paraId="0ED0C492" w14:textId="77777777" w:rsidR="00FF1992" w:rsidRDefault="00FF1992">
            <w:pPr>
              <w:rPr>
                <w:rFonts w:ascii="Verdana" w:hAnsi="Verdana"/>
                <w:sz w:val="20"/>
                <w:szCs w:val="20"/>
                <w:lang w:val="en-GB"/>
              </w:rPr>
            </w:pPr>
            <w:r>
              <w:rPr>
                <w:rFonts w:ascii="Verdana" w:hAnsi="Verdana"/>
                <w:sz w:val="20"/>
                <w:szCs w:val="20"/>
              </w:rPr>
              <w:t>0.0739</w:t>
            </w:r>
          </w:p>
        </w:tc>
        <w:tc>
          <w:tcPr>
            <w:tcW w:w="494" w:type="pct"/>
            <w:tcBorders>
              <w:top w:val="single" w:sz="4" w:space="0" w:color="auto"/>
              <w:left w:val="nil"/>
              <w:bottom w:val="nil"/>
              <w:right w:val="nil"/>
            </w:tcBorders>
            <w:hideMark/>
          </w:tcPr>
          <w:p w14:paraId="7A11C0B8" w14:textId="77777777" w:rsidR="00FF1992" w:rsidRDefault="00FF1992">
            <w:pPr>
              <w:rPr>
                <w:rFonts w:ascii="Verdana" w:hAnsi="Verdana"/>
                <w:sz w:val="20"/>
                <w:szCs w:val="20"/>
                <w:lang w:val="en-GB"/>
              </w:rPr>
            </w:pPr>
            <w:r>
              <w:rPr>
                <w:rFonts w:ascii="Verdana" w:hAnsi="Verdana"/>
                <w:sz w:val="20"/>
                <w:szCs w:val="20"/>
              </w:rPr>
              <w:t>0.0438</w:t>
            </w:r>
          </w:p>
        </w:tc>
        <w:tc>
          <w:tcPr>
            <w:tcW w:w="478" w:type="pct"/>
            <w:tcBorders>
              <w:top w:val="nil"/>
              <w:left w:val="nil"/>
              <w:bottom w:val="nil"/>
              <w:right w:val="nil"/>
            </w:tcBorders>
            <w:hideMark/>
          </w:tcPr>
          <w:p w14:paraId="161B4F14" w14:textId="77777777" w:rsidR="00FF1992" w:rsidRDefault="00FF1992">
            <w:pPr>
              <w:rPr>
                <w:rFonts w:ascii="Verdana" w:hAnsi="Verdana"/>
                <w:sz w:val="20"/>
                <w:szCs w:val="20"/>
                <w:lang w:val="en-GB"/>
              </w:rPr>
            </w:pPr>
            <w:r>
              <w:rPr>
                <w:rFonts w:ascii="Verdana" w:hAnsi="Verdana"/>
                <w:sz w:val="20"/>
                <w:szCs w:val="20"/>
              </w:rPr>
              <w:t>0.5451</w:t>
            </w:r>
          </w:p>
        </w:tc>
      </w:tr>
      <w:tr w:rsidR="00FF1992" w14:paraId="081516CE" w14:textId="77777777" w:rsidTr="00DE5BAC">
        <w:tc>
          <w:tcPr>
            <w:tcW w:w="1075" w:type="pct"/>
            <w:tcBorders>
              <w:top w:val="nil"/>
              <w:left w:val="nil"/>
              <w:bottom w:val="nil"/>
              <w:right w:val="nil"/>
            </w:tcBorders>
            <w:hideMark/>
          </w:tcPr>
          <w:p w14:paraId="3AFE70D5" w14:textId="77777777" w:rsidR="00FF1992" w:rsidRDefault="00FF1992">
            <w:pPr>
              <w:rPr>
                <w:rFonts w:ascii="Verdana" w:hAnsi="Verdana"/>
                <w:b/>
                <w:bCs/>
                <w:sz w:val="20"/>
                <w:szCs w:val="20"/>
                <w:lang w:val="en-GB"/>
              </w:rPr>
            </w:pPr>
            <w:r>
              <w:rPr>
                <w:rFonts w:ascii="Verdana" w:hAnsi="Verdana"/>
                <w:b/>
                <w:bCs/>
                <w:i/>
                <w:sz w:val="20"/>
                <w:szCs w:val="20"/>
              </w:rPr>
              <w:t>A.  nebulosus</w:t>
            </w:r>
          </w:p>
        </w:tc>
        <w:tc>
          <w:tcPr>
            <w:tcW w:w="468" w:type="pct"/>
            <w:tcBorders>
              <w:top w:val="nil"/>
              <w:left w:val="nil"/>
              <w:bottom w:val="nil"/>
              <w:right w:val="nil"/>
            </w:tcBorders>
            <w:hideMark/>
          </w:tcPr>
          <w:p w14:paraId="4E3B73DE" w14:textId="77777777" w:rsidR="00FF1992" w:rsidRDefault="00FF1992">
            <w:pPr>
              <w:rPr>
                <w:rFonts w:ascii="Verdana" w:hAnsi="Verdana"/>
                <w:sz w:val="20"/>
                <w:szCs w:val="20"/>
                <w:lang w:val="en-GB"/>
              </w:rPr>
            </w:pPr>
            <w:r>
              <w:rPr>
                <w:rFonts w:ascii="Verdana" w:hAnsi="Verdana"/>
                <w:sz w:val="20"/>
                <w:szCs w:val="20"/>
              </w:rPr>
              <w:t>0.2153</w:t>
            </w:r>
          </w:p>
        </w:tc>
        <w:tc>
          <w:tcPr>
            <w:tcW w:w="468" w:type="pct"/>
            <w:tcBorders>
              <w:top w:val="nil"/>
              <w:left w:val="nil"/>
              <w:bottom w:val="nil"/>
              <w:right w:val="nil"/>
            </w:tcBorders>
            <w:hideMark/>
          </w:tcPr>
          <w:p w14:paraId="59D8F958" w14:textId="77777777" w:rsidR="00FF1992" w:rsidRDefault="00FF1992">
            <w:pPr>
              <w:rPr>
                <w:rFonts w:ascii="Verdana" w:hAnsi="Verdana"/>
                <w:sz w:val="20"/>
                <w:szCs w:val="20"/>
                <w:lang w:val="en-GB"/>
              </w:rPr>
            </w:pPr>
            <w:r>
              <w:rPr>
                <w:rFonts w:ascii="Verdana" w:hAnsi="Verdana"/>
                <w:sz w:val="20"/>
                <w:szCs w:val="20"/>
              </w:rPr>
              <w:t>0.0634</w:t>
            </w:r>
          </w:p>
        </w:tc>
        <w:tc>
          <w:tcPr>
            <w:tcW w:w="496" w:type="pct"/>
            <w:tcBorders>
              <w:top w:val="nil"/>
              <w:left w:val="nil"/>
              <w:bottom w:val="nil"/>
              <w:right w:val="nil"/>
            </w:tcBorders>
            <w:hideMark/>
          </w:tcPr>
          <w:p w14:paraId="73E27BCF" w14:textId="77777777" w:rsidR="00FF1992" w:rsidRDefault="00FF1992">
            <w:pPr>
              <w:rPr>
                <w:rFonts w:ascii="Verdana" w:hAnsi="Verdana"/>
                <w:sz w:val="20"/>
                <w:szCs w:val="20"/>
                <w:lang w:val="en-GB"/>
              </w:rPr>
            </w:pPr>
            <w:r>
              <w:rPr>
                <w:rFonts w:ascii="Verdana" w:hAnsi="Verdana"/>
                <w:sz w:val="20"/>
                <w:szCs w:val="20"/>
              </w:rPr>
              <w:t>0.0025</w:t>
            </w:r>
          </w:p>
        </w:tc>
        <w:tc>
          <w:tcPr>
            <w:tcW w:w="523" w:type="pct"/>
            <w:tcBorders>
              <w:top w:val="nil"/>
              <w:left w:val="nil"/>
              <w:bottom w:val="nil"/>
              <w:right w:val="nil"/>
            </w:tcBorders>
            <w:hideMark/>
          </w:tcPr>
          <w:p w14:paraId="52B4A20B" w14:textId="77777777" w:rsidR="00FF1992" w:rsidRDefault="00FF1992">
            <w:pPr>
              <w:rPr>
                <w:rFonts w:ascii="Verdana" w:hAnsi="Verdana"/>
                <w:sz w:val="20"/>
                <w:szCs w:val="20"/>
                <w:lang w:val="en-GB"/>
              </w:rPr>
            </w:pPr>
            <w:r>
              <w:rPr>
                <w:rFonts w:ascii="Verdana" w:hAnsi="Verdana"/>
                <w:sz w:val="20"/>
                <w:szCs w:val="20"/>
              </w:rPr>
              <w:t>0.1295</w:t>
            </w:r>
          </w:p>
        </w:tc>
        <w:tc>
          <w:tcPr>
            <w:tcW w:w="502" w:type="pct"/>
            <w:tcBorders>
              <w:top w:val="nil"/>
              <w:left w:val="nil"/>
              <w:bottom w:val="nil"/>
              <w:right w:val="nil"/>
            </w:tcBorders>
            <w:hideMark/>
          </w:tcPr>
          <w:p w14:paraId="76B964EC" w14:textId="77777777" w:rsidR="00FF1992" w:rsidRDefault="00FF1992">
            <w:pPr>
              <w:rPr>
                <w:rFonts w:ascii="Verdana" w:hAnsi="Verdana"/>
                <w:sz w:val="20"/>
                <w:szCs w:val="20"/>
                <w:lang w:val="en-GB"/>
              </w:rPr>
            </w:pPr>
            <w:r>
              <w:rPr>
                <w:rFonts w:ascii="Verdana" w:hAnsi="Verdana"/>
                <w:sz w:val="20"/>
                <w:szCs w:val="20"/>
              </w:rPr>
              <w:t>0.8921</w:t>
            </w:r>
          </w:p>
        </w:tc>
        <w:tc>
          <w:tcPr>
            <w:tcW w:w="496" w:type="pct"/>
            <w:tcBorders>
              <w:top w:val="nil"/>
              <w:left w:val="nil"/>
              <w:bottom w:val="nil"/>
              <w:right w:val="nil"/>
            </w:tcBorders>
            <w:hideMark/>
          </w:tcPr>
          <w:p w14:paraId="4161A546" w14:textId="77777777" w:rsidR="00FF1992" w:rsidRDefault="00FF1992">
            <w:pPr>
              <w:rPr>
                <w:rFonts w:ascii="Verdana" w:hAnsi="Verdana"/>
                <w:sz w:val="20"/>
                <w:szCs w:val="20"/>
                <w:lang w:val="en-GB"/>
              </w:rPr>
            </w:pPr>
            <w:r>
              <w:rPr>
                <w:rFonts w:ascii="Verdana" w:hAnsi="Verdana"/>
                <w:sz w:val="20"/>
                <w:szCs w:val="20"/>
              </w:rPr>
              <w:t>0.1166</w:t>
            </w:r>
          </w:p>
        </w:tc>
        <w:tc>
          <w:tcPr>
            <w:tcW w:w="494" w:type="pct"/>
            <w:tcBorders>
              <w:top w:val="nil"/>
              <w:left w:val="nil"/>
              <w:bottom w:val="nil"/>
              <w:right w:val="nil"/>
            </w:tcBorders>
            <w:hideMark/>
          </w:tcPr>
          <w:p w14:paraId="5A0E4BDD" w14:textId="77777777" w:rsidR="00FF1992" w:rsidRDefault="00FF1992">
            <w:pPr>
              <w:rPr>
                <w:rFonts w:ascii="Verdana" w:hAnsi="Verdana"/>
                <w:sz w:val="20"/>
                <w:szCs w:val="20"/>
                <w:lang w:val="en-GB"/>
              </w:rPr>
            </w:pPr>
            <w:r>
              <w:rPr>
                <w:rFonts w:ascii="Verdana" w:hAnsi="Verdana"/>
                <w:sz w:val="20"/>
                <w:szCs w:val="20"/>
              </w:rPr>
              <w:t>0.0500</w:t>
            </w:r>
          </w:p>
        </w:tc>
        <w:tc>
          <w:tcPr>
            <w:tcW w:w="478" w:type="pct"/>
            <w:tcBorders>
              <w:top w:val="nil"/>
              <w:left w:val="nil"/>
              <w:bottom w:val="nil"/>
              <w:right w:val="nil"/>
            </w:tcBorders>
            <w:hideMark/>
          </w:tcPr>
          <w:p w14:paraId="71814A87" w14:textId="77777777" w:rsidR="00FF1992" w:rsidRDefault="00FF1992">
            <w:pPr>
              <w:rPr>
                <w:rFonts w:ascii="Verdana" w:hAnsi="Verdana"/>
                <w:sz w:val="20"/>
                <w:szCs w:val="20"/>
                <w:lang w:val="en-GB"/>
              </w:rPr>
            </w:pPr>
            <w:r>
              <w:rPr>
                <w:rFonts w:ascii="Verdana" w:hAnsi="Verdana"/>
                <w:sz w:val="20"/>
                <w:szCs w:val="20"/>
              </w:rPr>
              <w:t>1.4692</w:t>
            </w:r>
          </w:p>
        </w:tc>
      </w:tr>
      <w:tr w:rsidR="00FF1992" w14:paraId="05597D85" w14:textId="77777777" w:rsidTr="00DE5BAC">
        <w:tc>
          <w:tcPr>
            <w:tcW w:w="1075" w:type="pct"/>
            <w:tcBorders>
              <w:top w:val="nil"/>
              <w:left w:val="nil"/>
              <w:bottom w:val="single" w:sz="4" w:space="0" w:color="auto"/>
              <w:right w:val="nil"/>
            </w:tcBorders>
            <w:hideMark/>
          </w:tcPr>
          <w:p w14:paraId="2C1896C2" w14:textId="77777777" w:rsidR="00FF1992" w:rsidRDefault="00FF1992">
            <w:pPr>
              <w:rPr>
                <w:rFonts w:ascii="Verdana" w:hAnsi="Verdana"/>
                <w:b/>
                <w:bCs/>
                <w:sz w:val="20"/>
                <w:szCs w:val="20"/>
                <w:lang w:val="en-GB"/>
              </w:rPr>
            </w:pPr>
            <w:r>
              <w:rPr>
                <w:rFonts w:ascii="Verdana" w:hAnsi="Verdana"/>
                <w:b/>
                <w:bCs/>
                <w:i/>
                <w:sz w:val="20"/>
                <w:szCs w:val="20"/>
              </w:rPr>
              <w:t xml:space="preserve">T.  </w:t>
            </w:r>
            <w:proofErr w:type="spellStart"/>
            <w:r>
              <w:rPr>
                <w:rFonts w:ascii="Verdana" w:hAnsi="Verdana"/>
                <w:b/>
                <w:bCs/>
                <w:i/>
                <w:sz w:val="20"/>
                <w:szCs w:val="20"/>
              </w:rPr>
              <w:t>zilli</w:t>
            </w:r>
            <w:proofErr w:type="spellEnd"/>
          </w:p>
        </w:tc>
        <w:tc>
          <w:tcPr>
            <w:tcW w:w="468" w:type="pct"/>
            <w:tcBorders>
              <w:top w:val="nil"/>
              <w:left w:val="nil"/>
              <w:bottom w:val="single" w:sz="4" w:space="0" w:color="auto"/>
              <w:right w:val="nil"/>
            </w:tcBorders>
            <w:hideMark/>
          </w:tcPr>
          <w:p w14:paraId="465C539D" w14:textId="77777777" w:rsidR="00FF1992" w:rsidRDefault="00FF1992">
            <w:pPr>
              <w:rPr>
                <w:rFonts w:ascii="Verdana" w:hAnsi="Verdana"/>
                <w:sz w:val="20"/>
                <w:szCs w:val="20"/>
                <w:lang w:val="en-GB"/>
              </w:rPr>
            </w:pPr>
            <w:r>
              <w:rPr>
                <w:rFonts w:ascii="Verdana" w:hAnsi="Verdana"/>
                <w:sz w:val="20"/>
                <w:szCs w:val="20"/>
              </w:rPr>
              <w:t>0.2534</w:t>
            </w:r>
          </w:p>
        </w:tc>
        <w:tc>
          <w:tcPr>
            <w:tcW w:w="468" w:type="pct"/>
            <w:tcBorders>
              <w:top w:val="nil"/>
              <w:left w:val="nil"/>
              <w:bottom w:val="single" w:sz="4" w:space="0" w:color="auto"/>
              <w:right w:val="nil"/>
            </w:tcBorders>
            <w:hideMark/>
          </w:tcPr>
          <w:p w14:paraId="5F007E48" w14:textId="77777777" w:rsidR="00FF1992" w:rsidRDefault="00FF1992">
            <w:pPr>
              <w:rPr>
                <w:rFonts w:ascii="Verdana" w:hAnsi="Verdana"/>
                <w:sz w:val="20"/>
                <w:szCs w:val="20"/>
                <w:lang w:val="en-GB"/>
              </w:rPr>
            </w:pPr>
            <w:r>
              <w:rPr>
                <w:rFonts w:ascii="Verdana" w:hAnsi="Verdana"/>
                <w:sz w:val="20"/>
                <w:szCs w:val="20"/>
              </w:rPr>
              <w:t>0.1045</w:t>
            </w:r>
          </w:p>
        </w:tc>
        <w:tc>
          <w:tcPr>
            <w:tcW w:w="496" w:type="pct"/>
            <w:tcBorders>
              <w:top w:val="nil"/>
              <w:left w:val="nil"/>
              <w:bottom w:val="single" w:sz="4" w:space="0" w:color="auto"/>
              <w:right w:val="nil"/>
            </w:tcBorders>
            <w:hideMark/>
          </w:tcPr>
          <w:p w14:paraId="30F97E9A" w14:textId="77777777" w:rsidR="00FF1992" w:rsidRDefault="00FF1992">
            <w:pPr>
              <w:rPr>
                <w:rFonts w:ascii="Verdana" w:hAnsi="Verdana"/>
                <w:sz w:val="20"/>
                <w:szCs w:val="20"/>
                <w:lang w:val="en-GB"/>
              </w:rPr>
            </w:pPr>
            <w:r>
              <w:rPr>
                <w:rFonts w:ascii="Verdana" w:hAnsi="Verdana"/>
                <w:sz w:val="20"/>
                <w:szCs w:val="20"/>
              </w:rPr>
              <w:t>0.0060</w:t>
            </w:r>
          </w:p>
        </w:tc>
        <w:tc>
          <w:tcPr>
            <w:tcW w:w="523" w:type="pct"/>
            <w:tcBorders>
              <w:top w:val="nil"/>
              <w:left w:val="nil"/>
              <w:bottom w:val="single" w:sz="4" w:space="0" w:color="auto"/>
              <w:right w:val="nil"/>
            </w:tcBorders>
            <w:hideMark/>
          </w:tcPr>
          <w:p w14:paraId="6E7AA9BE" w14:textId="77777777" w:rsidR="00FF1992" w:rsidRDefault="00FF1992">
            <w:pPr>
              <w:rPr>
                <w:rFonts w:ascii="Verdana" w:hAnsi="Verdana"/>
                <w:sz w:val="20"/>
                <w:szCs w:val="20"/>
                <w:lang w:val="en-GB"/>
              </w:rPr>
            </w:pPr>
            <w:r>
              <w:rPr>
                <w:rFonts w:ascii="Verdana" w:hAnsi="Verdana"/>
                <w:sz w:val="20"/>
                <w:szCs w:val="20"/>
              </w:rPr>
              <w:t>0.1612</w:t>
            </w:r>
          </w:p>
        </w:tc>
        <w:tc>
          <w:tcPr>
            <w:tcW w:w="502" w:type="pct"/>
            <w:tcBorders>
              <w:top w:val="nil"/>
              <w:left w:val="nil"/>
              <w:bottom w:val="single" w:sz="4" w:space="0" w:color="auto"/>
              <w:right w:val="nil"/>
            </w:tcBorders>
            <w:hideMark/>
          </w:tcPr>
          <w:p w14:paraId="72CEC905" w14:textId="77777777" w:rsidR="00FF1992" w:rsidRDefault="00FF1992">
            <w:pPr>
              <w:rPr>
                <w:rFonts w:ascii="Verdana" w:hAnsi="Verdana"/>
                <w:sz w:val="20"/>
                <w:szCs w:val="20"/>
                <w:lang w:val="en-GB"/>
              </w:rPr>
            </w:pPr>
            <w:r>
              <w:rPr>
                <w:rFonts w:ascii="Verdana" w:hAnsi="Verdana"/>
                <w:sz w:val="20"/>
                <w:szCs w:val="20"/>
              </w:rPr>
              <w:t>0.6823</w:t>
            </w:r>
          </w:p>
        </w:tc>
        <w:tc>
          <w:tcPr>
            <w:tcW w:w="496" w:type="pct"/>
            <w:tcBorders>
              <w:top w:val="nil"/>
              <w:left w:val="nil"/>
              <w:bottom w:val="single" w:sz="4" w:space="0" w:color="auto"/>
              <w:right w:val="nil"/>
            </w:tcBorders>
            <w:hideMark/>
          </w:tcPr>
          <w:p w14:paraId="0202AD58" w14:textId="77777777" w:rsidR="00FF1992" w:rsidRDefault="00FF1992">
            <w:pPr>
              <w:rPr>
                <w:rFonts w:ascii="Verdana" w:hAnsi="Verdana"/>
                <w:sz w:val="20"/>
                <w:szCs w:val="20"/>
                <w:lang w:val="en-GB"/>
              </w:rPr>
            </w:pPr>
            <w:r>
              <w:rPr>
                <w:rFonts w:ascii="Verdana" w:hAnsi="Verdana"/>
                <w:sz w:val="20"/>
                <w:szCs w:val="20"/>
              </w:rPr>
              <w:t>0.1755</w:t>
            </w:r>
          </w:p>
        </w:tc>
        <w:tc>
          <w:tcPr>
            <w:tcW w:w="494" w:type="pct"/>
            <w:tcBorders>
              <w:top w:val="nil"/>
              <w:left w:val="nil"/>
              <w:bottom w:val="single" w:sz="4" w:space="0" w:color="auto"/>
              <w:right w:val="nil"/>
            </w:tcBorders>
            <w:hideMark/>
          </w:tcPr>
          <w:p w14:paraId="3BC0CB6E" w14:textId="77777777" w:rsidR="00FF1992" w:rsidRDefault="00FF1992">
            <w:pPr>
              <w:rPr>
                <w:rFonts w:ascii="Verdana" w:hAnsi="Verdana"/>
                <w:sz w:val="20"/>
                <w:szCs w:val="20"/>
                <w:lang w:val="en-GB"/>
              </w:rPr>
            </w:pPr>
            <w:r>
              <w:rPr>
                <w:rFonts w:ascii="Verdana" w:hAnsi="Verdana"/>
                <w:sz w:val="20"/>
                <w:szCs w:val="20"/>
              </w:rPr>
              <w:t>0.0876</w:t>
            </w:r>
          </w:p>
        </w:tc>
        <w:tc>
          <w:tcPr>
            <w:tcW w:w="478" w:type="pct"/>
            <w:tcBorders>
              <w:top w:val="nil"/>
              <w:left w:val="nil"/>
              <w:bottom w:val="single" w:sz="4" w:space="0" w:color="auto"/>
              <w:right w:val="nil"/>
            </w:tcBorders>
            <w:hideMark/>
          </w:tcPr>
          <w:p w14:paraId="6E491938" w14:textId="77777777" w:rsidR="00FF1992" w:rsidRDefault="00FF1992">
            <w:pPr>
              <w:rPr>
                <w:rFonts w:ascii="Verdana" w:hAnsi="Verdana"/>
                <w:sz w:val="20"/>
                <w:szCs w:val="20"/>
                <w:lang w:val="en-GB"/>
              </w:rPr>
            </w:pPr>
            <w:r>
              <w:rPr>
                <w:rFonts w:ascii="Verdana" w:hAnsi="Verdana"/>
                <w:sz w:val="20"/>
                <w:szCs w:val="20"/>
              </w:rPr>
              <w:t>1.4705</w:t>
            </w:r>
          </w:p>
        </w:tc>
      </w:tr>
    </w:tbl>
    <w:p w14:paraId="55311AAD" w14:textId="77777777" w:rsidR="00FF1992" w:rsidRDefault="00FF1992" w:rsidP="00FF1992">
      <w:pPr>
        <w:rPr>
          <w:rFonts w:ascii="Verdana" w:hAnsi="Verdana"/>
          <w:b/>
          <w:lang w:val="en-GB"/>
        </w:rPr>
      </w:pPr>
    </w:p>
    <w:p w14:paraId="4DF9C720" w14:textId="77777777" w:rsidR="004A7BA1" w:rsidRDefault="004A7BA1" w:rsidP="00FF1992">
      <w:pPr>
        <w:rPr>
          <w:rFonts w:ascii="Verdana" w:hAnsi="Verdana"/>
          <w:b/>
          <w:lang w:val="en-GB"/>
        </w:rPr>
      </w:pPr>
    </w:p>
    <w:p w14:paraId="02590560" w14:textId="77777777" w:rsidR="004A7BA1" w:rsidRDefault="004A7BA1" w:rsidP="00FF1992">
      <w:pPr>
        <w:rPr>
          <w:rFonts w:ascii="Verdana" w:hAnsi="Verdana"/>
          <w:b/>
          <w:lang w:val="en-GB"/>
        </w:rPr>
      </w:pPr>
    </w:p>
    <w:p w14:paraId="57D94400" w14:textId="2C2FD2D2" w:rsidR="00FF1992" w:rsidRDefault="00FF1992" w:rsidP="00FF1992">
      <w:pPr>
        <w:jc w:val="center"/>
        <w:rPr>
          <w:rFonts w:ascii="Verdana" w:hAnsi="Verdana"/>
          <w:b/>
        </w:rPr>
      </w:pPr>
      <w:r>
        <w:rPr>
          <w:rFonts w:ascii="Verdana" w:hAnsi="Verdana"/>
          <w:b/>
        </w:rPr>
        <w:t>Table 5</w:t>
      </w:r>
      <w:r w:rsidR="004A7BA1" w:rsidRPr="004A7BA1">
        <w:rPr>
          <w:rFonts w:ascii="Verdana" w:hAnsi="Verdana"/>
          <w:b/>
          <w:highlight w:val="yellow"/>
        </w:rPr>
        <w:t>:</w:t>
      </w:r>
      <w:r>
        <w:rPr>
          <w:rFonts w:ascii="Verdana" w:hAnsi="Verdana"/>
          <w:b/>
        </w:rPr>
        <w:t xml:space="preserve"> Heavy Metal Target Hazard Quotients (THQ) and Health Risk Index (HRI) in Adults from Consumption of Fish Samples from Jibia Dam Katsina State, Nigeria</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69"/>
        <w:gridCol w:w="1031"/>
        <w:gridCol w:w="1031"/>
        <w:gridCol w:w="1093"/>
        <w:gridCol w:w="1152"/>
        <w:gridCol w:w="1106"/>
        <w:gridCol w:w="1093"/>
        <w:gridCol w:w="1088"/>
        <w:gridCol w:w="1053"/>
      </w:tblGrid>
      <w:tr w:rsidR="00FF1992" w14:paraId="2868DB1C" w14:textId="77777777" w:rsidTr="00DE5BAC">
        <w:tc>
          <w:tcPr>
            <w:tcW w:w="1075" w:type="pct"/>
            <w:tcBorders>
              <w:top w:val="single" w:sz="4" w:space="0" w:color="auto"/>
              <w:left w:val="nil"/>
              <w:bottom w:val="single" w:sz="4" w:space="0" w:color="auto"/>
              <w:right w:val="nil"/>
            </w:tcBorders>
            <w:hideMark/>
          </w:tcPr>
          <w:p w14:paraId="45129615" w14:textId="77777777" w:rsidR="00FF1992" w:rsidRDefault="00FF1992">
            <w:pPr>
              <w:rPr>
                <w:rFonts w:ascii="Verdana" w:hAnsi="Verdana"/>
                <w:b/>
                <w:sz w:val="20"/>
                <w:szCs w:val="20"/>
                <w:lang w:val="en-GB"/>
              </w:rPr>
            </w:pPr>
            <w:r>
              <w:rPr>
                <w:rFonts w:ascii="Verdana" w:hAnsi="Verdana"/>
                <w:b/>
                <w:sz w:val="20"/>
                <w:szCs w:val="20"/>
              </w:rPr>
              <w:t>Sample</w:t>
            </w:r>
          </w:p>
        </w:tc>
        <w:tc>
          <w:tcPr>
            <w:tcW w:w="468" w:type="pct"/>
            <w:tcBorders>
              <w:top w:val="single" w:sz="4" w:space="0" w:color="auto"/>
              <w:left w:val="nil"/>
              <w:bottom w:val="single" w:sz="4" w:space="0" w:color="auto"/>
              <w:right w:val="nil"/>
            </w:tcBorders>
          </w:tcPr>
          <w:p w14:paraId="7514748C" w14:textId="77777777" w:rsidR="00FF1992" w:rsidRDefault="00FF1992">
            <w:pPr>
              <w:rPr>
                <w:rFonts w:ascii="Verdana" w:hAnsi="Verdana"/>
                <w:b/>
                <w:sz w:val="20"/>
                <w:szCs w:val="20"/>
                <w:lang w:val="en-GB"/>
              </w:rPr>
            </w:pPr>
          </w:p>
        </w:tc>
        <w:tc>
          <w:tcPr>
            <w:tcW w:w="468" w:type="pct"/>
            <w:tcBorders>
              <w:top w:val="single" w:sz="4" w:space="0" w:color="auto"/>
              <w:left w:val="nil"/>
              <w:bottom w:val="single" w:sz="4" w:space="0" w:color="auto"/>
              <w:right w:val="nil"/>
            </w:tcBorders>
          </w:tcPr>
          <w:p w14:paraId="2CC825A8" w14:textId="77777777" w:rsidR="00FF1992" w:rsidRDefault="00FF1992">
            <w:pPr>
              <w:rPr>
                <w:rFonts w:ascii="Verdana" w:hAnsi="Verdana"/>
                <w:b/>
                <w:sz w:val="20"/>
                <w:szCs w:val="20"/>
                <w:lang w:val="en-GB"/>
              </w:rPr>
            </w:pPr>
          </w:p>
        </w:tc>
        <w:tc>
          <w:tcPr>
            <w:tcW w:w="496" w:type="pct"/>
            <w:tcBorders>
              <w:top w:val="single" w:sz="4" w:space="0" w:color="auto"/>
              <w:left w:val="nil"/>
              <w:bottom w:val="single" w:sz="4" w:space="0" w:color="auto"/>
              <w:right w:val="nil"/>
            </w:tcBorders>
          </w:tcPr>
          <w:p w14:paraId="15596F2E" w14:textId="77777777" w:rsidR="00FF1992" w:rsidRDefault="00FF1992">
            <w:pPr>
              <w:rPr>
                <w:rFonts w:ascii="Verdana" w:hAnsi="Verdana"/>
                <w:b/>
                <w:sz w:val="20"/>
                <w:szCs w:val="20"/>
                <w:lang w:val="en-GB"/>
              </w:rPr>
            </w:pPr>
          </w:p>
        </w:tc>
        <w:tc>
          <w:tcPr>
            <w:tcW w:w="523" w:type="pct"/>
            <w:tcBorders>
              <w:top w:val="single" w:sz="4" w:space="0" w:color="auto"/>
              <w:left w:val="nil"/>
              <w:bottom w:val="single" w:sz="4" w:space="0" w:color="auto"/>
              <w:right w:val="nil"/>
            </w:tcBorders>
            <w:hideMark/>
          </w:tcPr>
          <w:p w14:paraId="230B06B0" w14:textId="77777777" w:rsidR="00FF1992" w:rsidRDefault="00FF1992">
            <w:pPr>
              <w:rPr>
                <w:rFonts w:ascii="Verdana" w:hAnsi="Verdana"/>
                <w:b/>
                <w:sz w:val="20"/>
                <w:szCs w:val="20"/>
                <w:lang w:val="en-GB"/>
              </w:rPr>
            </w:pPr>
            <w:r>
              <w:rPr>
                <w:rFonts w:ascii="Verdana" w:hAnsi="Verdana"/>
                <w:b/>
                <w:sz w:val="20"/>
                <w:szCs w:val="20"/>
              </w:rPr>
              <w:t>THQ</w:t>
            </w:r>
          </w:p>
        </w:tc>
        <w:tc>
          <w:tcPr>
            <w:tcW w:w="502" w:type="pct"/>
            <w:tcBorders>
              <w:top w:val="single" w:sz="4" w:space="0" w:color="auto"/>
              <w:left w:val="nil"/>
              <w:bottom w:val="single" w:sz="4" w:space="0" w:color="auto"/>
              <w:right w:val="nil"/>
            </w:tcBorders>
          </w:tcPr>
          <w:p w14:paraId="790C52A5" w14:textId="77777777" w:rsidR="00FF1992" w:rsidRDefault="00FF1992">
            <w:pPr>
              <w:rPr>
                <w:rFonts w:ascii="Verdana" w:hAnsi="Verdana"/>
                <w:b/>
                <w:sz w:val="20"/>
                <w:szCs w:val="20"/>
                <w:lang w:val="en-GB"/>
              </w:rPr>
            </w:pPr>
          </w:p>
        </w:tc>
        <w:tc>
          <w:tcPr>
            <w:tcW w:w="496" w:type="pct"/>
            <w:tcBorders>
              <w:top w:val="single" w:sz="4" w:space="0" w:color="auto"/>
              <w:left w:val="nil"/>
              <w:bottom w:val="single" w:sz="4" w:space="0" w:color="auto"/>
              <w:right w:val="nil"/>
            </w:tcBorders>
          </w:tcPr>
          <w:p w14:paraId="68CB736F" w14:textId="77777777" w:rsidR="00FF1992" w:rsidRDefault="00FF1992">
            <w:pPr>
              <w:rPr>
                <w:rFonts w:ascii="Verdana" w:hAnsi="Verdana"/>
                <w:b/>
                <w:sz w:val="20"/>
                <w:szCs w:val="20"/>
                <w:lang w:val="en-GB"/>
              </w:rPr>
            </w:pPr>
          </w:p>
        </w:tc>
        <w:tc>
          <w:tcPr>
            <w:tcW w:w="494" w:type="pct"/>
            <w:tcBorders>
              <w:top w:val="single" w:sz="4" w:space="0" w:color="auto"/>
              <w:left w:val="nil"/>
              <w:bottom w:val="single" w:sz="4" w:space="0" w:color="auto"/>
              <w:right w:val="nil"/>
            </w:tcBorders>
          </w:tcPr>
          <w:p w14:paraId="60184DF4" w14:textId="77777777" w:rsidR="00FF1992" w:rsidRDefault="00FF1992">
            <w:pPr>
              <w:rPr>
                <w:rFonts w:ascii="Verdana" w:hAnsi="Verdana"/>
                <w:b/>
                <w:sz w:val="20"/>
                <w:szCs w:val="20"/>
                <w:lang w:val="en-GB"/>
              </w:rPr>
            </w:pPr>
          </w:p>
        </w:tc>
        <w:tc>
          <w:tcPr>
            <w:tcW w:w="478" w:type="pct"/>
            <w:tcBorders>
              <w:top w:val="single" w:sz="4" w:space="0" w:color="auto"/>
              <w:left w:val="nil"/>
              <w:bottom w:val="single" w:sz="4" w:space="0" w:color="auto"/>
              <w:right w:val="nil"/>
            </w:tcBorders>
            <w:hideMark/>
          </w:tcPr>
          <w:p w14:paraId="1F73614F" w14:textId="77777777" w:rsidR="00FF1992" w:rsidRDefault="00FF1992">
            <w:pPr>
              <w:rPr>
                <w:rFonts w:ascii="Verdana" w:hAnsi="Verdana"/>
                <w:b/>
                <w:sz w:val="20"/>
                <w:szCs w:val="20"/>
                <w:lang w:val="en-GB"/>
              </w:rPr>
            </w:pPr>
            <w:r>
              <w:rPr>
                <w:rFonts w:ascii="Verdana" w:hAnsi="Verdana"/>
                <w:b/>
                <w:sz w:val="20"/>
                <w:szCs w:val="20"/>
              </w:rPr>
              <w:t>HRI</w:t>
            </w:r>
          </w:p>
        </w:tc>
      </w:tr>
      <w:tr w:rsidR="00FF1992" w14:paraId="03E8AF3D" w14:textId="77777777" w:rsidTr="00DE5BAC">
        <w:tc>
          <w:tcPr>
            <w:tcW w:w="1075" w:type="pct"/>
            <w:tcBorders>
              <w:top w:val="single" w:sz="4" w:space="0" w:color="auto"/>
              <w:left w:val="nil"/>
              <w:bottom w:val="nil"/>
              <w:right w:val="nil"/>
            </w:tcBorders>
          </w:tcPr>
          <w:p w14:paraId="59AA789E" w14:textId="77777777" w:rsidR="00FF1992" w:rsidRDefault="00FF1992">
            <w:pPr>
              <w:rPr>
                <w:rFonts w:ascii="Verdana" w:hAnsi="Verdana"/>
                <w:b/>
                <w:sz w:val="20"/>
                <w:szCs w:val="20"/>
                <w:lang w:val="en-GB"/>
              </w:rPr>
            </w:pPr>
          </w:p>
        </w:tc>
        <w:tc>
          <w:tcPr>
            <w:tcW w:w="468" w:type="pct"/>
            <w:tcBorders>
              <w:top w:val="single" w:sz="4" w:space="0" w:color="auto"/>
              <w:left w:val="nil"/>
              <w:bottom w:val="single" w:sz="4" w:space="0" w:color="auto"/>
              <w:right w:val="nil"/>
            </w:tcBorders>
            <w:hideMark/>
          </w:tcPr>
          <w:p w14:paraId="7BE22F1E" w14:textId="77777777" w:rsidR="00FF1992" w:rsidRDefault="00FF1992">
            <w:pPr>
              <w:rPr>
                <w:rFonts w:ascii="Verdana" w:hAnsi="Verdana"/>
                <w:b/>
                <w:sz w:val="20"/>
                <w:szCs w:val="20"/>
                <w:lang w:val="en-GB"/>
              </w:rPr>
            </w:pPr>
            <w:r>
              <w:rPr>
                <w:rFonts w:ascii="Verdana" w:hAnsi="Verdana"/>
                <w:b/>
                <w:sz w:val="20"/>
                <w:szCs w:val="20"/>
              </w:rPr>
              <w:t>Fe</w:t>
            </w:r>
          </w:p>
        </w:tc>
        <w:tc>
          <w:tcPr>
            <w:tcW w:w="468" w:type="pct"/>
            <w:tcBorders>
              <w:top w:val="single" w:sz="4" w:space="0" w:color="auto"/>
              <w:left w:val="nil"/>
              <w:bottom w:val="single" w:sz="4" w:space="0" w:color="auto"/>
              <w:right w:val="nil"/>
            </w:tcBorders>
            <w:hideMark/>
          </w:tcPr>
          <w:p w14:paraId="2F369D6B" w14:textId="77777777" w:rsidR="00FF1992" w:rsidRDefault="00FF1992">
            <w:pPr>
              <w:rPr>
                <w:rFonts w:ascii="Verdana" w:hAnsi="Verdana"/>
                <w:b/>
                <w:sz w:val="20"/>
                <w:szCs w:val="20"/>
                <w:lang w:val="en-GB"/>
              </w:rPr>
            </w:pPr>
            <w:r>
              <w:rPr>
                <w:rFonts w:ascii="Verdana" w:hAnsi="Verdana"/>
                <w:b/>
                <w:sz w:val="20"/>
                <w:szCs w:val="20"/>
              </w:rPr>
              <w:t>Pb</w:t>
            </w:r>
          </w:p>
        </w:tc>
        <w:tc>
          <w:tcPr>
            <w:tcW w:w="496" w:type="pct"/>
            <w:tcBorders>
              <w:top w:val="single" w:sz="4" w:space="0" w:color="auto"/>
              <w:left w:val="nil"/>
              <w:bottom w:val="single" w:sz="4" w:space="0" w:color="auto"/>
              <w:right w:val="nil"/>
            </w:tcBorders>
            <w:hideMark/>
          </w:tcPr>
          <w:p w14:paraId="5D41CDBD" w14:textId="77777777" w:rsidR="00FF1992" w:rsidRDefault="00FF1992">
            <w:pPr>
              <w:rPr>
                <w:rFonts w:ascii="Verdana" w:hAnsi="Verdana"/>
                <w:b/>
                <w:sz w:val="20"/>
                <w:szCs w:val="20"/>
                <w:lang w:val="en-GB"/>
              </w:rPr>
            </w:pPr>
            <w:r>
              <w:rPr>
                <w:rFonts w:ascii="Verdana" w:hAnsi="Verdana"/>
                <w:b/>
                <w:sz w:val="20"/>
                <w:szCs w:val="20"/>
              </w:rPr>
              <w:t>Cd</w:t>
            </w:r>
          </w:p>
        </w:tc>
        <w:tc>
          <w:tcPr>
            <w:tcW w:w="523" w:type="pct"/>
            <w:tcBorders>
              <w:top w:val="single" w:sz="4" w:space="0" w:color="auto"/>
              <w:left w:val="nil"/>
              <w:bottom w:val="single" w:sz="4" w:space="0" w:color="auto"/>
              <w:right w:val="nil"/>
            </w:tcBorders>
            <w:hideMark/>
          </w:tcPr>
          <w:p w14:paraId="407EAA85" w14:textId="77777777" w:rsidR="00FF1992" w:rsidRDefault="00FF1992">
            <w:pPr>
              <w:rPr>
                <w:rFonts w:ascii="Verdana" w:hAnsi="Verdana"/>
                <w:b/>
                <w:sz w:val="20"/>
                <w:szCs w:val="20"/>
                <w:lang w:val="en-GB"/>
              </w:rPr>
            </w:pPr>
            <w:r>
              <w:rPr>
                <w:rFonts w:ascii="Verdana" w:hAnsi="Verdana"/>
                <w:b/>
                <w:sz w:val="20"/>
                <w:szCs w:val="20"/>
              </w:rPr>
              <w:t>Cu</w:t>
            </w:r>
          </w:p>
        </w:tc>
        <w:tc>
          <w:tcPr>
            <w:tcW w:w="502" w:type="pct"/>
            <w:tcBorders>
              <w:top w:val="single" w:sz="4" w:space="0" w:color="auto"/>
              <w:left w:val="nil"/>
              <w:bottom w:val="single" w:sz="4" w:space="0" w:color="auto"/>
              <w:right w:val="nil"/>
            </w:tcBorders>
            <w:hideMark/>
          </w:tcPr>
          <w:p w14:paraId="56608882" w14:textId="77777777" w:rsidR="00FF1992" w:rsidRDefault="00FF1992">
            <w:pPr>
              <w:rPr>
                <w:rFonts w:ascii="Verdana" w:hAnsi="Verdana"/>
                <w:b/>
                <w:sz w:val="20"/>
                <w:szCs w:val="20"/>
                <w:lang w:val="en-GB"/>
              </w:rPr>
            </w:pPr>
            <w:r>
              <w:rPr>
                <w:rFonts w:ascii="Verdana" w:hAnsi="Verdana"/>
                <w:b/>
                <w:sz w:val="20"/>
                <w:szCs w:val="20"/>
              </w:rPr>
              <w:t>Mn</w:t>
            </w:r>
          </w:p>
        </w:tc>
        <w:tc>
          <w:tcPr>
            <w:tcW w:w="496" w:type="pct"/>
            <w:tcBorders>
              <w:top w:val="single" w:sz="4" w:space="0" w:color="auto"/>
              <w:left w:val="nil"/>
              <w:bottom w:val="single" w:sz="4" w:space="0" w:color="auto"/>
              <w:right w:val="nil"/>
            </w:tcBorders>
            <w:hideMark/>
          </w:tcPr>
          <w:p w14:paraId="5061B50C" w14:textId="77777777" w:rsidR="00FF1992" w:rsidRDefault="00FF1992">
            <w:pPr>
              <w:rPr>
                <w:rFonts w:ascii="Verdana" w:hAnsi="Verdana"/>
                <w:b/>
                <w:sz w:val="20"/>
                <w:szCs w:val="20"/>
                <w:lang w:val="en-GB"/>
              </w:rPr>
            </w:pPr>
            <w:r>
              <w:rPr>
                <w:rFonts w:ascii="Verdana" w:hAnsi="Verdana"/>
                <w:b/>
                <w:sz w:val="20"/>
                <w:szCs w:val="20"/>
              </w:rPr>
              <w:t>Zn</w:t>
            </w:r>
          </w:p>
        </w:tc>
        <w:tc>
          <w:tcPr>
            <w:tcW w:w="494" w:type="pct"/>
            <w:tcBorders>
              <w:top w:val="single" w:sz="4" w:space="0" w:color="auto"/>
              <w:left w:val="nil"/>
              <w:bottom w:val="single" w:sz="4" w:space="0" w:color="auto"/>
              <w:right w:val="nil"/>
            </w:tcBorders>
            <w:hideMark/>
          </w:tcPr>
          <w:p w14:paraId="4F6B74AF" w14:textId="77777777" w:rsidR="00FF1992" w:rsidRDefault="00FF1992">
            <w:pPr>
              <w:rPr>
                <w:rFonts w:ascii="Verdana" w:hAnsi="Verdana"/>
                <w:b/>
                <w:sz w:val="20"/>
                <w:szCs w:val="20"/>
                <w:lang w:val="en-GB"/>
              </w:rPr>
            </w:pPr>
            <w:r>
              <w:rPr>
                <w:rFonts w:ascii="Verdana" w:hAnsi="Verdana"/>
                <w:b/>
                <w:sz w:val="20"/>
                <w:szCs w:val="20"/>
              </w:rPr>
              <w:t>Ni</w:t>
            </w:r>
          </w:p>
        </w:tc>
        <w:tc>
          <w:tcPr>
            <w:tcW w:w="478" w:type="pct"/>
            <w:tcBorders>
              <w:top w:val="single" w:sz="4" w:space="0" w:color="auto"/>
              <w:left w:val="nil"/>
              <w:bottom w:val="nil"/>
              <w:right w:val="nil"/>
            </w:tcBorders>
          </w:tcPr>
          <w:p w14:paraId="686849EB" w14:textId="77777777" w:rsidR="00FF1992" w:rsidRDefault="00FF1992">
            <w:pPr>
              <w:rPr>
                <w:rFonts w:ascii="Verdana" w:hAnsi="Verdana"/>
                <w:b/>
                <w:sz w:val="20"/>
                <w:szCs w:val="20"/>
                <w:lang w:val="en-GB"/>
              </w:rPr>
            </w:pPr>
          </w:p>
        </w:tc>
      </w:tr>
      <w:tr w:rsidR="00FF1992" w14:paraId="2CAC490A" w14:textId="77777777" w:rsidTr="00DE5BAC">
        <w:tc>
          <w:tcPr>
            <w:tcW w:w="1075" w:type="pct"/>
            <w:tcBorders>
              <w:top w:val="nil"/>
              <w:left w:val="nil"/>
              <w:bottom w:val="nil"/>
              <w:right w:val="nil"/>
            </w:tcBorders>
            <w:hideMark/>
          </w:tcPr>
          <w:p w14:paraId="10977C19" w14:textId="77777777" w:rsidR="00FF1992" w:rsidRDefault="00FF1992">
            <w:pPr>
              <w:rPr>
                <w:rFonts w:ascii="Verdana" w:hAnsi="Verdana"/>
                <w:b/>
                <w:sz w:val="20"/>
                <w:szCs w:val="20"/>
                <w:lang w:val="en-GB"/>
              </w:rPr>
            </w:pPr>
            <w:r>
              <w:rPr>
                <w:rFonts w:ascii="Verdana" w:hAnsi="Verdana"/>
                <w:b/>
                <w:i/>
                <w:sz w:val="20"/>
                <w:szCs w:val="20"/>
              </w:rPr>
              <w:t>C.  gariepinus</w:t>
            </w:r>
          </w:p>
        </w:tc>
        <w:tc>
          <w:tcPr>
            <w:tcW w:w="468" w:type="pct"/>
            <w:tcBorders>
              <w:top w:val="single" w:sz="4" w:space="0" w:color="auto"/>
              <w:left w:val="nil"/>
              <w:bottom w:val="nil"/>
              <w:right w:val="nil"/>
            </w:tcBorders>
            <w:hideMark/>
          </w:tcPr>
          <w:p w14:paraId="1E8082C2" w14:textId="77777777" w:rsidR="00FF1992" w:rsidRDefault="00FF1992">
            <w:pPr>
              <w:rPr>
                <w:rFonts w:ascii="Verdana" w:hAnsi="Verdana"/>
                <w:sz w:val="20"/>
                <w:szCs w:val="20"/>
                <w:lang w:val="en-GB"/>
              </w:rPr>
            </w:pPr>
            <w:r>
              <w:rPr>
                <w:rFonts w:ascii="Verdana" w:hAnsi="Verdana"/>
                <w:sz w:val="20"/>
                <w:szCs w:val="20"/>
              </w:rPr>
              <w:t>0.0313</w:t>
            </w:r>
          </w:p>
        </w:tc>
        <w:tc>
          <w:tcPr>
            <w:tcW w:w="468" w:type="pct"/>
            <w:tcBorders>
              <w:top w:val="single" w:sz="4" w:space="0" w:color="auto"/>
              <w:left w:val="nil"/>
              <w:bottom w:val="nil"/>
              <w:right w:val="nil"/>
            </w:tcBorders>
            <w:hideMark/>
          </w:tcPr>
          <w:p w14:paraId="4324FE61" w14:textId="77777777" w:rsidR="00FF1992" w:rsidRDefault="00FF1992">
            <w:pPr>
              <w:rPr>
                <w:rFonts w:ascii="Verdana" w:hAnsi="Verdana"/>
                <w:sz w:val="20"/>
                <w:szCs w:val="20"/>
                <w:lang w:val="en-GB"/>
              </w:rPr>
            </w:pPr>
            <w:r>
              <w:rPr>
                <w:rFonts w:ascii="Verdana" w:hAnsi="Verdana"/>
                <w:sz w:val="20"/>
                <w:szCs w:val="20"/>
              </w:rPr>
              <w:t>0.0043</w:t>
            </w:r>
          </w:p>
        </w:tc>
        <w:tc>
          <w:tcPr>
            <w:tcW w:w="496" w:type="pct"/>
            <w:tcBorders>
              <w:top w:val="single" w:sz="4" w:space="0" w:color="auto"/>
              <w:left w:val="nil"/>
              <w:bottom w:val="nil"/>
              <w:right w:val="nil"/>
            </w:tcBorders>
            <w:hideMark/>
          </w:tcPr>
          <w:p w14:paraId="7D3FA806" w14:textId="77777777" w:rsidR="00FF1992" w:rsidRDefault="00FF1992">
            <w:pPr>
              <w:rPr>
                <w:rFonts w:ascii="Verdana" w:hAnsi="Verdana"/>
                <w:sz w:val="20"/>
                <w:szCs w:val="20"/>
                <w:lang w:val="en-GB"/>
              </w:rPr>
            </w:pPr>
            <w:r>
              <w:rPr>
                <w:rFonts w:ascii="Verdana" w:hAnsi="Verdana"/>
                <w:sz w:val="20"/>
                <w:szCs w:val="20"/>
              </w:rPr>
              <w:t>BDL</w:t>
            </w:r>
          </w:p>
        </w:tc>
        <w:tc>
          <w:tcPr>
            <w:tcW w:w="523" w:type="pct"/>
            <w:tcBorders>
              <w:top w:val="single" w:sz="4" w:space="0" w:color="auto"/>
              <w:left w:val="nil"/>
              <w:bottom w:val="nil"/>
              <w:right w:val="nil"/>
            </w:tcBorders>
            <w:hideMark/>
          </w:tcPr>
          <w:p w14:paraId="0E1DF7C0" w14:textId="77777777" w:rsidR="00FF1992" w:rsidRDefault="00FF1992">
            <w:pPr>
              <w:rPr>
                <w:rFonts w:ascii="Verdana" w:hAnsi="Verdana"/>
                <w:sz w:val="20"/>
                <w:szCs w:val="20"/>
                <w:lang w:val="en-GB"/>
              </w:rPr>
            </w:pPr>
            <w:r>
              <w:rPr>
                <w:rFonts w:ascii="Verdana" w:hAnsi="Verdana"/>
                <w:sz w:val="20"/>
                <w:szCs w:val="20"/>
              </w:rPr>
              <w:t>0.0439</w:t>
            </w:r>
          </w:p>
        </w:tc>
        <w:tc>
          <w:tcPr>
            <w:tcW w:w="502" w:type="pct"/>
            <w:tcBorders>
              <w:top w:val="single" w:sz="4" w:space="0" w:color="auto"/>
              <w:left w:val="nil"/>
              <w:bottom w:val="nil"/>
              <w:right w:val="nil"/>
            </w:tcBorders>
            <w:hideMark/>
          </w:tcPr>
          <w:p w14:paraId="2EB6471C" w14:textId="77777777" w:rsidR="00FF1992" w:rsidRDefault="00FF1992">
            <w:pPr>
              <w:rPr>
                <w:rFonts w:ascii="Verdana" w:hAnsi="Verdana"/>
                <w:sz w:val="20"/>
                <w:szCs w:val="20"/>
                <w:lang w:val="en-GB"/>
              </w:rPr>
            </w:pPr>
            <w:r>
              <w:rPr>
                <w:rFonts w:ascii="Verdana" w:hAnsi="Verdana"/>
                <w:sz w:val="20"/>
                <w:szCs w:val="20"/>
              </w:rPr>
              <w:t>0.1310</w:t>
            </w:r>
          </w:p>
        </w:tc>
        <w:tc>
          <w:tcPr>
            <w:tcW w:w="496" w:type="pct"/>
            <w:tcBorders>
              <w:top w:val="single" w:sz="4" w:space="0" w:color="auto"/>
              <w:left w:val="nil"/>
              <w:bottom w:val="nil"/>
              <w:right w:val="nil"/>
            </w:tcBorders>
            <w:hideMark/>
          </w:tcPr>
          <w:p w14:paraId="21D2C627" w14:textId="77777777" w:rsidR="00FF1992" w:rsidRDefault="00FF1992">
            <w:pPr>
              <w:rPr>
                <w:rFonts w:ascii="Verdana" w:hAnsi="Verdana"/>
                <w:sz w:val="20"/>
                <w:szCs w:val="20"/>
                <w:lang w:val="en-GB"/>
              </w:rPr>
            </w:pPr>
            <w:r>
              <w:rPr>
                <w:rFonts w:ascii="Verdana" w:hAnsi="Verdana"/>
                <w:sz w:val="20"/>
                <w:szCs w:val="20"/>
              </w:rPr>
              <w:t>0.0296</w:t>
            </w:r>
          </w:p>
        </w:tc>
        <w:tc>
          <w:tcPr>
            <w:tcW w:w="494" w:type="pct"/>
            <w:tcBorders>
              <w:top w:val="single" w:sz="4" w:space="0" w:color="auto"/>
              <w:left w:val="nil"/>
              <w:bottom w:val="nil"/>
              <w:right w:val="nil"/>
            </w:tcBorders>
            <w:hideMark/>
          </w:tcPr>
          <w:p w14:paraId="2E089CDD" w14:textId="77777777" w:rsidR="00FF1992" w:rsidRDefault="00FF1992">
            <w:pPr>
              <w:rPr>
                <w:rFonts w:ascii="Verdana" w:hAnsi="Verdana"/>
                <w:sz w:val="20"/>
                <w:szCs w:val="20"/>
                <w:lang w:val="en-GB"/>
              </w:rPr>
            </w:pPr>
            <w:r>
              <w:rPr>
                <w:rFonts w:ascii="Verdana" w:hAnsi="Verdana"/>
                <w:sz w:val="20"/>
                <w:szCs w:val="20"/>
              </w:rPr>
              <w:t>0.0175</w:t>
            </w:r>
          </w:p>
        </w:tc>
        <w:tc>
          <w:tcPr>
            <w:tcW w:w="478" w:type="pct"/>
            <w:tcBorders>
              <w:top w:val="nil"/>
              <w:left w:val="nil"/>
              <w:bottom w:val="nil"/>
              <w:right w:val="nil"/>
            </w:tcBorders>
            <w:hideMark/>
          </w:tcPr>
          <w:p w14:paraId="1B7683D5" w14:textId="77777777" w:rsidR="00FF1992" w:rsidRDefault="00FF1992">
            <w:pPr>
              <w:rPr>
                <w:rFonts w:ascii="Verdana" w:hAnsi="Verdana"/>
                <w:sz w:val="20"/>
                <w:szCs w:val="20"/>
                <w:lang w:val="en-GB"/>
              </w:rPr>
            </w:pPr>
            <w:r>
              <w:rPr>
                <w:rFonts w:ascii="Verdana" w:hAnsi="Verdana"/>
                <w:sz w:val="20"/>
                <w:szCs w:val="20"/>
              </w:rPr>
              <w:t>0.2576</w:t>
            </w:r>
          </w:p>
        </w:tc>
      </w:tr>
      <w:tr w:rsidR="00FF1992" w14:paraId="60C54462" w14:textId="77777777" w:rsidTr="00DE5BAC">
        <w:tc>
          <w:tcPr>
            <w:tcW w:w="1075" w:type="pct"/>
            <w:tcBorders>
              <w:top w:val="nil"/>
              <w:left w:val="nil"/>
              <w:bottom w:val="nil"/>
              <w:right w:val="nil"/>
            </w:tcBorders>
            <w:hideMark/>
          </w:tcPr>
          <w:p w14:paraId="687AC31F" w14:textId="77777777" w:rsidR="00FF1992" w:rsidRDefault="00FF1992">
            <w:pPr>
              <w:rPr>
                <w:rFonts w:ascii="Verdana" w:hAnsi="Verdana"/>
                <w:b/>
                <w:sz w:val="20"/>
                <w:szCs w:val="20"/>
                <w:lang w:val="en-GB"/>
              </w:rPr>
            </w:pPr>
            <w:r>
              <w:rPr>
                <w:rFonts w:ascii="Verdana" w:hAnsi="Verdana"/>
                <w:b/>
                <w:i/>
                <w:sz w:val="20"/>
                <w:szCs w:val="20"/>
              </w:rPr>
              <w:t>A.  nebulosus</w:t>
            </w:r>
          </w:p>
        </w:tc>
        <w:tc>
          <w:tcPr>
            <w:tcW w:w="468" w:type="pct"/>
            <w:tcBorders>
              <w:top w:val="nil"/>
              <w:left w:val="nil"/>
              <w:bottom w:val="nil"/>
              <w:right w:val="nil"/>
            </w:tcBorders>
            <w:hideMark/>
          </w:tcPr>
          <w:p w14:paraId="489C68D5" w14:textId="77777777" w:rsidR="00FF1992" w:rsidRDefault="00FF1992">
            <w:pPr>
              <w:rPr>
                <w:rFonts w:ascii="Verdana" w:hAnsi="Verdana"/>
                <w:sz w:val="20"/>
                <w:szCs w:val="20"/>
                <w:lang w:val="en-GB"/>
              </w:rPr>
            </w:pPr>
            <w:r>
              <w:rPr>
                <w:rFonts w:ascii="Verdana" w:hAnsi="Verdana"/>
                <w:sz w:val="20"/>
                <w:szCs w:val="20"/>
              </w:rPr>
              <w:t>0.0861</w:t>
            </w:r>
          </w:p>
        </w:tc>
        <w:tc>
          <w:tcPr>
            <w:tcW w:w="468" w:type="pct"/>
            <w:tcBorders>
              <w:top w:val="nil"/>
              <w:left w:val="nil"/>
              <w:bottom w:val="nil"/>
              <w:right w:val="nil"/>
            </w:tcBorders>
            <w:hideMark/>
          </w:tcPr>
          <w:p w14:paraId="336E94C9" w14:textId="77777777" w:rsidR="00FF1992" w:rsidRDefault="00FF1992">
            <w:pPr>
              <w:rPr>
                <w:rFonts w:ascii="Verdana" w:hAnsi="Verdana"/>
                <w:sz w:val="20"/>
                <w:szCs w:val="20"/>
                <w:lang w:val="en-GB"/>
              </w:rPr>
            </w:pPr>
            <w:r>
              <w:rPr>
                <w:rFonts w:ascii="Verdana" w:hAnsi="Verdana"/>
                <w:sz w:val="20"/>
                <w:szCs w:val="20"/>
              </w:rPr>
              <w:t>0.0253</w:t>
            </w:r>
          </w:p>
        </w:tc>
        <w:tc>
          <w:tcPr>
            <w:tcW w:w="496" w:type="pct"/>
            <w:tcBorders>
              <w:top w:val="nil"/>
              <w:left w:val="nil"/>
              <w:bottom w:val="nil"/>
              <w:right w:val="nil"/>
            </w:tcBorders>
            <w:hideMark/>
          </w:tcPr>
          <w:p w14:paraId="344EC1F4" w14:textId="77777777" w:rsidR="00FF1992" w:rsidRDefault="00FF1992">
            <w:pPr>
              <w:rPr>
                <w:rFonts w:ascii="Verdana" w:hAnsi="Verdana"/>
                <w:sz w:val="20"/>
                <w:szCs w:val="20"/>
                <w:lang w:val="en-GB"/>
              </w:rPr>
            </w:pPr>
            <w:r>
              <w:rPr>
                <w:rFonts w:ascii="Verdana" w:hAnsi="Verdana"/>
                <w:sz w:val="20"/>
                <w:szCs w:val="20"/>
              </w:rPr>
              <w:t>0.0010</w:t>
            </w:r>
          </w:p>
        </w:tc>
        <w:tc>
          <w:tcPr>
            <w:tcW w:w="523" w:type="pct"/>
            <w:tcBorders>
              <w:top w:val="nil"/>
              <w:left w:val="nil"/>
              <w:bottom w:val="nil"/>
              <w:right w:val="nil"/>
            </w:tcBorders>
            <w:hideMark/>
          </w:tcPr>
          <w:p w14:paraId="4C738CCD" w14:textId="77777777" w:rsidR="00FF1992" w:rsidRDefault="00FF1992">
            <w:pPr>
              <w:rPr>
                <w:rFonts w:ascii="Verdana" w:hAnsi="Verdana"/>
                <w:sz w:val="20"/>
                <w:szCs w:val="20"/>
                <w:lang w:val="en-GB"/>
              </w:rPr>
            </w:pPr>
            <w:r>
              <w:rPr>
                <w:rFonts w:ascii="Verdana" w:hAnsi="Verdana"/>
                <w:sz w:val="20"/>
                <w:szCs w:val="20"/>
              </w:rPr>
              <w:t>0.0518</w:t>
            </w:r>
          </w:p>
        </w:tc>
        <w:tc>
          <w:tcPr>
            <w:tcW w:w="502" w:type="pct"/>
            <w:tcBorders>
              <w:top w:val="nil"/>
              <w:left w:val="nil"/>
              <w:bottom w:val="nil"/>
              <w:right w:val="nil"/>
            </w:tcBorders>
            <w:hideMark/>
          </w:tcPr>
          <w:p w14:paraId="07ED622D" w14:textId="77777777" w:rsidR="00FF1992" w:rsidRDefault="00FF1992">
            <w:pPr>
              <w:rPr>
                <w:rFonts w:ascii="Verdana" w:hAnsi="Verdana"/>
                <w:sz w:val="20"/>
                <w:szCs w:val="20"/>
                <w:lang w:val="en-GB"/>
              </w:rPr>
            </w:pPr>
            <w:r>
              <w:rPr>
                <w:rFonts w:ascii="Verdana" w:hAnsi="Verdana"/>
                <w:sz w:val="20"/>
                <w:szCs w:val="20"/>
              </w:rPr>
              <w:t>0.3569</w:t>
            </w:r>
          </w:p>
        </w:tc>
        <w:tc>
          <w:tcPr>
            <w:tcW w:w="496" w:type="pct"/>
            <w:tcBorders>
              <w:top w:val="nil"/>
              <w:left w:val="nil"/>
              <w:bottom w:val="nil"/>
              <w:right w:val="nil"/>
            </w:tcBorders>
            <w:hideMark/>
          </w:tcPr>
          <w:p w14:paraId="38DC19B0" w14:textId="77777777" w:rsidR="00FF1992" w:rsidRDefault="00FF1992">
            <w:pPr>
              <w:rPr>
                <w:rFonts w:ascii="Verdana" w:hAnsi="Verdana"/>
                <w:sz w:val="20"/>
                <w:szCs w:val="20"/>
                <w:lang w:val="en-GB"/>
              </w:rPr>
            </w:pPr>
            <w:r>
              <w:rPr>
                <w:rFonts w:ascii="Verdana" w:hAnsi="Verdana"/>
                <w:sz w:val="20"/>
                <w:szCs w:val="20"/>
              </w:rPr>
              <w:t>0.0466</w:t>
            </w:r>
          </w:p>
        </w:tc>
        <w:tc>
          <w:tcPr>
            <w:tcW w:w="494" w:type="pct"/>
            <w:tcBorders>
              <w:top w:val="nil"/>
              <w:left w:val="nil"/>
              <w:bottom w:val="nil"/>
              <w:right w:val="nil"/>
            </w:tcBorders>
            <w:hideMark/>
          </w:tcPr>
          <w:p w14:paraId="6ED23765" w14:textId="77777777" w:rsidR="00FF1992" w:rsidRDefault="00FF1992">
            <w:pPr>
              <w:rPr>
                <w:rFonts w:ascii="Verdana" w:hAnsi="Verdana"/>
                <w:sz w:val="20"/>
                <w:szCs w:val="20"/>
                <w:lang w:val="en-GB"/>
              </w:rPr>
            </w:pPr>
            <w:r>
              <w:rPr>
                <w:rFonts w:ascii="Verdana" w:hAnsi="Verdana"/>
                <w:sz w:val="20"/>
                <w:szCs w:val="20"/>
              </w:rPr>
              <w:t>0.0200</w:t>
            </w:r>
          </w:p>
        </w:tc>
        <w:tc>
          <w:tcPr>
            <w:tcW w:w="478" w:type="pct"/>
            <w:tcBorders>
              <w:top w:val="nil"/>
              <w:left w:val="nil"/>
              <w:bottom w:val="nil"/>
              <w:right w:val="nil"/>
            </w:tcBorders>
            <w:hideMark/>
          </w:tcPr>
          <w:p w14:paraId="11A42251" w14:textId="77777777" w:rsidR="00FF1992" w:rsidRDefault="00FF1992">
            <w:pPr>
              <w:rPr>
                <w:rFonts w:ascii="Verdana" w:hAnsi="Verdana"/>
                <w:sz w:val="20"/>
                <w:szCs w:val="20"/>
                <w:lang w:val="en-GB"/>
              </w:rPr>
            </w:pPr>
            <w:r>
              <w:rPr>
                <w:rFonts w:ascii="Verdana" w:hAnsi="Verdana"/>
                <w:sz w:val="20"/>
                <w:szCs w:val="20"/>
              </w:rPr>
              <w:t>0.5877</w:t>
            </w:r>
          </w:p>
        </w:tc>
      </w:tr>
      <w:tr w:rsidR="00FF1992" w14:paraId="427FB2EB" w14:textId="77777777" w:rsidTr="00DE5BAC">
        <w:tc>
          <w:tcPr>
            <w:tcW w:w="1075" w:type="pct"/>
            <w:tcBorders>
              <w:top w:val="nil"/>
              <w:left w:val="nil"/>
              <w:bottom w:val="single" w:sz="4" w:space="0" w:color="auto"/>
              <w:right w:val="nil"/>
            </w:tcBorders>
            <w:hideMark/>
          </w:tcPr>
          <w:p w14:paraId="0ADD3DF8" w14:textId="77777777" w:rsidR="00FF1992" w:rsidRDefault="00FF1992">
            <w:pPr>
              <w:rPr>
                <w:rFonts w:ascii="Verdana" w:hAnsi="Verdana"/>
                <w:b/>
                <w:sz w:val="20"/>
                <w:szCs w:val="20"/>
                <w:lang w:val="en-GB"/>
              </w:rPr>
            </w:pPr>
            <w:r>
              <w:rPr>
                <w:rFonts w:ascii="Verdana" w:hAnsi="Verdana"/>
                <w:b/>
                <w:i/>
                <w:sz w:val="20"/>
                <w:szCs w:val="20"/>
              </w:rPr>
              <w:lastRenderedPageBreak/>
              <w:t xml:space="preserve">T.  </w:t>
            </w:r>
            <w:proofErr w:type="spellStart"/>
            <w:r>
              <w:rPr>
                <w:rFonts w:ascii="Verdana" w:hAnsi="Verdana"/>
                <w:b/>
                <w:i/>
                <w:sz w:val="20"/>
                <w:szCs w:val="20"/>
              </w:rPr>
              <w:t>zilli</w:t>
            </w:r>
            <w:proofErr w:type="spellEnd"/>
          </w:p>
        </w:tc>
        <w:tc>
          <w:tcPr>
            <w:tcW w:w="468" w:type="pct"/>
            <w:tcBorders>
              <w:top w:val="nil"/>
              <w:left w:val="nil"/>
              <w:bottom w:val="single" w:sz="4" w:space="0" w:color="auto"/>
              <w:right w:val="nil"/>
            </w:tcBorders>
            <w:hideMark/>
          </w:tcPr>
          <w:p w14:paraId="649F08D1" w14:textId="77777777" w:rsidR="00FF1992" w:rsidRDefault="00FF1992">
            <w:pPr>
              <w:rPr>
                <w:rFonts w:ascii="Verdana" w:hAnsi="Verdana"/>
                <w:sz w:val="20"/>
                <w:szCs w:val="20"/>
                <w:lang w:val="en-GB"/>
              </w:rPr>
            </w:pPr>
            <w:r>
              <w:rPr>
                <w:rFonts w:ascii="Verdana" w:hAnsi="Verdana"/>
                <w:sz w:val="20"/>
                <w:szCs w:val="20"/>
              </w:rPr>
              <w:t>0.1014</w:t>
            </w:r>
          </w:p>
        </w:tc>
        <w:tc>
          <w:tcPr>
            <w:tcW w:w="468" w:type="pct"/>
            <w:tcBorders>
              <w:top w:val="nil"/>
              <w:left w:val="nil"/>
              <w:bottom w:val="single" w:sz="4" w:space="0" w:color="auto"/>
              <w:right w:val="nil"/>
            </w:tcBorders>
            <w:hideMark/>
          </w:tcPr>
          <w:p w14:paraId="44221CD5" w14:textId="77777777" w:rsidR="00FF1992" w:rsidRDefault="00FF1992">
            <w:pPr>
              <w:rPr>
                <w:rFonts w:ascii="Verdana" w:hAnsi="Verdana"/>
                <w:sz w:val="20"/>
                <w:szCs w:val="20"/>
                <w:lang w:val="en-GB"/>
              </w:rPr>
            </w:pPr>
            <w:r>
              <w:rPr>
                <w:rFonts w:ascii="Verdana" w:hAnsi="Verdana"/>
                <w:sz w:val="20"/>
                <w:szCs w:val="20"/>
              </w:rPr>
              <w:t>0.0418</w:t>
            </w:r>
          </w:p>
        </w:tc>
        <w:tc>
          <w:tcPr>
            <w:tcW w:w="496" w:type="pct"/>
            <w:tcBorders>
              <w:top w:val="nil"/>
              <w:left w:val="nil"/>
              <w:bottom w:val="single" w:sz="4" w:space="0" w:color="auto"/>
              <w:right w:val="nil"/>
            </w:tcBorders>
            <w:hideMark/>
          </w:tcPr>
          <w:p w14:paraId="6BB8E839" w14:textId="77777777" w:rsidR="00FF1992" w:rsidRDefault="00FF1992">
            <w:pPr>
              <w:rPr>
                <w:rFonts w:ascii="Verdana" w:hAnsi="Verdana"/>
                <w:sz w:val="20"/>
                <w:szCs w:val="20"/>
                <w:lang w:val="en-GB"/>
              </w:rPr>
            </w:pPr>
            <w:r>
              <w:rPr>
                <w:rFonts w:ascii="Verdana" w:hAnsi="Verdana"/>
                <w:sz w:val="20"/>
                <w:szCs w:val="20"/>
              </w:rPr>
              <w:t>0.0024</w:t>
            </w:r>
          </w:p>
        </w:tc>
        <w:tc>
          <w:tcPr>
            <w:tcW w:w="523" w:type="pct"/>
            <w:tcBorders>
              <w:top w:val="nil"/>
              <w:left w:val="nil"/>
              <w:bottom w:val="single" w:sz="4" w:space="0" w:color="auto"/>
              <w:right w:val="nil"/>
            </w:tcBorders>
            <w:hideMark/>
          </w:tcPr>
          <w:p w14:paraId="2FB1D289" w14:textId="77777777" w:rsidR="00FF1992" w:rsidRDefault="00FF1992">
            <w:pPr>
              <w:rPr>
                <w:rFonts w:ascii="Verdana" w:hAnsi="Verdana"/>
                <w:sz w:val="20"/>
                <w:szCs w:val="20"/>
                <w:lang w:val="en-GB"/>
              </w:rPr>
            </w:pPr>
            <w:r>
              <w:rPr>
                <w:rFonts w:ascii="Verdana" w:hAnsi="Verdana"/>
                <w:sz w:val="20"/>
                <w:szCs w:val="20"/>
              </w:rPr>
              <w:t>0.0645</w:t>
            </w:r>
          </w:p>
        </w:tc>
        <w:tc>
          <w:tcPr>
            <w:tcW w:w="502" w:type="pct"/>
            <w:tcBorders>
              <w:top w:val="nil"/>
              <w:left w:val="nil"/>
              <w:bottom w:val="single" w:sz="4" w:space="0" w:color="auto"/>
              <w:right w:val="nil"/>
            </w:tcBorders>
            <w:hideMark/>
          </w:tcPr>
          <w:p w14:paraId="53E6A71D" w14:textId="77777777" w:rsidR="00FF1992" w:rsidRDefault="00FF1992">
            <w:pPr>
              <w:rPr>
                <w:rFonts w:ascii="Verdana" w:hAnsi="Verdana"/>
                <w:sz w:val="20"/>
                <w:szCs w:val="20"/>
                <w:lang w:val="en-GB"/>
              </w:rPr>
            </w:pPr>
            <w:r>
              <w:rPr>
                <w:rFonts w:ascii="Verdana" w:hAnsi="Verdana"/>
                <w:sz w:val="20"/>
                <w:szCs w:val="20"/>
              </w:rPr>
              <w:t>0.2729</w:t>
            </w:r>
          </w:p>
        </w:tc>
        <w:tc>
          <w:tcPr>
            <w:tcW w:w="496" w:type="pct"/>
            <w:tcBorders>
              <w:top w:val="nil"/>
              <w:left w:val="nil"/>
              <w:bottom w:val="single" w:sz="4" w:space="0" w:color="auto"/>
              <w:right w:val="nil"/>
            </w:tcBorders>
            <w:hideMark/>
          </w:tcPr>
          <w:p w14:paraId="52A5D91A" w14:textId="77777777" w:rsidR="00FF1992" w:rsidRDefault="00FF1992">
            <w:pPr>
              <w:rPr>
                <w:rFonts w:ascii="Verdana" w:hAnsi="Verdana"/>
                <w:sz w:val="20"/>
                <w:szCs w:val="20"/>
                <w:lang w:val="en-GB"/>
              </w:rPr>
            </w:pPr>
            <w:r>
              <w:rPr>
                <w:rFonts w:ascii="Verdana" w:hAnsi="Verdana"/>
                <w:sz w:val="20"/>
                <w:szCs w:val="20"/>
              </w:rPr>
              <w:t>0.0735</w:t>
            </w:r>
          </w:p>
        </w:tc>
        <w:tc>
          <w:tcPr>
            <w:tcW w:w="494" w:type="pct"/>
            <w:tcBorders>
              <w:top w:val="nil"/>
              <w:left w:val="nil"/>
              <w:bottom w:val="single" w:sz="4" w:space="0" w:color="auto"/>
              <w:right w:val="nil"/>
            </w:tcBorders>
            <w:hideMark/>
          </w:tcPr>
          <w:p w14:paraId="3F86A4EB" w14:textId="77777777" w:rsidR="00FF1992" w:rsidRDefault="00FF1992">
            <w:pPr>
              <w:rPr>
                <w:rFonts w:ascii="Verdana" w:hAnsi="Verdana"/>
                <w:sz w:val="20"/>
                <w:szCs w:val="20"/>
                <w:lang w:val="en-GB"/>
              </w:rPr>
            </w:pPr>
            <w:r>
              <w:rPr>
                <w:rFonts w:ascii="Verdana" w:hAnsi="Verdana"/>
                <w:sz w:val="20"/>
                <w:szCs w:val="20"/>
              </w:rPr>
              <w:t>0.0351</w:t>
            </w:r>
          </w:p>
        </w:tc>
        <w:tc>
          <w:tcPr>
            <w:tcW w:w="478" w:type="pct"/>
            <w:tcBorders>
              <w:top w:val="nil"/>
              <w:left w:val="nil"/>
              <w:bottom w:val="single" w:sz="4" w:space="0" w:color="auto"/>
              <w:right w:val="nil"/>
            </w:tcBorders>
            <w:hideMark/>
          </w:tcPr>
          <w:p w14:paraId="2B71A97C" w14:textId="77777777" w:rsidR="00FF1992" w:rsidRDefault="00FF1992">
            <w:pPr>
              <w:rPr>
                <w:rFonts w:ascii="Verdana" w:hAnsi="Verdana"/>
                <w:sz w:val="20"/>
                <w:szCs w:val="20"/>
                <w:lang w:val="en-GB"/>
              </w:rPr>
            </w:pPr>
            <w:r>
              <w:rPr>
                <w:rFonts w:ascii="Verdana" w:hAnsi="Verdana"/>
                <w:sz w:val="20"/>
                <w:szCs w:val="20"/>
              </w:rPr>
              <w:t>0.5915</w:t>
            </w:r>
          </w:p>
        </w:tc>
      </w:tr>
    </w:tbl>
    <w:p w14:paraId="37FFB60A" w14:textId="77777777" w:rsidR="00FF1992" w:rsidRDefault="00FF1992" w:rsidP="00441B6F">
      <w:pPr>
        <w:pStyle w:val="Body"/>
        <w:spacing w:after="0"/>
        <w:rPr>
          <w:rFonts w:ascii="Arial" w:hAnsi="Arial" w:cs="Arial"/>
        </w:rPr>
      </w:pPr>
    </w:p>
    <w:p w14:paraId="41B79CCE" w14:textId="77777777" w:rsidR="004A7BA1" w:rsidRDefault="004A7BA1" w:rsidP="00FF1992">
      <w:pPr>
        <w:pStyle w:val="Body"/>
        <w:rPr>
          <w:rFonts w:ascii="Arial" w:hAnsi="Arial" w:cs="Arial"/>
        </w:rPr>
      </w:pPr>
    </w:p>
    <w:p w14:paraId="67F78136" w14:textId="77777777" w:rsidR="00FF1992" w:rsidRPr="00FF1992" w:rsidRDefault="00FF1992" w:rsidP="00FF1992">
      <w:pPr>
        <w:pStyle w:val="Body"/>
        <w:rPr>
          <w:rFonts w:ascii="Arial" w:hAnsi="Arial" w:cs="Arial"/>
        </w:rPr>
      </w:pPr>
      <w:r w:rsidRPr="00FF1992">
        <w:rPr>
          <w:rFonts w:ascii="Arial" w:hAnsi="Arial" w:cs="Arial"/>
        </w:rPr>
        <w:t xml:space="preserve">The risk assessment for carcinogenic exposure effect has revealed that the incremental lifetime cancer risk (ILCR) for the heavy metal Ni were all above the safe </w:t>
      </w:r>
      <w:proofErr w:type="gramStart"/>
      <w:r w:rsidRPr="00FF1992">
        <w:rPr>
          <w:rFonts w:ascii="Arial" w:hAnsi="Arial" w:cs="Arial"/>
        </w:rPr>
        <w:t>limit  (</w:t>
      </w:r>
      <w:proofErr w:type="gramEnd"/>
      <w:r w:rsidRPr="00FF1992">
        <w:rPr>
          <w:rFonts w:ascii="Arial" w:hAnsi="Arial" w:cs="Arial"/>
        </w:rPr>
        <w:t>The acceptable cancer risk level (ILCR) for regulatory purposes was considered to be within the range of 10^</w:t>
      </w:r>
      <w:r w:rsidRPr="00462DAC">
        <w:rPr>
          <w:rFonts w:ascii="Arial" w:hAnsi="Arial" w:cs="Arial"/>
          <w:vertAlign w:val="superscript"/>
        </w:rPr>
        <w:t>-6</w:t>
      </w:r>
      <w:r w:rsidRPr="00FF1992">
        <w:rPr>
          <w:rFonts w:ascii="Arial" w:hAnsi="Arial" w:cs="Arial"/>
        </w:rPr>
        <w:t xml:space="preserve"> to 10^</w:t>
      </w:r>
      <w:r w:rsidRPr="00462DAC">
        <w:rPr>
          <w:rFonts w:ascii="Arial" w:hAnsi="Arial" w:cs="Arial"/>
          <w:vertAlign w:val="superscript"/>
        </w:rPr>
        <w:t>-4</w:t>
      </w:r>
      <w:r w:rsidRPr="00FF1992">
        <w:rPr>
          <w:rFonts w:ascii="Arial" w:hAnsi="Arial" w:cs="Arial"/>
        </w:rPr>
        <w:t xml:space="preserve">)for cancer in the children and adult population. While it lies in the safe limit for cancer risks for the heavy metals Pb and Cd (Tables 6 and 7). Likewise, the cumulative lifetime cancer risks (ΣILCR) for the adult and children population were above the safety limit, with the heavy metal Ni contributing to that effect. A similar observation of Ni contributing to cancer risks to the population was made in an earlier study on health risks evaluation in fish samples from the study area (Yaradua </w:t>
      </w:r>
      <w:r w:rsidRPr="00462DAC">
        <w:rPr>
          <w:rFonts w:ascii="Arial" w:hAnsi="Arial" w:cs="Arial"/>
          <w:i/>
          <w:iCs/>
        </w:rPr>
        <w:t>et al</w:t>
      </w:r>
      <w:r w:rsidRPr="00FF1992">
        <w:rPr>
          <w:rFonts w:ascii="Arial" w:hAnsi="Arial" w:cs="Arial"/>
        </w:rPr>
        <w:t xml:space="preserve">., 2022). The observation was also in concordat with the report of a study carried out in an industrially polluted Ogun and </w:t>
      </w:r>
      <w:proofErr w:type="spellStart"/>
      <w:r w:rsidRPr="00FF1992">
        <w:rPr>
          <w:rFonts w:ascii="Arial" w:hAnsi="Arial" w:cs="Arial"/>
        </w:rPr>
        <w:t>Eleyele</w:t>
      </w:r>
      <w:proofErr w:type="spellEnd"/>
      <w:r w:rsidRPr="00FF1992">
        <w:rPr>
          <w:rFonts w:ascii="Arial" w:hAnsi="Arial" w:cs="Arial"/>
        </w:rPr>
        <w:t xml:space="preserve"> Rivers, Nigeria (</w:t>
      </w:r>
      <w:proofErr w:type="spellStart"/>
      <w:r w:rsidRPr="00FF1992">
        <w:rPr>
          <w:rFonts w:ascii="Arial" w:hAnsi="Arial" w:cs="Arial"/>
        </w:rPr>
        <w:t>Adegbola</w:t>
      </w:r>
      <w:proofErr w:type="spellEnd"/>
      <w:r w:rsidRPr="00FF1992">
        <w:rPr>
          <w:rFonts w:ascii="Arial" w:hAnsi="Arial" w:cs="Arial"/>
        </w:rPr>
        <w:t xml:space="preserve"> </w:t>
      </w:r>
      <w:r w:rsidRPr="00462DAC">
        <w:rPr>
          <w:rFonts w:ascii="Arial" w:hAnsi="Arial" w:cs="Arial"/>
          <w:i/>
          <w:iCs/>
        </w:rPr>
        <w:t>et al</w:t>
      </w:r>
      <w:r w:rsidRPr="00FF1992">
        <w:rPr>
          <w:rFonts w:ascii="Arial" w:hAnsi="Arial" w:cs="Arial"/>
        </w:rPr>
        <w:t xml:space="preserve">., 2021), that recorded heightened cancer risks to the population from fish samples, and the results for cancer risks in marine fish samples caught from the coastal waters of Ghana (Nyarko </w:t>
      </w:r>
      <w:r w:rsidRPr="00462DAC">
        <w:rPr>
          <w:rFonts w:ascii="Arial" w:hAnsi="Arial" w:cs="Arial"/>
          <w:i/>
          <w:iCs/>
        </w:rPr>
        <w:t>et al</w:t>
      </w:r>
      <w:r w:rsidRPr="00FF1992">
        <w:rPr>
          <w:rFonts w:ascii="Arial" w:hAnsi="Arial" w:cs="Arial"/>
        </w:rPr>
        <w:t>., 2023).</w:t>
      </w:r>
    </w:p>
    <w:p w14:paraId="35A46D59" w14:textId="77777777" w:rsidR="00A53EB7" w:rsidRDefault="00FF1992" w:rsidP="00FF1992">
      <w:pPr>
        <w:pStyle w:val="Body"/>
        <w:spacing w:after="0"/>
        <w:rPr>
          <w:rFonts w:ascii="Arial" w:hAnsi="Arial" w:cs="Arial"/>
        </w:rPr>
      </w:pPr>
      <w:r w:rsidRPr="00FF1992">
        <w:rPr>
          <w:rFonts w:ascii="Arial" w:hAnsi="Arial" w:cs="Arial"/>
        </w:rPr>
        <w:t xml:space="preserve">The observation of Ni to increase the risks of cancer in the population of the study area is disturbing and requires attention from concerned environmental agencies. This is because earlier studies conducted by the Authors of the current study in environmental and various food samples from 2017 through 2020 recorded the heavy metal Ni as below detection level (Yaradua </w:t>
      </w:r>
      <w:r w:rsidRPr="00462DAC">
        <w:rPr>
          <w:rFonts w:ascii="Arial" w:hAnsi="Arial" w:cs="Arial"/>
          <w:i/>
          <w:iCs/>
        </w:rPr>
        <w:t>et al</w:t>
      </w:r>
      <w:r w:rsidRPr="00FF1992">
        <w:rPr>
          <w:rFonts w:ascii="Arial" w:hAnsi="Arial" w:cs="Arial"/>
        </w:rPr>
        <w:t xml:space="preserve">., 2017; Yaradua </w:t>
      </w:r>
      <w:r w:rsidRPr="00462DAC">
        <w:rPr>
          <w:rFonts w:ascii="Arial" w:hAnsi="Arial" w:cs="Arial"/>
          <w:i/>
          <w:iCs/>
        </w:rPr>
        <w:t>et al</w:t>
      </w:r>
      <w:r w:rsidRPr="00FF1992">
        <w:rPr>
          <w:rFonts w:ascii="Arial" w:hAnsi="Arial" w:cs="Arial"/>
        </w:rPr>
        <w:t xml:space="preserve">., 2018a, b; Yaradua </w:t>
      </w:r>
      <w:r w:rsidRPr="00462DAC">
        <w:rPr>
          <w:rFonts w:ascii="Arial" w:hAnsi="Arial" w:cs="Arial"/>
          <w:i/>
          <w:iCs/>
        </w:rPr>
        <w:t>et al</w:t>
      </w:r>
      <w:r w:rsidRPr="00FF1992">
        <w:rPr>
          <w:rFonts w:ascii="Arial" w:hAnsi="Arial" w:cs="Arial"/>
        </w:rPr>
        <w:t xml:space="preserve">., 2019a-g; Yaradua </w:t>
      </w:r>
      <w:r w:rsidRPr="00462DAC">
        <w:rPr>
          <w:rFonts w:ascii="Arial" w:hAnsi="Arial" w:cs="Arial"/>
          <w:i/>
          <w:iCs/>
        </w:rPr>
        <w:t>et al</w:t>
      </w:r>
      <w:r w:rsidRPr="00FF1992">
        <w:rPr>
          <w:rFonts w:ascii="Arial" w:hAnsi="Arial" w:cs="Arial"/>
        </w:rPr>
        <w:t xml:space="preserve">., 2020a, b).  However, in most of the studies conducted by the Authors from 2022 through 2024 in the study area the heavy metal Ni was detected in the samples that were evaluated (Yaradua </w:t>
      </w:r>
      <w:r w:rsidRPr="00462DAC">
        <w:rPr>
          <w:rFonts w:ascii="Arial" w:hAnsi="Arial" w:cs="Arial"/>
          <w:i/>
          <w:iCs/>
        </w:rPr>
        <w:t>et al</w:t>
      </w:r>
      <w:r w:rsidRPr="00FF1992">
        <w:rPr>
          <w:rFonts w:ascii="Arial" w:hAnsi="Arial" w:cs="Arial"/>
        </w:rPr>
        <w:t xml:space="preserve">., 2022; Yaradua </w:t>
      </w:r>
      <w:r w:rsidRPr="00462DAC">
        <w:rPr>
          <w:rFonts w:ascii="Arial" w:hAnsi="Arial" w:cs="Arial"/>
          <w:i/>
          <w:iCs/>
        </w:rPr>
        <w:t>et al</w:t>
      </w:r>
      <w:r w:rsidRPr="00FF1992">
        <w:rPr>
          <w:rFonts w:ascii="Arial" w:hAnsi="Arial" w:cs="Arial"/>
        </w:rPr>
        <w:t xml:space="preserve">., 2023a-d; Yaradua </w:t>
      </w:r>
      <w:r w:rsidRPr="00C56B0B">
        <w:rPr>
          <w:rFonts w:ascii="Arial" w:hAnsi="Arial" w:cs="Arial"/>
          <w:i/>
          <w:iCs/>
        </w:rPr>
        <w:t>et al</w:t>
      </w:r>
      <w:r w:rsidRPr="00FF1992">
        <w:rPr>
          <w:rFonts w:ascii="Arial" w:hAnsi="Arial" w:cs="Arial"/>
        </w:rPr>
        <w:t xml:space="preserve">., 2024), observations attributed to metal emissions from a quarry site, vehicular exhaust contamination, agricultural activities, illegal mining and E-wastes. E-waste especially had been blamed in a previous study of the heavy metal Ni build up in the environment (Zheng </w:t>
      </w:r>
      <w:r w:rsidRPr="00C56B0B">
        <w:rPr>
          <w:rFonts w:ascii="Arial" w:hAnsi="Arial" w:cs="Arial"/>
          <w:i/>
          <w:iCs/>
        </w:rPr>
        <w:t>et al.,</w:t>
      </w:r>
      <w:r w:rsidRPr="00FF1992">
        <w:rPr>
          <w:rFonts w:ascii="Arial" w:hAnsi="Arial" w:cs="Arial"/>
        </w:rPr>
        <w:t xml:space="preserve"> 2016). However, when the contribution of Ni to cancer burden of the population was compared to previous studies conducted in Are dam Katsina State Nigeria and an E-waste recycling site in China (Yaradua </w:t>
      </w:r>
      <w:r w:rsidRPr="00C56B0B">
        <w:rPr>
          <w:rFonts w:ascii="Arial" w:hAnsi="Arial" w:cs="Arial"/>
          <w:i/>
          <w:iCs/>
        </w:rPr>
        <w:t>et al</w:t>
      </w:r>
      <w:r w:rsidRPr="00FF1992">
        <w:rPr>
          <w:rFonts w:ascii="Arial" w:hAnsi="Arial" w:cs="Arial"/>
        </w:rPr>
        <w:t xml:space="preserve">., 2022; Zheng </w:t>
      </w:r>
      <w:r w:rsidRPr="00C56B0B">
        <w:rPr>
          <w:rFonts w:ascii="Arial" w:hAnsi="Arial" w:cs="Arial"/>
          <w:i/>
          <w:iCs/>
        </w:rPr>
        <w:t>et al</w:t>
      </w:r>
      <w:r w:rsidRPr="00FF1992">
        <w:rPr>
          <w:rFonts w:ascii="Arial" w:hAnsi="Arial" w:cs="Arial"/>
        </w:rPr>
        <w:t xml:space="preserve">., 2016), the current study has a lower value. Both the previous studies (Yaradua </w:t>
      </w:r>
      <w:r w:rsidRPr="00C56B0B">
        <w:rPr>
          <w:rFonts w:ascii="Arial" w:hAnsi="Arial" w:cs="Arial"/>
          <w:i/>
          <w:iCs/>
        </w:rPr>
        <w:t>et al</w:t>
      </w:r>
      <w:r w:rsidRPr="00FF1992">
        <w:rPr>
          <w:rFonts w:ascii="Arial" w:hAnsi="Arial" w:cs="Arial"/>
        </w:rPr>
        <w:t xml:space="preserve">., 2022; Zheng </w:t>
      </w:r>
      <w:r w:rsidRPr="00C56B0B">
        <w:rPr>
          <w:rFonts w:ascii="Arial" w:hAnsi="Arial" w:cs="Arial"/>
          <w:i/>
          <w:iCs/>
        </w:rPr>
        <w:t>et al</w:t>
      </w:r>
      <w:r w:rsidRPr="00FF1992">
        <w:rPr>
          <w:rFonts w:ascii="Arial" w:hAnsi="Arial" w:cs="Arial"/>
        </w:rPr>
        <w:t>., 2016) have E-waste as a contributor to the heavy metal Ni contamination. A possible explanation for the observation.</w:t>
      </w:r>
    </w:p>
    <w:p w14:paraId="2A2D06F9" w14:textId="77777777" w:rsidR="00A53EB7" w:rsidRDefault="00A53EB7" w:rsidP="00FF1992">
      <w:pPr>
        <w:pStyle w:val="Body"/>
        <w:spacing w:after="0"/>
        <w:rPr>
          <w:rFonts w:ascii="Arial" w:hAnsi="Arial" w:cs="Arial"/>
        </w:rPr>
      </w:pPr>
    </w:p>
    <w:p w14:paraId="1D24DDD2" w14:textId="0003BB17" w:rsidR="00FF1992" w:rsidRDefault="00FF1992" w:rsidP="00FF1992">
      <w:pPr>
        <w:pStyle w:val="Body"/>
        <w:spacing w:after="0"/>
        <w:rPr>
          <w:rFonts w:ascii="Arial" w:hAnsi="Arial" w:cs="Arial"/>
        </w:rPr>
      </w:pPr>
      <w:r w:rsidRPr="00FF1992">
        <w:rPr>
          <w:rFonts w:ascii="Arial" w:hAnsi="Arial" w:cs="Arial"/>
        </w:rPr>
        <w:t xml:space="preserve">  </w:t>
      </w:r>
    </w:p>
    <w:p w14:paraId="2A5E75AA" w14:textId="1C7138FB" w:rsidR="009779A1" w:rsidRDefault="009779A1" w:rsidP="009779A1">
      <w:pPr>
        <w:jc w:val="center"/>
        <w:rPr>
          <w:rFonts w:ascii="Verdana" w:hAnsi="Verdana"/>
          <w:b/>
        </w:rPr>
      </w:pPr>
      <w:r>
        <w:rPr>
          <w:rFonts w:ascii="Verdana" w:hAnsi="Verdana"/>
          <w:b/>
        </w:rPr>
        <w:t>Table 6</w:t>
      </w:r>
      <w:r w:rsidR="00A53EB7" w:rsidRPr="00A53EB7">
        <w:rPr>
          <w:rFonts w:ascii="Verdana" w:hAnsi="Verdana"/>
          <w:b/>
          <w:highlight w:val="yellow"/>
        </w:rPr>
        <w:t>:</w:t>
      </w:r>
      <w:r>
        <w:rPr>
          <w:rFonts w:ascii="Verdana" w:hAnsi="Verdana"/>
          <w:b/>
        </w:rPr>
        <w:t xml:space="preserve"> Incremental Lifetime Cancer Risk (ILCR) and Cumulative Life Time Cancer Risk (ΣILCR) in Children from Consumption of Fish Samples from Jibia Dam, Katsina State, Nigeria</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103"/>
        <w:gridCol w:w="2102"/>
        <w:gridCol w:w="2102"/>
        <w:gridCol w:w="2104"/>
      </w:tblGrid>
      <w:tr w:rsidR="009779A1" w14:paraId="2CB8B13E" w14:textId="77777777" w:rsidTr="00DE5BAC">
        <w:tc>
          <w:tcPr>
            <w:tcW w:w="1182" w:type="pct"/>
            <w:tcBorders>
              <w:top w:val="single" w:sz="4" w:space="0" w:color="auto"/>
              <w:left w:val="nil"/>
              <w:bottom w:val="single" w:sz="4" w:space="0" w:color="auto"/>
              <w:right w:val="nil"/>
            </w:tcBorders>
            <w:hideMark/>
          </w:tcPr>
          <w:p w14:paraId="04D4D354" w14:textId="77777777" w:rsidR="009779A1" w:rsidRDefault="009779A1">
            <w:pPr>
              <w:rPr>
                <w:rFonts w:ascii="Verdana" w:hAnsi="Verdana"/>
                <w:b/>
                <w:sz w:val="20"/>
                <w:szCs w:val="20"/>
                <w:lang w:val="en-GB"/>
              </w:rPr>
            </w:pPr>
            <w:r>
              <w:rPr>
                <w:rFonts w:ascii="Verdana" w:hAnsi="Verdana"/>
                <w:b/>
                <w:sz w:val="20"/>
                <w:szCs w:val="20"/>
              </w:rPr>
              <w:t>Sample</w:t>
            </w:r>
          </w:p>
        </w:tc>
        <w:tc>
          <w:tcPr>
            <w:tcW w:w="954" w:type="pct"/>
            <w:tcBorders>
              <w:top w:val="single" w:sz="4" w:space="0" w:color="auto"/>
              <w:left w:val="nil"/>
              <w:bottom w:val="single" w:sz="4" w:space="0" w:color="auto"/>
              <w:right w:val="nil"/>
            </w:tcBorders>
          </w:tcPr>
          <w:p w14:paraId="73BBE573" w14:textId="77777777" w:rsidR="009779A1" w:rsidRDefault="009779A1">
            <w:pPr>
              <w:rPr>
                <w:rFonts w:ascii="Verdana" w:hAnsi="Verdana"/>
                <w:b/>
                <w:sz w:val="20"/>
                <w:szCs w:val="20"/>
                <w:lang w:val="en-GB"/>
              </w:rPr>
            </w:pPr>
          </w:p>
        </w:tc>
        <w:tc>
          <w:tcPr>
            <w:tcW w:w="954" w:type="pct"/>
            <w:tcBorders>
              <w:top w:val="single" w:sz="4" w:space="0" w:color="auto"/>
              <w:left w:val="nil"/>
              <w:bottom w:val="single" w:sz="4" w:space="0" w:color="auto"/>
              <w:right w:val="nil"/>
            </w:tcBorders>
            <w:hideMark/>
          </w:tcPr>
          <w:p w14:paraId="0A5E65DD" w14:textId="77777777" w:rsidR="009779A1" w:rsidRDefault="009779A1">
            <w:pPr>
              <w:rPr>
                <w:rFonts w:ascii="Verdana" w:hAnsi="Verdana"/>
                <w:b/>
                <w:sz w:val="20"/>
                <w:szCs w:val="20"/>
                <w:lang w:val="en-GB"/>
              </w:rPr>
            </w:pPr>
            <w:r>
              <w:rPr>
                <w:rFonts w:ascii="Verdana" w:hAnsi="Verdana"/>
                <w:b/>
                <w:sz w:val="20"/>
                <w:szCs w:val="20"/>
              </w:rPr>
              <w:t>ILCR</w:t>
            </w:r>
          </w:p>
        </w:tc>
        <w:tc>
          <w:tcPr>
            <w:tcW w:w="954" w:type="pct"/>
            <w:tcBorders>
              <w:top w:val="single" w:sz="4" w:space="0" w:color="auto"/>
              <w:left w:val="nil"/>
              <w:bottom w:val="single" w:sz="4" w:space="0" w:color="auto"/>
              <w:right w:val="nil"/>
            </w:tcBorders>
          </w:tcPr>
          <w:p w14:paraId="62769724" w14:textId="77777777" w:rsidR="009779A1" w:rsidRDefault="009779A1">
            <w:pPr>
              <w:rPr>
                <w:rFonts w:ascii="Verdana" w:hAnsi="Verdana"/>
                <w:b/>
                <w:sz w:val="20"/>
                <w:szCs w:val="20"/>
                <w:lang w:val="en-GB"/>
              </w:rPr>
            </w:pPr>
          </w:p>
        </w:tc>
        <w:tc>
          <w:tcPr>
            <w:tcW w:w="955" w:type="pct"/>
            <w:tcBorders>
              <w:top w:val="single" w:sz="4" w:space="0" w:color="auto"/>
              <w:left w:val="nil"/>
              <w:bottom w:val="single" w:sz="4" w:space="0" w:color="auto"/>
              <w:right w:val="nil"/>
            </w:tcBorders>
            <w:hideMark/>
          </w:tcPr>
          <w:p w14:paraId="7A912155" w14:textId="77777777" w:rsidR="009779A1" w:rsidRDefault="009779A1">
            <w:pPr>
              <w:rPr>
                <w:rFonts w:ascii="Verdana" w:hAnsi="Verdana"/>
                <w:b/>
                <w:sz w:val="20"/>
                <w:szCs w:val="20"/>
                <w:lang w:val="en-GB"/>
              </w:rPr>
            </w:pPr>
            <m:oMathPara>
              <m:oMath>
                <m:r>
                  <m:rPr>
                    <m:sty m:val="bi"/>
                  </m:rPr>
                  <w:rPr>
                    <w:rFonts w:ascii="Cambria Math" w:hAnsi="Verdana"/>
                    <w:sz w:val="20"/>
                    <w:szCs w:val="20"/>
                  </w:rPr>
                  <m:t>∑</m:t>
                </m:r>
                <m:r>
                  <m:rPr>
                    <m:sty m:val="bi"/>
                  </m:rPr>
                  <w:rPr>
                    <w:rFonts w:ascii="Cambria Math" w:hAnsi="Cambria Math"/>
                    <w:sz w:val="20"/>
                    <w:szCs w:val="20"/>
                  </w:rPr>
                  <m:t>ILCR</m:t>
                </m:r>
              </m:oMath>
            </m:oMathPara>
          </w:p>
        </w:tc>
      </w:tr>
      <w:tr w:rsidR="009779A1" w14:paraId="16CCF4FB" w14:textId="77777777" w:rsidTr="00DE5BAC">
        <w:tc>
          <w:tcPr>
            <w:tcW w:w="1182" w:type="pct"/>
            <w:tcBorders>
              <w:top w:val="single" w:sz="4" w:space="0" w:color="auto"/>
              <w:left w:val="nil"/>
              <w:bottom w:val="nil"/>
              <w:right w:val="nil"/>
            </w:tcBorders>
          </w:tcPr>
          <w:p w14:paraId="447458A3" w14:textId="77777777" w:rsidR="009779A1" w:rsidRDefault="009779A1">
            <w:pPr>
              <w:rPr>
                <w:rFonts w:ascii="Verdana" w:hAnsi="Verdana"/>
                <w:b/>
                <w:sz w:val="20"/>
                <w:szCs w:val="20"/>
                <w:lang w:val="en-GB"/>
              </w:rPr>
            </w:pPr>
          </w:p>
        </w:tc>
        <w:tc>
          <w:tcPr>
            <w:tcW w:w="954" w:type="pct"/>
            <w:tcBorders>
              <w:top w:val="single" w:sz="4" w:space="0" w:color="auto"/>
              <w:left w:val="nil"/>
              <w:bottom w:val="single" w:sz="4" w:space="0" w:color="auto"/>
              <w:right w:val="nil"/>
            </w:tcBorders>
            <w:hideMark/>
          </w:tcPr>
          <w:p w14:paraId="3E793923" w14:textId="77777777" w:rsidR="009779A1" w:rsidRDefault="009779A1">
            <w:pPr>
              <w:rPr>
                <w:rFonts w:ascii="Verdana" w:hAnsi="Verdana"/>
                <w:b/>
                <w:sz w:val="20"/>
                <w:szCs w:val="20"/>
                <w:lang w:val="en-GB"/>
              </w:rPr>
            </w:pPr>
            <w:r>
              <w:rPr>
                <w:rFonts w:ascii="Verdana" w:hAnsi="Verdana"/>
                <w:b/>
                <w:sz w:val="20"/>
                <w:szCs w:val="20"/>
              </w:rPr>
              <w:t>Pb</w:t>
            </w:r>
          </w:p>
        </w:tc>
        <w:tc>
          <w:tcPr>
            <w:tcW w:w="954" w:type="pct"/>
            <w:tcBorders>
              <w:top w:val="single" w:sz="4" w:space="0" w:color="auto"/>
              <w:left w:val="nil"/>
              <w:bottom w:val="single" w:sz="4" w:space="0" w:color="auto"/>
              <w:right w:val="nil"/>
            </w:tcBorders>
            <w:hideMark/>
          </w:tcPr>
          <w:p w14:paraId="4B91B7F9" w14:textId="77777777" w:rsidR="009779A1" w:rsidRDefault="009779A1">
            <w:pPr>
              <w:rPr>
                <w:rFonts w:ascii="Verdana" w:hAnsi="Verdana"/>
                <w:b/>
                <w:sz w:val="20"/>
                <w:szCs w:val="20"/>
                <w:lang w:val="en-GB"/>
              </w:rPr>
            </w:pPr>
            <w:r>
              <w:rPr>
                <w:rFonts w:ascii="Verdana" w:hAnsi="Verdana"/>
                <w:b/>
                <w:sz w:val="20"/>
                <w:szCs w:val="20"/>
              </w:rPr>
              <w:t>Cd</w:t>
            </w:r>
          </w:p>
        </w:tc>
        <w:tc>
          <w:tcPr>
            <w:tcW w:w="954" w:type="pct"/>
            <w:tcBorders>
              <w:top w:val="single" w:sz="4" w:space="0" w:color="auto"/>
              <w:left w:val="nil"/>
              <w:bottom w:val="single" w:sz="4" w:space="0" w:color="auto"/>
              <w:right w:val="nil"/>
            </w:tcBorders>
            <w:hideMark/>
          </w:tcPr>
          <w:p w14:paraId="304BB781" w14:textId="77777777" w:rsidR="009779A1" w:rsidRDefault="009779A1">
            <w:pPr>
              <w:rPr>
                <w:rFonts w:ascii="Verdana" w:hAnsi="Verdana"/>
                <w:b/>
                <w:sz w:val="20"/>
                <w:szCs w:val="20"/>
                <w:lang w:val="en-GB"/>
              </w:rPr>
            </w:pPr>
            <w:r>
              <w:rPr>
                <w:rFonts w:ascii="Verdana" w:hAnsi="Verdana"/>
                <w:b/>
                <w:sz w:val="20"/>
                <w:szCs w:val="20"/>
              </w:rPr>
              <w:t>Ni</w:t>
            </w:r>
          </w:p>
        </w:tc>
        <w:tc>
          <w:tcPr>
            <w:tcW w:w="955" w:type="pct"/>
            <w:tcBorders>
              <w:top w:val="single" w:sz="4" w:space="0" w:color="auto"/>
              <w:left w:val="nil"/>
              <w:bottom w:val="nil"/>
              <w:right w:val="nil"/>
            </w:tcBorders>
          </w:tcPr>
          <w:p w14:paraId="63CBA6DA" w14:textId="77777777" w:rsidR="009779A1" w:rsidRDefault="009779A1">
            <w:pPr>
              <w:rPr>
                <w:rFonts w:ascii="Verdana" w:hAnsi="Verdana"/>
                <w:b/>
                <w:sz w:val="20"/>
                <w:szCs w:val="20"/>
                <w:lang w:val="en-GB"/>
              </w:rPr>
            </w:pPr>
          </w:p>
        </w:tc>
      </w:tr>
      <w:tr w:rsidR="009779A1" w14:paraId="6CAFFA17" w14:textId="77777777" w:rsidTr="00DE5BAC">
        <w:tc>
          <w:tcPr>
            <w:tcW w:w="1182" w:type="pct"/>
            <w:tcBorders>
              <w:top w:val="nil"/>
              <w:left w:val="nil"/>
              <w:bottom w:val="nil"/>
              <w:right w:val="nil"/>
            </w:tcBorders>
            <w:hideMark/>
          </w:tcPr>
          <w:p w14:paraId="4FDEF75B" w14:textId="77777777" w:rsidR="009779A1" w:rsidRDefault="009779A1">
            <w:pPr>
              <w:rPr>
                <w:rFonts w:ascii="Verdana" w:hAnsi="Verdana"/>
                <w:b/>
                <w:sz w:val="20"/>
                <w:szCs w:val="20"/>
                <w:lang w:val="en-GB"/>
              </w:rPr>
            </w:pPr>
            <w:r>
              <w:rPr>
                <w:rFonts w:ascii="Verdana" w:hAnsi="Verdana"/>
                <w:b/>
                <w:i/>
                <w:sz w:val="20"/>
                <w:szCs w:val="20"/>
              </w:rPr>
              <w:t>C.  gariepinus</w:t>
            </w:r>
          </w:p>
        </w:tc>
        <w:tc>
          <w:tcPr>
            <w:tcW w:w="954" w:type="pct"/>
            <w:tcBorders>
              <w:top w:val="single" w:sz="4" w:space="0" w:color="auto"/>
              <w:left w:val="nil"/>
              <w:bottom w:val="nil"/>
              <w:right w:val="nil"/>
            </w:tcBorders>
            <w:hideMark/>
          </w:tcPr>
          <w:p w14:paraId="37C44469" w14:textId="77777777" w:rsidR="009779A1" w:rsidRDefault="009779A1">
            <w:pPr>
              <w:rPr>
                <w:rFonts w:ascii="Verdana" w:hAnsi="Verdana"/>
                <w:sz w:val="20"/>
                <w:szCs w:val="20"/>
                <w:lang w:val="en-GB"/>
              </w:rPr>
            </w:pPr>
            <w:r>
              <w:rPr>
                <w:rFonts w:ascii="Verdana" w:hAnsi="Verdana"/>
                <w:sz w:val="20"/>
                <w:szCs w:val="20"/>
              </w:rPr>
              <w:t>5.5245E-05</w:t>
            </w:r>
          </w:p>
        </w:tc>
        <w:tc>
          <w:tcPr>
            <w:tcW w:w="954" w:type="pct"/>
            <w:tcBorders>
              <w:top w:val="single" w:sz="4" w:space="0" w:color="auto"/>
              <w:left w:val="nil"/>
              <w:bottom w:val="nil"/>
              <w:right w:val="nil"/>
            </w:tcBorders>
            <w:hideMark/>
          </w:tcPr>
          <w:p w14:paraId="7F814EA0" w14:textId="77777777" w:rsidR="009779A1" w:rsidRDefault="009779A1">
            <w:pPr>
              <w:rPr>
                <w:rFonts w:ascii="Verdana" w:hAnsi="Verdana"/>
                <w:sz w:val="20"/>
                <w:szCs w:val="20"/>
                <w:lang w:val="en-GB"/>
              </w:rPr>
            </w:pPr>
            <w:r>
              <w:rPr>
                <w:rFonts w:ascii="Verdana" w:hAnsi="Verdana"/>
                <w:sz w:val="20"/>
                <w:szCs w:val="20"/>
              </w:rPr>
              <w:t>BDL</w:t>
            </w:r>
          </w:p>
        </w:tc>
        <w:tc>
          <w:tcPr>
            <w:tcW w:w="954" w:type="pct"/>
            <w:tcBorders>
              <w:top w:val="single" w:sz="4" w:space="0" w:color="auto"/>
              <w:left w:val="nil"/>
              <w:bottom w:val="nil"/>
              <w:right w:val="nil"/>
            </w:tcBorders>
            <w:hideMark/>
          </w:tcPr>
          <w:p w14:paraId="1EB25234" w14:textId="77777777" w:rsidR="009779A1" w:rsidRDefault="009779A1">
            <w:pPr>
              <w:rPr>
                <w:rFonts w:ascii="Verdana" w:hAnsi="Verdana"/>
                <w:sz w:val="20"/>
                <w:szCs w:val="20"/>
                <w:lang w:val="en-GB"/>
              </w:rPr>
            </w:pPr>
            <w:r>
              <w:rPr>
                <w:rFonts w:ascii="Verdana" w:hAnsi="Verdana"/>
                <w:sz w:val="20"/>
                <w:szCs w:val="20"/>
              </w:rPr>
              <w:t>2.9773E-02</w:t>
            </w:r>
          </w:p>
        </w:tc>
        <w:tc>
          <w:tcPr>
            <w:tcW w:w="955" w:type="pct"/>
            <w:tcBorders>
              <w:top w:val="nil"/>
              <w:left w:val="nil"/>
              <w:bottom w:val="nil"/>
              <w:right w:val="nil"/>
            </w:tcBorders>
            <w:hideMark/>
          </w:tcPr>
          <w:p w14:paraId="3A0854F4" w14:textId="77777777" w:rsidR="009779A1" w:rsidRDefault="009779A1">
            <w:pPr>
              <w:rPr>
                <w:rFonts w:ascii="Verdana" w:hAnsi="Verdana"/>
                <w:sz w:val="20"/>
                <w:szCs w:val="20"/>
                <w:lang w:val="en-GB"/>
              </w:rPr>
            </w:pPr>
            <w:r>
              <w:rPr>
                <w:rFonts w:ascii="Verdana" w:hAnsi="Verdana"/>
                <w:sz w:val="20"/>
                <w:szCs w:val="20"/>
              </w:rPr>
              <w:t>2.9778E-02</w:t>
            </w:r>
          </w:p>
        </w:tc>
      </w:tr>
      <w:tr w:rsidR="009779A1" w14:paraId="30DD7192" w14:textId="77777777" w:rsidTr="00DE5BAC">
        <w:tc>
          <w:tcPr>
            <w:tcW w:w="1182" w:type="pct"/>
            <w:tcBorders>
              <w:top w:val="nil"/>
              <w:left w:val="nil"/>
              <w:bottom w:val="nil"/>
              <w:right w:val="nil"/>
            </w:tcBorders>
            <w:hideMark/>
          </w:tcPr>
          <w:p w14:paraId="361A4250" w14:textId="77777777" w:rsidR="009779A1" w:rsidRDefault="009779A1">
            <w:pPr>
              <w:rPr>
                <w:rFonts w:ascii="Verdana" w:hAnsi="Verdana"/>
                <w:b/>
                <w:sz w:val="20"/>
                <w:szCs w:val="20"/>
                <w:lang w:val="en-GB"/>
              </w:rPr>
            </w:pPr>
            <w:r>
              <w:rPr>
                <w:rFonts w:ascii="Verdana" w:hAnsi="Verdana"/>
                <w:b/>
                <w:i/>
                <w:sz w:val="20"/>
                <w:szCs w:val="20"/>
              </w:rPr>
              <w:t>A.  nebulosus</w:t>
            </w:r>
          </w:p>
        </w:tc>
        <w:tc>
          <w:tcPr>
            <w:tcW w:w="954" w:type="pct"/>
            <w:tcBorders>
              <w:top w:val="nil"/>
              <w:left w:val="nil"/>
              <w:bottom w:val="nil"/>
              <w:right w:val="nil"/>
            </w:tcBorders>
            <w:hideMark/>
          </w:tcPr>
          <w:p w14:paraId="286EB794" w14:textId="77777777" w:rsidR="009779A1" w:rsidRDefault="009779A1">
            <w:pPr>
              <w:rPr>
                <w:rFonts w:ascii="Verdana" w:hAnsi="Verdana"/>
                <w:sz w:val="20"/>
                <w:szCs w:val="20"/>
                <w:lang w:val="en-GB"/>
              </w:rPr>
            </w:pPr>
            <w:r>
              <w:rPr>
                <w:rFonts w:ascii="Verdana" w:hAnsi="Verdana"/>
                <w:sz w:val="20"/>
                <w:szCs w:val="20"/>
              </w:rPr>
              <w:t>3.2308E-05</w:t>
            </w:r>
          </w:p>
        </w:tc>
        <w:tc>
          <w:tcPr>
            <w:tcW w:w="954" w:type="pct"/>
            <w:tcBorders>
              <w:top w:val="nil"/>
              <w:left w:val="nil"/>
              <w:bottom w:val="nil"/>
              <w:right w:val="nil"/>
            </w:tcBorders>
            <w:hideMark/>
          </w:tcPr>
          <w:p w14:paraId="3A856B4D" w14:textId="77777777" w:rsidR="009779A1" w:rsidRDefault="009779A1">
            <w:pPr>
              <w:rPr>
                <w:rFonts w:ascii="Verdana" w:hAnsi="Verdana"/>
                <w:sz w:val="20"/>
                <w:szCs w:val="20"/>
                <w:lang w:val="en-GB"/>
              </w:rPr>
            </w:pPr>
            <w:r>
              <w:rPr>
                <w:rFonts w:ascii="Verdana" w:hAnsi="Verdana"/>
                <w:sz w:val="20"/>
                <w:szCs w:val="20"/>
              </w:rPr>
              <w:t>4.6539E-05</w:t>
            </w:r>
          </w:p>
        </w:tc>
        <w:tc>
          <w:tcPr>
            <w:tcW w:w="954" w:type="pct"/>
            <w:tcBorders>
              <w:top w:val="nil"/>
              <w:left w:val="nil"/>
              <w:bottom w:val="nil"/>
              <w:right w:val="nil"/>
            </w:tcBorders>
            <w:hideMark/>
          </w:tcPr>
          <w:p w14:paraId="2B724E34" w14:textId="77777777" w:rsidR="009779A1" w:rsidRDefault="009779A1">
            <w:pPr>
              <w:rPr>
                <w:rFonts w:ascii="Verdana" w:hAnsi="Verdana"/>
                <w:sz w:val="20"/>
                <w:szCs w:val="20"/>
                <w:lang w:val="en-GB"/>
              </w:rPr>
            </w:pPr>
            <w:r>
              <w:rPr>
                <w:rFonts w:ascii="Verdana" w:hAnsi="Verdana"/>
                <w:sz w:val="20"/>
                <w:szCs w:val="20"/>
              </w:rPr>
              <w:t>3.3980E-03</w:t>
            </w:r>
          </w:p>
        </w:tc>
        <w:tc>
          <w:tcPr>
            <w:tcW w:w="955" w:type="pct"/>
            <w:tcBorders>
              <w:top w:val="nil"/>
              <w:left w:val="nil"/>
              <w:bottom w:val="nil"/>
              <w:right w:val="nil"/>
            </w:tcBorders>
            <w:hideMark/>
          </w:tcPr>
          <w:p w14:paraId="5B2EE393" w14:textId="77777777" w:rsidR="009779A1" w:rsidRDefault="009779A1">
            <w:pPr>
              <w:rPr>
                <w:rFonts w:ascii="Verdana" w:hAnsi="Verdana"/>
                <w:sz w:val="20"/>
                <w:szCs w:val="20"/>
                <w:lang w:val="en-GB"/>
              </w:rPr>
            </w:pPr>
            <w:r>
              <w:rPr>
                <w:rFonts w:ascii="Verdana" w:hAnsi="Verdana"/>
                <w:sz w:val="20"/>
                <w:szCs w:val="20"/>
              </w:rPr>
              <w:t>3.4768E-03</w:t>
            </w:r>
          </w:p>
        </w:tc>
      </w:tr>
      <w:tr w:rsidR="009779A1" w14:paraId="0ABEBA83" w14:textId="77777777" w:rsidTr="00DE5BAC">
        <w:tc>
          <w:tcPr>
            <w:tcW w:w="1182" w:type="pct"/>
            <w:tcBorders>
              <w:top w:val="nil"/>
              <w:left w:val="nil"/>
              <w:bottom w:val="single" w:sz="4" w:space="0" w:color="auto"/>
              <w:right w:val="nil"/>
            </w:tcBorders>
            <w:hideMark/>
          </w:tcPr>
          <w:p w14:paraId="3A5AA87C" w14:textId="77777777" w:rsidR="009779A1" w:rsidRDefault="009779A1">
            <w:pPr>
              <w:rPr>
                <w:rFonts w:ascii="Verdana" w:hAnsi="Verdana"/>
                <w:b/>
                <w:sz w:val="20"/>
                <w:szCs w:val="20"/>
                <w:lang w:val="en-GB"/>
              </w:rPr>
            </w:pPr>
            <w:r>
              <w:rPr>
                <w:rFonts w:ascii="Verdana" w:hAnsi="Verdana"/>
                <w:b/>
                <w:i/>
                <w:sz w:val="20"/>
                <w:szCs w:val="20"/>
              </w:rPr>
              <w:t xml:space="preserve">T.  </w:t>
            </w:r>
            <w:proofErr w:type="spellStart"/>
            <w:r>
              <w:rPr>
                <w:rFonts w:ascii="Verdana" w:hAnsi="Verdana"/>
                <w:b/>
                <w:i/>
                <w:sz w:val="20"/>
                <w:szCs w:val="20"/>
              </w:rPr>
              <w:t>zilli</w:t>
            </w:r>
            <w:proofErr w:type="spellEnd"/>
          </w:p>
        </w:tc>
        <w:tc>
          <w:tcPr>
            <w:tcW w:w="954" w:type="pct"/>
            <w:tcBorders>
              <w:top w:val="nil"/>
              <w:left w:val="nil"/>
              <w:bottom w:val="single" w:sz="4" w:space="0" w:color="auto"/>
              <w:right w:val="nil"/>
            </w:tcBorders>
            <w:hideMark/>
          </w:tcPr>
          <w:p w14:paraId="42FE6A99" w14:textId="77777777" w:rsidR="009779A1" w:rsidRDefault="009779A1">
            <w:pPr>
              <w:rPr>
                <w:rFonts w:ascii="Verdana" w:hAnsi="Verdana"/>
                <w:sz w:val="20"/>
                <w:szCs w:val="20"/>
                <w:lang w:val="en-GB"/>
              </w:rPr>
            </w:pPr>
            <w:r>
              <w:rPr>
                <w:rFonts w:ascii="Verdana" w:hAnsi="Verdana"/>
                <w:sz w:val="20"/>
                <w:szCs w:val="20"/>
              </w:rPr>
              <w:t>5.3266E-05</w:t>
            </w:r>
          </w:p>
        </w:tc>
        <w:tc>
          <w:tcPr>
            <w:tcW w:w="954" w:type="pct"/>
            <w:tcBorders>
              <w:top w:val="nil"/>
              <w:left w:val="nil"/>
              <w:bottom w:val="single" w:sz="4" w:space="0" w:color="auto"/>
              <w:right w:val="nil"/>
            </w:tcBorders>
            <w:hideMark/>
          </w:tcPr>
          <w:p w14:paraId="354C4959" w14:textId="77777777" w:rsidR="009779A1" w:rsidRDefault="009779A1">
            <w:pPr>
              <w:rPr>
                <w:rFonts w:ascii="Verdana" w:hAnsi="Verdana"/>
                <w:sz w:val="20"/>
                <w:szCs w:val="20"/>
                <w:lang w:val="en-GB"/>
              </w:rPr>
            </w:pPr>
            <w:r>
              <w:rPr>
                <w:rFonts w:ascii="Verdana" w:hAnsi="Verdana"/>
                <w:sz w:val="20"/>
                <w:szCs w:val="20"/>
              </w:rPr>
              <w:t>1.1302E-04</w:t>
            </w:r>
          </w:p>
        </w:tc>
        <w:tc>
          <w:tcPr>
            <w:tcW w:w="954" w:type="pct"/>
            <w:tcBorders>
              <w:top w:val="nil"/>
              <w:left w:val="nil"/>
              <w:bottom w:val="single" w:sz="4" w:space="0" w:color="auto"/>
              <w:right w:val="nil"/>
            </w:tcBorders>
            <w:hideMark/>
          </w:tcPr>
          <w:p w14:paraId="4AA6A609" w14:textId="77777777" w:rsidR="009779A1" w:rsidRDefault="009779A1">
            <w:pPr>
              <w:rPr>
                <w:rFonts w:ascii="Verdana" w:hAnsi="Verdana"/>
                <w:sz w:val="20"/>
                <w:szCs w:val="20"/>
                <w:lang w:val="en-GB"/>
              </w:rPr>
            </w:pPr>
            <w:r>
              <w:rPr>
                <w:rFonts w:ascii="Verdana" w:hAnsi="Verdana"/>
                <w:sz w:val="20"/>
                <w:szCs w:val="20"/>
              </w:rPr>
              <w:t>5.9590E-03</w:t>
            </w:r>
          </w:p>
        </w:tc>
        <w:tc>
          <w:tcPr>
            <w:tcW w:w="955" w:type="pct"/>
            <w:tcBorders>
              <w:top w:val="nil"/>
              <w:left w:val="nil"/>
              <w:bottom w:val="single" w:sz="4" w:space="0" w:color="auto"/>
              <w:right w:val="nil"/>
            </w:tcBorders>
            <w:hideMark/>
          </w:tcPr>
          <w:p w14:paraId="763C84C7" w14:textId="77777777" w:rsidR="009779A1" w:rsidRDefault="009779A1">
            <w:pPr>
              <w:rPr>
                <w:rFonts w:ascii="Verdana" w:hAnsi="Verdana"/>
                <w:sz w:val="20"/>
                <w:szCs w:val="20"/>
                <w:lang w:val="en-GB"/>
              </w:rPr>
            </w:pPr>
            <w:r>
              <w:rPr>
                <w:rFonts w:ascii="Verdana" w:hAnsi="Verdana"/>
                <w:sz w:val="20"/>
                <w:szCs w:val="20"/>
              </w:rPr>
              <w:t>6.1253E-03</w:t>
            </w:r>
          </w:p>
        </w:tc>
      </w:tr>
    </w:tbl>
    <w:p w14:paraId="5205DC93" w14:textId="77777777" w:rsidR="009779A1" w:rsidRDefault="009779A1" w:rsidP="009779A1">
      <w:pPr>
        <w:rPr>
          <w:rFonts w:ascii="Verdana" w:hAnsi="Verdana"/>
          <w:b/>
          <w:lang w:val="en-GB"/>
        </w:rPr>
      </w:pPr>
    </w:p>
    <w:p w14:paraId="45EBDAF4" w14:textId="3EA3B12A" w:rsidR="009779A1" w:rsidRDefault="009779A1" w:rsidP="009779A1">
      <w:pPr>
        <w:jc w:val="center"/>
        <w:rPr>
          <w:rFonts w:ascii="Verdana" w:hAnsi="Verdana"/>
          <w:b/>
        </w:rPr>
      </w:pPr>
      <w:r>
        <w:rPr>
          <w:rFonts w:ascii="Verdana" w:hAnsi="Verdana"/>
          <w:b/>
        </w:rPr>
        <w:t>Table 7</w:t>
      </w:r>
      <w:r w:rsidR="00A53EB7" w:rsidRPr="00A53EB7">
        <w:rPr>
          <w:rFonts w:ascii="Verdana" w:hAnsi="Verdana"/>
          <w:b/>
          <w:highlight w:val="yellow"/>
        </w:rPr>
        <w:t>:</w:t>
      </w:r>
      <w:r>
        <w:rPr>
          <w:rFonts w:ascii="Verdana" w:hAnsi="Verdana"/>
          <w:b/>
        </w:rPr>
        <w:t xml:space="preserve"> Incremental Lifetime Cancer Risk (ILCR) and Cumulative Life Time Cancer Risk (ΣILCR) in Adults from Consumption of Fish Samples from Jibia Dam, Katsina State, Nigeria</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476"/>
        <w:gridCol w:w="2135"/>
        <w:gridCol w:w="2135"/>
        <w:gridCol w:w="2135"/>
        <w:gridCol w:w="2135"/>
      </w:tblGrid>
      <w:tr w:rsidR="009779A1" w14:paraId="09EE3976" w14:textId="77777777" w:rsidTr="00DE5BAC">
        <w:tc>
          <w:tcPr>
            <w:tcW w:w="1124" w:type="pct"/>
            <w:tcBorders>
              <w:top w:val="single" w:sz="4" w:space="0" w:color="auto"/>
              <w:left w:val="nil"/>
              <w:bottom w:val="single" w:sz="4" w:space="0" w:color="auto"/>
              <w:right w:val="nil"/>
            </w:tcBorders>
            <w:hideMark/>
          </w:tcPr>
          <w:p w14:paraId="043B9D88" w14:textId="77777777" w:rsidR="009779A1" w:rsidRDefault="009779A1">
            <w:pPr>
              <w:rPr>
                <w:rFonts w:ascii="Verdana" w:hAnsi="Verdana"/>
                <w:b/>
                <w:sz w:val="20"/>
                <w:szCs w:val="20"/>
                <w:lang w:val="en-GB"/>
              </w:rPr>
            </w:pPr>
            <w:r>
              <w:rPr>
                <w:rFonts w:ascii="Verdana" w:hAnsi="Verdana"/>
                <w:b/>
                <w:sz w:val="20"/>
                <w:szCs w:val="20"/>
              </w:rPr>
              <w:t>Sample</w:t>
            </w:r>
          </w:p>
        </w:tc>
        <w:tc>
          <w:tcPr>
            <w:tcW w:w="969" w:type="pct"/>
            <w:tcBorders>
              <w:top w:val="single" w:sz="4" w:space="0" w:color="auto"/>
              <w:left w:val="nil"/>
              <w:bottom w:val="single" w:sz="4" w:space="0" w:color="auto"/>
              <w:right w:val="nil"/>
            </w:tcBorders>
          </w:tcPr>
          <w:p w14:paraId="7E172A8B" w14:textId="77777777" w:rsidR="009779A1" w:rsidRDefault="009779A1">
            <w:pPr>
              <w:rPr>
                <w:rFonts w:ascii="Verdana" w:hAnsi="Verdana"/>
                <w:b/>
                <w:sz w:val="20"/>
                <w:szCs w:val="20"/>
                <w:lang w:val="en-GB"/>
              </w:rPr>
            </w:pPr>
          </w:p>
        </w:tc>
        <w:tc>
          <w:tcPr>
            <w:tcW w:w="969" w:type="pct"/>
            <w:tcBorders>
              <w:top w:val="single" w:sz="4" w:space="0" w:color="auto"/>
              <w:left w:val="nil"/>
              <w:bottom w:val="single" w:sz="4" w:space="0" w:color="auto"/>
              <w:right w:val="nil"/>
            </w:tcBorders>
            <w:hideMark/>
          </w:tcPr>
          <w:p w14:paraId="59C802EB" w14:textId="77777777" w:rsidR="009779A1" w:rsidRDefault="009779A1">
            <w:pPr>
              <w:rPr>
                <w:rFonts w:ascii="Verdana" w:hAnsi="Verdana"/>
                <w:b/>
                <w:sz w:val="20"/>
                <w:szCs w:val="20"/>
                <w:lang w:val="en-GB"/>
              </w:rPr>
            </w:pPr>
            <w:r>
              <w:rPr>
                <w:rFonts w:ascii="Verdana" w:hAnsi="Verdana"/>
                <w:b/>
                <w:sz w:val="20"/>
                <w:szCs w:val="20"/>
              </w:rPr>
              <w:t>ILCR</w:t>
            </w:r>
          </w:p>
        </w:tc>
        <w:tc>
          <w:tcPr>
            <w:tcW w:w="969" w:type="pct"/>
            <w:tcBorders>
              <w:top w:val="single" w:sz="4" w:space="0" w:color="auto"/>
              <w:left w:val="nil"/>
              <w:bottom w:val="single" w:sz="4" w:space="0" w:color="auto"/>
              <w:right w:val="nil"/>
            </w:tcBorders>
          </w:tcPr>
          <w:p w14:paraId="6924C4EA" w14:textId="77777777" w:rsidR="009779A1" w:rsidRDefault="009779A1">
            <w:pPr>
              <w:rPr>
                <w:rFonts w:ascii="Verdana" w:hAnsi="Verdana"/>
                <w:b/>
                <w:sz w:val="20"/>
                <w:szCs w:val="20"/>
                <w:lang w:val="en-GB"/>
              </w:rPr>
            </w:pPr>
          </w:p>
        </w:tc>
        <w:tc>
          <w:tcPr>
            <w:tcW w:w="969" w:type="pct"/>
            <w:tcBorders>
              <w:top w:val="single" w:sz="4" w:space="0" w:color="auto"/>
              <w:left w:val="nil"/>
              <w:bottom w:val="single" w:sz="4" w:space="0" w:color="auto"/>
              <w:right w:val="nil"/>
            </w:tcBorders>
            <w:hideMark/>
          </w:tcPr>
          <w:p w14:paraId="42A33327" w14:textId="77777777" w:rsidR="009779A1" w:rsidRDefault="009779A1">
            <w:pPr>
              <w:rPr>
                <w:rFonts w:ascii="Verdana" w:hAnsi="Verdana"/>
                <w:b/>
                <w:sz w:val="20"/>
                <w:szCs w:val="20"/>
                <w:lang w:val="en-GB"/>
              </w:rPr>
            </w:pPr>
            <m:oMathPara>
              <m:oMath>
                <m:r>
                  <m:rPr>
                    <m:sty m:val="bi"/>
                  </m:rPr>
                  <w:rPr>
                    <w:rFonts w:ascii="Cambria Math" w:hAnsi="Verdana"/>
                    <w:sz w:val="20"/>
                    <w:szCs w:val="20"/>
                  </w:rPr>
                  <m:t>∑</m:t>
                </m:r>
                <m:r>
                  <m:rPr>
                    <m:sty m:val="bi"/>
                  </m:rPr>
                  <w:rPr>
                    <w:rFonts w:ascii="Cambria Math" w:hAnsi="Cambria Math"/>
                    <w:sz w:val="20"/>
                    <w:szCs w:val="20"/>
                  </w:rPr>
                  <m:t>ILCR</m:t>
                </m:r>
              </m:oMath>
            </m:oMathPara>
          </w:p>
        </w:tc>
      </w:tr>
      <w:tr w:rsidR="009779A1" w14:paraId="4AEEBA5E" w14:textId="77777777" w:rsidTr="00DE5BAC">
        <w:tc>
          <w:tcPr>
            <w:tcW w:w="1124" w:type="pct"/>
            <w:tcBorders>
              <w:top w:val="single" w:sz="4" w:space="0" w:color="auto"/>
              <w:left w:val="nil"/>
              <w:bottom w:val="nil"/>
              <w:right w:val="nil"/>
            </w:tcBorders>
          </w:tcPr>
          <w:p w14:paraId="131F12A0" w14:textId="77777777" w:rsidR="009779A1" w:rsidRDefault="009779A1">
            <w:pPr>
              <w:rPr>
                <w:rFonts w:ascii="Verdana" w:hAnsi="Verdana"/>
                <w:b/>
                <w:sz w:val="20"/>
                <w:szCs w:val="20"/>
                <w:lang w:val="en-GB"/>
              </w:rPr>
            </w:pPr>
          </w:p>
        </w:tc>
        <w:tc>
          <w:tcPr>
            <w:tcW w:w="969" w:type="pct"/>
            <w:tcBorders>
              <w:top w:val="single" w:sz="4" w:space="0" w:color="auto"/>
              <w:left w:val="nil"/>
              <w:bottom w:val="single" w:sz="4" w:space="0" w:color="auto"/>
              <w:right w:val="nil"/>
            </w:tcBorders>
            <w:hideMark/>
          </w:tcPr>
          <w:p w14:paraId="2A1A44CA" w14:textId="77777777" w:rsidR="009779A1" w:rsidRDefault="009779A1">
            <w:pPr>
              <w:rPr>
                <w:rFonts w:ascii="Verdana" w:hAnsi="Verdana"/>
                <w:b/>
                <w:sz w:val="20"/>
                <w:szCs w:val="20"/>
                <w:lang w:val="en-GB"/>
              </w:rPr>
            </w:pPr>
            <w:r>
              <w:rPr>
                <w:rFonts w:ascii="Verdana" w:hAnsi="Verdana"/>
                <w:b/>
                <w:sz w:val="20"/>
                <w:szCs w:val="20"/>
              </w:rPr>
              <w:t>Pb</w:t>
            </w:r>
          </w:p>
        </w:tc>
        <w:tc>
          <w:tcPr>
            <w:tcW w:w="969" w:type="pct"/>
            <w:tcBorders>
              <w:top w:val="single" w:sz="4" w:space="0" w:color="auto"/>
              <w:left w:val="nil"/>
              <w:bottom w:val="single" w:sz="4" w:space="0" w:color="auto"/>
              <w:right w:val="nil"/>
            </w:tcBorders>
            <w:hideMark/>
          </w:tcPr>
          <w:p w14:paraId="4CCDC9DB" w14:textId="77777777" w:rsidR="009779A1" w:rsidRDefault="009779A1">
            <w:pPr>
              <w:rPr>
                <w:rFonts w:ascii="Verdana" w:hAnsi="Verdana"/>
                <w:b/>
                <w:sz w:val="20"/>
                <w:szCs w:val="20"/>
                <w:lang w:val="en-GB"/>
              </w:rPr>
            </w:pPr>
            <w:r>
              <w:rPr>
                <w:rFonts w:ascii="Verdana" w:hAnsi="Verdana"/>
                <w:b/>
                <w:sz w:val="20"/>
                <w:szCs w:val="20"/>
              </w:rPr>
              <w:t>Cd</w:t>
            </w:r>
          </w:p>
        </w:tc>
        <w:tc>
          <w:tcPr>
            <w:tcW w:w="969" w:type="pct"/>
            <w:tcBorders>
              <w:top w:val="single" w:sz="4" w:space="0" w:color="auto"/>
              <w:left w:val="nil"/>
              <w:bottom w:val="single" w:sz="4" w:space="0" w:color="auto"/>
              <w:right w:val="nil"/>
            </w:tcBorders>
            <w:hideMark/>
          </w:tcPr>
          <w:p w14:paraId="0DC5B38C" w14:textId="77777777" w:rsidR="009779A1" w:rsidRDefault="009779A1">
            <w:pPr>
              <w:rPr>
                <w:rFonts w:ascii="Verdana" w:hAnsi="Verdana"/>
                <w:b/>
                <w:sz w:val="20"/>
                <w:szCs w:val="20"/>
                <w:lang w:val="en-GB"/>
              </w:rPr>
            </w:pPr>
            <w:r>
              <w:rPr>
                <w:rFonts w:ascii="Verdana" w:hAnsi="Verdana"/>
                <w:b/>
                <w:sz w:val="20"/>
                <w:szCs w:val="20"/>
              </w:rPr>
              <w:t>Ni</w:t>
            </w:r>
          </w:p>
        </w:tc>
        <w:tc>
          <w:tcPr>
            <w:tcW w:w="969" w:type="pct"/>
            <w:tcBorders>
              <w:top w:val="single" w:sz="4" w:space="0" w:color="auto"/>
              <w:left w:val="nil"/>
              <w:bottom w:val="nil"/>
              <w:right w:val="nil"/>
            </w:tcBorders>
          </w:tcPr>
          <w:p w14:paraId="7485C54B" w14:textId="77777777" w:rsidR="009779A1" w:rsidRDefault="009779A1">
            <w:pPr>
              <w:rPr>
                <w:rFonts w:ascii="Verdana" w:hAnsi="Verdana"/>
                <w:b/>
                <w:sz w:val="20"/>
                <w:szCs w:val="20"/>
                <w:lang w:val="en-GB"/>
              </w:rPr>
            </w:pPr>
          </w:p>
        </w:tc>
      </w:tr>
      <w:tr w:rsidR="009779A1" w14:paraId="594EBAFD" w14:textId="77777777" w:rsidTr="00DE5BAC">
        <w:tc>
          <w:tcPr>
            <w:tcW w:w="1124" w:type="pct"/>
            <w:tcBorders>
              <w:top w:val="nil"/>
              <w:left w:val="nil"/>
              <w:bottom w:val="nil"/>
              <w:right w:val="nil"/>
            </w:tcBorders>
            <w:hideMark/>
          </w:tcPr>
          <w:p w14:paraId="4370862F" w14:textId="77777777" w:rsidR="009779A1" w:rsidRDefault="009779A1">
            <w:pPr>
              <w:rPr>
                <w:rFonts w:ascii="Verdana" w:hAnsi="Verdana"/>
                <w:b/>
                <w:i/>
                <w:sz w:val="20"/>
                <w:szCs w:val="20"/>
                <w:lang w:val="en-GB"/>
              </w:rPr>
            </w:pPr>
            <w:r>
              <w:rPr>
                <w:rFonts w:ascii="Verdana" w:hAnsi="Verdana"/>
                <w:b/>
                <w:i/>
                <w:sz w:val="20"/>
                <w:szCs w:val="20"/>
              </w:rPr>
              <w:t>C. gariepinus</w:t>
            </w:r>
          </w:p>
        </w:tc>
        <w:tc>
          <w:tcPr>
            <w:tcW w:w="969" w:type="pct"/>
            <w:tcBorders>
              <w:top w:val="single" w:sz="4" w:space="0" w:color="auto"/>
              <w:left w:val="nil"/>
              <w:bottom w:val="nil"/>
              <w:right w:val="nil"/>
            </w:tcBorders>
            <w:hideMark/>
          </w:tcPr>
          <w:p w14:paraId="4ED89157" w14:textId="77777777" w:rsidR="009779A1" w:rsidRDefault="009779A1">
            <w:pPr>
              <w:rPr>
                <w:rFonts w:ascii="Verdana" w:hAnsi="Verdana"/>
                <w:sz w:val="20"/>
                <w:szCs w:val="20"/>
                <w:lang w:val="en-GB"/>
              </w:rPr>
            </w:pPr>
            <w:r>
              <w:rPr>
                <w:rFonts w:ascii="Verdana" w:hAnsi="Verdana"/>
                <w:sz w:val="20"/>
                <w:szCs w:val="20"/>
              </w:rPr>
              <w:t>2.2099E-05</w:t>
            </w:r>
          </w:p>
        </w:tc>
        <w:tc>
          <w:tcPr>
            <w:tcW w:w="969" w:type="pct"/>
            <w:tcBorders>
              <w:top w:val="single" w:sz="4" w:space="0" w:color="auto"/>
              <w:left w:val="nil"/>
              <w:bottom w:val="nil"/>
              <w:right w:val="nil"/>
            </w:tcBorders>
            <w:hideMark/>
          </w:tcPr>
          <w:p w14:paraId="654C8F65" w14:textId="77777777" w:rsidR="009779A1" w:rsidRDefault="009779A1">
            <w:pPr>
              <w:rPr>
                <w:rFonts w:ascii="Verdana" w:hAnsi="Verdana"/>
                <w:sz w:val="20"/>
                <w:szCs w:val="20"/>
                <w:lang w:val="en-GB"/>
              </w:rPr>
            </w:pPr>
            <w:r>
              <w:rPr>
                <w:rFonts w:ascii="Verdana" w:hAnsi="Verdana"/>
                <w:sz w:val="20"/>
                <w:szCs w:val="20"/>
              </w:rPr>
              <w:t>BDL</w:t>
            </w:r>
          </w:p>
        </w:tc>
        <w:tc>
          <w:tcPr>
            <w:tcW w:w="969" w:type="pct"/>
            <w:tcBorders>
              <w:top w:val="single" w:sz="4" w:space="0" w:color="auto"/>
              <w:left w:val="nil"/>
              <w:bottom w:val="nil"/>
              <w:right w:val="nil"/>
            </w:tcBorders>
            <w:hideMark/>
          </w:tcPr>
          <w:p w14:paraId="4525F8E5" w14:textId="77777777" w:rsidR="009779A1" w:rsidRDefault="009779A1">
            <w:pPr>
              <w:rPr>
                <w:rFonts w:ascii="Verdana" w:hAnsi="Verdana"/>
                <w:sz w:val="20"/>
                <w:szCs w:val="20"/>
                <w:lang w:val="en-GB"/>
              </w:rPr>
            </w:pPr>
            <w:r>
              <w:rPr>
                <w:rFonts w:ascii="Verdana" w:hAnsi="Verdana"/>
                <w:sz w:val="20"/>
                <w:szCs w:val="20"/>
              </w:rPr>
              <w:t>1.1909E-03</w:t>
            </w:r>
          </w:p>
        </w:tc>
        <w:tc>
          <w:tcPr>
            <w:tcW w:w="969" w:type="pct"/>
            <w:tcBorders>
              <w:top w:val="nil"/>
              <w:left w:val="nil"/>
              <w:bottom w:val="nil"/>
              <w:right w:val="nil"/>
            </w:tcBorders>
            <w:hideMark/>
          </w:tcPr>
          <w:p w14:paraId="5CCA55E9" w14:textId="77777777" w:rsidR="009779A1" w:rsidRDefault="009779A1">
            <w:pPr>
              <w:rPr>
                <w:rFonts w:ascii="Verdana" w:hAnsi="Verdana"/>
                <w:sz w:val="20"/>
                <w:szCs w:val="20"/>
                <w:lang w:val="en-GB"/>
              </w:rPr>
            </w:pPr>
            <w:r>
              <w:rPr>
                <w:rFonts w:ascii="Verdana" w:hAnsi="Verdana"/>
                <w:sz w:val="20"/>
                <w:szCs w:val="20"/>
              </w:rPr>
              <w:t>1.1931E-03</w:t>
            </w:r>
          </w:p>
        </w:tc>
      </w:tr>
      <w:tr w:rsidR="009779A1" w14:paraId="10AB1D6E" w14:textId="77777777" w:rsidTr="00DE5BAC">
        <w:tc>
          <w:tcPr>
            <w:tcW w:w="1124" w:type="pct"/>
            <w:tcBorders>
              <w:top w:val="nil"/>
              <w:left w:val="nil"/>
              <w:bottom w:val="nil"/>
              <w:right w:val="nil"/>
            </w:tcBorders>
            <w:hideMark/>
          </w:tcPr>
          <w:p w14:paraId="3C68529A" w14:textId="77777777" w:rsidR="009779A1" w:rsidRDefault="009779A1">
            <w:pPr>
              <w:rPr>
                <w:rFonts w:ascii="Verdana" w:hAnsi="Verdana"/>
                <w:b/>
                <w:i/>
                <w:sz w:val="20"/>
                <w:szCs w:val="20"/>
                <w:lang w:val="en-GB"/>
              </w:rPr>
            </w:pPr>
            <w:r>
              <w:rPr>
                <w:rFonts w:ascii="Verdana" w:hAnsi="Verdana"/>
                <w:b/>
                <w:i/>
                <w:sz w:val="20"/>
                <w:szCs w:val="20"/>
              </w:rPr>
              <w:t>A. nebulosus</w:t>
            </w:r>
          </w:p>
        </w:tc>
        <w:tc>
          <w:tcPr>
            <w:tcW w:w="969" w:type="pct"/>
            <w:tcBorders>
              <w:top w:val="nil"/>
              <w:left w:val="nil"/>
              <w:bottom w:val="nil"/>
              <w:right w:val="nil"/>
            </w:tcBorders>
            <w:hideMark/>
          </w:tcPr>
          <w:p w14:paraId="0935BDDB" w14:textId="77777777" w:rsidR="009779A1" w:rsidRDefault="009779A1">
            <w:pPr>
              <w:rPr>
                <w:rFonts w:ascii="Verdana" w:hAnsi="Verdana"/>
                <w:sz w:val="20"/>
                <w:szCs w:val="20"/>
                <w:lang w:val="en-GB"/>
              </w:rPr>
            </w:pPr>
            <w:r>
              <w:rPr>
                <w:rFonts w:ascii="Verdana" w:hAnsi="Verdana"/>
                <w:sz w:val="20"/>
                <w:szCs w:val="20"/>
              </w:rPr>
              <w:t>1.2920E-05</w:t>
            </w:r>
          </w:p>
        </w:tc>
        <w:tc>
          <w:tcPr>
            <w:tcW w:w="969" w:type="pct"/>
            <w:tcBorders>
              <w:top w:val="nil"/>
              <w:left w:val="nil"/>
              <w:bottom w:val="nil"/>
              <w:right w:val="nil"/>
            </w:tcBorders>
            <w:hideMark/>
          </w:tcPr>
          <w:p w14:paraId="6DC14137" w14:textId="77777777" w:rsidR="009779A1" w:rsidRDefault="009779A1">
            <w:pPr>
              <w:rPr>
                <w:rFonts w:ascii="Verdana" w:hAnsi="Verdana"/>
                <w:sz w:val="20"/>
                <w:szCs w:val="20"/>
                <w:lang w:val="en-GB"/>
              </w:rPr>
            </w:pPr>
            <w:r>
              <w:rPr>
                <w:rFonts w:ascii="Verdana" w:hAnsi="Verdana"/>
                <w:sz w:val="20"/>
                <w:szCs w:val="20"/>
              </w:rPr>
              <w:t>1.8615E-05</w:t>
            </w:r>
          </w:p>
        </w:tc>
        <w:tc>
          <w:tcPr>
            <w:tcW w:w="969" w:type="pct"/>
            <w:tcBorders>
              <w:top w:val="nil"/>
              <w:left w:val="nil"/>
              <w:bottom w:val="nil"/>
              <w:right w:val="nil"/>
            </w:tcBorders>
            <w:hideMark/>
          </w:tcPr>
          <w:p w14:paraId="29EFBFD6" w14:textId="77777777" w:rsidR="009779A1" w:rsidRDefault="009779A1">
            <w:pPr>
              <w:rPr>
                <w:rFonts w:ascii="Verdana" w:hAnsi="Verdana"/>
                <w:sz w:val="20"/>
                <w:szCs w:val="20"/>
                <w:lang w:val="en-GB"/>
              </w:rPr>
            </w:pPr>
            <w:r>
              <w:rPr>
                <w:rFonts w:ascii="Verdana" w:hAnsi="Verdana"/>
                <w:sz w:val="20"/>
                <w:szCs w:val="20"/>
              </w:rPr>
              <w:t>1.3593E-03</w:t>
            </w:r>
          </w:p>
        </w:tc>
        <w:tc>
          <w:tcPr>
            <w:tcW w:w="969" w:type="pct"/>
            <w:tcBorders>
              <w:top w:val="nil"/>
              <w:left w:val="nil"/>
              <w:bottom w:val="nil"/>
              <w:right w:val="nil"/>
            </w:tcBorders>
            <w:hideMark/>
          </w:tcPr>
          <w:p w14:paraId="6D9F3B19" w14:textId="77777777" w:rsidR="009779A1" w:rsidRDefault="009779A1">
            <w:pPr>
              <w:rPr>
                <w:rFonts w:ascii="Verdana" w:hAnsi="Verdana"/>
                <w:sz w:val="20"/>
                <w:szCs w:val="20"/>
                <w:lang w:val="en-GB"/>
              </w:rPr>
            </w:pPr>
            <w:r>
              <w:rPr>
                <w:rFonts w:ascii="Verdana" w:hAnsi="Verdana"/>
                <w:sz w:val="20"/>
                <w:szCs w:val="20"/>
              </w:rPr>
              <w:t>1.3907E-03</w:t>
            </w:r>
          </w:p>
        </w:tc>
      </w:tr>
      <w:tr w:rsidR="009779A1" w14:paraId="7DA2806E" w14:textId="77777777" w:rsidTr="00DE5BAC">
        <w:tc>
          <w:tcPr>
            <w:tcW w:w="1124" w:type="pct"/>
            <w:tcBorders>
              <w:top w:val="nil"/>
              <w:left w:val="nil"/>
              <w:bottom w:val="single" w:sz="4" w:space="0" w:color="auto"/>
              <w:right w:val="nil"/>
            </w:tcBorders>
            <w:hideMark/>
          </w:tcPr>
          <w:p w14:paraId="0F94B571" w14:textId="77777777" w:rsidR="009779A1" w:rsidRDefault="009779A1">
            <w:pPr>
              <w:rPr>
                <w:rFonts w:ascii="Verdana" w:hAnsi="Verdana"/>
                <w:b/>
                <w:i/>
                <w:sz w:val="20"/>
                <w:szCs w:val="20"/>
                <w:lang w:val="en-GB"/>
              </w:rPr>
            </w:pPr>
            <w:r>
              <w:rPr>
                <w:rFonts w:ascii="Verdana" w:hAnsi="Verdana"/>
                <w:b/>
                <w:i/>
                <w:sz w:val="20"/>
                <w:szCs w:val="20"/>
              </w:rPr>
              <w:t xml:space="preserve">T. </w:t>
            </w:r>
            <w:proofErr w:type="spellStart"/>
            <w:r>
              <w:rPr>
                <w:rFonts w:ascii="Verdana" w:hAnsi="Verdana"/>
                <w:b/>
                <w:i/>
                <w:sz w:val="20"/>
                <w:szCs w:val="20"/>
              </w:rPr>
              <w:t>zilli</w:t>
            </w:r>
            <w:proofErr w:type="spellEnd"/>
          </w:p>
        </w:tc>
        <w:tc>
          <w:tcPr>
            <w:tcW w:w="969" w:type="pct"/>
            <w:tcBorders>
              <w:top w:val="nil"/>
              <w:left w:val="nil"/>
              <w:bottom w:val="single" w:sz="4" w:space="0" w:color="auto"/>
              <w:right w:val="nil"/>
            </w:tcBorders>
            <w:hideMark/>
          </w:tcPr>
          <w:p w14:paraId="57017788" w14:textId="77777777" w:rsidR="009779A1" w:rsidRDefault="009779A1">
            <w:pPr>
              <w:rPr>
                <w:rFonts w:ascii="Verdana" w:hAnsi="Verdana"/>
                <w:sz w:val="20"/>
                <w:szCs w:val="20"/>
                <w:lang w:val="en-GB"/>
              </w:rPr>
            </w:pPr>
            <w:r>
              <w:rPr>
                <w:rFonts w:ascii="Verdana" w:hAnsi="Verdana"/>
                <w:sz w:val="20"/>
                <w:szCs w:val="20"/>
              </w:rPr>
              <w:t>2.1308E-05</w:t>
            </w:r>
          </w:p>
        </w:tc>
        <w:tc>
          <w:tcPr>
            <w:tcW w:w="969" w:type="pct"/>
            <w:tcBorders>
              <w:top w:val="nil"/>
              <w:left w:val="nil"/>
              <w:bottom w:val="single" w:sz="4" w:space="0" w:color="auto"/>
              <w:right w:val="nil"/>
            </w:tcBorders>
            <w:hideMark/>
          </w:tcPr>
          <w:p w14:paraId="6E53812F" w14:textId="77777777" w:rsidR="009779A1" w:rsidRDefault="009779A1">
            <w:pPr>
              <w:rPr>
                <w:rFonts w:ascii="Verdana" w:hAnsi="Verdana"/>
                <w:sz w:val="20"/>
                <w:szCs w:val="20"/>
                <w:lang w:val="en-GB"/>
              </w:rPr>
            </w:pPr>
            <w:r>
              <w:rPr>
                <w:rFonts w:ascii="Verdana" w:hAnsi="Verdana"/>
                <w:sz w:val="20"/>
                <w:szCs w:val="20"/>
              </w:rPr>
              <w:t>4.5209E-05</w:t>
            </w:r>
          </w:p>
        </w:tc>
        <w:tc>
          <w:tcPr>
            <w:tcW w:w="969" w:type="pct"/>
            <w:tcBorders>
              <w:top w:val="nil"/>
              <w:left w:val="nil"/>
              <w:bottom w:val="single" w:sz="4" w:space="0" w:color="auto"/>
              <w:right w:val="nil"/>
            </w:tcBorders>
            <w:hideMark/>
          </w:tcPr>
          <w:p w14:paraId="148FCDAE" w14:textId="77777777" w:rsidR="009779A1" w:rsidRDefault="009779A1">
            <w:pPr>
              <w:rPr>
                <w:rFonts w:ascii="Verdana" w:hAnsi="Verdana"/>
                <w:sz w:val="20"/>
                <w:szCs w:val="20"/>
                <w:lang w:val="en-GB"/>
              </w:rPr>
            </w:pPr>
            <w:r>
              <w:rPr>
                <w:rFonts w:ascii="Verdana" w:hAnsi="Verdana"/>
                <w:sz w:val="20"/>
                <w:szCs w:val="20"/>
              </w:rPr>
              <w:t>2.3836E-03</w:t>
            </w:r>
          </w:p>
        </w:tc>
        <w:tc>
          <w:tcPr>
            <w:tcW w:w="969" w:type="pct"/>
            <w:tcBorders>
              <w:top w:val="nil"/>
              <w:left w:val="nil"/>
              <w:bottom w:val="single" w:sz="4" w:space="0" w:color="auto"/>
              <w:right w:val="nil"/>
            </w:tcBorders>
            <w:hideMark/>
          </w:tcPr>
          <w:p w14:paraId="6BD24B60" w14:textId="77777777" w:rsidR="009779A1" w:rsidRDefault="009779A1">
            <w:pPr>
              <w:rPr>
                <w:rFonts w:ascii="Verdana" w:hAnsi="Verdana"/>
                <w:sz w:val="20"/>
                <w:szCs w:val="20"/>
                <w:lang w:val="en-GB"/>
              </w:rPr>
            </w:pPr>
            <w:r>
              <w:rPr>
                <w:rFonts w:ascii="Verdana" w:hAnsi="Verdana"/>
                <w:sz w:val="20"/>
                <w:szCs w:val="20"/>
              </w:rPr>
              <w:t>2.4501E-03</w:t>
            </w:r>
          </w:p>
        </w:tc>
      </w:tr>
    </w:tbl>
    <w:p w14:paraId="5E260527" w14:textId="77777777" w:rsidR="009779A1" w:rsidRDefault="009779A1" w:rsidP="009779A1">
      <w:pPr>
        <w:jc w:val="both"/>
        <w:rPr>
          <w:rFonts w:ascii="Verdana" w:hAnsi="Verdana"/>
          <w:b/>
          <w:lang w:val="en-GB"/>
        </w:rPr>
      </w:pPr>
    </w:p>
    <w:p w14:paraId="73A0997C" w14:textId="5191B151" w:rsidR="00FF1992" w:rsidRDefault="009779A1" w:rsidP="009779A1">
      <w:pPr>
        <w:pStyle w:val="Body"/>
        <w:spacing w:after="0"/>
        <w:rPr>
          <w:rFonts w:ascii="Arial" w:hAnsi="Arial" w:cs="Arial"/>
        </w:rPr>
      </w:pPr>
      <w:r w:rsidRPr="009779A1">
        <w:rPr>
          <w:rFonts w:ascii="Arial" w:hAnsi="Arial" w:cs="Arial"/>
        </w:rPr>
        <w:t>.</w:t>
      </w:r>
    </w:p>
    <w:p w14:paraId="732D0E99" w14:textId="77777777" w:rsidR="00575266" w:rsidRPr="00FB3A86" w:rsidRDefault="00575266" w:rsidP="009779A1">
      <w:pPr>
        <w:pStyle w:val="Body"/>
        <w:spacing w:after="0"/>
        <w:rPr>
          <w:rFonts w:ascii="Arial" w:hAnsi="Arial" w:cs="Arial"/>
        </w:rPr>
      </w:pPr>
    </w:p>
    <w:p w14:paraId="2295FAC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EC31748" w14:textId="77777777" w:rsidR="00790ADA" w:rsidRPr="00FB3A86" w:rsidRDefault="00790ADA" w:rsidP="00441B6F">
      <w:pPr>
        <w:pStyle w:val="ConcHead"/>
        <w:spacing w:after="0"/>
        <w:jc w:val="both"/>
        <w:rPr>
          <w:rFonts w:ascii="Arial" w:hAnsi="Arial" w:cs="Arial"/>
        </w:rPr>
      </w:pPr>
    </w:p>
    <w:p w14:paraId="233C283D" w14:textId="15DDA4B4" w:rsidR="009779A1" w:rsidRPr="00087B5A" w:rsidRDefault="009779A1" w:rsidP="00087B5A">
      <w:pPr>
        <w:pStyle w:val="Body"/>
      </w:pPr>
      <w:r w:rsidRPr="009779A1">
        <w:rPr>
          <w:rFonts w:ascii="Arial" w:hAnsi="Arial" w:cs="Arial"/>
        </w:rPr>
        <w:t>Heavy metal health risks to the population in fresh water fish samples from a site that may have possibly been contaminated through illegal mining activities was carried out in the present study. Results from the study have revealed the heavy metal Pb mean concentrations in two (2) of the fish samples (</w:t>
      </w:r>
      <w:r w:rsidRPr="009779A1">
        <w:rPr>
          <w:rFonts w:ascii="Arial" w:hAnsi="Arial" w:cs="Arial"/>
          <w:i/>
          <w:iCs/>
        </w:rPr>
        <w:t>Ameiurus nebulosus</w:t>
      </w:r>
      <w:r w:rsidRPr="009779A1">
        <w:rPr>
          <w:rFonts w:ascii="Arial" w:hAnsi="Arial" w:cs="Arial"/>
        </w:rPr>
        <w:t xml:space="preserve"> and </w:t>
      </w:r>
      <w:r w:rsidRPr="009779A1">
        <w:rPr>
          <w:rFonts w:ascii="Arial" w:hAnsi="Arial" w:cs="Arial"/>
          <w:i/>
          <w:iCs/>
        </w:rPr>
        <w:t xml:space="preserve">Tilapia </w:t>
      </w:r>
      <w:proofErr w:type="spellStart"/>
      <w:r w:rsidRPr="009779A1">
        <w:rPr>
          <w:rFonts w:ascii="Arial" w:hAnsi="Arial" w:cs="Arial"/>
          <w:i/>
          <w:iCs/>
        </w:rPr>
        <w:t>zilli</w:t>
      </w:r>
      <w:proofErr w:type="spellEnd"/>
      <w:r w:rsidRPr="009779A1">
        <w:rPr>
          <w:rFonts w:ascii="Arial" w:hAnsi="Arial" w:cs="Arial"/>
        </w:rPr>
        <w:t xml:space="preserve">) were above the permissible limit. While the mean Pb concentration in the </w:t>
      </w:r>
      <w:r w:rsidRPr="009779A1">
        <w:rPr>
          <w:rFonts w:ascii="Arial" w:hAnsi="Arial" w:cs="Arial"/>
          <w:i/>
          <w:iCs/>
        </w:rPr>
        <w:t>Clarias gariepinus</w:t>
      </w:r>
      <w:r w:rsidRPr="009779A1">
        <w:rPr>
          <w:rFonts w:ascii="Arial" w:hAnsi="Arial" w:cs="Arial"/>
        </w:rPr>
        <w:t xml:space="preserve"> sample, and the rest of the investigated heavy metals mean concentrations in the 3 fish samples were within the permissible limits. Consumption of the three fish samples may not pose a non-cancer risks to the population as far as the individual heavy </w:t>
      </w:r>
      <w:proofErr w:type="gramStart"/>
      <w:r w:rsidRPr="009779A1">
        <w:rPr>
          <w:rFonts w:ascii="Arial" w:hAnsi="Arial" w:cs="Arial"/>
        </w:rPr>
        <w:t>metals</w:t>
      </w:r>
      <w:proofErr w:type="gramEnd"/>
      <w:r w:rsidRPr="009779A1">
        <w:rPr>
          <w:rFonts w:ascii="Arial" w:hAnsi="Arial" w:cs="Arial"/>
        </w:rPr>
        <w:t xml:space="preserve"> toxicity effect are concerned as depicted by the THQ of below 1 for all the fish samples. But there is a degree of concern for the children population non-cancer risks for the </w:t>
      </w:r>
      <w:r w:rsidRPr="009779A1">
        <w:rPr>
          <w:rFonts w:ascii="Arial" w:hAnsi="Arial" w:cs="Arial"/>
          <w:i/>
          <w:iCs/>
        </w:rPr>
        <w:t>Ameiurus nebulosus</w:t>
      </w:r>
      <w:r w:rsidRPr="009779A1">
        <w:rPr>
          <w:rFonts w:ascii="Arial" w:hAnsi="Arial" w:cs="Arial"/>
        </w:rPr>
        <w:t xml:space="preserve"> and </w:t>
      </w:r>
      <w:r w:rsidRPr="009779A1">
        <w:rPr>
          <w:rFonts w:ascii="Arial" w:hAnsi="Arial" w:cs="Arial"/>
          <w:i/>
          <w:iCs/>
        </w:rPr>
        <w:t xml:space="preserve">Tilapia </w:t>
      </w:r>
      <w:proofErr w:type="spellStart"/>
      <w:r w:rsidRPr="009779A1">
        <w:rPr>
          <w:rFonts w:ascii="Arial" w:hAnsi="Arial" w:cs="Arial"/>
          <w:i/>
          <w:iCs/>
        </w:rPr>
        <w:t>zilli</w:t>
      </w:r>
      <w:proofErr w:type="spellEnd"/>
      <w:r w:rsidRPr="009779A1">
        <w:rPr>
          <w:rFonts w:ascii="Arial" w:hAnsi="Arial" w:cs="Arial"/>
        </w:rPr>
        <w:t xml:space="preserve"> samples, as the combined toxicity effect of the study heavy metals represented by the HRI were above 1. Similarly, the risk assessment for carcinogenic exposure effect </w:t>
      </w:r>
      <w:r w:rsidRPr="009779A1">
        <w:rPr>
          <w:rFonts w:ascii="Arial" w:hAnsi="Arial" w:cs="Arial"/>
        </w:rPr>
        <w:lastRenderedPageBreak/>
        <w:t xml:space="preserve">has revealed that the cumulative incremental lifetime cancer risk (∑ILCR) were all above the safe limit for cancer in the children and adult population in all the 3 fish samples, with the heavy metal Ni contributing to that effect. There is an indication of heightened risk of cancer and non-cancer risks to the population from consumption of the study fish samples. </w:t>
      </w:r>
      <w:r w:rsidR="0056099B" w:rsidRPr="0056099B">
        <w:rPr>
          <w:rFonts w:ascii="Arial" w:hAnsi="Arial" w:cs="Arial"/>
          <w:highlight w:val="yellow"/>
        </w:rPr>
        <w:t>Therefore, proper awareness must be created and necessary government environmental health management agencies must put in place necessary regulations</w:t>
      </w:r>
      <w:r w:rsidR="0056099B" w:rsidRPr="00087B5A">
        <w:rPr>
          <w:rFonts w:ascii="Arial" w:hAnsi="Arial" w:cs="Arial"/>
          <w:highlight w:val="yellow"/>
        </w:rPr>
        <w:t>.</w:t>
      </w:r>
      <w:r w:rsidR="00A53EB7" w:rsidRPr="00087B5A">
        <w:rPr>
          <w:highlight w:val="yellow"/>
        </w:rPr>
        <w:t xml:space="preserve"> In addition, the regular monitoring of heavy metals in fish is recommended in this area. There is also the need to investigate the distribution of heavy metals in various </w:t>
      </w:r>
      <w:proofErr w:type="gramStart"/>
      <w:r w:rsidR="00A53EB7" w:rsidRPr="00087B5A">
        <w:rPr>
          <w:highlight w:val="yellow"/>
        </w:rPr>
        <w:t>organs  of</w:t>
      </w:r>
      <w:proofErr w:type="gramEnd"/>
      <w:r w:rsidR="00A53EB7" w:rsidRPr="00087B5A">
        <w:rPr>
          <w:highlight w:val="yellow"/>
        </w:rPr>
        <w:t xml:space="preserve"> the fish </w:t>
      </w:r>
      <w:r w:rsidR="00087B5A" w:rsidRPr="00087B5A">
        <w:rPr>
          <w:highlight w:val="yellow"/>
        </w:rPr>
        <w:t>in the study</w:t>
      </w:r>
      <w:r w:rsidR="00087B5A">
        <w:t>.</w:t>
      </w:r>
    </w:p>
    <w:p w14:paraId="55E06076" w14:textId="77777777" w:rsidR="00315186" w:rsidRPr="00315186" w:rsidRDefault="00315186" w:rsidP="00441B6F"/>
    <w:p w14:paraId="1F27B134" w14:textId="77777777" w:rsidR="002E299B" w:rsidRDefault="002E299B" w:rsidP="002E299B">
      <w:pPr>
        <w:pStyle w:val="AcknHead"/>
        <w:spacing w:after="0"/>
        <w:jc w:val="both"/>
        <w:rPr>
          <w:rFonts w:ascii="Arial" w:hAnsi="Arial" w:cs="Arial"/>
        </w:rPr>
      </w:pPr>
      <w:r>
        <w:rPr>
          <w:rFonts w:ascii="Arial" w:hAnsi="Arial" w:cs="Arial"/>
        </w:rPr>
        <w:t>AcknowledgEments</w:t>
      </w:r>
    </w:p>
    <w:p w14:paraId="1BE16077" w14:textId="532FF6F6" w:rsidR="00315186" w:rsidRPr="00315186" w:rsidRDefault="00353071" w:rsidP="00441B6F">
      <w:r>
        <w:t>This research was</w:t>
      </w:r>
      <w:r w:rsidR="002E299B">
        <w:t xml:space="preserve"> funded by the Nigerian Tertiary Education Trust Fund (TETFUND) University Based Research Fund (UBRF)</w:t>
      </w:r>
    </w:p>
    <w:p w14:paraId="303E87A7" w14:textId="77777777" w:rsidR="00315186" w:rsidRPr="00315186" w:rsidRDefault="00315186" w:rsidP="00441B6F"/>
    <w:p w14:paraId="465EE17A" w14:textId="77777777" w:rsidR="00DE5BAC" w:rsidRPr="002E299B" w:rsidRDefault="00DE5BAC" w:rsidP="00DE5BAC">
      <w:pPr>
        <w:pStyle w:val="ReferHead"/>
        <w:jc w:val="both"/>
        <w:rPr>
          <w:rFonts w:ascii="Arial" w:hAnsi="Arial" w:cs="Arial"/>
          <w:bCs/>
          <w:caps w:val="0"/>
          <w:sz w:val="20"/>
        </w:rPr>
      </w:pPr>
      <w:r w:rsidRPr="002E299B">
        <w:rPr>
          <w:rFonts w:ascii="Arial" w:hAnsi="Arial" w:cs="Arial"/>
          <w:bCs/>
          <w:caps w:val="0"/>
          <w:sz w:val="20"/>
        </w:rPr>
        <w:t>COMPETING INTERESTS DISCLAIMER:</w:t>
      </w:r>
    </w:p>
    <w:p w14:paraId="4BDFBAB9" w14:textId="447EF4C5" w:rsidR="00DE5BAC" w:rsidRDefault="00DE5BAC" w:rsidP="00DE5BAC">
      <w:pPr>
        <w:pStyle w:val="ReferHead"/>
        <w:spacing w:after="0"/>
        <w:jc w:val="both"/>
        <w:rPr>
          <w:rFonts w:ascii="Arial" w:hAnsi="Arial" w:cs="Arial"/>
          <w:b w:val="0"/>
          <w:caps w:val="0"/>
          <w:sz w:val="20"/>
        </w:rPr>
      </w:pPr>
      <w:r w:rsidRPr="00DE5BAC">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60807C4C" w14:textId="77777777" w:rsidR="0000511C" w:rsidRDefault="0000511C" w:rsidP="00DE5BAC">
      <w:pPr>
        <w:pStyle w:val="ReferHead"/>
        <w:spacing w:after="0"/>
        <w:jc w:val="both"/>
        <w:rPr>
          <w:rFonts w:ascii="Arial" w:hAnsi="Arial" w:cs="Arial"/>
          <w:b w:val="0"/>
          <w:caps w:val="0"/>
          <w:sz w:val="20"/>
        </w:rPr>
      </w:pPr>
    </w:p>
    <w:p w14:paraId="2EE457BA" w14:textId="77777777" w:rsidR="00A5613A" w:rsidRPr="00CA3906" w:rsidRDefault="00A5613A" w:rsidP="00A5613A">
      <w:pPr>
        <w:rPr>
          <w:b/>
          <w:highlight w:val="yellow"/>
        </w:rPr>
      </w:pPr>
      <w:r w:rsidRPr="00CA3906">
        <w:rPr>
          <w:b/>
          <w:highlight w:val="yellow"/>
        </w:rPr>
        <w:t>Disclaimer (Artificial intelligence)</w:t>
      </w:r>
    </w:p>
    <w:p w14:paraId="090639AA" w14:textId="23C3E54D" w:rsidR="00A5613A" w:rsidRPr="00740879" w:rsidRDefault="002E299B" w:rsidP="002E299B">
      <w:pPr>
        <w:rPr>
          <w:highlight w:val="yellow"/>
        </w:rPr>
      </w:pPr>
      <w:r>
        <w:rPr>
          <w:highlight w:val="yellow"/>
        </w:rPr>
        <w:t>Authors</w:t>
      </w:r>
      <w:r w:rsidR="00A5613A" w:rsidRPr="00740879">
        <w:rPr>
          <w:highlight w:val="yellow"/>
        </w:rPr>
        <w:t xml:space="preserve"> hereby declare that NO generative AI technologies and text-to-image generators have been used during the writing or editing of this manuscript. </w:t>
      </w:r>
    </w:p>
    <w:p w14:paraId="5581111E" w14:textId="77777777" w:rsidR="00A5613A" w:rsidRPr="006F669C" w:rsidRDefault="00A5613A" w:rsidP="00DE5BAC">
      <w:pPr>
        <w:pStyle w:val="ReferHead"/>
        <w:spacing w:after="0"/>
        <w:jc w:val="both"/>
        <w:rPr>
          <w:rFonts w:ascii="Arial" w:hAnsi="Arial" w:cs="Arial"/>
          <w:b w:val="0"/>
          <w:caps w:val="0"/>
          <w:sz w:val="20"/>
        </w:rPr>
      </w:pPr>
    </w:p>
    <w:p w14:paraId="0D6F10C3" w14:textId="77777777" w:rsidR="002B685A" w:rsidRDefault="002B685A" w:rsidP="00441B6F">
      <w:pPr>
        <w:pStyle w:val="ReferHead"/>
        <w:spacing w:after="0"/>
        <w:jc w:val="both"/>
        <w:rPr>
          <w:rFonts w:ascii="Arial" w:hAnsi="Arial" w:cs="Arial"/>
          <w:b w:val="0"/>
          <w:caps w:val="0"/>
          <w:sz w:val="20"/>
        </w:rPr>
      </w:pPr>
    </w:p>
    <w:p w14:paraId="78E2CD66" w14:textId="77777777" w:rsidR="00860000" w:rsidRDefault="00860000" w:rsidP="00441B6F">
      <w:pPr>
        <w:pStyle w:val="ReferHead"/>
        <w:spacing w:after="0"/>
        <w:jc w:val="both"/>
        <w:rPr>
          <w:rFonts w:ascii="Arial" w:hAnsi="Arial" w:cs="Arial"/>
        </w:rPr>
      </w:pPr>
    </w:p>
    <w:p w14:paraId="2FEEAF1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2C0C0BA" w14:textId="77777777" w:rsidR="00790ADA" w:rsidRPr="00FB3A86" w:rsidRDefault="00790ADA" w:rsidP="00441B6F">
      <w:pPr>
        <w:pStyle w:val="ReferHead"/>
        <w:spacing w:after="0"/>
        <w:jc w:val="both"/>
        <w:rPr>
          <w:rFonts w:ascii="Arial" w:hAnsi="Arial" w:cs="Arial"/>
        </w:rPr>
      </w:pPr>
    </w:p>
    <w:p w14:paraId="67AE8D90" w14:textId="77777777" w:rsidR="00113890" w:rsidRPr="006F669C" w:rsidRDefault="00113890" w:rsidP="00113890">
      <w:pPr>
        <w:pStyle w:val="Body"/>
        <w:rPr>
          <w:rFonts w:ascii="Arial" w:hAnsi="Arial" w:cs="Arial"/>
        </w:rPr>
      </w:pPr>
      <w:r w:rsidRPr="006F669C">
        <w:rPr>
          <w:rFonts w:ascii="Arial" w:hAnsi="Arial" w:cs="Arial"/>
        </w:rPr>
        <w:t>A.O.A.C (1995) Official Methods of Analysis 18th Edition, Association of Official Analytical Chemists, U.S.A</w:t>
      </w:r>
    </w:p>
    <w:p w14:paraId="2E79C007" w14:textId="77777777" w:rsidR="00113890" w:rsidRPr="006F669C" w:rsidRDefault="00113890" w:rsidP="00113890">
      <w:pPr>
        <w:pStyle w:val="Body"/>
        <w:rPr>
          <w:rFonts w:ascii="Arial" w:hAnsi="Arial" w:cs="Arial"/>
        </w:rPr>
      </w:pPr>
      <w:proofErr w:type="spellStart"/>
      <w:r w:rsidRPr="006F669C">
        <w:rPr>
          <w:rFonts w:ascii="Arial" w:hAnsi="Arial" w:cs="Arial"/>
        </w:rPr>
        <w:t>Adegbola</w:t>
      </w:r>
      <w:proofErr w:type="spellEnd"/>
      <w:r w:rsidRPr="006F669C">
        <w:rPr>
          <w:rFonts w:ascii="Arial" w:hAnsi="Arial" w:cs="Arial"/>
        </w:rPr>
        <w:t xml:space="preserve"> IP, </w:t>
      </w:r>
      <w:proofErr w:type="spellStart"/>
      <w:r w:rsidRPr="006F669C">
        <w:rPr>
          <w:rFonts w:ascii="Arial" w:hAnsi="Arial" w:cs="Arial"/>
        </w:rPr>
        <w:t>Aborisade</w:t>
      </w:r>
      <w:proofErr w:type="spellEnd"/>
      <w:r w:rsidRPr="006F669C">
        <w:rPr>
          <w:rFonts w:ascii="Arial" w:hAnsi="Arial" w:cs="Arial"/>
        </w:rPr>
        <w:t xml:space="preserve"> BA, </w:t>
      </w:r>
      <w:proofErr w:type="spellStart"/>
      <w:r w:rsidRPr="006F669C">
        <w:rPr>
          <w:rFonts w:ascii="Arial" w:hAnsi="Arial" w:cs="Arial"/>
        </w:rPr>
        <w:t>Adetutu</w:t>
      </w:r>
      <w:proofErr w:type="spellEnd"/>
      <w:r w:rsidRPr="006F669C">
        <w:rPr>
          <w:rFonts w:ascii="Arial" w:hAnsi="Arial" w:cs="Arial"/>
        </w:rPr>
        <w:t xml:space="preserve"> A (2021) Health risk assessment and heavy metal accumulation in fish species (</w:t>
      </w:r>
      <w:proofErr w:type="spellStart"/>
      <w:r w:rsidRPr="006F669C">
        <w:rPr>
          <w:rFonts w:ascii="Arial" w:hAnsi="Arial" w:cs="Arial"/>
        </w:rPr>
        <w:t>C</w:t>
      </w:r>
      <w:r w:rsidRPr="006F669C">
        <w:rPr>
          <w:rFonts w:ascii="Arial" w:hAnsi="Arial" w:cs="Arial"/>
          <w:i/>
          <w:iCs/>
        </w:rPr>
        <w:t>larias</w:t>
      </w:r>
      <w:proofErr w:type="spellEnd"/>
      <w:r w:rsidRPr="006F669C">
        <w:rPr>
          <w:rFonts w:ascii="Arial" w:hAnsi="Arial" w:cs="Arial"/>
          <w:i/>
          <w:iCs/>
        </w:rPr>
        <w:t xml:space="preserve"> </w:t>
      </w:r>
      <w:proofErr w:type="spellStart"/>
      <w:r w:rsidRPr="006F669C">
        <w:rPr>
          <w:rFonts w:ascii="Arial" w:hAnsi="Arial" w:cs="Arial"/>
        </w:rPr>
        <w:t>gariepinus</w:t>
      </w:r>
      <w:proofErr w:type="spellEnd"/>
      <w:r w:rsidRPr="006F669C">
        <w:rPr>
          <w:rFonts w:ascii="Arial" w:hAnsi="Arial" w:cs="Arial"/>
        </w:rPr>
        <w:t xml:space="preserve"> and </w:t>
      </w:r>
      <w:proofErr w:type="spellStart"/>
      <w:r w:rsidRPr="006F669C">
        <w:rPr>
          <w:rFonts w:ascii="Arial" w:hAnsi="Arial" w:cs="Arial"/>
          <w:i/>
          <w:iCs/>
        </w:rPr>
        <w:t>Sarotherodon</w:t>
      </w:r>
      <w:proofErr w:type="spellEnd"/>
      <w:r w:rsidRPr="006F669C">
        <w:rPr>
          <w:rFonts w:ascii="Arial" w:hAnsi="Arial" w:cs="Arial"/>
          <w:i/>
          <w:iCs/>
        </w:rPr>
        <w:t xml:space="preserve"> </w:t>
      </w:r>
      <w:proofErr w:type="spellStart"/>
      <w:r w:rsidRPr="006F669C">
        <w:rPr>
          <w:rFonts w:ascii="Arial" w:hAnsi="Arial" w:cs="Arial"/>
          <w:i/>
          <w:iCs/>
        </w:rPr>
        <w:t>melanotheron</w:t>
      </w:r>
      <w:proofErr w:type="spellEnd"/>
      <w:r w:rsidRPr="006F669C">
        <w:rPr>
          <w:rFonts w:ascii="Arial" w:hAnsi="Arial" w:cs="Arial"/>
        </w:rPr>
        <w:t xml:space="preserve">) from industrially polluted Ogun and </w:t>
      </w:r>
      <w:proofErr w:type="spellStart"/>
      <w:r w:rsidRPr="006F669C">
        <w:rPr>
          <w:rFonts w:ascii="Arial" w:hAnsi="Arial" w:cs="Arial"/>
        </w:rPr>
        <w:t>Eleyele</w:t>
      </w:r>
      <w:proofErr w:type="spellEnd"/>
      <w:r w:rsidRPr="006F669C">
        <w:rPr>
          <w:rFonts w:ascii="Arial" w:hAnsi="Arial" w:cs="Arial"/>
        </w:rPr>
        <w:t xml:space="preserve"> Rivers, Nigeria. </w:t>
      </w:r>
      <w:r w:rsidRPr="006F669C">
        <w:rPr>
          <w:rFonts w:ascii="Arial" w:hAnsi="Arial" w:cs="Arial"/>
          <w:i/>
          <w:iCs/>
        </w:rPr>
        <w:t>Toxicology Reports</w:t>
      </w:r>
      <w:r w:rsidRPr="006F669C">
        <w:rPr>
          <w:rFonts w:ascii="Arial" w:hAnsi="Arial" w:cs="Arial"/>
        </w:rPr>
        <w:t>; 8:1445–1460</w:t>
      </w:r>
    </w:p>
    <w:p w14:paraId="0FC8A9E8" w14:textId="77777777" w:rsidR="00113890" w:rsidRPr="006F669C" w:rsidRDefault="00113890" w:rsidP="00113890">
      <w:pPr>
        <w:pStyle w:val="Body"/>
        <w:rPr>
          <w:rFonts w:ascii="Arial" w:hAnsi="Arial" w:cs="Arial"/>
        </w:rPr>
      </w:pPr>
      <w:r w:rsidRPr="006F669C">
        <w:rPr>
          <w:rFonts w:ascii="Arial" w:hAnsi="Arial" w:cs="Arial"/>
        </w:rPr>
        <w:t xml:space="preserve">Alam M, Rohani MF, Hossain MS (2023) Heavy metals accumulation in some important fish species cultured in commercial fish farm of </w:t>
      </w:r>
      <w:proofErr w:type="spellStart"/>
      <w:r w:rsidRPr="006F669C">
        <w:rPr>
          <w:rFonts w:ascii="Arial" w:hAnsi="Arial" w:cs="Arial"/>
        </w:rPr>
        <w:t>Natore</w:t>
      </w:r>
      <w:proofErr w:type="spellEnd"/>
      <w:r w:rsidRPr="006F669C">
        <w:rPr>
          <w:rFonts w:ascii="Arial" w:hAnsi="Arial" w:cs="Arial"/>
        </w:rPr>
        <w:t xml:space="preserve">, Bangladesh and possible health risk evaluation. </w:t>
      </w:r>
      <w:r w:rsidRPr="00575266">
        <w:rPr>
          <w:rFonts w:ascii="Arial" w:hAnsi="Arial" w:cs="Arial"/>
          <w:i/>
          <w:iCs/>
        </w:rPr>
        <w:t>Emerging Contaminants</w:t>
      </w:r>
      <w:r w:rsidRPr="006F669C">
        <w:rPr>
          <w:rFonts w:ascii="Arial" w:hAnsi="Arial" w:cs="Arial"/>
        </w:rPr>
        <w:t>; 9: 100254</w:t>
      </w:r>
    </w:p>
    <w:p w14:paraId="202AE933" w14:textId="77777777" w:rsidR="00113890" w:rsidRPr="006F669C" w:rsidRDefault="00113890" w:rsidP="00113890">
      <w:pPr>
        <w:pStyle w:val="Body"/>
        <w:rPr>
          <w:rFonts w:ascii="Arial" w:hAnsi="Arial" w:cs="Arial"/>
        </w:rPr>
      </w:pPr>
      <w:r w:rsidRPr="006F669C">
        <w:rPr>
          <w:rFonts w:ascii="Arial" w:hAnsi="Arial" w:cs="Arial"/>
        </w:rPr>
        <w:t>Ali H, Khan E, Ilahi I. (2019) Environmental chemistry and ecotoxicology of hazardous heavy metals: Environmental persistence, toxicity, and bioaccumulation. J. Chem.</w:t>
      </w:r>
    </w:p>
    <w:p w14:paraId="2940FAAF" w14:textId="77777777" w:rsidR="00113890" w:rsidRDefault="00113890" w:rsidP="00113890">
      <w:pPr>
        <w:pStyle w:val="Body"/>
        <w:rPr>
          <w:rFonts w:ascii="Arial" w:hAnsi="Arial" w:cs="Arial"/>
        </w:rPr>
      </w:pPr>
      <w:proofErr w:type="spellStart"/>
      <w:r w:rsidRPr="006F669C">
        <w:rPr>
          <w:rFonts w:ascii="Arial" w:hAnsi="Arial" w:cs="Arial"/>
        </w:rPr>
        <w:t>Aljohani</w:t>
      </w:r>
      <w:proofErr w:type="spellEnd"/>
      <w:r w:rsidRPr="006F669C">
        <w:rPr>
          <w:rFonts w:ascii="Arial" w:hAnsi="Arial" w:cs="Arial"/>
        </w:rPr>
        <w:t xml:space="preserve"> NS, </w:t>
      </w:r>
      <w:proofErr w:type="spellStart"/>
      <w:r w:rsidRPr="006F669C">
        <w:rPr>
          <w:rFonts w:ascii="Arial" w:hAnsi="Arial" w:cs="Arial"/>
        </w:rPr>
        <w:t>Kavil</w:t>
      </w:r>
      <w:proofErr w:type="spellEnd"/>
      <w:r w:rsidRPr="006F669C">
        <w:rPr>
          <w:rFonts w:ascii="Arial" w:hAnsi="Arial" w:cs="Arial"/>
        </w:rPr>
        <w:t xml:space="preserve"> YN, </w:t>
      </w:r>
      <w:proofErr w:type="spellStart"/>
      <w:r w:rsidRPr="006F669C">
        <w:rPr>
          <w:rFonts w:ascii="Arial" w:hAnsi="Arial" w:cs="Arial"/>
        </w:rPr>
        <w:t>Alelyani</w:t>
      </w:r>
      <w:proofErr w:type="spellEnd"/>
      <w:r w:rsidRPr="006F669C">
        <w:rPr>
          <w:rFonts w:ascii="Arial" w:hAnsi="Arial" w:cs="Arial"/>
        </w:rPr>
        <w:t xml:space="preserve"> SS, Al-</w:t>
      </w:r>
      <w:proofErr w:type="spellStart"/>
      <w:r w:rsidRPr="006F669C">
        <w:rPr>
          <w:rFonts w:ascii="Arial" w:hAnsi="Arial" w:cs="Arial"/>
        </w:rPr>
        <w:t>Farawati</w:t>
      </w:r>
      <w:proofErr w:type="spellEnd"/>
      <w:r w:rsidRPr="006F669C">
        <w:rPr>
          <w:rFonts w:ascii="Arial" w:hAnsi="Arial" w:cs="Arial"/>
        </w:rPr>
        <w:t xml:space="preserve"> RK, </w:t>
      </w:r>
      <w:proofErr w:type="spellStart"/>
      <w:r w:rsidRPr="006F669C">
        <w:rPr>
          <w:rFonts w:ascii="Arial" w:hAnsi="Arial" w:cs="Arial"/>
        </w:rPr>
        <w:t>Orif</w:t>
      </w:r>
      <w:proofErr w:type="spellEnd"/>
      <w:r w:rsidRPr="006F669C">
        <w:rPr>
          <w:rFonts w:ascii="Arial" w:hAnsi="Arial" w:cs="Arial"/>
        </w:rPr>
        <w:t xml:space="preserve"> MI, </w:t>
      </w:r>
      <w:proofErr w:type="spellStart"/>
      <w:r w:rsidRPr="006F669C">
        <w:rPr>
          <w:rFonts w:ascii="Arial" w:hAnsi="Arial" w:cs="Arial"/>
        </w:rPr>
        <w:t>Aljohani</w:t>
      </w:r>
      <w:proofErr w:type="spellEnd"/>
      <w:r w:rsidRPr="006F669C">
        <w:rPr>
          <w:rFonts w:ascii="Arial" w:hAnsi="Arial" w:cs="Arial"/>
        </w:rPr>
        <w:t xml:space="preserve"> NH, </w:t>
      </w:r>
      <w:proofErr w:type="spellStart"/>
      <w:r w:rsidRPr="006F669C">
        <w:rPr>
          <w:rFonts w:ascii="Arial" w:hAnsi="Arial" w:cs="Arial"/>
        </w:rPr>
        <w:t>Ghandourah</w:t>
      </w:r>
      <w:proofErr w:type="spellEnd"/>
      <w:r w:rsidRPr="006F669C">
        <w:rPr>
          <w:rFonts w:ascii="Arial" w:hAnsi="Arial" w:cs="Arial"/>
        </w:rPr>
        <w:t xml:space="preserve"> MI, Al-</w:t>
      </w:r>
      <w:proofErr w:type="spellStart"/>
      <w:r w:rsidRPr="006F669C">
        <w:rPr>
          <w:rFonts w:ascii="Arial" w:hAnsi="Arial" w:cs="Arial"/>
        </w:rPr>
        <w:t>Mhyawi</w:t>
      </w:r>
      <w:proofErr w:type="spellEnd"/>
      <w:r w:rsidRPr="006F669C">
        <w:rPr>
          <w:rFonts w:ascii="Arial" w:hAnsi="Arial" w:cs="Arial"/>
        </w:rPr>
        <w:t xml:space="preserve"> SR, </w:t>
      </w:r>
      <w:proofErr w:type="spellStart"/>
      <w:r w:rsidRPr="006F669C">
        <w:rPr>
          <w:rFonts w:ascii="Arial" w:hAnsi="Arial" w:cs="Arial"/>
        </w:rPr>
        <w:t>Bahshwan</w:t>
      </w:r>
      <w:proofErr w:type="spellEnd"/>
      <w:r w:rsidRPr="006F669C">
        <w:rPr>
          <w:rFonts w:ascii="Arial" w:hAnsi="Arial" w:cs="Arial"/>
        </w:rPr>
        <w:t xml:space="preserve"> SM, Abdel Salam M (2023) Bioaccumulation of heavy metals in fish collected from the Eastern Coast of Saudi Arabia and Human Health Implications. </w:t>
      </w:r>
      <w:r w:rsidRPr="00575266">
        <w:rPr>
          <w:rFonts w:ascii="Arial" w:hAnsi="Arial" w:cs="Arial"/>
          <w:i/>
          <w:iCs/>
        </w:rPr>
        <w:t>Regional Studies in Marine Science</w:t>
      </w:r>
      <w:r w:rsidRPr="006F669C">
        <w:rPr>
          <w:rFonts w:ascii="Arial" w:hAnsi="Arial" w:cs="Arial"/>
        </w:rPr>
        <w:t>; 62:102986</w:t>
      </w:r>
    </w:p>
    <w:p w14:paraId="1C6D7175" w14:textId="178DCB43" w:rsidR="007324DC" w:rsidRDefault="007324DC" w:rsidP="00113890">
      <w:pPr>
        <w:pStyle w:val="Body"/>
        <w:rPr>
          <w:rFonts w:ascii="Arial" w:hAnsi="Arial" w:cs="Arial"/>
        </w:rPr>
      </w:pPr>
      <w:proofErr w:type="spellStart"/>
      <w:r w:rsidRPr="007324DC">
        <w:rPr>
          <w:rFonts w:ascii="Arial" w:hAnsi="Arial" w:cs="Arial"/>
        </w:rPr>
        <w:t>Amosu</w:t>
      </w:r>
      <w:proofErr w:type="spellEnd"/>
      <w:r w:rsidRPr="007324DC">
        <w:rPr>
          <w:rFonts w:ascii="Arial" w:hAnsi="Arial" w:cs="Arial"/>
        </w:rPr>
        <w:t xml:space="preserve"> C.O. and Adeosun T.A</w:t>
      </w:r>
      <w:r>
        <w:rPr>
          <w:rFonts w:ascii="Arial" w:hAnsi="Arial" w:cs="Arial"/>
        </w:rPr>
        <w:t xml:space="preserve"> (2021)</w:t>
      </w:r>
      <w:r w:rsidRPr="007324DC">
        <w:t xml:space="preserve"> </w:t>
      </w:r>
      <w:r w:rsidRPr="007324DC">
        <w:rPr>
          <w:rFonts w:ascii="Arial" w:hAnsi="Arial" w:cs="Arial"/>
        </w:rPr>
        <w:t>C</w:t>
      </w:r>
      <w:r w:rsidR="00901FA1" w:rsidRPr="007324DC">
        <w:rPr>
          <w:rFonts w:ascii="Arial" w:hAnsi="Arial" w:cs="Arial"/>
        </w:rPr>
        <w:t>urtailing</w:t>
      </w:r>
      <w:r w:rsidRPr="007324DC">
        <w:rPr>
          <w:rFonts w:ascii="Arial" w:hAnsi="Arial" w:cs="Arial"/>
        </w:rPr>
        <w:t xml:space="preserve"> I</w:t>
      </w:r>
      <w:r w:rsidR="00901FA1" w:rsidRPr="007324DC">
        <w:rPr>
          <w:rFonts w:ascii="Arial" w:hAnsi="Arial" w:cs="Arial"/>
        </w:rPr>
        <w:t>llegal</w:t>
      </w:r>
      <w:r w:rsidRPr="007324DC">
        <w:rPr>
          <w:rFonts w:ascii="Arial" w:hAnsi="Arial" w:cs="Arial"/>
        </w:rPr>
        <w:t xml:space="preserve"> M</w:t>
      </w:r>
      <w:r w:rsidR="00901FA1" w:rsidRPr="007324DC">
        <w:rPr>
          <w:rFonts w:ascii="Arial" w:hAnsi="Arial" w:cs="Arial"/>
        </w:rPr>
        <w:t>ining</w:t>
      </w:r>
      <w:r w:rsidRPr="007324DC">
        <w:rPr>
          <w:rFonts w:ascii="Arial" w:hAnsi="Arial" w:cs="Arial"/>
        </w:rPr>
        <w:t xml:space="preserve"> O</w:t>
      </w:r>
      <w:r w:rsidR="00901FA1" w:rsidRPr="007324DC">
        <w:rPr>
          <w:rFonts w:ascii="Arial" w:hAnsi="Arial" w:cs="Arial"/>
        </w:rPr>
        <w:t xml:space="preserve">peration in </w:t>
      </w:r>
      <w:r w:rsidRPr="007324DC">
        <w:rPr>
          <w:rFonts w:ascii="Arial" w:hAnsi="Arial" w:cs="Arial"/>
        </w:rPr>
        <w:t>N</w:t>
      </w:r>
      <w:r w:rsidR="00901FA1" w:rsidRPr="007324DC">
        <w:rPr>
          <w:rFonts w:ascii="Arial" w:hAnsi="Arial" w:cs="Arial"/>
        </w:rPr>
        <w:t>igeria</w:t>
      </w:r>
      <w:r>
        <w:rPr>
          <w:rFonts w:ascii="Arial" w:hAnsi="Arial" w:cs="Arial"/>
        </w:rPr>
        <w:t>.</w:t>
      </w:r>
      <w:r w:rsidRPr="007324DC">
        <w:t xml:space="preserve"> </w:t>
      </w:r>
      <w:r w:rsidRPr="007324DC">
        <w:rPr>
          <w:rFonts w:ascii="Arial" w:hAnsi="Arial" w:cs="Arial"/>
          <w:i/>
          <w:iCs/>
        </w:rPr>
        <w:t>International Journal of Physical and Human Geography</w:t>
      </w:r>
      <w:r>
        <w:rPr>
          <w:rFonts w:ascii="Arial" w:hAnsi="Arial" w:cs="Arial"/>
        </w:rPr>
        <w:t>;</w:t>
      </w:r>
      <w:r w:rsidRPr="007324DC">
        <w:t xml:space="preserve"> </w:t>
      </w:r>
      <w:r w:rsidR="00901FA1">
        <w:rPr>
          <w:rFonts w:ascii="Arial" w:hAnsi="Arial" w:cs="Arial"/>
        </w:rPr>
        <w:t>9, (1):13-24</w:t>
      </w:r>
    </w:p>
    <w:p w14:paraId="3ACE8AD4" w14:textId="620627D9" w:rsidR="00901FA1" w:rsidRDefault="00901FA1" w:rsidP="00901FA1">
      <w:pPr>
        <w:jc w:val="both"/>
        <w:rPr>
          <w:rFonts w:asciiTheme="minorBidi" w:hAnsiTheme="minorBidi" w:cstheme="minorBidi"/>
        </w:rPr>
      </w:pPr>
      <w:r w:rsidRPr="00901FA1">
        <w:rPr>
          <w:rFonts w:asciiTheme="minorBidi" w:hAnsiTheme="minorBidi" w:cstheme="minorBidi"/>
        </w:rPr>
        <w:t xml:space="preserve">Bala </w:t>
      </w:r>
      <w:r>
        <w:rPr>
          <w:rFonts w:asciiTheme="minorBidi" w:hAnsiTheme="minorBidi" w:cstheme="minorBidi"/>
        </w:rPr>
        <w:t xml:space="preserve">MG, </w:t>
      </w:r>
      <w:r w:rsidRPr="00901FA1">
        <w:rPr>
          <w:rFonts w:asciiTheme="minorBidi" w:hAnsiTheme="minorBidi" w:cstheme="minorBidi"/>
        </w:rPr>
        <w:t>Yaradua</w:t>
      </w:r>
      <w:r>
        <w:rPr>
          <w:rFonts w:asciiTheme="minorBidi" w:hAnsiTheme="minorBidi" w:cstheme="minorBidi"/>
        </w:rPr>
        <w:t xml:space="preserve"> AI, </w:t>
      </w:r>
      <w:r w:rsidRPr="00901FA1">
        <w:rPr>
          <w:rFonts w:asciiTheme="minorBidi" w:hAnsiTheme="minorBidi" w:cstheme="minorBidi"/>
        </w:rPr>
        <w:t>Kabir</w:t>
      </w:r>
      <w:r>
        <w:rPr>
          <w:rFonts w:asciiTheme="minorBidi" w:hAnsiTheme="minorBidi" w:cstheme="minorBidi"/>
        </w:rPr>
        <w:t xml:space="preserve"> HG, </w:t>
      </w:r>
      <w:r w:rsidRPr="00901FA1">
        <w:rPr>
          <w:rFonts w:asciiTheme="minorBidi" w:hAnsiTheme="minorBidi" w:cstheme="minorBidi"/>
        </w:rPr>
        <w:t>Yasir</w:t>
      </w:r>
      <w:r>
        <w:rPr>
          <w:rFonts w:asciiTheme="minorBidi" w:hAnsiTheme="minorBidi" w:cstheme="minorBidi"/>
        </w:rPr>
        <w:t xml:space="preserve"> IS, </w:t>
      </w:r>
      <w:r w:rsidRPr="00901FA1">
        <w:rPr>
          <w:rFonts w:asciiTheme="minorBidi" w:hAnsiTheme="minorBidi" w:cstheme="minorBidi"/>
        </w:rPr>
        <w:t>Abdullahi</w:t>
      </w:r>
      <w:r>
        <w:rPr>
          <w:rFonts w:asciiTheme="minorBidi" w:hAnsiTheme="minorBidi" w:cstheme="minorBidi"/>
        </w:rPr>
        <w:t xml:space="preserve"> A, </w:t>
      </w:r>
      <w:r w:rsidRPr="00901FA1">
        <w:rPr>
          <w:rFonts w:asciiTheme="minorBidi" w:hAnsiTheme="minorBidi" w:cstheme="minorBidi"/>
        </w:rPr>
        <w:t>Umar</w:t>
      </w:r>
      <w:r>
        <w:rPr>
          <w:rFonts w:asciiTheme="minorBidi" w:hAnsiTheme="minorBidi" w:cstheme="minorBidi"/>
        </w:rPr>
        <w:t xml:space="preserve"> K, </w:t>
      </w:r>
      <w:r w:rsidRPr="00901FA1">
        <w:rPr>
          <w:rFonts w:asciiTheme="minorBidi" w:hAnsiTheme="minorBidi" w:cstheme="minorBidi"/>
          <w:i/>
          <w:iCs/>
        </w:rPr>
        <w:t>et al</w:t>
      </w:r>
      <w:r>
        <w:rPr>
          <w:rFonts w:asciiTheme="minorBidi" w:hAnsiTheme="minorBidi" w:cstheme="minorBidi"/>
        </w:rPr>
        <w:t>.</w:t>
      </w:r>
      <w:r w:rsidRPr="00901FA1">
        <w:rPr>
          <w:rFonts w:asciiTheme="minorBidi" w:hAnsiTheme="minorBidi" w:cstheme="minorBidi"/>
        </w:rPr>
        <w:t xml:space="preserve"> (2024). Assessment of Concentration and Potential Health Risks of Heavy Metals in Vegetable Samples Cultivated in Toro Mining Site, Bauchi State Nigeria. </w:t>
      </w:r>
      <w:r w:rsidRPr="00901FA1">
        <w:rPr>
          <w:rFonts w:asciiTheme="minorBidi" w:hAnsiTheme="minorBidi" w:cstheme="minorBidi"/>
          <w:i/>
          <w:iCs/>
        </w:rPr>
        <w:t>UJMR</w:t>
      </w:r>
      <w:r>
        <w:rPr>
          <w:rFonts w:asciiTheme="minorBidi" w:hAnsiTheme="minorBidi" w:cstheme="minorBidi"/>
          <w:i/>
          <w:iCs/>
        </w:rPr>
        <w:t>;</w:t>
      </w:r>
      <w:r>
        <w:rPr>
          <w:rFonts w:asciiTheme="minorBidi" w:hAnsiTheme="minorBidi" w:cstheme="minorBidi"/>
        </w:rPr>
        <w:t xml:space="preserve"> 9 (3):</w:t>
      </w:r>
      <w:r w:rsidRPr="00901FA1">
        <w:rPr>
          <w:rFonts w:asciiTheme="minorBidi" w:hAnsiTheme="minorBidi" w:cstheme="minorBidi"/>
        </w:rPr>
        <w:t xml:space="preserve"> 499 – 511</w:t>
      </w:r>
    </w:p>
    <w:p w14:paraId="589A087D" w14:textId="77777777" w:rsidR="00901FA1" w:rsidRPr="00901FA1" w:rsidRDefault="00901FA1" w:rsidP="00901FA1">
      <w:pPr>
        <w:jc w:val="both"/>
        <w:rPr>
          <w:rFonts w:asciiTheme="minorBidi" w:hAnsiTheme="minorBidi" w:cstheme="minorBidi"/>
        </w:rPr>
      </w:pPr>
    </w:p>
    <w:p w14:paraId="3CDDC50B" w14:textId="77777777" w:rsidR="00113890" w:rsidRDefault="00113890" w:rsidP="00113890">
      <w:pPr>
        <w:pStyle w:val="Body"/>
        <w:rPr>
          <w:rFonts w:ascii="Arial" w:hAnsi="Arial" w:cs="Arial"/>
        </w:rPr>
      </w:pPr>
      <w:proofErr w:type="spellStart"/>
      <w:r w:rsidRPr="006F669C">
        <w:rPr>
          <w:rFonts w:ascii="Arial" w:hAnsi="Arial" w:cs="Arial"/>
        </w:rPr>
        <w:t>Ekhator</w:t>
      </w:r>
      <w:proofErr w:type="spellEnd"/>
      <w:r w:rsidRPr="006F669C">
        <w:rPr>
          <w:rFonts w:ascii="Arial" w:hAnsi="Arial" w:cs="Arial"/>
        </w:rPr>
        <w:t xml:space="preserve"> OC, </w:t>
      </w:r>
      <w:proofErr w:type="spellStart"/>
      <w:r w:rsidRPr="006F669C">
        <w:rPr>
          <w:rFonts w:ascii="Arial" w:hAnsi="Arial" w:cs="Arial"/>
        </w:rPr>
        <w:t>Udowelle</w:t>
      </w:r>
      <w:proofErr w:type="spellEnd"/>
      <w:r w:rsidRPr="006F669C">
        <w:rPr>
          <w:rFonts w:ascii="Arial" w:hAnsi="Arial" w:cs="Arial"/>
        </w:rPr>
        <w:t xml:space="preserve"> NA, </w:t>
      </w:r>
      <w:proofErr w:type="spellStart"/>
      <w:r w:rsidRPr="006F669C">
        <w:rPr>
          <w:rFonts w:ascii="Arial" w:hAnsi="Arial" w:cs="Arial"/>
        </w:rPr>
        <w:t>Igbiri</w:t>
      </w:r>
      <w:proofErr w:type="spellEnd"/>
      <w:r w:rsidRPr="006F669C">
        <w:rPr>
          <w:rFonts w:ascii="Arial" w:hAnsi="Arial" w:cs="Arial"/>
        </w:rPr>
        <w:t xml:space="preserve"> S, Asomugha RN, </w:t>
      </w:r>
      <w:proofErr w:type="spellStart"/>
      <w:r w:rsidRPr="006F669C">
        <w:rPr>
          <w:rFonts w:ascii="Arial" w:hAnsi="Arial" w:cs="Arial"/>
        </w:rPr>
        <w:t>Igweze</w:t>
      </w:r>
      <w:proofErr w:type="spellEnd"/>
      <w:r w:rsidRPr="006F669C">
        <w:rPr>
          <w:rFonts w:ascii="Arial" w:hAnsi="Arial" w:cs="Arial"/>
        </w:rPr>
        <w:t xml:space="preserve"> ZN, </w:t>
      </w:r>
      <w:proofErr w:type="spellStart"/>
      <w:r w:rsidRPr="006F669C">
        <w:rPr>
          <w:rFonts w:ascii="Arial" w:hAnsi="Arial" w:cs="Arial"/>
        </w:rPr>
        <w:t>Orisakwe</w:t>
      </w:r>
      <w:proofErr w:type="spellEnd"/>
      <w:r w:rsidRPr="006F669C">
        <w:rPr>
          <w:rFonts w:ascii="Arial" w:hAnsi="Arial" w:cs="Arial"/>
        </w:rPr>
        <w:t xml:space="preserve"> OE. (2017) Safety Evaluation of Potential Toxic Metals Exposure from Street Foods Consumed in Mid-West Nigeria. </w:t>
      </w:r>
      <w:r w:rsidRPr="00575266">
        <w:rPr>
          <w:rFonts w:ascii="Arial" w:hAnsi="Arial" w:cs="Arial"/>
          <w:i/>
          <w:iCs/>
        </w:rPr>
        <w:t>Journal of Environmental and Public Health</w:t>
      </w:r>
      <w:r w:rsidRPr="006F669C">
        <w:rPr>
          <w:rFonts w:ascii="Arial" w:hAnsi="Arial" w:cs="Arial"/>
        </w:rPr>
        <w:t>; 4: 1-8</w:t>
      </w:r>
    </w:p>
    <w:p w14:paraId="331BFDE8" w14:textId="26FF2A14" w:rsidR="00826A88" w:rsidRPr="006F669C" w:rsidRDefault="00826A88" w:rsidP="00826A88">
      <w:pPr>
        <w:pStyle w:val="Body"/>
        <w:rPr>
          <w:rFonts w:ascii="Arial" w:hAnsi="Arial" w:cs="Arial"/>
        </w:rPr>
      </w:pPr>
      <w:r>
        <w:rPr>
          <w:rFonts w:ascii="Arial" w:hAnsi="Arial" w:cs="Arial"/>
        </w:rPr>
        <w:t>ENACT (2024)</w:t>
      </w:r>
      <w:r w:rsidRPr="00826A88">
        <w:t xml:space="preserve"> </w:t>
      </w:r>
      <w:r w:rsidRPr="00826A88">
        <w:rPr>
          <w:rFonts w:ascii="Arial" w:hAnsi="Arial" w:cs="Arial"/>
        </w:rPr>
        <w:t>Armed groups and illicit</w:t>
      </w:r>
      <w:r>
        <w:rPr>
          <w:rFonts w:ascii="Arial" w:hAnsi="Arial" w:cs="Arial"/>
        </w:rPr>
        <w:t xml:space="preserve"> </w:t>
      </w:r>
      <w:r w:rsidRPr="00826A88">
        <w:rPr>
          <w:rFonts w:ascii="Arial" w:hAnsi="Arial" w:cs="Arial"/>
        </w:rPr>
        <w:t>economies in Nigeria</w:t>
      </w:r>
      <w:r>
        <w:rPr>
          <w:rFonts w:ascii="Arial" w:hAnsi="Arial" w:cs="Arial"/>
        </w:rPr>
        <w:t xml:space="preserve">: </w:t>
      </w:r>
      <w:r w:rsidRPr="00826A88">
        <w:rPr>
          <w:rFonts w:ascii="Arial" w:hAnsi="Arial" w:cs="Arial"/>
        </w:rPr>
        <w:t>Insights from Kaduna, Katsina and Zamfara</w:t>
      </w:r>
      <w:r>
        <w:rPr>
          <w:rFonts w:ascii="Arial" w:hAnsi="Arial" w:cs="Arial"/>
        </w:rPr>
        <w:t xml:space="preserve"> </w:t>
      </w:r>
      <w:r w:rsidRPr="00826A88">
        <w:rPr>
          <w:rFonts w:ascii="Arial" w:hAnsi="Arial" w:cs="Arial"/>
        </w:rPr>
        <w:t>mining communities</w:t>
      </w:r>
      <w:r>
        <w:rPr>
          <w:rFonts w:ascii="Arial" w:hAnsi="Arial" w:cs="Arial"/>
        </w:rPr>
        <w:t>. ENACT Publication; Issue 47:1-23</w:t>
      </w:r>
    </w:p>
    <w:p w14:paraId="22DD1D0D" w14:textId="77777777" w:rsidR="00113890" w:rsidRPr="006F669C" w:rsidRDefault="00113890" w:rsidP="00113890">
      <w:pPr>
        <w:pStyle w:val="Body"/>
        <w:rPr>
          <w:rFonts w:ascii="Arial" w:hAnsi="Arial" w:cs="Arial"/>
        </w:rPr>
      </w:pPr>
      <w:proofErr w:type="spellStart"/>
      <w:r w:rsidRPr="006F669C">
        <w:rPr>
          <w:rFonts w:ascii="Arial" w:hAnsi="Arial" w:cs="Arial"/>
        </w:rPr>
        <w:t>Ezemonye</w:t>
      </w:r>
      <w:proofErr w:type="spellEnd"/>
      <w:r w:rsidRPr="006F669C">
        <w:rPr>
          <w:rFonts w:ascii="Arial" w:hAnsi="Arial" w:cs="Arial"/>
        </w:rPr>
        <w:t xml:space="preserve"> LI, Adebayo PO, </w:t>
      </w:r>
      <w:proofErr w:type="spellStart"/>
      <w:r w:rsidRPr="006F669C">
        <w:rPr>
          <w:rFonts w:ascii="Arial" w:hAnsi="Arial" w:cs="Arial"/>
        </w:rPr>
        <w:t>Enuneku</w:t>
      </w:r>
      <w:proofErr w:type="spellEnd"/>
      <w:r w:rsidRPr="006F669C">
        <w:rPr>
          <w:rFonts w:ascii="Arial" w:hAnsi="Arial" w:cs="Arial"/>
        </w:rPr>
        <w:t xml:space="preserve"> AA, </w:t>
      </w:r>
      <w:proofErr w:type="spellStart"/>
      <w:r w:rsidRPr="006F669C">
        <w:rPr>
          <w:rFonts w:ascii="Arial" w:hAnsi="Arial" w:cs="Arial"/>
        </w:rPr>
        <w:t>Tongo</w:t>
      </w:r>
      <w:proofErr w:type="spellEnd"/>
      <w:r w:rsidRPr="006F669C">
        <w:rPr>
          <w:rFonts w:ascii="Arial" w:hAnsi="Arial" w:cs="Arial"/>
        </w:rPr>
        <w:t xml:space="preserve"> I, </w:t>
      </w:r>
      <w:proofErr w:type="spellStart"/>
      <w:r w:rsidRPr="006F669C">
        <w:rPr>
          <w:rFonts w:ascii="Arial" w:hAnsi="Arial" w:cs="Arial"/>
        </w:rPr>
        <w:t>Ogbomida</w:t>
      </w:r>
      <w:proofErr w:type="spellEnd"/>
      <w:r w:rsidRPr="006F669C">
        <w:rPr>
          <w:rFonts w:ascii="Arial" w:hAnsi="Arial" w:cs="Arial"/>
        </w:rPr>
        <w:t xml:space="preserve"> E (2019</w:t>
      </w:r>
      <w:proofErr w:type="gramStart"/>
      <w:r w:rsidRPr="006F669C">
        <w:rPr>
          <w:rFonts w:ascii="Arial" w:hAnsi="Arial" w:cs="Arial"/>
        </w:rPr>
        <w:t>)  Potential</w:t>
      </w:r>
      <w:proofErr w:type="gramEnd"/>
      <w:r w:rsidRPr="006F669C">
        <w:rPr>
          <w:rFonts w:ascii="Arial" w:hAnsi="Arial" w:cs="Arial"/>
        </w:rPr>
        <w:t xml:space="preserve"> health risk consequences of heavy metal concentrations in surface water, shrimp (</w:t>
      </w:r>
      <w:proofErr w:type="spellStart"/>
      <w:r w:rsidRPr="00575266">
        <w:rPr>
          <w:rFonts w:ascii="Arial" w:hAnsi="Arial" w:cs="Arial"/>
          <w:i/>
          <w:iCs/>
        </w:rPr>
        <w:t>Macrobrachium</w:t>
      </w:r>
      <w:proofErr w:type="spellEnd"/>
      <w:r w:rsidRPr="00575266">
        <w:rPr>
          <w:rFonts w:ascii="Arial" w:hAnsi="Arial" w:cs="Arial"/>
          <w:i/>
          <w:iCs/>
        </w:rPr>
        <w:t xml:space="preserve"> </w:t>
      </w:r>
      <w:proofErr w:type="spellStart"/>
      <w:r w:rsidRPr="00575266">
        <w:rPr>
          <w:rFonts w:ascii="Arial" w:hAnsi="Arial" w:cs="Arial"/>
          <w:i/>
          <w:iCs/>
        </w:rPr>
        <w:t>macrobrachion</w:t>
      </w:r>
      <w:proofErr w:type="spellEnd"/>
      <w:r w:rsidRPr="006F669C">
        <w:rPr>
          <w:rFonts w:ascii="Arial" w:hAnsi="Arial" w:cs="Arial"/>
        </w:rPr>
        <w:t>) and fish (</w:t>
      </w:r>
      <w:proofErr w:type="spellStart"/>
      <w:r w:rsidRPr="00575266">
        <w:rPr>
          <w:rFonts w:ascii="Arial" w:hAnsi="Arial" w:cs="Arial"/>
          <w:i/>
          <w:iCs/>
        </w:rPr>
        <w:t>Brycinus</w:t>
      </w:r>
      <w:proofErr w:type="spellEnd"/>
      <w:r w:rsidRPr="00575266">
        <w:rPr>
          <w:rFonts w:ascii="Arial" w:hAnsi="Arial" w:cs="Arial"/>
          <w:i/>
          <w:iCs/>
        </w:rPr>
        <w:t xml:space="preserve"> </w:t>
      </w:r>
      <w:proofErr w:type="spellStart"/>
      <w:r w:rsidRPr="00575266">
        <w:rPr>
          <w:rFonts w:ascii="Arial" w:hAnsi="Arial" w:cs="Arial"/>
          <w:i/>
          <w:iCs/>
        </w:rPr>
        <w:t>longipinnis</w:t>
      </w:r>
      <w:proofErr w:type="spellEnd"/>
      <w:r w:rsidRPr="006F669C">
        <w:rPr>
          <w:rFonts w:ascii="Arial" w:hAnsi="Arial" w:cs="Arial"/>
        </w:rPr>
        <w:t xml:space="preserve">) from Benin River, Nigeria, </w:t>
      </w:r>
      <w:proofErr w:type="spellStart"/>
      <w:r w:rsidRPr="00575266">
        <w:rPr>
          <w:rFonts w:ascii="Arial" w:hAnsi="Arial" w:cs="Arial"/>
          <w:i/>
          <w:iCs/>
        </w:rPr>
        <w:t>Toxicol</w:t>
      </w:r>
      <w:proofErr w:type="spellEnd"/>
      <w:r w:rsidRPr="00575266">
        <w:rPr>
          <w:rFonts w:ascii="Arial" w:hAnsi="Arial" w:cs="Arial"/>
          <w:i/>
          <w:iCs/>
        </w:rPr>
        <w:t xml:space="preserve"> Rep</w:t>
      </w:r>
      <w:r w:rsidRPr="006F669C">
        <w:rPr>
          <w:rFonts w:ascii="Arial" w:hAnsi="Arial" w:cs="Arial"/>
        </w:rPr>
        <w:t xml:space="preserve"> 6 1e9.</w:t>
      </w:r>
    </w:p>
    <w:p w14:paraId="17B03E56" w14:textId="77777777" w:rsidR="00113890" w:rsidRDefault="00113890" w:rsidP="00113890">
      <w:pPr>
        <w:pStyle w:val="Body"/>
        <w:rPr>
          <w:rFonts w:ascii="Arial" w:hAnsi="Arial" w:cs="Arial"/>
        </w:rPr>
      </w:pPr>
      <w:r w:rsidRPr="006F669C">
        <w:rPr>
          <w:rFonts w:ascii="Arial" w:hAnsi="Arial" w:cs="Arial"/>
        </w:rPr>
        <w:lastRenderedPageBreak/>
        <w:t xml:space="preserve">Fakhri Y, </w:t>
      </w:r>
      <w:proofErr w:type="spellStart"/>
      <w:r w:rsidRPr="006F669C">
        <w:rPr>
          <w:rFonts w:ascii="Arial" w:hAnsi="Arial" w:cs="Arial"/>
        </w:rPr>
        <w:t>Mohseni-Bandpei</w:t>
      </w:r>
      <w:proofErr w:type="spellEnd"/>
      <w:r w:rsidRPr="006F669C">
        <w:rPr>
          <w:rFonts w:ascii="Arial" w:hAnsi="Arial" w:cs="Arial"/>
        </w:rPr>
        <w:t xml:space="preserve"> A, Conti GO, Ferrante M, </w:t>
      </w:r>
      <w:proofErr w:type="spellStart"/>
      <w:r w:rsidRPr="006F669C">
        <w:rPr>
          <w:rFonts w:ascii="Arial" w:hAnsi="Arial" w:cs="Arial"/>
        </w:rPr>
        <w:t>Cristaldi</w:t>
      </w:r>
      <w:proofErr w:type="spellEnd"/>
      <w:r w:rsidRPr="006F669C">
        <w:rPr>
          <w:rFonts w:ascii="Arial" w:hAnsi="Arial" w:cs="Arial"/>
        </w:rPr>
        <w:t xml:space="preserve"> A, </w:t>
      </w:r>
      <w:proofErr w:type="spellStart"/>
      <w:r w:rsidRPr="006F669C">
        <w:rPr>
          <w:rFonts w:ascii="Arial" w:hAnsi="Arial" w:cs="Arial"/>
        </w:rPr>
        <w:t>Jeihoon</w:t>
      </w:r>
      <w:proofErr w:type="spellEnd"/>
      <w:r w:rsidRPr="006F669C">
        <w:rPr>
          <w:rFonts w:ascii="Arial" w:hAnsi="Arial" w:cs="Arial"/>
        </w:rPr>
        <w:t xml:space="preserve"> </w:t>
      </w:r>
      <w:proofErr w:type="spellStart"/>
      <w:r w:rsidRPr="006F669C">
        <w:rPr>
          <w:rFonts w:ascii="Arial" w:hAnsi="Arial" w:cs="Arial"/>
        </w:rPr>
        <w:t>AKi</w:t>
      </w:r>
      <w:proofErr w:type="spellEnd"/>
      <w:r w:rsidRPr="006F669C">
        <w:rPr>
          <w:rFonts w:ascii="Arial" w:hAnsi="Arial" w:cs="Arial"/>
        </w:rPr>
        <w:t xml:space="preserve">, </w:t>
      </w:r>
      <w:proofErr w:type="spellStart"/>
      <w:r w:rsidRPr="006F669C">
        <w:rPr>
          <w:rFonts w:ascii="Arial" w:hAnsi="Arial" w:cs="Arial"/>
        </w:rPr>
        <w:t>Dehkordi</w:t>
      </w:r>
      <w:proofErr w:type="spellEnd"/>
      <w:r w:rsidRPr="006F669C">
        <w:rPr>
          <w:rFonts w:ascii="Arial" w:hAnsi="Arial" w:cs="Arial"/>
        </w:rPr>
        <w:t xml:space="preserve"> MK, Alinejad A, </w:t>
      </w:r>
      <w:proofErr w:type="spellStart"/>
      <w:r w:rsidRPr="006F669C">
        <w:rPr>
          <w:rFonts w:ascii="Arial" w:hAnsi="Arial" w:cs="Arial"/>
        </w:rPr>
        <w:t>Rasoulzadeh</w:t>
      </w:r>
      <w:proofErr w:type="spellEnd"/>
      <w:r w:rsidRPr="006F669C">
        <w:rPr>
          <w:rFonts w:ascii="Arial" w:hAnsi="Arial" w:cs="Arial"/>
        </w:rPr>
        <w:t xml:space="preserve"> AH, </w:t>
      </w:r>
      <w:proofErr w:type="spellStart"/>
      <w:r w:rsidRPr="006F669C">
        <w:rPr>
          <w:rFonts w:ascii="Arial" w:hAnsi="Arial" w:cs="Arial"/>
        </w:rPr>
        <w:t>Mohseni</w:t>
      </w:r>
      <w:proofErr w:type="spellEnd"/>
      <w:r w:rsidRPr="006F669C">
        <w:rPr>
          <w:rFonts w:ascii="Arial" w:hAnsi="Arial" w:cs="Arial"/>
        </w:rPr>
        <w:t xml:space="preserve"> SM, (2018) Systematic review and health risk assessment of arsenic and lead in the fished shrimps from the Persian Gulf, </w:t>
      </w:r>
      <w:r w:rsidRPr="00575266">
        <w:rPr>
          <w:rFonts w:ascii="Arial" w:hAnsi="Arial" w:cs="Arial"/>
          <w:i/>
          <w:iCs/>
        </w:rPr>
        <w:t xml:space="preserve">Food Chem. </w:t>
      </w:r>
      <w:proofErr w:type="spellStart"/>
      <w:r w:rsidRPr="00575266">
        <w:rPr>
          <w:rFonts w:ascii="Arial" w:hAnsi="Arial" w:cs="Arial"/>
          <w:i/>
          <w:iCs/>
        </w:rPr>
        <w:t>Toxicol</w:t>
      </w:r>
      <w:proofErr w:type="spellEnd"/>
      <w:r w:rsidRPr="006F669C">
        <w:rPr>
          <w:rFonts w:ascii="Arial" w:hAnsi="Arial" w:cs="Arial"/>
        </w:rPr>
        <w:t>. 113: 278–286.</w:t>
      </w:r>
    </w:p>
    <w:p w14:paraId="625232AD" w14:textId="20076950" w:rsidR="001A0FA5" w:rsidRPr="006F669C" w:rsidRDefault="001A0FA5" w:rsidP="001A0FA5">
      <w:pPr>
        <w:pStyle w:val="Body"/>
        <w:rPr>
          <w:rFonts w:ascii="Arial" w:hAnsi="Arial" w:cs="Arial"/>
        </w:rPr>
      </w:pPr>
      <w:r w:rsidRPr="001A0FA5">
        <w:rPr>
          <w:rFonts w:ascii="Arial" w:hAnsi="Arial" w:cs="Arial"/>
        </w:rPr>
        <w:t>FAO/</w:t>
      </w:r>
      <w:proofErr w:type="gramStart"/>
      <w:r w:rsidRPr="001A0FA5">
        <w:rPr>
          <w:rFonts w:ascii="Arial" w:hAnsi="Arial" w:cs="Arial"/>
        </w:rPr>
        <w:t>WHO.</w:t>
      </w:r>
      <w:r>
        <w:rPr>
          <w:rFonts w:ascii="Arial" w:hAnsi="Arial" w:cs="Arial"/>
        </w:rPr>
        <w:t>(</w:t>
      </w:r>
      <w:proofErr w:type="gramEnd"/>
      <w:r>
        <w:rPr>
          <w:rFonts w:ascii="Arial" w:hAnsi="Arial" w:cs="Arial"/>
        </w:rPr>
        <w:t>2011)</w:t>
      </w:r>
      <w:r w:rsidRPr="001A0FA5">
        <w:rPr>
          <w:rFonts w:ascii="Arial" w:hAnsi="Arial" w:cs="Arial"/>
        </w:rPr>
        <w:t xml:space="preserve"> Evaluation of certain food additives and the contaminants mercury, lead and cadmium. (JECFA). International programme on</w:t>
      </w:r>
      <w:r>
        <w:rPr>
          <w:rFonts w:ascii="Arial" w:hAnsi="Arial" w:cs="Arial"/>
        </w:rPr>
        <w:t xml:space="preserve"> </w:t>
      </w:r>
      <w:r w:rsidRPr="001A0FA5">
        <w:rPr>
          <w:rFonts w:ascii="Arial" w:hAnsi="Arial" w:cs="Arial"/>
        </w:rPr>
        <w:t>chemical safety Seventy-third report of the Joint FAO/WHO Expert Committee on Food Additives WHO technical report series, no. 960</w:t>
      </w:r>
      <w:r>
        <w:rPr>
          <w:rFonts w:ascii="Arial" w:hAnsi="Arial" w:cs="Arial"/>
        </w:rPr>
        <w:t xml:space="preserve"> </w:t>
      </w:r>
      <w:r w:rsidRPr="001A0FA5">
        <w:rPr>
          <w:rFonts w:ascii="Arial" w:hAnsi="Arial" w:cs="Arial"/>
        </w:rPr>
        <w:t>(2011).</w:t>
      </w:r>
    </w:p>
    <w:p w14:paraId="5F542F13" w14:textId="77777777" w:rsidR="00113890" w:rsidRPr="006F669C" w:rsidRDefault="00113890" w:rsidP="00113890">
      <w:pPr>
        <w:pStyle w:val="Body"/>
        <w:rPr>
          <w:rFonts w:ascii="Arial" w:hAnsi="Arial" w:cs="Arial"/>
        </w:rPr>
      </w:pPr>
      <w:r w:rsidRPr="006F669C">
        <w:rPr>
          <w:rFonts w:ascii="Arial" w:hAnsi="Arial" w:cs="Arial"/>
        </w:rPr>
        <w:t>FAO/WHO (2011) Codex Alimentarius Commission Food additives and contaminants:  Joint FAO/WHO Food Standards Program; ALINORM 01/12A:1-289</w:t>
      </w:r>
    </w:p>
    <w:p w14:paraId="3B9ED0D5" w14:textId="77777777" w:rsidR="00113890" w:rsidRPr="006F669C" w:rsidRDefault="00113890" w:rsidP="00113890">
      <w:pPr>
        <w:pStyle w:val="Body"/>
        <w:rPr>
          <w:rFonts w:ascii="Arial" w:hAnsi="Arial" w:cs="Arial"/>
        </w:rPr>
      </w:pPr>
      <w:r w:rsidRPr="006F669C">
        <w:rPr>
          <w:rFonts w:ascii="Arial" w:hAnsi="Arial" w:cs="Arial"/>
        </w:rPr>
        <w:t>Food and Agriculture Organization of the United Nations. The State of World Fisheries and Aquaculture 2020: Sustainability in Action; Food and Agriculture Organization of the United Nations: Rome, Italy, 2020</w:t>
      </w:r>
    </w:p>
    <w:p w14:paraId="5FB701FB" w14:textId="6A77FC71" w:rsidR="00AA6B93" w:rsidRPr="006F669C" w:rsidRDefault="00113890" w:rsidP="00ED744C">
      <w:pPr>
        <w:pStyle w:val="Body"/>
        <w:rPr>
          <w:rFonts w:ascii="Arial" w:hAnsi="Arial" w:cs="Arial"/>
        </w:rPr>
      </w:pPr>
      <w:r w:rsidRPr="006F669C">
        <w:rPr>
          <w:rFonts w:ascii="Arial" w:hAnsi="Arial" w:cs="Arial"/>
        </w:rPr>
        <w:t xml:space="preserve">Guerra F, </w:t>
      </w:r>
      <w:proofErr w:type="spellStart"/>
      <w:r w:rsidRPr="006F669C">
        <w:rPr>
          <w:rFonts w:ascii="Arial" w:hAnsi="Arial" w:cs="Arial"/>
        </w:rPr>
        <w:t>Trevizam</w:t>
      </w:r>
      <w:proofErr w:type="spellEnd"/>
      <w:r w:rsidRPr="006F669C">
        <w:rPr>
          <w:rFonts w:ascii="Arial" w:hAnsi="Arial" w:cs="Arial"/>
        </w:rPr>
        <w:t xml:space="preserve"> AR, Muraoka T, </w:t>
      </w:r>
      <w:proofErr w:type="spellStart"/>
      <w:r w:rsidRPr="006F669C">
        <w:rPr>
          <w:rFonts w:ascii="Arial" w:hAnsi="Arial" w:cs="Arial"/>
        </w:rPr>
        <w:t>Marcante</w:t>
      </w:r>
      <w:proofErr w:type="spellEnd"/>
      <w:r w:rsidRPr="006F669C">
        <w:rPr>
          <w:rFonts w:ascii="Arial" w:hAnsi="Arial" w:cs="Arial"/>
        </w:rPr>
        <w:t xml:space="preserve"> NC, </w:t>
      </w:r>
      <w:proofErr w:type="spellStart"/>
      <w:r w:rsidRPr="006F669C">
        <w:rPr>
          <w:rFonts w:ascii="Arial" w:hAnsi="Arial" w:cs="Arial"/>
        </w:rPr>
        <w:t>Canniatti-Brazaca</w:t>
      </w:r>
      <w:proofErr w:type="spellEnd"/>
      <w:r w:rsidRPr="006F669C">
        <w:rPr>
          <w:rFonts w:ascii="Arial" w:hAnsi="Arial" w:cs="Arial"/>
        </w:rPr>
        <w:t xml:space="preserve"> SG. (2012) Heavy metals in vegetables and potential risk for human health. </w:t>
      </w:r>
      <w:r w:rsidRPr="00575266">
        <w:rPr>
          <w:rFonts w:ascii="Arial" w:hAnsi="Arial" w:cs="Arial"/>
          <w:i/>
          <w:iCs/>
        </w:rPr>
        <w:t>Scientia Agricola</w:t>
      </w:r>
      <w:r w:rsidRPr="006F669C">
        <w:rPr>
          <w:rFonts w:ascii="Arial" w:hAnsi="Arial" w:cs="Arial"/>
        </w:rPr>
        <w:t>;69: 54–60</w:t>
      </w:r>
    </w:p>
    <w:p w14:paraId="567BE652" w14:textId="0AD3DF8F" w:rsidR="00113890" w:rsidRPr="006F669C" w:rsidRDefault="00113890" w:rsidP="00AA6B93">
      <w:pPr>
        <w:pStyle w:val="Body"/>
        <w:rPr>
          <w:rFonts w:ascii="Arial" w:hAnsi="Arial" w:cs="Arial"/>
        </w:rPr>
      </w:pPr>
      <w:r w:rsidRPr="006F669C">
        <w:rPr>
          <w:rFonts w:ascii="Arial" w:hAnsi="Arial" w:cs="Arial"/>
        </w:rPr>
        <w:t xml:space="preserve">Habib MR, Hoque M, Kabir J, Akhter S, Rahman MS, Moore J, Jolly YN (2022) A comparative study of heavy metal exposure risk from the consumption of some common species of cultured and captured fishes of Bangladesh. </w:t>
      </w:r>
      <w:r w:rsidRPr="00575266">
        <w:rPr>
          <w:rFonts w:ascii="Arial" w:hAnsi="Arial" w:cs="Arial"/>
          <w:i/>
          <w:iCs/>
        </w:rPr>
        <w:t>Journal of Food Composition and Analysis</w:t>
      </w:r>
      <w:r w:rsidRPr="006F669C">
        <w:rPr>
          <w:rFonts w:ascii="Arial" w:hAnsi="Arial" w:cs="Arial"/>
        </w:rPr>
        <w:t xml:space="preserve">; 108: 10445 </w:t>
      </w:r>
    </w:p>
    <w:p w14:paraId="6A3FB36D" w14:textId="77777777" w:rsidR="00113890" w:rsidRPr="006F669C" w:rsidRDefault="00113890" w:rsidP="00113890">
      <w:pPr>
        <w:pStyle w:val="Body"/>
        <w:rPr>
          <w:rFonts w:ascii="Arial" w:hAnsi="Arial" w:cs="Arial"/>
        </w:rPr>
      </w:pPr>
      <w:r w:rsidRPr="006F669C">
        <w:rPr>
          <w:rFonts w:ascii="Arial" w:hAnsi="Arial" w:cs="Arial"/>
        </w:rPr>
        <w:t xml:space="preserve">Han JL, Pan XD, Chen Q, Huang BF. (2021) Health risk assessment of heavy metals in marine fish to the population in Zhejiang, China. </w:t>
      </w:r>
      <w:r w:rsidRPr="00575266">
        <w:rPr>
          <w:rFonts w:ascii="Arial" w:hAnsi="Arial" w:cs="Arial"/>
          <w:i/>
          <w:iCs/>
        </w:rPr>
        <w:t>Scientific Reports</w:t>
      </w:r>
      <w:r w:rsidRPr="006F669C">
        <w:rPr>
          <w:rFonts w:ascii="Arial" w:hAnsi="Arial" w:cs="Arial"/>
        </w:rPr>
        <w:t>; 11:11079</w:t>
      </w:r>
    </w:p>
    <w:p w14:paraId="28D33C0F" w14:textId="77777777" w:rsidR="00113890" w:rsidRPr="006F669C" w:rsidRDefault="00113890" w:rsidP="00113890">
      <w:pPr>
        <w:pStyle w:val="Body"/>
        <w:rPr>
          <w:rFonts w:ascii="Arial" w:hAnsi="Arial" w:cs="Arial"/>
        </w:rPr>
      </w:pPr>
      <w:r w:rsidRPr="006F669C">
        <w:rPr>
          <w:rFonts w:ascii="Arial" w:hAnsi="Arial" w:cs="Arial"/>
        </w:rPr>
        <w:t xml:space="preserve">Hossain M, Jahan I, Al Nahian A, Zhuang Z, Maxwell SJ, Ali MY, Sethupathy S, Zhu D (2024) Immediate health risk: Concentration of heavy metals in contaminated freshwater fishes from the river channel of Turag-Tongi-Balu. </w:t>
      </w:r>
      <w:r w:rsidRPr="00575266">
        <w:rPr>
          <w:rFonts w:ascii="Arial" w:hAnsi="Arial" w:cs="Arial"/>
          <w:i/>
          <w:iCs/>
        </w:rPr>
        <w:t>Environmental Toxicology</w:t>
      </w:r>
      <w:r w:rsidRPr="006F669C">
        <w:rPr>
          <w:rFonts w:ascii="Arial" w:hAnsi="Arial" w:cs="Arial"/>
        </w:rPr>
        <w:t>; 39 (1): 120-134</w:t>
      </w:r>
    </w:p>
    <w:p w14:paraId="4AB3CEA9" w14:textId="77777777" w:rsidR="00113890" w:rsidRPr="006F669C" w:rsidRDefault="00113890" w:rsidP="00113890">
      <w:pPr>
        <w:pStyle w:val="Body"/>
        <w:rPr>
          <w:rFonts w:ascii="Arial" w:hAnsi="Arial" w:cs="Arial"/>
        </w:rPr>
      </w:pPr>
      <w:r w:rsidRPr="006F669C">
        <w:rPr>
          <w:rFonts w:ascii="Arial" w:hAnsi="Arial" w:cs="Arial"/>
        </w:rPr>
        <w:t xml:space="preserve">Ibrahim AK, Sani SA, Haruna A, (2021) Assessment of Heavy Metals Contamination in Some Selected Fish Species in Ajiwa Dam and Their Impact on Human Health. </w:t>
      </w:r>
      <w:r w:rsidRPr="00575266">
        <w:rPr>
          <w:rFonts w:ascii="Arial" w:hAnsi="Arial" w:cs="Arial"/>
          <w:i/>
          <w:iCs/>
        </w:rPr>
        <w:t>Journal of Research in Environmental and Earth Sciences</w:t>
      </w:r>
      <w:r w:rsidRPr="006F669C">
        <w:rPr>
          <w:rFonts w:ascii="Arial" w:hAnsi="Arial" w:cs="Arial"/>
        </w:rPr>
        <w:t>; 7 (8): 12-16</w:t>
      </w:r>
    </w:p>
    <w:p w14:paraId="6F0C009C" w14:textId="77777777" w:rsidR="00113890" w:rsidRPr="006F669C" w:rsidRDefault="00113890" w:rsidP="00113890">
      <w:pPr>
        <w:pStyle w:val="Body"/>
        <w:rPr>
          <w:rFonts w:ascii="Arial" w:hAnsi="Arial" w:cs="Arial"/>
        </w:rPr>
      </w:pPr>
      <w:r w:rsidRPr="006F669C">
        <w:rPr>
          <w:rFonts w:ascii="Arial" w:hAnsi="Arial" w:cs="Arial"/>
        </w:rPr>
        <w:t xml:space="preserve">Jan FA, Ishaq M, Khan S, </w:t>
      </w:r>
      <w:proofErr w:type="spellStart"/>
      <w:r w:rsidRPr="006F669C">
        <w:rPr>
          <w:rFonts w:ascii="Arial" w:hAnsi="Arial" w:cs="Arial"/>
        </w:rPr>
        <w:t>Ihsanullah</w:t>
      </w:r>
      <w:proofErr w:type="spellEnd"/>
      <w:r w:rsidRPr="006F669C">
        <w:rPr>
          <w:rFonts w:ascii="Arial" w:hAnsi="Arial" w:cs="Arial"/>
        </w:rPr>
        <w:t xml:space="preserve"> I, Ahmad I, Shakirullah M. (2010) A comparative study of human health risks via consumption of food crops grown on wastewater irrigated soil (Peshawar) and relatively clean water irrigated soil (lower Dir). </w:t>
      </w:r>
      <w:r w:rsidRPr="00575266">
        <w:rPr>
          <w:rFonts w:ascii="Arial" w:hAnsi="Arial" w:cs="Arial"/>
          <w:i/>
          <w:iCs/>
        </w:rPr>
        <w:t>J. Hazard. Mater</w:t>
      </w:r>
      <w:r w:rsidRPr="006F669C">
        <w:rPr>
          <w:rFonts w:ascii="Arial" w:hAnsi="Arial" w:cs="Arial"/>
        </w:rPr>
        <w:t>; 179: 612–621</w:t>
      </w:r>
    </w:p>
    <w:p w14:paraId="3A804AFF" w14:textId="77777777" w:rsidR="00113890" w:rsidRDefault="00113890" w:rsidP="00113890">
      <w:pPr>
        <w:pStyle w:val="Body"/>
        <w:rPr>
          <w:rFonts w:ascii="Arial" w:hAnsi="Arial" w:cs="Arial"/>
        </w:rPr>
      </w:pPr>
      <w:r w:rsidRPr="006F669C">
        <w:rPr>
          <w:rFonts w:ascii="Arial" w:hAnsi="Arial" w:cs="Arial"/>
        </w:rPr>
        <w:t xml:space="preserve">Javed M, Usmani N. (2016) Accumulation of heavy metals and human health risk assessment via the consumption of freshwater fish </w:t>
      </w:r>
      <w:proofErr w:type="spellStart"/>
      <w:r w:rsidRPr="006F669C">
        <w:rPr>
          <w:rFonts w:ascii="Arial" w:hAnsi="Arial" w:cs="Arial"/>
        </w:rPr>
        <w:t>Mastacembelus</w:t>
      </w:r>
      <w:proofErr w:type="spellEnd"/>
      <w:r w:rsidRPr="006F669C">
        <w:rPr>
          <w:rFonts w:ascii="Arial" w:hAnsi="Arial" w:cs="Arial"/>
        </w:rPr>
        <w:t xml:space="preserve"> </w:t>
      </w:r>
      <w:proofErr w:type="spellStart"/>
      <w:r w:rsidRPr="006F669C">
        <w:rPr>
          <w:rFonts w:ascii="Arial" w:hAnsi="Arial" w:cs="Arial"/>
        </w:rPr>
        <w:t>armatus</w:t>
      </w:r>
      <w:proofErr w:type="spellEnd"/>
      <w:r w:rsidRPr="006F669C">
        <w:rPr>
          <w:rFonts w:ascii="Arial" w:hAnsi="Arial" w:cs="Arial"/>
        </w:rPr>
        <w:t xml:space="preserve"> inhabiting, thermal power plant effluent loaded canal. </w:t>
      </w:r>
      <w:r w:rsidRPr="00575266">
        <w:rPr>
          <w:rFonts w:ascii="Arial" w:hAnsi="Arial" w:cs="Arial"/>
          <w:i/>
          <w:iCs/>
        </w:rPr>
        <w:t>Springer plus</w:t>
      </w:r>
      <w:r w:rsidRPr="006F669C">
        <w:rPr>
          <w:rFonts w:ascii="Arial" w:hAnsi="Arial" w:cs="Arial"/>
        </w:rPr>
        <w:t>; 5: 776</w:t>
      </w:r>
    </w:p>
    <w:p w14:paraId="35BB849C" w14:textId="3FF446BF" w:rsidR="00901FA1" w:rsidRDefault="00901FA1" w:rsidP="009612A5">
      <w:pPr>
        <w:jc w:val="both"/>
        <w:rPr>
          <w:rFonts w:asciiTheme="minorBidi" w:hAnsiTheme="minorBidi" w:cstheme="minorBidi"/>
        </w:rPr>
      </w:pPr>
      <w:r w:rsidRPr="009612A5">
        <w:rPr>
          <w:rFonts w:asciiTheme="minorBidi" w:hAnsiTheme="minorBidi" w:cstheme="minorBidi"/>
        </w:rPr>
        <w:t>Kabir</w:t>
      </w:r>
      <w:r w:rsidR="009612A5">
        <w:rPr>
          <w:rFonts w:asciiTheme="minorBidi" w:hAnsiTheme="minorBidi" w:cstheme="minorBidi"/>
        </w:rPr>
        <w:t xml:space="preserve"> HG, </w:t>
      </w:r>
      <w:r w:rsidRPr="009612A5">
        <w:rPr>
          <w:rFonts w:asciiTheme="minorBidi" w:hAnsiTheme="minorBidi" w:cstheme="minorBidi"/>
        </w:rPr>
        <w:t>Yaradua</w:t>
      </w:r>
      <w:r w:rsidR="009612A5">
        <w:rPr>
          <w:rFonts w:asciiTheme="minorBidi" w:hAnsiTheme="minorBidi" w:cstheme="minorBidi"/>
        </w:rPr>
        <w:t xml:space="preserve"> AI, </w:t>
      </w:r>
      <w:r w:rsidRPr="009612A5">
        <w:rPr>
          <w:rFonts w:asciiTheme="minorBidi" w:hAnsiTheme="minorBidi" w:cstheme="minorBidi"/>
        </w:rPr>
        <w:t>Matazu</w:t>
      </w:r>
      <w:r w:rsidR="009612A5">
        <w:rPr>
          <w:rFonts w:asciiTheme="minorBidi" w:hAnsiTheme="minorBidi" w:cstheme="minorBidi"/>
        </w:rPr>
        <w:t xml:space="preserve"> KI, </w:t>
      </w:r>
      <w:r w:rsidRPr="009612A5">
        <w:rPr>
          <w:rFonts w:asciiTheme="minorBidi" w:hAnsiTheme="minorBidi" w:cstheme="minorBidi"/>
        </w:rPr>
        <w:t>Lawal</w:t>
      </w:r>
      <w:r w:rsidR="009612A5">
        <w:rPr>
          <w:rFonts w:asciiTheme="minorBidi" w:hAnsiTheme="minorBidi" w:cstheme="minorBidi"/>
        </w:rPr>
        <w:t xml:space="preserve"> RG, </w:t>
      </w:r>
      <w:r w:rsidRPr="009612A5">
        <w:rPr>
          <w:rFonts w:asciiTheme="minorBidi" w:hAnsiTheme="minorBidi" w:cstheme="minorBidi"/>
        </w:rPr>
        <w:t>Kabir</w:t>
      </w:r>
      <w:r w:rsidR="009612A5">
        <w:rPr>
          <w:rFonts w:asciiTheme="minorBidi" w:hAnsiTheme="minorBidi" w:cstheme="minorBidi"/>
        </w:rPr>
        <w:t xml:space="preserve"> ZG, </w:t>
      </w:r>
      <w:r w:rsidRPr="009612A5">
        <w:rPr>
          <w:rFonts w:asciiTheme="minorBidi" w:hAnsiTheme="minorBidi" w:cstheme="minorBidi"/>
        </w:rPr>
        <w:t>Bala</w:t>
      </w:r>
      <w:r w:rsidR="009612A5">
        <w:rPr>
          <w:rFonts w:asciiTheme="minorBidi" w:hAnsiTheme="minorBidi" w:cstheme="minorBidi"/>
        </w:rPr>
        <w:t xml:space="preserve"> MG</w:t>
      </w:r>
      <w:r w:rsidRPr="009612A5">
        <w:rPr>
          <w:rFonts w:asciiTheme="minorBidi" w:hAnsiTheme="minorBidi" w:cstheme="minorBidi"/>
        </w:rPr>
        <w:t xml:space="preserve">, </w:t>
      </w:r>
      <w:r w:rsidR="009612A5" w:rsidRPr="009612A5">
        <w:rPr>
          <w:rFonts w:asciiTheme="minorBidi" w:hAnsiTheme="minorBidi" w:cstheme="minorBidi"/>
          <w:i/>
          <w:iCs/>
        </w:rPr>
        <w:t>et al</w:t>
      </w:r>
      <w:r w:rsidR="009612A5">
        <w:rPr>
          <w:rFonts w:asciiTheme="minorBidi" w:hAnsiTheme="minorBidi" w:cstheme="minorBidi"/>
        </w:rPr>
        <w:t xml:space="preserve">. </w:t>
      </w:r>
      <w:r w:rsidRPr="009612A5">
        <w:rPr>
          <w:rFonts w:asciiTheme="minorBidi" w:hAnsiTheme="minorBidi" w:cstheme="minorBidi"/>
        </w:rPr>
        <w:t xml:space="preserve">(2024). Heavy Metal Contamination Risks in Environmental and Vegetable Samples around a Metal Workshop in Kofar Marusa, Katsina Metropolis. </w:t>
      </w:r>
      <w:r w:rsidRPr="009612A5">
        <w:rPr>
          <w:rFonts w:asciiTheme="minorBidi" w:hAnsiTheme="minorBidi" w:cstheme="minorBidi"/>
          <w:i/>
          <w:iCs/>
        </w:rPr>
        <w:t>UJMR</w:t>
      </w:r>
      <w:r w:rsidR="009612A5">
        <w:rPr>
          <w:rFonts w:asciiTheme="minorBidi" w:hAnsiTheme="minorBidi" w:cstheme="minorBidi"/>
        </w:rPr>
        <w:t>;</w:t>
      </w:r>
      <w:r w:rsidRPr="009612A5">
        <w:rPr>
          <w:rFonts w:asciiTheme="minorBidi" w:hAnsiTheme="minorBidi" w:cstheme="minorBidi"/>
        </w:rPr>
        <w:t xml:space="preserve"> </w:t>
      </w:r>
      <w:r w:rsidR="009612A5">
        <w:rPr>
          <w:rFonts w:asciiTheme="minorBidi" w:hAnsiTheme="minorBidi" w:cstheme="minorBidi"/>
        </w:rPr>
        <w:t>9 (3):</w:t>
      </w:r>
      <w:r w:rsidRPr="009612A5">
        <w:rPr>
          <w:rFonts w:asciiTheme="minorBidi" w:hAnsiTheme="minorBidi" w:cstheme="minorBidi"/>
        </w:rPr>
        <w:t>440 – 451</w:t>
      </w:r>
    </w:p>
    <w:p w14:paraId="194AE2BC" w14:textId="77777777" w:rsidR="009612A5" w:rsidRPr="009612A5" w:rsidRDefault="009612A5" w:rsidP="009612A5">
      <w:pPr>
        <w:jc w:val="both"/>
        <w:rPr>
          <w:rFonts w:asciiTheme="minorBidi" w:hAnsiTheme="minorBidi" w:cstheme="minorBidi"/>
        </w:rPr>
      </w:pPr>
    </w:p>
    <w:p w14:paraId="66C9E8E2" w14:textId="77777777" w:rsidR="00113890" w:rsidRPr="006F669C" w:rsidRDefault="00113890" w:rsidP="00113890">
      <w:pPr>
        <w:pStyle w:val="Body"/>
        <w:rPr>
          <w:rFonts w:ascii="Arial" w:hAnsi="Arial" w:cs="Arial"/>
        </w:rPr>
      </w:pPr>
      <w:proofErr w:type="spellStart"/>
      <w:r w:rsidRPr="006F669C">
        <w:rPr>
          <w:rFonts w:ascii="Arial" w:hAnsi="Arial" w:cs="Arial"/>
        </w:rPr>
        <w:t>Kamunda</w:t>
      </w:r>
      <w:proofErr w:type="spellEnd"/>
      <w:r w:rsidRPr="006F669C">
        <w:rPr>
          <w:rFonts w:ascii="Arial" w:hAnsi="Arial" w:cs="Arial"/>
        </w:rPr>
        <w:t xml:space="preserve"> C, </w:t>
      </w:r>
      <w:proofErr w:type="spellStart"/>
      <w:r w:rsidRPr="006F669C">
        <w:rPr>
          <w:rFonts w:ascii="Arial" w:hAnsi="Arial" w:cs="Arial"/>
        </w:rPr>
        <w:t>Mathuthu</w:t>
      </w:r>
      <w:proofErr w:type="spellEnd"/>
      <w:r w:rsidRPr="006F669C">
        <w:rPr>
          <w:rFonts w:ascii="Arial" w:hAnsi="Arial" w:cs="Arial"/>
        </w:rPr>
        <w:t xml:space="preserve"> M, </w:t>
      </w:r>
      <w:proofErr w:type="spellStart"/>
      <w:r w:rsidRPr="006F669C">
        <w:rPr>
          <w:rFonts w:ascii="Arial" w:hAnsi="Arial" w:cs="Arial"/>
        </w:rPr>
        <w:t>Madhuku</w:t>
      </w:r>
      <w:proofErr w:type="spellEnd"/>
      <w:r w:rsidRPr="006F669C">
        <w:rPr>
          <w:rFonts w:ascii="Arial" w:hAnsi="Arial" w:cs="Arial"/>
        </w:rPr>
        <w:t xml:space="preserve"> M. (2016) Health risk assessment of heavy metals in soils from Witwatersrand gold mining basin, South Africa. </w:t>
      </w:r>
      <w:r w:rsidRPr="00575266">
        <w:rPr>
          <w:rFonts w:ascii="Arial" w:hAnsi="Arial" w:cs="Arial"/>
          <w:i/>
          <w:iCs/>
        </w:rPr>
        <w:t>International Journal of Environmental Research in Public Health</w:t>
      </w:r>
      <w:r w:rsidRPr="006F669C">
        <w:rPr>
          <w:rFonts w:ascii="Arial" w:hAnsi="Arial" w:cs="Arial"/>
        </w:rPr>
        <w:t>; 13: 663</w:t>
      </w:r>
    </w:p>
    <w:p w14:paraId="6AF8148B" w14:textId="77777777" w:rsidR="00113890" w:rsidRPr="006F669C" w:rsidRDefault="00113890" w:rsidP="00113890">
      <w:pPr>
        <w:pStyle w:val="Body"/>
        <w:rPr>
          <w:rFonts w:ascii="Arial" w:hAnsi="Arial" w:cs="Arial"/>
        </w:rPr>
      </w:pPr>
      <w:r w:rsidRPr="006F669C">
        <w:rPr>
          <w:rFonts w:ascii="Arial" w:hAnsi="Arial" w:cs="Arial"/>
        </w:rPr>
        <w:t>Katsina State investor’s handbook (2016), Yaliam Press Ltd.;12-15</w:t>
      </w:r>
    </w:p>
    <w:p w14:paraId="4A390EA8" w14:textId="77777777" w:rsidR="00113890" w:rsidRDefault="00113890" w:rsidP="00113890">
      <w:pPr>
        <w:pStyle w:val="Body"/>
        <w:rPr>
          <w:rFonts w:ascii="Arial" w:hAnsi="Arial" w:cs="Arial"/>
        </w:rPr>
      </w:pPr>
      <w:proofErr w:type="spellStart"/>
      <w:r w:rsidRPr="006F669C">
        <w:rPr>
          <w:rFonts w:ascii="Arial" w:hAnsi="Arial" w:cs="Arial"/>
        </w:rPr>
        <w:t>Leizou</w:t>
      </w:r>
      <w:proofErr w:type="spellEnd"/>
      <w:r w:rsidRPr="006F669C">
        <w:rPr>
          <w:rFonts w:ascii="Arial" w:hAnsi="Arial" w:cs="Arial"/>
        </w:rPr>
        <w:t xml:space="preserve"> K, Elijah E, Young E, Allen T. (2016) Bioavailability of Heavy Metals </w:t>
      </w:r>
      <w:proofErr w:type="gramStart"/>
      <w:r w:rsidRPr="006F669C">
        <w:rPr>
          <w:rFonts w:ascii="Arial" w:hAnsi="Arial" w:cs="Arial"/>
        </w:rPr>
        <w:t>In</w:t>
      </w:r>
      <w:proofErr w:type="gramEnd"/>
      <w:r w:rsidRPr="006F669C">
        <w:rPr>
          <w:rFonts w:ascii="Arial" w:hAnsi="Arial" w:cs="Arial"/>
        </w:rPr>
        <w:t xml:space="preserve"> Epipelagic Sediments And Tissues Of African Catfish (Clarias Gariepinus) Of The Kolo Creek, Bayelsa State, Nigeria. </w:t>
      </w:r>
      <w:r w:rsidRPr="00575266">
        <w:rPr>
          <w:rFonts w:ascii="Arial" w:hAnsi="Arial" w:cs="Arial"/>
          <w:i/>
          <w:iCs/>
        </w:rPr>
        <w:t>Journal of Multidisciplinary Engineering Science and Technology</w:t>
      </w:r>
      <w:r w:rsidRPr="006F669C">
        <w:rPr>
          <w:rFonts w:ascii="Arial" w:hAnsi="Arial" w:cs="Arial"/>
        </w:rPr>
        <w:t>; 3:3803-3807</w:t>
      </w:r>
    </w:p>
    <w:p w14:paraId="7D3439ED" w14:textId="1B38099D" w:rsidR="00AA6B93" w:rsidRDefault="00AA6B93" w:rsidP="00113890">
      <w:pPr>
        <w:pStyle w:val="Body"/>
        <w:rPr>
          <w:rFonts w:ascii="Arial" w:hAnsi="Arial" w:cs="Arial"/>
        </w:rPr>
      </w:pPr>
      <w:r w:rsidRPr="00AA6B93">
        <w:rPr>
          <w:rFonts w:ascii="Arial" w:hAnsi="Arial" w:cs="Arial"/>
          <w:highlight w:val="yellow"/>
        </w:rPr>
        <w:t xml:space="preserve">Li S, Zhang Q. </w:t>
      </w:r>
      <w:r w:rsidR="00F84E1B">
        <w:rPr>
          <w:rFonts w:ascii="Arial" w:hAnsi="Arial" w:cs="Arial"/>
          <w:highlight w:val="yellow"/>
        </w:rPr>
        <w:t xml:space="preserve">(2010) </w:t>
      </w:r>
      <w:r w:rsidRPr="00AA6B93">
        <w:rPr>
          <w:rFonts w:ascii="Arial" w:hAnsi="Arial" w:cs="Arial"/>
          <w:highlight w:val="yellow"/>
        </w:rPr>
        <w:t xml:space="preserve">Risk assessment and seasonal variations of dissolved trace elements and heavy metals in the Upper Han River, China. </w:t>
      </w:r>
      <w:r w:rsidRPr="00AA6B93">
        <w:rPr>
          <w:rFonts w:ascii="Arial" w:hAnsi="Arial" w:cs="Arial"/>
          <w:i/>
          <w:iCs/>
          <w:highlight w:val="yellow"/>
        </w:rPr>
        <w:t xml:space="preserve">Journal of Hazardous </w:t>
      </w:r>
      <w:proofErr w:type="gramStart"/>
      <w:r w:rsidRPr="00AA6B93">
        <w:rPr>
          <w:rFonts w:ascii="Arial" w:hAnsi="Arial" w:cs="Arial"/>
          <w:i/>
          <w:iCs/>
          <w:highlight w:val="yellow"/>
        </w:rPr>
        <w:t>Materials</w:t>
      </w:r>
      <w:r w:rsidRPr="00AA6B93">
        <w:rPr>
          <w:rFonts w:ascii="Arial" w:hAnsi="Arial" w:cs="Arial"/>
          <w:highlight w:val="yellow"/>
        </w:rPr>
        <w:t>;181:1051</w:t>
      </w:r>
      <w:proofErr w:type="gramEnd"/>
      <w:r w:rsidRPr="00AA6B93">
        <w:rPr>
          <w:rFonts w:ascii="Arial" w:hAnsi="Arial" w:cs="Arial"/>
          <w:highlight w:val="yellow"/>
        </w:rPr>
        <w:t>–1058.</w:t>
      </w:r>
    </w:p>
    <w:p w14:paraId="7BDB5B6A" w14:textId="4FD59F34" w:rsidR="00BB2FAE" w:rsidRPr="006F669C" w:rsidRDefault="00BB2FAE" w:rsidP="00113890">
      <w:pPr>
        <w:pStyle w:val="Body"/>
        <w:rPr>
          <w:rFonts w:ascii="Arial" w:hAnsi="Arial" w:cs="Arial"/>
        </w:rPr>
      </w:pPr>
      <w:r w:rsidRPr="00F84E1B">
        <w:rPr>
          <w:rFonts w:ascii="Arial" w:hAnsi="Arial" w:cs="Arial"/>
          <w:highlight w:val="yellow"/>
        </w:rPr>
        <w:t xml:space="preserve">Li PH, Kong SF, </w:t>
      </w:r>
      <w:proofErr w:type="spellStart"/>
      <w:r w:rsidRPr="00F84E1B">
        <w:rPr>
          <w:rFonts w:ascii="Arial" w:hAnsi="Arial" w:cs="Arial"/>
          <w:highlight w:val="yellow"/>
        </w:rPr>
        <w:t>Geng</w:t>
      </w:r>
      <w:proofErr w:type="spellEnd"/>
      <w:r w:rsidRPr="00F84E1B">
        <w:rPr>
          <w:rFonts w:ascii="Arial" w:hAnsi="Arial" w:cs="Arial"/>
          <w:highlight w:val="yellow"/>
        </w:rPr>
        <w:t xml:space="preserve"> CM, Han B, Sun RF, Zhao RJ </w:t>
      </w:r>
      <w:r w:rsidRPr="00F84E1B">
        <w:rPr>
          <w:rFonts w:ascii="Arial" w:hAnsi="Arial" w:cs="Arial"/>
          <w:i/>
          <w:iCs/>
          <w:highlight w:val="yellow"/>
        </w:rPr>
        <w:t>et al</w:t>
      </w:r>
      <w:r w:rsidRPr="00F84E1B">
        <w:rPr>
          <w:rFonts w:ascii="Arial" w:hAnsi="Arial" w:cs="Arial"/>
          <w:highlight w:val="yellow"/>
        </w:rPr>
        <w:t>. (2013)</w:t>
      </w:r>
      <w:r w:rsidR="00F84E1B" w:rsidRPr="00F84E1B">
        <w:rPr>
          <w:rFonts w:ascii="Arial" w:hAnsi="Arial" w:cs="Arial"/>
          <w:highlight w:val="yellow"/>
        </w:rPr>
        <w:t xml:space="preserve"> </w:t>
      </w:r>
      <w:r w:rsidRPr="00F84E1B">
        <w:rPr>
          <w:rFonts w:ascii="Arial" w:hAnsi="Arial" w:cs="Arial"/>
          <w:highlight w:val="yellow"/>
        </w:rPr>
        <w:t xml:space="preserve">Assessing the hazardous risks of vehicle inspection workers’ exposure to particulate heavy metals in their work places. </w:t>
      </w:r>
      <w:r w:rsidRPr="00F84E1B">
        <w:rPr>
          <w:rFonts w:ascii="Arial" w:hAnsi="Arial" w:cs="Arial"/>
          <w:i/>
          <w:iCs/>
          <w:highlight w:val="yellow"/>
        </w:rPr>
        <w:t>Aerosol and Air Quality Research</w:t>
      </w:r>
      <w:r w:rsidRPr="00F84E1B">
        <w:rPr>
          <w:rFonts w:ascii="Arial" w:hAnsi="Arial" w:cs="Arial"/>
          <w:highlight w:val="yellow"/>
        </w:rPr>
        <w:t>;13,255–265.</w:t>
      </w:r>
    </w:p>
    <w:p w14:paraId="09F42E1B" w14:textId="77777777" w:rsidR="00113890" w:rsidRPr="006F669C" w:rsidRDefault="00113890" w:rsidP="00113890">
      <w:pPr>
        <w:pStyle w:val="Body"/>
        <w:rPr>
          <w:rFonts w:ascii="Arial" w:hAnsi="Arial" w:cs="Arial"/>
        </w:rPr>
      </w:pPr>
      <w:r w:rsidRPr="006F669C">
        <w:rPr>
          <w:rFonts w:ascii="Arial" w:hAnsi="Arial" w:cs="Arial"/>
        </w:rPr>
        <w:t xml:space="preserve">Liu X, Song Q, Tang Y, Li W, Xu J, Wu J, Wang F, Brookes PC. (2013) Human health risk assessment of heavy metals in soil–vegetable system: A multi-medium analysis. </w:t>
      </w:r>
      <w:r w:rsidRPr="00575266">
        <w:rPr>
          <w:rFonts w:ascii="Arial" w:hAnsi="Arial" w:cs="Arial"/>
          <w:i/>
          <w:iCs/>
        </w:rPr>
        <w:t>Science of the Total Environment</w:t>
      </w:r>
      <w:r w:rsidRPr="006F669C">
        <w:rPr>
          <w:rFonts w:ascii="Arial" w:hAnsi="Arial" w:cs="Arial"/>
        </w:rPr>
        <w:t>; 463–464: 530–540</w:t>
      </w:r>
    </w:p>
    <w:p w14:paraId="77998AEF" w14:textId="77777777" w:rsidR="00113890" w:rsidRPr="006F669C" w:rsidRDefault="00113890" w:rsidP="00113890">
      <w:pPr>
        <w:pStyle w:val="Body"/>
        <w:rPr>
          <w:rFonts w:ascii="Arial" w:hAnsi="Arial" w:cs="Arial"/>
        </w:rPr>
      </w:pPr>
      <w:r w:rsidRPr="006F669C">
        <w:rPr>
          <w:rFonts w:ascii="Arial" w:hAnsi="Arial" w:cs="Arial"/>
        </w:rPr>
        <w:lastRenderedPageBreak/>
        <w:t xml:space="preserve">Mahmuda M, Rahman MH, Bashar A, Rohan MF, Hossain MS, (2020) Heavy metal contamination in tilapia, </w:t>
      </w:r>
      <w:r w:rsidRPr="00575266">
        <w:rPr>
          <w:rFonts w:ascii="Arial" w:hAnsi="Arial" w:cs="Arial"/>
          <w:i/>
          <w:iCs/>
        </w:rPr>
        <w:t xml:space="preserve">Oreochromis niloticus </w:t>
      </w:r>
      <w:r w:rsidRPr="006F669C">
        <w:rPr>
          <w:rFonts w:ascii="Arial" w:hAnsi="Arial" w:cs="Arial"/>
        </w:rPr>
        <w:t xml:space="preserve">collected from different fish markets of Mymensingh district. </w:t>
      </w:r>
      <w:r w:rsidRPr="00575266">
        <w:rPr>
          <w:rFonts w:ascii="Arial" w:hAnsi="Arial" w:cs="Arial"/>
          <w:i/>
          <w:iCs/>
        </w:rPr>
        <w:t>J. Agric. Food Econ</w:t>
      </w:r>
      <w:r w:rsidRPr="006F669C">
        <w:rPr>
          <w:rFonts w:ascii="Arial" w:hAnsi="Arial" w:cs="Arial"/>
        </w:rPr>
        <w:t>.; 1 (4): 1e5.</w:t>
      </w:r>
    </w:p>
    <w:p w14:paraId="5873FDD1" w14:textId="77777777" w:rsidR="00113890" w:rsidRPr="006F669C" w:rsidRDefault="00113890" w:rsidP="00113890">
      <w:pPr>
        <w:pStyle w:val="Body"/>
        <w:rPr>
          <w:rFonts w:ascii="Arial" w:hAnsi="Arial" w:cs="Arial"/>
        </w:rPr>
      </w:pPr>
      <w:proofErr w:type="spellStart"/>
      <w:r w:rsidRPr="006F669C">
        <w:rPr>
          <w:rFonts w:ascii="Arial" w:hAnsi="Arial" w:cs="Arial"/>
        </w:rPr>
        <w:t>Mehouel</w:t>
      </w:r>
      <w:proofErr w:type="spellEnd"/>
      <w:r w:rsidRPr="006F669C">
        <w:rPr>
          <w:rFonts w:ascii="Arial" w:hAnsi="Arial" w:cs="Arial"/>
        </w:rPr>
        <w:t xml:space="preserve"> F, </w:t>
      </w:r>
      <w:proofErr w:type="spellStart"/>
      <w:r w:rsidRPr="006F669C">
        <w:rPr>
          <w:rFonts w:ascii="Arial" w:hAnsi="Arial" w:cs="Arial"/>
        </w:rPr>
        <w:t>Bouayad</w:t>
      </w:r>
      <w:proofErr w:type="spellEnd"/>
      <w:r w:rsidRPr="006F669C">
        <w:rPr>
          <w:rFonts w:ascii="Arial" w:hAnsi="Arial" w:cs="Arial"/>
        </w:rPr>
        <w:t xml:space="preserve"> L, </w:t>
      </w:r>
      <w:proofErr w:type="spellStart"/>
      <w:r w:rsidRPr="006F669C">
        <w:rPr>
          <w:rFonts w:ascii="Arial" w:hAnsi="Arial" w:cs="Arial"/>
        </w:rPr>
        <w:t>Hammoudi</w:t>
      </w:r>
      <w:proofErr w:type="spellEnd"/>
      <w:r w:rsidRPr="006F669C">
        <w:rPr>
          <w:rFonts w:ascii="Arial" w:hAnsi="Arial" w:cs="Arial"/>
        </w:rPr>
        <w:t xml:space="preserve"> AH, </w:t>
      </w:r>
      <w:proofErr w:type="spellStart"/>
      <w:r w:rsidRPr="006F669C">
        <w:rPr>
          <w:rFonts w:ascii="Arial" w:hAnsi="Arial" w:cs="Arial"/>
        </w:rPr>
        <w:t>Ayadi</w:t>
      </w:r>
      <w:proofErr w:type="spellEnd"/>
      <w:r w:rsidRPr="006F669C">
        <w:rPr>
          <w:rFonts w:ascii="Arial" w:hAnsi="Arial" w:cs="Arial"/>
        </w:rPr>
        <w:t xml:space="preserve"> O, </w:t>
      </w:r>
      <w:proofErr w:type="spellStart"/>
      <w:r w:rsidRPr="006F669C">
        <w:rPr>
          <w:rFonts w:ascii="Arial" w:hAnsi="Arial" w:cs="Arial"/>
        </w:rPr>
        <w:t>Regad</w:t>
      </w:r>
      <w:proofErr w:type="spellEnd"/>
      <w:r w:rsidRPr="006F669C">
        <w:rPr>
          <w:rFonts w:ascii="Arial" w:hAnsi="Arial" w:cs="Arial"/>
        </w:rPr>
        <w:t xml:space="preserve"> F. (2019) Evaluation of the heavy metals (mercury, lead, and cadmium) contamination of sardine (</w:t>
      </w:r>
      <w:r w:rsidRPr="00575266">
        <w:rPr>
          <w:rFonts w:ascii="Arial" w:hAnsi="Arial" w:cs="Arial"/>
          <w:i/>
          <w:iCs/>
        </w:rPr>
        <w:t>Sardina pilchardus</w:t>
      </w:r>
      <w:r w:rsidRPr="006F669C">
        <w:rPr>
          <w:rFonts w:ascii="Arial" w:hAnsi="Arial" w:cs="Arial"/>
        </w:rPr>
        <w:t>) and swordfish (</w:t>
      </w:r>
      <w:r w:rsidRPr="00575266">
        <w:rPr>
          <w:rFonts w:ascii="Arial" w:hAnsi="Arial" w:cs="Arial"/>
          <w:i/>
          <w:iCs/>
        </w:rPr>
        <w:t>Xiphias gladius</w:t>
      </w:r>
      <w:r w:rsidRPr="006F669C">
        <w:rPr>
          <w:rFonts w:ascii="Arial" w:hAnsi="Arial" w:cs="Arial"/>
        </w:rPr>
        <w:t xml:space="preserve">) fished in three Algerian coasts. </w:t>
      </w:r>
      <w:r w:rsidRPr="00575266">
        <w:rPr>
          <w:rFonts w:ascii="Arial" w:hAnsi="Arial" w:cs="Arial"/>
          <w:i/>
          <w:iCs/>
        </w:rPr>
        <w:t>Vet World</w:t>
      </w:r>
      <w:r w:rsidRPr="006F669C">
        <w:rPr>
          <w:rFonts w:ascii="Arial" w:hAnsi="Arial" w:cs="Arial"/>
        </w:rPr>
        <w:t>.; 12 (1):7-11</w:t>
      </w:r>
    </w:p>
    <w:p w14:paraId="74DD12AA" w14:textId="77777777" w:rsidR="00113890" w:rsidRDefault="00113890" w:rsidP="00113890">
      <w:pPr>
        <w:pStyle w:val="Body"/>
        <w:rPr>
          <w:rFonts w:ascii="Arial" w:hAnsi="Arial" w:cs="Arial"/>
        </w:rPr>
      </w:pPr>
      <w:proofErr w:type="spellStart"/>
      <w:r w:rsidRPr="006F669C">
        <w:rPr>
          <w:rFonts w:ascii="Arial" w:hAnsi="Arial" w:cs="Arial"/>
        </w:rPr>
        <w:t>Mensoor</w:t>
      </w:r>
      <w:proofErr w:type="spellEnd"/>
      <w:r w:rsidRPr="006F669C">
        <w:rPr>
          <w:rFonts w:ascii="Arial" w:hAnsi="Arial" w:cs="Arial"/>
        </w:rPr>
        <w:t xml:space="preserve"> M, Said A. (2018) Determination of Heavy Metals in Freshwater Fishes of the Tigris River in Baghdad. </w:t>
      </w:r>
      <w:r w:rsidRPr="00575266">
        <w:rPr>
          <w:rFonts w:ascii="Arial" w:hAnsi="Arial" w:cs="Arial"/>
          <w:i/>
          <w:iCs/>
        </w:rPr>
        <w:t>Fishes</w:t>
      </w:r>
      <w:r w:rsidRPr="006F669C">
        <w:rPr>
          <w:rFonts w:ascii="Arial" w:hAnsi="Arial" w:cs="Arial"/>
        </w:rPr>
        <w:t>; 3:23</w:t>
      </w:r>
    </w:p>
    <w:p w14:paraId="2E690C44" w14:textId="1CF54628" w:rsidR="00AA6B93" w:rsidRPr="006F669C" w:rsidRDefault="00AA6B93" w:rsidP="00113890">
      <w:pPr>
        <w:pStyle w:val="Body"/>
        <w:rPr>
          <w:rFonts w:ascii="Arial" w:hAnsi="Arial" w:cs="Arial"/>
        </w:rPr>
      </w:pPr>
      <w:r w:rsidRPr="00AA6B93">
        <w:rPr>
          <w:rFonts w:ascii="Arial" w:hAnsi="Arial" w:cs="Arial"/>
          <w:highlight w:val="yellow"/>
        </w:rPr>
        <w:t xml:space="preserve">Micheal B, Patrick O, Vivian T. </w:t>
      </w:r>
      <w:r w:rsidR="00F84E1B">
        <w:rPr>
          <w:rFonts w:ascii="Arial" w:hAnsi="Arial" w:cs="Arial"/>
          <w:highlight w:val="yellow"/>
        </w:rPr>
        <w:t xml:space="preserve">(2015) </w:t>
      </w:r>
      <w:r w:rsidRPr="00AA6B93">
        <w:rPr>
          <w:rFonts w:ascii="Arial" w:hAnsi="Arial" w:cs="Arial"/>
          <w:highlight w:val="yellow"/>
        </w:rPr>
        <w:t xml:space="preserve">Cancer and non-cancer risks associated with heavy metal exposures from street foods: Evaluation of roasted meats in an urban setting. </w:t>
      </w:r>
      <w:r w:rsidRPr="00AA6B93">
        <w:rPr>
          <w:rFonts w:ascii="Arial" w:hAnsi="Arial" w:cs="Arial"/>
          <w:i/>
          <w:iCs/>
          <w:highlight w:val="yellow"/>
        </w:rPr>
        <w:t>Journal of Environment Pollution and Human Health</w:t>
      </w:r>
      <w:r w:rsidRPr="00AA6B93">
        <w:rPr>
          <w:rFonts w:ascii="Arial" w:hAnsi="Arial" w:cs="Arial"/>
          <w:highlight w:val="yellow"/>
        </w:rPr>
        <w:t>;3,24–30.</w:t>
      </w:r>
    </w:p>
    <w:p w14:paraId="6021F87F" w14:textId="77777777" w:rsidR="00113890" w:rsidRPr="006F669C" w:rsidRDefault="00113890" w:rsidP="00113890">
      <w:pPr>
        <w:pStyle w:val="Body"/>
        <w:rPr>
          <w:rFonts w:ascii="Arial" w:hAnsi="Arial" w:cs="Arial"/>
        </w:rPr>
      </w:pPr>
      <w:r w:rsidRPr="006F669C">
        <w:rPr>
          <w:rFonts w:ascii="Arial" w:hAnsi="Arial" w:cs="Arial"/>
        </w:rPr>
        <w:t xml:space="preserve">Miri M, Ebrahimi Aval H, </w:t>
      </w:r>
      <w:proofErr w:type="spellStart"/>
      <w:r w:rsidRPr="006F669C">
        <w:rPr>
          <w:rFonts w:ascii="Arial" w:hAnsi="Arial" w:cs="Arial"/>
        </w:rPr>
        <w:t>Ehrampoush</w:t>
      </w:r>
      <w:proofErr w:type="spellEnd"/>
      <w:r w:rsidRPr="006F669C">
        <w:rPr>
          <w:rFonts w:ascii="Arial" w:hAnsi="Arial" w:cs="Arial"/>
        </w:rPr>
        <w:t xml:space="preserve"> MH, </w:t>
      </w:r>
      <w:proofErr w:type="spellStart"/>
      <w:r w:rsidRPr="006F669C">
        <w:rPr>
          <w:rFonts w:ascii="Arial" w:hAnsi="Arial" w:cs="Arial"/>
        </w:rPr>
        <w:t>Mohammadi</w:t>
      </w:r>
      <w:proofErr w:type="spellEnd"/>
      <w:r w:rsidRPr="006F669C">
        <w:rPr>
          <w:rFonts w:ascii="Arial" w:hAnsi="Arial" w:cs="Arial"/>
        </w:rPr>
        <w:t xml:space="preserve"> A, </w:t>
      </w:r>
      <w:proofErr w:type="spellStart"/>
      <w:r w:rsidRPr="006F669C">
        <w:rPr>
          <w:rFonts w:ascii="Arial" w:hAnsi="Arial" w:cs="Arial"/>
        </w:rPr>
        <w:t>Toolabi</w:t>
      </w:r>
      <w:proofErr w:type="spellEnd"/>
      <w:r w:rsidRPr="006F669C">
        <w:rPr>
          <w:rFonts w:ascii="Arial" w:hAnsi="Arial" w:cs="Arial"/>
        </w:rPr>
        <w:t xml:space="preserve"> A, </w:t>
      </w:r>
      <w:proofErr w:type="spellStart"/>
      <w:r w:rsidRPr="006F669C">
        <w:rPr>
          <w:rFonts w:ascii="Arial" w:hAnsi="Arial" w:cs="Arial"/>
        </w:rPr>
        <w:t>Nikonahad</w:t>
      </w:r>
      <w:proofErr w:type="spellEnd"/>
      <w:r w:rsidRPr="006F669C">
        <w:rPr>
          <w:rFonts w:ascii="Arial" w:hAnsi="Arial" w:cs="Arial"/>
        </w:rPr>
        <w:t xml:space="preserve"> A, </w:t>
      </w:r>
      <w:proofErr w:type="spellStart"/>
      <w:r w:rsidRPr="006F669C">
        <w:rPr>
          <w:rFonts w:ascii="Arial" w:hAnsi="Arial" w:cs="Arial"/>
        </w:rPr>
        <w:t>Derakhshan</w:t>
      </w:r>
      <w:proofErr w:type="spellEnd"/>
      <w:r w:rsidRPr="006F669C">
        <w:rPr>
          <w:rFonts w:ascii="Arial" w:hAnsi="Arial" w:cs="Arial"/>
        </w:rPr>
        <w:t xml:space="preserve"> Z, </w:t>
      </w:r>
      <w:proofErr w:type="spellStart"/>
      <w:r w:rsidRPr="006F669C">
        <w:rPr>
          <w:rFonts w:ascii="Arial" w:hAnsi="Arial" w:cs="Arial"/>
        </w:rPr>
        <w:t>Abdollahnejad</w:t>
      </w:r>
      <w:proofErr w:type="spellEnd"/>
      <w:r w:rsidRPr="006F669C">
        <w:rPr>
          <w:rFonts w:ascii="Arial" w:hAnsi="Arial" w:cs="Arial"/>
        </w:rPr>
        <w:t xml:space="preserve"> A, (2017) Human health impact assessment of exposure to particulate matter: An Air Quality software modelling. </w:t>
      </w:r>
      <w:r w:rsidRPr="00575266">
        <w:rPr>
          <w:rFonts w:ascii="Arial" w:hAnsi="Arial" w:cs="Arial"/>
          <w:i/>
          <w:iCs/>
        </w:rPr>
        <w:t xml:space="preserve">Environ. Sci. </w:t>
      </w:r>
      <w:proofErr w:type="spellStart"/>
      <w:r w:rsidRPr="00575266">
        <w:rPr>
          <w:rFonts w:ascii="Arial" w:hAnsi="Arial" w:cs="Arial"/>
          <w:i/>
          <w:iCs/>
        </w:rPr>
        <w:t>Pollut</w:t>
      </w:r>
      <w:proofErr w:type="spellEnd"/>
      <w:r w:rsidRPr="00575266">
        <w:rPr>
          <w:rFonts w:ascii="Arial" w:hAnsi="Arial" w:cs="Arial"/>
          <w:i/>
          <w:iCs/>
        </w:rPr>
        <w:t>. Res.</w:t>
      </w:r>
      <w:r w:rsidRPr="006F669C">
        <w:rPr>
          <w:rFonts w:ascii="Arial" w:hAnsi="Arial" w:cs="Arial"/>
        </w:rPr>
        <w:t>; 24 (19): 16513–16519.</w:t>
      </w:r>
    </w:p>
    <w:p w14:paraId="1246F9FB" w14:textId="77777777" w:rsidR="00113890" w:rsidRPr="006F669C" w:rsidRDefault="00113890" w:rsidP="00113890">
      <w:pPr>
        <w:pStyle w:val="Body"/>
        <w:rPr>
          <w:rFonts w:ascii="Arial" w:hAnsi="Arial" w:cs="Arial"/>
        </w:rPr>
      </w:pPr>
      <w:r w:rsidRPr="006F669C">
        <w:rPr>
          <w:rFonts w:ascii="Arial" w:hAnsi="Arial" w:cs="Arial"/>
        </w:rPr>
        <w:t xml:space="preserve">Moise MM, </w:t>
      </w:r>
      <w:proofErr w:type="spellStart"/>
      <w:r w:rsidRPr="006F669C">
        <w:rPr>
          <w:rFonts w:ascii="Arial" w:hAnsi="Arial" w:cs="Arial"/>
        </w:rPr>
        <w:t>Karimatu</w:t>
      </w:r>
      <w:proofErr w:type="spellEnd"/>
      <w:r w:rsidRPr="006F669C">
        <w:rPr>
          <w:rFonts w:ascii="Arial" w:hAnsi="Arial" w:cs="Arial"/>
        </w:rPr>
        <w:t xml:space="preserve"> LA. (2020) Assessment of heavy metals contamination and human health risk in </w:t>
      </w:r>
      <w:proofErr w:type="spellStart"/>
      <w:r w:rsidRPr="006F669C">
        <w:rPr>
          <w:rFonts w:ascii="Arial" w:hAnsi="Arial" w:cs="Arial"/>
        </w:rPr>
        <w:t>Clarias</w:t>
      </w:r>
      <w:proofErr w:type="spellEnd"/>
      <w:r w:rsidRPr="006F669C">
        <w:rPr>
          <w:rFonts w:ascii="Arial" w:hAnsi="Arial" w:cs="Arial"/>
        </w:rPr>
        <w:t xml:space="preserve"> </w:t>
      </w:r>
      <w:proofErr w:type="spellStart"/>
      <w:r w:rsidRPr="006F669C">
        <w:rPr>
          <w:rFonts w:ascii="Arial" w:hAnsi="Arial" w:cs="Arial"/>
        </w:rPr>
        <w:t>gariepinus</w:t>
      </w:r>
      <w:proofErr w:type="spellEnd"/>
      <w:r w:rsidRPr="006F669C">
        <w:rPr>
          <w:rFonts w:ascii="Arial" w:hAnsi="Arial" w:cs="Arial"/>
        </w:rPr>
        <w:t xml:space="preserve"> [Burchell 1992] collected from Jabi Lake, Abuja, Nigeria. </w:t>
      </w:r>
      <w:r w:rsidRPr="00575266">
        <w:rPr>
          <w:rFonts w:ascii="Arial" w:hAnsi="Arial" w:cs="Arial"/>
          <w:i/>
          <w:iCs/>
        </w:rPr>
        <w:t>Scientific African</w:t>
      </w:r>
      <w:r w:rsidRPr="006F669C">
        <w:rPr>
          <w:rFonts w:ascii="Arial" w:hAnsi="Arial" w:cs="Arial"/>
        </w:rPr>
        <w:t>; e00292</w:t>
      </w:r>
    </w:p>
    <w:p w14:paraId="47F0BD7E" w14:textId="77777777" w:rsidR="00113890" w:rsidRPr="006F669C" w:rsidRDefault="00113890" w:rsidP="00113890">
      <w:pPr>
        <w:pStyle w:val="Body"/>
        <w:rPr>
          <w:rFonts w:ascii="Arial" w:hAnsi="Arial" w:cs="Arial"/>
        </w:rPr>
      </w:pPr>
      <w:r w:rsidRPr="006F669C">
        <w:rPr>
          <w:rFonts w:ascii="Arial" w:hAnsi="Arial" w:cs="Arial"/>
        </w:rPr>
        <w:t xml:space="preserve">Nargis A, Habib A, Harun-Or-Rashid, Harun HB, Sarker MSI, </w:t>
      </w:r>
      <w:r w:rsidRPr="00575266">
        <w:rPr>
          <w:rFonts w:ascii="Arial" w:hAnsi="Arial" w:cs="Arial"/>
          <w:i/>
          <w:iCs/>
        </w:rPr>
        <w:t>et al.</w:t>
      </w:r>
      <w:r w:rsidRPr="006F669C">
        <w:rPr>
          <w:rFonts w:ascii="Arial" w:hAnsi="Arial" w:cs="Arial"/>
        </w:rPr>
        <w:t xml:space="preserve"> (2021) Status of multielement in water of the river Buriganga, Bangladesh: aquatic chemistry of metal ions in polluted river water. </w:t>
      </w:r>
      <w:r w:rsidRPr="00575266">
        <w:rPr>
          <w:rFonts w:ascii="Arial" w:hAnsi="Arial" w:cs="Arial"/>
          <w:i/>
          <w:iCs/>
        </w:rPr>
        <w:t xml:space="preserve">Emerg. </w:t>
      </w:r>
      <w:proofErr w:type="spellStart"/>
      <w:r w:rsidRPr="00575266">
        <w:rPr>
          <w:rFonts w:ascii="Arial" w:hAnsi="Arial" w:cs="Arial"/>
          <w:i/>
          <w:iCs/>
        </w:rPr>
        <w:t>Contam</w:t>
      </w:r>
      <w:proofErr w:type="spellEnd"/>
      <w:r w:rsidRPr="006F669C">
        <w:rPr>
          <w:rFonts w:ascii="Arial" w:hAnsi="Arial" w:cs="Arial"/>
        </w:rPr>
        <w:t>.; 7: 99e115</w:t>
      </w:r>
    </w:p>
    <w:p w14:paraId="79A26429" w14:textId="77777777" w:rsidR="00113890" w:rsidRPr="006F669C" w:rsidRDefault="00113890" w:rsidP="00113890">
      <w:pPr>
        <w:pStyle w:val="Body"/>
        <w:rPr>
          <w:rFonts w:ascii="Arial" w:hAnsi="Arial" w:cs="Arial"/>
        </w:rPr>
      </w:pPr>
      <w:r w:rsidRPr="006F669C">
        <w:rPr>
          <w:rFonts w:ascii="Arial" w:hAnsi="Arial" w:cs="Arial"/>
        </w:rPr>
        <w:t>NFPCSP Nutrition Fact Sheet. Joint report of Food Planning and Nutrition Unit (FMPU) of the ministry of Food of Government of Bangladesh and Food and Agricultural Organization of the United Nation (FAO) 2011; 1–2, National Food Policy Plan of Action and Country Investment Plan, Government of the People’s Republic of Bangladesh.</w:t>
      </w:r>
    </w:p>
    <w:p w14:paraId="65E96D7B" w14:textId="77777777" w:rsidR="00113890" w:rsidRPr="006F669C" w:rsidRDefault="00113890" w:rsidP="00113890">
      <w:pPr>
        <w:pStyle w:val="Body"/>
        <w:rPr>
          <w:rFonts w:ascii="Arial" w:hAnsi="Arial" w:cs="Arial"/>
        </w:rPr>
      </w:pPr>
      <w:r w:rsidRPr="006F669C">
        <w:rPr>
          <w:rFonts w:ascii="Arial" w:hAnsi="Arial" w:cs="Arial"/>
        </w:rPr>
        <w:t xml:space="preserve">Nyarko E, Boateng CM, Asamoah O, </w:t>
      </w:r>
      <w:proofErr w:type="spellStart"/>
      <w:r w:rsidRPr="006F669C">
        <w:rPr>
          <w:rFonts w:ascii="Arial" w:hAnsi="Arial" w:cs="Arial"/>
        </w:rPr>
        <w:t>Edusei</w:t>
      </w:r>
      <w:proofErr w:type="spellEnd"/>
      <w:r w:rsidRPr="006F669C">
        <w:rPr>
          <w:rFonts w:ascii="Arial" w:hAnsi="Arial" w:cs="Arial"/>
        </w:rPr>
        <w:t xml:space="preserve"> MO, </w:t>
      </w:r>
      <w:proofErr w:type="spellStart"/>
      <w:r w:rsidRPr="006F669C">
        <w:rPr>
          <w:rFonts w:ascii="Arial" w:hAnsi="Arial" w:cs="Arial"/>
        </w:rPr>
        <w:t>Mahu</w:t>
      </w:r>
      <w:proofErr w:type="spellEnd"/>
      <w:r w:rsidRPr="006F669C">
        <w:rPr>
          <w:rFonts w:ascii="Arial" w:hAnsi="Arial" w:cs="Arial"/>
        </w:rPr>
        <w:t xml:space="preserve"> E (2023) Potential human health risks associated with ingestion of heavy metals through fish consumption in the Gulf of Guinea. </w:t>
      </w:r>
      <w:r w:rsidRPr="00575266">
        <w:rPr>
          <w:rFonts w:ascii="Arial" w:hAnsi="Arial" w:cs="Arial"/>
          <w:i/>
          <w:iCs/>
        </w:rPr>
        <w:t>Toxicology Reports</w:t>
      </w:r>
      <w:r w:rsidRPr="006F669C">
        <w:rPr>
          <w:rFonts w:ascii="Arial" w:hAnsi="Arial" w:cs="Arial"/>
        </w:rPr>
        <w:t xml:space="preserve"> 10: 117–123</w:t>
      </w:r>
    </w:p>
    <w:p w14:paraId="4719F9CD" w14:textId="77777777" w:rsidR="00113890" w:rsidRPr="006F669C" w:rsidRDefault="00113890" w:rsidP="00113890">
      <w:pPr>
        <w:pStyle w:val="Body"/>
        <w:rPr>
          <w:rFonts w:ascii="Arial" w:hAnsi="Arial" w:cs="Arial"/>
        </w:rPr>
      </w:pPr>
      <w:proofErr w:type="spellStart"/>
      <w:r w:rsidRPr="006F669C">
        <w:rPr>
          <w:rFonts w:ascii="Arial" w:hAnsi="Arial" w:cs="Arial"/>
        </w:rPr>
        <w:t>Orisakwe</w:t>
      </w:r>
      <w:proofErr w:type="spellEnd"/>
      <w:r w:rsidRPr="006F669C">
        <w:rPr>
          <w:rFonts w:ascii="Arial" w:hAnsi="Arial" w:cs="Arial"/>
        </w:rPr>
        <w:t xml:space="preserve"> OE, </w:t>
      </w:r>
      <w:proofErr w:type="spellStart"/>
      <w:r w:rsidRPr="006F669C">
        <w:rPr>
          <w:rFonts w:ascii="Arial" w:hAnsi="Arial" w:cs="Arial"/>
        </w:rPr>
        <w:t>Mbagwu</w:t>
      </w:r>
      <w:proofErr w:type="spellEnd"/>
      <w:r w:rsidRPr="006F669C">
        <w:rPr>
          <w:rFonts w:ascii="Arial" w:hAnsi="Arial" w:cs="Arial"/>
        </w:rPr>
        <w:t xml:space="preserve"> HOC, </w:t>
      </w:r>
      <w:proofErr w:type="spellStart"/>
      <w:r w:rsidRPr="006F669C">
        <w:rPr>
          <w:rFonts w:ascii="Arial" w:hAnsi="Arial" w:cs="Arial"/>
        </w:rPr>
        <w:t>Ajaezi</w:t>
      </w:r>
      <w:proofErr w:type="spellEnd"/>
      <w:r w:rsidRPr="006F669C">
        <w:rPr>
          <w:rFonts w:ascii="Arial" w:hAnsi="Arial" w:cs="Arial"/>
        </w:rPr>
        <w:t xml:space="preserve"> GC, </w:t>
      </w:r>
      <w:proofErr w:type="spellStart"/>
      <w:r w:rsidRPr="006F669C">
        <w:rPr>
          <w:rFonts w:ascii="Arial" w:hAnsi="Arial" w:cs="Arial"/>
        </w:rPr>
        <w:t>Edet</w:t>
      </w:r>
      <w:proofErr w:type="spellEnd"/>
      <w:r w:rsidRPr="006F669C">
        <w:rPr>
          <w:rFonts w:ascii="Arial" w:hAnsi="Arial" w:cs="Arial"/>
        </w:rPr>
        <w:t xml:space="preserve"> UW, Patrick U, </w:t>
      </w:r>
      <w:proofErr w:type="spellStart"/>
      <w:r w:rsidRPr="006F669C">
        <w:rPr>
          <w:rFonts w:ascii="Arial" w:hAnsi="Arial" w:cs="Arial"/>
        </w:rPr>
        <w:t>Uwana</w:t>
      </w:r>
      <w:proofErr w:type="spellEnd"/>
      <w:r w:rsidRPr="006F669C">
        <w:rPr>
          <w:rFonts w:ascii="Arial" w:hAnsi="Arial" w:cs="Arial"/>
        </w:rPr>
        <w:t xml:space="preserve"> PU. (2015) Heavy metals in sea food and farm produce from </w:t>
      </w:r>
      <w:proofErr w:type="spellStart"/>
      <w:r w:rsidRPr="006F669C">
        <w:rPr>
          <w:rFonts w:ascii="Arial" w:hAnsi="Arial" w:cs="Arial"/>
        </w:rPr>
        <w:t>Uyo</w:t>
      </w:r>
      <w:proofErr w:type="spellEnd"/>
      <w:r w:rsidRPr="006F669C">
        <w:rPr>
          <w:rFonts w:ascii="Arial" w:hAnsi="Arial" w:cs="Arial"/>
        </w:rPr>
        <w:t xml:space="preserve">, Nigeria Levels and health implications. Sultan Qaboos </w:t>
      </w:r>
      <w:r w:rsidRPr="00575266">
        <w:rPr>
          <w:rFonts w:ascii="Arial" w:hAnsi="Arial" w:cs="Arial"/>
          <w:i/>
          <w:iCs/>
        </w:rPr>
        <w:t>Univ Med J</w:t>
      </w:r>
      <w:r w:rsidRPr="006F669C">
        <w:rPr>
          <w:rFonts w:ascii="Arial" w:hAnsi="Arial" w:cs="Arial"/>
        </w:rPr>
        <w:t>.; 15(2): e275–e282.</w:t>
      </w:r>
    </w:p>
    <w:p w14:paraId="4A90F973" w14:textId="77777777" w:rsidR="00113890" w:rsidRPr="006F669C" w:rsidRDefault="00113890" w:rsidP="00113890">
      <w:pPr>
        <w:pStyle w:val="Body"/>
        <w:rPr>
          <w:rFonts w:ascii="Arial" w:hAnsi="Arial" w:cs="Arial"/>
        </w:rPr>
      </w:pPr>
      <w:proofErr w:type="spellStart"/>
      <w:r w:rsidRPr="006F669C">
        <w:rPr>
          <w:rFonts w:ascii="Arial" w:hAnsi="Arial" w:cs="Arial"/>
        </w:rPr>
        <w:t>Saidon</w:t>
      </w:r>
      <w:proofErr w:type="spellEnd"/>
      <w:r w:rsidRPr="006F669C">
        <w:rPr>
          <w:rFonts w:ascii="Arial" w:hAnsi="Arial" w:cs="Arial"/>
        </w:rPr>
        <w:t xml:space="preserve"> NB, Szabo R, Budai P, Lehel J (2024) Trophic transfer and biomagnification potential of environmental contaminants (heavy metals) in aquatic ecosystems. </w:t>
      </w:r>
      <w:r w:rsidRPr="00575266">
        <w:rPr>
          <w:rFonts w:ascii="Arial" w:hAnsi="Arial" w:cs="Arial"/>
          <w:i/>
          <w:iCs/>
        </w:rPr>
        <w:t>Environmental Pollution</w:t>
      </w:r>
      <w:r w:rsidRPr="006F669C">
        <w:rPr>
          <w:rFonts w:ascii="Arial" w:hAnsi="Arial" w:cs="Arial"/>
        </w:rPr>
        <w:t>; 340: 122815</w:t>
      </w:r>
    </w:p>
    <w:p w14:paraId="36BE91A9" w14:textId="77777777" w:rsidR="00113890" w:rsidRPr="006F669C" w:rsidRDefault="00113890" w:rsidP="00113890">
      <w:pPr>
        <w:pStyle w:val="Body"/>
        <w:rPr>
          <w:rFonts w:ascii="Arial" w:hAnsi="Arial" w:cs="Arial"/>
        </w:rPr>
      </w:pPr>
      <w:r w:rsidRPr="006F669C">
        <w:rPr>
          <w:rFonts w:ascii="Arial" w:hAnsi="Arial" w:cs="Arial"/>
        </w:rPr>
        <w:t xml:space="preserve">Salam MA, Paul SC, Noor SNBM, Siddiqua SA, Aka TD, Wahab R, </w:t>
      </w:r>
      <w:proofErr w:type="spellStart"/>
      <w:r w:rsidRPr="006F669C">
        <w:rPr>
          <w:rFonts w:ascii="Arial" w:hAnsi="Arial" w:cs="Arial"/>
        </w:rPr>
        <w:t>Aweng</w:t>
      </w:r>
      <w:proofErr w:type="spellEnd"/>
      <w:r w:rsidRPr="006F669C">
        <w:rPr>
          <w:rFonts w:ascii="Arial" w:hAnsi="Arial" w:cs="Arial"/>
        </w:rPr>
        <w:t xml:space="preserve"> ER (2019) Contamination profile of heavy metals in marine fish and shellfish. </w:t>
      </w:r>
      <w:r w:rsidRPr="00575266">
        <w:rPr>
          <w:rFonts w:ascii="Arial" w:hAnsi="Arial" w:cs="Arial"/>
          <w:i/>
          <w:iCs/>
        </w:rPr>
        <w:t>Global Journal of Environmental Science and Management</w:t>
      </w:r>
      <w:r w:rsidRPr="006F669C">
        <w:rPr>
          <w:rFonts w:ascii="Arial" w:hAnsi="Arial" w:cs="Arial"/>
        </w:rPr>
        <w:t>; 5(2): 225-236</w:t>
      </w:r>
    </w:p>
    <w:p w14:paraId="47E6D4EA" w14:textId="77777777" w:rsidR="00113890" w:rsidRDefault="00113890" w:rsidP="00113890">
      <w:pPr>
        <w:pStyle w:val="Body"/>
        <w:rPr>
          <w:rFonts w:ascii="Arial" w:hAnsi="Arial" w:cs="Arial"/>
        </w:rPr>
      </w:pPr>
      <w:r w:rsidRPr="006F669C">
        <w:rPr>
          <w:rFonts w:ascii="Arial" w:hAnsi="Arial" w:cs="Arial"/>
        </w:rPr>
        <w:t xml:space="preserve">Soltani N, Moore F, </w:t>
      </w:r>
      <w:proofErr w:type="spellStart"/>
      <w:r w:rsidRPr="006F669C">
        <w:rPr>
          <w:rFonts w:ascii="Arial" w:hAnsi="Arial" w:cs="Arial"/>
        </w:rPr>
        <w:t>Keshavarzi</w:t>
      </w:r>
      <w:proofErr w:type="spellEnd"/>
      <w:r w:rsidRPr="006F669C">
        <w:rPr>
          <w:rFonts w:ascii="Arial" w:hAnsi="Arial" w:cs="Arial"/>
        </w:rPr>
        <w:t xml:space="preserve"> B, </w:t>
      </w:r>
      <w:proofErr w:type="spellStart"/>
      <w:r w:rsidRPr="006F669C">
        <w:rPr>
          <w:rFonts w:ascii="Arial" w:hAnsi="Arial" w:cs="Arial"/>
        </w:rPr>
        <w:t>Sorooshian</w:t>
      </w:r>
      <w:proofErr w:type="spellEnd"/>
      <w:r w:rsidRPr="006F669C">
        <w:rPr>
          <w:rFonts w:ascii="Arial" w:hAnsi="Arial" w:cs="Arial"/>
        </w:rPr>
        <w:t xml:space="preserve"> A, Javid R (2019) Potentially toxic elements (PTEs) and polycyclic aromatic hydrocarbons (PAHs) in fish and prawn in the Persian Gulf, Iran. </w:t>
      </w:r>
      <w:r w:rsidRPr="00575266">
        <w:rPr>
          <w:rFonts w:ascii="Arial" w:hAnsi="Arial" w:cs="Arial"/>
          <w:i/>
          <w:iCs/>
        </w:rPr>
        <w:t>Ecotoxicology and Environmental Safety</w:t>
      </w:r>
      <w:r w:rsidRPr="006F669C">
        <w:rPr>
          <w:rFonts w:ascii="Arial" w:hAnsi="Arial" w:cs="Arial"/>
        </w:rPr>
        <w:t>; 173: 251–265</w:t>
      </w:r>
    </w:p>
    <w:p w14:paraId="795A5F8B" w14:textId="3A9512EB" w:rsidR="00AA6B93" w:rsidRPr="006F669C" w:rsidRDefault="00AA6B93" w:rsidP="00113890">
      <w:pPr>
        <w:pStyle w:val="Body"/>
        <w:rPr>
          <w:rFonts w:ascii="Arial" w:hAnsi="Arial" w:cs="Arial"/>
        </w:rPr>
      </w:pPr>
      <w:r w:rsidRPr="00AA6B93">
        <w:rPr>
          <w:rFonts w:ascii="Arial" w:hAnsi="Arial" w:cs="Arial"/>
          <w:highlight w:val="yellow"/>
        </w:rPr>
        <w:t xml:space="preserve">United States environmental protection agency. EPA </w:t>
      </w:r>
      <w:r w:rsidR="00F84E1B">
        <w:rPr>
          <w:rFonts w:ascii="Arial" w:hAnsi="Arial" w:cs="Arial"/>
          <w:highlight w:val="yellow"/>
        </w:rPr>
        <w:t>(</w:t>
      </w:r>
      <w:proofErr w:type="gramStart"/>
      <w:r w:rsidR="00F84E1B">
        <w:rPr>
          <w:rFonts w:ascii="Arial" w:hAnsi="Arial" w:cs="Arial"/>
          <w:highlight w:val="yellow"/>
        </w:rPr>
        <w:t>2002)</w:t>
      </w:r>
      <w:r w:rsidRPr="00AA6B93">
        <w:rPr>
          <w:rFonts w:ascii="Arial" w:hAnsi="Arial" w:cs="Arial"/>
          <w:highlight w:val="yellow"/>
        </w:rPr>
        <w:t>human</w:t>
      </w:r>
      <w:proofErr w:type="gramEnd"/>
      <w:r w:rsidRPr="00AA6B93">
        <w:rPr>
          <w:rFonts w:ascii="Arial" w:hAnsi="Arial" w:cs="Arial"/>
          <w:highlight w:val="yellow"/>
        </w:rPr>
        <w:t xml:space="preserve"> health related guidance, OSWER, 9355. Washington, DC: United States Envir</w:t>
      </w:r>
      <w:r w:rsidR="00F84E1B">
        <w:rPr>
          <w:rFonts w:ascii="Arial" w:hAnsi="Arial" w:cs="Arial"/>
          <w:highlight w:val="yellow"/>
        </w:rPr>
        <w:t>onmental Protection Agency</w:t>
      </w:r>
      <w:r w:rsidRPr="00AA6B93">
        <w:rPr>
          <w:rFonts w:ascii="Arial" w:hAnsi="Arial" w:cs="Arial"/>
          <w:highlight w:val="yellow"/>
        </w:rPr>
        <w:t>;4–24</w:t>
      </w:r>
    </w:p>
    <w:p w14:paraId="7D82EAA6" w14:textId="77777777" w:rsidR="00113890" w:rsidRPr="006F669C" w:rsidRDefault="00113890" w:rsidP="00113890">
      <w:pPr>
        <w:pStyle w:val="Body"/>
        <w:rPr>
          <w:rFonts w:ascii="Arial" w:hAnsi="Arial" w:cs="Arial"/>
        </w:rPr>
      </w:pPr>
      <w:r w:rsidRPr="006F669C">
        <w:rPr>
          <w:rFonts w:ascii="Arial" w:hAnsi="Arial" w:cs="Arial"/>
        </w:rPr>
        <w:t>Varol M, Kaya GK, Alp A (2017) Heavy metal and arsenic concentrations in rainbow trout (Oncorhynchus mykiss) farmed in a dam reservoir on the Firat (Euphrates) River: ri</w:t>
      </w:r>
      <w:r w:rsidR="00575266">
        <w:rPr>
          <w:rFonts w:ascii="Arial" w:hAnsi="Arial" w:cs="Arial"/>
        </w:rPr>
        <w:t>sk-based consumption advisories;</w:t>
      </w:r>
      <w:r w:rsidRPr="006F669C">
        <w:rPr>
          <w:rFonts w:ascii="Arial" w:hAnsi="Arial" w:cs="Arial"/>
        </w:rPr>
        <w:t xml:space="preserve"> </w:t>
      </w:r>
      <w:r w:rsidRPr="00575266">
        <w:rPr>
          <w:rFonts w:ascii="Arial" w:hAnsi="Arial" w:cs="Arial"/>
          <w:i/>
          <w:iCs/>
        </w:rPr>
        <w:t>Sci. Total Environ</w:t>
      </w:r>
      <w:r w:rsidRPr="006F669C">
        <w:rPr>
          <w:rFonts w:ascii="Arial" w:hAnsi="Arial" w:cs="Arial"/>
        </w:rPr>
        <w:t>.; 599–600: 1288–1296.</w:t>
      </w:r>
    </w:p>
    <w:p w14:paraId="2270D3C0" w14:textId="77777777" w:rsidR="00113890" w:rsidRPr="006F669C" w:rsidRDefault="00113890" w:rsidP="00113890">
      <w:pPr>
        <w:pStyle w:val="Body"/>
        <w:rPr>
          <w:rFonts w:ascii="Arial" w:hAnsi="Arial" w:cs="Arial"/>
        </w:rPr>
      </w:pPr>
      <w:r w:rsidRPr="006F669C">
        <w:rPr>
          <w:rFonts w:ascii="Arial" w:hAnsi="Arial" w:cs="Arial"/>
        </w:rPr>
        <w:t xml:space="preserve">Yang J, Ma S, Zhou J, Song Y, Li F. (2018) Heavy metal contamination in soils and vegetables and health risk assessment of inhabitants in Daye China; </w:t>
      </w:r>
      <w:r w:rsidRPr="00B93C7C">
        <w:rPr>
          <w:rFonts w:ascii="Arial" w:hAnsi="Arial" w:cs="Arial"/>
          <w:i/>
          <w:iCs/>
        </w:rPr>
        <w:t>J. Int. Med. Res</w:t>
      </w:r>
      <w:r w:rsidRPr="006F669C">
        <w:rPr>
          <w:rFonts w:ascii="Arial" w:hAnsi="Arial" w:cs="Arial"/>
        </w:rPr>
        <w:t>; 46: 3374–3387</w:t>
      </w:r>
    </w:p>
    <w:p w14:paraId="5D782086" w14:textId="77777777" w:rsidR="00113890" w:rsidRPr="006F669C" w:rsidRDefault="00113890" w:rsidP="00113890">
      <w:pPr>
        <w:pStyle w:val="Body"/>
        <w:rPr>
          <w:rFonts w:ascii="Arial" w:hAnsi="Arial" w:cs="Arial"/>
        </w:rPr>
      </w:pPr>
      <w:r w:rsidRPr="006F669C">
        <w:rPr>
          <w:rFonts w:ascii="Arial" w:hAnsi="Arial" w:cs="Arial"/>
        </w:rPr>
        <w:t xml:space="preserve">Yaradua AI, Alhassan AJ, </w:t>
      </w:r>
      <w:proofErr w:type="spellStart"/>
      <w:r w:rsidRPr="006F669C">
        <w:rPr>
          <w:rFonts w:ascii="Arial" w:hAnsi="Arial" w:cs="Arial"/>
        </w:rPr>
        <w:t>Shagumba</w:t>
      </w:r>
      <w:proofErr w:type="spellEnd"/>
      <w:r w:rsidRPr="006F669C">
        <w:rPr>
          <w:rFonts w:ascii="Arial" w:hAnsi="Arial" w:cs="Arial"/>
        </w:rPr>
        <w:t xml:space="preserve"> AA, Nasir A, Idi A, Muhammad IU and Kanadi AM (2017). Evaluation of heavy metals in beans and some beans product from some selected markets in Katsina State, Nigeria.</w:t>
      </w:r>
      <w:r w:rsidRPr="006F669C">
        <w:rPr>
          <w:rFonts w:ascii="Arial" w:hAnsi="Arial" w:cs="Arial"/>
        </w:rPr>
        <w:tab/>
      </w:r>
      <w:r w:rsidRPr="00B93C7C">
        <w:rPr>
          <w:rFonts w:ascii="Arial" w:hAnsi="Arial" w:cs="Arial"/>
          <w:i/>
          <w:iCs/>
        </w:rPr>
        <w:t>Bayero Journal of Pure and Applied Sciences</w:t>
      </w:r>
      <w:r w:rsidRPr="006F669C">
        <w:rPr>
          <w:rFonts w:ascii="Arial" w:hAnsi="Arial" w:cs="Arial"/>
        </w:rPr>
        <w:t xml:space="preserve">, 10(1): 341-344 </w:t>
      </w:r>
    </w:p>
    <w:p w14:paraId="6484A239" w14:textId="77777777" w:rsidR="00113890" w:rsidRPr="006F669C" w:rsidRDefault="00113890" w:rsidP="00113890">
      <w:pPr>
        <w:pStyle w:val="Body"/>
        <w:rPr>
          <w:rFonts w:ascii="Arial" w:hAnsi="Arial" w:cs="Arial"/>
        </w:rPr>
      </w:pPr>
      <w:r w:rsidRPr="006F669C">
        <w:rPr>
          <w:rFonts w:ascii="Arial" w:hAnsi="Arial" w:cs="Arial"/>
        </w:rPr>
        <w:t xml:space="preserve">Yaradua AI, Alhassan AJ, Kurfi AU, Nasir A, Idi A, Muhammad IU and Kanadi AM (2018a) Heavy metals health risk index (HRI) in human consumption of whole fish and water from some selected dams in Katsina State Nigeria. </w:t>
      </w:r>
      <w:r w:rsidRPr="00B93C7C">
        <w:rPr>
          <w:rFonts w:ascii="Arial" w:hAnsi="Arial" w:cs="Arial"/>
          <w:i/>
          <w:iCs/>
        </w:rPr>
        <w:t>Asian Journal of Fisheries and Aquatic Research</w:t>
      </w:r>
      <w:r w:rsidRPr="006F669C">
        <w:rPr>
          <w:rFonts w:ascii="Arial" w:hAnsi="Arial" w:cs="Arial"/>
        </w:rPr>
        <w:t>, 1(1): 1-11</w:t>
      </w:r>
    </w:p>
    <w:p w14:paraId="4F5053FA" w14:textId="77777777" w:rsidR="00113890" w:rsidRPr="006F669C" w:rsidRDefault="00113890" w:rsidP="00113890">
      <w:pPr>
        <w:pStyle w:val="Body"/>
        <w:rPr>
          <w:rFonts w:ascii="Arial" w:hAnsi="Arial" w:cs="Arial"/>
        </w:rPr>
      </w:pPr>
      <w:r w:rsidRPr="006F669C">
        <w:rPr>
          <w:rFonts w:ascii="Arial" w:hAnsi="Arial" w:cs="Arial"/>
        </w:rPr>
        <w:lastRenderedPageBreak/>
        <w:t xml:space="preserve">Yaradua AI, Alhassan AJ, Nasir A, Matazu KI, Muhammad I, Idi A, Muhammad IU and Aliyu SM (2018b). Evaluation of heavy metals in sediment of some selected dams from Katsina State Nigeria. </w:t>
      </w:r>
      <w:r w:rsidRPr="00B93C7C">
        <w:rPr>
          <w:rFonts w:ascii="Arial" w:hAnsi="Arial" w:cs="Arial"/>
          <w:i/>
          <w:iCs/>
        </w:rPr>
        <w:t>International Journal of Scientific and Technical Research in Engineering</w:t>
      </w:r>
      <w:r w:rsidRPr="006F669C">
        <w:rPr>
          <w:rFonts w:ascii="Arial" w:hAnsi="Arial" w:cs="Arial"/>
        </w:rPr>
        <w:t xml:space="preserve"> (IJSTRE); 3(2): 13-21.</w:t>
      </w:r>
    </w:p>
    <w:p w14:paraId="57B26D8B" w14:textId="77777777" w:rsidR="00113890" w:rsidRPr="006F669C" w:rsidRDefault="00113890" w:rsidP="00113890">
      <w:pPr>
        <w:pStyle w:val="Body"/>
        <w:rPr>
          <w:rFonts w:ascii="Arial" w:hAnsi="Arial" w:cs="Arial"/>
        </w:rPr>
      </w:pPr>
      <w:r w:rsidRPr="006F669C">
        <w:rPr>
          <w:rFonts w:ascii="Arial" w:hAnsi="Arial" w:cs="Arial"/>
        </w:rPr>
        <w:t xml:space="preserve">Yaradua AI, AJ Alhassan, A Nasir, KI Matazu, </w:t>
      </w:r>
      <w:proofErr w:type="gramStart"/>
      <w:r w:rsidRPr="006F669C">
        <w:rPr>
          <w:rFonts w:ascii="Arial" w:hAnsi="Arial" w:cs="Arial"/>
        </w:rPr>
        <w:t>A</w:t>
      </w:r>
      <w:proofErr w:type="gramEnd"/>
      <w:r w:rsidRPr="006F669C">
        <w:rPr>
          <w:rFonts w:ascii="Arial" w:hAnsi="Arial" w:cs="Arial"/>
        </w:rPr>
        <w:t xml:space="preserve"> Usman, S Yau, A Idi, IU Muhammad, SA Yaro and JA Mashi (2019a) Health Risk Assessment for Carcinogenic and Non Carcinogenic Heavy Metal Exposure from Hibiscus Leaf Cultivated in Katsina State, North West Nigeria. </w:t>
      </w:r>
      <w:r w:rsidRPr="00B93C7C">
        <w:rPr>
          <w:rFonts w:ascii="Arial" w:hAnsi="Arial" w:cs="Arial"/>
          <w:i/>
          <w:iCs/>
        </w:rPr>
        <w:t>Asian Journal of Agricultural and Horticultural Research</w:t>
      </w:r>
      <w:r w:rsidRPr="006F669C">
        <w:rPr>
          <w:rFonts w:ascii="Arial" w:hAnsi="Arial" w:cs="Arial"/>
        </w:rPr>
        <w:t xml:space="preserve">; 3(4): 1-12 </w:t>
      </w:r>
    </w:p>
    <w:p w14:paraId="73215186" w14:textId="77777777" w:rsidR="00113890" w:rsidRPr="006F669C" w:rsidRDefault="00113890" w:rsidP="00113890">
      <w:pPr>
        <w:pStyle w:val="Body"/>
        <w:rPr>
          <w:rFonts w:ascii="Arial" w:hAnsi="Arial" w:cs="Arial"/>
        </w:rPr>
      </w:pPr>
      <w:r w:rsidRPr="006F669C">
        <w:rPr>
          <w:rFonts w:ascii="Arial" w:hAnsi="Arial" w:cs="Arial"/>
        </w:rPr>
        <w:t xml:space="preserve">Yaradua AI, AJ Alhassan, LA </w:t>
      </w:r>
      <w:proofErr w:type="spellStart"/>
      <w:r w:rsidRPr="006F669C">
        <w:rPr>
          <w:rFonts w:ascii="Arial" w:hAnsi="Arial" w:cs="Arial"/>
        </w:rPr>
        <w:t>Saulawa</w:t>
      </w:r>
      <w:proofErr w:type="spellEnd"/>
      <w:r w:rsidRPr="006F669C">
        <w:rPr>
          <w:rFonts w:ascii="Arial" w:hAnsi="Arial" w:cs="Arial"/>
        </w:rPr>
        <w:t xml:space="preserve">, A Nasir, KI Matazu, </w:t>
      </w:r>
      <w:proofErr w:type="gramStart"/>
      <w:r w:rsidRPr="006F669C">
        <w:rPr>
          <w:rFonts w:ascii="Arial" w:hAnsi="Arial" w:cs="Arial"/>
        </w:rPr>
        <w:t>A</w:t>
      </w:r>
      <w:proofErr w:type="gramEnd"/>
      <w:r w:rsidRPr="006F669C">
        <w:rPr>
          <w:rFonts w:ascii="Arial" w:hAnsi="Arial" w:cs="Arial"/>
        </w:rPr>
        <w:t xml:space="preserve"> Usman, Idi, IU Muhammad and A Mohammad (2019b) Evaluation of Health Effect of Some Selected Heavy Metals in Maize Cultivated in Katsina State, North West Nigeria. </w:t>
      </w:r>
      <w:r w:rsidRPr="00B93C7C">
        <w:rPr>
          <w:rFonts w:ascii="Arial" w:hAnsi="Arial" w:cs="Arial"/>
          <w:i/>
          <w:iCs/>
        </w:rPr>
        <w:t>Asian Plant Research Journal</w:t>
      </w:r>
      <w:r w:rsidRPr="006F669C">
        <w:rPr>
          <w:rFonts w:ascii="Arial" w:hAnsi="Arial" w:cs="Arial"/>
        </w:rPr>
        <w:t>; 2(3): 1-12</w:t>
      </w:r>
    </w:p>
    <w:p w14:paraId="60416E53" w14:textId="77777777" w:rsidR="00113890" w:rsidRPr="006F669C" w:rsidRDefault="00113890" w:rsidP="00113890">
      <w:pPr>
        <w:pStyle w:val="Body"/>
        <w:rPr>
          <w:rFonts w:ascii="Arial" w:hAnsi="Arial" w:cs="Arial"/>
        </w:rPr>
      </w:pPr>
      <w:r w:rsidRPr="006F669C">
        <w:rPr>
          <w:rFonts w:ascii="Arial" w:hAnsi="Arial" w:cs="Arial"/>
        </w:rPr>
        <w:t xml:space="preserve">Yaradua AI, AJ Alhassan, A Nasir, M Bala, </w:t>
      </w:r>
      <w:proofErr w:type="gramStart"/>
      <w:r w:rsidRPr="006F669C">
        <w:rPr>
          <w:rFonts w:ascii="Arial" w:hAnsi="Arial" w:cs="Arial"/>
        </w:rPr>
        <w:t>A</w:t>
      </w:r>
      <w:proofErr w:type="gramEnd"/>
      <w:r w:rsidRPr="006F669C">
        <w:rPr>
          <w:rFonts w:ascii="Arial" w:hAnsi="Arial" w:cs="Arial"/>
        </w:rPr>
        <w:t xml:space="preserve"> Usman, A Idi, IU Muhammad, SA Yaro and I Muhammad (2019c) Heavy Metal Burden and Evaluation of Human Health Risks in Tomato Fruits Cultivated in Katsina State, North West Nigeria.  </w:t>
      </w:r>
      <w:r w:rsidRPr="00B93C7C">
        <w:rPr>
          <w:rFonts w:ascii="Arial" w:hAnsi="Arial" w:cs="Arial"/>
          <w:i/>
          <w:iCs/>
        </w:rPr>
        <w:t>Asian Food Science Journal</w:t>
      </w:r>
      <w:r w:rsidRPr="006F669C">
        <w:rPr>
          <w:rFonts w:ascii="Arial" w:hAnsi="Arial" w:cs="Arial"/>
        </w:rPr>
        <w:t xml:space="preserve">, 9(1): 1-10 </w:t>
      </w:r>
    </w:p>
    <w:p w14:paraId="49324EAD" w14:textId="77777777" w:rsidR="00113890" w:rsidRPr="006F669C" w:rsidRDefault="00113890" w:rsidP="00113890">
      <w:pPr>
        <w:pStyle w:val="Body"/>
        <w:rPr>
          <w:rFonts w:ascii="Arial" w:hAnsi="Arial" w:cs="Arial"/>
        </w:rPr>
      </w:pPr>
      <w:r w:rsidRPr="006F669C">
        <w:rPr>
          <w:rFonts w:ascii="Arial" w:hAnsi="Arial" w:cs="Arial"/>
        </w:rPr>
        <w:t xml:space="preserve">Yaradua AI, AJ Alhassan, A Nasir, KI Matazu, </w:t>
      </w:r>
      <w:proofErr w:type="gramStart"/>
      <w:r w:rsidRPr="006F669C">
        <w:rPr>
          <w:rFonts w:ascii="Arial" w:hAnsi="Arial" w:cs="Arial"/>
        </w:rPr>
        <w:t>A</w:t>
      </w:r>
      <w:proofErr w:type="gramEnd"/>
      <w:r w:rsidRPr="006F669C">
        <w:rPr>
          <w:rFonts w:ascii="Arial" w:hAnsi="Arial" w:cs="Arial"/>
        </w:rPr>
        <w:t xml:space="preserve"> Usman, A Idi, IU Muhammad, SA Yaro and YY Muhammad (2019d) Concentrations and Risk Evaluation of Selected Heavy Metals in Amaranthus (L.) Leaf Cultivated in Katsina State, North West Nigeria. </w:t>
      </w:r>
      <w:r w:rsidRPr="00B93C7C">
        <w:rPr>
          <w:rFonts w:ascii="Arial" w:hAnsi="Arial" w:cs="Arial"/>
          <w:i/>
          <w:iCs/>
        </w:rPr>
        <w:t>Journal of Applied Life Sciences International</w:t>
      </w:r>
      <w:r w:rsidRPr="006F669C">
        <w:rPr>
          <w:rFonts w:ascii="Arial" w:hAnsi="Arial" w:cs="Arial"/>
        </w:rPr>
        <w:t xml:space="preserve">; 20(4): 1-12 </w:t>
      </w:r>
    </w:p>
    <w:p w14:paraId="2A012B99" w14:textId="77777777" w:rsidR="00113890" w:rsidRPr="006F669C" w:rsidRDefault="00113890" w:rsidP="00113890">
      <w:pPr>
        <w:pStyle w:val="Body"/>
        <w:rPr>
          <w:rFonts w:ascii="Arial" w:hAnsi="Arial" w:cs="Arial"/>
        </w:rPr>
      </w:pPr>
      <w:r w:rsidRPr="006F669C">
        <w:rPr>
          <w:rFonts w:ascii="Arial" w:hAnsi="Arial" w:cs="Arial"/>
        </w:rPr>
        <w:t xml:space="preserve">Yaradua AI, Alhassan AJ, Imam AA, Nasir A, Usman F, Shuaibu L, Idi A, Muhammad IU, Bello YK and Alkali M (2019e) A Comparative Evaluation of the Heavy Metals Content of Sorghum Cultivated in Katsina State, North West Nigeria ". </w:t>
      </w:r>
      <w:r w:rsidRPr="006F669C">
        <w:rPr>
          <w:rFonts w:ascii="Arial" w:hAnsi="Arial" w:cs="Arial"/>
          <w:i/>
          <w:iCs/>
        </w:rPr>
        <w:t>Acta Scientific Nutritional Health</w:t>
      </w:r>
      <w:r w:rsidRPr="006F669C">
        <w:rPr>
          <w:rFonts w:ascii="Arial" w:hAnsi="Arial" w:cs="Arial"/>
        </w:rPr>
        <w:t xml:space="preserve">; 3-11 </w:t>
      </w:r>
    </w:p>
    <w:p w14:paraId="09F263E1" w14:textId="77777777" w:rsidR="00113890" w:rsidRPr="006F669C" w:rsidRDefault="00113890" w:rsidP="00113890">
      <w:pPr>
        <w:pStyle w:val="Body"/>
        <w:rPr>
          <w:rFonts w:ascii="Arial" w:hAnsi="Arial" w:cs="Arial"/>
        </w:rPr>
      </w:pPr>
      <w:r w:rsidRPr="006F669C">
        <w:rPr>
          <w:rFonts w:ascii="Arial" w:hAnsi="Arial" w:cs="Arial"/>
        </w:rPr>
        <w:t xml:space="preserve">Yaradua AI, Alhassan AJ, Nasir A, Matazu KI, Usman A, Idi A, Muhammad IU, </w:t>
      </w:r>
      <w:proofErr w:type="spellStart"/>
      <w:r w:rsidRPr="006F669C">
        <w:rPr>
          <w:rFonts w:ascii="Arial" w:hAnsi="Arial" w:cs="Arial"/>
        </w:rPr>
        <w:t>Saulawa</w:t>
      </w:r>
      <w:proofErr w:type="spellEnd"/>
      <w:r w:rsidRPr="006F669C">
        <w:rPr>
          <w:rFonts w:ascii="Arial" w:hAnsi="Arial" w:cs="Arial"/>
        </w:rPr>
        <w:t xml:space="preserve"> LA, </w:t>
      </w:r>
      <w:proofErr w:type="spellStart"/>
      <w:r w:rsidRPr="006F669C">
        <w:rPr>
          <w:rFonts w:ascii="Arial" w:hAnsi="Arial" w:cs="Arial"/>
        </w:rPr>
        <w:t>Dangambo</w:t>
      </w:r>
      <w:proofErr w:type="spellEnd"/>
      <w:r w:rsidRPr="006F669C">
        <w:rPr>
          <w:rFonts w:ascii="Arial" w:hAnsi="Arial" w:cs="Arial"/>
        </w:rPr>
        <w:t xml:space="preserve"> MA (2019f) Heavy Metals Health Risk Assessment through Consumption of Baobab Leaf Cultivated in Katsina State, North West Nigeria. </w:t>
      </w:r>
      <w:r w:rsidRPr="006F669C">
        <w:rPr>
          <w:rFonts w:ascii="Arial" w:hAnsi="Arial" w:cs="Arial"/>
          <w:i/>
          <w:iCs/>
        </w:rPr>
        <w:t>Asian Food Science Journal</w:t>
      </w:r>
      <w:r w:rsidRPr="006F669C">
        <w:rPr>
          <w:rFonts w:ascii="Arial" w:hAnsi="Arial" w:cs="Arial"/>
        </w:rPr>
        <w:t xml:space="preserve">; 13(1): 1-11 </w:t>
      </w:r>
    </w:p>
    <w:p w14:paraId="32EE534E" w14:textId="77777777" w:rsidR="00113890" w:rsidRPr="006F669C" w:rsidRDefault="00113890" w:rsidP="00113890">
      <w:pPr>
        <w:pStyle w:val="Body"/>
        <w:rPr>
          <w:rFonts w:ascii="Arial" w:hAnsi="Arial" w:cs="Arial"/>
        </w:rPr>
      </w:pPr>
      <w:r w:rsidRPr="006F669C">
        <w:rPr>
          <w:rFonts w:ascii="Arial" w:hAnsi="Arial" w:cs="Arial"/>
        </w:rPr>
        <w:t xml:space="preserve">Yaradua AI, Alhassan AJ, Nasir A, Matazu SS, Usman A, Idi A, Muhammad IU, Shuaibu L, Ibrahim H (2019g) Health Risk Assessment for Carcinogenic and Non-Carcinogenic Heavy Metal Exposures from Pepper Fruits Cultivated in Katsina State, North West Nigeria. </w:t>
      </w:r>
      <w:r w:rsidRPr="006F669C">
        <w:rPr>
          <w:rFonts w:ascii="Arial" w:hAnsi="Arial" w:cs="Arial"/>
          <w:i/>
          <w:iCs/>
        </w:rPr>
        <w:t>Asian Journal of Advanced Research and Reports</w:t>
      </w:r>
      <w:r w:rsidRPr="006F669C">
        <w:rPr>
          <w:rFonts w:ascii="Arial" w:hAnsi="Arial" w:cs="Arial"/>
        </w:rPr>
        <w:t>; 6(4): 1-10</w:t>
      </w:r>
    </w:p>
    <w:p w14:paraId="7BFEA363" w14:textId="77777777" w:rsidR="00113890" w:rsidRPr="006F669C" w:rsidRDefault="00113890" w:rsidP="00113890">
      <w:pPr>
        <w:pStyle w:val="Body"/>
        <w:rPr>
          <w:rFonts w:ascii="Arial" w:hAnsi="Arial" w:cs="Arial"/>
        </w:rPr>
      </w:pPr>
      <w:r w:rsidRPr="006F669C">
        <w:rPr>
          <w:rFonts w:ascii="Arial" w:hAnsi="Arial" w:cs="Arial"/>
        </w:rPr>
        <w:t xml:space="preserve">Yaradua AI, Alhassan AJ, Nasir I, Matazu SS, Usman A, Idi A, Muhammad IU, Yaro SA, Nasir R (2020a) Human Health Risk Assessment of Heavy Metals in Onion Bulbs Cultivated in Katsina State, North West Nigeria. </w:t>
      </w:r>
      <w:r w:rsidRPr="006F669C">
        <w:rPr>
          <w:rFonts w:ascii="Arial" w:hAnsi="Arial" w:cs="Arial"/>
          <w:i/>
          <w:iCs/>
        </w:rPr>
        <w:t>Archives of Current Research International</w:t>
      </w:r>
      <w:r w:rsidRPr="006F669C">
        <w:rPr>
          <w:rFonts w:ascii="Arial" w:hAnsi="Arial" w:cs="Arial"/>
        </w:rPr>
        <w:t xml:space="preserve">; 20(2): 30-39 </w:t>
      </w:r>
    </w:p>
    <w:p w14:paraId="72CEF4D0" w14:textId="77777777" w:rsidR="00113890" w:rsidRPr="006F669C" w:rsidRDefault="00113890" w:rsidP="00113890">
      <w:pPr>
        <w:pStyle w:val="Body"/>
        <w:rPr>
          <w:rFonts w:ascii="Arial" w:hAnsi="Arial" w:cs="Arial"/>
        </w:rPr>
      </w:pPr>
      <w:r w:rsidRPr="006F669C">
        <w:rPr>
          <w:rFonts w:ascii="Arial" w:hAnsi="Arial" w:cs="Arial"/>
        </w:rPr>
        <w:t xml:space="preserve">Yaradua AI, Alhassan AJ, Nasir A, Matazu KI, Usman A, Idi A, Imam A, Abdullahi N, </w:t>
      </w:r>
      <w:proofErr w:type="gramStart"/>
      <w:r w:rsidRPr="006F669C">
        <w:rPr>
          <w:rFonts w:ascii="Arial" w:hAnsi="Arial" w:cs="Arial"/>
        </w:rPr>
        <w:t>Usman  IM</w:t>
      </w:r>
      <w:proofErr w:type="gramEnd"/>
      <w:r w:rsidRPr="006F669C">
        <w:rPr>
          <w:rFonts w:ascii="Arial" w:hAnsi="Arial" w:cs="Arial"/>
        </w:rPr>
        <w:t xml:space="preserve"> and Kanadi AM (2020b) Evaluation of Heavy Metals in Agricultural Soils from Katsina state Nigeria. </w:t>
      </w:r>
      <w:r w:rsidRPr="006F669C">
        <w:rPr>
          <w:rFonts w:ascii="Arial" w:hAnsi="Arial" w:cs="Arial"/>
          <w:i/>
          <w:iCs/>
        </w:rPr>
        <w:t>Sustainability, Agri, Food and Environmental Research,</w:t>
      </w:r>
      <w:r w:rsidRPr="006F669C">
        <w:rPr>
          <w:rFonts w:ascii="Arial" w:hAnsi="Arial" w:cs="Arial"/>
        </w:rPr>
        <w:t xml:space="preserve"> (ISSN: 0719-3726), 8(2): 101-117 </w:t>
      </w:r>
    </w:p>
    <w:p w14:paraId="0892C67A" w14:textId="77777777" w:rsidR="00113890" w:rsidRPr="006F669C" w:rsidRDefault="00113890" w:rsidP="00113890">
      <w:pPr>
        <w:pStyle w:val="Body"/>
        <w:rPr>
          <w:rFonts w:ascii="Arial" w:hAnsi="Arial" w:cs="Arial"/>
        </w:rPr>
      </w:pPr>
      <w:r w:rsidRPr="006F669C">
        <w:rPr>
          <w:rFonts w:ascii="Arial" w:hAnsi="Arial" w:cs="Arial"/>
        </w:rPr>
        <w:t xml:space="preserve">Yaradua AI, Shuaibu L, Bungudu JI, Nasir A, Usman A, Abdullahi A, Muhammad MM, Yaradua AI and Yaradua IA (2022) Non-carcinogenic and carcinogenic health risk evaluation from fish contaminated with heavy metals. </w:t>
      </w:r>
      <w:r w:rsidRPr="006F669C">
        <w:rPr>
          <w:rFonts w:ascii="Arial" w:hAnsi="Arial" w:cs="Arial"/>
          <w:i/>
          <w:iCs/>
        </w:rPr>
        <w:t>Asian Journal of Fisheries and Aquatic Research</w:t>
      </w:r>
      <w:r w:rsidRPr="006F669C">
        <w:rPr>
          <w:rFonts w:ascii="Arial" w:hAnsi="Arial" w:cs="Arial"/>
        </w:rPr>
        <w:t xml:space="preserve">; 18(6): 32-41 </w:t>
      </w:r>
    </w:p>
    <w:p w14:paraId="01D4F3FE" w14:textId="77777777" w:rsidR="00113890" w:rsidRPr="006F669C" w:rsidRDefault="00113890" w:rsidP="00575266">
      <w:pPr>
        <w:pStyle w:val="Body"/>
        <w:rPr>
          <w:rFonts w:ascii="Arial" w:hAnsi="Arial" w:cs="Arial"/>
        </w:rPr>
      </w:pPr>
      <w:r w:rsidRPr="006F669C">
        <w:rPr>
          <w:rFonts w:ascii="Arial" w:hAnsi="Arial" w:cs="Arial"/>
        </w:rPr>
        <w:t xml:space="preserve">Yaradua AI, Bungudu JI, Shuaibu L, Nasir A, Usman A, Kankia IH, </w:t>
      </w:r>
      <w:r w:rsidR="00575266" w:rsidRPr="00575266">
        <w:rPr>
          <w:rFonts w:ascii="Arial" w:hAnsi="Arial" w:cs="Arial"/>
          <w:i/>
          <w:iCs/>
        </w:rPr>
        <w:t>et al</w:t>
      </w:r>
      <w:r w:rsidR="00575266">
        <w:rPr>
          <w:rFonts w:ascii="Arial" w:hAnsi="Arial" w:cs="Arial"/>
        </w:rPr>
        <w:t xml:space="preserve">. </w:t>
      </w:r>
      <w:r w:rsidRPr="006F669C">
        <w:rPr>
          <w:rFonts w:ascii="Arial" w:hAnsi="Arial" w:cs="Arial"/>
        </w:rPr>
        <w:t xml:space="preserve">(2023a) Illegal Mining and Armed Banditry in Katsina State, Nigeria: What is their Contribution to the Heavy Metal Pollution of a Popularly Consumed Vegetable? </w:t>
      </w:r>
      <w:r w:rsidRPr="006F669C">
        <w:rPr>
          <w:rFonts w:ascii="Arial" w:hAnsi="Arial" w:cs="Arial"/>
          <w:i/>
          <w:iCs/>
        </w:rPr>
        <w:t>Journal of Applied Life Sciences International</w:t>
      </w:r>
      <w:r w:rsidRPr="006F669C">
        <w:rPr>
          <w:rFonts w:ascii="Arial" w:hAnsi="Arial" w:cs="Arial"/>
        </w:rPr>
        <w:t xml:space="preserve">; 26 (1):1-9 </w:t>
      </w:r>
    </w:p>
    <w:p w14:paraId="61A0F731" w14:textId="77777777" w:rsidR="00113890" w:rsidRPr="006F669C" w:rsidRDefault="00113890" w:rsidP="00575266">
      <w:pPr>
        <w:pStyle w:val="Body"/>
        <w:rPr>
          <w:rFonts w:ascii="Arial" w:hAnsi="Arial" w:cs="Arial"/>
        </w:rPr>
      </w:pPr>
      <w:r w:rsidRPr="006F669C">
        <w:rPr>
          <w:rFonts w:ascii="Arial" w:hAnsi="Arial" w:cs="Arial"/>
        </w:rPr>
        <w:t xml:space="preserve">Yaradua AI, Bungudu JI, Shuaibu L, Nasir A, Usman A, Kankia IH, </w:t>
      </w:r>
      <w:r w:rsidR="00575266" w:rsidRPr="00575266">
        <w:rPr>
          <w:rFonts w:ascii="Arial" w:hAnsi="Arial" w:cs="Arial"/>
          <w:i/>
          <w:iCs/>
        </w:rPr>
        <w:t>et al.</w:t>
      </w:r>
      <w:r w:rsidR="00575266">
        <w:rPr>
          <w:rFonts w:ascii="Arial" w:hAnsi="Arial" w:cs="Arial"/>
        </w:rPr>
        <w:t xml:space="preserve"> </w:t>
      </w:r>
      <w:r w:rsidRPr="006F669C">
        <w:rPr>
          <w:rFonts w:ascii="Arial" w:hAnsi="Arial" w:cs="Arial"/>
        </w:rPr>
        <w:t xml:space="preserve">(2023b) Health Risk Assessment of Heavy Metals in a Vegetable Cultivated on Land Polluted through Illegal Mining. </w:t>
      </w:r>
      <w:r w:rsidRPr="006F669C">
        <w:rPr>
          <w:rFonts w:ascii="Arial" w:hAnsi="Arial" w:cs="Arial"/>
          <w:i/>
          <w:iCs/>
        </w:rPr>
        <w:t>Archives of Current Research International</w:t>
      </w:r>
      <w:r w:rsidRPr="006F669C">
        <w:rPr>
          <w:rFonts w:ascii="Arial" w:hAnsi="Arial" w:cs="Arial"/>
        </w:rPr>
        <w:t>; 23 (3): 16-25</w:t>
      </w:r>
    </w:p>
    <w:p w14:paraId="7737FB2D" w14:textId="77777777" w:rsidR="00113890" w:rsidRPr="006F669C" w:rsidRDefault="00113890" w:rsidP="00575266">
      <w:pPr>
        <w:pStyle w:val="Body"/>
        <w:rPr>
          <w:rFonts w:ascii="Arial" w:hAnsi="Arial" w:cs="Arial"/>
        </w:rPr>
      </w:pPr>
      <w:r w:rsidRPr="006F669C">
        <w:rPr>
          <w:rFonts w:ascii="Arial" w:hAnsi="Arial" w:cs="Arial"/>
        </w:rPr>
        <w:t xml:space="preserve">Yaradua AI, Bungudu JI, Shuaibu </w:t>
      </w:r>
      <w:r w:rsidR="00575266">
        <w:rPr>
          <w:rFonts w:ascii="Arial" w:hAnsi="Arial" w:cs="Arial"/>
        </w:rPr>
        <w:t xml:space="preserve">L, Nasir A, Usman A, Kankia IH </w:t>
      </w:r>
      <w:r w:rsidR="00575266" w:rsidRPr="00575266">
        <w:rPr>
          <w:rFonts w:ascii="Arial" w:hAnsi="Arial" w:cs="Arial"/>
          <w:i/>
          <w:iCs/>
        </w:rPr>
        <w:t>et al</w:t>
      </w:r>
      <w:r w:rsidR="00575266">
        <w:rPr>
          <w:rFonts w:ascii="Arial" w:hAnsi="Arial" w:cs="Arial"/>
        </w:rPr>
        <w:t xml:space="preserve">. </w:t>
      </w:r>
      <w:r w:rsidRPr="006F669C">
        <w:rPr>
          <w:rFonts w:ascii="Arial" w:hAnsi="Arial" w:cs="Arial"/>
        </w:rPr>
        <w:t xml:space="preserve">(2023c) Health Risk Assessment of Heavy Metals in Vegetable: The Contribution of Illegal Mining and Armed Banditry to Heavy Metal Pollution in Katsina State, Nigeria. </w:t>
      </w:r>
      <w:r w:rsidRPr="006F669C">
        <w:rPr>
          <w:rFonts w:ascii="Arial" w:hAnsi="Arial" w:cs="Arial"/>
          <w:i/>
          <w:iCs/>
        </w:rPr>
        <w:t>Journal of Scientific Research and Reports</w:t>
      </w:r>
      <w:r w:rsidRPr="006F669C">
        <w:rPr>
          <w:rFonts w:ascii="Arial" w:hAnsi="Arial" w:cs="Arial"/>
        </w:rPr>
        <w:t>; 29 (5) 19-27</w:t>
      </w:r>
    </w:p>
    <w:p w14:paraId="39ABDF2A" w14:textId="77777777" w:rsidR="00113890" w:rsidRPr="006F669C" w:rsidRDefault="00113890" w:rsidP="00575266">
      <w:pPr>
        <w:pStyle w:val="Body"/>
        <w:rPr>
          <w:rFonts w:ascii="Arial" w:hAnsi="Arial" w:cs="Arial"/>
        </w:rPr>
      </w:pPr>
      <w:r w:rsidRPr="006F669C">
        <w:rPr>
          <w:rFonts w:ascii="Arial" w:hAnsi="Arial" w:cs="Arial"/>
        </w:rPr>
        <w:t xml:space="preserve">Yaradua AI, Bungudu JI, Shuaibu </w:t>
      </w:r>
      <w:r w:rsidR="00575266">
        <w:rPr>
          <w:rFonts w:ascii="Arial" w:hAnsi="Arial" w:cs="Arial"/>
        </w:rPr>
        <w:t xml:space="preserve">L, Nasir A, Usman A, Kankia IH </w:t>
      </w:r>
      <w:r w:rsidR="00575266" w:rsidRPr="00575266">
        <w:rPr>
          <w:rFonts w:ascii="Arial" w:hAnsi="Arial" w:cs="Arial"/>
          <w:i/>
          <w:iCs/>
        </w:rPr>
        <w:t>et al</w:t>
      </w:r>
      <w:r w:rsidR="00575266">
        <w:rPr>
          <w:rFonts w:ascii="Arial" w:hAnsi="Arial" w:cs="Arial"/>
        </w:rPr>
        <w:t xml:space="preserve">. </w:t>
      </w:r>
      <w:r w:rsidRPr="006F669C">
        <w:rPr>
          <w:rFonts w:ascii="Arial" w:hAnsi="Arial" w:cs="Arial"/>
        </w:rPr>
        <w:t xml:space="preserve">(2023d) Health Risk Assessment of Heavy Metals in a Vegetable Cultivated in a Conflict Zone. </w:t>
      </w:r>
      <w:r w:rsidRPr="006F669C">
        <w:rPr>
          <w:rFonts w:ascii="Arial" w:hAnsi="Arial" w:cs="Arial"/>
          <w:i/>
          <w:iCs/>
        </w:rPr>
        <w:t>Annual Research &amp; Review in Biology</w:t>
      </w:r>
      <w:r w:rsidRPr="006F669C">
        <w:rPr>
          <w:rFonts w:ascii="Arial" w:hAnsi="Arial" w:cs="Arial"/>
        </w:rPr>
        <w:t>; 38 (7):28-36</w:t>
      </w:r>
    </w:p>
    <w:p w14:paraId="119D24CE" w14:textId="77777777" w:rsidR="00113890" w:rsidRPr="006F669C" w:rsidRDefault="00113890" w:rsidP="00575266">
      <w:pPr>
        <w:pStyle w:val="Body"/>
        <w:rPr>
          <w:rFonts w:ascii="Arial" w:hAnsi="Arial" w:cs="Arial"/>
        </w:rPr>
      </w:pPr>
      <w:r w:rsidRPr="006F669C">
        <w:rPr>
          <w:rFonts w:ascii="Arial" w:hAnsi="Arial" w:cs="Arial"/>
        </w:rPr>
        <w:lastRenderedPageBreak/>
        <w:t>Yaradua AI, Alhassan AJ, Bungudu JI</w:t>
      </w:r>
      <w:r w:rsidR="00575266">
        <w:rPr>
          <w:rFonts w:ascii="Arial" w:hAnsi="Arial" w:cs="Arial"/>
        </w:rPr>
        <w:t xml:space="preserve">, Shuaibu L, Nasir A, Aminu MB </w:t>
      </w:r>
      <w:r w:rsidR="00575266" w:rsidRPr="00575266">
        <w:rPr>
          <w:rFonts w:ascii="Arial" w:hAnsi="Arial" w:cs="Arial"/>
          <w:i/>
          <w:iCs/>
        </w:rPr>
        <w:t>et al</w:t>
      </w:r>
      <w:r w:rsidR="00575266">
        <w:rPr>
          <w:rFonts w:ascii="Arial" w:hAnsi="Arial" w:cs="Arial"/>
        </w:rPr>
        <w:t xml:space="preserve">. </w:t>
      </w:r>
      <w:r w:rsidRPr="006F669C">
        <w:rPr>
          <w:rFonts w:ascii="Arial" w:hAnsi="Arial" w:cs="Arial"/>
        </w:rPr>
        <w:t xml:space="preserve">(2024) pollution indices and health risk evaluation of heavy metals in a playground soil from Katsina State, North-western Nigeria. </w:t>
      </w:r>
      <w:r w:rsidRPr="006F669C">
        <w:rPr>
          <w:rFonts w:ascii="Arial" w:hAnsi="Arial" w:cs="Arial"/>
          <w:i/>
          <w:iCs/>
        </w:rPr>
        <w:t>Sustainability, Agri, Food and Environmental Research</w:t>
      </w:r>
      <w:r w:rsidRPr="006F669C">
        <w:rPr>
          <w:rFonts w:ascii="Arial" w:hAnsi="Arial" w:cs="Arial"/>
        </w:rPr>
        <w:t>; 12 (2).</w:t>
      </w:r>
    </w:p>
    <w:p w14:paraId="54999E71" w14:textId="77777777" w:rsidR="00113890" w:rsidRPr="006F669C" w:rsidRDefault="00113890" w:rsidP="00113890">
      <w:pPr>
        <w:pStyle w:val="Body"/>
        <w:rPr>
          <w:rFonts w:ascii="Arial" w:hAnsi="Arial" w:cs="Arial"/>
        </w:rPr>
      </w:pPr>
      <w:r w:rsidRPr="006F669C">
        <w:rPr>
          <w:rFonts w:ascii="Arial" w:hAnsi="Arial" w:cs="Arial"/>
        </w:rPr>
        <w:t xml:space="preserve">Yousuf S, Donald A, Hassan A. (2022) A review on particulate matter and heavy metal emissions; impacts on the environment, detection techniques and control strategies. </w:t>
      </w:r>
      <w:r w:rsidRPr="006F669C">
        <w:rPr>
          <w:rFonts w:ascii="Arial" w:hAnsi="Arial" w:cs="Arial"/>
          <w:i/>
          <w:iCs/>
        </w:rPr>
        <w:t>MOJ Eco. Environ. Sci</w:t>
      </w:r>
      <w:r w:rsidRPr="006F669C">
        <w:rPr>
          <w:rFonts w:ascii="Arial" w:hAnsi="Arial" w:cs="Arial"/>
        </w:rPr>
        <w:t>.; 7: 1–5</w:t>
      </w:r>
    </w:p>
    <w:p w14:paraId="24604A51" w14:textId="77777777" w:rsidR="00113890" w:rsidRPr="006F669C" w:rsidRDefault="00113890" w:rsidP="00113890">
      <w:pPr>
        <w:pStyle w:val="Body"/>
        <w:rPr>
          <w:rFonts w:ascii="Arial" w:hAnsi="Arial" w:cs="Arial"/>
        </w:rPr>
      </w:pPr>
      <w:r w:rsidRPr="006F669C">
        <w:rPr>
          <w:rFonts w:ascii="Arial" w:hAnsi="Arial" w:cs="Arial"/>
        </w:rPr>
        <w:t xml:space="preserve">Zeng X, Xu X, </w:t>
      </w:r>
      <w:proofErr w:type="spellStart"/>
      <w:r w:rsidRPr="006F669C">
        <w:rPr>
          <w:rFonts w:ascii="Arial" w:hAnsi="Arial" w:cs="Arial"/>
        </w:rPr>
        <w:t>Boezen</w:t>
      </w:r>
      <w:proofErr w:type="spellEnd"/>
      <w:r w:rsidRPr="006F669C">
        <w:rPr>
          <w:rFonts w:ascii="Arial" w:hAnsi="Arial" w:cs="Arial"/>
        </w:rPr>
        <w:t xml:space="preserve"> HM, </w:t>
      </w:r>
      <w:proofErr w:type="spellStart"/>
      <w:r w:rsidRPr="006F669C">
        <w:rPr>
          <w:rFonts w:ascii="Arial" w:hAnsi="Arial" w:cs="Arial"/>
        </w:rPr>
        <w:t>Huo</w:t>
      </w:r>
      <w:proofErr w:type="spellEnd"/>
      <w:r w:rsidRPr="006F669C">
        <w:rPr>
          <w:rFonts w:ascii="Arial" w:hAnsi="Arial" w:cs="Arial"/>
        </w:rPr>
        <w:t xml:space="preserve"> X. (2016) Children with health impairments by heavy metals in an e-waste recycling area. </w:t>
      </w:r>
      <w:r w:rsidRPr="006F669C">
        <w:rPr>
          <w:rFonts w:ascii="Arial" w:hAnsi="Arial" w:cs="Arial"/>
          <w:i/>
          <w:iCs/>
        </w:rPr>
        <w:t>Chemosphere</w:t>
      </w:r>
      <w:r w:rsidRPr="006F669C">
        <w:rPr>
          <w:rFonts w:ascii="Arial" w:hAnsi="Arial" w:cs="Arial"/>
        </w:rPr>
        <w:t>; 148:408–415</w:t>
      </w:r>
    </w:p>
    <w:p w14:paraId="1D0FC32B" w14:textId="77777777" w:rsidR="003763C1" w:rsidRPr="006F669C" w:rsidRDefault="00113890" w:rsidP="00113890">
      <w:pPr>
        <w:pStyle w:val="Body"/>
        <w:spacing w:after="0"/>
        <w:rPr>
          <w:rFonts w:ascii="Arial" w:hAnsi="Arial" w:cs="Arial"/>
          <w:i/>
          <w:u w:val="single"/>
        </w:rPr>
      </w:pPr>
      <w:proofErr w:type="spellStart"/>
      <w:r w:rsidRPr="006F669C">
        <w:rPr>
          <w:rFonts w:ascii="Arial" w:hAnsi="Arial" w:cs="Arial"/>
        </w:rPr>
        <w:t>Znad</w:t>
      </w:r>
      <w:proofErr w:type="spellEnd"/>
      <w:r w:rsidRPr="006F669C">
        <w:rPr>
          <w:rFonts w:ascii="Arial" w:hAnsi="Arial" w:cs="Arial"/>
        </w:rPr>
        <w:t xml:space="preserve"> H, </w:t>
      </w:r>
      <w:proofErr w:type="spellStart"/>
      <w:r w:rsidRPr="006F669C">
        <w:rPr>
          <w:rFonts w:ascii="Arial" w:hAnsi="Arial" w:cs="Arial"/>
        </w:rPr>
        <w:t>Awual</w:t>
      </w:r>
      <w:proofErr w:type="spellEnd"/>
      <w:r w:rsidRPr="006F669C">
        <w:rPr>
          <w:rFonts w:ascii="Arial" w:hAnsi="Arial" w:cs="Arial"/>
        </w:rPr>
        <w:t xml:space="preserve"> M, Martini S. (2022) The utilization of algae and seaweed biomass for bioremediation of heavy metal-contaminated wastewater. </w:t>
      </w:r>
      <w:r w:rsidRPr="006F669C">
        <w:rPr>
          <w:rFonts w:ascii="Arial" w:hAnsi="Arial" w:cs="Arial"/>
          <w:i/>
          <w:iCs/>
        </w:rPr>
        <w:t>Molecules</w:t>
      </w:r>
      <w:r w:rsidRPr="006F669C">
        <w:rPr>
          <w:rFonts w:ascii="Arial" w:hAnsi="Arial" w:cs="Arial"/>
        </w:rPr>
        <w:t xml:space="preserve">; 27: 1275 </w:t>
      </w:r>
    </w:p>
    <w:p w14:paraId="00BF15E0" w14:textId="77777777" w:rsidR="00B01FCD" w:rsidRPr="00FB3A86" w:rsidRDefault="00B01FCD" w:rsidP="00441B6F">
      <w:pPr>
        <w:pStyle w:val="Appendix"/>
        <w:spacing w:after="0"/>
        <w:jc w:val="both"/>
        <w:rPr>
          <w:rFonts w:ascii="Arial" w:hAnsi="Arial" w:cs="Arial"/>
          <w:b w:val="0"/>
        </w:rPr>
      </w:pPr>
    </w:p>
    <w:sectPr w:rsidR="00B01FCD" w:rsidRPr="00FB3A86" w:rsidSect="00253C63">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B357C" w14:textId="77777777" w:rsidR="004A6D61" w:rsidRDefault="004A6D61" w:rsidP="00C37E61">
      <w:r>
        <w:separator/>
      </w:r>
    </w:p>
  </w:endnote>
  <w:endnote w:type="continuationSeparator" w:id="0">
    <w:p w14:paraId="1ED7F816" w14:textId="77777777" w:rsidR="004A6D61" w:rsidRDefault="004A6D6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6C57B" w14:textId="77777777" w:rsidR="00901FA1" w:rsidRDefault="00901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53F2E" w14:textId="77777777" w:rsidR="00901FA1" w:rsidRDefault="00901F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FB56D" w14:textId="77777777" w:rsidR="00901FA1" w:rsidRDefault="00901FA1">
    <w:pPr>
      <w:pStyle w:val="Footer"/>
      <w:rPr>
        <w:rFonts w:ascii="Arial" w:hAnsi="Arial" w:cs="Arial"/>
        <w:sz w:val="16"/>
      </w:rPr>
    </w:pPr>
  </w:p>
  <w:p w14:paraId="2BAFDD1B" w14:textId="77777777" w:rsidR="00901FA1" w:rsidRDefault="00901FA1"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4C22BBA" w14:textId="77777777" w:rsidR="00901FA1" w:rsidRDefault="00901FA1">
    <w:pPr>
      <w:pStyle w:val="Footer"/>
      <w:rPr>
        <w:rFonts w:ascii="Arial" w:hAnsi="Arial" w:cs="Arial"/>
        <w:sz w:val="16"/>
      </w:rPr>
    </w:pPr>
  </w:p>
  <w:p w14:paraId="78144D04" w14:textId="77777777" w:rsidR="00901FA1" w:rsidRPr="009E048A" w:rsidRDefault="00901FA1">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B9D16" w14:textId="77777777" w:rsidR="00901FA1" w:rsidRPr="00C37E61" w:rsidRDefault="00901FA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EAD4F" w14:textId="77777777" w:rsidR="004A6D61" w:rsidRDefault="004A6D61" w:rsidP="00C37E61">
      <w:r>
        <w:separator/>
      </w:r>
    </w:p>
  </w:footnote>
  <w:footnote w:type="continuationSeparator" w:id="0">
    <w:p w14:paraId="564A91AA" w14:textId="77777777" w:rsidR="004A6D61" w:rsidRDefault="004A6D6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48177" w14:textId="75FB3898" w:rsidR="00901FA1" w:rsidRDefault="0007280F">
    <w:pPr>
      <w:pStyle w:val="Header"/>
    </w:pPr>
    <w:r>
      <w:rPr>
        <w:noProof/>
      </w:rPr>
      <w:pict w14:anchorId="02223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897969"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05F0F" w14:textId="2BA4485F" w:rsidR="00901FA1" w:rsidRDefault="0007280F">
    <w:pPr>
      <w:pStyle w:val="Header"/>
    </w:pPr>
    <w:r>
      <w:rPr>
        <w:noProof/>
      </w:rPr>
      <w:pict w14:anchorId="018D7A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897970"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2365F" w14:textId="523DD2D1" w:rsidR="00901FA1" w:rsidRPr="00296529" w:rsidRDefault="0007280F" w:rsidP="00296529">
    <w:pPr>
      <w:ind w:left="2160"/>
      <w:jc w:val="center"/>
      <w:rPr>
        <w:rFonts w:ascii="Times New Roman" w:eastAsia="Calibri" w:hAnsi="Times New Roman"/>
        <w:i/>
        <w:sz w:val="18"/>
        <w:szCs w:val="22"/>
      </w:rPr>
    </w:pPr>
    <w:r>
      <w:rPr>
        <w:noProof/>
      </w:rPr>
      <w:pict w14:anchorId="385C91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897968"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2ECA6F1" w14:textId="77777777" w:rsidR="00901FA1" w:rsidRPr="00296529" w:rsidRDefault="00901FA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BCD2984" w14:textId="77777777" w:rsidR="00901FA1" w:rsidRPr="00296529" w:rsidRDefault="00901FA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8BE8F1C" w14:textId="77777777" w:rsidR="00901FA1" w:rsidRPr="00296529" w:rsidRDefault="00901FA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184FD10" w14:textId="77777777" w:rsidR="00901FA1" w:rsidRDefault="00901FA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5ED2B1F" w14:textId="77777777" w:rsidR="00901FA1" w:rsidRDefault="00901FA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69C3C13" w14:textId="77777777" w:rsidR="00901FA1" w:rsidRDefault="00901FA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E5F80" w14:textId="197ABD10" w:rsidR="00901FA1" w:rsidRDefault="0007280F">
    <w:pPr>
      <w:pStyle w:val="Header"/>
    </w:pPr>
    <w:r>
      <w:rPr>
        <w:noProof/>
      </w:rPr>
      <w:pict w14:anchorId="088961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897972"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4D9C3" w14:textId="1CE9139F" w:rsidR="00901FA1" w:rsidRDefault="0007280F">
    <w:pPr>
      <w:pStyle w:val="Header"/>
    </w:pPr>
    <w:r>
      <w:rPr>
        <w:noProof/>
      </w:rPr>
      <w:pict w14:anchorId="75FA42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897973"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83F39" w14:textId="0E3BD56E" w:rsidR="00901FA1" w:rsidRDefault="0007280F">
    <w:pPr>
      <w:pStyle w:val="Header"/>
    </w:pPr>
    <w:r>
      <w:rPr>
        <w:noProof/>
      </w:rPr>
      <w:pict w14:anchorId="6B71F7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897971"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77553D9"/>
    <w:multiLevelType w:val="hybridMultilevel"/>
    <w:tmpl w:val="EC0E73B8"/>
    <w:lvl w:ilvl="0" w:tplc="BF92C12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rC0MDO3tDA1BCJzCyUdpeDU4uLM/DyQAsNaACchAzIsAAAA"/>
  </w:docVars>
  <w:rsids>
    <w:rsidRoot w:val="00AA6219"/>
    <w:rsid w:val="00000F8F"/>
    <w:rsid w:val="0000511C"/>
    <w:rsid w:val="00030174"/>
    <w:rsid w:val="0004579C"/>
    <w:rsid w:val="0007280F"/>
    <w:rsid w:val="00087B5A"/>
    <w:rsid w:val="000A47FA"/>
    <w:rsid w:val="000A65D3"/>
    <w:rsid w:val="000B1E33"/>
    <w:rsid w:val="000D689F"/>
    <w:rsid w:val="000E7B7B"/>
    <w:rsid w:val="000E7D62"/>
    <w:rsid w:val="00103357"/>
    <w:rsid w:val="00113890"/>
    <w:rsid w:val="00123C9F"/>
    <w:rsid w:val="00126190"/>
    <w:rsid w:val="00130F17"/>
    <w:rsid w:val="001320BF"/>
    <w:rsid w:val="001470C3"/>
    <w:rsid w:val="00163BC4"/>
    <w:rsid w:val="00191062"/>
    <w:rsid w:val="00192B72"/>
    <w:rsid w:val="001A0FA5"/>
    <w:rsid w:val="001A29D8"/>
    <w:rsid w:val="001A5CAA"/>
    <w:rsid w:val="001B0427"/>
    <w:rsid w:val="001B6B8F"/>
    <w:rsid w:val="001D3A51"/>
    <w:rsid w:val="001E10D2"/>
    <w:rsid w:val="001E25B4"/>
    <w:rsid w:val="001E44FE"/>
    <w:rsid w:val="00200595"/>
    <w:rsid w:val="00204835"/>
    <w:rsid w:val="00231920"/>
    <w:rsid w:val="0023195C"/>
    <w:rsid w:val="0024282C"/>
    <w:rsid w:val="002460DC"/>
    <w:rsid w:val="00250985"/>
    <w:rsid w:val="00253C63"/>
    <w:rsid w:val="002556F6"/>
    <w:rsid w:val="00283105"/>
    <w:rsid w:val="00284C4C"/>
    <w:rsid w:val="00296529"/>
    <w:rsid w:val="002B27FB"/>
    <w:rsid w:val="002B685A"/>
    <w:rsid w:val="002C57D2"/>
    <w:rsid w:val="002E0D56"/>
    <w:rsid w:val="002E299B"/>
    <w:rsid w:val="0030425F"/>
    <w:rsid w:val="00315186"/>
    <w:rsid w:val="003302A1"/>
    <w:rsid w:val="0033343E"/>
    <w:rsid w:val="003512C2"/>
    <w:rsid w:val="00353071"/>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2DAC"/>
    <w:rsid w:val="00471A80"/>
    <w:rsid w:val="004A6D61"/>
    <w:rsid w:val="004A7BA1"/>
    <w:rsid w:val="004C4010"/>
    <w:rsid w:val="004D0F52"/>
    <w:rsid w:val="004D305E"/>
    <w:rsid w:val="004D4277"/>
    <w:rsid w:val="00502516"/>
    <w:rsid w:val="00505F06"/>
    <w:rsid w:val="00506828"/>
    <w:rsid w:val="00512DA7"/>
    <w:rsid w:val="0053056E"/>
    <w:rsid w:val="00554FDA"/>
    <w:rsid w:val="0056099B"/>
    <w:rsid w:val="00575266"/>
    <w:rsid w:val="005C784C"/>
    <w:rsid w:val="005D17F6"/>
    <w:rsid w:val="005E5539"/>
    <w:rsid w:val="00602BF5"/>
    <w:rsid w:val="00617FDD"/>
    <w:rsid w:val="00633614"/>
    <w:rsid w:val="00633BC8"/>
    <w:rsid w:val="00633F68"/>
    <w:rsid w:val="00636EB2"/>
    <w:rsid w:val="006375B8"/>
    <w:rsid w:val="0066510A"/>
    <w:rsid w:val="00667E7C"/>
    <w:rsid w:val="00673F9F"/>
    <w:rsid w:val="00686953"/>
    <w:rsid w:val="00687DEA"/>
    <w:rsid w:val="00687E67"/>
    <w:rsid w:val="006967F7"/>
    <w:rsid w:val="006A250C"/>
    <w:rsid w:val="006B21D3"/>
    <w:rsid w:val="006B57D0"/>
    <w:rsid w:val="006D30FF"/>
    <w:rsid w:val="006D6940"/>
    <w:rsid w:val="006F11EC"/>
    <w:rsid w:val="006F669C"/>
    <w:rsid w:val="0070082C"/>
    <w:rsid w:val="007324DC"/>
    <w:rsid w:val="007369E6"/>
    <w:rsid w:val="00746617"/>
    <w:rsid w:val="00746E59"/>
    <w:rsid w:val="00754C9A"/>
    <w:rsid w:val="0075599A"/>
    <w:rsid w:val="00761D52"/>
    <w:rsid w:val="0077749E"/>
    <w:rsid w:val="00790ADA"/>
    <w:rsid w:val="007D2288"/>
    <w:rsid w:val="007E088F"/>
    <w:rsid w:val="007E4415"/>
    <w:rsid w:val="007F7B32"/>
    <w:rsid w:val="00804BC2"/>
    <w:rsid w:val="0081431A"/>
    <w:rsid w:val="00820553"/>
    <w:rsid w:val="00826A88"/>
    <w:rsid w:val="0083161F"/>
    <w:rsid w:val="0083216F"/>
    <w:rsid w:val="00860000"/>
    <w:rsid w:val="00863BD3"/>
    <w:rsid w:val="00866D66"/>
    <w:rsid w:val="008671C6"/>
    <w:rsid w:val="00875803"/>
    <w:rsid w:val="008B2C12"/>
    <w:rsid w:val="008B459E"/>
    <w:rsid w:val="008E13AE"/>
    <w:rsid w:val="008E1506"/>
    <w:rsid w:val="008E710C"/>
    <w:rsid w:val="008F69D6"/>
    <w:rsid w:val="00901FA1"/>
    <w:rsid w:val="00902823"/>
    <w:rsid w:val="00915CA6"/>
    <w:rsid w:val="00927834"/>
    <w:rsid w:val="00933F65"/>
    <w:rsid w:val="009500A6"/>
    <w:rsid w:val="00957C18"/>
    <w:rsid w:val="00960A08"/>
    <w:rsid w:val="009612A5"/>
    <w:rsid w:val="009658C3"/>
    <w:rsid w:val="009659BA"/>
    <w:rsid w:val="009779A1"/>
    <w:rsid w:val="009811E2"/>
    <w:rsid w:val="00983040"/>
    <w:rsid w:val="009B3FB9"/>
    <w:rsid w:val="009C2465"/>
    <w:rsid w:val="009D35A0"/>
    <w:rsid w:val="009D7EB7"/>
    <w:rsid w:val="009E048A"/>
    <w:rsid w:val="009E08E9"/>
    <w:rsid w:val="009E3DB9"/>
    <w:rsid w:val="009E6E35"/>
    <w:rsid w:val="009F0EDA"/>
    <w:rsid w:val="00A027E5"/>
    <w:rsid w:val="00A03B96"/>
    <w:rsid w:val="00A05B19"/>
    <w:rsid w:val="00A1134E"/>
    <w:rsid w:val="00A23981"/>
    <w:rsid w:val="00A24E7E"/>
    <w:rsid w:val="00A258C3"/>
    <w:rsid w:val="00A347C0"/>
    <w:rsid w:val="00A46139"/>
    <w:rsid w:val="00A51431"/>
    <w:rsid w:val="00A539AD"/>
    <w:rsid w:val="00A53EB7"/>
    <w:rsid w:val="00A5613A"/>
    <w:rsid w:val="00A94063"/>
    <w:rsid w:val="00AA6219"/>
    <w:rsid w:val="00AA6B93"/>
    <w:rsid w:val="00AA74E0"/>
    <w:rsid w:val="00AB703F"/>
    <w:rsid w:val="00AC4341"/>
    <w:rsid w:val="00AC6BB8"/>
    <w:rsid w:val="00AD38C1"/>
    <w:rsid w:val="00AE008F"/>
    <w:rsid w:val="00B01FCD"/>
    <w:rsid w:val="00B1776C"/>
    <w:rsid w:val="00B52896"/>
    <w:rsid w:val="00B93C7C"/>
    <w:rsid w:val="00B95236"/>
    <w:rsid w:val="00B96BD9"/>
    <w:rsid w:val="00BA1B01"/>
    <w:rsid w:val="00BA2641"/>
    <w:rsid w:val="00BB2FAE"/>
    <w:rsid w:val="00BB37AA"/>
    <w:rsid w:val="00BC53A0"/>
    <w:rsid w:val="00BE62AD"/>
    <w:rsid w:val="00BF121F"/>
    <w:rsid w:val="00BF1F80"/>
    <w:rsid w:val="00C166EF"/>
    <w:rsid w:val="00C17EB0"/>
    <w:rsid w:val="00C27F5F"/>
    <w:rsid w:val="00C30A0F"/>
    <w:rsid w:val="00C37E61"/>
    <w:rsid w:val="00C37EB5"/>
    <w:rsid w:val="00C56B0B"/>
    <w:rsid w:val="00C70F1B"/>
    <w:rsid w:val="00C71A47"/>
    <w:rsid w:val="00C7464C"/>
    <w:rsid w:val="00C85588"/>
    <w:rsid w:val="00CD6755"/>
    <w:rsid w:val="00CD6856"/>
    <w:rsid w:val="00CE0089"/>
    <w:rsid w:val="00CE793C"/>
    <w:rsid w:val="00D173F1"/>
    <w:rsid w:val="00D8295D"/>
    <w:rsid w:val="00DC2A65"/>
    <w:rsid w:val="00DE15F0"/>
    <w:rsid w:val="00DE5663"/>
    <w:rsid w:val="00DE5BAC"/>
    <w:rsid w:val="00DE78AA"/>
    <w:rsid w:val="00E053D0"/>
    <w:rsid w:val="00E15994"/>
    <w:rsid w:val="00E3114E"/>
    <w:rsid w:val="00E31A70"/>
    <w:rsid w:val="00E35B02"/>
    <w:rsid w:val="00E66496"/>
    <w:rsid w:val="00E66B35"/>
    <w:rsid w:val="00E66E10"/>
    <w:rsid w:val="00E769F6"/>
    <w:rsid w:val="00E8407C"/>
    <w:rsid w:val="00E84F3C"/>
    <w:rsid w:val="00EA012C"/>
    <w:rsid w:val="00ED0288"/>
    <w:rsid w:val="00ED744C"/>
    <w:rsid w:val="00EE52CB"/>
    <w:rsid w:val="00EF581D"/>
    <w:rsid w:val="00EF7FD8"/>
    <w:rsid w:val="00F06F59"/>
    <w:rsid w:val="00F17988"/>
    <w:rsid w:val="00F469F0"/>
    <w:rsid w:val="00F53273"/>
    <w:rsid w:val="00F714A3"/>
    <w:rsid w:val="00F755E4"/>
    <w:rsid w:val="00F77D02"/>
    <w:rsid w:val="00F84E1B"/>
    <w:rsid w:val="00F94115"/>
    <w:rsid w:val="00F97D17"/>
    <w:rsid w:val="00FA643B"/>
    <w:rsid w:val="00FB3A86"/>
    <w:rsid w:val="00FD36C8"/>
    <w:rsid w:val="00FF1992"/>
    <w:rsid w:val="00FF6F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2" type="connector" idref="#_x0000_s1026"/>
      </o:rules>
    </o:shapelayout>
  </w:shapeDefaults>
  <w:decimalSymbol w:val="."/>
  <w:listSeparator w:val=","/>
  <w14:docId w14:val="012191C4"/>
  <w15:docId w15:val="{3D9FE370-098D-4ABD-9389-192E0CB22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apple-converted-space">
    <w:name w:val="apple-converted-space"/>
    <w:basedOn w:val="DefaultParagraphFont"/>
    <w:rsid w:val="00FF1992"/>
  </w:style>
  <w:style w:type="character" w:customStyle="1" w:styleId="UnresolvedMention1">
    <w:name w:val="Unresolved Mention1"/>
    <w:basedOn w:val="DefaultParagraphFont"/>
    <w:uiPriority w:val="99"/>
    <w:semiHidden/>
    <w:unhideWhenUsed/>
    <w:rsid w:val="0030425F"/>
    <w:rPr>
      <w:color w:val="605E5C"/>
      <w:shd w:val="clear" w:color="auto" w:fill="E1DFDD"/>
    </w:rPr>
  </w:style>
  <w:style w:type="paragraph" w:styleId="ListParagraph">
    <w:name w:val="List Paragraph"/>
    <w:basedOn w:val="Normal"/>
    <w:uiPriority w:val="34"/>
    <w:qFormat/>
    <w:rsid w:val="00901FA1"/>
    <w:pPr>
      <w:ind w:left="720"/>
    </w:pPr>
    <w:rPr>
      <w:rFonts w:ascii="Times New Roman" w:hAnsi="Times New Roman"/>
      <w:sz w:val="24"/>
      <w:szCs w:val="24"/>
    </w:rPr>
  </w:style>
  <w:style w:type="paragraph" w:styleId="NormalWeb">
    <w:name w:val="Normal (Web)"/>
    <w:basedOn w:val="Normal"/>
    <w:uiPriority w:val="99"/>
    <w:semiHidden/>
    <w:unhideWhenUsed/>
    <w:rsid w:val="00933F65"/>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26974795">
      <w:bodyDiv w:val="1"/>
      <w:marLeft w:val="0"/>
      <w:marRight w:val="0"/>
      <w:marTop w:val="0"/>
      <w:marBottom w:val="0"/>
      <w:divBdr>
        <w:top w:val="none" w:sz="0" w:space="0" w:color="auto"/>
        <w:left w:val="none" w:sz="0" w:space="0" w:color="auto"/>
        <w:bottom w:val="none" w:sz="0" w:space="0" w:color="auto"/>
        <w:right w:val="none" w:sz="0" w:space="0" w:color="auto"/>
      </w:divBdr>
    </w:div>
    <w:div w:id="13395634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4794349">
      <w:bodyDiv w:val="1"/>
      <w:marLeft w:val="0"/>
      <w:marRight w:val="0"/>
      <w:marTop w:val="0"/>
      <w:marBottom w:val="0"/>
      <w:divBdr>
        <w:top w:val="none" w:sz="0" w:space="0" w:color="auto"/>
        <w:left w:val="none" w:sz="0" w:space="0" w:color="auto"/>
        <w:bottom w:val="none" w:sz="0" w:space="0" w:color="auto"/>
        <w:right w:val="none" w:sz="0" w:space="0" w:color="auto"/>
      </w:divBdr>
    </w:div>
    <w:div w:id="41570688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8067045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9861422">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2607337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9700836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7004485">
      <w:bodyDiv w:val="1"/>
      <w:marLeft w:val="0"/>
      <w:marRight w:val="0"/>
      <w:marTop w:val="0"/>
      <w:marBottom w:val="0"/>
      <w:divBdr>
        <w:top w:val="none" w:sz="0" w:space="0" w:color="auto"/>
        <w:left w:val="none" w:sz="0" w:space="0" w:color="auto"/>
        <w:bottom w:val="none" w:sz="0" w:space="0" w:color="auto"/>
        <w:right w:val="none" w:sz="0" w:space="0" w:color="auto"/>
      </w:divBdr>
    </w:div>
    <w:div w:id="208328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4AC5F-ABE8-473D-814E-92F7235D1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299</TotalTime>
  <Pages>12</Pages>
  <Words>6136</Words>
  <Characters>34980</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41034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27</cp:revision>
  <cp:lastPrinted>1999-07-06T11:00:00Z</cp:lastPrinted>
  <dcterms:created xsi:type="dcterms:W3CDTF">2014-10-25T14:34:00Z</dcterms:created>
  <dcterms:modified xsi:type="dcterms:W3CDTF">2026-04-18T11:55:00Z</dcterms:modified>
</cp:coreProperties>
</file>