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6D96" w14:textId="77777777" w:rsidR="00050B7E" w:rsidRPr="00C76B5C" w:rsidRDefault="00050B7E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C76B5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76B5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6BCCE0" w:rsidR="00204042" w:rsidRPr="00C76B5C" w:rsidRDefault="00265AF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76B5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Nutrition &amp; Food Safety </w:t>
              </w:r>
            </w:hyperlink>
          </w:p>
        </w:tc>
      </w:tr>
      <w:tr w:rsidR="00204042" w:rsidRPr="00C76B5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76B5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D57FE28" w:rsidR="00204042" w:rsidRPr="00C76B5C" w:rsidRDefault="00FF507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Ms_EJNFS_159389</w:t>
            </w:r>
          </w:p>
        </w:tc>
      </w:tr>
      <w:tr w:rsidR="00204042" w:rsidRPr="00C76B5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76B5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752E30E" w:rsidR="00204042" w:rsidRPr="00C76B5C" w:rsidRDefault="00FF507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>Eating habits and nutritional barriers among hospitality management students of Cavite State University</w:t>
            </w:r>
          </w:p>
        </w:tc>
      </w:tr>
      <w:tr w:rsidR="00204042" w:rsidRPr="00C76B5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76B5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76B5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76B5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76B5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C76B5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76B5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76B5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76B5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C76B5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76B5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6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6B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76B5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0DAC701" w:rsidR="00204042" w:rsidRPr="00C76B5C" w:rsidRDefault="000D2B40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makes a meaningful contribution to the growing body of literature on college student nutrition by providing context-specific evidence from a Southeast Asian university setting — an underrepresented population in global dietary research. By examining four distinct eating </w:t>
            </w:r>
            <w:proofErr w:type="spellStart"/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 xml:space="preserve"> categories (fuel, fun, fog, and storm eating) alongside perceived barriers in a single, large-scale descriptive study of 677 Hospitality Management students, the manuscript offers a nuanced and multidimensional framework for understanding dietary patterns among young adults in higher education. The findings are particularly significant given the paradox they expose: students enrolled in a food-service-related discipline remain vulnerable to poor nutritional choices driven by economic pressures, emotional triggers, and environmental cues, suggesting that professional food knowledge alone does not translate into healthier eating </w:t>
            </w:r>
            <w:proofErr w:type="spellStart"/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>. These insights have direct implications for university policy, campus food environments, and the design of targeted nutrition intervention programs, and can serve as a valuable reference point for future comparative studies across different academic disciplines and regions in the Global South.</w:t>
            </w:r>
          </w:p>
        </w:tc>
        <w:tc>
          <w:tcPr>
            <w:tcW w:w="1667" w:type="pct"/>
          </w:tcPr>
          <w:p w14:paraId="46643927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C76B5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76B5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76B5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76B5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76B5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76B5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6B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76B5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76B5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9A30F44" w:rsidR="00204042" w:rsidRPr="00C76B5C" w:rsidRDefault="000D2B40" w:rsidP="000D2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F8D6F02" w:rsidR="00204042" w:rsidRPr="00C76B5C" w:rsidRDefault="000D2B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FE86842" w:rsidR="00204042" w:rsidRPr="00C76B5C" w:rsidRDefault="000D2B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0C03AF7" w:rsidR="00204042" w:rsidRPr="00C76B5C" w:rsidRDefault="000D2B40" w:rsidP="000D2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FCD4440" w:rsidR="00204042" w:rsidRPr="00C76B5C" w:rsidRDefault="000D2B40" w:rsidP="000D2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DFDE1D4" w:rsidR="00204042" w:rsidRPr="00C76B5C" w:rsidRDefault="000D2B40" w:rsidP="000D2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4F13422" w:rsidR="00204042" w:rsidRPr="00C76B5C" w:rsidRDefault="000D2B40" w:rsidP="000D2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623C2B3" w:rsidR="00204042" w:rsidRPr="00C76B5C" w:rsidRDefault="000D2B40" w:rsidP="000D2B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76B5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A29F187" w:rsidR="00204042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76B5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76B5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76B5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8986A11" w:rsidR="00204042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76B5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DB735D1" w:rsidR="00204042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76B5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AAD9F5D" w:rsidR="00204042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76B5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0E853CC" w:rsidR="00204042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76B5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D868ED6" w:rsidR="00204042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76B5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76B5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76B5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BC17FFB" w:rsidR="00204042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76B5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76B5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76B5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76B5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76B5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76B5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76B5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6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6B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76B5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76B5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76B5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B41B49B" w:rsidR="00204042" w:rsidRPr="00C76B5C" w:rsidRDefault="000D2B40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>The title "Eating habits and nutritional barriers among hospitality management students of Cavite State University" is mostly suitable — it is straightforward, accurately reflects the study's scope, and clearly identifies the population of interest.</w:t>
            </w:r>
          </w:p>
        </w:tc>
        <w:tc>
          <w:tcPr>
            <w:tcW w:w="1667" w:type="pct"/>
          </w:tcPr>
          <w:p w14:paraId="716ABA7E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76B5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FDB03D0" w:rsidR="00204042" w:rsidRPr="00C76B5C" w:rsidRDefault="000D2B40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should be revised to briefly include the overall mean scores for each eating </w:t>
            </w:r>
            <w:proofErr w:type="spellStart"/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C76B5C">
              <w:rPr>
                <w:rFonts w:ascii="Arial" w:hAnsi="Arial" w:cs="Arial"/>
                <w:sz w:val="20"/>
                <w:szCs w:val="20"/>
                <w:lang w:val="en-GB"/>
              </w:rPr>
              <w:t xml:space="preserve"> category and the barriers assessment, explicitly state why Hospitality Management students represent a uniquely relevant population, and acknowledge at least one key limitation of the study. For example, a sentence such as: "However, findings are limited to a single institution and rely on self-reported data, which may be subject to response bias" would add important transparency. These additions would make the abstract substantially more informative and suitable for an international peer-reviewed journal.</w:t>
            </w:r>
          </w:p>
        </w:tc>
        <w:tc>
          <w:tcPr>
            <w:tcW w:w="1667" w:type="pct"/>
          </w:tcPr>
          <w:p w14:paraId="55FC2422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76B5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76B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76B5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B1FEDA1" w14:textId="0325A5BC" w:rsidR="000D2B40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authors should revise the manuscript to: (1) report Cronbach's alpha or equivalent reliability coefficients for all adapted scales; (2) include at least basic inferential analyses (e.g., ANOVA or independent samples t-test) to examine group differences across demographic variables; (3) acknowledge the limitations of self-reported data and the absence of objective dietary measures; (4) clearly state the total enrolled student population to substantiate the census claim; (5) properly cite the original source of the four eating </w:t>
            </w:r>
            <w:proofErr w:type="spellStart"/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framework; and (6) add a dedicated limitations section. These revisions would substantially strengthen the manuscript's scientific credibility and its suitability for publication in a peer-reviewed journal.</w:t>
            </w:r>
          </w:p>
          <w:p w14:paraId="25087CE6" w14:textId="24E55BCF" w:rsidR="000D2B40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76B5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76B5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76B5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90F36E6" w:rsidR="00204042" w:rsidRPr="00C76B5C" w:rsidRDefault="000D2B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authors should substantially expand the reference list to a minimum of 25–30 peer-reviewed sources. Priority should be given to: (1) identifying and citing the original source of the fuel-fun-fog-storm eating framework; (2) including peer-reviewed studies on college student dietary </w:t>
            </w:r>
            <w:proofErr w:type="spellStart"/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, emotional eating, and food barriers from Southeast Asian and global contexts; (3) replacing or supplementing institutional web sources with journal articles; and (4) ensuring all references follow a consistent and complete citation format. Databases such as PubMed, Scopus, Google Scholar, and ScienceDirect should be consulted to identify relevant and current literature.</w:t>
            </w:r>
          </w:p>
        </w:tc>
        <w:tc>
          <w:tcPr>
            <w:tcW w:w="1667" w:type="pct"/>
          </w:tcPr>
          <w:p w14:paraId="467EE6CF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76B5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76B5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76B5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76B5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76B5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CFAE247" w:rsidR="00204042" w:rsidRPr="00C76B5C" w:rsidRDefault="009E47B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</w:pPr>
            <w:r w:rsidRPr="00C76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should revise the manuscript to: (1) explicitly state IRB or ethics committee approval, including the approval reference number and issuing body; (2) provide a more detailed description of the informed consent process; (3) describe the data privacy and confidentiality measures implemented, with reference to relevant data protection regulations; (4) clarify the consent procedures applied to the minor participants in the sample; and (5) include a formal conflict of interest declaration. Addressing these ethical concerns is essential before the manuscript can be considered suitable for publication.</w:t>
            </w:r>
          </w:p>
        </w:tc>
        <w:tc>
          <w:tcPr>
            <w:tcW w:w="1667" w:type="pct"/>
          </w:tcPr>
          <w:p w14:paraId="3175E146" w14:textId="77777777" w:rsidR="00204042" w:rsidRPr="00C76B5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6506A8" w14:textId="77777777" w:rsidR="00285069" w:rsidRPr="00C76B5C" w:rsidRDefault="00285069" w:rsidP="00285069">
      <w:pPr>
        <w:rPr>
          <w:rFonts w:ascii="Arial" w:hAnsi="Arial" w:cs="Arial"/>
          <w:b/>
          <w:sz w:val="20"/>
          <w:szCs w:val="20"/>
          <w:u w:val="single"/>
        </w:rPr>
      </w:pPr>
      <w:r w:rsidRPr="00C76B5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BD164C" w14:textId="77777777" w:rsidR="00285069" w:rsidRPr="00C76B5C" w:rsidRDefault="00285069" w:rsidP="00285069">
      <w:pPr>
        <w:rPr>
          <w:rFonts w:ascii="Arial" w:hAnsi="Arial" w:cs="Arial"/>
          <w:sz w:val="20"/>
          <w:szCs w:val="20"/>
        </w:rPr>
      </w:pPr>
    </w:p>
    <w:p w14:paraId="170D5574" w14:textId="77777777" w:rsidR="00285069" w:rsidRPr="00C76B5C" w:rsidRDefault="00285069" w:rsidP="00285069">
      <w:pPr>
        <w:rPr>
          <w:rFonts w:ascii="Arial" w:hAnsi="Arial" w:cs="Arial"/>
          <w:sz w:val="20"/>
          <w:szCs w:val="20"/>
        </w:rPr>
      </w:pPr>
      <w:proofErr w:type="spellStart"/>
      <w:r w:rsidRPr="00C76B5C">
        <w:rPr>
          <w:rFonts w:ascii="Arial" w:hAnsi="Arial" w:cs="Arial"/>
          <w:color w:val="000000"/>
          <w:sz w:val="20"/>
          <w:szCs w:val="20"/>
        </w:rPr>
        <w:t>Theeranat</w:t>
      </w:r>
      <w:proofErr w:type="spellEnd"/>
      <w:r w:rsidRPr="00C76B5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76B5C">
        <w:rPr>
          <w:rFonts w:ascii="Arial" w:hAnsi="Arial" w:cs="Arial"/>
          <w:color w:val="000000"/>
          <w:sz w:val="20"/>
          <w:szCs w:val="20"/>
        </w:rPr>
        <w:t>Suwanaruang</w:t>
      </w:r>
      <w:proofErr w:type="spellEnd"/>
      <w:r w:rsidRPr="00C76B5C">
        <w:rPr>
          <w:rFonts w:ascii="Arial" w:hAnsi="Arial" w:cs="Arial"/>
          <w:color w:val="000000"/>
          <w:sz w:val="20"/>
          <w:szCs w:val="20"/>
        </w:rPr>
        <w:t>, Kalasin University, Thailand</w:t>
      </w:r>
      <w:r w:rsidRPr="00C76B5C">
        <w:rPr>
          <w:rFonts w:ascii="Arial" w:hAnsi="Arial" w:cs="Arial"/>
          <w:color w:val="000000"/>
          <w:sz w:val="20"/>
          <w:szCs w:val="20"/>
        </w:rPr>
        <w:br/>
      </w:r>
      <w:r w:rsidRPr="00C76B5C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C76B5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C76B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D598" w14:textId="77777777" w:rsidR="00E66A75" w:rsidRDefault="00E66A75">
      <w:r>
        <w:separator/>
      </w:r>
    </w:p>
  </w:endnote>
  <w:endnote w:type="continuationSeparator" w:id="0">
    <w:p w14:paraId="52EAB047" w14:textId="77777777" w:rsidR="00E66A75" w:rsidRDefault="00E6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6C52" w14:textId="77777777" w:rsidR="00E66A75" w:rsidRDefault="00E66A75">
      <w:r>
        <w:separator/>
      </w:r>
    </w:p>
  </w:footnote>
  <w:footnote w:type="continuationSeparator" w:id="0">
    <w:p w14:paraId="0DDF12B5" w14:textId="77777777" w:rsidR="00E66A75" w:rsidRDefault="00E6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0849264">
    <w:abstractNumId w:val="4"/>
  </w:num>
  <w:num w:numId="2" w16cid:durableId="1731151617">
    <w:abstractNumId w:val="8"/>
  </w:num>
  <w:num w:numId="3" w16cid:durableId="150291824">
    <w:abstractNumId w:val="7"/>
  </w:num>
  <w:num w:numId="4" w16cid:durableId="1996179338">
    <w:abstractNumId w:val="9"/>
  </w:num>
  <w:num w:numId="5" w16cid:durableId="1559126476">
    <w:abstractNumId w:val="6"/>
  </w:num>
  <w:num w:numId="6" w16cid:durableId="1035694491">
    <w:abstractNumId w:val="0"/>
  </w:num>
  <w:num w:numId="7" w16cid:durableId="1463382924">
    <w:abstractNumId w:val="3"/>
  </w:num>
  <w:num w:numId="8" w16cid:durableId="1122454962">
    <w:abstractNumId w:val="11"/>
  </w:num>
  <w:num w:numId="9" w16cid:durableId="901910087">
    <w:abstractNumId w:val="10"/>
  </w:num>
  <w:num w:numId="10" w16cid:durableId="909116735">
    <w:abstractNumId w:val="2"/>
  </w:num>
  <w:num w:numId="11" w16cid:durableId="1874220573">
    <w:abstractNumId w:val="1"/>
  </w:num>
  <w:num w:numId="12" w16cid:durableId="31896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50B7E"/>
    <w:rsid w:val="0007776D"/>
    <w:rsid w:val="000D2B40"/>
    <w:rsid w:val="001061B4"/>
    <w:rsid w:val="001877BB"/>
    <w:rsid w:val="00204042"/>
    <w:rsid w:val="00206283"/>
    <w:rsid w:val="00261933"/>
    <w:rsid w:val="00265AF2"/>
    <w:rsid w:val="00285069"/>
    <w:rsid w:val="0028630F"/>
    <w:rsid w:val="002C66D6"/>
    <w:rsid w:val="00553351"/>
    <w:rsid w:val="00566E2B"/>
    <w:rsid w:val="005C677A"/>
    <w:rsid w:val="005D1C36"/>
    <w:rsid w:val="006534F5"/>
    <w:rsid w:val="00797B4B"/>
    <w:rsid w:val="007A699C"/>
    <w:rsid w:val="008306DC"/>
    <w:rsid w:val="00835351"/>
    <w:rsid w:val="008D2987"/>
    <w:rsid w:val="008F177C"/>
    <w:rsid w:val="009A3A95"/>
    <w:rsid w:val="009E47B0"/>
    <w:rsid w:val="00A019D0"/>
    <w:rsid w:val="00A0609E"/>
    <w:rsid w:val="00A2664F"/>
    <w:rsid w:val="00A7113E"/>
    <w:rsid w:val="00AA476E"/>
    <w:rsid w:val="00AF2073"/>
    <w:rsid w:val="00AF3F59"/>
    <w:rsid w:val="00C255C0"/>
    <w:rsid w:val="00C76B5C"/>
    <w:rsid w:val="00D51B4B"/>
    <w:rsid w:val="00D87997"/>
    <w:rsid w:val="00DF4831"/>
    <w:rsid w:val="00E11411"/>
    <w:rsid w:val="00E13F66"/>
    <w:rsid w:val="00E24527"/>
    <w:rsid w:val="00E46CBC"/>
    <w:rsid w:val="00E66A75"/>
    <w:rsid w:val="00EA6E35"/>
    <w:rsid w:val="00EE3E18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2026-05-22T13:36:00Z</dcterms:created>
  <dcterms:modified xsi:type="dcterms:W3CDTF">2026-05-28T07:48:00Z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