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0B5E" w:rsidRPr="00343F5E" w14:paraId="7B129317" w14:textId="77777777">
        <w:trPr>
          <w:trHeight w:val="20"/>
          <w:jc w:val="center"/>
        </w:trPr>
        <w:tc>
          <w:tcPr>
            <w:tcW w:w="1186" w:type="pct"/>
          </w:tcPr>
          <w:p w14:paraId="631019C9" w14:textId="77777777" w:rsidR="00ED0B5E" w:rsidRPr="00343F5E" w:rsidRDefault="00EE5B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BBEC5AC" w14:textId="77777777" w:rsidR="00ED0B5E" w:rsidRPr="00343F5E" w:rsidRDefault="00EE5BF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343F5E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Research in Surgery</w:t>
              </w:r>
            </w:hyperlink>
            <w:r w:rsidRPr="00343F5E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D0B5E" w:rsidRPr="00343F5E" w14:paraId="3D31BF4C" w14:textId="77777777">
        <w:trPr>
          <w:trHeight w:val="20"/>
          <w:jc w:val="center"/>
        </w:trPr>
        <w:tc>
          <w:tcPr>
            <w:tcW w:w="1186" w:type="pct"/>
          </w:tcPr>
          <w:p w14:paraId="5C073CFE" w14:textId="77777777" w:rsidR="00ED0B5E" w:rsidRPr="00343F5E" w:rsidRDefault="00EE5B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DC0F8F" w14:textId="77777777" w:rsidR="00ED0B5E" w:rsidRPr="00343F5E" w:rsidRDefault="00EE5B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Ms_AJRS_156944</w:t>
            </w:r>
          </w:p>
        </w:tc>
      </w:tr>
      <w:tr w:rsidR="00ED0B5E" w:rsidRPr="00343F5E" w14:paraId="7CC08C20" w14:textId="77777777">
        <w:trPr>
          <w:trHeight w:val="20"/>
          <w:jc w:val="center"/>
        </w:trPr>
        <w:tc>
          <w:tcPr>
            <w:tcW w:w="1186" w:type="pct"/>
          </w:tcPr>
          <w:p w14:paraId="2B5E7663" w14:textId="77777777" w:rsidR="00ED0B5E" w:rsidRPr="00343F5E" w:rsidRDefault="00EE5B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0A29ED" w14:textId="77777777" w:rsidR="00ED0B5E" w:rsidRPr="00343F5E" w:rsidRDefault="00EE5B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>Late isolated abdominal wall recurrence of uterine carcinosarcoma treated with wide surgical excision and prosthetic reconstruction : A case report</w:t>
            </w:r>
          </w:p>
        </w:tc>
      </w:tr>
      <w:tr w:rsidR="00ED0B5E" w:rsidRPr="00343F5E" w14:paraId="21486269" w14:textId="77777777">
        <w:trPr>
          <w:trHeight w:val="20"/>
          <w:jc w:val="center"/>
        </w:trPr>
        <w:tc>
          <w:tcPr>
            <w:tcW w:w="1186" w:type="pct"/>
          </w:tcPr>
          <w:p w14:paraId="34A97A88" w14:textId="77777777" w:rsidR="00ED0B5E" w:rsidRPr="00343F5E" w:rsidRDefault="00EE5B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C8D720" w14:textId="77777777" w:rsidR="00ED0B5E" w:rsidRPr="00343F5E" w:rsidRDefault="00EE5B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DA15B7D" w14:textId="77777777" w:rsidR="00ED0B5E" w:rsidRPr="00343F5E" w:rsidRDefault="00ED0B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0A4F23" w14:textId="77777777" w:rsidR="00ED0B5E" w:rsidRPr="00343F5E" w:rsidRDefault="00ED0B5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EADC67" w14:textId="77777777" w:rsidR="00ED0B5E" w:rsidRPr="00343F5E" w:rsidRDefault="00ED0B5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621305" w14:textId="77777777" w:rsidR="00ED0B5E" w:rsidRPr="00343F5E" w:rsidRDefault="00EE5BF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43F5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43F5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B8ECF90" w14:textId="77777777" w:rsidR="00ED0B5E" w:rsidRPr="00343F5E" w:rsidRDefault="00ED0B5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598"/>
        <w:gridCol w:w="3798"/>
      </w:tblGrid>
      <w:tr w:rsidR="00ED0B5E" w:rsidRPr="00343F5E" w14:paraId="2B57CDCA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1F2346D2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655" w:type="pct"/>
          </w:tcPr>
          <w:p w14:paraId="59146A01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3F5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76610A" w14:textId="77777777" w:rsidR="00ED0B5E" w:rsidRPr="00343F5E" w:rsidRDefault="00EE5BF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3F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3F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7E571B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7B256FE6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2AAAAA4C" w14:textId="77777777" w:rsidR="00ED0B5E" w:rsidRPr="00343F5E" w:rsidRDefault="00EE5BF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3F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655" w:type="pct"/>
          </w:tcPr>
          <w:p w14:paraId="42EC9982" w14:textId="77777777" w:rsidR="00ED0B5E" w:rsidRPr="00343F5E" w:rsidRDefault="00EE5BFC">
            <w:pPr>
              <w:pStyle w:val="NormalWeb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00B050"/>
                <w:sz w:val="20"/>
                <w:szCs w:val="20"/>
              </w:rPr>
              <w:t xml:space="preserve">This manuscript presents a rare and clinically significant case of late isolated abdominal wall recurrence of uterine carcinosarcoma, which is an uncommon pattern of disease progression. </w:t>
            </w:r>
            <w:r w:rsidRPr="00343F5E">
              <w:rPr>
                <w:rFonts w:ascii="Arial" w:hAnsi="Arial" w:cs="Arial"/>
                <w:color w:val="00B050"/>
                <w:sz w:val="20"/>
                <w:szCs w:val="20"/>
                <w:lang w:val="en-IN"/>
              </w:rPr>
              <w:t xml:space="preserve">    </w:t>
            </w:r>
            <w:r w:rsidRPr="00343F5E">
              <w:rPr>
                <w:rFonts w:ascii="Arial" w:hAnsi="Arial" w:cs="Arial"/>
                <w:color w:val="00B050"/>
                <w:sz w:val="20"/>
                <w:szCs w:val="20"/>
              </w:rPr>
              <w:t xml:space="preserve">Such cases are scarcely reported in the literature, making this report valuable for clinicians managing gynecologic malignancies. </w:t>
            </w:r>
            <w:r w:rsidRPr="00343F5E">
              <w:rPr>
                <w:rFonts w:ascii="Arial" w:hAnsi="Arial" w:cs="Arial"/>
                <w:color w:val="00B050"/>
                <w:sz w:val="20"/>
                <w:szCs w:val="20"/>
                <w:lang w:val="en-IN"/>
              </w:rPr>
              <w:t xml:space="preserve">                  </w:t>
            </w:r>
            <w:r w:rsidRPr="00343F5E">
              <w:rPr>
                <w:rFonts w:ascii="Arial" w:hAnsi="Arial" w:cs="Arial"/>
                <w:color w:val="00B050"/>
                <w:sz w:val="20"/>
                <w:szCs w:val="20"/>
              </w:rPr>
              <w:t>The detailed description of diagnostic workup, surgical management, and reconstruction adds practical insight for surgical oncologists. Additionally, the emphasis on long-term surveillance reinforces an important clinical message regarding recurrence patterns in aggressive malignancies.</w:t>
            </w:r>
          </w:p>
        </w:tc>
        <w:tc>
          <w:tcPr>
            <w:tcW w:w="1367" w:type="pct"/>
          </w:tcPr>
          <w:p w14:paraId="54C728D7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FBF238" w14:textId="77777777" w:rsidR="00ED0B5E" w:rsidRPr="00343F5E" w:rsidRDefault="00ED0B5E">
      <w:pPr>
        <w:rPr>
          <w:rFonts w:ascii="Arial" w:hAnsi="Arial" w:cs="Arial"/>
          <w:sz w:val="20"/>
          <w:szCs w:val="20"/>
          <w:lang w:val="en-GB"/>
        </w:rPr>
      </w:pPr>
    </w:p>
    <w:p w14:paraId="34CA61FC" w14:textId="77777777" w:rsidR="00ED0B5E" w:rsidRPr="00343F5E" w:rsidRDefault="00ED0B5E">
      <w:pPr>
        <w:rPr>
          <w:rFonts w:ascii="Arial" w:hAnsi="Arial" w:cs="Arial"/>
          <w:sz w:val="20"/>
          <w:szCs w:val="20"/>
          <w:lang w:val="en-GB"/>
        </w:rPr>
      </w:pPr>
    </w:p>
    <w:p w14:paraId="6EF7B123" w14:textId="77777777" w:rsidR="00ED0B5E" w:rsidRPr="00343F5E" w:rsidRDefault="00EE5BF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43F5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D8D10A6" w14:textId="77777777" w:rsidR="00ED0B5E" w:rsidRPr="00343F5E" w:rsidRDefault="00ED0B5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537"/>
        <w:gridCol w:w="3859"/>
      </w:tblGrid>
      <w:tr w:rsidR="00ED0B5E" w:rsidRPr="00343F5E" w14:paraId="099B1DF5" w14:textId="77777777" w:rsidTr="00BA3DA3">
        <w:trPr>
          <w:trHeight w:val="20"/>
          <w:tblHeader/>
          <w:jc w:val="center"/>
        </w:trPr>
        <w:tc>
          <w:tcPr>
            <w:tcW w:w="1978" w:type="pct"/>
            <w:noWrap/>
          </w:tcPr>
          <w:p w14:paraId="2B3EBFF6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633" w:type="pct"/>
          </w:tcPr>
          <w:p w14:paraId="12F3056B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3F5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89" w:type="pct"/>
          </w:tcPr>
          <w:p w14:paraId="58165493" w14:textId="77777777" w:rsidR="00ED0B5E" w:rsidRPr="00343F5E" w:rsidRDefault="00EE5BF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3F5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0B5E" w:rsidRPr="00343F5E" w14:paraId="4ECE1C03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5946A4B8" w14:textId="77777777" w:rsidR="00ED0B5E" w:rsidRPr="00343F5E" w:rsidRDefault="00EE5B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C3AE23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3E881CF2" w14:textId="77777777" w:rsidR="00ED0B5E" w:rsidRPr="00343F5E" w:rsidRDefault="00EE5BFC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5</w:t>
            </w:r>
          </w:p>
        </w:tc>
        <w:tc>
          <w:tcPr>
            <w:tcW w:w="1389" w:type="pct"/>
          </w:tcPr>
          <w:p w14:paraId="53AF27EC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7131AE27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27B01B81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3F5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C7DE2A8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7C0D4025" w14:textId="77777777" w:rsidR="00ED0B5E" w:rsidRPr="00343F5E" w:rsidRDefault="00EE5BFC">
            <w:pPr>
              <w:ind w:left="36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4</w:t>
            </w:r>
          </w:p>
        </w:tc>
        <w:tc>
          <w:tcPr>
            <w:tcW w:w="1389" w:type="pct"/>
          </w:tcPr>
          <w:p w14:paraId="0B5A3458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2B45B366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25FBDAA0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F5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FAD17F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56B086E8" w14:textId="77777777" w:rsidR="00ED0B5E" w:rsidRPr="00343F5E" w:rsidRDefault="00EE5BFC">
            <w:pPr>
              <w:ind w:left="36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5</w:t>
            </w:r>
          </w:p>
        </w:tc>
        <w:tc>
          <w:tcPr>
            <w:tcW w:w="1389" w:type="pct"/>
          </w:tcPr>
          <w:p w14:paraId="5A5E25FD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3EBF223A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1E0CE035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F5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FC9B22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3CD90B77" w14:textId="77777777" w:rsidR="00ED0B5E" w:rsidRPr="00343F5E" w:rsidRDefault="00EE5BFC">
            <w:pPr>
              <w:ind w:left="36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4</w:t>
            </w:r>
          </w:p>
        </w:tc>
        <w:tc>
          <w:tcPr>
            <w:tcW w:w="1389" w:type="pct"/>
          </w:tcPr>
          <w:p w14:paraId="38E1FDC0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663C5AD7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39632298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F5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B813358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3E1BD81F" w14:textId="77777777" w:rsidR="00ED0B5E" w:rsidRPr="00343F5E" w:rsidRDefault="00EE5BFC">
            <w:pPr>
              <w:ind w:left="36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4</w:t>
            </w:r>
          </w:p>
        </w:tc>
        <w:tc>
          <w:tcPr>
            <w:tcW w:w="1389" w:type="pct"/>
          </w:tcPr>
          <w:p w14:paraId="2B3D368C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31DDFEDE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1B9E4299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F5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2D8024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392E083F" w14:textId="77777777" w:rsidR="00ED0B5E" w:rsidRPr="00343F5E" w:rsidRDefault="00EE5BFC">
            <w:pPr>
              <w:ind w:left="36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4</w:t>
            </w:r>
          </w:p>
        </w:tc>
        <w:tc>
          <w:tcPr>
            <w:tcW w:w="1389" w:type="pct"/>
          </w:tcPr>
          <w:p w14:paraId="25789415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21C2606D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1F3F0962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F5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2D99DC2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5A113565" w14:textId="77777777" w:rsidR="00ED0B5E" w:rsidRPr="00343F5E" w:rsidRDefault="00EE5BFC">
            <w:pPr>
              <w:ind w:left="36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4</w:t>
            </w:r>
          </w:p>
        </w:tc>
        <w:tc>
          <w:tcPr>
            <w:tcW w:w="1389" w:type="pct"/>
          </w:tcPr>
          <w:p w14:paraId="078D4DF9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44890C91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0C9FF99B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F5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D9E7A56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61B1A67C" w14:textId="77777777" w:rsidR="00ED0B5E" w:rsidRPr="00343F5E" w:rsidRDefault="00EE5BFC">
            <w:pPr>
              <w:ind w:left="36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3</w:t>
            </w:r>
          </w:p>
        </w:tc>
        <w:tc>
          <w:tcPr>
            <w:tcW w:w="1389" w:type="pct"/>
          </w:tcPr>
          <w:p w14:paraId="426CFE06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17355B4A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4649460C" w14:textId="77777777" w:rsidR="00ED0B5E" w:rsidRPr="00343F5E" w:rsidRDefault="00EE5B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59126B" w14:textId="77777777" w:rsidR="00ED0B5E" w:rsidRPr="00343F5E" w:rsidRDefault="00EE5B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268E4680" w14:textId="77777777" w:rsidR="00ED0B5E" w:rsidRPr="00343F5E" w:rsidRDefault="00EE5BF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5</w:t>
            </w:r>
          </w:p>
        </w:tc>
        <w:tc>
          <w:tcPr>
            <w:tcW w:w="1389" w:type="pct"/>
          </w:tcPr>
          <w:p w14:paraId="4522ACAD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4D640CEE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28E15E8E" w14:textId="77777777" w:rsidR="00ED0B5E" w:rsidRPr="00343F5E" w:rsidRDefault="00EE5B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826D0C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5AB85A6A" w14:textId="77777777" w:rsidR="00ED0B5E" w:rsidRPr="00343F5E" w:rsidRDefault="00EE5BF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5</w:t>
            </w:r>
          </w:p>
        </w:tc>
        <w:tc>
          <w:tcPr>
            <w:tcW w:w="1389" w:type="pct"/>
          </w:tcPr>
          <w:p w14:paraId="2BD5D205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278C2A0D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747E6044" w14:textId="77777777" w:rsidR="00ED0B5E" w:rsidRPr="00343F5E" w:rsidRDefault="00EE5B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62574B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735DEB44" w14:textId="77777777" w:rsidR="00ED0B5E" w:rsidRPr="00343F5E" w:rsidRDefault="00EE5BF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4</w:t>
            </w:r>
          </w:p>
        </w:tc>
        <w:tc>
          <w:tcPr>
            <w:tcW w:w="1389" w:type="pct"/>
          </w:tcPr>
          <w:p w14:paraId="2A9901EB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57E155E6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0698EC53" w14:textId="77777777" w:rsidR="00ED0B5E" w:rsidRPr="00343F5E" w:rsidRDefault="00EE5B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9853B4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19472EE1" w14:textId="77777777" w:rsidR="00ED0B5E" w:rsidRPr="00343F5E" w:rsidRDefault="00EE5BF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5</w:t>
            </w:r>
          </w:p>
        </w:tc>
        <w:tc>
          <w:tcPr>
            <w:tcW w:w="1389" w:type="pct"/>
          </w:tcPr>
          <w:p w14:paraId="23FDCD0B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2F1C3D97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4CE2C793" w14:textId="77777777" w:rsidR="00ED0B5E" w:rsidRPr="00343F5E" w:rsidRDefault="00EE5B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A2353F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269E2B00" w14:textId="77777777" w:rsidR="00ED0B5E" w:rsidRPr="00343F5E" w:rsidRDefault="00EE5BF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3</w:t>
            </w:r>
          </w:p>
        </w:tc>
        <w:tc>
          <w:tcPr>
            <w:tcW w:w="1389" w:type="pct"/>
          </w:tcPr>
          <w:p w14:paraId="0BF2FAAD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6E4B98F4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07ED0A7D" w14:textId="77777777" w:rsidR="00ED0B5E" w:rsidRPr="00343F5E" w:rsidRDefault="00EE5B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90120E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5B991A66" w14:textId="77777777" w:rsidR="00ED0B5E" w:rsidRPr="00343F5E" w:rsidRDefault="00EE5BF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4</w:t>
            </w:r>
          </w:p>
        </w:tc>
        <w:tc>
          <w:tcPr>
            <w:tcW w:w="1389" w:type="pct"/>
          </w:tcPr>
          <w:p w14:paraId="06A95EFA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67930DC4" w14:textId="77777777" w:rsidTr="00BA3DA3">
        <w:trPr>
          <w:trHeight w:val="20"/>
          <w:jc w:val="center"/>
        </w:trPr>
        <w:tc>
          <w:tcPr>
            <w:tcW w:w="1978" w:type="pct"/>
            <w:noWrap/>
          </w:tcPr>
          <w:p w14:paraId="6719FDD4" w14:textId="77777777" w:rsidR="00ED0B5E" w:rsidRPr="00343F5E" w:rsidRDefault="00EE5B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9103CB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633" w:type="pct"/>
          </w:tcPr>
          <w:p w14:paraId="22F53838" w14:textId="77777777" w:rsidR="00ED0B5E" w:rsidRPr="00343F5E" w:rsidRDefault="00EE5BF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4</w:t>
            </w:r>
          </w:p>
        </w:tc>
        <w:tc>
          <w:tcPr>
            <w:tcW w:w="1389" w:type="pct"/>
          </w:tcPr>
          <w:p w14:paraId="3EB164FA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264820" w14:textId="77777777" w:rsidR="00ED0B5E" w:rsidRPr="00343F5E" w:rsidRDefault="00ED0B5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300D52" w14:textId="77777777" w:rsidR="00ED0B5E" w:rsidRPr="00343F5E" w:rsidRDefault="00ED0B5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21C55F" w14:textId="77777777" w:rsidR="00ED0B5E" w:rsidRPr="00343F5E" w:rsidRDefault="00EE5BF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43F5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6551"/>
        <w:gridCol w:w="4284"/>
      </w:tblGrid>
      <w:tr w:rsidR="00ED0B5E" w:rsidRPr="00343F5E" w14:paraId="0ECFC4AD" w14:textId="77777777">
        <w:trPr>
          <w:trHeight w:val="20"/>
          <w:jc w:val="center"/>
        </w:trPr>
        <w:tc>
          <w:tcPr>
            <w:tcW w:w="1100" w:type="pct"/>
            <w:noWrap/>
          </w:tcPr>
          <w:p w14:paraId="67EEEAE0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357" w:type="pct"/>
          </w:tcPr>
          <w:p w14:paraId="5CA4E4BA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3F5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DAC9FFE" w14:textId="77777777" w:rsidR="00ED0B5E" w:rsidRPr="00343F5E" w:rsidRDefault="00ED0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1" w:type="pct"/>
          </w:tcPr>
          <w:p w14:paraId="5306A695" w14:textId="77777777" w:rsidR="00ED0B5E" w:rsidRPr="00343F5E" w:rsidRDefault="00EE5BF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3F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3F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72B99F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774FF04C" w14:textId="77777777">
        <w:trPr>
          <w:trHeight w:val="20"/>
          <w:jc w:val="center"/>
        </w:trPr>
        <w:tc>
          <w:tcPr>
            <w:tcW w:w="1100" w:type="pct"/>
            <w:noWrap/>
          </w:tcPr>
          <w:p w14:paraId="5D7ADDAF" w14:textId="77777777" w:rsidR="00ED0B5E" w:rsidRPr="00343F5E" w:rsidRDefault="00EE5B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10A9A4" w14:textId="77777777" w:rsidR="00ED0B5E" w:rsidRPr="00343F5E" w:rsidRDefault="00ED0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0B2389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357" w:type="pct"/>
          </w:tcPr>
          <w:p w14:paraId="5ACB32E5" w14:textId="77777777" w:rsidR="00ED0B5E" w:rsidRPr="00343F5E" w:rsidRDefault="00EE5B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eastAsia="SimSun" w:hAnsi="Arial" w:cs="Arial"/>
                <w:color w:val="00B050"/>
                <w:sz w:val="20"/>
                <w:szCs w:val="20"/>
              </w:rPr>
              <w:t>YES</w:t>
            </w:r>
            <w:r w:rsidRPr="00343F5E">
              <w:rPr>
                <w:rFonts w:ascii="Arial" w:eastAsia="SimSun" w:hAnsi="Arial" w:cs="Arial"/>
                <w:color w:val="00B050"/>
                <w:sz w:val="20"/>
                <w:szCs w:val="20"/>
              </w:rPr>
              <w:br/>
            </w:r>
            <w:r w:rsidRPr="00343F5E">
              <w:rPr>
                <w:rStyle w:val="Emphasis"/>
                <w:rFonts w:ascii="Arial" w:eastAsia="SimSun" w:hAnsi="Arial" w:cs="Arial"/>
                <w:i w:val="0"/>
                <w:iCs w:val="0"/>
                <w:color w:val="00B050"/>
                <w:sz w:val="20"/>
                <w:szCs w:val="20"/>
              </w:rPr>
              <w:t>(Minor suggestion: briefly mention reconstruction technique outcome in one line for completeness.)</w:t>
            </w:r>
          </w:p>
        </w:tc>
        <w:tc>
          <w:tcPr>
            <w:tcW w:w="1541" w:type="pct"/>
          </w:tcPr>
          <w:p w14:paraId="7E7B2F31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26818C7F" w14:textId="77777777">
        <w:trPr>
          <w:trHeight w:val="20"/>
          <w:jc w:val="center"/>
        </w:trPr>
        <w:tc>
          <w:tcPr>
            <w:tcW w:w="1100" w:type="pct"/>
            <w:noWrap/>
          </w:tcPr>
          <w:p w14:paraId="4B61641C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3F5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001584E" w14:textId="77777777" w:rsidR="00ED0B5E" w:rsidRPr="00343F5E" w:rsidRDefault="00ED0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A14DF0" w14:textId="77777777" w:rsidR="00ED0B5E" w:rsidRPr="00343F5E" w:rsidRDefault="00EE5B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357" w:type="pct"/>
          </w:tcPr>
          <w:p w14:paraId="18A7C7C3" w14:textId="77777777" w:rsidR="00ED0B5E" w:rsidRPr="00343F5E" w:rsidRDefault="00EE5B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1" w:type="pct"/>
          </w:tcPr>
          <w:p w14:paraId="4BFE6705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527A956A" w14:textId="77777777">
        <w:trPr>
          <w:trHeight w:val="20"/>
          <w:jc w:val="center"/>
        </w:trPr>
        <w:tc>
          <w:tcPr>
            <w:tcW w:w="1100" w:type="pct"/>
            <w:noWrap/>
          </w:tcPr>
          <w:p w14:paraId="7CE11388" w14:textId="77777777" w:rsidR="00ED0B5E" w:rsidRPr="00343F5E" w:rsidRDefault="00EE5BF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43F5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43F5E">
              <w:rPr>
                <w:rFonts w:ascii="Arial" w:hAnsi="Arial" w:cs="Arial"/>
                <w:lang w:val="en-GB" w:eastAsia="en-US"/>
              </w:rPr>
              <w:br/>
            </w:r>
          </w:p>
          <w:p w14:paraId="0B2733B8" w14:textId="77777777" w:rsidR="00ED0B5E" w:rsidRPr="00343F5E" w:rsidRDefault="00EE5B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357" w:type="pct"/>
          </w:tcPr>
          <w:p w14:paraId="52D3EF93" w14:textId="77777777" w:rsidR="00ED0B5E" w:rsidRPr="00343F5E" w:rsidRDefault="00EE5B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1" w:type="pct"/>
          </w:tcPr>
          <w:p w14:paraId="4B536D63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22DF9ACC" w14:textId="77777777">
        <w:trPr>
          <w:trHeight w:val="20"/>
          <w:jc w:val="center"/>
        </w:trPr>
        <w:tc>
          <w:tcPr>
            <w:tcW w:w="1100" w:type="pct"/>
            <w:noWrap/>
          </w:tcPr>
          <w:p w14:paraId="5AB8AA14" w14:textId="77777777" w:rsidR="00ED0B5E" w:rsidRPr="00343F5E" w:rsidRDefault="00EE5B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0B1F2F" w14:textId="77777777" w:rsidR="00ED0B5E" w:rsidRPr="00343F5E" w:rsidRDefault="00EE5B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14B54C" w14:textId="77777777" w:rsidR="00ED0B5E" w:rsidRPr="00343F5E" w:rsidRDefault="00ED0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B2D124" w14:textId="77777777" w:rsidR="00ED0B5E" w:rsidRPr="00343F5E" w:rsidRDefault="00EE5B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357" w:type="pct"/>
          </w:tcPr>
          <w:p w14:paraId="10FA8BAC" w14:textId="77777777" w:rsidR="00ED0B5E" w:rsidRPr="00343F5E" w:rsidRDefault="00EE5B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43F5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1" w:type="pct"/>
          </w:tcPr>
          <w:p w14:paraId="06CCCCC6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0B5E" w:rsidRPr="00343F5E" w14:paraId="4CDA4E90" w14:textId="77777777">
        <w:trPr>
          <w:trHeight w:val="896"/>
          <w:jc w:val="center"/>
        </w:trPr>
        <w:tc>
          <w:tcPr>
            <w:tcW w:w="1100" w:type="pct"/>
            <w:noWrap/>
          </w:tcPr>
          <w:p w14:paraId="71380C39" w14:textId="77777777" w:rsidR="00ED0B5E" w:rsidRPr="00343F5E" w:rsidRDefault="00EE5B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3C0367" w14:textId="77777777" w:rsidR="00ED0B5E" w:rsidRPr="00343F5E" w:rsidRDefault="00EE5B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C10052" w14:textId="77777777" w:rsidR="00ED0B5E" w:rsidRPr="00343F5E" w:rsidRDefault="00ED0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C41923" w14:textId="77777777" w:rsidR="00ED0B5E" w:rsidRPr="00343F5E" w:rsidRDefault="00EE5B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F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</w:tc>
        <w:tc>
          <w:tcPr>
            <w:tcW w:w="2357" w:type="pct"/>
          </w:tcPr>
          <w:p w14:paraId="54541E57" w14:textId="77777777" w:rsidR="00ED0B5E" w:rsidRPr="00343F5E" w:rsidRDefault="00EE5BFC">
            <w:pPr>
              <w:pStyle w:val="NormalWeb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43F5E">
              <w:rPr>
                <w:rFonts w:ascii="Arial" w:hAnsi="Arial" w:cs="Arial"/>
                <w:color w:val="00B050"/>
                <w:sz w:val="20"/>
                <w:szCs w:val="20"/>
              </w:rPr>
              <w:t>NO</w:t>
            </w:r>
            <w:r w:rsidRPr="00343F5E">
              <w:rPr>
                <w:rFonts w:ascii="Arial" w:hAnsi="Arial" w:cs="Arial"/>
                <w:color w:val="00B050"/>
                <w:sz w:val="20"/>
                <w:szCs w:val="20"/>
              </w:rPr>
              <w:br/>
            </w:r>
            <w:r w:rsidRPr="00343F5E">
              <w:rPr>
                <w:rStyle w:val="Emphasis"/>
                <w:rFonts w:ascii="Arial" w:hAnsi="Arial" w:cs="Arial"/>
                <w:i w:val="0"/>
                <w:iCs w:val="0"/>
                <w:color w:val="00B050"/>
                <w:sz w:val="20"/>
                <w:szCs w:val="20"/>
              </w:rPr>
              <w:t>(However, inclusion of patient consent statement would strengthen ethical transparency.)</w:t>
            </w:r>
          </w:p>
          <w:p w14:paraId="1060FE5A" w14:textId="77777777" w:rsidR="00ED0B5E" w:rsidRPr="00343F5E" w:rsidRDefault="00ED0B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1" w:type="pct"/>
          </w:tcPr>
          <w:p w14:paraId="6D6BA606" w14:textId="77777777" w:rsidR="00ED0B5E" w:rsidRPr="00343F5E" w:rsidRDefault="00ED0B5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9679AB" w14:textId="77777777" w:rsidR="00ED0B5E" w:rsidRPr="00343F5E" w:rsidRDefault="00ED0B5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D062D8B" w14:textId="77777777" w:rsidR="00ED0B5E" w:rsidRPr="00343F5E" w:rsidRDefault="00ED0B5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C5457C7" w14:textId="77777777" w:rsidR="00ED0B5E" w:rsidRPr="00343F5E" w:rsidRDefault="00ED0B5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F4C96E6" w14:textId="77777777" w:rsidR="00ED0B5E" w:rsidRPr="00343F5E" w:rsidRDefault="00ED0B5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C80AB37" w14:textId="77777777" w:rsidR="00343F5E" w:rsidRPr="00343F5E" w:rsidRDefault="00343F5E" w:rsidP="00343F5E">
      <w:pPr>
        <w:rPr>
          <w:rFonts w:ascii="Arial" w:hAnsi="Arial" w:cs="Arial"/>
          <w:b/>
          <w:sz w:val="20"/>
          <w:szCs w:val="20"/>
          <w:u w:val="single"/>
        </w:rPr>
      </w:pPr>
      <w:r w:rsidRPr="00343F5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44C31A9" w14:textId="046E6B88" w:rsidR="00ED0B5E" w:rsidRPr="00343F5E" w:rsidRDefault="00ED0B5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B1FE1D4" w14:textId="46B83D1D" w:rsidR="00343F5E" w:rsidRPr="00343F5E" w:rsidRDefault="00343F5E" w:rsidP="00343F5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8265643"/>
      <w:r w:rsidRPr="00343F5E">
        <w:rPr>
          <w:rFonts w:ascii="Arial" w:eastAsia="Arial Unicode MS" w:hAnsi="Arial" w:cs="Arial"/>
          <w:b/>
          <w:bCs/>
          <w:sz w:val="20"/>
          <w:szCs w:val="20"/>
          <w:lang w:val="en-GB"/>
        </w:rPr>
        <w:t>Supriya Chinchpure, MUHS, India</w:t>
      </w:r>
      <w:bookmarkEnd w:id="0"/>
    </w:p>
    <w:sectPr w:rsidR="00343F5E" w:rsidRPr="00343F5E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F242" w14:textId="77777777" w:rsidR="0019304C" w:rsidRDefault="0019304C">
      <w:r>
        <w:separator/>
      </w:r>
    </w:p>
  </w:endnote>
  <w:endnote w:type="continuationSeparator" w:id="0">
    <w:p w14:paraId="7991CBB2" w14:textId="77777777" w:rsidR="0019304C" w:rsidRDefault="0019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4D3B" w14:textId="77777777" w:rsidR="00ED0B5E" w:rsidRDefault="00ED0B5E">
    <w:pPr>
      <w:pStyle w:val="Footer"/>
      <w:jc w:val="right"/>
    </w:pPr>
  </w:p>
  <w:p w14:paraId="2634662B" w14:textId="77777777" w:rsidR="00ED0B5E" w:rsidRDefault="00EE5BF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491872E" w14:textId="77777777" w:rsidR="00ED0B5E" w:rsidRDefault="00EE5B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6F0240" w14:textId="77777777" w:rsidR="00ED0B5E" w:rsidRDefault="00ED0B5E">
    <w:pPr>
      <w:pStyle w:val="Footer"/>
      <w:jc w:val="right"/>
    </w:pPr>
  </w:p>
  <w:p w14:paraId="7C85D7EB" w14:textId="77777777" w:rsidR="00ED0B5E" w:rsidRDefault="00ED0B5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81AF" w14:textId="77777777" w:rsidR="0019304C" w:rsidRDefault="0019304C">
      <w:r>
        <w:separator/>
      </w:r>
    </w:p>
  </w:footnote>
  <w:footnote w:type="continuationSeparator" w:id="0">
    <w:p w14:paraId="0F11AA13" w14:textId="77777777" w:rsidR="0019304C" w:rsidRDefault="0019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FE06" w14:textId="77777777" w:rsidR="00ED0B5E" w:rsidRDefault="00ED0B5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4DE4994" w14:textId="77777777" w:rsidR="00ED0B5E" w:rsidRDefault="00EE5BF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9"/>
    <w:rsid w:val="00043244"/>
    <w:rsid w:val="000B5A69"/>
    <w:rsid w:val="0013267B"/>
    <w:rsid w:val="00181AEA"/>
    <w:rsid w:val="0019304C"/>
    <w:rsid w:val="002D3CD5"/>
    <w:rsid w:val="00300985"/>
    <w:rsid w:val="0032267F"/>
    <w:rsid w:val="00343F5E"/>
    <w:rsid w:val="00382CFC"/>
    <w:rsid w:val="00413749"/>
    <w:rsid w:val="00752F70"/>
    <w:rsid w:val="00797001"/>
    <w:rsid w:val="00821A32"/>
    <w:rsid w:val="00BA3DA3"/>
    <w:rsid w:val="00D3172D"/>
    <w:rsid w:val="00EC467E"/>
    <w:rsid w:val="00ED0B5E"/>
    <w:rsid w:val="00EE5BFC"/>
    <w:rsid w:val="00EE7168"/>
    <w:rsid w:val="136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35B0"/>
  <w15:docId w15:val="{0ECD8A50-70D4-4BA3-B492-BCC319E1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32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21</cp:revision>
  <dcterms:created xsi:type="dcterms:W3CDTF">2026-03-24T06:15:00Z</dcterms:created>
  <dcterms:modified xsi:type="dcterms:W3CDTF">2026-06-03T07:40:00Z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eyJoZGlkIjoiNDdjZmQ2YWQ3NTYwNjRkMGJkYTBmYzYwZWQwODcxMDQiLCJ1c2VySWQiOiI1NjcwMDk2NjUwNDMifQ==</vt:lpwstr>
  </property>
  <property fmtid="{D5CDD505-2E9C-101B-9397-08002B2CF9AE}" pid="4" name="KSOProductBuildVer">
    <vt:lpwstr>1033-12.1.0.25242</vt:lpwstr>
  </property>
  <property fmtid="{D5CDD505-2E9C-101B-9397-08002B2CF9AE}" pid="5" name="ICV">
    <vt:lpwstr>71AB2B4F8CA640AB8D80DF8EC29E2931_12</vt:lpwstr>
  </property>
</Properties>
</file>