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126D" w14:textId="77777777" w:rsidR="00754C9A" w:rsidRDefault="00754C9A" w:rsidP="00441B6F">
      <w:pPr>
        <w:pStyle w:val="Title"/>
        <w:spacing w:after="0"/>
        <w:jc w:val="both"/>
        <w:rPr>
          <w:rFonts w:ascii="Arial" w:hAnsi="Arial" w:cs="Arial"/>
        </w:rPr>
      </w:pPr>
    </w:p>
    <w:p w14:paraId="2410AAFA" w14:textId="77777777" w:rsidR="00A258C3" w:rsidRDefault="00377210" w:rsidP="00422382">
      <w:pPr>
        <w:pStyle w:val="Author"/>
        <w:spacing w:line="240" w:lineRule="auto"/>
        <w:rPr>
          <w:rFonts w:ascii="Arial" w:hAnsi="Arial" w:cs="Arial"/>
          <w:bCs/>
          <w:iCs/>
          <w:kern w:val="28"/>
          <w:sz w:val="36"/>
        </w:rPr>
      </w:pPr>
      <w:bookmarkStart w:id="0" w:name="_Hlk230187108"/>
      <w:r w:rsidRPr="00377210">
        <w:rPr>
          <w:rFonts w:ascii="Arial" w:hAnsi="Arial" w:cs="Arial"/>
          <w:bCs/>
          <w:iCs/>
          <w:kern w:val="28"/>
          <w:sz w:val="36"/>
        </w:rPr>
        <w:t xml:space="preserve">Effect of Tryptophan Supplementation in Commercial Feed on the Growth Performance of </w:t>
      </w:r>
      <w:r>
        <w:rPr>
          <w:rFonts w:ascii="Arial" w:hAnsi="Arial" w:cs="Arial"/>
          <w:bCs/>
          <w:iCs/>
          <w:kern w:val="28"/>
          <w:sz w:val="36"/>
        </w:rPr>
        <w:t xml:space="preserve">Mutiara </w:t>
      </w:r>
      <w:r w:rsidRPr="00377210">
        <w:rPr>
          <w:rFonts w:ascii="Arial" w:hAnsi="Arial" w:cs="Arial"/>
          <w:bCs/>
          <w:iCs/>
          <w:kern w:val="28"/>
          <w:sz w:val="36"/>
        </w:rPr>
        <w:t xml:space="preserve">Catfish Juveniles </w:t>
      </w:r>
      <w:r w:rsidR="00ED40AE">
        <w:rPr>
          <w:rFonts w:ascii="Arial" w:hAnsi="Arial" w:cs="Arial"/>
          <w:bCs/>
          <w:iCs/>
          <w:kern w:val="28"/>
          <w:sz w:val="36"/>
        </w:rPr>
        <w:t>(</w:t>
      </w:r>
      <w:r w:rsidR="00ED40AE" w:rsidRPr="00ED40AE">
        <w:rPr>
          <w:rFonts w:ascii="Arial" w:hAnsi="Arial" w:cs="Arial"/>
          <w:bCs/>
          <w:i/>
          <w:iCs/>
          <w:kern w:val="28"/>
          <w:sz w:val="36"/>
        </w:rPr>
        <w:t xml:space="preserve">Clarias </w:t>
      </w:r>
      <w:proofErr w:type="spellStart"/>
      <w:r w:rsidR="00ED40AE" w:rsidRPr="00ED40AE">
        <w:rPr>
          <w:rFonts w:ascii="Arial" w:hAnsi="Arial" w:cs="Arial"/>
          <w:bCs/>
          <w:i/>
          <w:iCs/>
          <w:kern w:val="28"/>
          <w:sz w:val="36"/>
        </w:rPr>
        <w:t>gariepinus</w:t>
      </w:r>
      <w:proofErr w:type="spellEnd"/>
      <w:r w:rsidR="00ED40AE">
        <w:rPr>
          <w:rFonts w:ascii="Arial" w:hAnsi="Arial" w:cs="Arial"/>
          <w:bCs/>
          <w:iCs/>
          <w:kern w:val="28"/>
          <w:sz w:val="36"/>
        </w:rPr>
        <w:t>)</w:t>
      </w:r>
    </w:p>
    <w:bookmarkEnd w:id="0"/>
    <w:p w14:paraId="2E7C0852" w14:textId="77777777" w:rsidR="00422382" w:rsidRPr="00422382" w:rsidRDefault="00422382" w:rsidP="00422382">
      <w:pPr>
        <w:pStyle w:val="Author"/>
        <w:spacing w:line="240" w:lineRule="auto"/>
        <w:rPr>
          <w:rFonts w:ascii="Arial" w:hAnsi="Arial" w:cs="Arial"/>
          <w:bCs/>
          <w:iCs/>
          <w:kern w:val="28"/>
          <w:sz w:val="36"/>
        </w:rPr>
      </w:pPr>
    </w:p>
    <w:p w14:paraId="675800E9" w14:textId="77777777" w:rsidR="00AC33DB" w:rsidRDefault="00AC33DB" w:rsidP="00441B6F">
      <w:pPr>
        <w:pStyle w:val="Affiliation"/>
        <w:spacing w:after="0" w:line="240" w:lineRule="auto"/>
        <w:rPr>
          <w:rFonts w:ascii="Arial" w:hAnsi="Arial" w:cs="Arial"/>
          <w:i/>
        </w:rPr>
      </w:pPr>
    </w:p>
    <w:p w14:paraId="3627E3A8" w14:textId="77777777" w:rsidR="00B655E5" w:rsidRDefault="00B655E5" w:rsidP="00441B6F">
      <w:pPr>
        <w:pStyle w:val="Affiliation"/>
        <w:spacing w:after="0" w:line="240" w:lineRule="auto"/>
        <w:rPr>
          <w:rFonts w:ascii="Arial" w:hAnsi="Arial" w:cs="Arial"/>
          <w:i/>
        </w:rPr>
      </w:pPr>
    </w:p>
    <w:p w14:paraId="335564EC" w14:textId="77777777" w:rsidR="00790ADA" w:rsidRDefault="00790ADA" w:rsidP="00441B6F">
      <w:pPr>
        <w:pStyle w:val="Affiliation"/>
        <w:spacing w:after="0" w:line="240" w:lineRule="auto"/>
        <w:jc w:val="both"/>
        <w:rPr>
          <w:rFonts w:ascii="Arial" w:hAnsi="Arial" w:cs="Arial"/>
        </w:rPr>
      </w:pPr>
    </w:p>
    <w:p w14:paraId="6E0D70BF" w14:textId="77777777" w:rsidR="002C57D2" w:rsidRPr="00FB3A86" w:rsidRDefault="002C57D2" w:rsidP="00441B6F">
      <w:pPr>
        <w:pStyle w:val="Affiliation"/>
        <w:spacing w:after="0" w:line="240" w:lineRule="auto"/>
        <w:jc w:val="both"/>
        <w:rPr>
          <w:rFonts w:ascii="Arial" w:hAnsi="Arial" w:cs="Arial"/>
        </w:rPr>
      </w:pPr>
    </w:p>
    <w:p w14:paraId="14AB4660" w14:textId="77777777" w:rsidR="00B01FCD" w:rsidRPr="00FB3A86" w:rsidRDefault="001D7043" w:rsidP="00441B6F">
      <w:pPr>
        <w:pStyle w:val="Copyright"/>
        <w:spacing w:after="0" w:line="240" w:lineRule="auto"/>
        <w:jc w:val="both"/>
        <w:rPr>
          <w:rFonts w:ascii="Arial" w:hAnsi="Arial" w:cs="Arial"/>
        </w:rPr>
        <w:sectPr w:rsidR="00B01FCD" w:rsidRPr="00FB3A86" w:rsidSect="00B655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6FA3471" wp14:editId="07BAA327">
                <wp:extent cx="5303520" cy="0"/>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68AE8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9B7957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ECA4E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AB74E95" w14:textId="77777777" w:rsidTr="001E44FE">
        <w:tc>
          <w:tcPr>
            <w:tcW w:w="9576" w:type="dxa"/>
            <w:shd w:val="clear" w:color="auto" w:fill="F2F2F2"/>
          </w:tcPr>
          <w:p w14:paraId="2B7E389C" w14:textId="77777777" w:rsidR="003E468B" w:rsidRDefault="00BA1B01" w:rsidP="003E468B">
            <w:pPr>
              <w:pStyle w:val="Body"/>
              <w:spacing w:after="0"/>
              <w:rPr>
                <w:rFonts w:ascii="Arial" w:eastAsia="Calibri" w:hAnsi="Arial" w:cs="Arial"/>
                <w:szCs w:val="22"/>
              </w:rPr>
            </w:pPr>
            <w:r w:rsidRPr="00BA1B01">
              <w:rPr>
                <w:rFonts w:ascii="Arial" w:eastAsia="Calibri" w:hAnsi="Arial" w:cs="Arial"/>
                <w:b/>
                <w:szCs w:val="22"/>
              </w:rPr>
              <w:t>Aims</w:t>
            </w:r>
            <w:r w:rsidR="008D172C">
              <w:rPr>
                <w:rFonts w:ascii="Arial" w:eastAsia="Calibri" w:hAnsi="Arial" w:cs="Arial"/>
                <w:b/>
                <w:szCs w:val="22"/>
              </w:rPr>
              <w:t xml:space="preserve">: </w:t>
            </w:r>
            <w:r w:rsidR="003E468B" w:rsidRPr="003E468B">
              <w:rPr>
                <w:rFonts w:ascii="Arial" w:eastAsia="Calibri" w:hAnsi="Arial" w:cs="Arial"/>
                <w:szCs w:val="22"/>
              </w:rPr>
              <w:t>To determine the effect of tryptophan supplementation on growth parameters, FCR, PER, and protein retention, and to identify the optimal dose of tryptophan supplementation in commercial feed</w:t>
            </w:r>
            <w:r w:rsidR="003E468B">
              <w:rPr>
                <w:rFonts w:ascii="Arial" w:eastAsia="Calibri" w:hAnsi="Arial" w:cs="Arial"/>
                <w:szCs w:val="22"/>
              </w:rPr>
              <w:t xml:space="preserve"> for the growth of juvenile Mutiara catfish</w:t>
            </w:r>
          </w:p>
          <w:p w14:paraId="244E8F97" w14:textId="77777777" w:rsidR="00BA1B01" w:rsidRPr="003E468B" w:rsidRDefault="00BA1B01" w:rsidP="003E468B">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E468B" w:rsidRPr="003E468B">
              <w:rPr>
                <w:rFonts w:ascii="Arial" w:eastAsia="Calibri" w:hAnsi="Arial" w:cs="Arial"/>
                <w:szCs w:val="22"/>
              </w:rPr>
              <w:t>This research used an experimental method with a completely randomized design (CRD) in 4 treatments and 3 repetitions. The treatments given in this study consisted of treatment A (0%), treatment B with the addition of 0.15%, treatment C with the addition of 0.3% and treatment D with the addition of 0.45%.</w:t>
            </w:r>
          </w:p>
          <w:p w14:paraId="74E7624D" w14:textId="77777777" w:rsidR="003E468B"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E468B" w:rsidRPr="003E468B">
              <w:rPr>
                <w:rFonts w:ascii="Arial" w:eastAsia="Calibri" w:hAnsi="Arial" w:cs="Arial"/>
                <w:szCs w:val="22"/>
              </w:rPr>
              <w:t xml:space="preserve">This research was conducted in December 2025-March 2026, at the Hatchery Building 4, Faculty of Fisheries and Marine Sciences, </w:t>
            </w:r>
            <w:proofErr w:type="spellStart"/>
            <w:r w:rsidR="003E468B" w:rsidRPr="003E468B">
              <w:rPr>
                <w:rFonts w:ascii="Arial" w:eastAsia="Calibri" w:hAnsi="Arial" w:cs="Arial"/>
                <w:szCs w:val="22"/>
              </w:rPr>
              <w:t>Padjadjaran</w:t>
            </w:r>
            <w:proofErr w:type="spellEnd"/>
            <w:r w:rsidR="003E468B" w:rsidRPr="003E468B">
              <w:rPr>
                <w:rFonts w:ascii="Arial" w:eastAsia="Calibri" w:hAnsi="Arial" w:cs="Arial"/>
                <w:szCs w:val="22"/>
              </w:rPr>
              <w:t xml:space="preserve"> University.</w:t>
            </w:r>
          </w:p>
          <w:p w14:paraId="6BB32AFE" w14:textId="77777777" w:rsidR="003E468B" w:rsidRDefault="00BA1B01" w:rsidP="003E468B">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E468B" w:rsidRPr="003E468B">
              <w:rPr>
                <w:rFonts w:ascii="Arial" w:eastAsia="Calibri" w:hAnsi="Arial" w:cs="Arial"/>
                <w:szCs w:val="22"/>
              </w:rPr>
              <w:t>The r</w:t>
            </w:r>
            <w:r w:rsidR="00CB4CEC">
              <w:rPr>
                <w:rFonts w:ascii="Arial" w:eastAsia="Calibri" w:hAnsi="Arial" w:cs="Arial"/>
                <w:szCs w:val="22"/>
              </w:rPr>
              <w:t xml:space="preserve">esearch subjects were juvenile </w:t>
            </w:r>
            <w:proofErr w:type="spellStart"/>
            <w:r w:rsidR="00CB4CEC">
              <w:rPr>
                <w:rFonts w:ascii="Arial" w:eastAsia="Calibri" w:hAnsi="Arial" w:cs="Arial"/>
                <w:szCs w:val="22"/>
              </w:rPr>
              <w:t>Mutiara</w:t>
            </w:r>
            <w:r w:rsidR="003E468B" w:rsidRPr="003E468B">
              <w:rPr>
                <w:rFonts w:ascii="Arial" w:eastAsia="Calibri" w:hAnsi="Arial" w:cs="Arial"/>
                <w:szCs w:val="22"/>
              </w:rPr>
              <w:t>l</w:t>
            </w:r>
            <w:proofErr w:type="spellEnd"/>
            <w:r w:rsidR="003E468B" w:rsidRPr="003E468B">
              <w:rPr>
                <w:rFonts w:ascii="Arial" w:eastAsia="Calibri" w:hAnsi="Arial" w:cs="Arial"/>
                <w:szCs w:val="22"/>
              </w:rPr>
              <w:t xml:space="preserve"> catfish (</w:t>
            </w:r>
            <w:r w:rsidR="003E468B" w:rsidRPr="00CB4CEC">
              <w:rPr>
                <w:rFonts w:ascii="Arial" w:eastAsia="Calibri" w:hAnsi="Arial" w:cs="Arial"/>
                <w:i/>
                <w:szCs w:val="22"/>
              </w:rPr>
              <w:t xml:space="preserve">Clarias </w:t>
            </w:r>
            <w:proofErr w:type="spellStart"/>
            <w:r w:rsidR="003E468B" w:rsidRPr="00CB4CEC">
              <w:rPr>
                <w:rFonts w:ascii="Arial" w:eastAsia="Calibri" w:hAnsi="Arial" w:cs="Arial"/>
                <w:i/>
                <w:szCs w:val="22"/>
              </w:rPr>
              <w:t>gariepinus</w:t>
            </w:r>
            <w:proofErr w:type="spellEnd"/>
            <w:r w:rsidR="003E468B" w:rsidRPr="003E468B">
              <w:rPr>
                <w:rFonts w:ascii="Arial" w:eastAsia="Calibri" w:hAnsi="Arial" w:cs="Arial"/>
                <w:szCs w:val="22"/>
              </w:rPr>
              <w:t xml:space="preserve">) measuring 10–13 cm. The fish were reared in aquariums (40 × 24 × 25 cm) at a stocking density of 4 fish per aquarium. Acclimatization in the aquariums lasted 14 days. During the rearing period, the fish were fed a diet supplemented with tryptophan using the coating method. Feeding was conducted twice daily at 08:00 and 16:00 WIB. The amount of feed provided was 5% of the fish biomass, and the feeding rate was adjusted weekly based on the fish biomass weight. </w:t>
            </w:r>
            <w:r w:rsidR="003E468B">
              <w:rPr>
                <w:rFonts w:ascii="Arial" w:eastAsia="Calibri" w:hAnsi="Arial" w:cs="Arial"/>
                <w:szCs w:val="22"/>
              </w:rPr>
              <w:t xml:space="preserve">Data were analyzed using ANOVA </w:t>
            </w:r>
            <w:r w:rsidR="003E468B" w:rsidRPr="003E468B">
              <w:rPr>
                <w:rFonts w:ascii="Arial" w:eastAsia="Calibri" w:hAnsi="Arial" w:cs="Arial"/>
                <w:szCs w:val="22"/>
              </w:rPr>
              <w:t>and Duncan’s Multiple Range Test at a 95% confidence level.</w:t>
            </w:r>
          </w:p>
          <w:p w14:paraId="53853866" w14:textId="77777777" w:rsidR="00BA1B01" w:rsidRPr="003E468B" w:rsidRDefault="00BA1B01" w:rsidP="003E468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B4CEC" w:rsidRPr="00CB4CEC">
              <w:rPr>
                <w:rFonts w:ascii="Arial" w:eastAsia="Calibri" w:hAnsi="Arial" w:cs="Arial"/>
                <w:szCs w:val="22"/>
              </w:rPr>
              <w:t>Tryptophan supplementation in commercial feed gave the best results on the growth of juvenile</w:t>
            </w:r>
            <w:r w:rsidR="00422382">
              <w:rPr>
                <w:rFonts w:ascii="Arial" w:eastAsia="Calibri" w:hAnsi="Arial" w:cs="Arial"/>
                <w:szCs w:val="22"/>
              </w:rPr>
              <w:t xml:space="preserve"> Mutiara</w:t>
            </w:r>
            <w:r w:rsidR="00CB4CEC" w:rsidRPr="00CB4CEC">
              <w:rPr>
                <w:rFonts w:ascii="Arial" w:eastAsia="Calibri" w:hAnsi="Arial" w:cs="Arial"/>
                <w:szCs w:val="22"/>
              </w:rPr>
              <w:t xml:space="preserve"> catfish in treatment C with the addition of 0.3% tryptophan, resulting in absolute weight gain</w:t>
            </w:r>
            <w:r w:rsidR="00CB4CEC">
              <w:rPr>
                <w:rFonts w:ascii="Arial" w:eastAsia="Calibri" w:hAnsi="Arial" w:cs="Arial"/>
                <w:szCs w:val="22"/>
              </w:rPr>
              <w:t xml:space="preserve"> (222.70 g), </w:t>
            </w:r>
            <w:r w:rsidR="00CB4CEC" w:rsidRPr="00CB4CEC">
              <w:rPr>
                <w:rFonts w:ascii="Arial" w:eastAsia="Calibri" w:hAnsi="Arial" w:cs="Arial"/>
                <w:szCs w:val="22"/>
              </w:rPr>
              <w:t>FCR (1.46)</w:t>
            </w:r>
            <w:r w:rsidR="00CB4CEC">
              <w:rPr>
                <w:rFonts w:ascii="Arial" w:eastAsia="Calibri" w:hAnsi="Arial" w:cs="Arial"/>
                <w:szCs w:val="22"/>
              </w:rPr>
              <w:t>,</w:t>
            </w:r>
            <w:r w:rsidR="00CB4CEC" w:rsidRPr="00CB4CEC">
              <w:rPr>
                <w:rFonts w:ascii="Arial" w:eastAsia="Calibri" w:hAnsi="Arial" w:cs="Arial"/>
                <w:szCs w:val="22"/>
              </w:rPr>
              <w:t xml:space="preserve"> PER (11.74%), and protein retention (51.25%).</w:t>
            </w:r>
          </w:p>
          <w:p w14:paraId="38D19113" w14:textId="77777777" w:rsidR="00505F06" w:rsidRPr="0093092C" w:rsidRDefault="00BA1B01" w:rsidP="0093092C">
            <w:pPr>
              <w:pStyle w:val="Body"/>
              <w:rPr>
                <w:rFonts w:ascii="Arial" w:eastAsia="Calibri" w:hAnsi="Arial" w:cs="Arial"/>
                <w:bCs/>
                <w:szCs w:val="22"/>
              </w:rPr>
            </w:pPr>
            <w:r w:rsidRPr="00BA1B01">
              <w:rPr>
                <w:rFonts w:ascii="Arial" w:eastAsia="Calibri" w:hAnsi="Arial" w:cs="Arial"/>
                <w:b/>
                <w:bCs/>
                <w:szCs w:val="22"/>
              </w:rPr>
              <w:t>Conclusion</w:t>
            </w:r>
            <w:r w:rsidR="0093092C">
              <w:rPr>
                <w:rFonts w:ascii="Arial" w:eastAsia="Calibri" w:hAnsi="Arial" w:cs="Arial"/>
                <w:b/>
                <w:bCs/>
                <w:szCs w:val="22"/>
              </w:rPr>
              <w:t xml:space="preserve">: </w:t>
            </w:r>
            <w:r w:rsidR="00CB4CEC" w:rsidRPr="00CB4CEC">
              <w:rPr>
                <w:rFonts w:ascii="Arial" w:eastAsia="Calibri" w:hAnsi="Arial" w:cs="Arial"/>
                <w:bCs/>
                <w:szCs w:val="22"/>
              </w:rPr>
              <w:t>Tryptophan supplementation has been shown to increase weight gain, decrease the protein conversion ratio (FCR), increase the protein efficiency ratio (PER), and increase protein retention. The best tryptophan supplementation dose was found in treatment C, with an addition of 0.3% of the feed.</w:t>
            </w:r>
          </w:p>
        </w:tc>
      </w:tr>
    </w:tbl>
    <w:p w14:paraId="454E8B50" w14:textId="77777777" w:rsidR="00636EB2" w:rsidRDefault="00636EB2" w:rsidP="00441B6F">
      <w:pPr>
        <w:pStyle w:val="Body"/>
        <w:spacing w:after="0"/>
        <w:rPr>
          <w:rFonts w:ascii="Arial" w:hAnsi="Arial" w:cs="Arial"/>
          <w:i/>
        </w:rPr>
      </w:pPr>
    </w:p>
    <w:p w14:paraId="71434617" w14:textId="77777777" w:rsidR="00505F06" w:rsidRDefault="0093092C" w:rsidP="00441B6F">
      <w:pPr>
        <w:pStyle w:val="Body"/>
        <w:spacing w:after="0"/>
        <w:rPr>
          <w:rFonts w:ascii="Arial" w:hAnsi="Arial" w:cs="Arial"/>
          <w:i/>
        </w:rPr>
      </w:pPr>
      <w:r>
        <w:rPr>
          <w:rFonts w:ascii="Arial" w:hAnsi="Arial" w:cs="Arial"/>
          <w:i/>
        </w:rPr>
        <w:t>Keywords: [</w:t>
      </w:r>
      <w:r w:rsidR="00CB4CEC">
        <w:rPr>
          <w:rFonts w:ascii="Arial" w:hAnsi="Arial" w:cs="Arial"/>
          <w:i/>
        </w:rPr>
        <w:t>E</w:t>
      </w:r>
      <w:r w:rsidR="00CB4CEC" w:rsidRPr="00CB4CEC">
        <w:rPr>
          <w:rFonts w:ascii="Arial" w:hAnsi="Arial" w:cs="Arial"/>
          <w:i/>
        </w:rPr>
        <w:t>ssential amino acids</w:t>
      </w:r>
      <w:r>
        <w:rPr>
          <w:rFonts w:ascii="Arial" w:hAnsi="Arial" w:cs="Arial"/>
          <w:i/>
        </w:rPr>
        <w:t xml:space="preserve">, </w:t>
      </w:r>
      <w:r w:rsidR="00CB4CEC">
        <w:rPr>
          <w:rFonts w:ascii="Arial" w:hAnsi="Arial" w:cs="Arial"/>
          <w:i/>
        </w:rPr>
        <w:t>growth</w:t>
      </w:r>
      <w:r>
        <w:rPr>
          <w:rFonts w:ascii="Arial" w:hAnsi="Arial" w:cs="Arial"/>
          <w:i/>
        </w:rPr>
        <w:t xml:space="preserve">, </w:t>
      </w:r>
      <w:r w:rsidR="0068448A">
        <w:rPr>
          <w:rFonts w:ascii="Arial" w:hAnsi="Arial" w:cs="Arial"/>
          <w:i/>
        </w:rPr>
        <w:t>protein retention, protein efficiency ratio</w:t>
      </w:r>
      <w:r w:rsidR="00A24E7E">
        <w:rPr>
          <w:rFonts w:ascii="Arial" w:hAnsi="Arial" w:cs="Arial"/>
          <w:i/>
        </w:rPr>
        <w:t>}</w:t>
      </w:r>
      <w:r w:rsidR="0066510A">
        <w:rPr>
          <w:rFonts w:ascii="Arial" w:hAnsi="Arial" w:cs="Arial"/>
          <w:i/>
        </w:rPr>
        <w:t xml:space="preserve"> </w:t>
      </w:r>
    </w:p>
    <w:p w14:paraId="3CE4CBE1" w14:textId="77777777" w:rsidR="00CB4CEC" w:rsidRPr="00A24E7E" w:rsidRDefault="00CB4CEC" w:rsidP="00441B6F">
      <w:pPr>
        <w:pStyle w:val="Body"/>
        <w:spacing w:after="0"/>
        <w:rPr>
          <w:rFonts w:ascii="Arial" w:hAnsi="Arial" w:cs="Arial"/>
          <w:i/>
        </w:rPr>
      </w:pPr>
    </w:p>
    <w:p w14:paraId="306E4364" w14:textId="77777777" w:rsidR="00790ADA" w:rsidRPr="001807B2" w:rsidRDefault="00902823" w:rsidP="000D126E">
      <w:pPr>
        <w:pStyle w:val="Heading1"/>
        <w:rPr>
          <w:rFonts w:cs="Arial"/>
          <w:sz w:val="22"/>
          <w:szCs w:val="22"/>
        </w:rPr>
      </w:pPr>
      <w:r w:rsidRPr="001807B2">
        <w:rPr>
          <w:sz w:val="22"/>
          <w:szCs w:val="22"/>
        </w:rPr>
        <w:t xml:space="preserve">1. </w:t>
      </w:r>
      <w:r w:rsidR="00B01FCD" w:rsidRPr="001807B2">
        <w:rPr>
          <w:sz w:val="22"/>
          <w:szCs w:val="22"/>
        </w:rPr>
        <w:t>INTRODUCTION</w:t>
      </w:r>
      <w:r w:rsidR="007F7B32" w:rsidRPr="001807B2">
        <w:rPr>
          <w:sz w:val="22"/>
          <w:szCs w:val="22"/>
        </w:rPr>
        <w:t xml:space="preserve"> </w:t>
      </w:r>
    </w:p>
    <w:p w14:paraId="111C2634" w14:textId="77777777" w:rsidR="0033448E" w:rsidRDefault="00CB4CEC" w:rsidP="0033448E">
      <w:pPr>
        <w:pStyle w:val="Body"/>
        <w:rPr>
          <w:rFonts w:ascii="Arial" w:hAnsi="Arial" w:cs="Arial"/>
        </w:rPr>
      </w:pPr>
      <w:r w:rsidRPr="00CB4CEC">
        <w:rPr>
          <w:rFonts w:ascii="Arial" w:hAnsi="Arial" w:cs="Arial"/>
        </w:rPr>
        <w:t xml:space="preserve">Fish feed must contain essential amino acids to be converted into proteins, which are essential for tissue repair and growth. Amino acid deficiencies in fish can lead to poor growth and low </w:t>
      </w:r>
      <w:r w:rsidRPr="00CB4CEC">
        <w:rPr>
          <w:rFonts w:ascii="Arial" w:hAnsi="Arial" w:cs="Arial"/>
        </w:rPr>
        <w:lastRenderedPageBreak/>
        <w:t>feed efficiency</w:t>
      </w:r>
      <w:r>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{"citationItems":[{"id":"ITEM-1","itemData":{"DOI":"10.1016/J.ANIFEEDSCI.2015.09.025","ISSN":"0377-8401","abstract":"The knowledge about nutritional requirements of fish is essential to improve utilization of nutrients. This study was conducted to estimate tryptophan requirements for silver catfish. Groups of 30 fish (4.65 ± 0.68. g) were stored in tanks (125 L) and fed mixed diets containing different tryptophan concentrations (1.0, 1.8, 2.6, 3.4 and 4.2. g/kg of diet) until apparent satiation. After 60 days, growth performance, body composition, nutrient retention, plasma and liver metabolites and digestive enzymes were determined. The data were evaluated with nonlinear and polynomial regressions, and a highly significant effect of tryptophan (P &lt; 0.001) was observed for growth, protein retention coefficient and acidic protease activity. The lowest tested concentration (1.0 g Trp/kg) resulted in less growth and nutrient retention in the body. Fish fed inadequate tryptophan levels exhibited reduced growth, higher hepato-somatic indices and altered enzymatic and metabolic processes, indicating gluconeogenic processes. The estimated tryptophan amino acid requirements for maximum weight gain and protein retention coefficients ranged from 2.5 to 3.4 g/kg depending on the statistical model used for the estimation.","author":[{"dropping-particle":"","family":"Pianesso","given":"D.","non-dropping-particle":"","parse-names":false,"suffix":""},{"dropping-particle":"","family":"Radünz Neto","given":"J.","non-dropping-particle":"","parse-names":false,"suffix":""},{"dropping-particle":"","family":"Silva","given":"L. P.","non-dropping-particle":"da","parse-names":false,"suffix":""},{"dropping-particle":"","family":"Goulart","given":"F. R.","non-dropping-particle":"","parse-names":false,"suffix":""},{"dropping-particle":"","family":"Adorian","given":"T. J.","non-dropping-particle":"","parse-names":false,"suffix":""},{"dropping-particle":"","family":"Mombach","given":"P. I.","non-dropping-particle":"","parse-names":false,"suffix":""},{"dropping-particle":"","family":"Loureiro","given":"B. B.","non-dropping-particle":"","parse-names":false,"suffix":""},{"dropping-particle":"","family":"Dalcin","given":"M. O.","non-dropping-particle":"","parse-names":false,"suffix":""},{"dropping-particle":"","family":"Rotili","given":"D. A.","non-dropping-particle":"","parse-names":false,"suffix":""},{"dropping-particle":"","family":"Lazzari","given":"R.","non-dropping-particle":"","parse-names":false,"suffix":""}],"container-title":"Animal Feed Science and Technology","id":"ITEM-1","issued":{"date-parts":[["2015","12"]]},"page":"172-183","publisher":"Elsevier","title":"Determination of tryptophan requirements for juvenile silver catfish (Rhamdia quelen) and its effects on growth performance, plasma and hepatic metabolites and digestive enzymes activity","type":"article-journal","volume":"210"},"uris":["http://www.mendeley.com/documents/?uuid=19370a1b-9459-4b2e-8bed-c5e86ece7ee6"]}],"mendeley":{"formattedCitation":"(Pianesso et al., 2015)","plainTextFormattedCitation":"(Pianesso et al., 2015)","previouslyFormattedCitation":"(Pianesso et al., 2015)"},"properties":{"noteIndex":0},"schema":"https://github.com/citation-style-language/schema/raw/master/csl-citation.json"}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i/>
          <w:noProof/>
        </w:rPr>
        <w:t>(</w:t>
      </w:r>
      <w:r w:rsidR="00431A2F" w:rsidRPr="00BA0FB2">
        <w:rPr>
          <w:rFonts w:ascii="Arial" w:hAnsi="Arial" w:cs="Arial"/>
          <w:noProof/>
        </w:rPr>
        <w:t>Pianesso</w:t>
      </w:r>
      <w:r w:rsidR="00431A2F" w:rsidRPr="00431A2F">
        <w:rPr>
          <w:rFonts w:ascii="Arial" w:hAnsi="Arial" w:cs="Arial"/>
          <w:i/>
          <w:noProof/>
        </w:rPr>
        <w:t xml:space="preserve"> </w:t>
      </w:r>
      <w:r w:rsidR="00431A2F" w:rsidRPr="00BA0FB2">
        <w:rPr>
          <w:rFonts w:ascii="Arial" w:hAnsi="Arial" w:cs="Arial"/>
          <w:noProof/>
        </w:rPr>
        <w:t xml:space="preserve">et al., </w:t>
      </w:r>
      <w:r w:rsidR="00431A2F" w:rsidRPr="00431A2F">
        <w:rPr>
          <w:rFonts w:ascii="Arial" w:hAnsi="Arial" w:cs="Arial"/>
          <w:noProof/>
        </w:rPr>
        <w:t>2015)</w:t>
      </w:r>
      <w:r w:rsidR="00431A2F">
        <w:rPr>
          <w:rFonts w:ascii="Arial" w:hAnsi="Arial" w:cs="Arial"/>
        </w:rPr>
        <w:fldChar w:fldCharType="end"/>
      </w:r>
      <w:r w:rsidR="0033448E" w:rsidRPr="0033448E">
        <w:rPr>
          <w:rFonts w:ascii="Arial" w:hAnsi="Arial" w:cs="Arial"/>
        </w:rPr>
        <w:t xml:space="preserve">. </w:t>
      </w:r>
      <w:r w:rsidRPr="00CB4CEC">
        <w:rPr>
          <w:rFonts w:ascii="Arial" w:hAnsi="Arial" w:cs="Arial"/>
        </w:rPr>
        <w:t>Essential amino acids are amino acids that cannot be synthesized in the body. Amino acids contained in feed in small amounts are limiting amino acids, such as lysine, methionine, and tryptophan</w:t>
      </w:r>
      <w:r w:rsidR="00431A2F">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{"citationItems":[{"id":"ITEM-1","itemData":{"author":[{"dropping-particle":"","family":"Anggorodi","given":"R","non-dropping-particle":"","parse-names":false,"suffix":""}],"id":"ITEM-1","issued":{"date-parts":[["1994"]]},"number-of-pages":"281","publisher":"PT. Gramedia","publisher-place":"Jakarta","title":"Ilmu Makanan Ternak Umum","type":"book"},"uris":["http://www.mendeley.com/documents/?uuid=86859346-f9de-4ccc-912e-d0d7c793669e"]},{"id":"ITEM-2","itemData":{"DOI":"10.17226/2115","ISBN":"978-0-309-04891-0","abstract":"Using the latest research in fish nutrition, this volume revises and combines the 1981 edition on coldwater fish and the 1983 edition on warmwater fish and shellfish.\\nIn addition to updating requirements for energy, protein, minerals, and vitamins, this book provides, for the first time, summary tables on nutrient requirements of a variety of fish species, including channel catfish, rainbow trout, Pacific salmon, carp, and tilapia. Tabular data on amino acid requirements of 11 species are also included. Shellfish are not included in this edition because of lack of scientific information.","author":[{"dropping-particle":"","family":"Council","given":"National Research","non-dropping-particle":"","parse-names":false,"suffix":""}],"id":"ITEM-2","issued":{"date-parts":[["1993"]]},"publisher":"The National Academies Press","publisher-place":"Washington, DC","title":"Nutrient Requirements of Fish","type":"book"},"uris":["http://www.mendeley.com/documents/?uuid=8e7c2ea5-6b1f-4040-b2e6-8a19f7a5ba44"]}],"mendeley":{"formattedCitation":"(Anggorodi, 1994; Council, 1993)","manualFormatting":"(Anggorodi, 1994; NRC, 1993)","plainTextFormattedCitation":"(Anggorodi, 1994; Council, 1993)","previouslyFormattedCitation":"(Anggorodi, 1994; Council, 1993)"},"properties":{"noteIndex":0},"schema":"https://github.com/citation-style-language/schema/raw/master/csl-citation.json"}</w:instrText>
      </w:r>
      <w:r w:rsidR="00431A2F">
        <w:rPr>
          <w:rFonts w:ascii="Arial" w:hAnsi="Arial" w:cs="Arial"/>
        </w:rPr>
        <w:fldChar w:fldCharType="separate"/>
      </w:r>
      <w:r w:rsidR="00431A2F">
        <w:rPr>
          <w:rFonts w:ascii="Arial" w:hAnsi="Arial" w:cs="Arial"/>
          <w:noProof/>
        </w:rPr>
        <w:t>(Anggorodi, 1994; NRC</w:t>
      </w:r>
      <w:r w:rsidR="00431A2F" w:rsidRPr="00431A2F">
        <w:rPr>
          <w:rFonts w:ascii="Arial" w:hAnsi="Arial" w:cs="Arial"/>
          <w:noProof/>
        </w:rPr>
        <w:t>, 1993)</w:t>
      </w:r>
      <w:r w:rsidR="00431A2F">
        <w:rPr>
          <w:rFonts w:ascii="Arial" w:hAnsi="Arial" w:cs="Arial"/>
        </w:rPr>
        <w:fldChar w:fldCharType="end"/>
      </w:r>
      <w:r w:rsidR="0033448E">
        <w:rPr>
          <w:rFonts w:ascii="Arial" w:hAnsi="Arial" w:cs="Arial"/>
        </w:rPr>
        <w:t xml:space="preserve">. </w:t>
      </w:r>
      <w:r w:rsidR="0033448E" w:rsidRPr="0033448E">
        <w:rPr>
          <w:rFonts w:ascii="Arial" w:hAnsi="Arial" w:cs="Arial"/>
        </w:rPr>
        <w:fldChar w:fldCharType="begin" w:fldLock="1"/>
      </w:r>
      <w:r w:rsidR="006F461E">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mykiss)","type":"article-journal","volume":"519"},"uris":["http://www.mendeley.com/documents/?uuid=7eba088c-7c26-34f7-a4d7-80ffd0ec08a2","http://www.mendeley.com/documents/?uuid=254f95bd-14b9-4f8b-8a18-ed537c5eb7a5"]}],"mendeley":{"formattedCitation":"(Hoseini et al., 2020)","manualFormatting":"Hoseini et al., (2020)","plainTextFormattedCitation":"(Hoseini et al., 2020)","previouslyFormattedCitation":"(Hoseini et al., 2020)"},"properties":{"noteIndex":0},"schema":"https://github.com/citation-style-language/schema/raw/master/csl-citation.json"}</w:instrText>
      </w:r>
      <w:r w:rsidR="0033448E" w:rsidRPr="0033448E">
        <w:rPr>
          <w:rFonts w:ascii="Arial" w:hAnsi="Arial" w:cs="Arial"/>
        </w:rPr>
        <w:fldChar w:fldCharType="separate"/>
      </w:r>
      <w:r w:rsidR="0033448E" w:rsidRPr="00BA0FB2">
        <w:rPr>
          <w:rFonts w:ascii="Arial" w:hAnsi="Arial" w:cs="Arial"/>
          <w:noProof/>
        </w:rPr>
        <w:t>Hoseini et al.</w:t>
      </w:r>
      <w:r w:rsidR="00BA0FB2">
        <w:rPr>
          <w:rFonts w:ascii="Arial" w:hAnsi="Arial" w:cs="Arial"/>
          <w:noProof/>
        </w:rPr>
        <w:t>,</w:t>
      </w:r>
      <w:r w:rsidR="0033448E" w:rsidRPr="0033448E">
        <w:rPr>
          <w:rFonts w:ascii="Arial" w:hAnsi="Arial" w:cs="Arial"/>
          <w:noProof/>
        </w:rPr>
        <w:t xml:space="preserve"> (2020)</w:t>
      </w:r>
      <w:r w:rsidR="0033448E" w:rsidRPr="0033448E">
        <w:rPr>
          <w:rFonts w:ascii="Arial" w:hAnsi="Arial" w:cs="Arial"/>
        </w:rPr>
        <w:fldChar w:fldCharType="end"/>
      </w:r>
      <w:r w:rsidR="0033448E" w:rsidRPr="0033448E">
        <w:rPr>
          <w:rFonts w:ascii="Arial" w:hAnsi="Arial" w:cs="Arial"/>
        </w:rPr>
        <w:t xml:space="preserve"> </w:t>
      </w:r>
      <w:r w:rsidRPr="00CB4CEC">
        <w:rPr>
          <w:rFonts w:ascii="Arial" w:hAnsi="Arial" w:cs="Arial"/>
        </w:rPr>
        <w:t>stated that tryptophan is the amino acid with the lowest abundance in bony fish. This indicates that the need for tryptophan for protein synthesis is low.</w:t>
      </w:r>
    </w:p>
    <w:p w14:paraId="7FF24851" w14:textId="77777777" w:rsidR="00790ADA" w:rsidRDefault="00CB4CEC" w:rsidP="0033448E">
      <w:pPr>
        <w:pStyle w:val="Body"/>
        <w:rPr>
          <w:rFonts w:ascii="Arial" w:hAnsi="Arial" w:cs="Arial"/>
        </w:rPr>
      </w:pPr>
      <w:r w:rsidRPr="00CB4CEC">
        <w:rPr>
          <w:rFonts w:ascii="Arial" w:hAnsi="Arial" w:cs="Arial"/>
        </w:rPr>
        <w:t>Tryptophan supplementation in feed at a dose of 0.5% is beneficial for improving growth performance in rainbow trout, with the effect of reducing fish stress when reared at a high density of 15 kg/m³</w:t>
      </w:r>
      <w:r w:rsidR="00431A2F">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mykiss)","type":"article-journal","volume":"519"},"uris":["http://www.mendeley.com/documents/?uuid=254f95bd-14b9-4f8b-8a18-ed537c5eb7a5"]}],"mendeley":{"formattedCitation":"(Hoseini et al., 2020)","plainTextFormattedCitation":"(Hoseini et al., 2020)","previouslyFormattedCitation":"(Hoseini et al., 2020)"},"properties":{"noteIndex":0},"schema":"https://github.com/citation-style-language/schema/raw/master/csl-citation.json"}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noProof/>
        </w:rPr>
        <w:t>(Hoseini et al., 2020)</w:t>
      </w:r>
      <w:r w:rsidR="00431A2F">
        <w:rPr>
          <w:rFonts w:ascii="Arial" w:hAnsi="Arial" w:cs="Arial"/>
        </w:rPr>
        <w:fldChar w:fldCharType="end"/>
      </w:r>
      <w:r w:rsidR="00442420" w:rsidRPr="00442420">
        <w:rPr>
          <w:rFonts w:ascii="Arial" w:hAnsi="Arial" w:cs="Arial"/>
        </w:rPr>
        <w:t xml:space="preserve">. </w:t>
      </w:r>
      <w:r>
        <w:rPr>
          <w:rFonts w:ascii="Arial" w:hAnsi="Arial" w:cs="Arial"/>
        </w:rPr>
        <w:t xml:space="preserve">According </w:t>
      </w:r>
      <w:r w:rsidR="00442420" w:rsidRPr="00442420">
        <w:rPr>
          <w:rFonts w:ascii="Arial" w:hAnsi="Arial" w:cs="Arial"/>
        </w:rPr>
        <w:fldChar w:fldCharType="begin" w:fldLock="1"/>
      </w:r>
      <w:r w:rsidR="006F461E">
        <w:rPr>
          <w:rFonts w:ascii="Arial" w:hAnsi="Arial" w:cs="Arial"/>
        </w:rPr>
        <w:instrText>ADDIN CSL_CITATION {"citationItems":[{"id":"ITEM-1","itemData":{"DOI":"10.1016/J.AQUACULTURE.2013.07.002","ISSN":"0044-8486","abstract":"This study was conducted both in vivo and in vitro to investigate the effects of tryptophan on growth performance, digestive and absorptive function and protein synthesis of juvenile Jian carp (Cyprinus carpio var. Jian). 1050 juvenile Jian carp (initial weight 7.73±0.03g) were fed seven isonitrogenous diets with graded concentrations of tryptophan (1.1, 1.7, 2.5, 3.8, 4.9, 6.0, 6.9g/kg diet) for 8weeks. Percent weight gain, feed intake and protein retention value were markedly improved, with increases in dietary tryptophan up to 3.8g/kg diet. Similar trend was found in glutamate-oxaloacetate transaminase (GOT) and glutamate-pyruvate transaminase (GPT) activities, trypsin, lipase and α-amylase activities, Na+/K+-ATPase, alkaline phosphatase (AKP), γ-glutamyl transpeptidase and creatine kinase activities, and relative expression of eIF4E-binding protein (4E-BP). On the other hand, feed conversion ratio, plasma ammonia concentration and the relative expression of target of rapamycin (TOR) in different tissue showed an opposite pattern. A series of experiments in vitro were then carried out. Compared with the control group, tryptophan supplementation increased 3-[4,5-dimethylthiazol-2-yl]-2,5 diphenyl tetrazolium bromide (MTT) OD value, protein content and activity of AKP, GOT, GPT and Na+/K+-ATPase in enterocytes and decreased lactate dehydrogenase activity and ammonia concentration in the culture medium. Protein synthesis rate was 17% higher and relative expression of TOR was 28% lower in tryptophan-supplemented than in control carp enterocytes. In conclusion, our results indicate that tryptophan improved fish growth, digestive and absorptive function as well as protein synthesis, which may be partly related to the TOR signaling pathway. © 2013 Elsevier B.V.","author":[{"dropping-particle":"","family":"Tang","given":"Ling","non-dropping-particle":"","parse-names":false,"suffix":""},{"dropping-particle":"","family":"Feng","given":"Lin","non-dropping-particle":"","parse-names":false,"suffix":""},{"dropping-particle":"","family":"Sun","given":"Chong Yan","non-dropping-particle":"","parse-names":false,"suffix":""},{"dropping-particle":"","family":"Chen","given":"Gang Fu","non-dropping-particle":"","parse-names":false,"suffix":""},{"dropping-particle":"","family":"Jiang","given":"Wei Dan","non-dropping-particle":"","parse-names":false,"suffix":""},{"dropping-particle":"","family":"Hu","given":"Kai","non-dropping-particle":"","parse-names":false,"suffix":""},{"dropping-particle":"","family":"Liu","given":"Yang","non-dropping-particle":"","parse-names":false,"suffix":""},{"dropping-particle":"","family":"Jiang","given":"Jun","non-dropping-particle":"","parse-names":false,"suffix":""},{"dropping-particle":"","family":"Li","given":"Shu Hong","non-dropping-particle":"","parse-names":false,"suffix":""},{"dropping-particle":"","family":"Kuang","given":"Sheng Yao","non-dropping-particle":"","parse-names":false,"suffix":""},{"dropping-particle":"","family":"Zhou","given":"Xiao Qiu","non-dropping-particle":"","parse-names":false,"suffix":""}],"container-title":"Aquaculture","id":"ITEM-1","issued":{"date-parts":[["2013","11"]]},"page":"23-33","publisher":"Elsevier","title":"Effect of tryptophan on growth, intestinal enzyme activities and TOR gene expression in juvenile Jian carp (Cyprinus carpio var. Jian): Studies in vivo and in vitro","type":"article-journal","volume":"412-413"},"uris":["http://www.mendeley.com/documents/?uuid=5e93bde0-7b6e-34e1-aac2-4c43bb7f7728","http://www.mendeley.com/documents/?uuid=12be2a96-eec8-4ebc-adc6-5352a7e15697"]}],"mendeley":{"formattedCitation":"(Tang et al., 2013)","manualFormatting":"Tang et al., (2013)","plainTextFormattedCitation":"(Tang et al., 2013)","previouslyFormattedCitation":"(Tang et al., 2013)"},"properties":{"noteIndex":0},"schema":"https://github.com/citation-style-language/schema/raw/master/csl-citation.json"}</w:instrText>
      </w:r>
      <w:r w:rsidR="00442420" w:rsidRPr="00442420">
        <w:rPr>
          <w:rFonts w:ascii="Arial" w:hAnsi="Arial" w:cs="Arial"/>
        </w:rPr>
        <w:fldChar w:fldCharType="separate"/>
      </w:r>
      <w:r w:rsidR="00442420" w:rsidRPr="00442420">
        <w:rPr>
          <w:rFonts w:ascii="Arial" w:hAnsi="Arial" w:cs="Arial"/>
          <w:noProof/>
        </w:rPr>
        <w:t xml:space="preserve">Tang </w:t>
      </w:r>
      <w:r w:rsidR="00442420" w:rsidRPr="002D6030">
        <w:rPr>
          <w:rFonts w:ascii="Arial" w:hAnsi="Arial" w:cs="Arial"/>
          <w:noProof/>
        </w:rPr>
        <w:t>et al.</w:t>
      </w:r>
      <w:r w:rsidR="002D6030">
        <w:rPr>
          <w:rFonts w:ascii="Arial" w:hAnsi="Arial" w:cs="Arial"/>
          <w:noProof/>
        </w:rPr>
        <w:t>,</w:t>
      </w:r>
      <w:r w:rsidR="00442420" w:rsidRPr="00442420">
        <w:rPr>
          <w:rFonts w:ascii="Arial" w:hAnsi="Arial" w:cs="Arial"/>
          <w:noProof/>
        </w:rPr>
        <w:t xml:space="preserve"> (2013)</w:t>
      </w:r>
      <w:r w:rsidR="00442420" w:rsidRPr="00442420">
        <w:rPr>
          <w:rFonts w:ascii="Arial" w:hAnsi="Arial" w:cs="Arial"/>
        </w:rPr>
        <w:fldChar w:fldCharType="end"/>
      </w:r>
      <w:r w:rsidR="00766AF7">
        <w:rPr>
          <w:rFonts w:ascii="Arial" w:hAnsi="Arial" w:cs="Arial"/>
        </w:rPr>
        <w:t xml:space="preserve"> </w:t>
      </w:r>
      <w:r w:rsidRPr="00CB4CEC">
        <w:rPr>
          <w:rFonts w:ascii="Arial" w:hAnsi="Arial" w:cs="Arial"/>
        </w:rPr>
        <w:t xml:space="preserve">tryptophan helps activate the amylase and lipase enzymes so that nutrients in the feed can be optimally utilized by the fish's body. </w:t>
      </w:r>
      <w:r w:rsidR="00442420" w:rsidRPr="00442420">
        <w:rPr>
          <w:rFonts w:ascii="Arial" w:hAnsi="Arial" w:cs="Arial"/>
        </w:rPr>
        <w:fldChar w:fldCharType="begin" w:fldLock="1"/>
      </w:r>
      <w:r w:rsidR="002D6030">
        <w:rPr>
          <w:rFonts w:ascii="Arial" w:hAnsi="Arial" w:cs="Arial"/>
        </w:rPr>
        <w:instrText>ADDIN CSL_CITATION {"citationItems":[{"id":"ITEM-1","itemData":{"DOI":"10.1016/J.AQUACULTURE.2024.740710","ISSN":"0044-8486","abstract":"A 56-day feeding trial was carried out to evaluate the dietary tryptophan requirements for rainbow trout, Oncorhynchus mykiss using 360 fingerlings (1.75 ± 0.02 g/fish; 5.3 ± 0.27 cm/fish) randomly distributed into 6 tanks with six treatments and three replicates. Six isoenergetic (20.9 kj g−1 energy) and isonitrogenous (450 g kg−1 protein) diets with increasing level of tryptophan amino acids (0.40, 1.60, 2.80, 4.0, 5.20 and 6.40 g kg−1) were prepared. Fish were hand-fed twice daily at 09:00 and 17:00 h at a rate of 5% body weight per day. The results revealed that growth parameters were significantly improved with each incremental level up to 4.0 g kg−1 tryptophan containing diet. Similarly high body protein, intermediate body fat and low moisture were observed in fish offered 4.0 g kg−1 dietary tryptophan, whereas body ash content did not produce any significant (p˃0.05) difference, except at lowest fed groups. Significant (p &lt; 0.05) improvement in hemoglobin (Hb) level, hematocrit (Hct) content, red blood cell (RBC) count, total protein, alkaline phosphatase (ALP), albumin and globulin were also noted at 4.0 g kg−1 tryptophan fed diet. Declining pattern in alanine aminotransaminase (ALT) and aspartate aminotransaminase (AST) enzymes were observed up to the optimum level. Intestinal enzymes and antioxidant variables showed a significant upward trend (p &lt; 0.05) in fish fed diets up to 4.0 g kg−1, except amylase and malondialdehyde (MDA) which showed a declined pattern across the treatments. Relative gene expression level of TOR and 4E-BP1 in the muscle were significantly (p &lt; 0.05) high with increasing of dietary tryptophan up to a certain level. Based on the quadratic regression analysis of growth parameters and activity of hemato-biochemical enzymes, the optimum tryptophan requirement of the fish was estimated to be 4.0 g kg−1 of dry diet, corresponding to 8.89 g kg−1 of dietary protein.","author":[{"dropping-particle":"","family":"Ahmed","given":"Imtiaz","non-dropping-particle":"","parse-names":false,"suffix":""},{"dropping-particle":"","family":"Ahmad","given":"Ishtiyaq","non-dropping-particle":"","parse-names":false,"suffix":""},{"dropping-particle":"","family":"Malla","given":"Bashir Ahmad","non-dropping-particle":"","parse-names":false,"suffix":""}],"container-title":"Aquaculture","id":"ITEM-1","issued":{"date-parts":[["2024","5"]]},"page":"740710","publisher":"Elsevier","title":"Effects of dietary tryptophan levels on growth performance, plasma profile, intestinal antioxidant capacity and growth related genes in rainbow trout (Oncorhynchus mykiss) fingerlings","type":"article-journal","volume":"585"},"uris":["http://www.mendeley.com/documents/?uuid=0ea028f6-9e4c-3fdf-8ed7-c7eedc7687f1","http://www.mendeley.com/documents/?uuid=d2b3fb2d-ef41-430c-9319-a5a68a66e95d"]}],"mendeley":{"formattedCitation":"(Ahmed et al., 2024)","manualFormatting":"Ahmed et al., (2024)","plainTextFormattedCitation":"(Ahmed et al., 2024)","previouslyFormattedCitation":"(Ahmed et al., 2024)"},"properties":{"noteIndex":0},"schema":"https://github.com/citation-style-language/schema/raw/master/csl-citation.json"}</w:instrText>
      </w:r>
      <w:r w:rsidR="00442420" w:rsidRPr="00442420">
        <w:rPr>
          <w:rFonts w:ascii="Arial" w:hAnsi="Arial" w:cs="Arial"/>
        </w:rPr>
        <w:fldChar w:fldCharType="separate"/>
      </w:r>
      <w:r w:rsidR="00442420" w:rsidRPr="00442420">
        <w:rPr>
          <w:rFonts w:ascii="Arial" w:hAnsi="Arial" w:cs="Arial"/>
          <w:noProof/>
        </w:rPr>
        <w:t xml:space="preserve">Ahmed </w:t>
      </w:r>
      <w:r w:rsidR="00442420" w:rsidRPr="002D6030">
        <w:rPr>
          <w:rFonts w:ascii="Arial" w:hAnsi="Arial" w:cs="Arial"/>
          <w:noProof/>
        </w:rPr>
        <w:t>et al.</w:t>
      </w:r>
      <w:r w:rsidR="002D6030">
        <w:rPr>
          <w:rFonts w:ascii="Arial" w:hAnsi="Arial" w:cs="Arial"/>
          <w:noProof/>
        </w:rPr>
        <w:t>,</w:t>
      </w:r>
      <w:r w:rsidR="00442420" w:rsidRPr="002D6030">
        <w:rPr>
          <w:rFonts w:ascii="Arial" w:hAnsi="Arial" w:cs="Arial"/>
          <w:noProof/>
        </w:rPr>
        <w:t xml:space="preserve"> </w:t>
      </w:r>
      <w:r w:rsidR="00442420" w:rsidRPr="00442420">
        <w:rPr>
          <w:rFonts w:ascii="Arial" w:hAnsi="Arial" w:cs="Arial"/>
          <w:noProof/>
        </w:rPr>
        <w:t>(2024)</w:t>
      </w:r>
      <w:r w:rsidR="00442420" w:rsidRPr="00442420">
        <w:rPr>
          <w:rFonts w:ascii="Arial" w:hAnsi="Arial" w:cs="Arial"/>
        </w:rPr>
        <w:fldChar w:fldCharType="end"/>
      </w:r>
      <w:r w:rsidR="00442420" w:rsidRPr="00442420">
        <w:rPr>
          <w:rFonts w:ascii="Arial" w:hAnsi="Arial" w:cs="Arial"/>
        </w:rPr>
        <w:t xml:space="preserve"> </w:t>
      </w:r>
      <w:proofErr w:type="spellStart"/>
      <w:r w:rsidRPr="00CB4CEC">
        <w:rPr>
          <w:rFonts w:ascii="Arial" w:hAnsi="Arial" w:cs="Arial"/>
        </w:rPr>
        <w:t>lso</w:t>
      </w:r>
      <w:proofErr w:type="spellEnd"/>
      <w:r w:rsidRPr="00CB4CEC">
        <w:rPr>
          <w:rFonts w:ascii="Arial" w:hAnsi="Arial" w:cs="Arial"/>
        </w:rPr>
        <w:t xml:space="preserve"> explained that 0.4 g/kg tryptophan supplementation for rainbow trout Oncorhynchus mykiss showed an optimal growth value of 374.42% based on the results of the live weight gain (%). Several other studies on tryptophan supplementation have been conducted, including on white snapper, freshwater lobster, and even </w:t>
      </w:r>
      <w:proofErr w:type="spellStart"/>
      <w:r w:rsidRPr="00CB4CEC">
        <w:rPr>
          <w:rFonts w:ascii="Arial" w:hAnsi="Arial" w:cs="Arial"/>
        </w:rPr>
        <w:t>vannamei</w:t>
      </w:r>
      <w:proofErr w:type="spellEnd"/>
      <w:r w:rsidRPr="00CB4CEC">
        <w:rPr>
          <w:rFonts w:ascii="Arial" w:hAnsi="Arial" w:cs="Arial"/>
        </w:rPr>
        <w:t xml:space="preserve"> shrimp with positive results on growth, stress sup</w:t>
      </w:r>
      <w:r>
        <w:rPr>
          <w:rFonts w:ascii="Arial" w:hAnsi="Arial" w:cs="Arial"/>
        </w:rPr>
        <w:t>pression and cannibalism levels</w:t>
      </w:r>
      <w:r w:rsidR="0033448E" w:rsidRPr="0033448E">
        <w:rPr>
          <w:rFonts w:ascii="Arial" w:hAnsi="Arial" w:cs="Arial"/>
        </w:rPr>
        <w:t xml:space="preserve"> </w:t>
      </w:r>
      <w:r w:rsidR="0033448E" w:rsidRPr="0033448E">
        <w:rPr>
          <w:rFonts w:ascii="Arial" w:hAnsi="Arial" w:cs="Arial"/>
        </w:rPr>
        <w:fldChar w:fldCharType="begin" w:fldLock="1"/>
      </w:r>
      <w:r w:rsidR="00BA0FB2">
        <w:rPr>
          <w:rFonts w:ascii="Arial" w:hAnsi="Arial" w:cs="Arial"/>
        </w:rPr>
        <w:instrText>ADDIN CSL_CITATION {"citationItems":[{"id":"ITEM-1","itemData":{"DOI":"10.35308/jlik.v6i1.9561","abstract":"White snapper (Lates calcarifer) is one of the leading marineculture commodities in Indonesia, snapper has a relatively faster growth and has high economic value. One of the factors that cause failure in snapper cultivation in Indonesia is the high level of cannibalism in fish fry. The purpose of this study was the addition of tryptophan to feed whether it affected the level of cannibalism, growth and survival of white snapper. This study used a non-factorial completely randomized design (CRD) method consisting of 4 treatments and 3 replications. The treatments used were Treatment A (control), B (Tryptophan 1%/kg feed), C (Tryptophan 1.5 %/kg feed), D (Tryptophan 2%/kg feed. The lowest cannibalism of snapper was found in treatment B (Tryptophan 1%/kg of feed) with a cannibalism rate of 35.7% and a survival rate of 56.67%.","author":[{"dropping-particle":"","family":"Mainisa","given":"Mainisa","non-dropping-particle":"","parse-names":false,"suffix":""},{"dropping-particle":"","family":"Juliana","given":"Juliana","non-dropping-particle":"","parse-names":false,"suffix":""},{"dropping-particle":"","family":"Khalil","given":"Munawwar","non-dropping-particle":"","parse-names":false,"suffix":""},{"dropping-particle":"","family":"Mahdaliana","given":"Mahdaliana","non-dropping-particle":"","parse-names":false,"suffix":""},{"dropping-particle":"","family":"Salamah","given":"Salamah","non-dropping-particle":"","parse-names":false,"suffix":""}],"container-title":"Jurnal Laot Ilmu Kelautan","id":"ITEM-1","issue":"1","issued":{"date-parts":[["2024"]]},"page":"28","title":"Penggunaan Triptofan dalam Pakan untuk Menurunkan Kanibalisme Ikan Kakap Putih (Lates calcarifer)","type":"article-journal","volume":"6"},"uris":["http://www.mendeley.com/documents/?uuid=9ee6e1a7-8cfd-40cc-b528-44e69bc8e273","http://www.mendeley.com/documents/?uuid=77a5b94f-ff4c-4521-a089-7be0d4f327c5"]},{"id":"ITEM-2","itemData":{"abstract":"Lobster air tawar (Cherax quadricarinatus) merupakan salah satu udang air tawar yang sudah dikembangkan sejak tahun 2000. Karakteristik yang signifikan terkait kelangkaan stok benih adalah sifat kanibalisme. Sifat kanibal biasanya muncul pada stadia benih terutama saat moulting. Upaya yang dapat dilakukan dengan penambahan triptofan dalam pakan. Triptofan merupakan asam amino esensial yang diduga dapat berperan sebagai pengendali kanibal. Penelitian ini bertujuan untuk mengkaji penambahan triptofan dalam pakan buatan terhadap tingkat kanibalisme dan pertumbuhan lobster air tawar. Udang uji yang digunakan adalah lobster air tawar dengan bobot 1,47±0,16 g/ekor. Pakan diberikan dengan metode relative feeding rate yaitu 3%. Benih dipelihara pada ember padat tebar 1 ekor/L. Penelitian ini dilakukan dengan metode eksperimental menggunakan rancangan acak lengkap (RAL) dengan 4 perlakuan dan 5 ulangan. Perlakuan A, B, C, dan D adalah pakan buatan dengan dosis triptofan masing-masing sebesar 0, 1, 2, dan 3%. Variabel yang diamati meliputi total konsumsi pakan (TKP), efisiensi pemanfaatan pakan (EPP), protein efisiensi rasio (PER), laju pertumbuhan relatif (RGR), kelulushidupan (SR) dan tingkat kanibalisme (TK). Hasil penelitian menunjukkan bahwa triptofan pada pakan memberikan pengaruh nyata (P&lt;0,05) terhadap TKP, EPP, PER, RGR, SR, dan TK. Perlakuan B (1%) menghasilkan nilai tertinggi pada TKP yaitu sebesar 16,54±0,91g, EPP 74,54±3,77%, PER 2,12±0,11%, RGR 1,99±0,16%, dan SR 82±8,37%, TK 10,00±7,07%. Dosis optimum untuk menekan tingkat kanibalisme dan meningkatkan pertumbuhan berkisar antara 1,55-1,61%. Parameter kualitas air selama penelitian berada pada kisaran yang layak untuk kehidupan benih lobster air tawar. Disimpulkan bahwa penambahan dosis triptofan dalam pakan buatan mampu menekan tingkat kanibalisme dan meningkatkan pertumbuhan benih lobster air tawar secara maksimal.","author":[{"dropping-particle":"","family":"Trisnasari","given":"Vania","non-dropping-particle":"","parse-names":false,"suffix":""},{"dropping-particle":"","family":"Subandiyono","given":".Subandiyono","non-dropping-particle":"","parse-names":false,"suffix":""},{"dropping-particle":"","family":"Hastuti","given":"Sri","non-dropping-particle":"","parse-names":false,"suffix":""}],"container-title":"Sains Akuakultur Tropis : Indonesian Journal of Tropical Aquaculture","id":"ITEM-2","issue":"1","issued":{"date-parts":[["2020","4"]]},"page":"19-30","title":"Pengaruh Triptofan dalam Pakan Buatan terhadap Tingkat Kanibalisme dan Pertumbuhan Lobster Air Tawar (Cherax quadricarinatus)","type":"article-journal","volume":"4"},"uris":["http://www.mendeley.com/documents/?uuid=39924af1-ecbc-4e8a-b8e1-9b016995c88f","http://www.mendeley.com/documents/?uuid=fecbc2c4-5dd1-4911-b64a-0b03d720c94b"]},{"id":"ITEM-3","itemData":{"abstract":"Vannamei shrimp (Litopenaeus vannamei) is one of the leading fishery products of the fisheries sector. The problem that is often found in the failure of vannamei shrimp productions is the high level of mortality due to the nature of cannibalism during molting. One solution to minimize the cannibalism of vannamei shrimp is to provide tryptophan supplements in a feed. Tryptophan is a type of essential amino acid that serves as a precursor for serotonin biosynthesis. This study aims to determine the effect and optimal dose of tryptophan added to feed to reduce cannibalism and growth of vannamei shrimp. The test fish used in this study were vannamei shrimp with an average weight of 0,81 ± 0,26 g/individual. This study used an experimental method, a completely randomized design (CRD) consisting of 4 treatments and three replications. The test feed used in this study was artificial feed with a protein content of 38% plus tryptophan according to treatments A (0%/kg feed), B (0.75%/kg feed), C (1.5%/kg feed), and D (2.25%/kg feed). The results showed that the addition of Tryptophan in the feed had a noticeable effect (P&lt;0,05) on cannibalism levels, survival, and molting rates but had no significant effect (P&gt;0,05) on absolute weight growth, specific growth rates, efficiency ratios protein and efficiency feed utilization of vannamei shrimp. The best dose of tryptophan addition in feed to lower the rate of vannamei shrimp cannibalism in this study was 2,25%, capable of producing a cannibalism rate of 13,33%. Udang vaname ( Litopenaeus vannamei ) merupakan salah satu produk perikanan unggulan sektor perikanan. Permasalahan yang sering ditemukan dalam kegagalan produksi udang vaname adalah tingginya tingkat mortalitas karena adanya sifat kanibalisme pada saat terjadi molting. Solusi untuk meminimalisir kanibalisme udang vaname adalah dengan memberi suplemasi asam amino pada pakan, salah satunya adalah triptofan. Triptofan merupakan salah satu jenis asam amino esensial yang berfungsi sebagai prekursor untuk biosintesis serotonin. Penelitian ini bertujuan untuk mengkaji pengaruh dan dosis optimal triptofan yang ditambahkan ke dalam pakan untuk menurunkan tingkat kanibalisme dan pertumbuhan udang vaname. Ikan uji yang digunakan pada penelitian ini adalah udang vaname dengan bobot rata-rata 0,81±0,26 g/ekor. Penelitian ini menggunakan metode eksperimen, rancangan acak lengkap (RAL) yang terdiri atas 4 perlakuan dan 3 kali ulangan. Pakan uji yang digunakan dalam penelit…","author":[{"dropping-particle":"","family":"Rachmawati","given":"Diana","non-dropping-particle":"","parse-names":false,"suffix":""},{"dropping-particle":"","family":"Hutabarat","given":"Johannes","non-dropping-particle":"","parse-names":false,"suffix":""},{"dropping-particle":"","family":"Fiat","given":"Ayu Istiana","non-dropping-particle":"","parse-names":false,"suffix":""},{"dropping-particle":"","family":"Elfitasari","given":"Tita","non-dropping-particle":"","parse-names":false,"suffix":""},{"dropping-particle":"","family":"Windarto","given":"Seto","non-dropping-particle":"","parse-names":false,"suffix":""},{"dropping-particle":"","family":"Dewi","given":"Eko Nurcahyo","non-dropping-particle":"","parse-names":false,"suffix":""}],"container-title":"Jurnal Kelautan Tropis","id":"ITEM-3","issue":"3","issued":{"date-parts":[["2021","10"]]},"page":"343-352","title":"Penambahan Asam Amino Triptofan Dalam Pakan Terhadap Tingkat Kanibalisme Dan Pertumbuhan Litopenaeus vannamei","type":"article-journal","volume":"24"},"uris":["http://www.mendeley.com/documents/?uuid=9983b2db-377f-4cdd-b703-6b8a3ffa56eb","http://www.mendeley.com/documents/?uuid=3fd870f3-cc56-4f1d-a246-ef25718caee3"]},{"id":"ITEM-4","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-4","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mykiss)","type":"article-journal","volume":"519"},"uris":["http://www.mendeley.com/documents/?uuid=254f95bd-14b9-4f8b-8a18-ed537c5eb7a5","http://www.mendeley.com/documents/?uuid=7eba088c-7c26-34f7-a4d7-80ffd0ec08a2"]}],"mendeley":{"formattedCitation":"(Hoseini et al., 2020; Mainisa et al., 2024; Rachmawati et al., 2021; Trisnasari et al., 2020)","manualFormatting":"(Mainisa et al., 2024; Trisnasari et al., 2020; Rachmawati et al., 2021)","plainTextFormattedCitation":"(Hoseini et al., 2020; Mainisa et al., 2024; Rachmawati et al., 2021; Trisnasari et al., 2020)","previouslyFormattedCitation":"(Hoseini et al., 2020; Mainisa et al., 2024; Rachmawati et al., 2021; Trisnasari et al., 2020)"},"properties":{"noteIndex":0},"schema":"https://github.com/citation-style-language/schema/raw/master/csl-citation.json"}</w:instrText>
      </w:r>
      <w:r w:rsidR="0033448E" w:rsidRPr="0033448E">
        <w:rPr>
          <w:rFonts w:ascii="Arial" w:hAnsi="Arial" w:cs="Arial"/>
        </w:rPr>
        <w:fldChar w:fldCharType="separate"/>
      </w:r>
      <w:r w:rsidR="0033448E" w:rsidRPr="0033448E">
        <w:rPr>
          <w:rFonts w:ascii="Arial" w:hAnsi="Arial" w:cs="Arial"/>
          <w:noProof/>
        </w:rPr>
        <w:t xml:space="preserve">(Mainisa </w:t>
      </w:r>
      <w:r w:rsidR="0033448E" w:rsidRPr="00BA0FB2">
        <w:rPr>
          <w:rFonts w:ascii="Arial" w:hAnsi="Arial" w:cs="Arial"/>
          <w:noProof/>
        </w:rPr>
        <w:t>et al.</w:t>
      </w:r>
      <w:r w:rsidR="00BA0FB2">
        <w:rPr>
          <w:rFonts w:ascii="Arial" w:hAnsi="Arial" w:cs="Arial"/>
          <w:noProof/>
        </w:rPr>
        <w:t>,</w:t>
      </w:r>
      <w:r w:rsidR="0033448E" w:rsidRPr="00BA0FB2">
        <w:rPr>
          <w:rFonts w:ascii="Arial" w:hAnsi="Arial" w:cs="Arial"/>
          <w:noProof/>
        </w:rPr>
        <w:t xml:space="preserve"> 2024; Trisnasari et al.</w:t>
      </w:r>
      <w:r w:rsidR="00BA0FB2">
        <w:rPr>
          <w:rFonts w:ascii="Arial" w:hAnsi="Arial" w:cs="Arial"/>
          <w:noProof/>
        </w:rPr>
        <w:t>,</w:t>
      </w:r>
      <w:r w:rsidR="0033448E" w:rsidRPr="00BA0FB2">
        <w:rPr>
          <w:rFonts w:ascii="Arial" w:hAnsi="Arial" w:cs="Arial"/>
          <w:noProof/>
        </w:rPr>
        <w:t xml:space="preserve"> 2020; Rachmawati et al.</w:t>
      </w:r>
      <w:r w:rsidR="00BA0FB2">
        <w:rPr>
          <w:rFonts w:ascii="Arial" w:hAnsi="Arial" w:cs="Arial"/>
          <w:noProof/>
        </w:rPr>
        <w:t>,</w:t>
      </w:r>
      <w:r w:rsidR="0033448E" w:rsidRPr="00BA0FB2">
        <w:rPr>
          <w:rFonts w:ascii="Arial" w:hAnsi="Arial" w:cs="Arial"/>
          <w:noProof/>
        </w:rPr>
        <w:t xml:space="preserve"> 2021)</w:t>
      </w:r>
      <w:r w:rsidR="0033448E" w:rsidRPr="0033448E">
        <w:rPr>
          <w:rFonts w:ascii="Arial" w:hAnsi="Arial" w:cs="Arial"/>
        </w:rPr>
        <w:fldChar w:fldCharType="end"/>
      </w:r>
      <w:r w:rsidR="0033448E" w:rsidRPr="0033448E">
        <w:rPr>
          <w:rFonts w:ascii="Arial" w:hAnsi="Arial" w:cs="Arial"/>
        </w:rPr>
        <w:t>.</w:t>
      </w:r>
      <w:r w:rsidR="00442420">
        <w:rPr>
          <w:rFonts w:ascii="Arial" w:hAnsi="Arial" w:cs="Arial"/>
        </w:rPr>
        <w:t xml:space="preserve"> </w:t>
      </w:r>
    </w:p>
    <w:p w14:paraId="0CCD4ACF" w14:textId="77777777" w:rsidR="00610F06" w:rsidRPr="00610F06" w:rsidRDefault="00CB4CEC" w:rsidP="00610F06">
      <w:pPr>
        <w:pStyle w:val="Body"/>
        <w:spacing w:after="0"/>
        <w:rPr>
          <w:rFonts w:ascii="Arial" w:eastAsia="Calibri" w:hAnsi="Arial" w:cs="Arial"/>
          <w:b/>
          <w:szCs w:val="22"/>
        </w:rPr>
      </w:pPr>
      <w:r w:rsidRPr="00CB4CEC">
        <w:rPr>
          <w:rFonts w:ascii="Arial" w:hAnsi="Arial" w:cs="Arial"/>
        </w:rPr>
        <w:t>On the other hand, excessive doses of tryptophan can inhibit fish growth</w:t>
      </w:r>
      <w:r w:rsidR="000F39F6">
        <w:rPr>
          <w:rFonts w:ascii="Arial" w:hAnsi="Arial" w:cs="Arial"/>
        </w:rPr>
        <w:t xml:space="preserve">. </w:t>
      </w:r>
      <w:r w:rsidR="00766AF7" w:rsidRPr="00766AF7">
        <w:rPr>
          <w:rFonts w:ascii="Arial" w:hAnsi="Arial" w:cs="Arial"/>
        </w:rPr>
        <w:fldChar w:fldCharType="begin" w:fldLock="1"/>
      </w:r>
      <w:r w:rsidR="00BA0FB2">
        <w:rPr>
          <w:rFonts w:ascii="Arial" w:hAnsi="Arial" w:cs="Arial"/>
        </w:rPr>
        <w:instrText>ADDIN CSL_CITATION {"citationItems":[{"id":"ITEM-1","itemData":{"DOI":"10.1016/J.AQUACULTURE.2021.736904","ISSN":"0044-8486","abstract":"The optimum dietary tryptophan requirement has not been estimated for northern snakehead (Channa argus Cantor, 1842) despite being considered the main limiting essential amino acid in many cereal grain ingredients. A 70-day feeding trial was carried out to determine the dietary tryptophan requirement using 540 juvenile fish (10.21 ± 0.11 g) randomly distributed into 18 net cages with six treatments and three replicates. Six extruded isonitrogenous (48.56% protein) and isoenergetic (19.72 KJ of gross energy g−1) diets containing 0.19%, 0.30%, 0.39%, 0.48%, 0.59% and 0.68% L-tryptophan were prepared. Fish were hand-fed twice daily at apparent satiation level. The results indicated that final weight, weight gain (WG), specific growth rate (SGR), feed efficiency (FE), protein efficiency ratio (PER), the crude protein content in dorsal muscle, glutamate dehydrogenase activity and glutamate oxaloacetate transaminase activity in liver were significantly improved, with increases in dietary tryptophan up to 0.48%. The content of Methionine, Histidine, Threonine, Glycine, Phenylalanine and Glutamic acid in dorsal muscle of fish was also markedly affected by the dietary tryptophan levels. On the other hand, fish fed with 0.39% dietary tryptophan had the highest pepsin activity, which was significantly higher than that in fish fed with 0.59% and 0.68% dietary tryptophan, however, the glutamate pyruvate transaminase activity significantly increased until the dietary tryptophan level increased to 0.68%. Based on the second-degree polynomial regression analysis of SGR and FE against dietary tryptophan levels, the optimum dietary tryptophan requirement for C. argus was respectively estimated to be 0.46% and 0.45% of the diet, corresponding to 0.95% and 0.93% of dietary protein.","author":[{"dropping-particle":"","family":"Miao","given":"Shuyan","non-dropping-particle":"","parse-names":false,"suffix":""},{"dropping-particle":"","family":"Chang","given":"Enhui","non-dropping-particle":"","parse-names":false,"suffix":""},{"dropping-particle":"","family":"Han","given":"Bei","non-dropping-particle":"","parse-names":false,"suffix":""},{"dropping-particle":"","family":"Zhang","given":"Xin","non-dropping-particle":"","parse-names":false,"suffix":""},{"dropping-particle":"","family":"Liu","given":"Xuran","non-dropping-particle":"","parse-names":false,"suffix":""},{"dropping-particle":"","family":"Zhou","given":"Zihan","non-dropping-particle":"","parse-names":false,"suffix":""},{"dropping-particle":"","family":"Zhou","given":"Yuchen","non-dropping-particle":"","parse-names":false,"suffix":""}],"container-title":"Aquaculture","id":"ITEM-1","issued":{"date-parts":[["2021","9"]]},"page":"736904","publisher":"Elsevier","title":"Dietary tryptophan requirement of northern snakehead, Channa argus (Cantor, 1842)","type":"article-journal","volume":"542"},"uris":["http://www.mendeley.com/documents/?uuid=9ed0f104-b8d5-3b48-b4a6-5e07eb0b119e","http://www.mendeley.com/documents/?uuid=8a87cb7e-2a92-4288-b3f1-4ef68eb88a05"]}],"mendeley":{"formattedCitation":"(Miao et al., 2021)","manualFormatting":"Miao et al., (2021)","plainTextFormattedCitation":"(Miao et al., 2021)","previouslyFormattedCitation":"(Miao et al., 2021)"},"properties":{"noteIndex":0},"schema":"https://github.com/citation-style-language/schema/raw/master/csl-citation.json"}</w:instrText>
      </w:r>
      <w:r w:rsidR="00766AF7" w:rsidRPr="00766AF7">
        <w:rPr>
          <w:rFonts w:ascii="Arial" w:hAnsi="Arial" w:cs="Arial"/>
        </w:rPr>
        <w:fldChar w:fldCharType="separate"/>
      </w:r>
      <w:r w:rsidR="00766AF7" w:rsidRPr="00766AF7">
        <w:rPr>
          <w:rFonts w:ascii="Arial" w:hAnsi="Arial" w:cs="Arial"/>
          <w:noProof/>
        </w:rPr>
        <w:t xml:space="preserve">Miao </w:t>
      </w:r>
      <w:r w:rsidR="00766AF7" w:rsidRPr="00BA0FB2">
        <w:rPr>
          <w:rFonts w:ascii="Arial" w:hAnsi="Arial" w:cs="Arial"/>
          <w:noProof/>
        </w:rPr>
        <w:t>et al.</w:t>
      </w:r>
      <w:r w:rsidR="00BA0FB2">
        <w:rPr>
          <w:rFonts w:ascii="Arial" w:hAnsi="Arial" w:cs="Arial"/>
          <w:noProof/>
        </w:rPr>
        <w:t>,</w:t>
      </w:r>
      <w:r w:rsidR="00766AF7" w:rsidRPr="00BA0FB2">
        <w:rPr>
          <w:rFonts w:ascii="Arial" w:hAnsi="Arial" w:cs="Arial"/>
          <w:noProof/>
        </w:rPr>
        <w:t xml:space="preserve"> </w:t>
      </w:r>
      <w:r w:rsidR="00766AF7" w:rsidRPr="00766AF7">
        <w:rPr>
          <w:rFonts w:ascii="Arial" w:hAnsi="Arial" w:cs="Arial"/>
          <w:noProof/>
        </w:rPr>
        <w:t>(2021)</w:t>
      </w:r>
      <w:r w:rsidR="00766AF7" w:rsidRPr="00766AF7">
        <w:rPr>
          <w:rFonts w:ascii="Arial" w:hAnsi="Arial" w:cs="Arial"/>
        </w:rPr>
        <w:fldChar w:fldCharType="end"/>
      </w:r>
      <w:r w:rsidR="00766AF7" w:rsidRPr="00766AF7">
        <w:rPr>
          <w:rFonts w:ascii="Arial" w:hAnsi="Arial" w:cs="Arial"/>
        </w:rPr>
        <w:t xml:space="preserve"> </w:t>
      </w:r>
      <w:r w:rsidR="00B96FE8" w:rsidRPr="00B96FE8">
        <w:rPr>
          <w:rFonts w:ascii="Arial" w:hAnsi="Arial" w:cs="Arial"/>
        </w:rPr>
        <w:t>stated that excess tryptophan can cause decreased digestive enzyme activity</w:t>
      </w:r>
      <w:r w:rsidR="00766AF7" w:rsidRPr="00766AF7">
        <w:rPr>
          <w:rFonts w:ascii="Arial" w:hAnsi="Arial" w:cs="Arial"/>
        </w:rPr>
        <w:t>.</w:t>
      </w:r>
      <w:r w:rsidR="00766AF7">
        <w:rPr>
          <w:rFonts w:ascii="Arial" w:hAnsi="Arial" w:cs="Arial"/>
        </w:rPr>
        <w:t xml:space="preserve"> </w:t>
      </w:r>
      <w:r w:rsidR="00766AF7" w:rsidRPr="00766AF7">
        <w:rPr>
          <w:rFonts w:ascii="Arial" w:hAnsi="Arial" w:cs="Arial"/>
        </w:rPr>
        <w:fldChar w:fldCharType="begin" w:fldLock="1"/>
      </w:r>
      <w:r w:rsidR="006F461E">
        <w:rPr>
          <w:rFonts w:ascii="Arial" w:hAnsi="Arial" w:cs="Arial"/>
        </w:rPr>
        <w:instrText>ADDIN CSL_CITATION {"citationItems":[{"id":"ITEM-1","itemData":{"DOI":"10.1016/J.FSI.2019.08.006","ISSN":"1050-4648","PMID":"31381972","abstract":"Dietary administration of tryptophan has been proved improving growth performance of fish. An 8-week feeding trial was conducted to investigate the effects of dietary tryptophan level on antioxidant capacity and immune response through Nrf2 and TOR signaling pathway. The results showed that, 0.08% tryptophan level significantly increased plasma aspartate aminotransferase (AST), while immunoglobulin M (IgM) and alkaline phosphatase (ALP) were strikingly increased by 0.40% level. The level of plasma complement component 3 (C3), alanine aminotransferase (ALT) and albumin (ALB) were independent of tryptophan supplementation. Total superoxide dismutase (T-SOD), catalase (CAT), total antioxidant capacity (T-AOC) and glutathione (GSH) activity were increased with increasing dietary tryptophan level until 0.40% and then decreased, while the level of malondialdehyde (MDA) showed a reverse trend. 0.19% and 0.28% tryptophan level significantly improved the glutathione peroxidase 1 (GPx-1) activity. Compared with 0.08% dietary tryptophan level, 0.40% level significantly improved nuclear factor erythroid 2-related factor 2 (Nrf2), GPx, manganese superoxide dismutase (Mn-SOD), CAT and transforming growth factor-β (TGF-β) mRNA level, while Kelch-like ECH-associated protein 1 (Keap1) and interleukin 1β (IL-1β) mRNA level were significantly decreased. The relative expression of copper zinc superoxide dismutase (Cu/Zn-SOD), heme oxygenase-1 (HO-1), target of rapamycin (TOR), phosphatidylinositol-4,5-bisphosphate 3-kinase (PI3K), protein kinase B (Akt) and interleukin 10 (IL-10) were significantly improved by 0.28% diet, while the mRNA level of tumor necrosis factor-α (TNF-α) and nuclear factor-kappa B (NF-κB) were increased by 0.08% diet. Interleukin 8 (IL-8) mRNA level was not significantly affected by dietary tryptophan. Based on MDA and T-SOD value, the optimal dietary tryptophan level of juvenile blunt snout bream was determined to be 0.33% (1.03% of dietary protein) and 0.36% (1.13% of dietary protein), respectively, using quadratic regression analysis.","author":[{"dropping-particle":"","family":"Ji","given":"Ke","non-dropping-particle":"","parse-names":false,"suffix":""},{"dropping-particle":"","family":"Liang","given":"Hualiang","non-dropping-particle":"","parse-names":false,"suffix":""},{"dropping-particle":"","family":"Ren","given":"Mingchun","non-dropping-particle":"","parse-names":false,"suffix":""},{"dropping-particle":"","family":"Ge","given":"Xianping","non-dropping-particle":"","parse-names":false,"suffix":""},{"dropping-particle":"","family":"Liu","given":"Bo","non-dropping-particle":"","parse-names":false,"suffix":""},{"dropping-particle":"","family":"Xi","given":"Bingwen","non-dropping-particle":"","parse-names":false,"suffix":""},{"dropping-particle":"","family":"Pan","given":"Liangkun","non-dropping-particle":"","parse-names":false,"suffix":""},{"dropping-particle":"","family":"Yu","given":"Heng","non-dropping-particle":"","parse-names":false,"suffix":""}],"container-title":"Fish &amp; Shellfish Immunology","id":"ITEM-1","issued":{"date-parts":[["2019","10"]]},"page":"474-483","publisher":"Academic Press","title":"Effects of dietary tryptophan levels on antioxidant status and immunity for juvenile blunt snout bream (Megalobrama amblycephala) involved in Nrf2 and TOR signaling pathway","type":"article-journal","volume":"93"},"uris":["http://www.mendeley.com/documents/?uuid=a82e8eb6-0ac8-34a9-a7db-887db73430c6","http://www.mendeley.com/documents/?uuid=fdf181d1-3d6d-4fd3-9127-82d7437fb97f"]}],"mendeley":{"formattedCitation":"(Ji et al., 2019)","manualFormatting":"Ji et al., (2019)","plainTextFormattedCitation":"(Ji et al., 2019)","previouslyFormattedCitation":"(Ji et al., 2019)"},"properties":{"noteIndex":0},"schema":"https://github.com/citation-style-language/schema/raw/master/csl-citation.json"}</w:instrText>
      </w:r>
      <w:r w:rsidR="00766AF7" w:rsidRPr="00766AF7">
        <w:rPr>
          <w:rFonts w:ascii="Arial" w:hAnsi="Arial" w:cs="Arial"/>
        </w:rPr>
        <w:fldChar w:fldCharType="separate"/>
      </w:r>
      <w:r w:rsidR="00766AF7" w:rsidRPr="00766AF7">
        <w:rPr>
          <w:rFonts w:ascii="Arial" w:hAnsi="Arial" w:cs="Arial"/>
          <w:noProof/>
        </w:rPr>
        <w:t xml:space="preserve">Ji </w:t>
      </w:r>
      <w:r w:rsidR="00766AF7" w:rsidRPr="00BA0FB2">
        <w:rPr>
          <w:rFonts w:ascii="Arial" w:hAnsi="Arial" w:cs="Arial"/>
          <w:noProof/>
        </w:rPr>
        <w:t>et al.</w:t>
      </w:r>
      <w:r w:rsidR="00BA0FB2">
        <w:rPr>
          <w:rFonts w:ascii="Arial" w:hAnsi="Arial" w:cs="Arial"/>
          <w:noProof/>
        </w:rPr>
        <w:t>,</w:t>
      </w:r>
      <w:r w:rsidR="00766AF7" w:rsidRPr="00766AF7">
        <w:rPr>
          <w:rFonts w:ascii="Arial" w:hAnsi="Arial" w:cs="Arial"/>
          <w:noProof/>
        </w:rPr>
        <w:t xml:space="preserve"> (2019)</w:t>
      </w:r>
      <w:r w:rsidR="00766AF7" w:rsidRPr="00766AF7">
        <w:rPr>
          <w:rFonts w:ascii="Arial" w:hAnsi="Arial" w:cs="Arial"/>
        </w:rPr>
        <w:fldChar w:fldCharType="end"/>
      </w:r>
      <w:r w:rsidR="00766AF7" w:rsidRPr="00766AF7">
        <w:rPr>
          <w:rFonts w:ascii="Arial" w:hAnsi="Arial" w:cs="Arial"/>
        </w:rPr>
        <w:t xml:space="preserve"> </w:t>
      </w:r>
      <w:r w:rsidR="00B96FE8" w:rsidRPr="00B96FE8">
        <w:rPr>
          <w:rFonts w:ascii="Arial" w:hAnsi="Arial" w:cs="Arial"/>
        </w:rPr>
        <w:t xml:space="preserve">explained that insufficient tryptophan intake can cause eye cataracts in juvenile blunt snout bream. To prevent similar problems in fish, tryptophan should be added to the feed at an optimal dose </w:t>
      </w:r>
      <w:r w:rsidR="003B5B12" w:rsidRPr="00B96FE8">
        <w:rPr>
          <w:rFonts w:ascii="Arial" w:hAnsi="Arial" w:cs="Arial"/>
        </w:rPr>
        <w:t xml:space="preserve">According </w:t>
      </w:r>
      <w:r w:rsidR="00B96FE8" w:rsidRPr="00B96FE8">
        <w:rPr>
          <w:rFonts w:ascii="Arial" w:hAnsi="Arial" w:cs="Arial"/>
        </w:rPr>
        <w:t xml:space="preserve">to the fish's growth requirements. This study aims to determine the effect of tryptophan supplementation in commercial feed on growth parameters, FCR, PER, and Protein Retention, and the optimal dose of tryptophan supplementation in commercial feed on the growth of juvenile </w:t>
      </w:r>
      <w:r w:rsidR="00B96FE8">
        <w:rPr>
          <w:rFonts w:ascii="Arial" w:hAnsi="Arial" w:cs="Arial"/>
        </w:rPr>
        <w:t xml:space="preserve">Mutiara </w:t>
      </w:r>
      <w:r w:rsidR="00B96FE8" w:rsidRPr="00B96FE8">
        <w:rPr>
          <w:rFonts w:ascii="Arial" w:hAnsi="Arial" w:cs="Arial"/>
        </w:rPr>
        <w:t>catfish.</w:t>
      </w:r>
      <w:r w:rsidR="00B96FE8">
        <w:rPr>
          <w:rFonts w:ascii="Arial" w:hAnsi="Arial" w:cs="Arial"/>
        </w:rPr>
        <w:t xml:space="preserve"> </w:t>
      </w:r>
      <w:r w:rsidR="00610F06">
        <w:rPr>
          <w:rFonts w:ascii="Arial" w:eastAsia="Calibri" w:hAnsi="Arial" w:cs="Arial"/>
          <w:szCs w:val="22"/>
        </w:rPr>
        <w:t xml:space="preserve"> </w:t>
      </w:r>
    </w:p>
    <w:p w14:paraId="3ABB9295" w14:textId="47F60816" w:rsidR="007B3AB6" w:rsidRPr="001807B2" w:rsidRDefault="000D126E" w:rsidP="000D126E">
      <w:pPr>
        <w:pStyle w:val="Heading1"/>
        <w:rPr>
          <w:sz w:val="22"/>
          <w:szCs w:val="22"/>
        </w:rPr>
      </w:pPr>
      <w:r w:rsidRPr="001807B2">
        <w:rPr>
          <w:sz w:val="22"/>
          <w:szCs w:val="22"/>
        </w:rPr>
        <w:t>2. MATERIAL</w:t>
      </w:r>
      <w:r w:rsidR="00C722F0" w:rsidRPr="00C722F0">
        <w:rPr>
          <w:color w:val="EE0000"/>
          <w:sz w:val="22"/>
          <w:szCs w:val="22"/>
        </w:rPr>
        <w:t>S</w:t>
      </w:r>
      <w:r w:rsidRPr="001807B2">
        <w:rPr>
          <w:sz w:val="22"/>
          <w:szCs w:val="22"/>
        </w:rPr>
        <w:t xml:space="preserve"> AND METHODS </w:t>
      </w:r>
    </w:p>
    <w:p w14:paraId="48F33E7D" w14:textId="77777777" w:rsidR="00B96FE8" w:rsidRDefault="00B96FE8" w:rsidP="0078076E">
      <w:pPr>
        <w:pStyle w:val="Body"/>
        <w:spacing w:after="0"/>
        <w:rPr>
          <w:rFonts w:ascii="Arial" w:hAnsi="Arial" w:cs="Arial"/>
        </w:rPr>
      </w:pPr>
      <w:r w:rsidRPr="00B96FE8">
        <w:rPr>
          <w:rFonts w:ascii="Arial" w:hAnsi="Arial" w:cs="Arial"/>
        </w:rPr>
        <w:t xml:space="preserve">This research was conducted in December 2025-March 2026, at the Hatchery Building 4, Faculty of Fisheries and Marine Sciences, </w:t>
      </w:r>
      <w:proofErr w:type="spellStart"/>
      <w:r w:rsidRPr="00B96FE8">
        <w:rPr>
          <w:rFonts w:ascii="Arial" w:hAnsi="Arial" w:cs="Arial"/>
        </w:rPr>
        <w:t>Padjadjaran</w:t>
      </w:r>
      <w:proofErr w:type="spellEnd"/>
      <w:r w:rsidRPr="00B96FE8">
        <w:rPr>
          <w:rFonts w:ascii="Arial" w:hAnsi="Arial" w:cs="Arial"/>
        </w:rPr>
        <w:t xml:space="preserve"> University. The tools used in this research include: aquarium (40 x 24 x 25) cm, aerator installation, heater, dissolved oxygen (DO) meter, pH meter, digital scale, label paper, ruler, and siphon tool. The materials used in this research were juvenile catfish measuring 10-13 cm, commercial feed Prima Feed 1000 (39-41%), tryptophan powder, </w:t>
      </w:r>
      <w:proofErr w:type="spellStart"/>
      <w:r w:rsidRPr="00B96FE8">
        <w:rPr>
          <w:rFonts w:ascii="Arial" w:hAnsi="Arial" w:cs="Arial"/>
        </w:rPr>
        <w:t>progol</w:t>
      </w:r>
      <w:proofErr w:type="spellEnd"/>
      <w:r w:rsidRPr="00B96FE8">
        <w:rPr>
          <w:rFonts w:ascii="Arial" w:hAnsi="Arial" w:cs="Arial"/>
        </w:rPr>
        <w:t>, and silica gel.</w:t>
      </w:r>
    </w:p>
    <w:p w14:paraId="36B10B84" w14:textId="77777777" w:rsidR="00B96FE8" w:rsidRDefault="00B96FE8" w:rsidP="0078076E">
      <w:pPr>
        <w:pStyle w:val="Body"/>
        <w:spacing w:after="0"/>
        <w:rPr>
          <w:rFonts w:ascii="Arial" w:hAnsi="Arial" w:cs="Arial"/>
        </w:rPr>
      </w:pPr>
    </w:p>
    <w:p w14:paraId="41139315" w14:textId="77777777" w:rsidR="004401A1" w:rsidRPr="003B5B12" w:rsidRDefault="00DE360C" w:rsidP="003B5B12">
      <w:pPr>
        <w:pStyle w:val="Head2"/>
        <w:spacing w:after="0"/>
        <w:rPr>
          <w:rFonts w:ascii="Arial" w:hAnsi="Arial" w:cs="Arial"/>
          <w:b/>
          <w:sz w:val="22"/>
          <w:szCs w:val="22"/>
        </w:rPr>
      </w:pPr>
      <w:r>
        <w:rPr>
          <w:rFonts w:ascii="Arial" w:hAnsi="Arial" w:cs="Arial"/>
          <w:b/>
          <w:caps w:val="0"/>
          <w:sz w:val="22"/>
          <w:szCs w:val="22"/>
        </w:rPr>
        <w:t>2.1 Research Design</w:t>
      </w:r>
    </w:p>
    <w:p w14:paraId="26FE5516" w14:textId="7A1D3BED" w:rsidR="00B96FE8" w:rsidRDefault="00B96FE8" w:rsidP="0078076E">
      <w:pPr>
        <w:pStyle w:val="Body"/>
        <w:spacing w:after="0"/>
        <w:rPr>
          <w:rFonts w:ascii="Arial" w:hAnsi="Arial" w:cs="Arial"/>
        </w:rPr>
      </w:pPr>
      <w:r w:rsidRPr="00B96FE8">
        <w:rPr>
          <w:rFonts w:ascii="Arial" w:hAnsi="Arial" w:cs="Arial"/>
        </w:rPr>
        <w:t>This research was conducted experimentally using a Completely Randomized Design (CRD) with four treatments and four</w:t>
      </w:r>
      <w:r w:rsidR="00C722F0">
        <w:rPr>
          <w:rFonts w:ascii="Arial" w:hAnsi="Arial" w:cs="Arial"/>
        </w:rPr>
        <w:t xml:space="preserve"> </w:t>
      </w:r>
      <w:r w:rsidR="00C722F0" w:rsidRPr="00C722F0">
        <w:rPr>
          <w:rFonts w:ascii="Arial" w:hAnsi="Arial" w:cs="Arial"/>
          <w:color w:val="EE0000"/>
        </w:rPr>
        <w:t>(Five replication required)</w:t>
      </w:r>
      <w:r w:rsidRPr="00C722F0">
        <w:rPr>
          <w:rFonts w:ascii="Arial" w:hAnsi="Arial" w:cs="Arial"/>
          <w:color w:val="EE0000"/>
        </w:rPr>
        <w:t xml:space="preserve"> </w:t>
      </w:r>
      <w:r w:rsidRPr="00B96FE8">
        <w:rPr>
          <w:rFonts w:ascii="Arial" w:hAnsi="Arial" w:cs="Arial"/>
        </w:rPr>
        <w:t>replications. The treatments used were the addition of tryptophan: (A) 0% (control), (B) 0.15%, (C) =0.3% and (D) 0.45%.</w:t>
      </w:r>
    </w:p>
    <w:p w14:paraId="0612F946" w14:textId="77777777" w:rsidR="00B96FE8" w:rsidRDefault="00B96FE8" w:rsidP="0078076E">
      <w:pPr>
        <w:pStyle w:val="Body"/>
        <w:spacing w:after="0"/>
        <w:rPr>
          <w:rFonts w:ascii="Arial" w:hAnsi="Arial" w:cs="Arial"/>
        </w:rPr>
      </w:pPr>
    </w:p>
    <w:p w14:paraId="20F1A276" w14:textId="77777777" w:rsidR="00957835" w:rsidRPr="00422382" w:rsidRDefault="00957835" w:rsidP="003B5B12">
      <w:pPr>
        <w:pStyle w:val="Head3"/>
        <w:spacing w:after="0"/>
        <w:rPr>
          <w:rFonts w:ascii="Arial" w:hAnsi="Arial" w:cs="Arial"/>
          <w:b/>
        </w:rPr>
      </w:pPr>
      <w:r w:rsidRPr="00422382">
        <w:rPr>
          <w:rFonts w:ascii="Arial" w:hAnsi="Arial" w:cs="Arial"/>
          <w:b/>
        </w:rPr>
        <w:t xml:space="preserve">2.1.1 </w:t>
      </w:r>
      <w:r w:rsidR="00422382">
        <w:rPr>
          <w:rFonts w:ascii="Arial" w:hAnsi="Arial" w:cs="Arial"/>
          <w:b/>
        </w:rPr>
        <w:t>Preparation for Implementation</w:t>
      </w:r>
    </w:p>
    <w:p w14:paraId="70F24CE6" w14:textId="77777777" w:rsidR="00B96FE8" w:rsidRDefault="00B96FE8" w:rsidP="0078076E">
      <w:pPr>
        <w:pStyle w:val="Body"/>
        <w:spacing w:after="0"/>
        <w:rPr>
          <w:rFonts w:ascii="Arial" w:hAnsi="Arial" w:cs="Arial"/>
        </w:rPr>
      </w:pPr>
      <w:r w:rsidRPr="00B96FE8">
        <w:rPr>
          <w:rFonts w:ascii="Arial" w:hAnsi="Arial" w:cs="Arial"/>
        </w:rPr>
        <w:t>The aquariums were thoroughly cleaned, dried, and labeled according to the treatment. Each aquarium was filled with 16 L of water and aerated for 24 hours before the fish were introduced. The fish were measured for length and weight, then placed in the aquariums at a stocking density of four. Acclimatization was carried out for 14 days to reduce stress levels.</w:t>
      </w:r>
    </w:p>
    <w:p w14:paraId="1A7D1110" w14:textId="77777777" w:rsidR="00B96FE8" w:rsidRDefault="00B96FE8" w:rsidP="0078076E">
      <w:pPr>
        <w:pStyle w:val="Body"/>
        <w:spacing w:after="0"/>
        <w:rPr>
          <w:rFonts w:ascii="Arial" w:hAnsi="Arial" w:cs="Arial"/>
        </w:rPr>
      </w:pPr>
    </w:p>
    <w:p w14:paraId="4B044FE1" w14:textId="77777777" w:rsidR="00957835" w:rsidRPr="00422382" w:rsidRDefault="00957835" w:rsidP="003B5B12">
      <w:pPr>
        <w:pStyle w:val="Head3"/>
        <w:spacing w:after="0"/>
        <w:rPr>
          <w:rFonts w:ascii="Arial" w:hAnsi="Arial" w:cs="Arial"/>
          <w:b/>
          <w:bCs/>
        </w:rPr>
      </w:pPr>
      <w:r w:rsidRPr="00422382">
        <w:rPr>
          <w:rFonts w:ascii="Arial" w:hAnsi="Arial" w:cs="Arial"/>
          <w:b/>
          <w:bCs/>
        </w:rPr>
        <w:t xml:space="preserve">2.1.2 </w:t>
      </w:r>
      <w:r w:rsidR="00422382">
        <w:rPr>
          <w:rFonts w:ascii="Arial" w:hAnsi="Arial" w:cs="Arial"/>
          <w:b/>
          <w:bCs/>
        </w:rPr>
        <w:t xml:space="preserve">Implementation of Research </w:t>
      </w:r>
    </w:p>
    <w:p w14:paraId="7F7945FF" w14:textId="6DF66E46" w:rsidR="00B96FE8" w:rsidRDefault="00B96FE8" w:rsidP="0078076E">
      <w:pPr>
        <w:pStyle w:val="Body"/>
        <w:spacing w:after="0"/>
        <w:rPr>
          <w:rFonts w:ascii="Arial" w:hAnsi="Arial" w:cs="Arial"/>
        </w:rPr>
      </w:pPr>
      <w:r w:rsidRPr="00B96FE8">
        <w:rPr>
          <w:rFonts w:ascii="Arial" w:hAnsi="Arial" w:cs="Arial"/>
        </w:rPr>
        <w:t xml:space="preserve">This study was conducted over 56 days, with sampling every seven days. Tryptophan supplementation was performed using a coating method. Feeding was carried out twice daily, at 8:00 AM and 4:00 PM WIB. The amount of feed given was 5% of the fish biomass in each aquarium and adjusted according to their growth every seven days. Proximate analysis was conducted at the beginning </w:t>
      </w:r>
      <w:r w:rsidR="00C722F0" w:rsidRPr="00C722F0">
        <w:rPr>
          <w:rFonts w:ascii="Arial" w:hAnsi="Arial" w:cs="Arial"/>
          <w:color w:val="EE0000"/>
        </w:rPr>
        <w:t>(Add Reference od standard method)</w:t>
      </w:r>
      <w:r w:rsidR="00C722F0">
        <w:rPr>
          <w:rFonts w:ascii="Arial" w:hAnsi="Arial" w:cs="Arial"/>
          <w:color w:val="EE0000"/>
        </w:rPr>
        <w:t xml:space="preserve"> </w:t>
      </w:r>
      <w:r w:rsidRPr="00B96FE8">
        <w:rPr>
          <w:rFonts w:ascii="Arial" w:hAnsi="Arial" w:cs="Arial"/>
        </w:rPr>
        <w:t xml:space="preserve">and end of the study at the Central Laboratory of </w:t>
      </w:r>
      <w:proofErr w:type="spellStart"/>
      <w:r w:rsidRPr="00B96FE8">
        <w:rPr>
          <w:rFonts w:ascii="Arial" w:hAnsi="Arial" w:cs="Arial"/>
        </w:rPr>
        <w:t>Padjajaran</w:t>
      </w:r>
      <w:proofErr w:type="spellEnd"/>
      <w:r w:rsidRPr="00B96FE8">
        <w:rPr>
          <w:rFonts w:ascii="Arial" w:hAnsi="Arial" w:cs="Arial"/>
        </w:rPr>
        <w:t xml:space="preserve"> University.</w:t>
      </w:r>
    </w:p>
    <w:p w14:paraId="6A7F50FA" w14:textId="77777777" w:rsidR="00B96FE8" w:rsidRDefault="00B96FE8" w:rsidP="0078076E">
      <w:pPr>
        <w:pStyle w:val="Body"/>
        <w:spacing w:after="0"/>
        <w:rPr>
          <w:rFonts w:ascii="Arial" w:hAnsi="Arial" w:cs="Arial"/>
        </w:rPr>
      </w:pPr>
    </w:p>
    <w:p w14:paraId="31528513" w14:textId="77777777" w:rsidR="00E20EFF" w:rsidRPr="003B5B12" w:rsidRDefault="00E20EFF" w:rsidP="003B5B12">
      <w:pPr>
        <w:pStyle w:val="Head2"/>
        <w:spacing w:after="0"/>
        <w:rPr>
          <w:rFonts w:ascii="Arial" w:hAnsi="Arial" w:cs="Arial"/>
          <w:b/>
          <w:bCs/>
          <w:sz w:val="22"/>
          <w:szCs w:val="22"/>
        </w:rPr>
      </w:pPr>
      <w:r w:rsidRPr="003B5B12">
        <w:rPr>
          <w:rFonts w:ascii="Arial" w:hAnsi="Arial" w:cs="Arial"/>
          <w:b/>
          <w:bCs/>
          <w:sz w:val="22"/>
          <w:szCs w:val="22"/>
        </w:rPr>
        <w:lastRenderedPageBreak/>
        <w:t xml:space="preserve">2.3 </w:t>
      </w:r>
      <w:r w:rsidR="00DE360C">
        <w:rPr>
          <w:rFonts w:ascii="Arial" w:hAnsi="Arial" w:cs="Arial"/>
          <w:b/>
          <w:bCs/>
          <w:caps w:val="0"/>
          <w:sz w:val="22"/>
          <w:szCs w:val="22"/>
        </w:rPr>
        <w:t xml:space="preserve">Observation Parameters </w:t>
      </w:r>
    </w:p>
    <w:p w14:paraId="45C80637" w14:textId="77777777" w:rsidR="00E20EFF" w:rsidRPr="00422382" w:rsidRDefault="00E20EFF" w:rsidP="003B5B12">
      <w:pPr>
        <w:pStyle w:val="Head3"/>
        <w:spacing w:after="0"/>
        <w:rPr>
          <w:rFonts w:ascii="Arial" w:hAnsi="Arial" w:cs="Arial"/>
          <w:b/>
          <w:bCs/>
        </w:rPr>
      </w:pPr>
      <w:r w:rsidRPr="00422382">
        <w:rPr>
          <w:rFonts w:ascii="Arial" w:hAnsi="Arial" w:cs="Arial"/>
          <w:b/>
          <w:bCs/>
        </w:rPr>
        <w:t xml:space="preserve">2.3.1 </w:t>
      </w:r>
      <w:r w:rsidR="0057404D" w:rsidRPr="00422382">
        <w:rPr>
          <w:rFonts w:ascii="Arial" w:hAnsi="Arial" w:cs="Arial"/>
          <w:b/>
          <w:bCs/>
        </w:rPr>
        <w:t xml:space="preserve">Average Weight Gain </w:t>
      </w:r>
    </w:p>
    <w:p w14:paraId="25A33D6E" w14:textId="77777777" w:rsidR="0078076E" w:rsidRPr="00F80F7D" w:rsidRDefault="00377210" w:rsidP="0078076E">
      <w:pPr>
        <w:pStyle w:val="Body"/>
        <w:spacing w:after="0"/>
        <w:rPr>
          <w:rFonts w:ascii="Arial" w:hAnsi="Arial" w:cs="Arial"/>
        </w:rPr>
      </w:pPr>
      <w:r w:rsidRPr="00377210">
        <w:rPr>
          <w:rFonts w:ascii="Arial" w:hAnsi="Arial" w:cs="Arial"/>
        </w:rPr>
        <w:t>The average weight growth is calculated using the</w:t>
      </w:r>
      <w:r w:rsidR="0078076E" w:rsidRPr="00F80F7D">
        <w:rPr>
          <w:rFonts w:ascii="Arial" w:hAnsi="Arial" w:cs="Arial"/>
        </w:rPr>
        <w:t xml:space="preserve"> </w:t>
      </w:r>
      <w:r w:rsidR="0078076E" w:rsidRPr="00F80F7D">
        <w:rPr>
          <w:rFonts w:ascii="Arial" w:hAnsi="Arial" w:cs="Arial"/>
        </w:rPr>
        <w:fldChar w:fldCharType="begin" w:fldLock="1"/>
      </w:r>
      <w:r w:rsidR="0078076E" w:rsidRPr="00F80F7D">
        <w:rPr>
          <w:rFonts w:ascii="Arial" w:hAnsi="Arial" w:cs="Arial"/>
        </w:rPr>
        <w:instrText>ADDIN CSL_CITATION {"citationItems":[{"id":"ITEM-1","itemData":{"author":[{"dropping-particle":"","family":"Masyahoro","given":"A","non-dropping-particle":"","parse-names":false,"suffix":""},{"dropping-particle":"","family":"Setiawan","given":"Moh Arif Budias","non-dropping-particle":"","parse-names":false,"suffix":""}],"container-title":"Jurnal Ilmiah AgriSains","id":"ITEM-1","issue":"2","issued":{"date-parts":[["2023"]]},"page":"103-113","title":"Pertumbuhan Benih Ikan Kakap Putih (Lates calcarifer, Bloch 1790) pada Berbagai Salinitas dan Dosis Pakan Limbah Kepala Udang dalam Wadah terkontrol","type":"article-journal","volume":"24"},"uris":["http://www.mendeley.com/documents/?uuid=79a22039-ec32-4d96-8af6-853474b59c13","http://www.mendeley.com/documents/?uuid=c6fa2f31-a479-4ad4-951d-47d14343eef2"]}],"mendeley":{"formattedCitation":"(Masyahoro &amp; Setiawan, 2023)","manualFormatting":"Masyahoro &amp; Setiawan (2023)","plainTextFormattedCitation":"(Masyahoro &amp; Setiawan, 2023)","previouslyFormattedCitation":"(Masyahoro &amp; Setiawan, 2023)"},"properties":{"noteIndex":0},"schema":"https://github.com/citation-style-language/schema/raw/master/csl-citation.json"}</w:instrText>
      </w:r>
      <w:r w:rsidR="0078076E" w:rsidRPr="00F80F7D">
        <w:rPr>
          <w:rFonts w:ascii="Arial" w:hAnsi="Arial" w:cs="Arial"/>
        </w:rPr>
        <w:fldChar w:fldCharType="separate"/>
      </w:r>
      <w:r w:rsidR="0078076E" w:rsidRPr="00F80F7D">
        <w:rPr>
          <w:rFonts w:ascii="Arial" w:hAnsi="Arial" w:cs="Arial"/>
          <w:noProof/>
        </w:rPr>
        <w:t>Masyahoro &amp; Setiawan (2023)</w:t>
      </w:r>
      <w:r w:rsidR="0078076E" w:rsidRPr="00F80F7D">
        <w:rPr>
          <w:rFonts w:ascii="Arial" w:hAnsi="Arial" w:cs="Arial"/>
        </w:rPr>
        <w:fldChar w:fldCharType="end"/>
      </w:r>
      <w:r>
        <w:rPr>
          <w:rFonts w:ascii="Arial" w:hAnsi="Arial" w:cs="Arial"/>
        </w:rPr>
        <w:t xml:space="preserve"> formula is</w:t>
      </w:r>
      <w:r w:rsidR="0078076E" w:rsidRPr="00F80F7D">
        <w:rPr>
          <w:rFonts w:ascii="Arial" w:hAnsi="Arial" w:cs="Arial"/>
        </w:rPr>
        <w:t xml:space="preserve">: </w:t>
      </w:r>
    </w:p>
    <w:p w14:paraId="02786973" w14:textId="77777777" w:rsidR="00F80F7D" w:rsidRPr="0057404D" w:rsidRDefault="0057404D" w:rsidP="0078076E">
      <w:pPr>
        <w:pStyle w:val="Body"/>
        <w:spacing w:after="0"/>
        <w:rPr>
          <w:rFonts w:ascii="Arial" w:hAnsi="Arial" w:cs="Arial"/>
        </w:rPr>
      </w:pPr>
      <m:oMathPara>
        <m:oMath>
          <m:r>
            <m:rPr>
              <m:sty m:val="p"/>
            </m:rPr>
            <w:rPr>
              <w:rFonts w:ascii="Cambria Math" w:hAnsi="Cambria Math" w:cs="Arial"/>
            </w:rPr>
            <m:t>AWG=Wt-W0</m:t>
          </m:r>
        </m:oMath>
      </m:oMathPara>
    </w:p>
    <w:p w14:paraId="60721500" w14:textId="77777777" w:rsidR="00F80F7D" w:rsidRPr="00F80F7D" w:rsidRDefault="00F80F7D" w:rsidP="000B797B">
      <w:pPr>
        <w:jc w:val="both"/>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14:paraId="139C91FF" w14:textId="77777777" w:rsidR="00F80F7D" w:rsidRPr="00F80F7D" w:rsidRDefault="0057404D" w:rsidP="000B797B">
      <w:pPr>
        <w:jc w:val="both"/>
        <w:rPr>
          <w:rFonts w:ascii="Arial" w:hAnsi="Arial" w:cs="Arial"/>
        </w:rPr>
      </w:pPr>
      <w:r>
        <w:rPr>
          <w:rFonts w:ascii="Arial" w:hAnsi="Arial" w:cs="Arial"/>
        </w:rPr>
        <w:t>A</w:t>
      </w:r>
      <w:r w:rsidR="00F80F7D" w:rsidRPr="00F80F7D">
        <w:rPr>
          <w:rFonts w:ascii="Arial" w:hAnsi="Arial" w:cs="Arial"/>
        </w:rPr>
        <w:t>W</w:t>
      </w:r>
      <w:r>
        <w:rPr>
          <w:rFonts w:ascii="Arial" w:hAnsi="Arial" w:cs="Arial"/>
        </w:rPr>
        <w:t>G</w:t>
      </w:r>
      <w:r w:rsidR="00F80F7D" w:rsidRPr="00F80F7D">
        <w:rPr>
          <w:rFonts w:ascii="Arial" w:hAnsi="Arial" w:cs="Arial"/>
        </w:rPr>
        <w:tab/>
        <w:t xml:space="preserve">: </w:t>
      </w:r>
      <w:r>
        <w:rPr>
          <w:rFonts w:ascii="Arial" w:hAnsi="Arial" w:cs="Arial"/>
        </w:rPr>
        <w:t xml:space="preserve">Average Weight Gain </w:t>
      </w:r>
      <w:r w:rsidR="00F80F7D" w:rsidRPr="00F80F7D">
        <w:rPr>
          <w:rFonts w:ascii="Arial" w:hAnsi="Arial" w:cs="Arial"/>
        </w:rPr>
        <w:t xml:space="preserve">(g) </w:t>
      </w:r>
    </w:p>
    <w:p w14:paraId="7899AAD1" w14:textId="77777777" w:rsidR="00F80F7D" w:rsidRPr="00F80F7D" w:rsidRDefault="00F80F7D" w:rsidP="000B797B">
      <w:pPr>
        <w:jc w:val="both"/>
        <w:rPr>
          <w:rFonts w:ascii="Arial" w:hAnsi="Arial" w:cs="Arial"/>
        </w:rPr>
      </w:pPr>
      <w:proofErr w:type="spellStart"/>
      <w:r w:rsidRPr="00F80F7D">
        <w:rPr>
          <w:rFonts w:ascii="Arial" w:hAnsi="Arial" w:cs="Arial"/>
        </w:rPr>
        <w:t>Wt</w:t>
      </w:r>
      <w:proofErr w:type="spellEnd"/>
      <w:r w:rsidRPr="00F80F7D">
        <w:rPr>
          <w:rFonts w:ascii="Arial" w:hAnsi="Arial" w:cs="Arial"/>
        </w:rPr>
        <w:tab/>
        <w:t xml:space="preserve">: </w:t>
      </w:r>
      <w:r w:rsidR="0057404D">
        <w:rPr>
          <w:rFonts w:ascii="Arial" w:hAnsi="Arial" w:cs="Arial"/>
        </w:rPr>
        <w:t>Final fish weight of the research</w:t>
      </w:r>
      <w:r w:rsidR="0057404D" w:rsidRPr="0057404D">
        <w:rPr>
          <w:rFonts w:ascii="Arial" w:hAnsi="Arial" w:cs="Arial"/>
        </w:rPr>
        <w:t xml:space="preserve"> </w:t>
      </w:r>
      <w:r w:rsidRPr="00F80F7D">
        <w:rPr>
          <w:rFonts w:ascii="Arial" w:hAnsi="Arial" w:cs="Arial"/>
        </w:rPr>
        <w:t xml:space="preserve">(g) </w:t>
      </w:r>
    </w:p>
    <w:p w14:paraId="3A3B0332" w14:textId="77777777" w:rsidR="00F80F7D" w:rsidRDefault="00F80F7D" w:rsidP="00DA55EA">
      <w:pPr>
        <w:jc w:val="both"/>
        <w:rPr>
          <w:rFonts w:ascii="Arial" w:hAnsi="Arial" w:cs="Arial"/>
        </w:rPr>
      </w:pPr>
      <w:r w:rsidRPr="00F80F7D">
        <w:rPr>
          <w:rFonts w:ascii="Arial" w:hAnsi="Arial" w:cs="Arial"/>
        </w:rPr>
        <w:t>W0</w:t>
      </w:r>
      <w:r w:rsidRPr="00F80F7D">
        <w:rPr>
          <w:rFonts w:ascii="Arial" w:hAnsi="Arial" w:cs="Arial"/>
        </w:rPr>
        <w:tab/>
        <w:t xml:space="preserve">: </w:t>
      </w:r>
      <w:r w:rsidR="0057404D" w:rsidRPr="0057404D">
        <w:rPr>
          <w:rFonts w:ascii="Arial" w:hAnsi="Arial" w:cs="Arial"/>
        </w:rPr>
        <w:t xml:space="preserve">Initial fish weight of the </w:t>
      </w:r>
      <w:r w:rsidR="0057404D">
        <w:rPr>
          <w:rFonts w:ascii="Arial" w:hAnsi="Arial" w:cs="Arial"/>
        </w:rPr>
        <w:t>research</w:t>
      </w:r>
      <w:r w:rsidR="0057404D" w:rsidRPr="0057404D">
        <w:rPr>
          <w:rFonts w:ascii="Arial" w:hAnsi="Arial" w:cs="Arial"/>
        </w:rPr>
        <w:t xml:space="preserve"> </w:t>
      </w:r>
      <w:r w:rsidRPr="00F80F7D">
        <w:rPr>
          <w:rFonts w:ascii="Arial" w:hAnsi="Arial" w:cs="Arial"/>
        </w:rPr>
        <w:t>(g)</w:t>
      </w:r>
    </w:p>
    <w:p w14:paraId="04F664F7" w14:textId="77777777" w:rsidR="00DA55EA" w:rsidRPr="00DA55EA" w:rsidRDefault="00DA55EA" w:rsidP="00DA55EA">
      <w:pPr>
        <w:jc w:val="both"/>
        <w:rPr>
          <w:rFonts w:ascii="Arial" w:hAnsi="Arial" w:cs="Arial"/>
        </w:rPr>
      </w:pPr>
    </w:p>
    <w:p w14:paraId="7B8C1C5D" w14:textId="77777777" w:rsidR="0078076E" w:rsidRPr="00422382" w:rsidRDefault="0078076E" w:rsidP="003B5B12">
      <w:pPr>
        <w:pStyle w:val="Head3"/>
        <w:spacing w:after="0"/>
        <w:rPr>
          <w:rFonts w:ascii="Arial" w:hAnsi="Arial" w:cs="Arial"/>
          <w:b/>
          <w:bCs/>
        </w:rPr>
      </w:pPr>
      <w:r w:rsidRPr="00422382">
        <w:rPr>
          <w:rFonts w:ascii="Arial" w:hAnsi="Arial" w:cs="Arial"/>
          <w:b/>
          <w:bCs/>
        </w:rPr>
        <w:t>2</w:t>
      </w:r>
      <w:r w:rsidR="00DA55EA" w:rsidRPr="00422382">
        <w:rPr>
          <w:rFonts w:ascii="Arial" w:hAnsi="Arial" w:cs="Arial"/>
          <w:b/>
          <w:bCs/>
        </w:rPr>
        <w:t>.3.2</w:t>
      </w:r>
      <w:r w:rsidR="00377210" w:rsidRPr="00422382">
        <w:rPr>
          <w:rFonts w:ascii="Arial" w:hAnsi="Arial" w:cs="Arial"/>
          <w:b/>
          <w:bCs/>
        </w:rPr>
        <w:t xml:space="preserve"> Feed Conve</w:t>
      </w:r>
      <w:r w:rsidR="0057404D" w:rsidRPr="00422382">
        <w:rPr>
          <w:rFonts w:ascii="Arial" w:hAnsi="Arial" w:cs="Arial"/>
          <w:b/>
          <w:bCs/>
        </w:rPr>
        <w:t>rsion Ratio</w:t>
      </w:r>
      <w:r w:rsidRPr="00422382">
        <w:rPr>
          <w:rFonts w:ascii="Arial" w:hAnsi="Arial" w:cs="Arial"/>
          <w:b/>
          <w:bCs/>
        </w:rPr>
        <w:t xml:space="preserve"> (FCR)</w:t>
      </w:r>
    </w:p>
    <w:p w14:paraId="4929044F" w14:textId="77777777" w:rsidR="00F80F7D" w:rsidRPr="00F80F7D" w:rsidRDefault="00377210" w:rsidP="004401A1">
      <w:pPr>
        <w:pStyle w:val="Body"/>
        <w:rPr>
          <w:rFonts w:ascii="Arial" w:hAnsi="Arial" w:cs="Arial"/>
        </w:rPr>
      </w:pPr>
      <w:r w:rsidRPr="00377210">
        <w:rPr>
          <w:rFonts w:ascii="Arial" w:hAnsi="Arial" w:cs="Arial"/>
        </w:rPr>
        <w:t xml:space="preserve">The feed conversion ratio is calculated according to </w:t>
      </w:r>
      <w:r w:rsidR="00F80F7D" w:rsidRPr="00F80F7D">
        <w:rPr>
          <w:rFonts w:ascii="Arial" w:hAnsi="Arial" w:cs="Arial"/>
        </w:rPr>
        <w:fldChar w:fldCharType="begin" w:fldLock="1"/>
      </w:r>
      <w:r w:rsidR="00F80F7D" w:rsidRPr="00F80F7D">
        <w:rPr>
          <w:rFonts w:ascii="Arial" w:hAnsi="Arial" w:cs="Arial"/>
        </w:rPr>
        <w:instrText>ADDIN CSL_CITATION {"citationItems":[{"id":"ITEM-1","itemData":{"abstract":"Prebiotik fruktooligosakarida (FOS) diketahui berperan penting dalam proses digesti, absorpsi dan metabolisme nutrien dalam organisme. Suplementasi prebiotik telah terbukti mampu meningkatkan pertumbuhan, utilisasi nutrien dan resistensi terhadap penyakit, tetapi potensi prebiotik terhadap udang belum banyak diketahui. Suplementasi FOS dalam pakan diamati pengaruhnya terhadap parameter pertumbuhan udang L. vannamei selama 12 hari. FOS disuplementasikan ke dalam pakan udang buatan (protein 38%, lemak 5%, dan serat 3%) dengan konsentrasi 0,5%; 1,0%; dan 2,0% (w/w). Efek prebiotik terhadap parameter pertumbuhan (berat dan panjang), kelulushidupan dan rasio konversi pakan diamati pada hari ke empat, ke delapan dan hari ke dua belas perlakuan. Hasil penelitian menunjukkan bahwa sampai hari ke dua belas suplementasi prebiotik FOS mampu meningkatkan pertumbuhan (berat dan panjang), tetapi tidak berpengaruh terhadap kelulus hidupan dan rasio konversi pakan. Kata kunci : Prebiotik, FOS, L. vannamei","author":[{"dropping-particle":"","family":"Ridlo","given":"Ali","non-dropping-particle":"","parse-names":false,"suffix":""},{"dropping-particle":"","family":"Subagiyo","given":"Subagiyo","non-dropping-particle":"","parse-names":false,"suffix":""}],"container-title":"Buletin Oseanografi Marina","id":"ITEM-1","issue":"4","issued":{"date-parts":[["2013"]]},"page":"1-8","title":"Pertumbuhan, Rasio Konversi Pakan dan Kelulushidupan Udang Litopenaeus vannamei yang Diberi Pakan dengan Suplementasi Prebiotik FOS (Fruktooligosakarida)","type":"article-journal","volume":"2"},"uris":["http://www.mendeley.com/documents/?uuid=e1febf66-be2a-4b27-8a65-195f5bcbeb5d","http://www.mendeley.com/documents/?uuid=bab872a1-5791-4f0d-84f3-fb30e8ea29c1"]}],"mendeley":{"formattedCitation":"(Ridlo &amp; Subagiyo, 2013)","manualFormatting":"Ridlo &amp; Subagiyo (2013)","plainTextFormattedCitation":"(Ridlo &amp; Subagiyo, 2013)","previouslyFormattedCitation":"(Ridlo &amp; Subagiyo, 2013)"},"properties":{"noteIndex":0},"schema":"https://github.com/citation-style-language/schema/raw/master/csl-citation.json"}</w:instrText>
      </w:r>
      <w:r w:rsidR="00F80F7D" w:rsidRPr="00F80F7D">
        <w:rPr>
          <w:rFonts w:ascii="Arial" w:hAnsi="Arial" w:cs="Arial"/>
        </w:rPr>
        <w:fldChar w:fldCharType="separate"/>
      </w:r>
      <w:r w:rsidR="00F80F7D" w:rsidRPr="00F80F7D">
        <w:rPr>
          <w:rFonts w:ascii="Arial" w:hAnsi="Arial" w:cs="Arial"/>
          <w:noProof/>
        </w:rPr>
        <w:t>Ridlo &amp; Subagiyo (2013)</w:t>
      </w:r>
      <w:r w:rsidR="00F80F7D" w:rsidRPr="00F80F7D">
        <w:rPr>
          <w:rFonts w:ascii="Arial" w:hAnsi="Arial" w:cs="Arial"/>
        </w:rPr>
        <w:fldChar w:fldCharType="end"/>
      </w:r>
      <w:r w:rsidR="00F80F7D" w:rsidRPr="00F80F7D">
        <w:rPr>
          <w:rFonts w:ascii="Arial" w:hAnsi="Arial" w:cs="Arial"/>
        </w:rPr>
        <w:t xml:space="preserve"> </w:t>
      </w:r>
      <w:r>
        <w:rPr>
          <w:rFonts w:ascii="Arial" w:hAnsi="Arial" w:cs="Arial"/>
        </w:rPr>
        <w:t xml:space="preserve">is: </w:t>
      </w:r>
    </w:p>
    <w:p w14:paraId="45973386" w14:textId="77777777" w:rsidR="00F80F7D" w:rsidRPr="00377210" w:rsidRDefault="00377210" w:rsidP="004401A1">
      <w:pPr>
        <w:pStyle w:val="Body"/>
        <w:rPr>
          <w:rFonts w:ascii="Arial" w:hAnsi="Arial" w:cs="Arial"/>
        </w:rPr>
      </w:pPr>
      <m:oMathPara>
        <m:oMath>
          <m:r>
            <m:rPr>
              <m:sty m:val="p"/>
            </m:rPr>
            <w:rPr>
              <w:rFonts w:ascii="Cambria Math" w:hAnsi="Cambria Math" w:cs="Arial"/>
            </w:rPr>
            <m:t>FCR=</m:t>
          </m:r>
          <m:f>
            <m:fPr>
              <m:ctrlPr>
                <w:rPr>
                  <w:rFonts w:ascii="Cambria Math" w:hAnsi="Cambria Math" w:cs="Arial"/>
                </w:rPr>
              </m:ctrlPr>
            </m:fPr>
            <m:num>
              <m:r>
                <m:rPr>
                  <m:sty m:val="p"/>
                </m:rPr>
                <w:rPr>
                  <w:rFonts w:ascii="Cambria Math" w:hAnsi="Cambria Math" w:cs="Arial"/>
                </w:rPr>
                <m:t>F</m:t>
              </m:r>
            </m:num>
            <m:den>
              <m:d>
                <m:dPr>
                  <m:ctrlPr>
                    <w:rPr>
                      <w:rFonts w:ascii="Cambria Math" w:hAnsi="Cambria Math" w:cs="Arial"/>
                    </w:rPr>
                  </m:ctrlPr>
                </m:dPr>
                <m:e>
                  <m:r>
                    <m:rPr>
                      <m:sty m:val="p"/>
                    </m:rPr>
                    <w:rPr>
                      <w:rFonts w:ascii="Cambria Math" w:hAnsi="Cambria Math" w:cs="Arial"/>
                    </w:rPr>
                    <m:t>Wt+D</m:t>
                  </m:r>
                </m:e>
              </m:d>
              <m:r>
                <m:rPr>
                  <m:sty m:val="p"/>
                </m:rPr>
                <w:rPr>
                  <w:rFonts w:ascii="Cambria Math" w:hAnsi="Cambria Math" w:cs="Arial"/>
                </w:rPr>
                <m:t>-W0</m:t>
              </m:r>
            </m:den>
          </m:f>
        </m:oMath>
      </m:oMathPara>
    </w:p>
    <w:p w14:paraId="54A079F0" w14:textId="77777777" w:rsidR="00F80F7D" w:rsidRPr="00F80F7D" w:rsidRDefault="00F80F7D" w:rsidP="00F80F7D">
      <w:pPr>
        <w:pStyle w:val="Body"/>
        <w:spacing w:after="0"/>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14:paraId="2B72D95C" w14:textId="77777777" w:rsidR="00F80F7D" w:rsidRPr="00F80F7D" w:rsidRDefault="00F80F7D" w:rsidP="00F80F7D">
      <w:pPr>
        <w:pStyle w:val="Body"/>
        <w:spacing w:after="0"/>
        <w:rPr>
          <w:rFonts w:ascii="Arial" w:hAnsi="Arial" w:cs="Arial"/>
        </w:rPr>
      </w:pPr>
      <w:r w:rsidRPr="00F80F7D">
        <w:rPr>
          <w:rFonts w:ascii="Arial" w:hAnsi="Arial" w:cs="Arial"/>
        </w:rPr>
        <w:t>FCR</w:t>
      </w:r>
      <w:r w:rsidRPr="00F80F7D">
        <w:rPr>
          <w:rFonts w:ascii="Arial" w:hAnsi="Arial" w:cs="Arial"/>
        </w:rPr>
        <w:tab/>
        <w:t xml:space="preserve">: </w:t>
      </w:r>
      <w:r w:rsidR="00377210">
        <w:rPr>
          <w:rFonts w:ascii="Arial" w:hAnsi="Arial" w:cs="Arial"/>
        </w:rPr>
        <w:t>Feed Conversion Ratio</w:t>
      </w:r>
    </w:p>
    <w:p w14:paraId="70096AD9" w14:textId="77777777" w:rsidR="00F80F7D" w:rsidRPr="00F80F7D" w:rsidRDefault="00F80F7D" w:rsidP="00F80F7D">
      <w:pPr>
        <w:pStyle w:val="Body"/>
        <w:spacing w:after="0"/>
        <w:rPr>
          <w:rFonts w:ascii="Arial" w:hAnsi="Arial" w:cs="Arial"/>
        </w:rPr>
      </w:pPr>
      <w:r w:rsidRPr="00F80F7D">
        <w:rPr>
          <w:rFonts w:ascii="Arial" w:hAnsi="Arial" w:cs="Arial"/>
        </w:rPr>
        <w:t>F</w:t>
      </w:r>
      <w:r w:rsidRPr="00F80F7D">
        <w:rPr>
          <w:rFonts w:ascii="Arial" w:hAnsi="Arial" w:cs="Arial"/>
        </w:rPr>
        <w:tab/>
        <w:t xml:space="preserve">: </w:t>
      </w:r>
      <w:r w:rsidR="00377210">
        <w:rPr>
          <w:rFonts w:ascii="Arial" w:hAnsi="Arial" w:cs="Arial"/>
        </w:rPr>
        <w:t xml:space="preserve">Weight of Feed given </w:t>
      </w:r>
      <w:r w:rsidRPr="00F80F7D">
        <w:rPr>
          <w:rFonts w:ascii="Arial" w:hAnsi="Arial" w:cs="Arial"/>
        </w:rPr>
        <w:t>(g)</w:t>
      </w:r>
    </w:p>
    <w:p w14:paraId="3454EB29" w14:textId="77777777" w:rsidR="00F80F7D" w:rsidRPr="00F80F7D" w:rsidRDefault="00F80F7D" w:rsidP="00F80F7D">
      <w:pPr>
        <w:pStyle w:val="Body"/>
        <w:spacing w:after="0"/>
        <w:rPr>
          <w:rFonts w:ascii="Arial" w:hAnsi="Arial" w:cs="Arial"/>
        </w:rPr>
      </w:pPr>
      <w:proofErr w:type="spellStart"/>
      <w:r w:rsidRPr="00F80F7D">
        <w:rPr>
          <w:rFonts w:ascii="Arial" w:hAnsi="Arial" w:cs="Arial"/>
        </w:rPr>
        <w:t>Wt</w:t>
      </w:r>
      <w:proofErr w:type="spellEnd"/>
      <w:r w:rsidRPr="00F80F7D">
        <w:rPr>
          <w:rFonts w:ascii="Arial" w:hAnsi="Arial" w:cs="Arial"/>
        </w:rPr>
        <w:tab/>
        <w:t xml:space="preserve">: </w:t>
      </w:r>
      <w:r w:rsidR="00377210">
        <w:rPr>
          <w:rFonts w:ascii="Arial" w:hAnsi="Arial" w:cs="Arial"/>
        </w:rPr>
        <w:t>Final fish weight of the research</w:t>
      </w:r>
      <w:r w:rsidR="00377210" w:rsidRPr="0057404D">
        <w:rPr>
          <w:rFonts w:ascii="Arial" w:hAnsi="Arial" w:cs="Arial"/>
        </w:rPr>
        <w:t xml:space="preserve"> </w:t>
      </w:r>
      <w:r w:rsidRPr="00F80F7D">
        <w:rPr>
          <w:rFonts w:ascii="Arial" w:hAnsi="Arial" w:cs="Arial"/>
        </w:rPr>
        <w:t>(g)</w:t>
      </w:r>
    </w:p>
    <w:p w14:paraId="38CE6620" w14:textId="77777777" w:rsidR="00F80F7D" w:rsidRPr="00F80F7D" w:rsidRDefault="00F80F7D" w:rsidP="00F80F7D">
      <w:pPr>
        <w:pStyle w:val="Body"/>
        <w:spacing w:after="0"/>
        <w:rPr>
          <w:rFonts w:ascii="Arial" w:hAnsi="Arial" w:cs="Arial"/>
        </w:rPr>
      </w:pPr>
      <w:r w:rsidRPr="00F80F7D">
        <w:rPr>
          <w:rFonts w:ascii="Arial" w:hAnsi="Arial" w:cs="Arial"/>
        </w:rPr>
        <w:t>W0</w:t>
      </w:r>
      <w:r w:rsidRPr="00F80F7D">
        <w:rPr>
          <w:rFonts w:ascii="Arial" w:hAnsi="Arial" w:cs="Arial"/>
        </w:rPr>
        <w:tab/>
        <w:t xml:space="preserve">: </w:t>
      </w:r>
      <w:r w:rsidR="00377210" w:rsidRPr="0057404D">
        <w:rPr>
          <w:rFonts w:ascii="Arial" w:hAnsi="Arial" w:cs="Arial"/>
        </w:rPr>
        <w:t xml:space="preserve">Initial fish weight of the </w:t>
      </w:r>
      <w:r w:rsidR="00377210">
        <w:rPr>
          <w:rFonts w:ascii="Arial" w:hAnsi="Arial" w:cs="Arial"/>
        </w:rPr>
        <w:t>research</w:t>
      </w:r>
      <w:r w:rsidR="00377210" w:rsidRPr="00F80F7D">
        <w:rPr>
          <w:rFonts w:ascii="Arial" w:hAnsi="Arial" w:cs="Arial"/>
        </w:rPr>
        <w:t xml:space="preserve"> </w:t>
      </w:r>
      <w:r w:rsidRPr="00F80F7D">
        <w:rPr>
          <w:rFonts w:ascii="Arial" w:hAnsi="Arial" w:cs="Arial"/>
        </w:rPr>
        <w:t>(g)</w:t>
      </w:r>
    </w:p>
    <w:p w14:paraId="6130B87C" w14:textId="77777777" w:rsidR="007D7A73" w:rsidRDefault="00F80F7D" w:rsidP="00377210">
      <w:pPr>
        <w:pStyle w:val="Body"/>
        <w:spacing w:after="0"/>
        <w:rPr>
          <w:rFonts w:ascii="Arial" w:hAnsi="Arial" w:cs="Arial"/>
        </w:rPr>
      </w:pPr>
      <w:r w:rsidRPr="00F80F7D">
        <w:rPr>
          <w:rFonts w:ascii="Arial" w:hAnsi="Arial" w:cs="Arial"/>
        </w:rPr>
        <w:t>D</w:t>
      </w:r>
      <w:r w:rsidRPr="00F80F7D">
        <w:rPr>
          <w:rFonts w:ascii="Arial" w:hAnsi="Arial" w:cs="Arial"/>
        </w:rPr>
        <w:tab/>
        <w:t xml:space="preserve">: </w:t>
      </w:r>
      <w:r w:rsidR="00377210" w:rsidRPr="00377210">
        <w:rPr>
          <w:rFonts w:ascii="Arial" w:hAnsi="Arial" w:cs="Arial"/>
        </w:rPr>
        <w:t>Weight of</w:t>
      </w:r>
      <w:r w:rsidR="00377210">
        <w:rPr>
          <w:rFonts w:ascii="Arial" w:hAnsi="Arial" w:cs="Arial"/>
        </w:rPr>
        <w:t xml:space="preserve"> fish that died during the research </w:t>
      </w:r>
      <w:r w:rsidRPr="00F80F7D">
        <w:rPr>
          <w:rFonts w:ascii="Arial" w:hAnsi="Arial" w:cs="Arial"/>
        </w:rPr>
        <w:t xml:space="preserve">(g) </w:t>
      </w:r>
    </w:p>
    <w:p w14:paraId="2522453D" w14:textId="77777777" w:rsidR="00377210" w:rsidRPr="00377210" w:rsidRDefault="00377210" w:rsidP="00377210">
      <w:pPr>
        <w:pStyle w:val="Body"/>
        <w:spacing w:after="0"/>
        <w:rPr>
          <w:rFonts w:ascii="Arial" w:hAnsi="Arial" w:cs="Arial"/>
        </w:rPr>
      </w:pPr>
    </w:p>
    <w:p w14:paraId="2EC706FC" w14:textId="77777777" w:rsidR="0078076E" w:rsidRPr="00422382" w:rsidRDefault="00DA55EA" w:rsidP="003B5B12">
      <w:pPr>
        <w:pStyle w:val="Head3"/>
        <w:spacing w:after="0"/>
        <w:rPr>
          <w:rFonts w:ascii="Arial" w:hAnsi="Arial" w:cs="Arial"/>
          <w:b/>
          <w:bCs/>
        </w:rPr>
      </w:pPr>
      <w:r w:rsidRPr="00422382">
        <w:rPr>
          <w:rFonts w:ascii="Arial" w:hAnsi="Arial" w:cs="Arial"/>
          <w:b/>
          <w:bCs/>
        </w:rPr>
        <w:t>2.3.3</w:t>
      </w:r>
      <w:r w:rsidR="0078076E" w:rsidRPr="00422382">
        <w:rPr>
          <w:rFonts w:ascii="Arial" w:hAnsi="Arial" w:cs="Arial"/>
          <w:b/>
          <w:bCs/>
        </w:rPr>
        <w:t xml:space="preserve"> </w:t>
      </w:r>
      <w:r w:rsidR="001640F2" w:rsidRPr="00422382">
        <w:rPr>
          <w:rFonts w:ascii="Arial" w:hAnsi="Arial" w:cs="Arial"/>
          <w:b/>
          <w:bCs/>
        </w:rPr>
        <w:t xml:space="preserve">Protein Efficiency Ratio </w:t>
      </w:r>
      <w:r w:rsidR="0078076E" w:rsidRPr="00422382">
        <w:rPr>
          <w:rFonts w:ascii="Arial" w:hAnsi="Arial" w:cs="Arial"/>
          <w:b/>
          <w:bCs/>
        </w:rPr>
        <w:t xml:space="preserve">(PER) </w:t>
      </w:r>
    </w:p>
    <w:p w14:paraId="2463B283" w14:textId="77777777" w:rsidR="00F80F7D" w:rsidRPr="00F80F7D" w:rsidRDefault="00377210" w:rsidP="004401A1">
      <w:pPr>
        <w:pStyle w:val="Body"/>
        <w:rPr>
          <w:rFonts w:ascii="Arial" w:hAnsi="Arial" w:cs="Arial"/>
        </w:rPr>
      </w:pPr>
      <w:r w:rsidRPr="00377210">
        <w:rPr>
          <w:rFonts w:ascii="Arial" w:hAnsi="Arial" w:cs="Arial"/>
        </w:rPr>
        <w:t>The calculation of the protein efficiency ratio value uses the formula</w:t>
      </w:r>
      <w:r w:rsidR="00F80F7D" w:rsidRPr="00F80F7D">
        <w:rPr>
          <w:rFonts w:ascii="Arial" w:hAnsi="Arial" w:cs="Arial"/>
        </w:rPr>
        <w:t xml:space="preserve"> </w:t>
      </w:r>
      <w:r w:rsidR="00F80F7D" w:rsidRPr="00F80F7D">
        <w:rPr>
          <w:rFonts w:ascii="Arial" w:hAnsi="Arial" w:cs="Arial"/>
        </w:rPr>
        <w:fldChar w:fldCharType="begin" w:fldLock="1"/>
      </w:r>
      <w:r w:rsidR="00BA0FB2">
        <w:rPr>
          <w:rFonts w:ascii="Arial" w:hAnsi="Arial" w:cs="Arial"/>
        </w:rPr>
        <w:instrText>ADDIN CSL_CITATION {"citationItems":[{"id":"ITEM-1","itemData":{"DOI":"10.1016/J.AQUACULTURE.2022.738709","ISSN":"0044-8486","abstract":"The present study evaluated the effects of replacing fishmeal protein by Chlorella vulgaris meal and fish oil by a blend of Schizochytrium sp. and Microchloropsis gaditana on growth, feed utilization, muscle fatty acid composition and liver histology of Sparus aurata. Fish were fed twice a day for 12 weeks, six isonitrogenous (52% CP) and isoenergetic (21 MJ/Kg) diets at which fishmeal protein of the Control diet was replaced by C. vulgaris meal at 10% (CM10), 20% (CM20) and 30% (CM30) and fish oil of the control diet was replaced by a blend of Schizochytrium sp. and Microchloropsis sp. at 50% (SM50) and 100% (SM100). It was found that the partial replacement of fishmeal protein by C. vulgaris meal up to 30% and the total fish oil replacement by Schizochytrium sp. and M. gaditana blend did not exert any adverse effects on the feed intake, SGR, FCR and PER of fish. Graded levels of C. vulgaris led to an increased lipid retention and deposition mainly in the liver, but no other diet-dependent changes were observed in the whole body and muscle proximate compositions of fish. Microalgae-based diets displayed no major hepatic histomorphological effects, but the very few incidences of hydropic degeneration and haemorrhage that were observed call for further investigation to reveal any potential histopathological impacts of such dietary strategy. Fishmeal replacement by C. vulgaris increased the levels of 18:2n-6 and 18:3n-3 in fish muscle, while EPA and DHA levels were not significantly reduced since dietary fish oil maintained their deposition. Fish oil replacement by the blend of Schizochytrium sp. and Microchloropsis sp. increased the n-6 PUFA and particularly 20:4n-6 and 22:5n-6 in the muscle, while maintained similar EPA and DHA levels compared to the Control group. The present study suggests that the blend of dried biomasses of Schizochytrium sp. and M. gaditana could totally replace dietary fish oil in fishmeal-based diets formulated with soybean oil, without negatively affecting the growth performance, feed efficiency, proximate composition and muscle EPA and DHA levels of S. aurata, even if this resulted in a few histomorphological alterations. Moreover, replacing fishmeal protein by C. vulgaris meal up to 30% that was the maximum level tested did not adversely affect growth performance and feed utilization, even if it resulted in increased lipid retention and deposition in the liver.","author":[{"dropping-particle":"","family":"Karapanagiotidis","given":"I. T.","non-dropping-particle":"","parse-names":false,"suffix":""},{"dropping-particle":"","family":"Metsoviti","given":"M. N.","non-dropping-particle":"","parse-names":false,"suffix":""},{"dropping-particle":"","family":"Gkalogianni","given":"E. Z.","non-dropping-particle":"","parse-names":false,"suffix":""},{"dropping-particle":"","family":"Psofakis","given":"P.","non-dropping-particle":"","parse-names":false,"suffix":""},{"dropping-particle":"","family":"Asimaki","given":"A.","non-dropping-particle":"","parse-names":false,"suffix":""},{"dropping-particle":"","family":"Katsoulas","given":"N.","non-dropping-particle":"","parse-names":false,"suffix":""},{"dropping-particle":"","family":"Papapolymerou","given":"G.","non-dropping-particle":"","parse-names":false,"suffix":""},{"dropping-particle":"","family":"Zarkadas","given":"I.","non-dropping-particle":"","parse-names":false,"suffix":""}],"container-title":"Aquaculture","id":"ITEM-1","issued":{"date-parts":[["2022","12"]]},"page":"738709","publisher":"Elsevier","title":"The effects of replacing fishmeal by Chlorella vulgaris and fish oil by Schizochytrium sp. and Microchloropsis gaditana blend on growth performance, feed efficiency, muscle fatty acid composition and liver histology of gilthead seabream (Sparus aurata)","type":"article-journal","volume":"561"},"uris":["http://www.mendeley.com/documents/?uuid=2d145c2e-9fb3-3ebc-b1ff-7425edfeae46","http://www.mendeley.com/documents/?uuid=c8097cea-f518-4c24-8566-a02c9f81fea3"]}],"mendeley":{"formattedCitation":"(Karapanagiotidis et al., 2022)","manualFormatting":"Karapanagiotidis et al., (2022)","plainTextFormattedCitation":"(Karapanagiotidis et al., 2022)","previouslyFormattedCitation":"(Karapanagiotidis et al., 2022)"},"properties":{"noteIndex":0},"schema":"https://github.com/citation-style-language/schema/raw/master/csl-citation.json"}</w:instrText>
      </w:r>
      <w:r w:rsidR="00F80F7D" w:rsidRPr="00F80F7D">
        <w:rPr>
          <w:rFonts w:ascii="Arial" w:hAnsi="Arial" w:cs="Arial"/>
        </w:rPr>
        <w:fldChar w:fldCharType="separate"/>
      </w:r>
      <w:r w:rsidR="00F80F7D" w:rsidRPr="00F80F7D">
        <w:rPr>
          <w:rFonts w:ascii="Arial" w:hAnsi="Arial" w:cs="Arial"/>
          <w:noProof/>
        </w:rPr>
        <w:t xml:space="preserve">Karapanagiotidis </w:t>
      </w:r>
      <w:r w:rsidR="00F80F7D" w:rsidRPr="00BA0FB2">
        <w:rPr>
          <w:rFonts w:ascii="Arial" w:hAnsi="Arial" w:cs="Arial"/>
          <w:noProof/>
        </w:rPr>
        <w:t>et al.</w:t>
      </w:r>
      <w:r w:rsidR="00BA0FB2">
        <w:rPr>
          <w:rFonts w:ascii="Arial" w:hAnsi="Arial" w:cs="Arial"/>
          <w:noProof/>
        </w:rPr>
        <w:t>,</w:t>
      </w:r>
      <w:r w:rsidR="00F80F7D" w:rsidRPr="00BA0FB2">
        <w:rPr>
          <w:rFonts w:ascii="Arial" w:hAnsi="Arial" w:cs="Arial"/>
          <w:noProof/>
        </w:rPr>
        <w:t xml:space="preserve"> </w:t>
      </w:r>
      <w:r w:rsidR="00F80F7D" w:rsidRPr="00F80F7D">
        <w:rPr>
          <w:rFonts w:ascii="Arial" w:hAnsi="Arial" w:cs="Arial"/>
          <w:noProof/>
        </w:rPr>
        <w:t>(2022)</w:t>
      </w:r>
      <w:r w:rsidR="00F80F7D" w:rsidRPr="00F80F7D">
        <w:rPr>
          <w:rFonts w:ascii="Arial" w:hAnsi="Arial" w:cs="Arial"/>
        </w:rPr>
        <w:fldChar w:fldCharType="end"/>
      </w:r>
      <w:r>
        <w:rPr>
          <w:rFonts w:ascii="Arial" w:hAnsi="Arial" w:cs="Arial"/>
        </w:rPr>
        <w:t xml:space="preserve"> is</w:t>
      </w:r>
      <w:r w:rsidR="00F80F7D" w:rsidRPr="00F80F7D">
        <w:rPr>
          <w:rFonts w:ascii="Arial" w:hAnsi="Arial" w:cs="Arial"/>
        </w:rPr>
        <w:t xml:space="preserve">: </w:t>
      </w:r>
    </w:p>
    <w:p w14:paraId="1FC41193" w14:textId="77777777" w:rsidR="00F80F7D" w:rsidRPr="00F80F7D" w:rsidRDefault="00F80F7D" w:rsidP="004401A1">
      <w:pPr>
        <w:pStyle w:val="Body"/>
        <w:rPr>
          <w:rFonts w:ascii="Arial" w:hAnsi="Arial" w:cs="Arial"/>
        </w:rPr>
      </w:pPr>
      <m:oMathPara>
        <m:oMath>
          <m:r>
            <w:rPr>
              <w:rFonts w:ascii="Cambria Math" w:hAnsi="Cambria Math" w:cs="Arial"/>
            </w:rPr>
            <m:t>PER=</m:t>
          </m:r>
          <m:f>
            <m:fPr>
              <m:ctrlPr>
                <w:rPr>
                  <w:rFonts w:ascii="Cambria Math" w:hAnsi="Cambria Math" w:cs="Arial"/>
                </w:rPr>
              </m:ctrlPr>
            </m:fPr>
            <m:num>
              <m:r>
                <w:rPr>
                  <w:rFonts w:ascii="Cambria Math" w:hAnsi="Cambria Math" w:cs="Arial"/>
                </w:rPr>
                <m:t>Bt-B0</m:t>
              </m:r>
            </m:num>
            <m:den>
              <m:r>
                <w:rPr>
                  <w:rFonts w:ascii="Cambria Math" w:hAnsi="Cambria Math" w:cs="Arial"/>
                </w:rPr>
                <m:t>Pi</m:t>
              </m:r>
            </m:den>
          </m:f>
        </m:oMath>
      </m:oMathPara>
    </w:p>
    <w:p w14:paraId="3FE300E8" w14:textId="77777777" w:rsidR="00F80F7D" w:rsidRPr="00F80F7D" w:rsidRDefault="00F80F7D" w:rsidP="00F80F7D">
      <w:pPr>
        <w:pStyle w:val="Body"/>
        <w:spacing w:after="0"/>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14:paraId="02A68938" w14:textId="77777777" w:rsidR="00F80F7D" w:rsidRPr="00F80F7D" w:rsidRDefault="0033448E" w:rsidP="00F80F7D">
      <w:pPr>
        <w:pStyle w:val="Body"/>
        <w:spacing w:after="0"/>
        <w:rPr>
          <w:rFonts w:ascii="Arial" w:hAnsi="Arial" w:cs="Arial"/>
        </w:rPr>
      </w:pPr>
      <w:r>
        <w:rPr>
          <w:rFonts w:ascii="Arial" w:hAnsi="Arial" w:cs="Arial"/>
        </w:rPr>
        <w:t>PER</w:t>
      </w:r>
      <w:r w:rsidR="00F80F7D" w:rsidRPr="00F80F7D">
        <w:rPr>
          <w:rFonts w:ascii="Arial" w:hAnsi="Arial" w:cs="Arial"/>
        </w:rPr>
        <w:tab/>
        <w:t xml:space="preserve">: </w:t>
      </w:r>
      <w:r w:rsidR="001640F2">
        <w:rPr>
          <w:rFonts w:ascii="Arial" w:hAnsi="Arial" w:cs="Arial"/>
        </w:rPr>
        <w:t xml:space="preserve">Protein Efficiency Ratio </w:t>
      </w:r>
      <w:r w:rsidR="00F80F7D" w:rsidRPr="00F80F7D">
        <w:rPr>
          <w:rFonts w:ascii="Arial" w:hAnsi="Arial" w:cs="Arial"/>
        </w:rPr>
        <w:t>(%)</w:t>
      </w:r>
    </w:p>
    <w:p w14:paraId="49EAE104" w14:textId="77777777" w:rsidR="00F80F7D" w:rsidRPr="00F80F7D" w:rsidRDefault="00F80F7D" w:rsidP="00F80F7D">
      <w:pPr>
        <w:pStyle w:val="Body"/>
        <w:spacing w:after="0"/>
        <w:rPr>
          <w:rFonts w:ascii="Arial" w:hAnsi="Arial" w:cs="Arial"/>
        </w:rPr>
      </w:pPr>
      <w:proofErr w:type="spellStart"/>
      <w:r w:rsidRPr="00F80F7D">
        <w:rPr>
          <w:rFonts w:ascii="Arial" w:hAnsi="Arial" w:cs="Arial"/>
        </w:rPr>
        <w:t>Bt</w:t>
      </w:r>
      <w:proofErr w:type="spellEnd"/>
      <w:r w:rsidRPr="00F80F7D">
        <w:rPr>
          <w:rFonts w:ascii="Arial" w:hAnsi="Arial" w:cs="Arial"/>
        </w:rPr>
        <w:tab/>
        <w:t xml:space="preserve">: </w:t>
      </w:r>
      <w:r w:rsidR="00377210">
        <w:rPr>
          <w:rFonts w:ascii="Arial" w:hAnsi="Arial" w:cs="Arial"/>
        </w:rPr>
        <w:t>Final fish weight of the research</w:t>
      </w:r>
      <w:r w:rsidR="00377210" w:rsidRPr="0057404D">
        <w:rPr>
          <w:rFonts w:ascii="Arial" w:hAnsi="Arial" w:cs="Arial"/>
        </w:rPr>
        <w:t xml:space="preserve"> </w:t>
      </w:r>
      <w:r w:rsidRPr="00F80F7D">
        <w:rPr>
          <w:rFonts w:ascii="Arial" w:hAnsi="Arial" w:cs="Arial"/>
        </w:rPr>
        <w:t xml:space="preserve">(g) </w:t>
      </w:r>
    </w:p>
    <w:p w14:paraId="52C72EB8" w14:textId="77777777" w:rsidR="00F80F7D" w:rsidRPr="00F80F7D" w:rsidRDefault="00F80F7D" w:rsidP="00F80F7D">
      <w:pPr>
        <w:pStyle w:val="Body"/>
        <w:spacing w:after="0"/>
        <w:rPr>
          <w:rFonts w:ascii="Arial" w:hAnsi="Arial" w:cs="Arial"/>
        </w:rPr>
      </w:pPr>
      <w:r w:rsidRPr="00F80F7D">
        <w:rPr>
          <w:rFonts w:ascii="Arial" w:hAnsi="Arial" w:cs="Arial"/>
        </w:rPr>
        <w:t>Bo</w:t>
      </w:r>
      <w:r w:rsidRPr="00F80F7D">
        <w:rPr>
          <w:rFonts w:ascii="Arial" w:hAnsi="Arial" w:cs="Arial"/>
        </w:rPr>
        <w:tab/>
        <w:t xml:space="preserve">: </w:t>
      </w:r>
      <w:r w:rsidR="00377210" w:rsidRPr="0057404D">
        <w:rPr>
          <w:rFonts w:ascii="Arial" w:hAnsi="Arial" w:cs="Arial"/>
        </w:rPr>
        <w:t xml:space="preserve">Initial fish weight of the </w:t>
      </w:r>
      <w:r w:rsidR="00377210">
        <w:rPr>
          <w:rFonts w:ascii="Arial" w:hAnsi="Arial" w:cs="Arial"/>
        </w:rPr>
        <w:t>research</w:t>
      </w:r>
      <w:r w:rsidR="00377210" w:rsidRPr="00F80F7D">
        <w:rPr>
          <w:rFonts w:ascii="Arial" w:hAnsi="Arial" w:cs="Arial"/>
        </w:rPr>
        <w:t xml:space="preserve"> </w:t>
      </w:r>
      <w:r w:rsidRPr="00F80F7D">
        <w:rPr>
          <w:rFonts w:ascii="Arial" w:hAnsi="Arial" w:cs="Arial"/>
        </w:rPr>
        <w:t xml:space="preserve">(g) </w:t>
      </w:r>
    </w:p>
    <w:p w14:paraId="3E5838A3" w14:textId="77777777" w:rsidR="00442420" w:rsidRDefault="00F80F7D" w:rsidP="00DA55EA">
      <w:pPr>
        <w:pStyle w:val="Body"/>
        <w:spacing w:after="0"/>
        <w:rPr>
          <w:rFonts w:ascii="Arial" w:hAnsi="Arial" w:cs="Arial"/>
        </w:rPr>
      </w:pPr>
      <w:r w:rsidRPr="00F80F7D">
        <w:rPr>
          <w:rFonts w:ascii="Arial" w:hAnsi="Arial" w:cs="Arial"/>
        </w:rPr>
        <w:t>Pi</w:t>
      </w:r>
      <w:r w:rsidRPr="00F80F7D">
        <w:rPr>
          <w:rFonts w:ascii="Arial" w:hAnsi="Arial" w:cs="Arial"/>
        </w:rPr>
        <w:tab/>
        <w:t xml:space="preserve">: </w:t>
      </w:r>
      <w:r w:rsidR="00377210">
        <w:rPr>
          <w:rFonts w:ascii="Arial" w:hAnsi="Arial" w:cs="Arial"/>
        </w:rPr>
        <w:t xml:space="preserve">Weight of feed consumed </w:t>
      </w:r>
      <w:r w:rsidRPr="00F80F7D">
        <w:rPr>
          <w:rFonts w:ascii="Arial" w:hAnsi="Arial" w:cs="Arial"/>
        </w:rPr>
        <w:t xml:space="preserve">x % </w:t>
      </w:r>
      <w:r w:rsidR="00377210">
        <w:rPr>
          <w:rFonts w:ascii="Arial" w:hAnsi="Arial" w:cs="Arial"/>
        </w:rPr>
        <w:t>feed protein</w:t>
      </w:r>
    </w:p>
    <w:p w14:paraId="59819F5A" w14:textId="77777777" w:rsidR="00DA55EA" w:rsidRPr="00DA55EA" w:rsidRDefault="00DA55EA" w:rsidP="00DA55EA">
      <w:pPr>
        <w:pStyle w:val="Body"/>
        <w:spacing w:after="0"/>
        <w:rPr>
          <w:rFonts w:ascii="Arial" w:hAnsi="Arial" w:cs="Arial"/>
        </w:rPr>
      </w:pPr>
    </w:p>
    <w:p w14:paraId="5CCB2D3D" w14:textId="77777777" w:rsidR="0078076E" w:rsidRPr="00422382" w:rsidRDefault="00DA55EA" w:rsidP="003B5B12">
      <w:pPr>
        <w:pStyle w:val="Head3"/>
        <w:spacing w:after="0"/>
        <w:rPr>
          <w:rFonts w:ascii="Arial" w:hAnsi="Arial" w:cs="Arial"/>
          <w:b/>
          <w:bCs/>
        </w:rPr>
      </w:pPr>
      <w:r w:rsidRPr="00422382">
        <w:rPr>
          <w:rFonts w:ascii="Arial" w:hAnsi="Arial" w:cs="Arial"/>
          <w:b/>
          <w:bCs/>
        </w:rPr>
        <w:t>2.3.4</w:t>
      </w:r>
      <w:r w:rsidR="00377210" w:rsidRPr="00422382">
        <w:rPr>
          <w:rFonts w:ascii="Arial" w:hAnsi="Arial" w:cs="Arial"/>
          <w:b/>
          <w:bCs/>
        </w:rPr>
        <w:t xml:space="preserve"> </w:t>
      </w:r>
      <w:r w:rsidR="0078076E" w:rsidRPr="00422382">
        <w:rPr>
          <w:rFonts w:ascii="Arial" w:hAnsi="Arial" w:cs="Arial"/>
          <w:b/>
          <w:bCs/>
        </w:rPr>
        <w:t xml:space="preserve">Protein </w:t>
      </w:r>
      <w:r w:rsidR="00377210" w:rsidRPr="00422382">
        <w:rPr>
          <w:rFonts w:ascii="Arial" w:hAnsi="Arial" w:cs="Arial"/>
          <w:b/>
          <w:bCs/>
        </w:rPr>
        <w:t xml:space="preserve">Retention </w:t>
      </w:r>
    </w:p>
    <w:p w14:paraId="79936C6D" w14:textId="77777777" w:rsidR="007B3AB6" w:rsidRPr="00E3130B" w:rsidRDefault="00377210" w:rsidP="004401A1">
      <w:pPr>
        <w:pStyle w:val="Body"/>
        <w:rPr>
          <w:rFonts w:ascii="Arial" w:hAnsi="Arial" w:cs="Arial"/>
        </w:rPr>
      </w:pPr>
      <w:r w:rsidRPr="00377210">
        <w:rPr>
          <w:rFonts w:ascii="Arial" w:hAnsi="Arial" w:cs="Arial"/>
        </w:rPr>
        <w:t>Protein retention can be determined by conducting a proximate analysis of fish body protein at the beginning and end of culture. The protein retention formula according to</w:t>
      </w:r>
      <w:r>
        <w:rPr>
          <w:rFonts w:ascii="Arial" w:hAnsi="Arial" w:cs="Arial"/>
        </w:rPr>
        <w:t xml:space="preserve"> </w:t>
      </w:r>
      <w:r w:rsidR="007B3AB6" w:rsidRPr="007B3AB6">
        <w:rPr>
          <w:rFonts w:ascii="Arial" w:hAnsi="Arial" w:cs="Arial"/>
        </w:rPr>
        <w:fldChar w:fldCharType="begin" w:fldLock="1"/>
      </w:r>
      <w:r w:rsidR="00BA0FB2">
        <w:rPr>
          <w:rFonts w:ascii="Arial" w:hAnsi="Arial" w:cs="Arial"/>
        </w:rPr>
        <w:instrText>ADDIN CSL_CITATION {"citationItems":[{"id":"ITEM-1","itemData":{"DOI":"10.1016/J.AQUACULTURE.2019.03.023","ISSN":"0044-8486","abstract":"Two trials were carried out to determine the optimal replacement level of fish meal (FM) by soy protein concentrate (SPC) derived from soymilk without supplementation of indispensable amino acids (IAAs) or palatability enhancers and whether phytase supplementation can help to replace more SPC in diet of juvenile red sea bream, Pagrus major. In Trial 1, five isoenergetic diets were formulated: 67% FM as protein source in the control diet (C), and FM was replaced by 60 (SPC60), 70 (SPC70), 80 (SPC80) and 100% (SPC100) by SPC. In Trial 2, diets C and SPC80 were the same as in Trial 1, and phytase was supplemented in SPC80 at 1000 (P1), 2000 (P2), 3000 (P3) and 4000 (P4) FTU/kg diet. Thirty (ca. 23 g) and 20 fish (ca. 21 g) were randomly distributed into each fifteen and eighteen 300 L indoor tanks in Trial 1 and 2, respectively. Fish in both trials were fed two times daily until apparent satiation for 10 weeks. At the end of both trials, feces were collected after feeding with chromic oxide (Cr 2 O 3 ) mixed diets. In Trial 1, there were no significant differences in final mean weight, specific growth rate (SGR), daily feeding rate (DFR), feed efficiency (FE), condition factor (CF), and retention efficiency of protein, lipid and energy until 70% (SPC70) FM replacement by SPC (P &gt;.05). However, 80% FM replacement significantly reduced final mean weight, FE and lipid retention efficiency compared with group C (P &lt;.05). There were no significant differences in plasma constituents, except total cholesterol level. In Trial 2, phytase was supplemented in SPC80 to determine whether it helps to stimulate growth up to the level of the control group. Fish fed SPC80 once again displayed significantly lower final mean weight, SGR, FE, phosphorus (P) digestibility, and retention efficiency of protein, lipid, energy and P compared with control group (P &gt;.05). Final mean weight, FE, P digestibility, and retention efficiency of protein, lipid and P were significantly improved in fish fed diet P2 (phytase at 2000 FTU/kg diet) compared with those fed diet SPC80. However, phytase supplementation did not stimulate the growth up to the level of group C. The results demonstrated in juvenile red sea bream that 70% of FM can be replaced by SPC derived from soymilk without supplementation of IAAs and palatability enhancers.","author":[{"dropping-particle":"","family":"Biswas","given":"Amal","non-dropping-particle":"","parse-names":false,"suffix":""},{"dropping-particle":"","family":"Araki","given":"Hideo","non-dropping-particle":"","parse-names":false,"suffix":""},{"dropping-particle":"","family":"Sakata","given":"Tetsuo","non-dropping-particle":"","parse-names":false,"suffix":""},{"dropping-particle":"","family":"Nakamori","given":"Toshihiro","non-dropping-particle":"","parse-names":false,"suffix":""},{"dropping-particle":"","family":"Takii","given":"Kenji","non-dropping-particle":"","parse-names":false,"suffix":""}],"container-title":"Aquaculture","id":"ITEM-1","issued":{"date-parts":[["2019","5"]]},"page":"51-59","publisher":"Elsevier","title":"Optimum fish meal replacement by soy protein concentrate from soymilk and phytase supplementation in diet of red sea bream, Pagrus major","type":"article-journal","volume":"506"},"uris":["http://www.mendeley.com/documents/?uuid=8d1bff03-07dc-34da-9d99-e87b2fcaacec","http://www.mendeley.com/documents/?uuid=7c444e18-c175-40b1-8ff6-5f758155510e"]}],"mendeley":{"formattedCitation":"(Biswas et al., 2019)","manualFormatting":"Biswas et al., (2019)","plainTextFormattedCitation":"(Biswas et al., 2019)","previouslyFormattedCitation":"(Biswas et al., 2019)"},"properties":{"noteIndex":0},"schema":"https://github.com/citation-style-language/schema/raw/master/csl-citation.json"}</w:instrText>
      </w:r>
      <w:r w:rsidR="007B3AB6" w:rsidRPr="007B3AB6">
        <w:rPr>
          <w:rFonts w:ascii="Arial" w:hAnsi="Arial" w:cs="Arial"/>
        </w:rPr>
        <w:fldChar w:fldCharType="separate"/>
      </w:r>
      <w:r w:rsidR="007B3AB6" w:rsidRPr="007B3AB6">
        <w:rPr>
          <w:rFonts w:ascii="Arial" w:hAnsi="Arial" w:cs="Arial"/>
          <w:noProof/>
        </w:rPr>
        <w:t xml:space="preserve">Biswas </w:t>
      </w:r>
      <w:r w:rsidR="007B3AB6" w:rsidRPr="00BA0FB2">
        <w:rPr>
          <w:rFonts w:ascii="Arial" w:hAnsi="Arial" w:cs="Arial"/>
          <w:noProof/>
        </w:rPr>
        <w:t>et al.</w:t>
      </w:r>
      <w:r w:rsidR="00BA0FB2">
        <w:rPr>
          <w:rFonts w:ascii="Arial" w:hAnsi="Arial" w:cs="Arial"/>
          <w:noProof/>
        </w:rPr>
        <w:t>,</w:t>
      </w:r>
      <w:r w:rsidR="007B3AB6" w:rsidRPr="00BA0FB2">
        <w:rPr>
          <w:rFonts w:ascii="Arial" w:hAnsi="Arial" w:cs="Arial"/>
          <w:noProof/>
        </w:rPr>
        <w:t xml:space="preserve"> </w:t>
      </w:r>
      <w:r w:rsidR="007B3AB6" w:rsidRPr="007B3AB6">
        <w:rPr>
          <w:rFonts w:ascii="Arial" w:hAnsi="Arial" w:cs="Arial"/>
          <w:noProof/>
        </w:rPr>
        <w:t>(2019)</w:t>
      </w:r>
      <w:r w:rsidR="007B3AB6" w:rsidRPr="007B3AB6">
        <w:rPr>
          <w:rFonts w:ascii="Arial" w:hAnsi="Arial" w:cs="Arial"/>
        </w:rPr>
        <w:fldChar w:fldCharType="end"/>
      </w:r>
      <w:r>
        <w:rPr>
          <w:rFonts w:ascii="Arial" w:hAnsi="Arial" w:cs="Arial"/>
        </w:rPr>
        <w:t xml:space="preserve"> is</w:t>
      </w:r>
      <w:r w:rsidR="00E3130B">
        <w:rPr>
          <w:rFonts w:ascii="Arial" w:hAnsi="Arial" w:cs="Arial"/>
        </w:rPr>
        <w:t xml:space="preserve">: </w:t>
      </w:r>
    </w:p>
    <w:p w14:paraId="27B387B0" w14:textId="77777777" w:rsidR="00F80F7D" w:rsidRPr="007B3AB6" w:rsidRDefault="007B3AB6" w:rsidP="004401A1">
      <w:pPr>
        <w:pStyle w:val="Body"/>
        <w:rPr>
          <w:rFonts w:ascii="Arial" w:hAnsi="Arial" w:cs="Arial"/>
        </w:rPr>
      </w:pPr>
      <m:oMathPara>
        <m:oMath>
          <m:r>
            <w:rPr>
              <w:rFonts w:ascii="Cambria Math" w:hAnsi="Cambria Math" w:cs="Arial"/>
            </w:rPr>
            <m:t>RP=</m:t>
          </m:r>
          <m:f>
            <m:fPr>
              <m:ctrlPr>
                <w:rPr>
                  <w:rFonts w:ascii="Cambria Math" w:hAnsi="Cambria Math" w:cs="Arial"/>
                </w:rPr>
              </m:ctrlPr>
            </m:fPr>
            <m:num>
              <m:r>
                <w:rPr>
                  <w:rFonts w:ascii="Cambria Math" w:hAnsi="Cambria Math" w:cs="Arial"/>
                </w:rPr>
                <m:t>(Fp-Lp)</m:t>
              </m:r>
            </m:num>
            <m:den>
              <m:r>
                <w:rPr>
                  <w:rFonts w:ascii="Cambria Math" w:hAnsi="Cambria Math" w:cs="Arial"/>
                </w:rPr>
                <m:t>P</m:t>
              </m:r>
            </m:den>
          </m:f>
          <m:r>
            <w:rPr>
              <w:rFonts w:ascii="Cambria Math" w:hAnsi="Cambria Math" w:cs="Arial"/>
            </w:rPr>
            <m:t>x100%</m:t>
          </m:r>
        </m:oMath>
      </m:oMathPara>
    </w:p>
    <w:p w14:paraId="2D69289B" w14:textId="77777777" w:rsidR="007B3AB6" w:rsidRPr="007B3AB6" w:rsidRDefault="007B3AB6" w:rsidP="007B3AB6">
      <w:pPr>
        <w:pStyle w:val="Body"/>
        <w:spacing w:after="0"/>
        <w:rPr>
          <w:rFonts w:ascii="Arial" w:hAnsi="Arial" w:cs="Arial"/>
        </w:rPr>
      </w:pPr>
      <w:proofErr w:type="spellStart"/>
      <w:r w:rsidRPr="007B3AB6">
        <w:rPr>
          <w:rFonts w:ascii="Arial" w:hAnsi="Arial" w:cs="Arial"/>
        </w:rPr>
        <w:t>Keterangan</w:t>
      </w:r>
      <w:proofErr w:type="spellEnd"/>
      <w:r w:rsidRPr="007B3AB6">
        <w:rPr>
          <w:rFonts w:ascii="Arial" w:hAnsi="Arial" w:cs="Arial"/>
        </w:rPr>
        <w:t xml:space="preserve">: </w:t>
      </w:r>
    </w:p>
    <w:p w14:paraId="36478898" w14:textId="77777777" w:rsidR="007B3AB6" w:rsidRPr="007B3AB6" w:rsidRDefault="00377210" w:rsidP="007B3AB6">
      <w:pPr>
        <w:pStyle w:val="Body"/>
        <w:spacing w:after="0"/>
        <w:rPr>
          <w:rFonts w:ascii="Arial" w:hAnsi="Arial" w:cs="Arial"/>
        </w:rPr>
      </w:pPr>
      <w:r>
        <w:rPr>
          <w:rFonts w:ascii="Arial" w:hAnsi="Arial" w:cs="Arial"/>
        </w:rPr>
        <w:t>RP</w:t>
      </w:r>
      <w:r>
        <w:rPr>
          <w:rFonts w:ascii="Arial" w:hAnsi="Arial" w:cs="Arial"/>
        </w:rPr>
        <w:tab/>
        <w:t xml:space="preserve">: </w:t>
      </w:r>
      <w:r w:rsidR="007B3AB6" w:rsidRPr="007B3AB6">
        <w:rPr>
          <w:rFonts w:ascii="Arial" w:hAnsi="Arial" w:cs="Arial"/>
        </w:rPr>
        <w:t>Protein</w:t>
      </w:r>
      <w:r>
        <w:rPr>
          <w:rFonts w:ascii="Arial" w:hAnsi="Arial" w:cs="Arial"/>
        </w:rPr>
        <w:t xml:space="preserve"> Retention </w:t>
      </w:r>
    </w:p>
    <w:p w14:paraId="714FF13A" w14:textId="77777777" w:rsidR="007B3AB6" w:rsidRPr="007B3AB6" w:rsidRDefault="007B3AB6" w:rsidP="007B3AB6">
      <w:pPr>
        <w:pStyle w:val="Body"/>
        <w:spacing w:after="0"/>
        <w:rPr>
          <w:rFonts w:ascii="Arial" w:hAnsi="Arial" w:cs="Arial"/>
        </w:rPr>
      </w:pPr>
      <w:proofErr w:type="spellStart"/>
      <w:r w:rsidRPr="007B3AB6">
        <w:rPr>
          <w:rFonts w:ascii="Arial" w:hAnsi="Arial" w:cs="Arial"/>
        </w:rPr>
        <w:t>Fp</w:t>
      </w:r>
      <w:proofErr w:type="spellEnd"/>
      <w:r w:rsidRPr="007B3AB6">
        <w:rPr>
          <w:rFonts w:ascii="Arial" w:hAnsi="Arial" w:cs="Arial"/>
        </w:rPr>
        <w:tab/>
        <w:t xml:space="preserve">: </w:t>
      </w:r>
      <w:r w:rsidR="00377210" w:rsidRPr="00377210">
        <w:rPr>
          <w:rFonts w:ascii="Arial" w:hAnsi="Arial" w:cs="Arial"/>
        </w:rPr>
        <w:t xml:space="preserve">The amount of body protein at the end of </w:t>
      </w:r>
      <w:r w:rsidR="00377210">
        <w:rPr>
          <w:rFonts w:ascii="Arial" w:hAnsi="Arial" w:cs="Arial"/>
        </w:rPr>
        <w:t xml:space="preserve">research </w:t>
      </w:r>
      <w:r w:rsidRPr="007B3AB6">
        <w:rPr>
          <w:rFonts w:ascii="Arial" w:hAnsi="Arial" w:cs="Arial"/>
        </w:rPr>
        <w:t>(g)</w:t>
      </w:r>
    </w:p>
    <w:p w14:paraId="22E63F40" w14:textId="77777777" w:rsidR="007B3AB6" w:rsidRPr="007B3AB6" w:rsidRDefault="007B3AB6" w:rsidP="007B3AB6">
      <w:pPr>
        <w:pStyle w:val="Body"/>
        <w:spacing w:after="0"/>
        <w:rPr>
          <w:rFonts w:ascii="Arial" w:hAnsi="Arial" w:cs="Arial"/>
        </w:rPr>
      </w:pPr>
      <w:proofErr w:type="spellStart"/>
      <w:r w:rsidRPr="007B3AB6">
        <w:rPr>
          <w:rFonts w:ascii="Arial" w:hAnsi="Arial" w:cs="Arial"/>
        </w:rPr>
        <w:t>Lp</w:t>
      </w:r>
      <w:proofErr w:type="spellEnd"/>
      <w:r w:rsidRPr="007B3AB6">
        <w:rPr>
          <w:rFonts w:ascii="Arial" w:hAnsi="Arial" w:cs="Arial"/>
        </w:rPr>
        <w:tab/>
        <w:t xml:space="preserve">: </w:t>
      </w:r>
      <w:r w:rsidR="00377210" w:rsidRPr="00377210">
        <w:rPr>
          <w:rFonts w:ascii="Arial" w:hAnsi="Arial" w:cs="Arial"/>
        </w:rPr>
        <w:t>The amount of body protein at t</w:t>
      </w:r>
      <w:r w:rsidR="00377210">
        <w:rPr>
          <w:rFonts w:ascii="Arial" w:hAnsi="Arial" w:cs="Arial"/>
        </w:rPr>
        <w:t>he start of research</w:t>
      </w:r>
      <w:r w:rsidR="006D289A">
        <w:rPr>
          <w:rFonts w:ascii="Arial" w:hAnsi="Arial" w:cs="Arial"/>
        </w:rPr>
        <w:t xml:space="preserve"> </w:t>
      </w:r>
      <w:r w:rsidRPr="007B3AB6">
        <w:rPr>
          <w:rFonts w:ascii="Arial" w:hAnsi="Arial" w:cs="Arial"/>
        </w:rPr>
        <w:t xml:space="preserve">(g) </w:t>
      </w:r>
    </w:p>
    <w:p w14:paraId="7615336B" w14:textId="77777777" w:rsidR="007B3AB6" w:rsidRDefault="007B3AB6" w:rsidP="00DA55EA">
      <w:pPr>
        <w:pStyle w:val="Body"/>
        <w:spacing w:after="0"/>
        <w:rPr>
          <w:rFonts w:ascii="Arial" w:hAnsi="Arial" w:cs="Arial"/>
        </w:rPr>
      </w:pPr>
      <w:r w:rsidRPr="007B3AB6">
        <w:rPr>
          <w:rFonts w:ascii="Arial" w:hAnsi="Arial" w:cs="Arial"/>
        </w:rPr>
        <w:t>P</w:t>
      </w:r>
      <w:r w:rsidRPr="007B3AB6">
        <w:rPr>
          <w:rFonts w:ascii="Arial" w:hAnsi="Arial" w:cs="Arial"/>
        </w:rPr>
        <w:tab/>
        <w:t xml:space="preserve">: </w:t>
      </w:r>
      <w:r w:rsidR="00377210" w:rsidRPr="00377210">
        <w:rPr>
          <w:rFonts w:ascii="Arial" w:hAnsi="Arial" w:cs="Arial"/>
        </w:rPr>
        <w:t>Amount of pro</w:t>
      </w:r>
      <w:r w:rsidR="00377210">
        <w:rPr>
          <w:rFonts w:ascii="Arial" w:hAnsi="Arial" w:cs="Arial"/>
        </w:rPr>
        <w:t xml:space="preserve">tein consumed during research </w:t>
      </w:r>
    </w:p>
    <w:p w14:paraId="2662806A" w14:textId="77777777" w:rsidR="00DA55EA" w:rsidRPr="00DA55EA" w:rsidRDefault="00DA55EA" w:rsidP="00DA55EA">
      <w:pPr>
        <w:pStyle w:val="Body"/>
        <w:spacing w:after="0"/>
        <w:rPr>
          <w:rFonts w:ascii="Arial" w:hAnsi="Arial" w:cs="Arial"/>
        </w:rPr>
      </w:pPr>
    </w:p>
    <w:p w14:paraId="2BE535C1" w14:textId="77777777" w:rsidR="00FB1D5C" w:rsidRPr="00422382" w:rsidRDefault="00FB1D5C" w:rsidP="003B5B12">
      <w:pPr>
        <w:pStyle w:val="Head3"/>
        <w:spacing w:after="0"/>
        <w:rPr>
          <w:rFonts w:ascii="Arial" w:hAnsi="Arial" w:cs="Arial"/>
          <w:b/>
          <w:bCs/>
        </w:rPr>
      </w:pPr>
      <w:r w:rsidRPr="00422382">
        <w:rPr>
          <w:rFonts w:ascii="Arial" w:hAnsi="Arial" w:cs="Arial"/>
          <w:b/>
          <w:bCs/>
        </w:rPr>
        <w:t xml:space="preserve">2.3.6 </w:t>
      </w:r>
      <w:r w:rsidR="001640F2" w:rsidRPr="00422382">
        <w:rPr>
          <w:rFonts w:ascii="Arial" w:hAnsi="Arial" w:cs="Arial"/>
          <w:b/>
          <w:bCs/>
        </w:rPr>
        <w:t xml:space="preserve">Proximate Analysis </w:t>
      </w:r>
    </w:p>
    <w:p w14:paraId="134BFF63" w14:textId="77777777" w:rsidR="00FB1D5C" w:rsidRDefault="00B96FE8" w:rsidP="00FB1D5C">
      <w:pPr>
        <w:pStyle w:val="Body"/>
        <w:rPr>
          <w:rFonts w:ascii="Arial" w:hAnsi="Arial" w:cs="Arial"/>
        </w:rPr>
      </w:pPr>
      <w:r w:rsidRPr="00B96FE8">
        <w:rPr>
          <w:rFonts w:ascii="Arial" w:hAnsi="Arial" w:cs="Arial"/>
        </w:rPr>
        <w:t xml:space="preserve">Proximate analysis was conducted at the beginning and end of the study to determine the nutritional composition of the fish meat. One catfish was taken from each aquarium and the meat was then filleted. A 15 g sample of the meat was analyzed at the Central Laboratory of </w:t>
      </w:r>
      <w:proofErr w:type="spellStart"/>
      <w:r w:rsidRPr="00B96FE8">
        <w:rPr>
          <w:rFonts w:ascii="Arial" w:hAnsi="Arial" w:cs="Arial"/>
        </w:rPr>
        <w:lastRenderedPageBreak/>
        <w:t>Padjajaran</w:t>
      </w:r>
      <w:proofErr w:type="spellEnd"/>
      <w:r w:rsidRPr="00B96FE8">
        <w:rPr>
          <w:rFonts w:ascii="Arial" w:hAnsi="Arial" w:cs="Arial"/>
        </w:rPr>
        <w:t xml:space="preserve"> University. Analysis of the composition of water, ash, protein, fat, and carbohydrates in the fish was perform</w:t>
      </w:r>
      <w:r>
        <w:rPr>
          <w:rFonts w:ascii="Arial" w:hAnsi="Arial" w:cs="Arial"/>
        </w:rPr>
        <w:t xml:space="preserve">ed according to the AOAC (1990) method </w:t>
      </w:r>
      <w:r w:rsidR="006F461E">
        <w:rPr>
          <w:rFonts w:ascii="Arial" w:hAnsi="Arial" w:cs="Arial"/>
        </w:rPr>
        <w:fldChar w:fldCharType="begin" w:fldLock="1"/>
      </w:r>
      <w:r w:rsidR="006F461E">
        <w:rPr>
          <w:rFonts w:ascii="Arial" w:hAnsi="Arial" w:cs="Arial"/>
        </w:rPr>
        <w:instrText>ADDIN CSL_CITATION {"citationItems":[{"id":"ITEM-1","itemData":{"ISBN":"9240096884","author":[{"dropping-particle":"","family":"Food and Agriculture Organization","given":"","non-dropping-particle":"","parse-names":false,"suffix":""}],"id":"ITEM-1","issued":{"date-parts":[["2006"]]},"publisher":"Food and Agriculture Organization of the United Nations","title":"FAO","type":"book"},"uris":["http://www.mendeley.com/documents/?uuid=87533790-af98-478c-86de-e81e8fac76f2"]}],"mendeley":{"formattedCitation":"(Food and Agriculture Organization, 2006)","plainTextFormattedCitation":"(Food and Agriculture Organization, 2006)","previouslyFormattedCitation":"(Food and Agriculture Organization, 2006)"},"properties":{"noteIndex":0},"schema":"https://github.com/citation-style-language/schema/raw/master/csl-citation.json"}</w:instrText>
      </w:r>
      <w:r w:rsidR="006F461E">
        <w:rPr>
          <w:rFonts w:ascii="Arial" w:hAnsi="Arial" w:cs="Arial"/>
        </w:rPr>
        <w:fldChar w:fldCharType="separate"/>
      </w:r>
      <w:r w:rsidR="006F461E" w:rsidRPr="006F461E">
        <w:rPr>
          <w:rFonts w:ascii="Arial" w:hAnsi="Arial" w:cs="Arial"/>
          <w:noProof/>
        </w:rPr>
        <w:t>(Food and Agriculture Organization, 2006)</w:t>
      </w:r>
      <w:r w:rsidR="006F461E">
        <w:rPr>
          <w:rFonts w:ascii="Arial" w:hAnsi="Arial" w:cs="Arial"/>
        </w:rPr>
        <w:fldChar w:fldCharType="end"/>
      </w:r>
      <w:r w:rsidR="006F461E">
        <w:rPr>
          <w:rFonts w:ascii="Arial" w:hAnsi="Arial" w:cs="Arial"/>
        </w:rPr>
        <w:t xml:space="preserve">. </w:t>
      </w:r>
    </w:p>
    <w:p w14:paraId="15F24E72" w14:textId="62C48FC2" w:rsidR="00C722F0" w:rsidRPr="00C722F0" w:rsidRDefault="00C722F0" w:rsidP="00FB1D5C">
      <w:pPr>
        <w:pStyle w:val="Body"/>
        <w:rPr>
          <w:rFonts w:ascii="Arial" w:hAnsi="Arial" w:cs="Arial"/>
          <w:color w:val="EE0000"/>
        </w:rPr>
      </w:pPr>
      <w:r w:rsidRPr="00C722F0">
        <w:rPr>
          <w:rFonts w:ascii="Arial" w:hAnsi="Arial" w:cs="Arial"/>
          <w:color w:val="EE0000"/>
        </w:rPr>
        <w:t xml:space="preserve">2.3.8 Add Method of Feed Preparation with </w:t>
      </w:r>
      <w:proofErr w:type="spellStart"/>
      <w:r w:rsidRPr="00C722F0">
        <w:rPr>
          <w:rFonts w:ascii="Arial" w:hAnsi="Arial" w:cs="Arial"/>
          <w:color w:val="EE0000"/>
        </w:rPr>
        <w:t>stanard</w:t>
      </w:r>
      <w:proofErr w:type="spellEnd"/>
      <w:r w:rsidRPr="00C722F0">
        <w:rPr>
          <w:rFonts w:ascii="Arial" w:hAnsi="Arial" w:cs="Arial"/>
          <w:color w:val="EE0000"/>
        </w:rPr>
        <w:t xml:space="preserve"> Reference</w:t>
      </w:r>
    </w:p>
    <w:p w14:paraId="65913D5F" w14:textId="77777777" w:rsidR="0078076E" w:rsidRPr="00422382" w:rsidRDefault="0078076E" w:rsidP="003B5B12">
      <w:pPr>
        <w:pStyle w:val="Head3"/>
        <w:spacing w:after="0"/>
        <w:rPr>
          <w:rFonts w:ascii="Arial" w:hAnsi="Arial" w:cs="Arial"/>
          <w:b/>
          <w:bCs/>
        </w:rPr>
      </w:pPr>
      <w:r w:rsidRPr="00422382">
        <w:rPr>
          <w:rFonts w:ascii="Arial" w:hAnsi="Arial" w:cs="Arial"/>
          <w:b/>
          <w:bCs/>
        </w:rPr>
        <w:t xml:space="preserve">2.3.8 </w:t>
      </w:r>
      <w:r w:rsidR="001640F2" w:rsidRPr="00422382">
        <w:rPr>
          <w:rFonts w:ascii="Arial" w:hAnsi="Arial" w:cs="Arial"/>
          <w:b/>
          <w:bCs/>
        </w:rPr>
        <w:t xml:space="preserve">Water Quality </w:t>
      </w:r>
    </w:p>
    <w:p w14:paraId="0FEC5F80" w14:textId="569031D4" w:rsidR="00B96FE8" w:rsidRPr="00C722F0" w:rsidRDefault="00B96FE8" w:rsidP="0039426C">
      <w:pPr>
        <w:pStyle w:val="Body"/>
        <w:tabs>
          <w:tab w:val="left" w:pos="3525"/>
        </w:tabs>
        <w:spacing w:after="0"/>
        <w:rPr>
          <w:rFonts w:ascii="Arial" w:hAnsi="Arial" w:cs="Arial"/>
          <w:color w:val="EE0000"/>
        </w:rPr>
      </w:pPr>
      <w:r w:rsidRPr="00B96FE8">
        <w:rPr>
          <w:rFonts w:ascii="Arial" w:hAnsi="Arial" w:cs="Arial"/>
        </w:rPr>
        <w:t>Water quality parameters include temperature, pH, and dissolved oxygen (DO). These parameters were measured every seven days before sampling</w:t>
      </w:r>
      <w:r w:rsidR="00C722F0">
        <w:rPr>
          <w:rFonts w:ascii="Arial" w:hAnsi="Arial" w:cs="Arial"/>
        </w:rPr>
        <w:t xml:space="preserve"> </w:t>
      </w:r>
      <w:r w:rsidR="00C722F0" w:rsidRPr="00C722F0">
        <w:rPr>
          <w:rFonts w:ascii="Arial" w:hAnsi="Arial" w:cs="Arial"/>
          <w:color w:val="EE0000"/>
        </w:rPr>
        <w:t>(Add reference of standard method)</w:t>
      </w:r>
    </w:p>
    <w:p w14:paraId="7A1859E2" w14:textId="77777777" w:rsidR="00B96FE8" w:rsidRPr="00C722F0" w:rsidRDefault="00B96FE8" w:rsidP="0039426C">
      <w:pPr>
        <w:pStyle w:val="Body"/>
        <w:tabs>
          <w:tab w:val="left" w:pos="3525"/>
        </w:tabs>
        <w:spacing w:after="0"/>
        <w:rPr>
          <w:rFonts w:ascii="Arial" w:hAnsi="Arial" w:cs="Arial"/>
          <w:color w:val="EE0000"/>
        </w:rPr>
      </w:pPr>
    </w:p>
    <w:p w14:paraId="133D2FA3" w14:textId="77777777" w:rsidR="0039426C" w:rsidRPr="003B5B12" w:rsidRDefault="0039426C" w:rsidP="003B5B12">
      <w:pPr>
        <w:pStyle w:val="Head2"/>
        <w:spacing w:after="0"/>
        <w:rPr>
          <w:rFonts w:ascii="Arial" w:hAnsi="Arial" w:cs="Arial"/>
          <w:b/>
          <w:bCs/>
          <w:sz w:val="22"/>
          <w:szCs w:val="22"/>
        </w:rPr>
      </w:pPr>
      <w:r w:rsidRPr="003B5B12">
        <w:rPr>
          <w:rFonts w:ascii="Arial" w:hAnsi="Arial" w:cs="Arial"/>
          <w:b/>
          <w:bCs/>
          <w:sz w:val="22"/>
          <w:szCs w:val="22"/>
        </w:rPr>
        <w:t xml:space="preserve">2.4 </w:t>
      </w:r>
      <w:proofErr w:type="spellStart"/>
      <w:r w:rsidR="003B5B12" w:rsidRPr="00C722F0">
        <w:rPr>
          <w:rFonts w:ascii="Arial" w:hAnsi="Arial" w:cs="Arial"/>
          <w:b/>
          <w:bCs/>
          <w:caps w:val="0"/>
          <w:color w:val="EE0000"/>
          <w:sz w:val="22"/>
          <w:szCs w:val="22"/>
        </w:rPr>
        <w:t>Analisis</w:t>
      </w:r>
      <w:proofErr w:type="spellEnd"/>
      <w:r w:rsidR="003B5B12" w:rsidRPr="003B5B12">
        <w:rPr>
          <w:rFonts w:ascii="Arial" w:hAnsi="Arial" w:cs="Arial"/>
          <w:b/>
          <w:bCs/>
          <w:caps w:val="0"/>
          <w:sz w:val="22"/>
          <w:szCs w:val="22"/>
        </w:rPr>
        <w:t xml:space="preserve"> Data </w:t>
      </w:r>
      <w:r w:rsidRPr="003B5B12">
        <w:rPr>
          <w:rFonts w:ascii="Arial" w:hAnsi="Arial" w:cs="Arial"/>
          <w:b/>
          <w:bCs/>
          <w:sz w:val="22"/>
          <w:szCs w:val="22"/>
        </w:rPr>
        <w:tab/>
      </w:r>
    </w:p>
    <w:p w14:paraId="2D592F7F" w14:textId="77777777" w:rsidR="00B96FE8" w:rsidRPr="00FB3A86" w:rsidRDefault="00B96FE8" w:rsidP="00441B6F">
      <w:pPr>
        <w:pStyle w:val="Body"/>
        <w:spacing w:after="0"/>
        <w:rPr>
          <w:rFonts w:ascii="Arial" w:hAnsi="Arial" w:cs="Arial"/>
        </w:rPr>
      </w:pPr>
      <w:r w:rsidRPr="00B96FE8">
        <w:rPr>
          <w:rFonts w:ascii="Arial" w:hAnsi="Arial" w:cs="Arial"/>
        </w:rPr>
        <w:t xml:space="preserve">The data obtained were analyzed using Analysis of Variance (ANOVA). If there was a significant difference between the treatments, the Duncan Multiple Range Test (DMRT) was performed with a 95% confidence level using </w:t>
      </w:r>
      <w:proofErr w:type="spellStart"/>
      <w:r w:rsidRPr="00B96FE8">
        <w:rPr>
          <w:rFonts w:ascii="Arial" w:hAnsi="Arial" w:cs="Arial"/>
        </w:rPr>
        <w:t>SigmaPlot</w:t>
      </w:r>
      <w:proofErr w:type="spellEnd"/>
      <w:r w:rsidRPr="00B96FE8">
        <w:rPr>
          <w:rFonts w:ascii="Arial" w:hAnsi="Arial" w:cs="Arial"/>
        </w:rPr>
        <w:t xml:space="preserve"> 16.0 software.</w:t>
      </w:r>
    </w:p>
    <w:p w14:paraId="517FE637" w14:textId="77777777" w:rsidR="00B80B7C" w:rsidRPr="003B5B12" w:rsidRDefault="003B5B12" w:rsidP="003B5B12">
      <w:pPr>
        <w:pStyle w:val="Heading1"/>
        <w:rPr>
          <w:sz w:val="22"/>
          <w:szCs w:val="22"/>
        </w:rPr>
      </w:pPr>
      <w:r w:rsidRPr="003B5B12">
        <w:rPr>
          <w:sz w:val="22"/>
          <w:szCs w:val="22"/>
        </w:rPr>
        <w:t>3. RESULTS AND DISCUSSION</w:t>
      </w:r>
    </w:p>
    <w:p w14:paraId="32AFA5F8" w14:textId="77777777" w:rsidR="00116858" w:rsidRDefault="00422382" w:rsidP="00C22C5E">
      <w:pPr>
        <w:pStyle w:val="Head2"/>
        <w:spacing w:after="0"/>
        <w:rPr>
          <w:rFonts w:ascii="Arial" w:hAnsi="Arial"/>
          <w:b/>
          <w:bCs/>
          <w:caps w:val="0"/>
          <w:sz w:val="22"/>
        </w:rPr>
      </w:pPr>
      <w:r>
        <w:rPr>
          <w:rFonts w:ascii="Arial" w:hAnsi="Arial"/>
          <w:b/>
          <w:bCs/>
          <w:caps w:val="0"/>
          <w:sz w:val="22"/>
        </w:rPr>
        <w:t>3.1</w:t>
      </w:r>
      <w:r w:rsidR="007D7A73" w:rsidRPr="003B5B12">
        <w:rPr>
          <w:rFonts w:ascii="Arial" w:hAnsi="Arial"/>
          <w:b/>
          <w:bCs/>
          <w:caps w:val="0"/>
          <w:sz w:val="22"/>
        </w:rPr>
        <w:t xml:space="preserve"> </w:t>
      </w:r>
      <w:r w:rsidR="001640F2" w:rsidRPr="003B5B12">
        <w:rPr>
          <w:rFonts w:ascii="Arial" w:hAnsi="Arial"/>
          <w:b/>
          <w:bCs/>
          <w:caps w:val="0"/>
          <w:sz w:val="22"/>
        </w:rPr>
        <w:t xml:space="preserve">Proximate Analysis </w:t>
      </w:r>
    </w:p>
    <w:p w14:paraId="177EFAB4" w14:textId="77777777" w:rsidR="00C22C5E" w:rsidRDefault="00C22C5E" w:rsidP="00C22C5E">
      <w:pPr>
        <w:pStyle w:val="Body"/>
        <w:spacing w:after="0"/>
      </w:pPr>
      <w:r w:rsidRPr="00C22C5E">
        <w:t>Proximate analysis is used to determine the nutritional composition of a sample. This nutrient con</w:t>
      </w:r>
      <w:r w:rsidR="00BA0FB2">
        <w:t>tent consists of moisture, ash, lipid</w:t>
      </w:r>
      <w:r w:rsidRPr="00C22C5E">
        <w:t xml:space="preserve">, protein, and carbohydrates. The results of the proximate </w:t>
      </w:r>
      <w:r>
        <w:t xml:space="preserve">test are shown in Table 1. </w:t>
      </w:r>
    </w:p>
    <w:p w14:paraId="7D649C89" w14:textId="77777777" w:rsidR="00C22C5E" w:rsidRPr="00C22C5E" w:rsidRDefault="00C22C5E" w:rsidP="00C22C5E">
      <w:pPr>
        <w:pStyle w:val="Body"/>
        <w:spacing w:after="0"/>
      </w:pPr>
    </w:p>
    <w:p w14:paraId="17D6291C" w14:textId="77777777" w:rsidR="002208E1" w:rsidRPr="002208E1" w:rsidRDefault="002208E1" w:rsidP="00377210">
      <w:pPr>
        <w:pStyle w:val="Caption"/>
        <w:spacing w:after="0"/>
        <w:jc w:val="center"/>
        <w:rPr>
          <w:rFonts w:ascii="Arial" w:hAnsi="Arial" w:cs="Arial"/>
          <w:b/>
          <w:i w:val="0"/>
          <w:color w:val="auto"/>
          <w:sz w:val="20"/>
          <w:szCs w:val="20"/>
        </w:rPr>
      </w:pPr>
      <w:r w:rsidRPr="002208E1">
        <w:rPr>
          <w:rFonts w:ascii="Arial" w:hAnsi="Arial" w:cs="Arial"/>
          <w:b/>
          <w:i w:val="0"/>
          <w:color w:val="auto"/>
          <w:sz w:val="20"/>
          <w:szCs w:val="20"/>
        </w:rPr>
        <w:t xml:space="preserve">Table </w:t>
      </w:r>
      <w:r w:rsidRPr="002208E1">
        <w:rPr>
          <w:rFonts w:ascii="Arial" w:hAnsi="Arial" w:cs="Arial"/>
          <w:b/>
          <w:i w:val="0"/>
          <w:color w:val="auto"/>
          <w:sz w:val="20"/>
          <w:szCs w:val="20"/>
        </w:rPr>
        <w:fldChar w:fldCharType="begin"/>
      </w:r>
      <w:r w:rsidRPr="002208E1">
        <w:rPr>
          <w:rFonts w:ascii="Arial" w:hAnsi="Arial" w:cs="Arial"/>
          <w:b/>
          <w:i w:val="0"/>
          <w:color w:val="auto"/>
          <w:sz w:val="20"/>
          <w:szCs w:val="20"/>
        </w:rPr>
        <w:instrText xml:space="preserve"> SEQ Table \* ARABIC </w:instrText>
      </w:r>
      <w:r w:rsidRPr="002208E1">
        <w:rPr>
          <w:rFonts w:ascii="Arial" w:hAnsi="Arial" w:cs="Arial"/>
          <w:b/>
          <w:i w:val="0"/>
          <w:color w:val="auto"/>
          <w:sz w:val="20"/>
          <w:szCs w:val="20"/>
        </w:rPr>
        <w:fldChar w:fldCharType="separate"/>
      </w:r>
      <w:r w:rsidRPr="002208E1">
        <w:rPr>
          <w:rFonts w:ascii="Arial" w:hAnsi="Arial" w:cs="Arial"/>
          <w:b/>
          <w:i w:val="0"/>
          <w:noProof/>
          <w:color w:val="auto"/>
          <w:sz w:val="20"/>
          <w:szCs w:val="20"/>
        </w:rPr>
        <w:t>1</w:t>
      </w:r>
      <w:r w:rsidRPr="002208E1">
        <w:rPr>
          <w:rFonts w:ascii="Arial" w:hAnsi="Arial" w:cs="Arial"/>
          <w:b/>
          <w:i w:val="0"/>
          <w:color w:val="auto"/>
          <w:sz w:val="20"/>
          <w:szCs w:val="20"/>
        </w:rPr>
        <w:fldChar w:fldCharType="end"/>
      </w:r>
      <w:r w:rsidRPr="002208E1">
        <w:rPr>
          <w:rFonts w:ascii="Arial" w:hAnsi="Arial" w:cs="Arial"/>
          <w:b/>
          <w:i w:val="0"/>
          <w:color w:val="auto"/>
          <w:sz w:val="20"/>
          <w:szCs w:val="20"/>
        </w:rPr>
        <w:t xml:space="preserve"> </w:t>
      </w:r>
      <w:r w:rsidR="00B96FE8" w:rsidRPr="00B96FE8">
        <w:rPr>
          <w:rFonts w:ascii="Arial" w:hAnsi="Arial" w:cs="Arial"/>
          <w:b/>
          <w:i w:val="0"/>
          <w:color w:val="auto"/>
          <w:sz w:val="20"/>
          <w:szCs w:val="20"/>
        </w:rPr>
        <w:t>Result</w:t>
      </w:r>
      <w:r w:rsidR="0068448A">
        <w:rPr>
          <w:rFonts w:ascii="Arial" w:hAnsi="Arial" w:cs="Arial"/>
          <w:b/>
          <w:i w:val="0"/>
          <w:color w:val="auto"/>
          <w:sz w:val="20"/>
          <w:szCs w:val="20"/>
        </w:rPr>
        <w:t>s of Proximate Analysis of Mutiara</w:t>
      </w:r>
      <w:r w:rsidR="00B96FE8" w:rsidRPr="00B96FE8">
        <w:rPr>
          <w:rFonts w:ascii="Arial" w:hAnsi="Arial" w:cs="Arial"/>
          <w:b/>
          <w:i w:val="0"/>
          <w:color w:val="auto"/>
          <w:sz w:val="20"/>
          <w:szCs w:val="20"/>
        </w:rPr>
        <w:t xml:space="preserve"> Catfish Juveniles at the Beginning and End of the </w:t>
      </w:r>
      <w:r w:rsidR="00B96FE8">
        <w:rPr>
          <w:rFonts w:ascii="Arial" w:hAnsi="Arial" w:cs="Arial"/>
          <w:b/>
          <w:i w:val="0"/>
          <w:color w:val="auto"/>
          <w:sz w:val="20"/>
          <w:szCs w:val="20"/>
        </w:rPr>
        <w:t>Research</w:t>
      </w:r>
      <w:r w:rsidR="001947D6">
        <w:rPr>
          <w:rFonts w:ascii="Arial" w:hAnsi="Arial" w:cs="Arial"/>
          <w:b/>
          <w:i w:val="0"/>
          <w:color w:val="auto"/>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555"/>
        <w:gridCol w:w="1177"/>
        <w:gridCol w:w="1366"/>
        <w:gridCol w:w="1366"/>
        <w:gridCol w:w="1367"/>
        <w:gridCol w:w="1367"/>
      </w:tblGrid>
      <w:tr w:rsidR="00B55992" w14:paraId="26852DD8" w14:textId="77777777" w:rsidTr="0068448A">
        <w:tc>
          <w:tcPr>
            <w:tcW w:w="1555" w:type="dxa"/>
            <w:vMerge w:val="restart"/>
            <w:tcBorders>
              <w:top w:val="single" w:sz="4" w:space="0" w:color="auto"/>
              <w:bottom w:val="single" w:sz="4" w:space="0" w:color="auto"/>
            </w:tcBorders>
            <w:vAlign w:val="center"/>
          </w:tcPr>
          <w:p w14:paraId="0DF3DC09"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Parameter</w:t>
            </w:r>
            <w:r w:rsidR="00DE360C">
              <w:rPr>
                <w:rFonts w:ascii="Arial" w:hAnsi="Arial" w:cs="Arial"/>
                <w:b/>
                <w:sz w:val="20"/>
                <w:szCs w:val="20"/>
              </w:rPr>
              <w:t>s</w:t>
            </w:r>
            <w:r w:rsidRPr="00477B57">
              <w:rPr>
                <w:rFonts w:ascii="Arial" w:hAnsi="Arial" w:cs="Arial"/>
                <w:b/>
                <w:sz w:val="20"/>
                <w:szCs w:val="20"/>
              </w:rPr>
              <w:t xml:space="preserve"> </w:t>
            </w:r>
          </w:p>
        </w:tc>
        <w:tc>
          <w:tcPr>
            <w:tcW w:w="6643" w:type="dxa"/>
            <w:gridSpan w:val="5"/>
            <w:tcBorders>
              <w:top w:val="single" w:sz="4" w:space="0" w:color="auto"/>
              <w:bottom w:val="single" w:sz="4" w:space="0" w:color="auto"/>
            </w:tcBorders>
            <w:vAlign w:val="center"/>
          </w:tcPr>
          <w:p w14:paraId="5F4CF5F9" w14:textId="77777777" w:rsidR="00B55992" w:rsidRPr="00477B57" w:rsidRDefault="0068448A" w:rsidP="00B55992">
            <w:pPr>
              <w:pStyle w:val="Body"/>
              <w:spacing w:after="0"/>
              <w:jc w:val="center"/>
              <w:rPr>
                <w:rFonts w:ascii="Arial" w:hAnsi="Arial" w:cs="Arial"/>
                <w:b/>
                <w:sz w:val="20"/>
                <w:szCs w:val="20"/>
              </w:rPr>
            </w:pPr>
            <w:r w:rsidRPr="00477B57">
              <w:rPr>
                <w:rFonts w:ascii="Arial" w:hAnsi="Arial" w:cs="Arial"/>
                <w:b/>
                <w:sz w:val="20"/>
                <w:szCs w:val="20"/>
              </w:rPr>
              <w:t>Mutiara Catfish Juveniles</w:t>
            </w:r>
          </w:p>
        </w:tc>
      </w:tr>
      <w:tr w:rsidR="00B55992" w14:paraId="3854D64B" w14:textId="77777777" w:rsidTr="0068448A">
        <w:tc>
          <w:tcPr>
            <w:tcW w:w="1555" w:type="dxa"/>
            <w:vMerge/>
            <w:tcBorders>
              <w:top w:val="single" w:sz="4" w:space="0" w:color="auto"/>
            </w:tcBorders>
          </w:tcPr>
          <w:p w14:paraId="5E3C8FE2" w14:textId="77777777" w:rsidR="00B55992" w:rsidRPr="00477B57" w:rsidRDefault="00B55992" w:rsidP="00116858">
            <w:pPr>
              <w:pStyle w:val="Body"/>
              <w:spacing w:after="0"/>
              <w:rPr>
                <w:rFonts w:ascii="Arial" w:hAnsi="Arial" w:cs="Arial"/>
                <w:b/>
                <w:sz w:val="20"/>
                <w:szCs w:val="20"/>
              </w:rPr>
            </w:pPr>
          </w:p>
        </w:tc>
        <w:tc>
          <w:tcPr>
            <w:tcW w:w="1177" w:type="dxa"/>
            <w:vMerge w:val="restart"/>
            <w:tcBorders>
              <w:top w:val="single" w:sz="4" w:space="0" w:color="auto"/>
            </w:tcBorders>
            <w:vAlign w:val="center"/>
          </w:tcPr>
          <w:p w14:paraId="5468B7D4" w14:textId="77777777" w:rsidR="00B55992" w:rsidRPr="00477B57" w:rsidRDefault="0068448A" w:rsidP="00B55992">
            <w:pPr>
              <w:pStyle w:val="Body"/>
              <w:spacing w:after="0"/>
              <w:jc w:val="center"/>
              <w:rPr>
                <w:rFonts w:ascii="Arial" w:hAnsi="Arial" w:cs="Arial"/>
                <w:b/>
                <w:sz w:val="20"/>
                <w:szCs w:val="20"/>
              </w:rPr>
            </w:pPr>
            <w:r w:rsidRPr="00477B57">
              <w:rPr>
                <w:rFonts w:ascii="Arial" w:hAnsi="Arial" w:cs="Arial"/>
                <w:b/>
                <w:sz w:val="20"/>
                <w:szCs w:val="20"/>
              </w:rPr>
              <w:t>Initial</w:t>
            </w:r>
          </w:p>
        </w:tc>
        <w:tc>
          <w:tcPr>
            <w:tcW w:w="5466" w:type="dxa"/>
            <w:gridSpan w:val="4"/>
            <w:tcBorders>
              <w:top w:val="single" w:sz="4" w:space="0" w:color="auto"/>
            </w:tcBorders>
          </w:tcPr>
          <w:p w14:paraId="50611AFA" w14:textId="77777777" w:rsidR="00B55992" w:rsidRPr="00477B57" w:rsidRDefault="0068448A" w:rsidP="00B80B7C">
            <w:pPr>
              <w:pStyle w:val="Body"/>
              <w:spacing w:after="0"/>
              <w:jc w:val="center"/>
              <w:rPr>
                <w:rFonts w:ascii="Arial" w:hAnsi="Arial" w:cs="Arial"/>
                <w:b/>
                <w:sz w:val="20"/>
                <w:szCs w:val="20"/>
              </w:rPr>
            </w:pPr>
            <w:r w:rsidRPr="00477B57">
              <w:rPr>
                <w:rFonts w:ascii="Arial" w:hAnsi="Arial" w:cs="Arial"/>
                <w:b/>
                <w:sz w:val="20"/>
                <w:szCs w:val="20"/>
              </w:rPr>
              <w:t>Final</w:t>
            </w:r>
          </w:p>
        </w:tc>
      </w:tr>
      <w:tr w:rsidR="00B55992" w14:paraId="58815D20" w14:textId="77777777" w:rsidTr="001947D6">
        <w:tc>
          <w:tcPr>
            <w:tcW w:w="1555" w:type="dxa"/>
            <w:vMerge/>
            <w:tcBorders>
              <w:bottom w:val="single" w:sz="4" w:space="0" w:color="auto"/>
            </w:tcBorders>
          </w:tcPr>
          <w:p w14:paraId="29ADBD2F" w14:textId="77777777" w:rsidR="00B55992" w:rsidRPr="00B80B7C" w:rsidRDefault="00B55992" w:rsidP="00B55992">
            <w:pPr>
              <w:pStyle w:val="Body"/>
              <w:spacing w:after="0"/>
              <w:rPr>
                <w:rFonts w:ascii="Arial" w:hAnsi="Arial" w:cs="Arial"/>
                <w:sz w:val="20"/>
                <w:szCs w:val="20"/>
              </w:rPr>
            </w:pPr>
          </w:p>
        </w:tc>
        <w:tc>
          <w:tcPr>
            <w:tcW w:w="1177" w:type="dxa"/>
            <w:vMerge/>
            <w:tcBorders>
              <w:bottom w:val="single" w:sz="4" w:space="0" w:color="auto"/>
            </w:tcBorders>
          </w:tcPr>
          <w:p w14:paraId="093F87EC" w14:textId="77777777" w:rsidR="00B55992" w:rsidRPr="00B80B7C" w:rsidRDefault="00B55992" w:rsidP="00B55992">
            <w:pPr>
              <w:pStyle w:val="Body"/>
              <w:spacing w:after="0"/>
              <w:rPr>
                <w:rFonts w:ascii="Arial" w:hAnsi="Arial" w:cs="Arial"/>
                <w:sz w:val="20"/>
                <w:szCs w:val="20"/>
              </w:rPr>
            </w:pPr>
          </w:p>
        </w:tc>
        <w:tc>
          <w:tcPr>
            <w:tcW w:w="1366" w:type="dxa"/>
            <w:tcBorders>
              <w:bottom w:val="single" w:sz="4" w:space="0" w:color="auto"/>
            </w:tcBorders>
          </w:tcPr>
          <w:p w14:paraId="654E2606"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A</w:t>
            </w:r>
          </w:p>
        </w:tc>
        <w:tc>
          <w:tcPr>
            <w:tcW w:w="1366" w:type="dxa"/>
            <w:tcBorders>
              <w:bottom w:val="single" w:sz="4" w:space="0" w:color="auto"/>
            </w:tcBorders>
          </w:tcPr>
          <w:p w14:paraId="0215A45A"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B</w:t>
            </w:r>
          </w:p>
        </w:tc>
        <w:tc>
          <w:tcPr>
            <w:tcW w:w="1367" w:type="dxa"/>
            <w:tcBorders>
              <w:bottom w:val="single" w:sz="4" w:space="0" w:color="auto"/>
            </w:tcBorders>
          </w:tcPr>
          <w:p w14:paraId="134EC0F4"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C</w:t>
            </w:r>
          </w:p>
        </w:tc>
        <w:tc>
          <w:tcPr>
            <w:tcW w:w="1367" w:type="dxa"/>
            <w:tcBorders>
              <w:bottom w:val="single" w:sz="4" w:space="0" w:color="auto"/>
            </w:tcBorders>
          </w:tcPr>
          <w:p w14:paraId="4F4D0338"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D</w:t>
            </w:r>
          </w:p>
        </w:tc>
      </w:tr>
      <w:tr w:rsidR="00B55992" w14:paraId="42C06CAF" w14:textId="77777777" w:rsidTr="00477B57">
        <w:tc>
          <w:tcPr>
            <w:tcW w:w="1555" w:type="dxa"/>
            <w:tcBorders>
              <w:top w:val="single" w:sz="4" w:space="0" w:color="auto"/>
              <w:bottom w:val="nil"/>
            </w:tcBorders>
          </w:tcPr>
          <w:p w14:paraId="75DE7009" w14:textId="77777777" w:rsidR="00B55992" w:rsidRPr="00B80B7C" w:rsidRDefault="001947D6" w:rsidP="0068448A">
            <w:pPr>
              <w:pStyle w:val="Body"/>
              <w:spacing w:after="0"/>
              <w:jc w:val="center"/>
              <w:rPr>
                <w:rFonts w:ascii="Arial" w:hAnsi="Arial" w:cs="Arial"/>
                <w:sz w:val="20"/>
                <w:szCs w:val="20"/>
              </w:rPr>
            </w:pPr>
            <w:r>
              <w:rPr>
                <w:rFonts w:ascii="Arial" w:hAnsi="Arial" w:cs="Arial"/>
                <w:sz w:val="20"/>
                <w:szCs w:val="20"/>
              </w:rPr>
              <w:t>Moisture</w:t>
            </w:r>
            <w:r w:rsidR="0068448A">
              <w:rPr>
                <w:rFonts w:ascii="Arial" w:hAnsi="Arial" w:cs="Arial"/>
                <w:sz w:val="20"/>
                <w:szCs w:val="20"/>
              </w:rPr>
              <w:t xml:space="preserve"> (%)</w:t>
            </w:r>
          </w:p>
        </w:tc>
        <w:tc>
          <w:tcPr>
            <w:tcW w:w="1177" w:type="dxa"/>
            <w:tcBorders>
              <w:top w:val="single" w:sz="4" w:space="0" w:color="auto"/>
              <w:bottom w:val="nil"/>
            </w:tcBorders>
            <w:vAlign w:val="center"/>
          </w:tcPr>
          <w:p w14:paraId="717CFA2F" w14:textId="77777777"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77,1</w:t>
            </w:r>
          </w:p>
        </w:tc>
        <w:tc>
          <w:tcPr>
            <w:tcW w:w="1366" w:type="dxa"/>
            <w:tcBorders>
              <w:top w:val="single" w:sz="4" w:space="0" w:color="auto"/>
              <w:bottom w:val="nil"/>
            </w:tcBorders>
            <w:vAlign w:val="center"/>
          </w:tcPr>
          <w:p w14:paraId="6296D316"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75,88</w:t>
            </w:r>
          </w:p>
        </w:tc>
        <w:tc>
          <w:tcPr>
            <w:tcW w:w="1366" w:type="dxa"/>
            <w:tcBorders>
              <w:top w:val="single" w:sz="4" w:space="0" w:color="auto"/>
              <w:bottom w:val="nil"/>
            </w:tcBorders>
            <w:vAlign w:val="center"/>
          </w:tcPr>
          <w:p w14:paraId="4F2CD021"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76,08</w:t>
            </w:r>
          </w:p>
        </w:tc>
        <w:tc>
          <w:tcPr>
            <w:tcW w:w="1367" w:type="dxa"/>
            <w:tcBorders>
              <w:top w:val="single" w:sz="4" w:space="0" w:color="auto"/>
              <w:bottom w:val="nil"/>
            </w:tcBorders>
            <w:vAlign w:val="center"/>
          </w:tcPr>
          <w:p w14:paraId="0539535D"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77,94</w:t>
            </w:r>
          </w:p>
        </w:tc>
        <w:tc>
          <w:tcPr>
            <w:tcW w:w="1367" w:type="dxa"/>
            <w:tcBorders>
              <w:top w:val="single" w:sz="4" w:space="0" w:color="auto"/>
              <w:bottom w:val="nil"/>
            </w:tcBorders>
            <w:vAlign w:val="center"/>
          </w:tcPr>
          <w:p w14:paraId="033FD44E"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75,13</w:t>
            </w:r>
          </w:p>
        </w:tc>
      </w:tr>
      <w:tr w:rsidR="00B55992" w14:paraId="53FFDD1E" w14:textId="77777777" w:rsidTr="00477B57">
        <w:tc>
          <w:tcPr>
            <w:tcW w:w="1555" w:type="dxa"/>
            <w:tcBorders>
              <w:top w:val="nil"/>
              <w:bottom w:val="nil"/>
            </w:tcBorders>
          </w:tcPr>
          <w:p w14:paraId="6B163FD4" w14:textId="77777777"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Ash (%)</w:t>
            </w:r>
          </w:p>
        </w:tc>
        <w:tc>
          <w:tcPr>
            <w:tcW w:w="1177" w:type="dxa"/>
            <w:tcBorders>
              <w:top w:val="nil"/>
              <w:bottom w:val="nil"/>
            </w:tcBorders>
            <w:vAlign w:val="center"/>
          </w:tcPr>
          <w:p w14:paraId="4F9B9915" w14:textId="77777777"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0,69</w:t>
            </w:r>
          </w:p>
        </w:tc>
        <w:tc>
          <w:tcPr>
            <w:tcW w:w="1366" w:type="dxa"/>
            <w:tcBorders>
              <w:top w:val="nil"/>
              <w:bottom w:val="nil"/>
            </w:tcBorders>
            <w:vAlign w:val="center"/>
          </w:tcPr>
          <w:p w14:paraId="1F4C9837"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2,30</w:t>
            </w:r>
          </w:p>
        </w:tc>
        <w:tc>
          <w:tcPr>
            <w:tcW w:w="1366" w:type="dxa"/>
            <w:tcBorders>
              <w:top w:val="nil"/>
              <w:bottom w:val="nil"/>
            </w:tcBorders>
            <w:vAlign w:val="center"/>
          </w:tcPr>
          <w:p w14:paraId="58784ACC"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1,23</w:t>
            </w:r>
          </w:p>
        </w:tc>
        <w:tc>
          <w:tcPr>
            <w:tcW w:w="1367" w:type="dxa"/>
            <w:tcBorders>
              <w:top w:val="nil"/>
              <w:bottom w:val="nil"/>
            </w:tcBorders>
            <w:vAlign w:val="center"/>
          </w:tcPr>
          <w:p w14:paraId="19DA65A1"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1,02</w:t>
            </w:r>
          </w:p>
        </w:tc>
        <w:tc>
          <w:tcPr>
            <w:tcW w:w="1367" w:type="dxa"/>
            <w:tcBorders>
              <w:top w:val="nil"/>
              <w:bottom w:val="nil"/>
            </w:tcBorders>
            <w:vAlign w:val="center"/>
          </w:tcPr>
          <w:p w14:paraId="6A798C14"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1,11</w:t>
            </w:r>
          </w:p>
        </w:tc>
      </w:tr>
      <w:tr w:rsidR="00B55992" w14:paraId="1A00128F" w14:textId="77777777" w:rsidTr="00477B57">
        <w:tc>
          <w:tcPr>
            <w:tcW w:w="1555" w:type="dxa"/>
            <w:tcBorders>
              <w:top w:val="nil"/>
              <w:bottom w:val="nil"/>
            </w:tcBorders>
          </w:tcPr>
          <w:p w14:paraId="19D2996C" w14:textId="77777777"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Lipid (%)</w:t>
            </w:r>
          </w:p>
        </w:tc>
        <w:tc>
          <w:tcPr>
            <w:tcW w:w="1177" w:type="dxa"/>
            <w:tcBorders>
              <w:top w:val="nil"/>
              <w:bottom w:val="nil"/>
            </w:tcBorders>
            <w:vAlign w:val="center"/>
          </w:tcPr>
          <w:p w14:paraId="3F548FB0" w14:textId="77777777"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2,07</w:t>
            </w:r>
          </w:p>
        </w:tc>
        <w:tc>
          <w:tcPr>
            <w:tcW w:w="1366" w:type="dxa"/>
            <w:tcBorders>
              <w:top w:val="nil"/>
              <w:bottom w:val="nil"/>
            </w:tcBorders>
            <w:vAlign w:val="center"/>
          </w:tcPr>
          <w:p w14:paraId="2A192968"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3,01</w:t>
            </w:r>
          </w:p>
        </w:tc>
        <w:tc>
          <w:tcPr>
            <w:tcW w:w="1366" w:type="dxa"/>
            <w:tcBorders>
              <w:top w:val="nil"/>
              <w:bottom w:val="nil"/>
            </w:tcBorders>
            <w:vAlign w:val="center"/>
          </w:tcPr>
          <w:p w14:paraId="225645C9"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1,47</w:t>
            </w:r>
          </w:p>
        </w:tc>
        <w:tc>
          <w:tcPr>
            <w:tcW w:w="1367" w:type="dxa"/>
            <w:tcBorders>
              <w:top w:val="nil"/>
              <w:bottom w:val="nil"/>
            </w:tcBorders>
            <w:vAlign w:val="center"/>
          </w:tcPr>
          <w:p w14:paraId="62C0030A"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0,49</w:t>
            </w:r>
          </w:p>
        </w:tc>
        <w:tc>
          <w:tcPr>
            <w:tcW w:w="1367" w:type="dxa"/>
            <w:tcBorders>
              <w:top w:val="nil"/>
              <w:bottom w:val="nil"/>
            </w:tcBorders>
            <w:vAlign w:val="center"/>
          </w:tcPr>
          <w:p w14:paraId="7B417A5C"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1,59</w:t>
            </w:r>
          </w:p>
        </w:tc>
      </w:tr>
      <w:tr w:rsidR="00B55992" w14:paraId="75AD1591" w14:textId="77777777" w:rsidTr="00477B57">
        <w:tc>
          <w:tcPr>
            <w:tcW w:w="1555" w:type="dxa"/>
            <w:tcBorders>
              <w:top w:val="nil"/>
              <w:bottom w:val="nil"/>
            </w:tcBorders>
          </w:tcPr>
          <w:p w14:paraId="0FD4CA99" w14:textId="77777777"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Protein (%)</w:t>
            </w:r>
          </w:p>
        </w:tc>
        <w:tc>
          <w:tcPr>
            <w:tcW w:w="1177" w:type="dxa"/>
            <w:tcBorders>
              <w:top w:val="nil"/>
              <w:bottom w:val="nil"/>
            </w:tcBorders>
            <w:vAlign w:val="center"/>
          </w:tcPr>
          <w:p w14:paraId="716D1078" w14:textId="77777777"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14,4</w:t>
            </w:r>
          </w:p>
        </w:tc>
        <w:tc>
          <w:tcPr>
            <w:tcW w:w="1366" w:type="dxa"/>
            <w:tcBorders>
              <w:top w:val="nil"/>
              <w:bottom w:val="nil"/>
            </w:tcBorders>
            <w:vAlign w:val="center"/>
          </w:tcPr>
          <w:p w14:paraId="001DB0FA"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17,96</w:t>
            </w:r>
          </w:p>
        </w:tc>
        <w:tc>
          <w:tcPr>
            <w:tcW w:w="1366" w:type="dxa"/>
            <w:tcBorders>
              <w:top w:val="nil"/>
              <w:bottom w:val="nil"/>
            </w:tcBorders>
            <w:vAlign w:val="center"/>
          </w:tcPr>
          <w:p w14:paraId="0E1B1128"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18,53</w:t>
            </w:r>
          </w:p>
        </w:tc>
        <w:tc>
          <w:tcPr>
            <w:tcW w:w="1367" w:type="dxa"/>
            <w:tcBorders>
              <w:top w:val="nil"/>
              <w:bottom w:val="nil"/>
            </w:tcBorders>
            <w:vAlign w:val="center"/>
          </w:tcPr>
          <w:p w14:paraId="3F6DF710"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18,96</w:t>
            </w:r>
          </w:p>
        </w:tc>
        <w:tc>
          <w:tcPr>
            <w:tcW w:w="1367" w:type="dxa"/>
            <w:tcBorders>
              <w:top w:val="nil"/>
              <w:bottom w:val="nil"/>
            </w:tcBorders>
            <w:vAlign w:val="center"/>
          </w:tcPr>
          <w:p w14:paraId="78ABE640"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18,56</w:t>
            </w:r>
          </w:p>
        </w:tc>
      </w:tr>
      <w:tr w:rsidR="00B80B7C" w14:paraId="5ECB7BC3" w14:textId="77777777" w:rsidTr="00477B57">
        <w:tc>
          <w:tcPr>
            <w:tcW w:w="1555" w:type="dxa"/>
            <w:tcBorders>
              <w:top w:val="nil"/>
              <w:bottom w:val="single" w:sz="4" w:space="0" w:color="auto"/>
            </w:tcBorders>
          </w:tcPr>
          <w:p w14:paraId="0C21404F" w14:textId="77777777" w:rsidR="00B80B7C" w:rsidRPr="00B80B7C" w:rsidRDefault="0068448A" w:rsidP="0068448A">
            <w:pPr>
              <w:pStyle w:val="Body"/>
              <w:spacing w:after="0"/>
              <w:jc w:val="center"/>
              <w:rPr>
                <w:rFonts w:ascii="Arial" w:hAnsi="Arial" w:cs="Arial"/>
                <w:sz w:val="20"/>
                <w:szCs w:val="20"/>
              </w:rPr>
            </w:pPr>
            <w:r>
              <w:rPr>
                <w:rFonts w:ascii="Arial" w:hAnsi="Arial" w:cs="Arial"/>
                <w:sz w:val="20"/>
                <w:szCs w:val="20"/>
              </w:rPr>
              <w:t>Carbohydrate (%)</w:t>
            </w:r>
          </w:p>
        </w:tc>
        <w:tc>
          <w:tcPr>
            <w:tcW w:w="1177" w:type="dxa"/>
            <w:tcBorders>
              <w:top w:val="nil"/>
              <w:bottom w:val="single" w:sz="4" w:space="0" w:color="auto"/>
            </w:tcBorders>
            <w:vAlign w:val="center"/>
          </w:tcPr>
          <w:p w14:paraId="72ACC813" w14:textId="77777777" w:rsidR="00B80B7C" w:rsidRPr="00B80B7C" w:rsidRDefault="00B55992" w:rsidP="00477B57">
            <w:pPr>
              <w:pStyle w:val="Body"/>
              <w:spacing w:after="0"/>
              <w:jc w:val="center"/>
              <w:rPr>
                <w:rFonts w:ascii="Arial" w:hAnsi="Arial" w:cs="Arial"/>
                <w:sz w:val="20"/>
                <w:szCs w:val="20"/>
              </w:rPr>
            </w:pPr>
            <w:r>
              <w:rPr>
                <w:rFonts w:ascii="Arial" w:hAnsi="Arial" w:cs="Arial"/>
                <w:sz w:val="20"/>
                <w:szCs w:val="20"/>
              </w:rPr>
              <w:t>5,74</w:t>
            </w:r>
          </w:p>
        </w:tc>
        <w:tc>
          <w:tcPr>
            <w:tcW w:w="1366" w:type="dxa"/>
            <w:tcBorders>
              <w:top w:val="nil"/>
              <w:bottom w:val="single" w:sz="4" w:space="0" w:color="auto"/>
            </w:tcBorders>
            <w:vAlign w:val="center"/>
          </w:tcPr>
          <w:p w14:paraId="698475A3" w14:textId="77777777"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0,85</w:t>
            </w:r>
          </w:p>
        </w:tc>
        <w:tc>
          <w:tcPr>
            <w:tcW w:w="1366" w:type="dxa"/>
            <w:tcBorders>
              <w:top w:val="nil"/>
              <w:bottom w:val="single" w:sz="4" w:space="0" w:color="auto"/>
            </w:tcBorders>
            <w:vAlign w:val="center"/>
          </w:tcPr>
          <w:p w14:paraId="19A1EE6B" w14:textId="77777777"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2,69</w:t>
            </w:r>
          </w:p>
        </w:tc>
        <w:tc>
          <w:tcPr>
            <w:tcW w:w="1367" w:type="dxa"/>
            <w:tcBorders>
              <w:top w:val="nil"/>
              <w:bottom w:val="single" w:sz="4" w:space="0" w:color="auto"/>
            </w:tcBorders>
            <w:vAlign w:val="center"/>
          </w:tcPr>
          <w:p w14:paraId="7444508A" w14:textId="77777777"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1,59</w:t>
            </w:r>
          </w:p>
        </w:tc>
        <w:tc>
          <w:tcPr>
            <w:tcW w:w="1367" w:type="dxa"/>
            <w:tcBorders>
              <w:top w:val="nil"/>
              <w:bottom w:val="single" w:sz="4" w:space="0" w:color="auto"/>
            </w:tcBorders>
            <w:vAlign w:val="center"/>
          </w:tcPr>
          <w:p w14:paraId="7BD2BDE2" w14:textId="77777777"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3,61</w:t>
            </w:r>
          </w:p>
        </w:tc>
      </w:tr>
    </w:tbl>
    <w:p w14:paraId="3F57E100" w14:textId="77777777" w:rsidR="00B80B7C" w:rsidRDefault="001947D6" w:rsidP="00116858">
      <w:pPr>
        <w:pStyle w:val="Body"/>
        <w:spacing w:after="0"/>
        <w:rPr>
          <w:rFonts w:ascii="Arial" w:hAnsi="Arial" w:cs="Arial"/>
          <w:i/>
        </w:rPr>
      </w:pPr>
      <w:r w:rsidRPr="001947D6">
        <w:rPr>
          <w:rFonts w:ascii="Arial" w:hAnsi="Arial" w:cs="Arial"/>
          <w:i/>
        </w:rPr>
        <w:t>*</w:t>
      </w:r>
      <w:r w:rsidRPr="001947D6">
        <w:rPr>
          <w:rFonts w:ascii="Arial" w:hAnsi="Arial" w:cs="Arial"/>
          <w:i/>
          <w:sz w:val="18"/>
          <w:szCs w:val="18"/>
        </w:rPr>
        <w:t xml:space="preserve">Proximate Analysis of Central Laboratory of </w:t>
      </w:r>
      <w:proofErr w:type="spellStart"/>
      <w:r w:rsidRPr="001947D6">
        <w:rPr>
          <w:rFonts w:ascii="Arial" w:hAnsi="Arial" w:cs="Arial"/>
          <w:i/>
          <w:sz w:val="18"/>
          <w:szCs w:val="18"/>
        </w:rPr>
        <w:t>Padjajaran</w:t>
      </w:r>
      <w:proofErr w:type="spellEnd"/>
      <w:r w:rsidRPr="001947D6">
        <w:rPr>
          <w:rFonts w:ascii="Arial" w:hAnsi="Arial" w:cs="Arial"/>
          <w:i/>
          <w:sz w:val="18"/>
          <w:szCs w:val="18"/>
        </w:rPr>
        <w:t xml:space="preserve"> University</w:t>
      </w:r>
      <w:r w:rsidRPr="001947D6">
        <w:rPr>
          <w:rFonts w:ascii="Arial" w:hAnsi="Arial" w:cs="Arial"/>
          <w:i/>
        </w:rPr>
        <w:t xml:space="preserve"> </w:t>
      </w:r>
    </w:p>
    <w:p w14:paraId="295F8BD4" w14:textId="77777777" w:rsidR="00C22C5E" w:rsidRDefault="00C22C5E" w:rsidP="00116858">
      <w:pPr>
        <w:pStyle w:val="Body"/>
        <w:spacing w:after="0"/>
        <w:rPr>
          <w:rFonts w:ascii="Arial" w:hAnsi="Arial" w:cs="Arial"/>
          <w:i/>
        </w:rPr>
      </w:pPr>
    </w:p>
    <w:p w14:paraId="5183FACA" w14:textId="77777777" w:rsidR="00477B57" w:rsidRPr="00477B57" w:rsidRDefault="00C22C5E" w:rsidP="00116858">
      <w:pPr>
        <w:pStyle w:val="Body"/>
        <w:spacing w:after="0"/>
        <w:rPr>
          <w:rFonts w:ascii="Arial" w:hAnsi="Arial" w:cs="Arial"/>
        </w:rPr>
      </w:pPr>
      <w:r w:rsidRPr="00C22C5E">
        <w:rPr>
          <w:rFonts w:ascii="Arial" w:hAnsi="Arial" w:cs="Arial"/>
        </w:rPr>
        <w:t>Protei</w:t>
      </w:r>
      <w:r w:rsidR="00B916D7">
        <w:rPr>
          <w:rFonts w:ascii="Arial" w:hAnsi="Arial" w:cs="Arial"/>
        </w:rPr>
        <w:t>n was measured using the Kjeldah</w:t>
      </w:r>
      <w:r w:rsidRPr="00C22C5E">
        <w:rPr>
          <w:rFonts w:ascii="Arial" w:hAnsi="Arial" w:cs="Arial"/>
        </w:rPr>
        <w:t>l method, which determines protein levels by binding to non-protein nitrogen compounds such as urea, purine nucleic acids, and so on</w:t>
      </w:r>
      <w:r w:rsidR="00625209">
        <w:rPr>
          <w:rFonts w:ascii="Arial" w:hAnsi="Arial" w:cs="Arial"/>
        </w:rPr>
        <w:t xml:space="preserve"> </w:t>
      </w:r>
      <w:r w:rsidR="00625209">
        <w:rPr>
          <w:rFonts w:ascii="Arial" w:hAnsi="Arial" w:cs="Arial"/>
        </w:rPr>
        <w:fldChar w:fldCharType="begin" w:fldLock="1"/>
      </w:r>
      <w:r w:rsidR="00422382">
        <w:rPr>
          <w:rFonts w:ascii="Arial" w:hAnsi="Arial" w:cs="Arial"/>
        </w:rPr>
        <w:instrText>ADDIN CSL_CITATION {"citationItems":[{"id":"ITEM-1","itemData":{"DOI":"10.57213/tjghpsr.v1i2.224","ISSN":"3026-6114","abstract":"Karimun Regency, Riau Archipelago Province has an ocean with abundant marine life and has not been used optimally. Bronok (Acaudina malpadioides) is a type of marine biota that lives in muddy coastal areas. Bronok on Karimun Island is consumed fresh and is believed to reduce joint pain. This study aims to determine the content of water, ash, fat, protein and carbohydrates in bronok (Acaudina malpadioides). The proximate analysis includes the water content test using the thermogravimetric method, the ash content using the dry ashing method, the fat content method (Soxhlet), the protein content method (Kjeldhal), and the carbohydrate content method (By different). Bronok that has been analysed for proximate content is found to be present at 16% water content, 29,2% ash content, 5,39% fat content, 11,25% protein content and 38,16% carbohydrate content.","author":[{"dropping-particle":"","family":"Yunisa Yunisa","given":"","non-dropping-particle":"","parse-names":false,"suffix":""},{"dropping-particle":"","family":"Suhaera Suhaera","given":"","non-dropping-particle":"","parse-names":false,"suffix":""},{"dropping-particle":"","family":"Shinta Sari","given":"","non-dropping-particle":"","parse-names":false,"suffix":""}],"container-title":"The Journal General Health and Pharmaceutical Sciences Research","id":"ITEM-1","issue":"2","issued":{"date-parts":[["2023"]]},"page":"31-40","title":"Analisis Proksimat Bronok (Acaudina Malpadioides)","type":"article-journal","volume":"1"},"uris":["http://www.mendeley.com/documents/?uuid=6c7469e4-9922-4e90-a45d-0903adc36a15"]}],"mendeley":{"formattedCitation":"(Yunisa Yunisa et al., 2023)","manualFormatting":"(Yunisa et al., 2023)","plainTextFormattedCitation":"(Yunisa Yunisa et al., 2023)","previouslyFormattedCitation":"(Yunisa Yunisa et al., 2023)"},"properties":{"noteIndex":0},"schema":"https://github.com/citation-style-language/schema/raw/master/csl-citation.json"}</w:instrText>
      </w:r>
      <w:r w:rsidR="00625209">
        <w:rPr>
          <w:rFonts w:ascii="Arial" w:hAnsi="Arial" w:cs="Arial"/>
        </w:rPr>
        <w:fldChar w:fldCharType="separate"/>
      </w:r>
      <w:r w:rsidR="00625209" w:rsidRPr="00BA0FB2">
        <w:rPr>
          <w:rFonts w:ascii="Arial" w:hAnsi="Arial" w:cs="Arial"/>
          <w:noProof/>
        </w:rPr>
        <w:t>(Yunisa et al.</w:t>
      </w:r>
      <w:r w:rsidR="00422382">
        <w:rPr>
          <w:rFonts w:ascii="Arial" w:hAnsi="Arial" w:cs="Arial"/>
          <w:noProof/>
        </w:rPr>
        <w:t>,</w:t>
      </w:r>
      <w:r w:rsidR="00625209" w:rsidRPr="00625209">
        <w:rPr>
          <w:rFonts w:ascii="Arial" w:hAnsi="Arial" w:cs="Arial"/>
          <w:noProof/>
        </w:rPr>
        <w:t xml:space="preserve"> 2023)</w:t>
      </w:r>
      <w:r w:rsidR="00625209">
        <w:rPr>
          <w:rFonts w:ascii="Arial" w:hAnsi="Arial" w:cs="Arial"/>
        </w:rPr>
        <w:fldChar w:fldCharType="end"/>
      </w:r>
      <w:r w:rsidRPr="00C22C5E">
        <w:rPr>
          <w:rFonts w:ascii="Arial" w:hAnsi="Arial" w:cs="Arial"/>
        </w:rPr>
        <w:t>. The proximate test results, based on Table 1, show that the highest protein levels were found in fish treated with treatment C, with a value of 18.96%. This indicates that tryptophan can accelerate protein synthesis, so that when tryptophan levels in the feed are adequate, the amount of protein in the body will also increase (Ahmed, 2012).</w:t>
      </w:r>
    </w:p>
    <w:p w14:paraId="4F38E8C1" w14:textId="77777777" w:rsidR="001947D6" w:rsidRDefault="001947D6" w:rsidP="00116858">
      <w:pPr>
        <w:pStyle w:val="Body"/>
        <w:spacing w:after="0"/>
        <w:rPr>
          <w:rFonts w:ascii="Arial" w:hAnsi="Arial" w:cs="Arial"/>
        </w:rPr>
      </w:pPr>
    </w:p>
    <w:p w14:paraId="554617FE" w14:textId="77777777" w:rsidR="00B80B7C" w:rsidRPr="003B5B12" w:rsidRDefault="00B80B7C" w:rsidP="003B5B12">
      <w:pPr>
        <w:pStyle w:val="Head2"/>
        <w:spacing w:after="0"/>
        <w:rPr>
          <w:rFonts w:ascii="Arial" w:hAnsi="Arial"/>
          <w:b/>
          <w:bCs/>
          <w:caps w:val="0"/>
          <w:sz w:val="22"/>
        </w:rPr>
      </w:pPr>
      <w:r w:rsidRPr="003B5B12">
        <w:rPr>
          <w:rFonts w:ascii="Arial" w:hAnsi="Arial"/>
          <w:b/>
          <w:bCs/>
          <w:caps w:val="0"/>
          <w:sz w:val="22"/>
        </w:rPr>
        <w:t xml:space="preserve">3.2 </w:t>
      </w:r>
      <w:r w:rsidR="001640F2" w:rsidRPr="003B5B12">
        <w:rPr>
          <w:rFonts w:ascii="Arial" w:hAnsi="Arial"/>
          <w:b/>
          <w:bCs/>
          <w:caps w:val="0"/>
          <w:sz w:val="22"/>
        </w:rPr>
        <w:t>Absolute Weight Gain</w:t>
      </w:r>
    </w:p>
    <w:p w14:paraId="7D1349FB" w14:textId="77777777" w:rsidR="00B80B7C" w:rsidRDefault="00B96FE8" w:rsidP="00116858">
      <w:pPr>
        <w:pStyle w:val="Body"/>
        <w:spacing w:after="0"/>
        <w:rPr>
          <w:rFonts w:ascii="Arial" w:hAnsi="Arial" w:cs="Arial"/>
        </w:rPr>
      </w:pPr>
      <w:r w:rsidRPr="00B96FE8">
        <w:rPr>
          <w:rFonts w:ascii="Arial" w:hAnsi="Arial" w:cs="Arial"/>
        </w:rPr>
        <w:t xml:space="preserve">Based on the results of the research that has been done, tryptophan supplementation in artificial feed has an effect on the weight growth of </w:t>
      </w:r>
      <w:r>
        <w:rPr>
          <w:rFonts w:ascii="Arial" w:hAnsi="Arial" w:cs="Arial"/>
        </w:rPr>
        <w:t xml:space="preserve">Mutiara </w:t>
      </w:r>
      <w:r w:rsidRPr="00B96FE8">
        <w:rPr>
          <w:rFonts w:ascii="Arial" w:hAnsi="Arial" w:cs="Arial"/>
        </w:rPr>
        <w:t>catfish. After conducting the ANOVA analysis of variance test, the absolute</w:t>
      </w:r>
      <w:r w:rsidR="00422382">
        <w:rPr>
          <w:rFonts w:ascii="Arial" w:hAnsi="Arial" w:cs="Arial"/>
        </w:rPr>
        <w:t xml:space="preserve"> weight growth of juvenile Mutiara</w:t>
      </w:r>
      <w:r w:rsidRPr="00B96FE8">
        <w:rPr>
          <w:rFonts w:ascii="Arial" w:hAnsi="Arial" w:cs="Arial"/>
        </w:rPr>
        <w:t xml:space="preserve"> catfish ranged from 100.850±11.417 g -</w:t>
      </w:r>
      <w:r>
        <w:rPr>
          <w:rFonts w:ascii="Arial" w:hAnsi="Arial" w:cs="Arial"/>
        </w:rPr>
        <w:t xml:space="preserve"> </w:t>
      </w:r>
      <w:r w:rsidRPr="00B96FE8">
        <w:rPr>
          <w:rFonts w:ascii="Arial" w:hAnsi="Arial" w:cs="Arial"/>
        </w:rPr>
        <w:t>222.700±21.149 g. In the further Duncan test, it was found that treatment C (0.3%/kg feed) was significantly different from treatment A (0%/kg feed), treatment B (0.15%/kg feed) and treatment D (0.45%/kg feed). Treatment D was significantly different from treatments A and B while treatment B was not significantly different from treatment A.</w:t>
      </w:r>
      <w:r>
        <w:rPr>
          <w:rFonts w:ascii="Arial" w:hAnsi="Arial" w:cs="Arial"/>
        </w:rPr>
        <w:t xml:space="preserve"> </w:t>
      </w:r>
    </w:p>
    <w:p w14:paraId="680A12CC" w14:textId="77777777" w:rsidR="00116858" w:rsidRDefault="00B8469B" w:rsidP="008D172C">
      <w:pPr>
        <w:pStyle w:val="Body"/>
        <w:spacing w:after="0"/>
        <w:jc w:val="center"/>
        <w:rPr>
          <w:rFonts w:ascii="Arial" w:hAnsi="Arial" w:cs="Arial"/>
        </w:rPr>
      </w:pPr>
      <w:r>
        <w:rPr>
          <w:rFonts w:ascii="Arial" w:hAnsi="Arial" w:cs="Arial"/>
          <w:noProof/>
        </w:rPr>
        <w:lastRenderedPageBreak/>
        <w:drawing>
          <wp:inline distT="0" distB="0" distL="0" distR="0" wp14:anchorId="1E11C951" wp14:editId="2B64DA1B">
            <wp:extent cx="3256734" cy="25200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BOT JURNAL.JPG"/>
                    <pic:cNvPicPr/>
                  </pic:nvPicPr>
                  <pic:blipFill rotWithShape="1">
                    <a:blip r:embed="rId14" cstate="print">
                      <a:extLst>
                        <a:ext uri="{28A0092B-C50C-407E-A947-70E740481C1C}">
                          <a14:useLocalDpi xmlns:a14="http://schemas.microsoft.com/office/drawing/2010/main" val="0"/>
                        </a:ext>
                      </a:extLst>
                    </a:blip>
                    <a:srcRect l="11964" t="27188" r="15723" b="29618"/>
                    <a:stretch/>
                  </pic:blipFill>
                  <pic:spPr bwMode="auto">
                    <a:xfrm>
                      <a:off x="0" y="0"/>
                      <a:ext cx="3256734" cy="2520000"/>
                    </a:xfrm>
                    <a:prstGeom prst="rect">
                      <a:avLst/>
                    </a:prstGeom>
                    <a:ln>
                      <a:noFill/>
                    </a:ln>
                    <a:extLst>
                      <a:ext uri="{53640926-AAD7-44D8-BBD7-CCE9431645EC}">
                        <a14:shadowObscured xmlns:a14="http://schemas.microsoft.com/office/drawing/2010/main"/>
                      </a:ext>
                    </a:extLst>
                  </pic:spPr>
                </pic:pic>
              </a:graphicData>
            </a:graphic>
          </wp:inline>
        </w:drawing>
      </w:r>
    </w:p>
    <w:p w14:paraId="65801C9C" w14:textId="77777777" w:rsidR="004B203F" w:rsidRPr="004B203F" w:rsidRDefault="004B203F" w:rsidP="004B203F">
      <w:pPr>
        <w:pStyle w:val="Body"/>
        <w:jc w:val="center"/>
        <w:rPr>
          <w:rFonts w:ascii="Arial" w:hAnsi="Arial" w:cs="Arial"/>
          <w:b/>
        </w:rPr>
      </w:pPr>
      <w:r w:rsidRPr="004B203F">
        <w:rPr>
          <w:rFonts w:ascii="Arial" w:hAnsi="Arial" w:cs="Arial"/>
          <w:b/>
        </w:rPr>
        <w:t xml:space="preserve">Figure </w:t>
      </w:r>
      <w:r w:rsidRPr="004B203F">
        <w:rPr>
          <w:rFonts w:ascii="Arial" w:hAnsi="Arial" w:cs="Arial"/>
          <w:b/>
        </w:rPr>
        <w:fldChar w:fldCharType="begin"/>
      </w:r>
      <w:r w:rsidRPr="004B203F">
        <w:rPr>
          <w:rFonts w:ascii="Arial" w:hAnsi="Arial" w:cs="Arial"/>
          <w:b/>
        </w:rPr>
        <w:instrText xml:space="preserve"> SEQ Figure \* ARABIC </w:instrText>
      </w:r>
      <w:r w:rsidRPr="004B203F">
        <w:rPr>
          <w:rFonts w:ascii="Arial" w:hAnsi="Arial" w:cs="Arial"/>
          <w:b/>
        </w:rPr>
        <w:fldChar w:fldCharType="separate"/>
      </w:r>
      <w:r w:rsidR="00FB1D5C">
        <w:rPr>
          <w:rFonts w:ascii="Arial" w:hAnsi="Arial" w:cs="Arial"/>
          <w:b/>
          <w:noProof/>
        </w:rPr>
        <w:t>1</w:t>
      </w:r>
      <w:r w:rsidRPr="004B203F">
        <w:rPr>
          <w:rFonts w:ascii="Arial" w:hAnsi="Arial" w:cs="Arial"/>
          <w:b/>
        </w:rPr>
        <w:fldChar w:fldCharType="end"/>
      </w:r>
      <w:r w:rsidRPr="004B203F">
        <w:rPr>
          <w:rFonts w:ascii="Arial" w:hAnsi="Arial" w:cs="Arial"/>
          <w:b/>
        </w:rPr>
        <w:t xml:space="preserve"> </w:t>
      </w:r>
      <w:r w:rsidR="00422382">
        <w:rPr>
          <w:rFonts w:ascii="Arial" w:hAnsi="Arial" w:cs="Arial"/>
          <w:b/>
        </w:rPr>
        <w:t xml:space="preserve">Absolute weight gain </w:t>
      </w:r>
      <w:r w:rsidR="00377210" w:rsidRPr="00377210">
        <w:rPr>
          <w:rFonts w:ascii="Arial" w:hAnsi="Arial" w:cs="Arial"/>
          <w:b/>
        </w:rPr>
        <w:t>value of Mutiara catfish with the addition of different doses of tryptophan</w:t>
      </w:r>
    </w:p>
    <w:p w14:paraId="7ED67A37" w14:textId="77777777" w:rsidR="007D7A73" w:rsidRDefault="00377210" w:rsidP="007D7A73">
      <w:pPr>
        <w:pStyle w:val="Body"/>
        <w:spacing w:after="0"/>
        <w:rPr>
          <w:rFonts w:ascii="Arial" w:hAnsi="Arial" w:cs="Arial"/>
          <w:lang w:val="en-ID"/>
        </w:rPr>
      </w:pPr>
      <w:r>
        <w:rPr>
          <w:rFonts w:ascii="Arial" w:hAnsi="Arial" w:cs="Arial"/>
        </w:rPr>
        <w:t>T</w:t>
      </w:r>
      <w:r w:rsidR="00B96FE8" w:rsidRPr="00B96FE8">
        <w:rPr>
          <w:rFonts w:ascii="Arial" w:hAnsi="Arial" w:cs="Arial"/>
        </w:rPr>
        <w:t>reatment C (3 g/kg feed) showed the highest wei</w:t>
      </w:r>
      <w:r w:rsidR="00BA0FB2">
        <w:rPr>
          <w:rFonts w:ascii="Arial" w:hAnsi="Arial" w:cs="Arial"/>
        </w:rPr>
        <w:t>ght growth with a result of 222.700 ± 21.</w:t>
      </w:r>
      <w:r w:rsidR="00B96FE8" w:rsidRPr="00B96FE8">
        <w:rPr>
          <w:rFonts w:ascii="Arial" w:hAnsi="Arial" w:cs="Arial"/>
        </w:rPr>
        <w:t xml:space="preserve">149. This is in line with the research of </w:t>
      </w:r>
      <w:r w:rsidR="00116858" w:rsidRPr="00116858">
        <w:rPr>
          <w:rFonts w:ascii="Arial" w:hAnsi="Arial" w:cs="Arial"/>
          <w:lang w:val="en-ID"/>
        </w:rPr>
        <w:fldChar w:fldCharType="begin" w:fldLock="1"/>
      </w:r>
      <w:r w:rsidR="00BA0FB2">
        <w:rPr>
          <w:rFonts w:ascii="Arial" w:hAnsi="Arial" w:cs="Arial"/>
          <w:lang w:val="en-ID"/>
        </w:rPr>
        <w:instrText>ADDIN CSL_CITATION {"citationItems":[{"id":"ITEM-1","itemData":{"DOI":"https://doi.org/10.14710/sat.v6i2.13903","abstract":"Lele sangkuriang ( Clarias gariepinus ) merupakan salah satu komoditas ikan air tawar yang banyak dibudidayakan karena memiliki nilai ekonomis tinggi. Permasalahan pada budidaya lele sangkuriang salah satunya adalah efisiensi pemanfaatan pakan yang belum maksimal. Triptofan merupakan asam amino esensial yang berfungsi sebagai precursor serotonin yang dapat mengatur asupan pakan, adanya serotonin dalam otak akan menimbukan perasaan tenang dan senang sehingga napsu makan meningkat, selain itu triptofan juga membantu meningkatkan aktivitas enzim pencernaan ikan. Penelitian ini bertujuan untuk mengetahui pengaruh triptofan dalam pakan buatan terhadap efisiensi pemanfaatan pakan dan pertumbuhan lele sangkuriang dan dosis optimum triptofan. Penelitian ini dilaksanakan selama 42 hari yaitu pada bulan Juni 2021 - Agustus 2021 bertempat di Loka Perbenihan dan Budidaya Ikan Air Tawar Ngrajek, Magelang. Ikan uji yang digunakan adalah benih lele sangkuriang dengan bobot rata-rata 1,95±0,08 g/ekor. Pakan uji yang digunakan berupa pakan komersil dengan kandungan protein 31%. Parameter yang diukur dalam penelitian ini adalah Tingkat Konsumsi Pakan (TKP), Efisiensi Pemanfaatan Pakan (EPP), Rasio Efisiensi Protein (PER), Laju Pertumbuhan Relatif (RGR), Rasio Konversi Pakan (FCR), Kelulushidupan (SR), dan kualitas air. Metode yang digunakan adalah eksperimental menggunakan Rancangan Acak Lengkap (RAL) yang terdiri atas 6 perlakuan dan 3 ulangan. Perlakuan A, B, C, D, E, dan F masing-masing adalah (0; 0,85; 1,7; 2,55; 3,4; dan 4,25) g/kg pakan. Hasil penelitian menunjukkan bahwa penambahan triptofan berpengaruh nyata (P&lt;0,05) terhadap TKP, EPP, PER, RGR, dan FCR tetapi tidak berpengaruh nyata terhadap SR. Dosis optimum penambahan triptofan pada pakan buatan untuk lele sangkuriang adalah 3,6; 3,03; 2,94; 2,98; dan 3,05 g/kg pakan yang menghasilkan TKP, EPP, PER, RGR, dan FCR maksimal sebesar 136,29g; 67,55%; 1,92%; 5,13%/ hari; dan 1,48.","author":[{"dropping-particle":"","family":"Agustiana","given":"Auliafi Brilian","non-dropping-particle":"","parse-names":false,"suffix":""},{"dropping-particle":"","family":"Rachmawati","given":"Diana","non-dropping-particle":"","parse-names":false,"suffix":""},{"dropping-particle":"","family":"Herawati","given":"Vivi Endar","non-dropping-particle":"","parse-names":false,"suffix":""}],"container-title":"Sains Akuakultur Tropis : Indonesian Journal of Tropical Aquaculture; Vol 6, No 2 (2022): SAT edisi SeptemberDO - 10.14710/sat.v6i2.13903","id":"ITEM-1","issue":"2","issued":{"date-parts":[["2022","6"]]},"page":"202-215","title":"Pengaruh Triptofan dalam Pakan Buatan terhadap Efisiensi Pemanfaatan Pakan dan Performa Pertumbuhan Benih Lele Sangkuriang (Clarias gariepinus)","type":"article-journal","volume":"6"},"uris":["http://www.mendeley.com/documents/?uuid=22f9757b-541e-4494-ad36-c4ac3292662a"]}],"mendeley":{"formattedCitation":"(Agustiana et al., 2022)","manualFormatting":"Agustiana et al., 2022)","plainTextFormattedCitation":"(Agustiana et al., 2022)","previouslyFormattedCitation":"(Agustiana et al., 2022)"},"properties":{"noteIndex":0},"schema":"https://github.com/citation-style-language/schema/raw/master/csl-citation.json"}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 xml:space="preserve">Agustiana </w:t>
      </w:r>
      <w:r w:rsidR="00116858" w:rsidRPr="00BA0FB2">
        <w:rPr>
          <w:rFonts w:ascii="Arial" w:hAnsi="Arial" w:cs="Arial"/>
          <w:noProof/>
          <w:lang w:val="en-ID"/>
        </w:rPr>
        <w:t>et al.</w:t>
      </w:r>
      <w:r w:rsidR="00BA0FB2">
        <w:rPr>
          <w:rFonts w:ascii="Arial" w:hAnsi="Arial" w:cs="Arial"/>
          <w:noProof/>
          <w:lang w:val="en-ID"/>
        </w:rPr>
        <w:t>,</w:t>
      </w:r>
      <w:r w:rsidR="00116858" w:rsidRPr="00116858">
        <w:rPr>
          <w:rFonts w:ascii="Arial" w:hAnsi="Arial" w:cs="Arial"/>
          <w:i/>
          <w:noProof/>
          <w:lang w:val="en-ID"/>
        </w:rPr>
        <w:t xml:space="preserve"> </w:t>
      </w:r>
      <w:r w:rsidR="00116858" w:rsidRPr="00116858">
        <w:rPr>
          <w:rFonts w:ascii="Arial" w:hAnsi="Arial" w:cs="Arial"/>
          <w:noProof/>
          <w:lang w:val="en-ID"/>
        </w:rPr>
        <w:t>2022)</w:t>
      </w:r>
      <w:r w:rsidR="00116858" w:rsidRPr="00116858">
        <w:rPr>
          <w:rFonts w:ascii="Arial" w:hAnsi="Arial" w:cs="Arial"/>
        </w:rPr>
        <w:fldChar w:fldCharType="end"/>
      </w:r>
      <w:r w:rsidR="00116858" w:rsidRPr="00116858">
        <w:rPr>
          <w:rFonts w:ascii="Arial" w:hAnsi="Arial" w:cs="Arial"/>
          <w:lang w:val="en-ID"/>
        </w:rPr>
        <w:t xml:space="preserve"> </w:t>
      </w:r>
      <w:r w:rsidR="00B96FE8" w:rsidRPr="00B96FE8">
        <w:rPr>
          <w:rFonts w:ascii="Arial" w:hAnsi="Arial" w:cs="Arial"/>
          <w:lang w:val="en-ID"/>
        </w:rPr>
        <w:t>which stated that the optimal dose of tryptophan addition to feed is 2.98 g/kg feed which produces a re</w:t>
      </w:r>
      <w:r w:rsidR="00CE4760">
        <w:rPr>
          <w:rFonts w:ascii="Arial" w:hAnsi="Arial" w:cs="Arial"/>
          <w:lang w:val="en-ID"/>
        </w:rPr>
        <w:t>lative growth rate of 5.13%/day</w:t>
      </w:r>
      <w:r w:rsidR="00116858" w:rsidRPr="00116858">
        <w:rPr>
          <w:rFonts w:ascii="Arial" w:hAnsi="Arial" w:cs="Arial"/>
          <w:lang w:val="en-ID"/>
        </w:rPr>
        <w:t xml:space="preserve">. </w:t>
      </w:r>
      <w:r w:rsidR="00116858" w:rsidRPr="00116858">
        <w:rPr>
          <w:rFonts w:ascii="Arial" w:hAnsi="Arial" w:cs="Arial"/>
          <w:lang w:val="en-ID"/>
        </w:rPr>
        <w:fldChar w:fldCharType="begin" w:fldLock="1"/>
      </w:r>
      <w:r w:rsidR="00116858" w:rsidRPr="00116858">
        <w:rPr>
          <w:rFonts w:ascii="Arial" w:hAnsi="Arial" w:cs="Arial"/>
          <w:lang w:val="en-ID"/>
        </w:rPr>
        <w:instrText>ADDIN CSL_CITATION {"citationItems":[{"id":"ITEM-1","itemData":{"DOI":"10.1007/s10695-012-9609-1","ISSN":"1573-5168","abstract":"An 8-week feeding trial was conducted to determine the dietary tryptophan requirement of fingerling Indian catfish, Heteropneustes fossilis (6.10 ± 1.15 cm, 4.44 ± 0.50 g). Six isonitrogenous (40 g 100 g−1) and isoenergetic (17.90 kJ g−1) amino acid test diets were formulated with gradation of 0.1 g 100 g−1 containing graded levels of l-tryptophan (0.04–0.54 g 100 g−1, dry diet). Fish were stocked in triplicate groups, in 75-L circular trough with flow-through system and fed experimental diets at 4% BW/day twice daily. Maximum live weight gain (258%), best feed conversion ratio (FCR) (1.54) and protein efficiency ratio (PER) (1.62) were obtained in fish fed diet containing 0.34 g 100 g−1 tryptophan. However, quadratic regression analysis of weight gain, FCR, PER and body protein deposition (BPD) data indicated requirements for dietary tryptophan at 0.37, 0.33, 0.32 and 0.33 g 100 g−1 of dry diet, respectively. Significantly (P &lt; 0.05) higher body protein, minimum moisture and intermediate fat contents were recorded at 0.34 g 100 g−1 dietary tryptophan diet. Ash content was not significantly different (P &gt; 0.05) among treatments except for diets 0.04 and 0.14 g 100 g−1. Excellent somatic and haematological indices values were obtained at the requirement level. Based on above results, it is recommended that the diet for H. fossilis should contain tryptophan at 0.32 g 100 g−1, dry diet, corresponding to 0.80 g 100 g−1 dietary protein for optimum growth and efficient feed utilization.","author":[{"dropping-particle":"","family":"Ahmed","given":"Imtiaz","non-dropping-particle":"","parse-names":false,"suffix":""}],"container-title":"Fish Physiology and Biochemistry","id":"ITEM-1","issue":"4","issued":{"date-parts":[["2012"]]},"page":"1195-1209","title":"Dietary amino acid l-tryptophan requirement of fingerling Indian catfish, Heteropneustes fossilis (Bloch), estimated by growth and haemato-biochemical parameters","type":"article-journal","volume":"38"},"uris":["http://www.mendeley.com/documents/?uuid=6484241d-5069-48c7-8021-4915673841b6"]}],"mendeley":{"formattedCitation":"(Ahmed, 2012)","manualFormatting":"Ahmed (2012)","plainTextFormattedCitation":"(Ahmed, 2012)","previouslyFormattedCitation":"(Ahmed, 2012)"},"properties":{"noteIndex":0},"schema":"https://github.com/citation-style-language/schema/raw/master/csl-citation.json"}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Ahmed (2012)</w:t>
      </w:r>
      <w:r w:rsidR="00116858" w:rsidRPr="00116858">
        <w:rPr>
          <w:rFonts w:ascii="Arial" w:hAnsi="Arial" w:cs="Arial"/>
        </w:rPr>
        <w:fldChar w:fldCharType="end"/>
      </w:r>
      <w:r w:rsidR="00116858" w:rsidRPr="00116858">
        <w:rPr>
          <w:rFonts w:ascii="Arial" w:hAnsi="Arial" w:cs="Arial"/>
          <w:lang w:val="en-ID"/>
        </w:rPr>
        <w:t xml:space="preserve"> </w:t>
      </w:r>
      <w:r w:rsidR="00CE4760" w:rsidRPr="00CE4760">
        <w:rPr>
          <w:rFonts w:ascii="Arial" w:hAnsi="Arial" w:cs="Arial"/>
          <w:lang w:val="en-ID"/>
        </w:rPr>
        <w:t xml:space="preserve">explained that tryptophan produces 5-hydroxytryptamine (5-HTP) which is converted into serotonin in the brain so that it can affect the </w:t>
      </w:r>
      <w:proofErr w:type="spellStart"/>
      <w:r w:rsidR="00CE4760" w:rsidRPr="00CE4760">
        <w:rPr>
          <w:rFonts w:ascii="Arial" w:hAnsi="Arial" w:cs="Arial"/>
          <w:lang w:val="en-ID"/>
        </w:rPr>
        <w:t>behavior</w:t>
      </w:r>
      <w:proofErr w:type="spellEnd"/>
      <w:r w:rsidR="00CE4760" w:rsidRPr="00CE4760">
        <w:rPr>
          <w:rFonts w:ascii="Arial" w:hAnsi="Arial" w:cs="Arial"/>
          <w:lang w:val="en-ID"/>
        </w:rPr>
        <w:t xml:space="preserve"> and appetite of fish. Therefore, when the appetite of fish is good, fish growth is optimal. Serotonin will in turn regulate the secretion of pituitary growth hormone (GH) which can trigger insulin-like growth factor-I (IGF-I) produced by the liver</w:t>
      </w:r>
      <w:r w:rsidR="00CE4760">
        <w:rPr>
          <w:rFonts w:ascii="Arial" w:hAnsi="Arial" w:cs="Arial"/>
          <w:lang w:val="en-ID"/>
        </w:rPr>
        <w:t xml:space="preserve"> </w:t>
      </w:r>
      <w:r w:rsidR="00116858" w:rsidRPr="00116858">
        <w:rPr>
          <w:rFonts w:ascii="Arial" w:hAnsi="Arial" w:cs="Arial"/>
          <w:lang w:val="en-ID"/>
        </w:rPr>
        <w:fldChar w:fldCharType="begin" w:fldLock="1"/>
      </w:r>
      <w:r w:rsidR="00116858" w:rsidRPr="00116858">
        <w:rPr>
          <w:rFonts w:ascii="Arial" w:hAnsi="Arial" w:cs="Arial"/>
          <w:lang w:val="en-ID"/>
        </w:rPr>
        <w:instrText>ADDIN CSL_CITATION {"citationItems":[{"id":"ITEM-1","itemData":{"DOI":"10.1016/S1471-4914(03)00138-2","ISSN":"14714914","PMID":"12928036","abstract":"Skeletal muscle atrophy occurs in multiple clinical settings, including cancer, AIDS and sepsis, and is caused in part by an increase in the rate of ATP-dependent ubiquitin-mediated proteolysis. The expression of two recently identified genes encoding ubiquitin-protein ligases, MAFbx/Atrogin-1 and MuRF1, has been shown to increase during muscle atrophy. Mouse knockout studies have demonstrated that MAFbx and MuRF1 are required for muscle atrophy, and thus might be targets for clinical intervention. A second strategy for blocking atrophy involves the stimulation of pathways leading to skeletal muscle hypertrophy. Insulin-like growth factor 1 (IGF-1) is a protein growth factor that can induce skeletal muscle hypertrophy by activating the phosphatidylinositol 3-kinase (PI3K)-Akt pathway. The pathways modulating hypertrophy and atrophy will be further discussed, to highlight potential targets for clinical intervention.","author":[{"dropping-particle":"","family":"Glass","given":"David J.","non-dropping-particle":"","parse-names":false,"suffix":""}],"container-title":"Trends in Molecular Medicine","id":"ITEM-1","issue":"8","issued":{"date-parts":[["2003"]]},"page":"344-350","title":"Molecular mechanisms modulating muscle mass","type":"article-journal","volume":"9"},"uris":["http://www.mendeley.com/documents/?uuid=11db7b19-5fcc-4ae8-85f2-ae34e4cf892f"]}],"mendeley":{"formattedCitation":"(Glass, 2003)","manualFormatting":"(Glass 2003)","plainTextFormattedCitation":"(Glass, 2003)","previouslyFormattedCitation":"(Glass, 2003)"},"properties":{"noteIndex":0},"schema":"https://github.com/citation-style-language/schema/raw/master/csl-citation.json"}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(Glass 2003)</w:t>
      </w:r>
      <w:r w:rsidR="00116858" w:rsidRPr="00116858">
        <w:rPr>
          <w:rFonts w:ascii="Arial" w:hAnsi="Arial" w:cs="Arial"/>
          <w:lang w:val="en-ID"/>
        </w:rPr>
        <w:fldChar w:fldCharType="end"/>
      </w:r>
      <w:r w:rsidR="00116858">
        <w:rPr>
          <w:rFonts w:ascii="Arial" w:hAnsi="Arial" w:cs="Arial"/>
          <w:lang w:val="en-ID"/>
        </w:rPr>
        <w:t>.</w:t>
      </w:r>
      <w:r w:rsidR="00E3130B">
        <w:rPr>
          <w:rFonts w:ascii="Arial" w:hAnsi="Arial" w:cs="Arial"/>
          <w:lang w:val="en-ID"/>
        </w:rPr>
        <w:t xml:space="preserve"> </w:t>
      </w:r>
      <w:r w:rsidR="00116858">
        <w:rPr>
          <w:rFonts w:ascii="Arial" w:hAnsi="Arial" w:cs="Arial"/>
          <w:lang w:val="en-ID"/>
        </w:rPr>
        <w:t xml:space="preserve"> </w:t>
      </w:r>
    </w:p>
    <w:p w14:paraId="051B7F41" w14:textId="77777777" w:rsidR="00116858" w:rsidRDefault="00116858" w:rsidP="00DA55EA">
      <w:pPr>
        <w:pStyle w:val="Body"/>
        <w:spacing w:after="0"/>
        <w:rPr>
          <w:rFonts w:ascii="Arial" w:hAnsi="Arial" w:cs="Arial"/>
        </w:rPr>
      </w:pPr>
    </w:p>
    <w:p w14:paraId="0AED8A0D" w14:textId="77777777" w:rsidR="007D7A73" w:rsidRPr="003B5B12" w:rsidRDefault="007D7A73" w:rsidP="003B5B12">
      <w:pPr>
        <w:pStyle w:val="Head2"/>
        <w:spacing w:after="0"/>
        <w:rPr>
          <w:rFonts w:ascii="Arial" w:hAnsi="Arial" w:cs="Arial"/>
          <w:b/>
          <w:bCs/>
          <w:caps w:val="0"/>
          <w:sz w:val="22"/>
          <w:szCs w:val="22"/>
        </w:rPr>
      </w:pPr>
      <w:r w:rsidRPr="003B5B12">
        <w:rPr>
          <w:rFonts w:ascii="Arial" w:hAnsi="Arial" w:cs="Arial"/>
          <w:b/>
          <w:bCs/>
          <w:caps w:val="0"/>
          <w:sz w:val="22"/>
          <w:szCs w:val="22"/>
        </w:rPr>
        <w:t xml:space="preserve">3.3 </w:t>
      </w:r>
      <w:r w:rsidR="001640F2" w:rsidRPr="003B5B12">
        <w:rPr>
          <w:rFonts w:ascii="Arial" w:hAnsi="Arial" w:cs="Arial"/>
          <w:b/>
          <w:bCs/>
          <w:caps w:val="0"/>
          <w:sz w:val="22"/>
          <w:szCs w:val="22"/>
        </w:rPr>
        <w:t xml:space="preserve">Feed Conversion Ratio </w:t>
      </w:r>
      <w:r w:rsidRPr="003B5B12">
        <w:rPr>
          <w:rFonts w:ascii="Arial" w:hAnsi="Arial" w:cs="Arial"/>
          <w:b/>
          <w:bCs/>
          <w:caps w:val="0"/>
          <w:sz w:val="22"/>
          <w:szCs w:val="22"/>
        </w:rPr>
        <w:t xml:space="preserve">(FCR) </w:t>
      </w:r>
    </w:p>
    <w:p w14:paraId="55D5D95B" w14:textId="77777777" w:rsidR="00E11A0A" w:rsidRDefault="00CE4760" w:rsidP="007D7A73">
      <w:pPr>
        <w:pStyle w:val="Body"/>
        <w:spacing w:after="0"/>
        <w:rPr>
          <w:rFonts w:ascii="Arial" w:hAnsi="Arial" w:cs="Arial"/>
        </w:rPr>
      </w:pPr>
      <w:r w:rsidRPr="00CE4760">
        <w:rPr>
          <w:rFonts w:ascii="Arial" w:hAnsi="Arial" w:cs="Arial"/>
        </w:rPr>
        <w:t>Feed conversion ratio (FCR) is an index of total feed utilization for growth or the number of grams of feed required by fish to produce 1g of wet weight of fish.</w:t>
      </w:r>
    </w:p>
    <w:p w14:paraId="08006096" w14:textId="77777777" w:rsidR="00CE4760" w:rsidRDefault="00CE4760" w:rsidP="007D7A73">
      <w:pPr>
        <w:pStyle w:val="Body"/>
        <w:spacing w:after="0"/>
        <w:rPr>
          <w:rFonts w:ascii="Arial" w:hAnsi="Arial" w:cs="Arial"/>
        </w:rPr>
      </w:pPr>
    </w:p>
    <w:p w14:paraId="11861CE2" w14:textId="77777777" w:rsidR="004B203F" w:rsidRDefault="002208E1" w:rsidP="00E11A0A">
      <w:pPr>
        <w:pStyle w:val="Body"/>
        <w:spacing w:after="0"/>
        <w:jc w:val="center"/>
        <w:rPr>
          <w:rFonts w:ascii="Arial" w:hAnsi="Arial" w:cs="Arial"/>
        </w:rPr>
      </w:pPr>
      <w:r>
        <w:rPr>
          <w:rFonts w:ascii="Arial" w:hAnsi="Arial" w:cs="Arial"/>
          <w:noProof/>
        </w:rPr>
        <w:drawing>
          <wp:inline distT="0" distB="0" distL="0" distR="0" wp14:anchorId="571001B1" wp14:editId="1C1DD2DF">
            <wp:extent cx="3065948" cy="2520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R JURNAL FIKS.JPG"/>
                    <pic:cNvPicPr/>
                  </pic:nvPicPr>
                  <pic:blipFill rotWithShape="1">
                    <a:blip r:embed="rId15" cstate="print">
                      <a:extLst>
                        <a:ext uri="{28A0092B-C50C-407E-A947-70E740481C1C}">
                          <a14:useLocalDpi xmlns:a14="http://schemas.microsoft.com/office/drawing/2010/main" val="0"/>
                        </a:ext>
                      </a:extLst>
                    </a:blip>
                    <a:srcRect l="12022" t="25957" r="16829" b="28901"/>
                    <a:stretch/>
                  </pic:blipFill>
                  <pic:spPr bwMode="auto">
                    <a:xfrm>
                      <a:off x="0" y="0"/>
                      <a:ext cx="3065948" cy="2520000"/>
                    </a:xfrm>
                    <a:prstGeom prst="rect">
                      <a:avLst/>
                    </a:prstGeom>
                    <a:ln>
                      <a:noFill/>
                    </a:ln>
                    <a:extLst>
                      <a:ext uri="{53640926-AAD7-44D8-BBD7-CCE9431645EC}">
                        <a14:shadowObscured xmlns:a14="http://schemas.microsoft.com/office/drawing/2010/main"/>
                      </a:ext>
                    </a:extLst>
                  </pic:spPr>
                </pic:pic>
              </a:graphicData>
            </a:graphic>
          </wp:inline>
        </w:drawing>
      </w:r>
    </w:p>
    <w:p w14:paraId="610EBB07" w14:textId="77777777" w:rsidR="001669DC" w:rsidRDefault="001669DC" w:rsidP="002208E1">
      <w:pPr>
        <w:pStyle w:val="Body"/>
        <w:spacing w:after="0"/>
        <w:rPr>
          <w:rFonts w:ascii="Arial" w:hAnsi="Arial" w:cs="Arial"/>
        </w:rPr>
      </w:pPr>
    </w:p>
    <w:p w14:paraId="0D29ECD7" w14:textId="77777777" w:rsidR="004B203F" w:rsidRPr="004B203F" w:rsidRDefault="00FB1D5C" w:rsidP="00FB1D5C">
      <w:pPr>
        <w:pStyle w:val="Caption"/>
        <w:jc w:val="center"/>
        <w:rPr>
          <w:rFonts w:ascii="Arial" w:hAnsi="Arial" w:cs="Arial"/>
          <w:b/>
          <w:i w:val="0"/>
          <w:color w:val="auto"/>
          <w:sz w:val="20"/>
          <w:szCs w:val="20"/>
        </w:rPr>
      </w:pPr>
      <w:r w:rsidRPr="00FB1D5C">
        <w:rPr>
          <w:rFonts w:ascii="Arial" w:hAnsi="Arial" w:cs="Arial"/>
          <w:b/>
          <w:i w:val="0"/>
          <w:color w:val="auto"/>
          <w:sz w:val="20"/>
          <w:szCs w:val="20"/>
        </w:rPr>
        <w:t xml:space="preserve">Figure </w:t>
      </w:r>
      <w:r w:rsidRPr="00FB1D5C">
        <w:rPr>
          <w:rFonts w:ascii="Arial" w:hAnsi="Arial" w:cs="Arial"/>
          <w:b/>
          <w:i w:val="0"/>
          <w:color w:val="auto"/>
          <w:sz w:val="20"/>
          <w:szCs w:val="20"/>
        </w:rPr>
        <w:fldChar w:fldCharType="begin"/>
      </w:r>
      <w:r w:rsidRPr="00FB1D5C">
        <w:rPr>
          <w:rFonts w:ascii="Arial" w:hAnsi="Arial" w:cs="Arial"/>
          <w:b/>
          <w:i w:val="0"/>
          <w:color w:val="auto"/>
          <w:sz w:val="20"/>
          <w:szCs w:val="20"/>
        </w:rPr>
        <w:instrText xml:space="preserve"> SEQ Figure \* ARABIC </w:instrText>
      </w:r>
      <w:r w:rsidRPr="00FB1D5C">
        <w:rPr>
          <w:rFonts w:ascii="Arial" w:hAnsi="Arial" w:cs="Arial"/>
          <w:b/>
          <w:i w:val="0"/>
          <w:color w:val="auto"/>
          <w:sz w:val="20"/>
          <w:szCs w:val="20"/>
        </w:rPr>
        <w:fldChar w:fldCharType="separate"/>
      </w:r>
      <w:r w:rsidRPr="00FB1D5C">
        <w:rPr>
          <w:rFonts w:ascii="Arial" w:hAnsi="Arial" w:cs="Arial"/>
          <w:b/>
          <w:i w:val="0"/>
          <w:noProof/>
          <w:color w:val="auto"/>
          <w:sz w:val="20"/>
          <w:szCs w:val="20"/>
        </w:rPr>
        <w:t>2</w:t>
      </w:r>
      <w:r w:rsidRPr="00FB1D5C">
        <w:rPr>
          <w:rFonts w:ascii="Arial" w:hAnsi="Arial" w:cs="Arial"/>
          <w:b/>
          <w:i w:val="0"/>
          <w:color w:val="auto"/>
          <w:sz w:val="20"/>
          <w:szCs w:val="20"/>
        </w:rPr>
        <w:fldChar w:fldCharType="end"/>
      </w:r>
      <w:r>
        <w:t xml:space="preserve"> </w:t>
      </w:r>
      <w:r w:rsidR="00422382">
        <w:rPr>
          <w:rFonts w:ascii="Arial" w:hAnsi="Arial" w:cs="Arial"/>
          <w:b/>
          <w:i w:val="0"/>
          <w:color w:val="auto"/>
          <w:sz w:val="20"/>
          <w:szCs w:val="20"/>
        </w:rPr>
        <w:t>Feed conversion r</w:t>
      </w:r>
      <w:r w:rsidR="004B203F" w:rsidRPr="004B203F">
        <w:rPr>
          <w:rFonts w:ascii="Arial" w:hAnsi="Arial" w:cs="Arial"/>
          <w:b/>
          <w:i w:val="0"/>
          <w:color w:val="auto"/>
          <w:sz w:val="20"/>
          <w:szCs w:val="20"/>
        </w:rPr>
        <w:t xml:space="preserve">atio </w:t>
      </w:r>
      <w:r w:rsidR="00377210">
        <w:rPr>
          <w:rFonts w:ascii="Arial" w:hAnsi="Arial" w:cs="Arial"/>
          <w:b/>
          <w:i w:val="0"/>
          <w:color w:val="auto"/>
          <w:sz w:val="20"/>
          <w:szCs w:val="20"/>
        </w:rPr>
        <w:t>value of Mutiara catfish with the addition of different doses of tryptophan</w:t>
      </w:r>
    </w:p>
    <w:p w14:paraId="1C6F99CC" w14:textId="77777777" w:rsidR="009B4237" w:rsidRDefault="00CE4760" w:rsidP="007D7A73">
      <w:pPr>
        <w:pStyle w:val="Body"/>
        <w:spacing w:after="0"/>
        <w:rPr>
          <w:rFonts w:ascii="Arial" w:hAnsi="Arial" w:cs="Arial"/>
        </w:rPr>
      </w:pPr>
      <w:r w:rsidRPr="00CE4760">
        <w:rPr>
          <w:rFonts w:ascii="Arial" w:hAnsi="Arial" w:cs="Arial"/>
        </w:rPr>
        <w:lastRenderedPageBreak/>
        <w:t>Treatment C showed the best FCR results compared to other treatments, with an FCR value of 1.468 (Figure 2).</w:t>
      </w:r>
      <w:r w:rsidR="00BA0FB2">
        <w:rPr>
          <w:rFonts w:ascii="Arial" w:hAnsi="Arial" w:cs="Arial"/>
        </w:rPr>
        <w:t xml:space="preserve"> </w:t>
      </w:r>
      <w:r w:rsidR="009B4237" w:rsidRPr="009B4237">
        <w:rPr>
          <w:rFonts w:ascii="Arial" w:hAnsi="Arial" w:cs="Arial"/>
        </w:rPr>
        <w:fldChar w:fldCharType="begin" w:fldLock="1"/>
      </w:r>
      <w:r w:rsidR="009B4237" w:rsidRPr="009B4237">
        <w:rPr>
          <w:rFonts w:ascii="Arial" w:hAnsi="Arial" w:cs="Arial"/>
        </w:rPr>
        <w:instrText>ADDIN CSL_CITATION {"citationItems":[{"id":"ITEM-1","itemData":{"author":[{"dropping-particle":"","family":"Effendie","given":"M I","non-dropping-particle":"","parse-names":false,"suffix":""}],"id":"ITEM-1","issued":{"date-parts":[["1997"]]},"title":"Biologi Perikanan [Fisheries Biology](Yogyakarta: Yayasan Pustaka Nusantara)","type":"article-journal"},"uris":["http://www.mendeley.com/documents/?uuid=24b48488-1b9c-46fa-838d-18c125b49951"]}],"mendeley":{"formattedCitation":"(Effendie, 1997)","manualFormatting":"Effendie (1997)","plainTextFormattedCitation":"(Effendie, 1997)","previouslyFormattedCitation":"(Effendie, 1997)"},"properties":{"noteIndex":0},"schema":"https://github.com/citation-style-language/schema/raw/master/csl-citation.json"}</w:instrText>
      </w:r>
      <w:r w:rsidR="009B4237" w:rsidRPr="009B4237">
        <w:rPr>
          <w:rFonts w:ascii="Arial" w:hAnsi="Arial" w:cs="Arial"/>
        </w:rPr>
        <w:fldChar w:fldCharType="separate"/>
      </w:r>
      <w:r w:rsidR="009B4237" w:rsidRPr="009B4237">
        <w:rPr>
          <w:rFonts w:ascii="Arial" w:hAnsi="Arial" w:cs="Arial"/>
          <w:noProof/>
        </w:rPr>
        <w:t>Effendie (1997)</w:t>
      </w:r>
      <w:r w:rsidR="009B4237" w:rsidRPr="009B4237">
        <w:rPr>
          <w:rFonts w:ascii="Arial" w:hAnsi="Arial" w:cs="Arial"/>
        </w:rPr>
        <w:fldChar w:fldCharType="end"/>
      </w:r>
      <w:r w:rsidR="009B4237" w:rsidRPr="009B4237">
        <w:rPr>
          <w:rFonts w:ascii="Arial" w:hAnsi="Arial" w:cs="Arial"/>
        </w:rPr>
        <w:t xml:space="preserve"> </w:t>
      </w:r>
      <w:r w:rsidRPr="00CE4760">
        <w:rPr>
          <w:rFonts w:ascii="Arial" w:hAnsi="Arial" w:cs="Arial"/>
        </w:rPr>
        <w:t>stated that catfish were able to utilize the feed given effectively for their growth and convert it into meat. The low FCR value in this treatment indicated that the fish's feed efficiency was higher</w:t>
      </w:r>
      <w:r>
        <w:rPr>
          <w:rFonts w:ascii="Arial" w:hAnsi="Arial" w:cs="Arial"/>
        </w:rPr>
        <w:t xml:space="preserve"> </w:t>
      </w:r>
      <w:r w:rsidR="009B4237" w:rsidRPr="009B4237">
        <w:rPr>
          <w:rFonts w:ascii="Arial" w:hAnsi="Arial" w:cs="Arial"/>
        </w:rPr>
        <w:fldChar w:fldCharType="begin" w:fldLock="1"/>
      </w:r>
      <w:r w:rsidR="00BA0FB2">
        <w:rPr>
          <w:rFonts w:ascii="Arial" w:hAnsi="Arial" w:cs="Arial"/>
        </w:rPr>
        <w:instrText>ADDIN CSL_CITATION {"citationItems":[{"id":"ITEM-1","itemData":{"DOI":"10.1016/j.fsi.2019.07.033","ISSN":"10959947","PMID":"31310850","abstract":"European aquaculture is an industry with a high sustainability profile contributing to the supply of safe seafood. However, several diseases can affect farmed fish and it is imperative to find alternatives for chemotherapeutic treatments when disease outbreaks occur. Maintenance of health through nutrition is well-establish in modern animal farming, and amino acids (AA) are promising candidates as functional additives to improve fish health. Therefore, the goal of this research is to provide a better understanding of the influence of tryptophan supplementation on nutritional condition and immune mechanisms in fish. Triplicate groups of fish (13.3 ± 0.3g) previously fed with a fishmeal-based diet were either fed a control diet with an extreme formulation (0% fishmeal) but meeting the AA requirements (CTRL), or the SUP diet, formulated as the CTRL with an increase in tryptophan (TRP) content. After 2 and 13 weeks of feeding, head-kidney (HK), liver (L) and white skeletal muscle (WSM) were collected for gene expression, whereas plasma was suited for humoral immune parameters. A holistic approach using transcriptomic, humoral and zootechnical parameters was undertaken. The expression of 29–31 genes for WSM, L or HK confirms an effect due to the treatment across time. A two-way ANOVA analysis revealed that 15–24 genes varied significantly depending on the tissue, and the multivariate analysis by means of PLS-DA explained (R2) and predicted (Q2) with four components up to 93% and 78% of total variance, respectively. Component 1 (R2 = 50.06%) represented the time effects, whereas components 2 (24.36%) and 3 (13.89%) grouped fish on the basis of dietary treatment, at early sampling. The HK results in particular suggest that fish fed SUP diet displayed an immunostimulated state at 2 weeks. No major differences were observed in plasma humoral parameters, despite an increase in antiprotease and peroxidase activities after 13 weeks regardless of dietary treatment. These results suggest that tryptophan supplementation may improve the seabream immune status after 2 weeks. Hence, the use of functional feeds is especially relevant during a short-term feeding period before a predictable stressful event or disease outbreak, considering that these putative advantageous effects seem to disappear after a 13 weeks feeding period.","author":[{"dropping-particle":"","family":"Ramos-Pinto","given":"Lourenço","non-dropping-particle":"","parse-names":false,"suffix":""},{"dropping-particle":"","family":"Martos-Sitcha","given":"Juan A.","non-dropping-particle":"","parse-names":false,"suffix":""},{"dropping-particle":"","family":"Reis","given":"Bruno","non-dropping-particle":"","parse-names":false,"suffix":""},{"dropping-particle":"","family":"Azeredo","given":"Rita","non-dropping-particle":"","parse-names":false,"suffix":""},{"dropping-particle":"","family":"Fernandez-Boo","given":"Sergio","non-dropping-particle":"","parse-names":false,"suffix":""},{"dropping-particle":"","family":"Pérez-Sánchez","given":"Jaume","non-dropping-particle":"","parse-names":false,"suffix":""},{"dropping-particle":"","family":"Calduch-Giner","given":"Josep Alvar","non-dropping-particle":"","parse-names":false,"suffix":""},{"dropping-particle":"","family":"Engrola","given":"Sofia","non-dropping-particle":"","parse-names":false,"suffix":""},{"dropping-particle":"","family":"Conceição","given":"Luis E.C.","non-dropping-particle":"","parse-names":false,"suffix":""},{"dropping-particle":"","family":"Dias","given":"Jorge","non-dropping-particle":"","parse-names":false,"suffix":""},{"dropping-particle":"","family":"Silva","given":"Tomé S.","non-dropping-particle":"","parse-names":false,"suffix":""},{"dropping-particle":"","family":"Costas","given":"Benjamín","non-dropping-particle":"","parse-names":false,"suffix":""}],"container-title":"Fish and Shellfish Immunology","id":"ITEM-1","issued":{"date-parts":[["2019"]]},"page":"240-250","title":"Dietary tryptophan supplementation induces a transient immune enhancement of gilthead seabream (Sparus aurata) juveniles fed fishmeal-free diets","type":"article-journal","volume":"93"},"uris":["http://www.mendeley.com/documents/?uuid=f10cb074-b6b6-41b2-bfb0-1d2cc09a38f5"]}],"mendeley":{"formattedCitation":"(Ramos-Pinto et al., 2019)","manualFormatting":"(Pinto et al., 2019)","plainTextFormattedCitation":"(Ramos-Pinto et al., 2019)","previouslyFormattedCitation":"(Ramos-Pinto et al., 2019)"},"properties":{"noteIndex":0},"schema":"https://github.com/citation-style-language/schema/raw/master/csl-citation.json"}</w:instrText>
      </w:r>
      <w:r w:rsidR="009B4237" w:rsidRPr="009B4237">
        <w:rPr>
          <w:rFonts w:ascii="Arial" w:hAnsi="Arial" w:cs="Arial"/>
        </w:rPr>
        <w:fldChar w:fldCharType="separate"/>
      </w:r>
      <w:r w:rsidR="009B4237" w:rsidRPr="009B4237">
        <w:rPr>
          <w:rFonts w:ascii="Arial" w:hAnsi="Arial" w:cs="Arial"/>
          <w:noProof/>
        </w:rPr>
        <w:t>(Pinto</w:t>
      </w:r>
      <w:r w:rsidR="009B4237" w:rsidRPr="009B4237">
        <w:rPr>
          <w:rFonts w:ascii="Arial" w:hAnsi="Arial" w:cs="Arial"/>
          <w:i/>
          <w:noProof/>
        </w:rPr>
        <w:t xml:space="preserve"> </w:t>
      </w:r>
      <w:r w:rsidR="009B4237" w:rsidRPr="00BA0FB2">
        <w:rPr>
          <w:rFonts w:ascii="Arial" w:hAnsi="Arial" w:cs="Arial"/>
          <w:noProof/>
        </w:rPr>
        <w:t>et al.</w:t>
      </w:r>
      <w:r w:rsidR="00BA0FB2">
        <w:rPr>
          <w:rFonts w:ascii="Arial" w:hAnsi="Arial" w:cs="Arial"/>
          <w:noProof/>
        </w:rPr>
        <w:t>,</w:t>
      </w:r>
      <w:r w:rsidR="009B4237" w:rsidRPr="009B4237">
        <w:rPr>
          <w:rFonts w:ascii="Arial" w:hAnsi="Arial" w:cs="Arial"/>
          <w:noProof/>
        </w:rPr>
        <w:t xml:space="preserve"> 2019)</w:t>
      </w:r>
      <w:r w:rsidR="009B4237" w:rsidRPr="009B4237">
        <w:rPr>
          <w:rFonts w:ascii="Arial" w:hAnsi="Arial" w:cs="Arial"/>
        </w:rPr>
        <w:fldChar w:fldCharType="end"/>
      </w:r>
      <w:r w:rsidR="009B4237">
        <w:rPr>
          <w:rFonts w:ascii="Arial" w:hAnsi="Arial" w:cs="Arial"/>
        </w:rPr>
        <w:t>.</w:t>
      </w:r>
      <w:r w:rsidR="001669DC" w:rsidRPr="001669DC">
        <w:rPr>
          <w:rFonts w:ascii="Arial" w:hAnsi="Arial" w:cs="Arial"/>
        </w:rPr>
        <w:t xml:space="preserve"> </w:t>
      </w:r>
      <w:r w:rsidRPr="00CE4760">
        <w:rPr>
          <w:rFonts w:ascii="Arial" w:hAnsi="Arial" w:cs="Arial"/>
        </w:rPr>
        <w:t xml:space="preserve">Tryptophan supplementation with an appropriate dose (0.3%) will have an effect in suppressing the stress response, where cortisol and glucose levels decrease so that energy from feed can be utilized efficiently to increase fish growth as shown by weight growth (Figure 1), protein content (Table 1), and PER value of fish (Figure 3). The addition of 0.3% tryptophan in the feed provides an optimum feed use efficiency value compared to other treatments, because the final weight of the fish is higher compared to the amount of feed consumed leading to a low FCR value. </w:t>
      </w:r>
      <w:r w:rsidR="001669DC" w:rsidRPr="001669DC">
        <w:rPr>
          <w:rFonts w:ascii="Arial" w:hAnsi="Arial" w:cs="Arial"/>
        </w:rPr>
        <w:fldChar w:fldCharType="begin" w:fldLock="1"/>
      </w:r>
      <w:r w:rsidR="001669DC" w:rsidRPr="001669DC">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mykiss)","type":"article-journal","volume":"519"},"uris":["http://www.mendeley.com/documents/?uuid=254f95bd-14b9-4f8b-8a18-ed537c5eb7a5"]}],"mendeley":{"formattedCitation":"(Hoseini et al., 2020)","manualFormatting":"(Hoseini et al. 2020)","plainTextFormattedCitation":"(Hoseini et al., 2020)","previouslyFormattedCitation":"(Hoseini et al., 2020)"},"properties":{"noteIndex":0},"schema":"https://github.com/citation-style-language/schema/raw/master/csl-citation.json"}</w:instrText>
      </w:r>
      <w:r w:rsidR="001669DC" w:rsidRPr="001669DC">
        <w:rPr>
          <w:rFonts w:ascii="Arial" w:hAnsi="Arial" w:cs="Arial"/>
        </w:rPr>
        <w:fldChar w:fldCharType="separate"/>
      </w:r>
      <w:r w:rsidR="001669DC" w:rsidRPr="001669DC">
        <w:rPr>
          <w:rFonts w:ascii="Arial" w:hAnsi="Arial" w:cs="Arial"/>
          <w:noProof/>
        </w:rPr>
        <w:t xml:space="preserve">(Hoseini </w:t>
      </w:r>
      <w:r w:rsidR="001669DC" w:rsidRPr="001669DC">
        <w:rPr>
          <w:rFonts w:ascii="Arial" w:hAnsi="Arial" w:cs="Arial"/>
          <w:i/>
          <w:noProof/>
        </w:rPr>
        <w:t xml:space="preserve">et al. </w:t>
      </w:r>
      <w:r w:rsidR="001669DC" w:rsidRPr="001669DC">
        <w:rPr>
          <w:rFonts w:ascii="Arial" w:hAnsi="Arial" w:cs="Arial"/>
          <w:noProof/>
        </w:rPr>
        <w:t>2020)</w:t>
      </w:r>
      <w:r w:rsidR="001669DC" w:rsidRPr="001669DC">
        <w:rPr>
          <w:rFonts w:ascii="Arial" w:hAnsi="Arial" w:cs="Arial"/>
        </w:rPr>
        <w:fldChar w:fldCharType="end"/>
      </w:r>
      <w:r w:rsidR="001669DC" w:rsidRPr="001669DC">
        <w:rPr>
          <w:rFonts w:ascii="Arial" w:hAnsi="Arial" w:cs="Arial"/>
        </w:rPr>
        <w:t>.</w:t>
      </w:r>
      <w:r w:rsidR="001669DC">
        <w:rPr>
          <w:rFonts w:ascii="Arial" w:hAnsi="Arial" w:cs="Arial"/>
        </w:rPr>
        <w:t xml:space="preserve"> </w:t>
      </w:r>
      <w:r w:rsidRPr="00CE4760">
        <w:rPr>
          <w:rFonts w:ascii="Arial" w:hAnsi="Arial" w:cs="Arial"/>
        </w:rPr>
        <w:t>The low FCR value is also influenced by the addition of appropriate tryptophan which induces GH activity to break down feed into protein which causes increased fish growth but the feed consum</w:t>
      </w:r>
      <w:r>
        <w:rPr>
          <w:rFonts w:ascii="Arial" w:hAnsi="Arial" w:cs="Arial"/>
        </w:rPr>
        <w:t>ed by the fish is not excessive</w:t>
      </w:r>
      <w:r w:rsidR="00A85BA9">
        <w:rPr>
          <w:rFonts w:ascii="Arial" w:hAnsi="Arial" w:cs="Arial"/>
        </w:rPr>
        <w:t xml:space="preserve"> </w:t>
      </w:r>
      <w:r w:rsidR="00431A2F">
        <w:rPr>
          <w:rFonts w:ascii="Arial" w:hAnsi="Arial" w:cs="Arial"/>
        </w:rPr>
        <w:fldChar w:fldCharType="begin" w:fldLock="1"/>
      </w:r>
      <w:r w:rsidR="006F461E">
        <w:rPr>
          <w:rFonts w:ascii="Arial" w:hAnsi="Arial" w:cs="Arial"/>
        </w:rPr>
        <w:instrText>ADDIN CSL_CITATION {"citationItems":[{"id":"ITEM-1","itemData":{"DOI":"10.1159/000112994","ISSN":"00068977","PMID":"9096910","abstract":"Haplochromis burtoni, an African cichlid fish, male sexual maturation is regulated via social interactions, and these effects are mediated by gonadotropin-releasing-hormone (GnRH)-containing neurons in the preoptic area of the brain. Since brain monoaminergic systems are known to be involved in the regulation of GnRH release, and the activity of these systems is influenced by agonistic interactions, we analyzed the effect of social status on brain monoaminergic activity in H. burtoni. Animals were either (1) in normal social groups consisting of two males and four females or (2) in groups of one male and five females. Quantitative behavioral observations were made on each group of animals and, following sacrifice several physiological measurements were made. Concentrations of serotonin (5-HT), 5-hydroxyindoleacetic acid (5-HIAA, the main 5-HT metabolite) and tryptophan (TRP, the amino acid precursor of 5-HT), dopamine (DA) and 3, 4-dihydroxyphenylacetic acid (DOPAC, the main DA metabolite) were measured. The 5-HIAA/5-HT and DOPAC/DA ratios were calculated and used as indexes of 5-HT and DA activity, respectively. In addition, the gonado-somatic index was calculated from body and gonadal weights and used as an index of reproductive status. Concentrates of 5-HIAA as well as 5-HLAA/5-HT ratios were significantly higher in brainstem of non-territorial males than in that of territorial males, and similar trends were seen in the telencephalon and hypothalamus. Moreover, TRP concentrations in the telencephalon and brainstem were significantly lower in non-territorial males. In this species, sexual maturation in females is not socially regulated, and there was no significant correlation between measured antagonistic behavior and biochemical indices. These results suggest a fundamental difference in the neurochemical responses between male and female H. burtoni. © 1997 S. Karger AG, Basel.","author":[{"dropping-particle":"","family":"Winberg","given":"Svante","non-dropping-particle":"","parse-names":false,"suffix":""},{"dropping-particle":"","family":"Winberg","given":"Yvonne","non-dropping-particle":"","parse-names":false,"suffix":""},{"dropping-particle":"","family":"Anastasio","given":"Russell D.","non-dropping-particle":"","parse-names":false,"suffix":""}],"container-title":"Brain, Behavior and Evolution","id":"ITEM-1","issue":"4","issued":{"date-parts":[["1997"]]},"page":"230-236","title":"Effect of social rank on brain monoaminergic activity in a cichlid fish","type":"article-journal","volume":"49"},"uris":["http://www.mendeley.com/documents/?uuid=a4581a03-433f-4238-9db4-a58cd9087d4e"]}],"mendeley":{"formattedCitation":"(Winberg et al., 1997)","manualFormatting":"(Winberg et al.,1997)","plainTextFormattedCitation":"(Winberg et al., 1997)","previouslyFormattedCitation":"(Winberg et al., 1997)"},"properties":{"noteIndex":0},"schema":"https://github.com/citation-style-language/schema/raw/master/csl-citation.json"}</w:instrText>
      </w:r>
      <w:r w:rsidR="00431A2F">
        <w:rPr>
          <w:rFonts w:ascii="Arial" w:hAnsi="Arial" w:cs="Arial"/>
        </w:rPr>
        <w:fldChar w:fldCharType="separate"/>
      </w:r>
      <w:r w:rsidR="002208E1">
        <w:rPr>
          <w:rFonts w:ascii="Arial" w:hAnsi="Arial" w:cs="Arial"/>
          <w:noProof/>
        </w:rPr>
        <w:t xml:space="preserve">(Winberg </w:t>
      </w:r>
      <w:r w:rsidR="002208E1" w:rsidRPr="00BA0FB2">
        <w:rPr>
          <w:rFonts w:ascii="Arial" w:hAnsi="Arial" w:cs="Arial"/>
          <w:noProof/>
        </w:rPr>
        <w:t>et al.</w:t>
      </w:r>
      <w:r w:rsidR="00BA0FB2">
        <w:rPr>
          <w:rFonts w:ascii="Arial" w:hAnsi="Arial" w:cs="Arial"/>
          <w:noProof/>
        </w:rPr>
        <w:t>,</w:t>
      </w:r>
      <w:r w:rsidR="00431A2F" w:rsidRPr="00431A2F">
        <w:rPr>
          <w:rFonts w:ascii="Arial" w:hAnsi="Arial" w:cs="Arial"/>
          <w:noProof/>
        </w:rPr>
        <w:t>1997)</w:t>
      </w:r>
      <w:r w:rsidR="00431A2F">
        <w:rPr>
          <w:rFonts w:ascii="Arial" w:hAnsi="Arial" w:cs="Arial"/>
        </w:rPr>
        <w:fldChar w:fldCharType="end"/>
      </w:r>
      <w:r w:rsidR="00431A2F">
        <w:rPr>
          <w:rFonts w:ascii="Arial" w:hAnsi="Arial" w:cs="Arial"/>
        </w:rPr>
        <w:t xml:space="preserve">. </w:t>
      </w:r>
    </w:p>
    <w:p w14:paraId="006BE89A" w14:textId="77777777" w:rsidR="00431A2F" w:rsidRDefault="00431A2F" w:rsidP="007D7A73">
      <w:pPr>
        <w:pStyle w:val="Body"/>
        <w:spacing w:after="0"/>
        <w:rPr>
          <w:rFonts w:ascii="Arial" w:hAnsi="Arial" w:cs="Arial"/>
        </w:rPr>
      </w:pPr>
    </w:p>
    <w:p w14:paraId="46C705FB" w14:textId="77777777" w:rsidR="007D7A73" w:rsidRPr="003B5B12" w:rsidRDefault="007D7A73" w:rsidP="003B5B12">
      <w:pPr>
        <w:pStyle w:val="Head2"/>
        <w:spacing w:after="0"/>
        <w:rPr>
          <w:rFonts w:ascii="Arial" w:hAnsi="Arial" w:cs="Arial"/>
          <w:b/>
          <w:bCs/>
          <w:caps w:val="0"/>
          <w:sz w:val="22"/>
          <w:szCs w:val="22"/>
        </w:rPr>
      </w:pPr>
      <w:r w:rsidRPr="003B5B12">
        <w:rPr>
          <w:rFonts w:ascii="Arial" w:hAnsi="Arial" w:cs="Arial"/>
          <w:b/>
          <w:bCs/>
          <w:caps w:val="0"/>
          <w:sz w:val="22"/>
          <w:szCs w:val="22"/>
        </w:rPr>
        <w:t xml:space="preserve">3.4 </w:t>
      </w:r>
      <w:r w:rsidR="001640F2" w:rsidRPr="003B5B12">
        <w:rPr>
          <w:rFonts w:ascii="Arial" w:hAnsi="Arial" w:cs="Arial"/>
          <w:b/>
          <w:bCs/>
          <w:caps w:val="0"/>
          <w:sz w:val="22"/>
          <w:szCs w:val="22"/>
        </w:rPr>
        <w:t xml:space="preserve">Protein Efficiency Ratio </w:t>
      </w:r>
      <w:r w:rsidRPr="003B5B12">
        <w:rPr>
          <w:rFonts w:ascii="Arial" w:hAnsi="Arial" w:cs="Arial"/>
          <w:b/>
          <w:bCs/>
          <w:caps w:val="0"/>
          <w:sz w:val="22"/>
          <w:szCs w:val="22"/>
        </w:rPr>
        <w:t>(PER)</w:t>
      </w:r>
    </w:p>
    <w:p w14:paraId="5C3D4433" w14:textId="77777777" w:rsidR="00CE4760" w:rsidRDefault="00CE4760" w:rsidP="00CE4760">
      <w:pPr>
        <w:pStyle w:val="Body"/>
        <w:spacing w:after="0"/>
        <w:rPr>
          <w:rFonts w:ascii="Arial" w:hAnsi="Arial" w:cs="Arial"/>
        </w:rPr>
      </w:pPr>
      <w:r w:rsidRPr="00CE4760">
        <w:rPr>
          <w:rFonts w:ascii="Arial" w:hAnsi="Arial" w:cs="Arial"/>
        </w:rPr>
        <w:t>The protein efficiency ratio is an indicator of the level of protein utilization in feed. A higher protein efficiency ratio indicates that the fish are effectively utilizing the protein contained in the feed.</w:t>
      </w:r>
    </w:p>
    <w:p w14:paraId="356E51EA" w14:textId="77777777" w:rsidR="001669DC" w:rsidRDefault="00B8469B" w:rsidP="00CE4760">
      <w:pPr>
        <w:pStyle w:val="Body"/>
        <w:spacing w:after="0"/>
        <w:jc w:val="center"/>
        <w:rPr>
          <w:rFonts w:ascii="Arial" w:hAnsi="Arial" w:cs="Arial"/>
        </w:rPr>
      </w:pPr>
      <w:r>
        <w:rPr>
          <w:rFonts w:ascii="Arial" w:hAnsi="Arial" w:cs="Arial"/>
          <w:noProof/>
        </w:rPr>
        <w:drawing>
          <wp:inline distT="0" distB="0" distL="0" distR="0" wp14:anchorId="3F2F7A3F" wp14:editId="1B71966F">
            <wp:extent cx="3130570"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 JURNAL.JPG"/>
                    <pic:cNvPicPr/>
                  </pic:nvPicPr>
                  <pic:blipFill rotWithShape="1">
                    <a:blip r:embed="rId16" cstate="print">
                      <a:extLst>
                        <a:ext uri="{28A0092B-C50C-407E-A947-70E740481C1C}">
                          <a14:useLocalDpi xmlns:a14="http://schemas.microsoft.com/office/drawing/2010/main" val="0"/>
                        </a:ext>
                      </a:extLst>
                    </a:blip>
                    <a:srcRect l="11699" t="24931" r="15321" b="29721"/>
                    <a:stretch/>
                  </pic:blipFill>
                  <pic:spPr bwMode="auto">
                    <a:xfrm>
                      <a:off x="0" y="0"/>
                      <a:ext cx="3130570" cy="2520000"/>
                    </a:xfrm>
                    <a:prstGeom prst="rect">
                      <a:avLst/>
                    </a:prstGeom>
                    <a:ln>
                      <a:noFill/>
                    </a:ln>
                    <a:extLst>
                      <a:ext uri="{53640926-AAD7-44D8-BBD7-CCE9431645EC}">
                        <a14:shadowObscured xmlns:a14="http://schemas.microsoft.com/office/drawing/2010/main"/>
                      </a:ext>
                    </a:extLst>
                  </pic:spPr>
                </pic:pic>
              </a:graphicData>
            </a:graphic>
          </wp:inline>
        </w:drawing>
      </w:r>
    </w:p>
    <w:p w14:paraId="64493B5F" w14:textId="77777777" w:rsidR="004B203F" w:rsidRPr="004B203F" w:rsidRDefault="004B203F" w:rsidP="004B203F">
      <w:pPr>
        <w:pStyle w:val="Caption"/>
        <w:jc w:val="center"/>
        <w:rPr>
          <w:rFonts w:ascii="Arial" w:hAnsi="Arial" w:cs="Arial"/>
          <w:b/>
          <w:i w:val="0"/>
          <w:color w:val="auto"/>
          <w:sz w:val="20"/>
          <w:szCs w:val="20"/>
        </w:rPr>
      </w:pPr>
      <w:r w:rsidRPr="004B203F">
        <w:rPr>
          <w:rFonts w:ascii="Arial" w:hAnsi="Arial" w:cs="Arial"/>
          <w:b/>
          <w:i w:val="0"/>
          <w:color w:val="auto"/>
          <w:sz w:val="20"/>
          <w:szCs w:val="20"/>
        </w:rPr>
        <w:t xml:space="preserve">Figure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Figure \* ARABIC </w:instrText>
      </w:r>
      <w:r w:rsidRPr="004B203F">
        <w:rPr>
          <w:rFonts w:ascii="Arial" w:hAnsi="Arial" w:cs="Arial"/>
          <w:b/>
          <w:i w:val="0"/>
          <w:color w:val="auto"/>
          <w:sz w:val="20"/>
          <w:szCs w:val="20"/>
        </w:rPr>
        <w:fldChar w:fldCharType="separate"/>
      </w:r>
      <w:r w:rsidR="00FB1D5C">
        <w:rPr>
          <w:rFonts w:ascii="Arial" w:hAnsi="Arial" w:cs="Arial"/>
          <w:b/>
          <w:i w:val="0"/>
          <w:noProof/>
          <w:color w:val="auto"/>
          <w:sz w:val="20"/>
          <w:szCs w:val="20"/>
        </w:rPr>
        <w:t>3</w:t>
      </w:r>
      <w:r w:rsidRPr="004B203F">
        <w:rPr>
          <w:rFonts w:ascii="Arial" w:hAnsi="Arial" w:cs="Arial"/>
          <w:b/>
          <w:i w:val="0"/>
          <w:color w:val="auto"/>
          <w:sz w:val="20"/>
          <w:szCs w:val="20"/>
        </w:rPr>
        <w:fldChar w:fldCharType="end"/>
      </w:r>
      <w:r w:rsidR="00422382">
        <w:rPr>
          <w:rFonts w:ascii="Arial" w:hAnsi="Arial" w:cs="Arial"/>
          <w:b/>
          <w:i w:val="0"/>
          <w:color w:val="auto"/>
          <w:sz w:val="20"/>
          <w:szCs w:val="20"/>
        </w:rPr>
        <w:t xml:space="preserve"> Protein efficiency r</w:t>
      </w:r>
      <w:r w:rsidRPr="004B203F">
        <w:rPr>
          <w:rFonts w:ascii="Arial" w:hAnsi="Arial" w:cs="Arial"/>
          <w:b/>
          <w:i w:val="0"/>
          <w:color w:val="auto"/>
          <w:sz w:val="20"/>
          <w:szCs w:val="20"/>
        </w:rPr>
        <w:t xml:space="preserve">atio </w:t>
      </w:r>
      <w:r w:rsidR="001640F2">
        <w:rPr>
          <w:rFonts w:ascii="Arial" w:hAnsi="Arial" w:cs="Arial"/>
          <w:b/>
          <w:i w:val="0"/>
          <w:color w:val="auto"/>
          <w:sz w:val="20"/>
          <w:szCs w:val="20"/>
        </w:rPr>
        <w:t>value of Mutiara catfish with the addition of different doses of tryptophan</w:t>
      </w:r>
    </w:p>
    <w:p w14:paraId="6877A2A5" w14:textId="77777777" w:rsidR="000B08FE" w:rsidRDefault="00CE4760" w:rsidP="000B08FE">
      <w:pPr>
        <w:pStyle w:val="Body"/>
        <w:spacing w:after="0"/>
        <w:rPr>
          <w:rFonts w:ascii="Arial" w:hAnsi="Arial" w:cs="Arial"/>
        </w:rPr>
      </w:pPr>
      <w:r w:rsidRPr="00CE4760">
        <w:rPr>
          <w:rFonts w:ascii="Arial" w:hAnsi="Arial" w:cs="Arial"/>
        </w:rPr>
        <w:t>Based on the ANOVA analysis results in Figure 3, treatment C (0.3%) demonstrated the highest protein efficiency ratio. This high value indicates that the protein was absorbed by the fish and utilized for optimal growth. This is supported by the results of the proximate analysis and body weight growth (Table 1 and Figure 1).</w:t>
      </w:r>
      <w:r>
        <w:rPr>
          <w:rFonts w:ascii="Arial" w:hAnsi="Arial" w:cs="Arial"/>
        </w:rPr>
        <w:t xml:space="preserve"> </w:t>
      </w:r>
      <w:r w:rsidRPr="00CE4760">
        <w:rPr>
          <w:rFonts w:ascii="Arial" w:hAnsi="Arial" w:cs="Arial"/>
        </w:rPr>
        <w:t xml:space="preserve">Based on proximate test results, treatment C feed showed the highest protein content, at 11.742%. This is thought to occur because tryptophan can improve feed quality by increasing protein content, and the tryptophan </w:t>
      </w:r>
      <w:r>
        <w:rPr>
          <w:rFonts w:ascii="Arial" w:hAnsi="Arial" w:cs="Arial"/>
        </w:rPr>
        <w:t xml:space="preserve">content in treatment C met the Mutiara </w:t>
      </w:r>
      <w:r w:rsidRPr="00CE4760">
        <w:rPr>
          <w:rFonts w:ascii="Arial" w:hAnsi="Arial" w:cs="Arial"/>
        </w:rPr>
        <w:t>catfish's needs, resulting in optimal growth.</w:t>
      </w:r>
      <w:r w:rsidR="000B08FE">
        <w:rPr>
          <w:rFonts w:ascii="Arial" w:hAnsi="Arial" w:cs="Arial"/>
        </w:rPr>
        <w:t xml:space="preserve"> </w:t>
      </w:r>
      <w:r>
        <w:rPr>
          <w:rFonts w:ascii="Arial" w:hAnsi="Arial" w:cs="Arial"/>
        </w:rPr>
        <w:t>Th</w:t>
      </w:r>
      <w:r w:rsidRPr="00CE4760">
        <w:rPr>
          <w:rFonts w:ascii="Arial" w:hAnsi="Arial" w:cs="Arial"/>
        </w:rPr>
        <w:t xml:space="preserve">e addition of 0.3% tryptophan in fish feed is very important because it is related to fish appetite, protein synthesis, and increased fish growth as </w:t>
      </w:r>
      <w:r w:rsidR="00377210" w:rsidRPr="00377210">
        <w:rPr>
          <w:rFonts w:ascii="Arial" w:hAnsi="Arial" w:cs="Arial"/>
        </w:rPr>
        <w:t xml:space="preserve">shown in Table 1 and </w:t>
      </w:r>
      <w:r w:rsidRPr="00377210">
        <w:rPr>
          <w:rFonts w:ascii="Arial" w:hAnsi="Arial" w:cs="Arial"/>
        </w:rPr>
        <w:t xml:space="preserve">Figure </w:t>
      </w:r>
      <w:r w:rsidR="00377210" w:rsidRPr="00377210">
        <w:rPr>
          <w:rFonts w:ascii="Arial" w:hAnsi="Arial" w:cs="Arial"/>
        </w:rPr>
        <w:t xml:space="preserve">1. </w:t>
      </w:r>
    </w:p>
    <w:p w14:paraId="50A78CCD" w14:textId="77777777" w:rsidR="001669DC" w:rsidRDefault="000B08FE" w:rsidP="000B08FE">
      <w:pPr>
        <w:pStyle w:val="Body"/>
        <w:rPr>
          <w:rFonts w:ascii="Arial" w:hAnsi="Arial" w:cs="Arial"/>
        </w:rPr>
      </w:pPr>
      <w:proofErr w:type="spellStart"/>
      <w:r w:rsidRPr="000B08FE">
        <w:rPr>
          <w:rFonts w:ascii="Arial" w:hAnsi="Arial" w:cs="Arial"/>
        </w:rPr>
        <w:t>Menurut</w:t>
      </w:r>
      <w:proofErr w:type="spellEnd"/>
      <w:r w:rsidRPr="000B08FE">
        <w:rPr>
          <w:rFonts w:ascii="Arial" w:hAnsi="Arial" w:cs="Arial"/>
        </w:rPr>
        <w:t xml:space="preserve"> </w:t>
      </w:r>
      <w:r w:rsidRPr="000B08FE">
        <w:rPr>
          <w:rFonts w:ascii="Arial" w:hAnsi="Arial" w:cs="Arial"/>
        </w:rPr>
        <w:fldChar w:fldCharType="begin" w:fldLock="1"/>
      </w:r>
      <w:r w:rsidRPr="000B08FE">
        <w:rPr>
          <w:rFonts w:ascii="Arial" w:hAnsi="Arial" w:cs="Arial"/>
        </w:rPr>
        <w:instrText>ADDIN CSL_CITATION {"citationItems":[{"id":"ITEM-1","itemData":{"DOI":"10.5376/ija.2014.04.0008","abstract":"An 8-week feed trial was conducted in glass tanks (60×30×30cm) to assess the performance of fingerlings Nile Tilapia (Oreochromis niloticus) fed diets containing soybean meals processed by toasting and incubation methods. Six diets were formulated at 30% crude protein content with 0 (control), 2,000 units, 4,000 units, 6,000 units, 8,000 units and 10,000 units phytase/kg diet making diet/treatments. Each treatment was replicated twice, each replicate contained 15 fish (6.23 ± 0.1g). Fish were fed twice daily at 5% of their body weight. Mean Weight Gain (MWG), Specific Growth Rate (SGR), Feed Conversion Ratio (FCR) and Protein Efficiency Ratio (PER) were measured. Temperature, Dissolved oxygen and pH were determined using standard methods. Data were analyzed using descriptive statistics and ANOVA at p= 0.05. Results showed that fish fed diet 5 (8,000 units phytase/kg diet) had the best growth and nutrient utilization indices while fish fed the control diet (0 unit phytase/kg diet) had the poorest. The SGR, FCR and PER of the group of fish fed diets with 0, 2,000, 4,000, 6,000 and 10,000 units phytase/kg diet were not significantly difference (p &gt; 0.05), while the SGR, FCR and PER of fishes fed diet with 8,000 units phytase/kg diet were significantly (p &lt; 0.05) better than those of the fishes fed other diets. The values of temperature, dissolved oxygen and pH were closely related and were within the range for fish culture in the tropics. The results suggest that phytase inclusion in the diet of O. niloticus could be a potential and promising dietary supplementation that would positively influence growth and water quality of O. niloticus in aquaculture.","author":[{"dropping-particle":"","family":"Olusola","given":"S. E.","non-dropping-particle":"","parse-names":false,"suffix":""},{"dropping-particle":"","family":"Nwanna","given":"L.C.","non-dropping-particle":"","parse-names":false,"suffix":""}],"container-title":"International Journal of Aquaculture","id":"ITEM-1","issued":{"date-parts":[["2014"]]},"title":"Growth Performance of Nile Tilapia (&lt;i&gt;Oreochromis niloticus&lt;/i&gt;) Fed Processed Soybean Meal Based Diets Supplemented With Phytase","type":"article-journal"},"uris":["http://www.mendeley.com/documents/?uuid=bfbf1bcc-d2e0-4e59-9fe2-e12adc57e520"]}],"mendeley":{"formattedCitation":"(Olusola &amp; Nwanna, 2014)","manualFormatting":"Olusola dan Nwanna (2014)","plainTextFormattedCitation":"(Olusola &amp; Nwanna, 2014)","previouslyFormattedCitation":"(Olusola &amp; Nwanna, 2014)"},"properties":{"noteIndex":0},"schema":"https://github.com/citation-style-language/schema/raw/master/csl-citation.json"}</w:instrText>
      </w:r>
      <w:r w:rsidRPr="000B08FE">
        <w:rPr>
          <w:rFonts w:ascii="Arial" w:hAnsi="Arial" w:cs="Arial"/>
        </w:rPr>
        <w:fldChar w:fldCharType="separate"/>
      </w:r>
      <w:r w:rsidRPr="000B08FE">
        <w:rPr>
          <w:rFonts w:ascii="Arial" w:hAnsi="Arial" w:cs="Arial"/>
          <w:noProof/>
        </w:rPr>
        <w:t>Olusola dan Nwanna (2014)</w:t>
      </w:r>
      <w:r w:rsidRPr="000B08FE">
        <w:rPr>
          <w:rFonts w:ascii="Arial" w:hAnsi="Arial" w:cs="Arial"/>
        </w:rPr>
        <w:fldChar w:fldCharType="end"/>
      </w:r>
      <w:r w:rsidRPr="000B08FE">
        <w:rPr>
          <w:rFonts w:ascii="Arial" w:hAnsi="Arial" w:cs="Arial"/>
        </w:rPr>
        <w:t xml:space="preserve"> </w:t>
      </w:r>
      <w:r w:rsidR="00CE4760" w:rsidRPr="00CE4760">
        <w:rPr>
          <w:rFonts w:ascii="Arial" w:hAnsi="Arial" w:cs="Arial"/>
        </w:rPr>
        <w:t>stated that the protein efficiency ratio is related to the growth rate of fish, where the higher the value of fish body weight growth indicates that the protein content and intake in the feed given meets the fish's needs for growth.</w:t>
      </w:r>
      <w:r w:rsidRPr="000B08FE">
        <w:rPr>
          <w:rFonts w:ascii="Arial" w:hAnsi="Arial" w:cs="Arial"/>
        </w:rPr>
        <w:t xml:space="preserve"> </w:t>
      </w:r>
      <w:r w:rsidRPr="000B08FE">
        <w:rPr>
          <w:rFonts w:ascii="Arial" w:hAnsi="Arial" w:cs="Arial"/>
        </w:rPr>
        <w:fldChar w:fldCharType="begin" w:fldLock="1"/>
      </w:r>
      <w:r w:rsidR="006F461E">
        <w:rPr>
          <w:rFonts w:ascii="Arial" w:hAnsi="Arial" w:cs="Arial"/>
        </w:rPr>
        <w:instrText>ADDIN CSL_CITATION {"citationItems":[{"id":"ITEM-1","itemData":{"DOI":"10.1016/J.FSI.2019.08.006","ISSN":"1050-4648","PMID":"31381972","abstract":"Dietary administration of tryptophan has been proved improving growth performance of fish. An 8-week feeding trial was conducted to investigate the effects of dietary tryptophan level on antioxidant capacity and immune response through Nrf2 and TOR signaling pathway. The results showed that, 0.08% tryptophan level significantly increased plasma aspartate aminotransferase (AST), while immunoglobulin M (IgM) and alkaline phosphatase (ALP) were strikingly increased by 0.40% level. The level of plasma complement component 3 (C3), alanine aminotransferase (ALT) and albumin (ALB) were independent of tryptophan supplementation. Total superoxide dismutase (T-SOD), catalase (CAT), total antioxidant capacity (T-AOC) and glutathione (GSH) activity were increased with increasing dietary tryptophan level until 0.40% and then decreased, while the level of malondialdehyde (MDA) showed a reverse trend. 0.19% and 0.28% tryptophan level significantly improved the glutathione peroxidase 1 (GPx-1) activity. Compared with 0.08% dietary tryptophan level, 0.40% level significantly improved nuclear factor erythroid 2-related factor 2 (Nrf2), GPx, manganese superoxide dismutase (Mn-SOD), CAT and transforming growth factor-β (TGF-β) mRNA level, while Kelch-like ECH-associated protein 1 (Keap1) and interleukin 1β (IL-1β) mRNA level were significantly decreased. The relative expression of copper zinc superoxide dismutase (Cu/Zn-SOD), heme oxygenase-1 (HO-1), target of rapamycin (TOR), phosphatidylinositol-4,5-bisphosphate 3-kinase (PI3K), protein kinase B (Akt) and interleukin 10 (IL-10) were significantly improved by 0.28% diet, while the mRNA level of tumor necrosis factor-α (TNF-α) and nuclear factor-kappa B (NF-κB) were increased by 0.08% diet. Interleukin 8 (IL-8) mRNA level was not significantly affected by dietary tryptophan. Based on MDA and T-SOD value, the optimal dietary tryptophan level of juvenile blunt snout bream was determined to be 0.33% (1.03% of dietary protein) and 0.36% (1.13% of dietary protein), respectively, using quadratic regression analysis.","author":[{"dropping-particle":"","family":"Ji","given":"Ke","non-dropping-particle":"","parse-names":false,"suffix":""},{"dropping-particle":"","family":"Liang","given":"Hualiang","non-dropping-particle":"","parse-names":false,"suffix":""},{"dropping-particle":"","family":"Ren","given":"Mingchun","non-dropping-particle":"","parse-names":false,"suffix":""},{"dropping-particle":"","family":"Ge","given":"Xianping","non-dropping-particle":"","parse-names":false,"suffix":""},{"dropping-particle":"","family":"Liu","given":"Bo","non-dropping-particle":"","parse-names":false,"suffix":""},{"dropping-particle":"","family":"Xi","given":"Bingwen","non-dropping-particle":"","parse-names":false,"suffix":""},{"dropping-particle":"","family":"Pan","given":"Liangkun","non-dropping-particle":"","parse-names":false,"suffix":""},{"dropping-particle":"","family":"Yu","given":"Heng","non-dropping-particle":"","parse-names":false,"suffix":""}],"container-title":"Fish &amp; Shellfish Immunology","id":"ITEM-1","issued":{"date-parts":[["2019","10"]]},"page":"474-483","publisher":"Academic Press","title":"Effects of dietary tryptophan levels on antioxidant status and immunity for juvenile blunt snout bream (Megalobrama amblycephala) involved in Nrf2 and TOR signaling pathway","type":"article-journal","volume":"93"},"uris":["http://www.mendeley.com/documents/?uuid=fdf181d1-3d6d-4fd3-9127-82d7437fb97f"]}],"mendeley":{"formattedCitation":"(Ji et al., 2019)","manualFormatting":"Ji et al., (2019)","plainTextFormattedCitation":"(Ji et al., 2019)","previouslyFormattedCitation":"(Ji et al., 2019)"},"properties":{"noteIndex":0},"schema":"https://github.com/citation-style-language/schema/raw/master/csl-citation.json"}</w:instrText>
      </w:r>
      <w:r w:rsidRPr="000B08FE">
        <w:rPr>
          <w:rFonts w:ascii="Arial" w:hAnsi="Arial" w:cs="Arial"/>
        </w:rPr>
        <w:fldChar w:fldCharType="separate"/>
      </w:r>
      <w:r w:rsidRPr="000B08FE">
        <w:rPr>
          <w:rFonts w:ascii="Arial" w:hAnsi="Arial" w:cs="Arial"/>
          <w:noProof/>
        </w:rPr>
        <w:t xml:space="preserve">Ji </w:t>
      </w:r>
      <w:r w:rsidRPr="00BA0FB2">
        <w:rPr>
          <w:rFonts w:ascii="Arial" w:hAnsi="Arial" w:cs="Arial"/>
          <w:noProof/>
        </w:rPr>
        <w:t>et al.</w:t>
      </w:r>
      <w:r w:rsidR="00BA0FB2">
        <w:rPr>
          <w:rFonts w:ascii="Arial" w:hAnsi="Arial" w:cs="Arial"/>
          <w:noProof/>
        </w:rPr>
        <w:t>,</w:t>
      </w:r>
      <w:r w:rsidRPr="00BA0FB2">
        <w:rPr>
          <w:rFonts w:ascii="Arial" w:hAnsi="Arial" w:cs="Arial"/>
          <w:noProof/>
        </w:rPr>
        <w:t xml:space="preserve"> </w:t>
      </w:r>
      <w:r w:rsidRPr="000B08FE">
        <w:rPr>
          <w:rFonts w:ascii="Arial" w:hAnsi="Arial" w:cs="Arial"/>
          <w:noProof/>
        </w:rPr>
        <w:t>(2019)</w:t>
      </w:r>
      <w:r w:rsidRPr="000B08FE">
        <w:rPr>
          <w:rFonts w:ascii="Arial" w:hAnsi="Arial" w:cs="Arial"/>
        </w:rPr>
        <w:fldChar w:fldCharType="end"/>
      </w:r>
      <w:r w:rsidR="00CE4760">
        <w:rPr>
          <w:rFonts w:ascii="Arial" w:hAnsi="Arial" w:cs="Arial"/>
        </w:rPr>
        <w:t xml:space="preserve"> </w:t>
      </w:r>
      <w:r w:rsidR="00CE4760" w:rsidRPr="00CE4760">
        <w:rPr>
          <w:rFonts w:ascii="Arial" w:hAnsi="Arial" w:cs="Arial"/>
        </w:rPr>
        <w:t>also added that tryptophan helps increase protein synthesis, enabling fish to utilize their feed effectively for growth. A higher protein efficiency ratio indicates that the feed can be utilized efficiently and optimally for growth</w:t>
      </w:r>
      <w:r w:rsidR="00CE4760">
        <w:rPr>
          <w:rFonts w:ascii="Arial" w:hAnsi="Arial" w:cs="Arial"/>
        </w:rPr>
        <w:t xml:space="preserve"> </w:t>
      </w:r>
      <w:r w:rsidRPr="000B08FE">
        <w:rPr>
          <w:rFonts w:ascii="Arial" w:hAnsi="Arial" w:cs="Arial"/>
        </w:rPr>
        <w:fldChar w:fldCharType="begin" w:fldLock="1"/>
      </w:r>
      <w:r w:rsidR="006F461E">
        <w:rPr>
          <w:rFonts w:ascii="Arial" w:hAnsi="Arial" w:cs="Arial"/>
        </w:rPr>
        <w:instrText>ADDIN CSL_CITATION {"citationItems":[{"id":"ITEM-1","itemData":{"ISSN":"2301-640X","author":[{"dropping-particle":"","family":"Pinandoyo","given":"Pinandoyo","non-dropping-particle":"","parse-names":false,"suffix":""},{"dropping-particle":"","family":"Syakirin","given":"Muhammad Bahrus","non-dropping-particle":"","parse-names":false,"suffix":""},{"dropping-particle":"","family":"Mardiana","given":"Tri Yusufi","non-dropping-particle":"","parse-names":false,"suffix":""}],"container-title":"Pena Akuatika: Jurnal Ilmiah Perikanan dan Kelautan","id":"ITEM-1","issue":"1","issued":{"date-parts":[["2021"]]},"title":"Pemanfaatan Ikan Rucah Dan Fermentasi Kotoran Ayam Dalam Pakan Lele Terhadap Pertumbuhan Dan Kelulus Hidupan Lele Sangkuriang (Clarias sp.)","type":"article-journal","volume":"20"},"uris":["http://www.mendeley.com/documents/?uuid=addd5acd-f964-4537-bd18-19c5fce1960b"]}],"mendeley":{"formattedCitation":"(Pinandoyo et al., 2021)","manualFormatting":"(Pinandoyo et al., 2021)","plainTextFormattedCitation":"(Pinandoyo et al., 2021)","previouslyFormattedCitation":"(Pinandoyo et al., 2021)"},"properties":{"noteIndex":0},"schema":"https://github.com/citation-style-language/schema/raw/master/csl-citation.json"}</w:instrText>
      </w:r>
      <w:r w:rsidRPr="000B08FE">
        <w:rPr>
          <w:rFonts w:ascii="Arial" w:hAnsi="Arial" w:cs="Arial"/>
        </w:rPr>
        <w:fldChar w:fldCharType="separate"/>
      </w:r>
      <w:r w:rsidRPr="000B08FE">
        <w:rPr>
          <w:rFonts w:ascii="Arial" w:hAnsi="Arial" w:cs="Arial"/>
          <w:noProof/>
        </w:rPr>
        <w:t xml:space="preserve">(Pinandoyo </w:t>
      </w:r>
      <w:r w:rsidRPr="00BA0FB2">
        <w:rPr>
          <w:rFonts w:ascii="Arial" w:hAnsi="Arial" w:cs="Arial"/>
          <w:noProof/>
        </w:rPr>
        <w:t>et al.</w:t>
      </w:r>
      <w:r w:rsidR="00BA0FB2">
        <w:rPr>
          <w:rFonts w:ascii="Arial" w:hAnsi="Arial" w:cs="Arial"/>
          <w:noProof/>
        </w:rPr>
        <w:t>,</w:t>
      </w:r>
      <w:r w:rsidRPr="000B08FE">
        <w:rPr>
          <w:rFonts w:ascii="Arial" w:hAnsi="Arial" w:cs="Arial"/>
          <w:noProof/>
        </w:rPr>
        <w:t xml:space="preserve"> 2021)</w:t>
      </w:r>
      <w:r w:rsidRPr="000B08FE">
        <w:rPr>
          <w:rFonts w:ascii="Arial" w:hAnsi="Arial" w:cs="Arial"/>
        </w:rPr>
        <w:fldChar w:fldCharType="end"/>
      </w:r>
      <w:r w:rsidRPr="000B08FE">
        <w:rPr>
          <w:rFonts w:ascii="Arial" w:hAnsi="Arial" w:cs="Arial"/>
        </w:rPr>
        <w:t xml:space="preserve">. </w:t>
      </w:r>
    </w:p>
    <w:p w14:paraId="46D16DC9" w14:textId="77777777" w:rsidR="00B642D1" w:rsidRPr="003B5B12" w:rsidRDefault="001640F2" w:rsidP="003B5B12">
      <w:pPr>
        <w:pStyle w:val="Head2"/>
        <w:spacing w:after="0"/>
        <w:rPr>
          <w:rFonts w:ascii="Arial" w:hAnsi="Arial" w:cs="Arial"/>
          <w:b/>
          <w:bCs/>
          <w:caps w:val="0"/>
          <w:sz w:val="22"/>
          <w:szCs w:val="22"/>
        </w:rPr>
      </w:pPr>
      <w:r w:rsidRPr="003B5B12">
        <w:rPr>
          <w:rFonts w:ascii="Arial" w:hAnsi="Arial" w:cs="Arial"/>
          <w:b/>
          <w:bCs/>
          <w:caps w:val="0"/>
          <w:sz w:val="22"/>
          <w:szCs w:val="22"/>
        </w:rPr>
        <w:lastRenderedPageBreak/>
        <w:t xml:space="preserve">3.5 </w:t>
      </w:r>
      <w:r w:rsidR="007D7A73" w:rsidRPr="003B5B12">
        <w:rPr>
          <w:rFonts w:ascii="Arial" w:hAnsi="Arial" w:cs="Arial"/>
          <w:b/>
          <w:bCs/>
          <w:caps w:val="0"/>
          <w:sz w:val="22"/>
          <w:szCs w:val="22"/>
        </w:rPr>
        <w:t>Protein</w:t>
      </w:r>
      <w:r w:rsidRPr="003B5B12">
        <w:rPr>
          <w:rFonts w:ascii="Arial" w:hAnsi="Arial" w:cs="Arial"/>
          <w:b/>
          <w:bCs/>
          <w:caps w:val="0"/>
          <w:sz w:val="22"/>
          <w:szCs w:val="22"/>
        </w:rPr>
        <w:t xml:space="preserve"> Retention </w:t>
      </w:r>
    </w:p>
    <w:p w14:paraId="6B6DA5A3" w14:textId="77777777" w:rsidR="003D3106" w:rsidRPr="00520A4B" w:rsidRDefault="00CE4760" w:rsidP="00CE4760">
      <w:pPr>
        <w:pStyle w:val="Body"/>
        <w:spacing w:after="0"/>
      </w:pPr>
      <w:r w:rsidRPr="00CE4760">
        <w:rPr>
          <w:rFonts w:ascii="Arial" w:hAnsi="Arial" w:cs="Arial"/>
        </w:rPr>
        <w:t>Protein retention is a description of the amount of protein given, which can be absorbed and used to build or repair damaged body cells and is used by the f</w:t>
      </w:r>
      <w:r>
        <w:rPr>
          <w:rFonts w:ascii="Arial" w:hAnsi="Arial" w:cs="Arial"/>
        </w:rPr>
        <w:t xml:space="preserve">ish's body for daily metabolism </w:t>
      </w:r>
      <w:r w:rsidRPr="00CE4760">
        <w:rPr>
          <w:rFonts w:ascii="Arial" w:hAnsi="Arial" w:cs="Arial"/>
        </w:rPr>
        <w:t xml:space="preserve"> </w:t>
      </w:r>
      <w:r w:rsidR="00431A2F">
        <w:rPr>
          <w:rFonts w:ascii="Arial" w:hAnsi="Arial" w:cs="Arial"/>
        </w:rPr>
        <w:fldChar w:fldCharType="begin" w:fldLock="1"/>
      </w:r>
      <w:r w:rsidR="006F461E">
        <w:rPr>
          <w:rFonts w:ascii="Arial" w:hAnsi="Arial" w:cs="Arial"/>
        </w:rPr>
        <w:instrText>ADDIN CSL_CITATION {"citationItems":[{"id":"ITEM-1","itemData":{"author":[{"dropping-particle":"","family":"Dani","given":"Ning Praban","non-dropping-particle":"","parse-names":false,"suffix":""},{"dropping-particle":"","family":"Budiharjo","given":"Agung","non-dropping-particle":"","parse-names":false,"suffix":""},{"dropping-particle":"","family":"Listyawati","given":"Shanti","non-dropping-particle":"","parse-names":false,"suffix":""}],"container-title":"Biosmart","id":"ITEM-1","issue":"2","issued":{"date-parts":[["2005"]]},"page":"83-90","title":"Komposisi pakan buatan untuk meningkatkan pertumbuhan dan kandungan protein ikan tawes (Puntius javanicus Blkr.)","type":"article-journal","volume":"7"},"uris":["http://www.mendeley.com/documents/?uuid=3387f3b4-24cc-4c21-9669-41d4bcfc7e40"]}],"mendeley":{"formattedCitation":"(Dani et al., 2005)","manualFormatting":"(Dani et al., 2005)","plainTextFormattedCitation":"(Dani et al., 2005)","previouslyFormattedCitation":"(Dani et al., 2005)"},"properties":{"noteIndex":0},"schema":"https://github.com/citation-style-language/schema/raw/master/csl-citation.json"}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noProof/>
        </w:rPr>
        <w:t xml:space="preserve">(Dani </w:t>
      </w:r>
      <w:r w:rsidR="00431A2F" w:rsidRPr="00BA0FB2">
        <w:rPr>
          <w:rFonts w:ascii="Arial" w:hAnsi="Arial" w:cs="Arial"/>
          <w:noProof/>
        </w:rPr>
        <w:t>et al</w:t>
      </w:r>
      <w:r w:rsidR="002208E1" w:rsidRPr="00BA0FB2">
        <w:rPr>
          <w:rFonts w:ascii="Arial" w:hAnsi="Arial" w:cs="Arial"/>
          <w:noProof/>
        </w:rPr>
        <w:t>.</w:t>
      </w:r>
      <w:r w:rsidR="00BA0FB2">
        <w:rPr>
          <w:rFonts w:ascii="Arial" w:hAnsi="Arial" w:cs="Arial"/>
          <w:noProof/>
        </w:rPr>
        <w:t>,</w:t>
      </w:r>
      <w:r w:rsidR="00431A2F" w:rsidRPr="00431A2F">
        <w:rPr>
          <w:rFonts w:ascii="Arial" w:hAnsi="Arial" w:cs="Arial"/>
          <w:noProof/>
        </w:rPr>
        <w:t xml:space="preserve"> 2005)</w:t>
      </w:r>
      <w:r w:rsidR="00431A2F">
        <w:rPr>
          <w:rFonts w:ascii="Arial" w:hAnsi="Arial" w:cs="Arial"/>
        </w:rPr>
        <w:fldChar w:fldCharType="end"/>
      </w:r>
      <w:r w:rsidR="00431A2F">
        <w:rPr>
          <w:rFonts w:ascii="Arial" w:hAnsi="Arial" w:cs="Arial"/>
        </w:rPr>
        <w:t xml:space="preserve">. </w:t>
      </w:r>
      <w:r w:rsidRPr="00CE4760">
        <w:rPr>
          <w:rFonts w:ascii="Arial" w:hAnsi="Arial" w:cs="Arial"/>
        </w:rPr>
        <w:t>Protein retention was calculated by analyzing the protein levels of the fish at the beginning and end of the study and then dividing by the amount of protein consumed during maintenance.</w:t>
      </w:r>
    </w:p>
    <w:p w14:paraId="68785473" w14:textId="77777777" w:rsidR="003D3106" w:rsidRDefault="001640F2" w:rsidP="008D172C">
      <w:pPr>
        <w:pStyle w:val="Body"/>
        <w:spacing w:after="0"/>
        <w:jc w:val="center"/>
        <w:rPr>
          <w:rFonts w:ascii="Arial" w:hAnsi="Arial" w:cs="Arial"/>
        </w:rPr>
      </w:pPr>
      <w:r>
        <w:rPr>
          <w:rFonts w:ascii="Arial" w:hAnsi="Arial" w:cs="Arial"/>
          <w:noProof/>
        </w:rPr>
        <w:drawing>
          <wp:inline distT="0" distB="0" distL="0" distR="0" wp14:anchorId="6FA4E81A" wp14:editId="24692E19">
            <wp:extent cx="3030300"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 JURNAL.JPG"/>
                    <pic:cNvPicPr/>
                  </pic:nvPicPr>
                  <pic:blipFill rotWithShape="1">
                    <a:blip r:embed="rId17" cstate="print">
                      <a:extLst>
                        <a:ext uri="{28A0092B-C50C-407E-A947-70E740481C1C}">
                          <a14:useLocalDpi xmlns:a14="http://schemas.microsoft.com/office/drawing/2010/main" val="0"/>
                        </a:ext>
                      </a:extLst>
                    </a:blip>
                    <a:srcRect l="13450" t="25505" r="16228" b="29352"/>
                    <a:stretch/>
                  </pic:blipFill>
                  <pic:spPr bwMode="auto">
                    <a:xfrm>
                      <a:off x="0" y="0"/>
                      <a:ext cx="3030300" cy="2520000"/>
                    </a:xfrm>
                    <a:prstGeom prst="rect">
                      <a:avLst/>
                    </a:prstGeom>
                    <a:ln>
                      <a:noFill/>
                    </a:ln>
                    <a:extLst>
                      <a:ext uri="{53640926-AAD7-44D8-BBD7-CCE9431645EC}">
                        <a14:shadowObscured xmlns:a14="http://schemas.microsoft.com/office/drawing/2010/main"/>
                      </a:ext>
                    </a:extLst>
                  </pic:spPr>
                </pic:pic>
              </a:graphicData>
            </a:graphic>
          </wp:inline>
        </w:drawing>
      </w:r>
    </w:p>
    <w:p w14:paraId="6B4CB1E4" w14:textId="77777777" w:rsidR="004B203F" w:rsidRPr="004B203F" w:rsidRDefault="004B203F" w:rsidP="004B203F">
      <w:pPr>
        <w:pStyle w:val="Caption"/>
        <w:jc w:val="center"/>
        <w:rPr>
          <w:rFonts w:ascii="Arial" w:hAnsi="Arial" w:cs="Arial"/>
          <w:b/>
          <w:i w:val="0"/>
          <w:color w:val="auto"/>
          <w:sz w:val="20"/>
          <w:szCs w:val="20"/>
        </w:rPr>
      </w:pPr>
      <w:r w:rsidRPr="004B203F">
        <w:rPr>
          <w:rFonts w:ascii="Arial" w:hAnsi="Arial" w:cs="Arial"/>
          <w:b/>
          <w:i w:val="0"/>
          <w:color w:val="auto"/>
          <w:sz w:val="20"/>
          <w:szCs w:val="20"/>
        </w:rPr>
        <w:t xml:space="preserve">Figure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Figure \* ARABIC </w:instrText>
      </w:r>
      <w:r w:rsidRPr="004B203F">
        <w:rPr>
          <w:rFonts w:ascii="Arial" w:hAnsi="Arial" w:cs="Arial"/>
          <w:b/>
          <w:i w:val="0"/>
          <w:color w:val="auto"/>
          <w:sz w:val="20"/>
          <w:szCs w:val="20"/>
        </w:rPr>
        <w:fldChar w:fldCharType="separate"/>
      </w:r>
      <w:r w:rsidR="00FB1D5C">
        <w:rPr>
          <w:rFonts w:ascii="Arial" w:hAnsi="Arial" w:cs="Arial"/>
          <w:b/>
          <w:i w:val="0"/>
          <w:noProof/>
          <w:color w:val="auto"/>
          <w:sz w:val="20"/>
          <w:szCs w:val="20"/>
        </w:rPr>
        <w:t>4</w:t>
      </w:r>
      <w:r w:rsidRPr="004B203F">
        <w:rPr>
          <w:rFonts w:ascii="Arial" w:hAnsi="Arial" w:cs="Arial"/>
          <w:b/>
          <w:i w:val="0"/>
          <w:color w:val="auto"/>
          <w:sz w:val="20"/>
          <w:szCs w:val="20"/>
        </w:rPr>
        <w:fldChar w:fldCharType="end"/>
      </w:r>
      <w:r w:rsidR="00422382">
        <w:rPr>
          <w:rFonts w:ascii="Arial" w:hAnsi="Arial" w:cs="Arial"/>
          <w:b/>
          <w:i w:val="0"/>
          <w:color w:val="auto"/>
          <w:sz w:val="20"/>
          <w:szCs w:val="20"/>
        </w:rPr>
        <w:t xml:space="preserve"> Protein r</w:t>
      </w:r>
      <w:r w:rsidRPr="004B203F">
        <w:rPr>
          <w:rFonts w:ascii="Arial" w:hAnsi="Arial" w:cs="Arial"/>
          <w:b/>
          <w:i w:val="0"/>
          <w:color w:val="auto"/>
          <w:sz w:val="20"/>
          <w:szCs w:val="20"/>
        </w:rPr>
        <w:t xml:space="preserve">etention </w:t>
      </w:r>
      <w:r w:rsidR="001640F2">
        <w:rPr>
          <w:rFonts w:ascii="Arial" w:hAnsi="Arial" w:cs="Arial"/>
          <w:b/>
          <w:i w:val="0"/>
          <w:color w:val="auto"/>
          <w:sz w:val="20"/>
          <w:szCs w:val="20"/>
        </w:rPr>
        <w:t xml:space="preserve">value of Mutiara catfish with the addition of different doses of tryptophan </w:t>
      </w:r>
    </w:p>
    <w:p w14:paraId="78516A2A" w14:textId="77777777" w:rsidR="008D172C" w:rsidRDefault="00CE4760" w:rsidP="008D172C">
      <w:pPr>
        <w:pStyle w:val="Body"/>
        <w:spacing w:after="0"/>
        <w:rPr>
          <w:rFonts w:ascii="Arial" w:hAnsi="Arial" w:cs="Arial"/>
        </w:rPr>
      </w:pPr>
      <w:r w:rsidRPr="00CE4760">
        <w:rPr>
          <w:rFonts w:ascii="Arial" w:hAnsi="Arial" w:cs="Arial"/>
        </w:rPr>
        <w:t>The results of the protein retention analysis also showed the same pattern as the protein efficiency ratio, where treatment C (0.3%) produced the highest protein retention value of 51.25% and was significantly different from treatments A, B, and D as shown in Figure 4. This indicates that treatment C with the addition of 0.3% tryptophan was able to utilize feed protein most efficiently to build body tissue. Protein retention was also in line with the results of the proximate analysis, where the protein in treatment C showed the highest results compared to other treatments.</w:t>
      </w:r>
      <w:r>
        <w:rPr>
          <w:rFonts w:ascii="Arial" w:hAnsi="Arial" w:cs="Arial"/>
        </w:rPr>
        <w:t xml:space="preserve"> </w:t>
      </w:r>
      <w:r w:rsidR="008D172C" w:rsidRPr="0011387A">
        <w:rPr>
          <w:rFonts w:ascii="Arial" w:hAnsi="Arial" w:cs="Arial"/>
        </w:rPr>
        <w:fldChar w:fldCharType="begin" w:fldLock="1"/>
      </w:r>
      <w:r w:rsidR="008D172C" w:rsidRPr="0011387A">
        <w:rPr>
          <w:rFonts w:ascii="Arial" w:hAnsi="Arial" w:cs="Arial"/>
        </w:rPr>
        <w:instrText>ADDIN CSL_CITATION {"citationItems":[{"id":"ITEM-1","itemData":{"DOI":"10.1007/s10695-012-9609-1","ISSN":"1573-5168","abstract":"An 8-week feeding trial was conducted to determine the dietary tryptophan requirement of fingerling Indian catfish, Heteropneustes fossilis (6.10 ± 1.15 cm, 4.44 ± 0.50 g). Six isonitrogenous (40 g 100 g−1) and isoenergetic (17.90 kJ g−1) amino acid test diets were formulated with gradation of 0.1 g 100 g−1 containing graded levels of l-tryptophan (0.04–0.54 g 100 g−1, dry diet). Fish were stocked in triplicate groups, in 75-L circular trough with flow-through system and fed experimental diets at 4% BW/day twice daily. Maximum live weight gain (258%), best feed conversion ratio (FCR) (1.54) and protein efficiency ratio (PER) (1.62) were obtained in fish fed diet containing 0.34 g 100 g−1 tryptophan. However, quadratic regression analysis of weight gain, FCR, PER and body protein deposition (BPD) data indicated requirements for dietary tryptophan at 0.37, 0.33, 0.32 and 0.33 g 100 g−1 of dry diet, respectively. Significantly (P &lt; 0.05) higher body protein, minimum moisture and intermediate fat contents were recorded at 0.34 g 100 g−1 dietary tryptophan diet. Ash content was not significantly different (P &gt; 0.05) among treatments except for diets 0.04 and 0.14 g 100 g−1. Excellent somatic and haematological indices values were obtained at the requirement level. Based on above results, it is recommended that the diet for H. fossilis should contain tryptophan at 0.32 g 100 g−1, dry diet, corresponding to 0.80 g 100 g−1 dietary protein for optimum growth and efficient feed utilization.","author":[{"dropping-particle":"","family":"Ahmed","given":"Imtiaz","non-dropping-particle":"","parse-names":false,"suffix":""}],"container-title":"Fish Physiology and Biochemistry","id":"ITEM-1","issue":"4","issued":{"date-parts":[["2012"]]},"page":"1195-1209","title":"Dietary amino acid l-tryptophan requirement of fingerling Indian catfish, Heteropneustes fossilis (Bloch), estimated by growth and haemato-biochemical parameters","type":"article-journal","volume":"38"},"uris":["http://www.mendeley.com/documents/?uuid=6484241d-5069-48c7-8021-4915673841b6"]}],"mendeley":{"formattedCitation":"(Ahmed, 2012)","manualFormatting":"Ahmed (2012)","plainTextFormattedCitation":"(Ahmed, 2012)","previouslyFormattedCitation":"(Ahmed, 2012)"},"properties":{"noteIndex":0},"schema":"https://github.com/citation-style-language/schema/raw/master/csl-citation.json"}</w:instrText>
      </w:r>
      <w:r w:rsidR="008D172C" w:rsidRPr="0011387A">
        <w:rPr>
          <w:rFonts w:ascii="Arial" w:hAnsi="Arial" w:cs="Arial"/>
        </w:rPr>
        <w:fldChar w:fldCharType="separate"/>
      </w:r>
      <w:r w:rsidR="008D172C" w:rsidRPr="0011387A">
        <w:rPr>
          <w:rFonts w:ascii="Arial" w:hAnsi="Arial" w:cs="Arial"/>
          <w:noProof/>
        </w:rPr>
        <w:t>Ahmed (2012)</w:t>
      </w:r>
      <w:r w:rsidR="008D172C" w:rsidRPr="0011387A">
        <w:rPr>
          <w:rFonts w:ascii="Arial" w:hAnsi="Arial" w:cs="Arial"/>
        </w:rPr>
        <w:fldChar w:fldCharType="end"/>
      </w:r>
      <w:r w:rsidR="008D172C" w:rsidRPr="0011387A">
        <w:rPr>
          <w:rFonts w:ascii="Arial" w:hAnsi="Arial" w:cs="Arial"/>
        </w:rPr>
        <w:t xml:space="preserve"> </w:t>
      </w:r>
      <w:r w:rsidRPr="00CE4760">
        <w:rPr>
          <w:rFonts w:ascii="Arial" w:hAnsi="Arial" w:cs="Arial"/>
        </w:rPr>
        <w:t>states that tryptophan is an exogenous amino acid that promotes the conversion of other amino acids, increasing the rate of protein utilization and accelerating protein synthesis. Therefore, when tryptophan levels in the feed are adequate, the total protein content in the body also increases significantly. The high protein retention value in treatment C also indicates that the fish are significantly decomposing non-protein energy sources (fat and carbohydrates).</w:t>
      </w:r>
    </w:p>
    <w:p w14:paraId="6662D4A7" w14:textId="77777777" w:rsidR="00CE4760" w:rsidRDefault="00CE4760" w:rsidP="00CE4760">
      <w:pPr>
        <w:pStyle w:val="Body"/>
        <w:rPr>
          <w:rFonts w:ascii="Arial" w:hAnsi="Arial" w:cs="Arial"/>
        </w:rPr>
      </w:pPr>
      <w:r w:rsidRPr="00CE4760">
        <w:rPr>
          <w:rFonts w:ascii="Arial" w:hAnsi="Arial" w:cs="Arial"/>
        </w:rPr>
        <w:t>The appropriate tryptophan content in treatment C also plays a crucial role because tryptophan is an amino acid that can stimulate growth hormone secretion by increasing protein synthesis through the breakdown of fat and carbohydrates. Fat in the form of triglycerides must first be hydrolyze</w:t>
      </w:r>
      <w:r>
        <w:rPr>
          <w:rFonts w:ascii="Arial" w:hAnsi="Arial" w:cs="Arial"/>
        </w:rPr>
        <w:t>d into fatty acids and glycerol</w:t>
      </w:r>
      <w:r w:rsidR="008D172C" w:rsidRPr="0011387A">
        <w:rPr>
          <w:rFonts w:ascii="Arial" w:hAnsi="Arial" w:cs="Arial"/>
        </w:rPr>
        <w:t xml:space="preserve">. </w:t>
      </w:r>
      <w:r w:rsidRPr="00CE4760">
        <w:rPr>
          <w:rFonts w:ascii="Arial" w:hAnsi="Arial" w:cs="Arial"/>
        </w:rPr>
        <w:t>Then glycerol can be used to produce a little energy which will later be converted into 3-phosphoglyceraldehyde, and this can be degraded into pyruvic acid which will later produce energy or amino acids which will become proteins in the Krebs cycle.</w:t>
      </w:r>
      <w:r w:rsidR="008D172C" w:rsidRPr="0011387A">
        <w:rPr>
          <w:rFonts w:ascii="Arial" w:hAnsi="Arial" w:cs="Arial"/>
        </w:rPr>
        <w:t xml:space="preserve"> </w:t>
      </w:r>
      <w:r w:rsidRPr="00CE4760">
        <w:rPr>
          <w:rFonts w:ascii="Arial" w:hAnsi="Arial" w:cs="Arial"/>
        </w:rPr>
        <w:t>Likewise, carbohydrates in the form of glycogen must first be hydrolyzed into glucose and go through a process like triglycerides which ultimately become amino acids or enter the Krebs cycle to become metabolic energy</w:t>
      </w:r>
      <w:r>
        <w:rPr>
          <w:rFonts w:ascii="Arial" w:hAnsi="Arial" w:cs="Arial"/>
        </w:rPr>
        <w:t xml:space="preserve"> </w:t>
      </w:r>
      <w:r w:rsidR="00FB1D5C">
        <w:rPr>
          <w:rFonts w:ascii="Arial" w:hAnsi="Arial" w:cs="Arial"/>
        </w:rPr>
        <w:fldChar w:fldCharType="begin" w:fldLock="1"/>
      </w:r>
      <w:r w:rsidR="00FB1D5C">
        <w:rPr>
          <w:rFonts w:ascii="Arial" w:hAnsi="Arial" w:cs="Arial"/>
        </w:rPr>
        <w:instrText>ADDIN CSL_CITATION {"citationItems":[{"id":"ITEM-1","itemData":{"DOI":"10.1016/j.eclnm.2011.01.005","ISSN":"17514991","abstract":"The energy used in post-prandial state during rest and physical activity is derived predominantly from the oxidation of carbohydrate (CHO) and fat. Although protein can also serve as a source of energy, amino acids oxidation is usually tightly adjusted to amino acids intake and their contribution to total energy expenditure is rather insignificant in healthy subjects. Blood glucose, glycogen, plasma fatty acids and intramuscular triglycerides, on the other hand, present major sources for energy production. The amount of energy stored in the form of fat is large, representing 92-98% of all endogenously stored energy with CHO contributing only about 2-8%. Fat is at the bottom of an oxidative hierarchy that determines fuel selection, and its oxidation is governed by the presence or absence of the other macronutrients. In addition, the rate at which it can be oxidized depends on intensity of energy expenditure. In contrast, CHO elicit strong auto-regulatory adjustments in their oxidation. This review aims at summarizing the current state of knowledge on CHO and fat body storage, hierarchy of fuel utilization during resting state, anaerobic and aerobic pathways for energy production during exercise, and the effects of exercise mode, intensity, duration, and training on CHO and fat utilization. © 2011 European Society for Clinical Nutrition and Metabolism.","author":[{"dropping-particle":"","family":"Melzer","given":"Katarina","non-dropping-particle":"","parse-names":false,"suffix":""}],"container-title":"e-SPEN","id":"ITEM-1","issue":"2","issued":{"date-parts":[["2011"]]},"page":"e45-e52","publisher":"Elsevier Ltd","title":"Carbohydrate and fat utilization during rest and physical activity","type":"article-journal","volume":"6"},"uris":["http://www.mendeley.com/documents/?uuid=ca20b7fd-82c1-4771-b69a-777e8073d3ce"]}],"mendeley":{"formattedCitation":"(Melzer, 2011)","plainTextFormattedCitation":"(Melzer, 2011)","previouslyFormattedCitation":"(Melzer, 2011)"},"properties":{"noteIndex":0},"schema":"https://github.com/citation-style-language/schema/raw/master/csl-citation.json"}</w:instrText>
      </w:r>
      <w:r w:rsidR="00FB1D5C">
        <w:rPr>
          <w:rFonts w:ascii="Arial" w:hAnsi="Arial" w:cs="Arial"/>
        </w:rPr>
        <w:fldChar w:fldCharType="separate"/>
      </w:r>
      <w:r w:rsidR="00FB1D5C" w:rsidRPr="00FB1D5C">
        <w:rPr>
          <w:rFonts w:ascii="Arial" w:hAnsi="Arial" w:cs="Arial"/>
          <w:noProof/>
        </w:rPr>
        <w:t>(Melzer, 2011)</w:t>
      </w:r>
      <w:r w:rsidR="00FB1D5C">
        <w:rPr>
          <w:rFonts w:ascii="Arial" w:hAnsi="Arial" w:cs="Arial"/>
        </w:rPr>
        <w:fldChar w:fldCharType="end"/>
      </w:r>
      <w:r w:rsidR="008D172C" w:rsidRPr="0011387A">
        <w:rPr>
          <w:rFonts w:ascii="Arial" w:hAnsi="Arial" w:cs="Arial"/>
        </w:rPr>
        <w:t xml:space="preserve">. </w:t>
      </w:r>
      <w:r w:rsidRPr="00CE4760">
        <w:rPr>
          <w:rFonts w:ascii="Arial" w:hAnsi="Arial" w:cs="Arial"/>
        </w:rPr>
        <w:t>These changes in fat and carbohydrates resulted in increased growth which can be proven through the absolute weight growth parameter (Figure 1) where treatment C produced the highest value compared to other treatments.</w:t>
      </w:r>
    </w:p>
    <w:p w14:paraId="7884ED32" w14:textId="77777777" w:rsidR="007D7A73" w:rsidRPr="003B5B12" w:rsidRDefault="00422382" w:rsidP="003B5B12">
      <w:pPr>
        <w:pStyle w:val="Head2"/>
        <w:spacing w:after="0"/>
        <w:rPr>
          <w:rFonts w:ascii="Arial" w:hAnsi="Arial" w:cs="Arial"/>
          <w:b/>
          <w:bCs/>
          <w:caps w:val="0"/>
          <w:sz w:val="22"/>
          <w:szCs w:val="22"/>
        </w:rPr>
      </w:pPr>
      <w:r>
        <w:rPr>
          <w:rFonts w:ascii="Arial" w:hAnsi="Arial" w:cs="Arial"/>
          <w:b/>
          <w:bCs/>
          <w:caps w:val="0"/>
          <w:sz w:val="22"/>
          <w:szCs w:val="22"/>
        </w:rPr>
        <w:lastRenderedPageBreak/>
        <w:t>3.6</w:t>
      </w:r>
      <w:r w:rsidR="007D7A73" w:rsidRPr="003B5B12">
        <w:rPr>
          <w:rFonts w:ascii="Arial" w:hAnsi="Arial" w:cs="Arial"/>
          <w:b/>
          <w:bCs/>
          <w:caps w:val="0"/>
          <w:sz w:val="22"/>
          <w:szCs w:val="22"/>
        </w:rPr>
        <w:t xml:space="preserve"> </w:t>
      </w:r>
      <w:r w:rsidR="001640F2" w:rsidRPr="003B5B12">
        <w:rPr>
          <w:rFonts w:ascii="Arial" w:hAnsi="Arial" w:cs="Arial"/>
          <w:b/>
          <w:bCs/>
          <w:caps w:val="0"/>
          <w:sz w:val="22"/>
          <w:szCs w:val="22"/>
        </w:rPr>
        <w:t xml:space="preserve">Water Quality </w:t>
      </w:r>
      <w:r w:rsidR="007D7A73" w:rsidRPr="003B5B12">
        <w:rPr>
          <w:rFonts w:ascii="Arial" w:hAnsi="Arial" w:cs="Arial"/>
          <w:b/>
          <w:bCs/>
          <w:caps w:val="0"/>
          <w:sz w:val="22"/>
          <w:szCs w:val="22"/>
        </w:rPr>
        <w:t xml:space="preserve"> </w:t>
      </w:r>
    </w:p>
    <w:p w14:paraId="1E8C91E6" w14:textId="77777777" w:rsidR="00DA55EA" w:rsidRDefault="0057404D" w:rsidP="007D7A73">
      <w:pPr>
        <w:pStyle w:val="Body"/>
        <w:spacing w:after="0"/>
        <w:rPr>
          <w:rFonts w:ascii="Arial" w:hAnsi="Arial" w:cs="Arial"/>
        </w:rPr>
      </w:pPr>
      <w:r w:rsidRPr="0057404D">
        <w:rPr>
          <w:rFonts w:ascii="Arial" w:hAnsi="Arial" w:cs="Arial"/>
        </w:rPr>
        <w:t>Good water quality is water that can be tolerated by fish in their breeding tanks. Based on measurements during the study, the temperature, pH, and DO value</w:t>
      </w:r>
      <w:r w:rsidR="001947D6">
        <w:rPr>
          <w:rFonts w:ascii="Arial" w:hAnsi="Arial" w:cs="Arial"/>
        </w:rPr>
        <w:t>s ​​are shown in the table 2</w:t>
      </w:r>
      <w:r w:rsidRPr="0057404D">
        <w:rPr>
          <w:rFonts w:ascii="Arial" w:hAnsi="Arial" w:cs="Arial"/>
        </w:rPr>
        <w:t>.</w:t>
      </w:r>
      <w:r w:rsidR="001947D6">
        <w:rPr>
          <w:rFonts w:ascii="Arial" w:hAnsi="Arial" w:cs="Arial"/>
        </w:rPr>
        <w:t xml:space="preserve"> </w:t>
      </w:r>
    </w:p>
    <w:p w14:paraId="11C5EC6A" w14:textId="77777777" w:rsidR="00477B57" w:rsidRPr="00477B57" w:rsidRDefault="004B203F" w:rsidP="00477B57">
      <w:pPr>
        <w:pStyle w:val="Caption"/>
        <w:spacing w:after="0"/>
        <w:jc w:val="center"/>
        <w:rPr>
          <w:rFonts w:ascii="Arial" w:hAnsi="Arial" w:cs="Arial"/>
          <w:b/>
          <w:i w:val="0"/>
          <w:color w:val="auto"/>
          <w:sz w:val="20"/>
          <w:szCs w:val="20"/>
        </w:rPr>
      </w:pPr>
      <w:r w:rsidRPr="004B203F">
        <w:rPr>
          <w:rFonts w:ascii="Arial" w:hAnsi="Arial" w:cs="Arial"/>
          <w:b/>
          <w:i w:val="0"/>
          <w:color w:val="auto"/>
          <w:sz w:val="20"/>
          <w:szCs w:val="20"/>
        </w:rPr>
        <w:t xml:space="preserve">Table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Table \* ARABIC </w:instrText>
      </w:r>
      <w:r w:rsidRPr="004B203F">
        <w:rPr>
          <w:rFonts w:ascii="Arial" w:hAnsi="Arial" w:cs="Arial"/>
          <w:b/>
          <w:i w:val="0"/>
          <w:color w:val="auto"/>
          <w:sz w:val="20"/>
          <w:szCs w:val="20"/>
        </w:rPr>
        <w:fldChar w:fldCharType="separate"/>
      </w:r>
      <w:r w:rsidR="002208E1">
        <w:rPr>
          <w:rFonts w:ascii="Arial" w:hAnsi="Arial" w:cs="Arial"/>
          <w:b/>
          <w:i w:val="0"/>
          <w:noProof/>
          <w:color w:val="auto"/>
          <w:sz w:val="20"/>
          <w:szCs w:val="20"/>
        </w:rPr>
        <w:t>2</w:t>
      </w:r>
      <w:r w:rsidRPr="004B203F">
        <w:rPr>
          <w:rFonts w:ascii="Arial" w:hAnsi="Arial" w:cs="Arial"/>
          <w:b/>
          <w:i w:val="0"/>
          <w:color w:val="auto"/>
          <w:sz w:val="20"/>
          <w:szCs w:val="20"/>
        </w:rPr>
        <w:fldChar w:fldCharType="end"/>
      </w:r>
      <w:r w:rsidRPr="004B203F">
        <w:rPr>
          <w:rFonts w:ascii="Arial" w:hAnsi="Arial" w:cs="Arial"/>
          <w:b/>
          <w:i w:val="0"/>
          <w:color w:val="auto"/>
          <w:sz w:val="20"/>
          <w:szCs w:val="20"/>
        </w:rPr>
        <w:t xml:space="preserve"> Water Quality</w:t>
      </w:r>
    </w:p>
    <w:tbl>
      <w:tblPr>
        <w:tblStyle w:val="TableGrid"/>
        <w:tblW w:w="0" w:type="auto"/>
        <w:tblLook w:val="04A0" w:firstRow="1" w:lastRow="0" w:firstColumn="1" w:lastColumn="0" w:noHBand="0" w:noVBand="1"/>
      </w:tblPr>
      <w:tblGrid>
        <w:gridCol w:w="2049"/>
        <w:gridCol w:w="2049"/>
        <w:gridCol w:w="2050"/>
        <w:gridCol w:w="2050"/>
      </w:tblGrid>
      <w:tr w:rsidR="00477B57" w:rsidRPr="00477B57" w14:paraId="548854DA" w14:textId="77777777" w:rsidTr="00477B57">
        <w:tc>
          <w:tcPr>
            <w:tcW w:w="2049" w:type="dxa"/>
            <w:tcBorders>
              <w:left w:val="nil"/>
              <w:bottom w:val="single" w:sz="4" w:space="0" w:color="auto"/>
              <w:right w:val="nil"/>
            </w:tcBorders>
          </w:tcPr>
          <w:p w14:paraId="710B5966" w14:textId="5933DDC4" w:rsidR="00477B57" w:rsidRPr="00477B57" w:rsidRDefault="00477B57" w:rsidP="00477B57">
            <w:pPr>
              <w:jc w:val="center"/>
              <w:rPr>
                <w:rFonts w:ascii="Arial" w:hAnsi="Arial" w:cs="Arial"/>
                <w:b/>
                <w:sz w:val="20"/>
                <w:szCs w:val="20"/>
              </w:rPr>
            </w:pPr>
            <w:r w:rsidRPr="00477B57">
              <w:rPr>
                <w:rFonts w:ascii="Arial" w:hAnsi="Arial" w:cs="Arial"/>
                <w:b/>
                <w:sz w:val="20"/>
                <w:szCs w:val="20"/>
              </w:rPr>
              <w:t>Treatment</w:t>
            </w:r>
            <w:r w:rsidR="00B06737" w:rsidRPr="00B06737">
              <w:rPr>
                <w:rFonts w:ascii="Arial" w:hAnsi="Arial" w:cs="Arial"/>
                <w:b/>
                <w:color w:val="EE0000"/>
                <w:sz w:val="20"/>
                <w:szCs w:val="20"/>
              </w:rPr>
              <w:t>s</w:t>
            </w:r>
          </w:p>
        </w:tc>
        <w:tc>
          <w:tcPr>
            <w:tcW w:w="2049" w:type="dxa"/>
            <w:tcBorders>
              <w:left w:val="nil"/>
              <w:bottom w:val="single" w:sz="4" w:space="0" w:color="auto"/>
              <w:right w:val="nil"/>
            </w:tcBorders>
          </w:tcPr>
          <w:p w14:paraId="5B71956A" w14:textId="658FD038" w:rsidR="00477B57" w:rsidRPr="00477B57" w:rsidRDefault="00477B57" w:rsidP="00477B57">
            <w:pPr>
              <w:jc w:val="center"/>
              <w:rPr>
                <w:rFonts w:ascii="Arial" w:hAnsi="Arial" w:cs="Arial"/>
                <w:b/>
                <w:sz w:val="20"/>
                <w:szCs w:val="20"/>
              </w:rPr>
            </w:pPr>
            <w:r w:rsidRPr="00477B57">
              <w:rPr>
                <w:rFonts w:ascii="Arial" w:hAnsi="Arial" w:cs="Arial"/>
                <w:b/>
                <w:sz w:val="20"/>
                <w:szCs w:val="20"/>
              </w:rPr>
              <w:t>Temperature (°</w:t>
            </w:r>
            <w:r w:rsidR="00B06737" w:rsidRPr="00B06737">
              <w:rPr>
                <w:rFonts w:ascii="Arial" w:hAnsi="Arial" w:cs="Arial"/>
                <w:b/>
                <w:color w:val="EE0000"/>
                <w:sz w:val="20"/>
                <w:szCs w:val="20"/>
              </w:rPr>
              <w:t>C</w:t>
            </w:r>
            <w:r w:rsidRPr="00B06737">
              <w:rPr>
                <w:rFonts w:ascii="Arial" w:hAnsi="Arial" w:cs="Arial"/>
                <w:b/>
                <w:color w:val="EE0000"/>
                <w:sz w:val="20"/>
                <w:szCs w:val="20"/>
              </w:rPr>
              <w:t>)</w:t>
            </w:r>
          </w:p>
        </w:tc>
        <w:tc>
          <w:tcPr>
            <w:tcW w:w="2050" w:type="dxa"/>
            <w:tcBorders>
              <w:left w:val="nil"/>
              <w:bottom w:val="single" w:sz="4" w:space="0" w:color="auto"/>
              <w:right w:val="nil"/>
            </w:tcBorders>
          </w:tcPr>
          <w:p w14:paraId="2F7DEAFC" w14:textId="77777777" w:rsidR="00477B57" w:rsidRPr="00477B57" w:rsidRDefault="00477B57" w:rsidP="00477B57">
            <w:pPr>
              <w:jc w:val="center"/>
              <w:rPr>
                <w:rFonts w:ascii="Arial" w:hAnsi="Arial" w:cs="Arial"/>
                <w:b/>
                <w:sz w:val="20"/>
                <w:szCs w:val="20"/>
              </w:rPr>
            </w:pPr>
            <w:r w:rsidRPr="00477B57">
              <w:rPr>
                <w:rFonts w:ascii="Arial" w:hAnsi="Arial" w:cs="Arial"/>
                <w:b/>
                <w:sz w:val="20"/>
                <w:szCs w:val="20"/>
              </w:rPr>
              <w:t>pH</w:t>
            </w:r>
          </w:p>
        </w:tc>
        <w:tc>
          <w:tcPr>
            <w:tcW w:w="2050" w:type="dxa"/>
            <w:tcBorders>
              <w:left w:val="nil"/>
              <w:bottom w:val="single" w:sz="4" w:space="0" w:color="auto"/>
              <w:right w:val="nil"/>
            </w:tcBorders>
          </w:tcPr>
          <w:p w14:paraId="0CAC9978" w14:textId="77777777" w:rsidR="00477B57" w:rsidRPr="00477B57" w:rsidRDefault="00477B57" w:rsidP="00477B57">
            <w:pPr>
              <w:jc w:val="center"/>
              <w:rPr>
                <w:rFonts w:ascii="Arial" w:hAnsi="Arial" w:cs="Arial"/>
                <w:b/>
                <w:sz w:val="20"/>
                <w:szCs w:val="20"/>
              </w:rPr>
            </w:pPr>
            <w:r w:rsidRPr="00477B57">
              <w:rPr>
                <w:rFonts w:ascii="Arial" w:hAnsi="Arial" w:cs="Arial"/>
                <w:b/>
                <w:sz w:val="20"/>
                <w:szCs w:val="20"/>
              </w:rPr>
              <w:t>DO (mg/l)</w:t>
            </w:r>
          </w:p>
        </w:tc>
      </w:tr>
      <w:tr w:rsidR="00477B57" w:rsidRPr="00477B57" w14:paraId="6136BCB6" w14:textId="77777777" w:rsidTr="00477B57">
        <w:tc>
          <w:tcPr>
            <w:tcW w:w="2049" w:type="dxa"/>
            <w:tcBorders>
              <w:top w:val="single" w:sz="4" w:space="0" w:color="auto"/>
              <w:left w:val="nil"/>
              <w:bottom w:val="nil"/>
              <w:right w:val="nil"/>
            </w:tcBorders>
          </w:tcPr>
          <w:p w14:paraId="0D2C1B3F"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A (0%/kg)</w:t>
            </w:r>
          </w:p>
        </w:tc>
        <w:tc>
          <w:tcPr>
            <w:tcW w:w="2049" w:type="dxa"/>
            <w:tcBorders>
              <w:top w:val="single" w:sz="4" w:space="0" w:color="auto"/>
              <w:left w:val="nil"/>
              <w:bottom w:val="nil"/>
              <w:right w:val="nil"/>
            </w:tcBorders>
            <w:vAlign w:val="center"/>
          </w:tcPr>
          <w:p w14:paraId="701DF083" w14:textId="77777777"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30,8</w:t>
            </w:r>
          </w:p>
        </w:tc>
        <w:tc>
          <w:tcPr>
            <w:tcW w:w="2050" w:type="dxa"/>
            <w:tcBorders>
              <w:top w:val="single" w:sz="4" w:space="0" w:color="auto"/>
              <w:left w:val="nil"/>
              <w:bottom w:val="nil"/>
              <w:right w:val="nil"/>
            </w:tcBorders>
            <w:vAlign w:val="center"/>
          </w:tcPr>
          <w:p w14:paraId="47A0CD5F"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7,0</w:t>
            </w:r>
          </w:p>
        </w:tc>
        <w:tc>
          <w:tcPr>
            <w:tcW w:w="2050" w:type="dxa"/>
            <w:tcBorders>
              <w:top w:val="single" w:sz="4" w:space="0" w:color="auto"/>
              <w:left w:val="nil"/>
              <w:bottom w:val="nil"/>
              <w:right w:val="nil"/>
            </w:tcBorders>
            <w:vAlign w:val="center"/>
          </w:tcPr>
          <w:p w14:paraId="7EF3920B"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5,8</w:t>
            </w:r>
          </w:p>
        </w:tc>
      </w:tr>
      <w:tr w:rsidR="00477B57" w:rsidRPr="00477B57" w14:paraId="0406BC35" w14:textId="77777777" w:rsidTr="00477B57">
        <w:tc>
          <w:tcPr>
            <w:tcW w:w="2049" w:type="dxa"/>
            <w:tcBorders>
              <w:top w:val="nil"/>
              <w:left w:val="nil"/>
              <w:bottom w:val="nil"/>
              <w:right w:val="nil"/>
            </w:tcBorders>
          </w:tcPr>
          <w:p w14:paraId="0BF270C1"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B (0,15%/kg)</w:t>
            </w:r>
          </w:p>
        </w:tc>
        <w:tc>
          <w:tcPr>
            <w:tcW w:w="2049" w:type="dxa"/>
            <w:tcBorders>
              <w:top w:val="nil"/>
              <w:left w:val="nil"/>
              <w:bottom w:val="nil"/>
              <w:right w:val="nil"/>
            </w:tcBorders>
            <w:vAlign w:val="center"/>
          </w:tcPr>
          <w:p w14:paraId="6EDC5F65" w14:textId="77777777"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31,1</w:t>
            </w:r>
          </w:p>
        </w:tc>
        <w:tc>
          <w:tcPr>
            <w:tcW w:w="2050" w:type="dxa"/>
            <w:tcBorders>
              <w:top w:val="nil"/>
              <w:left w:val="nil"/>
              <w:bottom w:val="nil"/>
              <w:right w:val="nil"/>
            </w:tcBorders>
            <w:vAlign w:val="center"/>
          </w:tcPr>
          <w:p w14:paraId="1744AA3E"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nil"/>
              <w:right w:val="nil"/>
            </w:tcBorders>
            <w:vAlign w:val="center"/>
          </w:tcPr>
          <w:p w14:paraId="4043CC70"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5,7</w:t>
            </w:r>
          </w:p>
        </w:tc>
      </w:tr>
      <w:tr w:rsidR="00477B57" w:rsidRPr="00477B57" w14:paraId="0DE561E4" w14:textId="77777777" w:rsidTr="00477B57">
        <w:tc>
          <w:tcPr>
            <w:tcW w:w="2049" w:type="dxa"/>
            <w:tcBorders>
              <w:top w:val="nil"/>
              <w:left w:val="nil"/>
              <w:bottom w:val="nil"/>
              <w:right w:val="nil"/>
            </w:tcBorders>
          </w:tcPr>
          <w:p w14:paraId="116EF6BA"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C (0.30%/kg)</w:t>
            </w:r>
          </w:p>
        </w:tc>
        <w:tc>
          <w:tcPr>
            <w:tcW w:w="2049" w:type="dxa"/>
            <w:tcBorders>
              <w:top w:val="nil"/>
              <w:left w:val="nil"/>
              <w:bottom w:val="nil"/>
              <w:right w:val="nil"/>
            </w:tcBorders>
            <w:vAlign w:val="center"/>
          </w:tcPr>
          <w:p w14:paraId="68FBFD42" w14:textId="77777777"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30,9</w:t>
            </w:r>
          </w:p>
        </w:tc>
        <w:tc>
          <w:tcPr>
            <w:tcW w:w="2050" w:type="dxa"/>
            <w:tcBorders>
              <w:top w:val="nil"/>
              <w:left w:val="nil"/>
              <w:bottom w:val="nil"/>
              <w:right w:val="nil"/>
            </w:tcBorders>
            <w:vAlign w:val="center"/>
          </w:tcPr>
          <w:p w14:paraId="262FB5F4"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nil"/>
              <w:right w:val="nil"/>
            </w:tcBorders>
            <w:vAlign w:val="center"/>
          </w:tcPr>
          <w:p w14:paraId="0F64177A"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6,1</w:t>
            </w:r>
          </w:p>
        </w:tc>
      </w:tr>
      <w:tr w:rsidR="00477B57" w:rsidRPr="00477B57" w14:paraId="4C31CE04" w14:textId="77777777" w:rsidTr="00477B57">
        <w:tc>
          <w:tcPr>
            <w:tcW w:w="2049" w:type="dxa"/>
            <w:tcBorders>
              <w:top w:val="nil"/>
              <w:left w:val="nil"/>
              <w:bottom w:val="single" w:sz="4" w:space="0" w:color="auto"/>
              <w:right w:val="nil"/>
            </w:tcBorders>
          </w:tcPr>
          <w:p w14:paraId="33E90EA4"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D (0,45%/kg)</w:t>
            </w:r>
          </w:p>
        </w:tc>
        <w:tc>
          <w:tcPr>
            <w:tcW w:w="2049" w:type="dxa"/>
            <w:tcBorders>
              <w:top w:val="nil"/>
              <w:left w:val="nil"/>
              <w:bottom w:val="single" w:sz="4" w:space="0" w:color="auto"/>
              <w:right w:val="nil"/>
            </w:tcBorders>
            <w:vAlign w:val="center"/>
          </w:tcPr>
          <w:p w14:paraId="0EE386DE" w14:textId="77777777"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31,1</w:t>
            </w:r>
          </w:p>
        </w:tc>
        <w:tc>
          <w:tcPr>
            <w:tcW w:w="2050" w:type="dxa"/>
            <w:tcBorders>
              <w:top w:val="nil"/>
              <w:left w:val="nil"/>
              <w:bottom w:val="single" w:sz="4" w:space="0" w:color="auto"/>
              <w:right w:val="nil"/>
            </w:tcBorders>
            <w:vAlign w:val="center"/>
          </w:tcPr>
          <w:p w14:paraId="49B9AB98"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single" w:sz="4" w:space="0" w:color="auto"/>
              <w:right w:val="nil"/>
            </w:tcBorders>
            <w:vAlign w:val="center"/>
          </w:tcPr>
          <w:p w14:paraId="72F8C1DA"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5,7</w:t>
            </w:r>
          </w:p>
        </w:tc>
      </w:tr>
    </w:tbl>
    <w:p w14:paraId="2DB9592E" w14:textId="77777777" w:rsidR="003D3106" w:rsidRDefault="003D3106" w:rsidP="00321CCF">
      <w:pPr>
        <w:pStyle w:val="Body"/>
        <w:tabs>
          <w:tab w:val="left" w:pos="6467"/>
        </w:tabs>
        <w:spacing w:after="0"/>
        <w:rPr>
          <w:rFonts w:ascii="Arial" w:hAnsi="Arial" w:cs="Arial"/>
        </w:rPr>
      </w:pPr>
    </w:p>
    <w:p w14:paraId="3A9EF880" w14:textId="77777777" w:rsidR="0057404D" w:rsidRPr="00FB3A86" w:rsidRDefault="0057404D" w:rsidP="0057404D">
      <w:pPr>
        <w:pStyle w:val="Body"/>
        <w:spacing w:after="0"/>
        <w:rPr>
          <w:rFonts w:ascii="Arial" w:hAnsi="Arial" w:cs="Arial"/>
        </w:rPr>
      </w:pPr>
      <w:r w:rsidRPr="0057404D">
        <w:rPr>
          <w:rFonts w:ascii="Arial" w:hAnsi="Arial" w:cs="Arial"/>
        </w:rPr>
        <w:t>Water temperature can affect fish growth and development. An appropriate water temperature can increase appetite, resulting in faster growth. According to SNI No. 3 of 2014 concerning catfish production, the optimum temperature range is 25-30°C. This indicates that the temperature conditions during the study for each treatment were appropriate.</w:t>
      </w:r>
      <w:r>
        <w:rPr>
          <w:rFonts w:ascii="Arial" w:hAnsi="Arial" w:cs="Arial"/>
        </w:rPr>
        <w:t xml:space="preserve"> </w:t>
      </w:r>
      <w:r w:rsidRPr="0057404D">
        <w:rPr>
          <w:rFonts w:ascii="Arial" w:hAnsi="Arial" w:cs="Arial"/>
        </w:rPr>
        <w:t>The degree of acidity, or pH, is the ability of water to bind or release hydrogen ions, indicating whether the water is acidic or basic. A pH value &lt;5 will cause mucus to clump on the gills, leading to death, while a pH value &gt;9 will reduce appetite. It can be seen that the pH values ​​during the study for all treatments were still considered safe based on the Indonesian National Standard No. 3 for catfish production, which is 6.5-8.5.</w:t>
      </w:r>
      <w:r w:rsidR="002208E1" w:rsidRPr="002208E1">
        <w:rPr>
          <w:rFonts w:ascii="Arial" w:hAnsi="Arial" w:cs="Arial"/>
        </w:rPr>
        <w:t xml:space="preserve"> </w:t>
      </w:r>
      <w:r w:rsidRPr="0057404D">
        <w:rPr>
          <w:rFonts w:ascii="Arial" w:hAnsi="Arial" w:cs="Arial"/>
        </w:rPr>
        <w:t>The DO values ​​in the study showed results that were considered safe, ranging from 5.8 to 6.1. This is in accordance with</w:t>
      </w:r>
      <w:r w:rsidR="002208E1">
        <w:rPr>
          <w:rFonts w:ascii="Arial" w:hAnsi="Arial" w:cs="Arial"/>
        </w:rPr>
        <w:t xml:space="preserve"> </w:t>
      </w:r>
      <w:r w:rsidRPr="0057404D">
        <w:rPr>
          <w:rFonts w:ascii="Arial" w:hAnsi="Arial" w:cs="Arial"/>
        </w:rPr>
        <w:t xml:space="preserve">concerning catfish production, which states </w:t>
      </w:r>
      <w:r>
        <w:rPr>
          <w:rFonts w:ascii="Arial" w:hAnsi="Arial" w:cs="Arial"/>
        </w:rPr>
        <w:t>that a safe DO value is &gt;3 mg/</w:t>
      </w:r>
      <w:r w:rsidR="002208E1">
        <w:rPr>
          <w:rFonts w:ascii="Arial" w:hAnsi="Arial" w:cs="Arial"/>
        </w:rPr>
        <w:t xml:space="preserve">l. </w:t>
      </w:r>
      <w:r w:rsidR="002208E1">
        <w:rPr>
          <w:rFonts w:ascii="Arial" w:hAnsi="Arial" w:cs="Arial"/>
        </w:rPr>
        <w:fldChar w:fldCharType="begin" w:fldLock="1"/>
      </w:r>
      <w:r w:rsidR="00BA0FB2">
        <w:rPr>
          <w:rFonts w:ascii="Arial" w:hAnsi="Arial" w:cs="Arial"/>
        </w:rPr>
        <w:instrText>ADDIN CSL_CITATION {"citationItems":[{"id":"ITEM-1","itemData":{"author":[{"dropping-particle":"","family":"Cahyo","given":"B","non-dropping-particle":"","parse-names":false,"suffix":""}],"container-title":"Pustaka Mina. Jakarta","id":"ITEM-1","issued":{"date-parts":[["2009"]]},"title":"Budidaya lele dan Betutu (ikan langka bernilai tinggi)","type":"article-journal","volume":"131"},"uris":["http://www.mendeley.com/documents/?uuid=c9660968-2d0f-4936-bd5f-f2dfd49f26b2"]}],"mendeley":{"formattedCitation":"(Cahyo, 2009)","manualFormatting":"(Cahyo 2009)","plainTextFormattedCitation":"(Cahyo, 2009)","previouslyFormattedCitation":"(Cahyo, 2009)"},"properties":{"noteIndex":0},"schema":"https://github.com/citation-style-language/schema/raw/master/csl-citation.json"}</w:instrText>
      </w:r>
      <w:r w:rsidR="002208E1">
        <w:rPr>
          <w:rFonts w:ascii="Arial" w:hAnsi="Arial" w:cs="Arial"/>
        </w:rPr>
        <w:fldChar w:fldCharType="separate"/>
      </w:r>
      <w:r w:rsidR="00BA0FB2">
        <w:rPr>
          <w:rFonts w:ascii="Arial" w:hAnsi="Arial" w:cs="Arial"/>
          <w:noProof/>
        </w:rPr>
        <w:t>(Cahyo</w:t>
      </w:r>
      <w:r w:rsidR="002208E1" w:rsidRPr="00431A2F">
        <w:rPr>
          <w:rFonts w:ascii="Arial" w:hAnsi="Arial" w:cs="Arial"/>
          <w:noProof/>
        </w:rPr>
        <w:t xml:space="preserve"> 2009)</w:t>
      </w:r>
      <w:r w:rsidR="002208E1">
        <w:rPr>
          <w:rFonts w:ascii="Arial" w:hAnsi="Arial" w:cs="Arial"/>
        </w:rPr>
        <w:fldChar w:fldCharType="end"/>
      </w:r>
      <w:r w:rsidR="002208E1">
        <w:rPr>
          <w:rFonts w:ascii="Arial" w:hAnsi="Arial" w:cs="Arial"/>
        </w:rPr>
        <w:t xml:space="preserve"> </w:t>
      </w:r>
      <w:r w:rsidRPr="0057404D">
        <w:rPr>
          <w:rFonts w:ascii="Arial" w:hAnsi="Arial" w:cs="Arial"/>
        </w:rPr>
        <w:t>also explained that the ideal dissolved oxygen content in water for the life and growth of catfish is above 4 mg/l.</w:t>
      </w:r>
      <w:r>
        <w:rPr>
          <w:rFonts w:ascii="Arial" w:hAnsi="Arial" w:cs="Arial"/>
        </w:rPr>
        <w:t xml:space="preserve"> </w:t>
      </w:r>
    </w:p>
    <w:p w14:paraId="7FB02894" w14:textId="77777777" w:rsidR="00790ADA" w:rsidRPr="003B5B12" w:rsidRDefault="003B5B12" w:rsidP="003B5B12">
      <w:pPr>
        <w:pStyle w:val="Heading1"/>
        <w:rPr>
          <w:sz w:val="22"/>
          <w:szCs w:val="22"/>
        </w:rPr>
      </w:pPr>
      <w:r w:rsidRPr="003B5B12">
        <w:rPr>
          <w:sz w:val="22"/>
          <w:szCs w:val="22"/>
        </w:rPr>
        <w:t>4. CONCLUSION</w:t>
      </w:r>
    </w:p>
    <w:p w14:paraId="2411AD0E" w14:textId="77777777" w:rsidR="00790ADA" w:rsidRDefault="0057404D" w:rsidP="00441B6F">
      <w:pPr>
        <w:pStyle w:val="Body"/>
        <w:spacing w:after="0"/>
        <w:rPr>
          <w:rFonts w:ascii="Arial" w:hAnsi="Arial" w:cs="Arial"/>
        </w:rPr>
      </w:pPr>
      <w:r w:rsidRPr="0057404D">
        <w:rPr>
          <w:rFonts w:ascii="Arial" w:hAnsi="Arial" w:cs="Arial"/>
        </w:rPr>
        <w:t>Tryptophan supplementation significantly improved growth performance and other parameters. Treatment C (0.3%) demonstrated the best results, producing absolute weight gain (222.70 g), the best feed efficiency or feed conversion ratio (1.46), protein efficiency ratio (11.74%), and protein retention (51.25%).</w:t>
      </w:r>
    </w:p>
    <w:p w14:paraId="5528AC28" w14:textId="77777777" w:rsidR="0057404D" w:rsidRDefault="0057404D" w:rsidP="00441B6F">
      <w:pPr>
        <w:pStyle w:val="Body"/>
        <w:spacing w:after="0"/>
        <w:rPr>
          <w:rFonts w:ascii="Arial" w:hAnsi="Arial" w:cs="Arial"/>
        </w:rPr>
      </w:pPr>
    </w:p>
    <w:p w14:paraId="14614B9B" w14:textId="77777777" w:rsidR="00A01EB7" w:rsidRPr="00A01EB7" w:rsidRDefault="00A01EB7" w:rsidP="00441B6F">
      <w:pPr>
        <w:pStyle w:val="Body"/>
        <w:spacing w:after="0"/>
        <w:rPr>
          <w:rFonts w:ascii="Arial" w:hAnsi="Arial" w:cs="Arial"/>
          <w:b/>
          <w:sz w:val="22"/>
          <w:szCs w:val="22"/>
        </w:rPr>
      </w:pPr>
      <w:r w:rsidRPr="00A01EB7">
        <w:rPr>
          <w:rFonts w:ascii="Arial" w:hAnsi="Arial" w:cs="Arial"/>
          <w:b/>
          <w:sz w:val="22"/>
          <w:szCs w:val="22"/>
        </w:rPr>
        <w:t>DISCLAIMER (ARTIFICIAL INTELLIGENCE)</w:t>
      </w:r>
    </w:p>
    <w:p w14:paraId="739E4150" w14:textId="77777777" w:rsidR="00A01EB7" w:rsidRDefault="00A01EB7" w:rsidP="00441B6F">
      <w:pPr>
        <w:pStyle w:val="Body"/>
        <w:spacing w:after="0"/>
        <w:rPr>
          <w:rFonts w:ascii="Arial" w:hAnsi="Arial" w:cs="Arial"/>
        </w:rPr>
      </w:pPr>
      <w:r w:rsidRPr="00A01EB7">
        <w:rPr>
          <w:rFonts w:ascii="Arial" w:hAnsi="Arial" w:cs="Arial"/>
        </w:rPr>
        <w:t xml:space="preserve">Author(s)  hereby  declare  that  NO  generative  AI technologies  such  as  Large  Language  Models (ChatGPT,   COPILOT,   </w:t>
      </w:r>
      <w:proofErr w:type="spellStart"/>
      <w:r w:rsidRPr="00A01EB7">
        <w:rPr>
          <w:rFonts w:ascii="Arial" w:hAnsi="Arial" w:cs="Arial"/>
        </w:rPr>
        <w:t>etc</w:t>
      </w:r>
      <w:proofErr w:type="spellEnd"/>
      <w:r w:rsidRPr="00A01EB7">
        <w:rPr>
          <w:rFonts w:ascii="Arial" w:hAnsi="Arial" w:cs="Arial"/>
        </w:rPr>
        <w:t>)   and   text-to-image generators  have  been  used  during  writing  or editing of this manuscript.</w:t>
      </w:r>
    </w:p>
    <w:p w14:paraId="193C8942" w14:textId="77777777" w:rsidR="00A01EB7" w:rsidRPr="00FB3A86" w:rsidRDefault="00A01EB7" w:rsidP="00441B6F">
      <w:pPr>
        <w:pStyle w:val="Body"/>
        <w:spacing w:after="0"/>
        <w:rPr>
          <w:rFonts w:ascii="Arial" w:hAnsi="Arial" w:cs="Arial"/>
        </w:rPr>
      </w:pPr>
    </w:p>
    <w:p w14:paraId="426A71BB" w14:textId="77777777" w:rsidR="00790ADA" w:rsidRPr="00FB3A86"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899FB16" w14:textId="77777777" w:rsidR="007D7A73" w:rsidRDefault="00A01EB7" w:rsidP="007D7A73">
      <w:pPr>
        <w:pStyle w:val="Body"/>
        <w:spacing w:after="0"/>
        <w:rPr>
          <w:rFonts w:ascii="Arial" w:hAnsi="Arial" w:cs="Arial"/>
        </w:rPr>
      </w:pPr>
      <w:r w:rsidRPr="00A01EB7">
        <w:rPr>
          <w:rFonts w:ascii="Arial" w:hAnsi="Arial" w:cs="Arial"/>
        </w:rPr>
        <w:t>The author would like to thank all parties involved in the implementation of this research.</w:t>
      </w:r>
    </w:p>
    <w:p w14:paraId="164240E7" w14:textId="77777777" w:rsidR="00BA0FB2" w:rsidRPr="007D7A73" w:rsidRDefault="00BA0FB2" w:rsidP="007D7A73">
      <w:pPr>
        <w:pStyle w:val="Body"/>
        <w:spacing w:after="0"/>
        <w:rPr>
          <w:rFonts w:ascii="Arial" w:hAnsi="Arial" w:cs="Arial"/>
        </w:rPr>
      </w:pPr>
    </w:p>
    <w:p w14:paraId="06C0A375" w14:textId="77777777" w:rsidR="00860000" w:rsidRPr="00A01EB7" w:rsidRDefault="00860000" w:rsidP="00441B6F">
      <w:pPr>
        <w:pStyle w:val="ReferHead"/>
        <w:spacing w:after="0"/>
        <w:jc w:val="both"/>
        <w:rPr>
          <w:rFonts w:ascii="Arial" w:hAnsi="Arial" w:cs="Arial"/>
          <w:bCs/>
        </w:rPr>
      </w:pPr>
      <w:r w:rsidRPr="00786D36">
        <w:rPr>
          <w:rFonts w:ascii="Arial" w:hAnsi="Arial" w:cs="Arial"/>
          <w:bCs/>
        </w:rPr>
        <w:t>Competing interests</w:t>
      </w:r>
    </w:p>
    <w:p w14:paraId="274B6233" w14:textId="77777777" w:rsidR="00860000" w:rsidRPr="00625209" w:rsidRDefault="00E66E10" w:rsidP="00441B6F">
      <w:pPr>
        <w:pStyle w:val="ReferHead"/>
        <w:spacing w:after="0"/>
        <w:jc w:val="both"/>
        <w:rPr>
          <w:rFonts w:ascii="Arial" w:hAnsi="Arial" w:cs="Arial"/>
          <w:b w:val="0"/>
          <w:caps w:val="0"/>
          <w:sz w:val="20"/>
        </w:rPr>
      </w:pPr>
      <w:r w:rsidRPr="00625209">
        <w:rPr>
          <w:rFonts w:ascii="Arial" w:hAnsi="Arial" w:cs="Arial"/>
          <w:b w:val="0"/>
          <w:caps w:val="0"/>
          <w:sz w:val="20"/>
        </w:rPr>
        <w:t>Authors have declared that</w:t>
      </w:r>
      <w:r w:rsidR="00A01EB7" w:rsidRPr="00625209">
        <w:rPr>
          <w:rFonts w:ascii="Arial" w:hAnsi="Arial" w:cs="Arial"/>
          <w:b w:val="0"/>
          <w:caps w:val="0"/>
          <w:sz w:val="20"/>
        </w:rPr>
        <w:t xml:space="preserve"> no competing interests exist.</w:t>
      </w:r>
    </w:p>
    <w:p w14:paraId="1202F5D4" w14:textId="77777777" w:rsidR="00371FB6" w:rsidRDefault="00371FB6" w:rsidP="00441B6F">
      <w:pPr>
        <w:pStyle w:val="ReferHead"/>
        <w:spacing w:after="0"/>
        <w:jc w:val="both"/>
        <w:rPr>
          <w:rFonts w:ascii="Arial" w:hAnsi="Arial" w:cs="Arial"/>
          <w:b w:val="0"/>
          <w:caps w:val="0"/>
          <w:sz w:val="20"/>
        </w:rPr>
      </w:pPr>
    </w:p>
    <w:p w14:paraId="169D7B71" w14:textId="77777777" w:rsidR="00371FB6" w:rsidRP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32956515" w14:textId="77777777" w:rsidR="00371FB6"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w:t>
      </w:r>
      <w:r w:rsidR="00A01EB7">
        <w:rPr>
          <w:rFonts w:ascii="Arial" w:hAnsi="Arial" w:cs="Arial"/>
          <w:b w:val="0"/>
          <w:caps w:val="0"/>
          <w:sz w:val="20"/>
          <w:u w:val="single"/>
        </w:rPr>
        <w:t>ing wordings for this section: IDB</w:t>
      </w:r>
      <w:r w:rsidR="00371FB6" w:rsidRPr="00F469F0">
        <w:rPr>
          <w:rFonts w:ascii="Arial" w:hAnsi="Arial" w:cs="Arial"/>
          <w:b w:val="0"/>
          <w:caps w:val="0"/>
          <w:sz w:val="20"/>
          <w:u w:val="single"/>
        </w:rPr>
        <w:t xml:space="preserve"> designed the study, performed the statistical analysis, wrote the protocol, and</w:t>
      </w:r>
      <w:r w:rsidRPr="00F469F0">
        <w:rPr>
          <w:rFonts w:ascii="Arial" w:hAnsi="Arial" w:cs="Arial"/>
          <w:b w:val="0"/>
          <w:caps w:val="0"/>
          <w:sz w:val="20"/>
          <w:u w:val="single"/>
        </w:rPr>
        <w:t xml:space="preserve"> </w:t>
      </w:r>
      <w:r w:rsidR="00371FB6" w:rsidRPr="00F469F0">
        <w:rPr>
          <w:rFonts w:ascii="Arial" w:hAnsi="Arial" w:cs="Arial"/>
          <w:b w:val="0"/>
          <w:caps w:val="0"/>
          <w:sz w:val="20"/>
          <w:u w:val="single"/>
        </w:rPr>
        <w:t>wrote the first draft of the manuscript.</w:t>
      </w:r>
      <w:r w:rsidR="00A01EB7">
        <w:rPr>
          <w:rFonts w:ascii="Arial" w:hAnsi="Arial" w:cs="Arial"/>
          <w:b w:val="0"/>
          <w:caps w:val="0"/>
          <w:sz w:val="20"/>
          <w:u w:val="single"/>
        </w:rPr>
        <w:t xml:space="preserve"> INP and I</w:t>
      </w:r>
      <w:r w:rsidR="00371FB6" w:rsidRPr="00F469F0">
        <w:rPr>
          <w:rFonts w:ascii="Arial" w:hAnsi="Arial" w:cs="Arial"/>
          <w:b w:val="0"/>
          <w:caps w:val="0"/>
          <w:sz w:val="20"/>
          <w:u w:val="single"/>
        </w:rPr>
        <w:t xml:space="preserve"> managed the analyses of</w:t>
      </w:r>
      <w:r w:rsidRPr="00F469F0">
        <w:rPr>
          <w:rFonts w:ascii="Arial" w:hAnsi="Arial" w:cs="Arial"/>
          <w:b w:val="0"/>
          <w:caps w:val="0"/>
          <w:sz w:val="20"/>
          <w:u w:val="single"/>
        </w:rPr>
        <w:t xml:space="preserve"> </w:t>
      </w:r>
      <w:r w:rsidR="00371FB6" w:rsidRPr="00F469F0">
        <w:rPr>
          <w:rFonts w:ascii="Arial" w:hAnsi="Arial" w:cs="Arial"/>
          <w:b w:val="0"/>
          <w:caps w:val="0"/>
          <w:sz w:val="20"/>
          <w:u w:val="single"/>
        </w:rPr>
        <w:t>the study. All authors read and approved the final manuscript.</w:t>
      </w:r>
      <w:r w:rsidR="00A01EB7">
        <w:rPr>
          <w:rFonts w:ascii="Arial" w:hAnsi="Arial" w:cs="Arial"/>
          <w:b w:val="0"/>
          <w:caps w:val="0"/>
          <w:sz w:val="20"/>
          <w:u w:val="single"/>
        </w:rPr>
        <w:t xml:space="preserve"> </w:t>
      </w:r>
      <w:r w:rsidR="00A01EB7" w:rsidRPr="00A01EB7">
        <w:rPr>
          <w:rFonts w:ascii="Arial" w:hAnsi="Arial" w:cs="Arial"/>
          <w:b w:val="0"/>
          <w:caps w:val="0"/>
          <w:sz w:val="20"/>
          <w:u w:val="single"/>
        </w:rPr>
        <w:t>This work was carried out in collaboration among all authors. All authors read and approved the final manuscript</w:t>
      </w:r>
    </w:p>
    <w:p w14:paraId="2853B7F6" w14:textId="77777777" w:rsidR="00790ADA" w:rsidRDefault="00790ADA" w:rsidP="00441B6F">
      <w:pPr>
        <w:pStyle w:val="ReferHead"/>
        <w:spacing w:after="0"/>
        <w:jc w:val="both"/>
        <w:rPr>
          <w:rFonts w:ascii="Arial" w:hAnsi="Arial" w:cs="Arial"/>
        </w:rPr>
      </w:pPr>
    </w:p>
    <w:p w14:paraId="2EC53056" w14:textId="77777777" w:rsidR="00FB1D5C" w:rsidRPr="00FB3A86" w:rsidRDefault="00FB1D5C" w:rsidP="00441B6F">
      <w:pPr>
        <w:pStyle w:val="ReferHead"/>
        <w:spacing w:after="0"/>
        <w:jc w:val="both"/>
        <w:rPr>
          <w:rFonts w:ascii="Arial" w:hAnsi="Arial" w:cs="Arial"/>
        </w:rPr>
      </w:pPr>
      <w:r>
        <w:rPr>
          <w:rFonts w:ascii="Arial" w:hAnsi="Arial" w:cs="Arial"/>
        </w:rPr>
        <w:t>REFERENCES</w:t>
      </w:r>
    </w:p>
    <w:p w14:paraId="5DDC1028" w14:textId="77777777" w:rsidR="009945F1" w:rsidRDefault="009945F1" w:rsidP="009945F1">
      <w:pPr>
        <w:widowControl w:val="0"/>
        <w:autoSpaceDE w:val="0"/>
        <w:autoSpaceDN w:val="0"/>
        <w:adjustRightInd w:val="0"/>
        <w:ind w:left="480" w:hanging="480"/>
        <w:jc w:val="both"/>
      </w:pPr>
      <w:proofErr w:type="spellStart"/>
      <w:r>
        <w:t>Agustiana</w:t>
      </w:r>
      <w:proofErr w:type="spellEnd"/>
      <w:r>
        <w:t xml:space="preserve">, A. B., </w:t>
      </w:r>
      <w:proofErr w:type="spellStart"/>
      <w:r>
        <w:t>Rachmawati</w:t>
      </w:r>
      <w:proofErr w:type="spellEnd"/>
      <w:r>
        <w:t xml:space="preserve">, D., &amp; Herawati, V. E. (2022). The Effect of Tryptophan in </w:t>
      </w:r>
      <w:r>
        <w:lastRenderedPageBreak/>
        <w:t xml:space="preserve">Artificial Feed on Feed Utilization Efficiency and Growth Performance of </w:t>
      </w:r>
      <w:proofErr w:type="spellStart"/>
      <w:r>
        <w:t>Sangkuriang</w:t>
      </w:r>
      <w:proofErr w:type="spellEnd"/>
      <w:r>
        <w:t xml:space="preserve"> Catfish (Clarias </w:t>
      </w:r>
      <w:proofErr w:type="spellStart"/>
      <w:r>
        <w:t>gariepinus</w:t>
      </w:r>
      <w:proofErr w:type="spellEnd"/>
      <w:r>
        <w:t xml:space="preserve">) Fingerlings. Sains </w:t>
      </w:r>
      <w:proofErr w:type="spellStart"/>
      <w:r>
        <w:t>Akuakultur</w:t>
      </w:r>
      <w:proofErr w:type="spellEnd"/>
      <w:r>
        <w:t xml:space="preserve"> Tropis: Indonesian Journal of Tropical Aquaculture; Vol 6, No 2 (2022): SAT September Issue – DOI: 10.14710/Sat.V6i2.13903, 6(2), 202–215. https://doi.org/https://doi.org/10.14710/sat.v6i2.13903</w:t>
      </w:r>
    </w:p>
    <w:p w14:paraId="5E64C238" w14:textId="77777777" w:rsidR="009945F1" w:rsidRDefault="009945F1" w:rsidP="009945F1">
      <w:pPr>
        <w:widowControl w:val="0"/>
        <w:autoSpaceDE w:val="0"/>
        <w:autoSpaceDN w:val="0"/>
        <w:adjustRightInd w:val="0"/>
        <w:ind w:left="480" w:hanging="480"/>
        <w:jc w:val="both"/>
      </w:pPr>
      <w:r>
        <w:t xml:space="preserve">Ahmed, I. (2012). Dietary amino acid l-tryptophan requirement of fingerling Indian catfish, </w:t>
      </w:r>
      <w:proofErr w:type="spellStart"/>
      <w:r>
        <w:t>Heteropneustes</w:t>
      </w:r>
      <w:proofErr w:type="spellEnd"/>
      <w:r>
        <w:t xml:space="preserve"> </w:t>
      </w:r>
      <w:proofErr w:type="spellStart"/>
      <w:r>
        <w:t>fossilis</w:t>
      </w:r>
      <w:proofErr w:type="spellEnd"/>
      <w:r>
        <w:t xml:space="preserve"> (Bloch), estimated by growth and haemato-biochemical parameters. Fish Physiology and Biochemistry, 38(4), 1195–1209. https://doi.org/10.1007/s10695-012-9609-1</w:t>
      </w:r>
    </w:p>
    <w:p w14:paraId="5A7BC991" w14:textId="77777777" w:rsidR="009945F1" w:rsidRDefault="009945F1" w:rsidP="009945F1">
      <w:pPr>
        <w:widowControl w:val="0"/>
        <w:autoSpaceDE w:val="0"/>
        <w:autoSpaceDN w:val="0"/>
        <w:adjustRightInd w:val="0"/>
        <w:ind w:left="480" w:hanging="480"/>
        <w:jc w:val="both"/>
      </w:pPr>
      <w:r>
        <w:t xml:space="preserve">Ahmed, I., Ahmad, I., &amp; Malla, B. A. (2024). Effects of dietary tryptophan levels on growth performance, plasma profile, intestinal antioxidant capacity and </w:t>
      </w:r>
      <w:proofErr w:type="gramStart"/>
      <w:r>
        <w:t>growth related</w:t>
      </w:r>
      <w:proofErr w:type="gramEnd"/>
      <w:r>
        <w:t xml:space="preserve"> genes in rainbow trout (Oncorhynchus mykiss) fingerlings. Aquaculture, 585, 740710. https://doi.org/10.1016/J.AQUACULTURE.2024.740710</w:t>
      </w:r>
    </w:p>
    <w:p w14:paraId="59F096BE" w14:textId="77777777" w:rsidR="009945F1" w:rsidRDefault="009945F1" w:rsidP="009945F1">
      <w:pPr>
        <w:widowControl w:val="0"/>
        <w:autoSpaceDE w:val="0"/>
        <w:autoSpaceDN w:val="0"/>
        <w:adjustRightInd w:val="0"/>
        <w:ind w:left="480" w:hanging="480"/>
        <w:jc w:val="both"/>
      </w:pPr>
      <w:proofErr w:type="spellStart"/>
      <w:r>
        <w:t>Anggorodi</w:t>
      </w:r>
      <w:proofErr w:type="spellEnd"/>
      <w:r>
        <w:t>, R. (1994). General Animal Nutrition. PT. Gramedia.</w:t>
      </w:r>
    </w:p>
    <w:p w14:paraId="7DD3D368" w14:textId="77777777" w:rsidR="009945F1" w:rsidRDefault="009945F1" w:rsidP="009945F1">
      <w:pPr>
        <w:widowControl w:val="0"/>
        <w:autoSpaceDE w:val="0"/>
        <w:autoSpaceDN w:val="0"/>
        <w:adjustRightInd w:val="0"/>
        <w:ind w:left="480" w:hanging="480"/>
        <w:jc w:val="both"/>
      </w:pPr>
      <w:r>
        <w:t xml:space="preserve">Biswas, A., Araki, H., Sakata, T., Nakamori, T., &amp; </w:t>
      </w:r>
      <w:proofErr w:type="spellStart"/>
      <w:r>
        <w:t>Takii</w:t>
      </w:r>
      <w:proofErr w:type="spellEnd"/>
      <w:r>
        <w:t xml:space="preserve">, K. (2019). Optimum fish meal replacement by soy protein concentrate from soymilk and phytase supplementation in diet of red sea bream, </w:t>
      </w:r>
      <w:proofErr w:type="spellStart"/>
      <w:r>
        <w:t>Pagrus</w:t>
      </w:r>
      <w:proofErr w:type="spellEnd"/>
      <w:r>
        <w:t xml:space="preserve"> major. Aquaculture, 506, 51–59. https://doi.org/10.1016/J.AQUACULTURE.2019.03.023</w:t>
      </w:r>
    </w:p>
    <w:p w14:paraId="42623B8F" w14:textId="77777777" w:rsidR="009945F1" w:rsidRDefault="009945F1" w:rsidP="009945F1">
      <w:pPr>
        <w:widowControl w:val="0"/>
        <w:autoSpaceDE w:val="0"/>
        <w:autoSpaceDN w:val="0"/>
        <w:adjustRightInd w:val="0"/>
        <w:ind w:left="480" w:hanging="480"/>
        <w:jc w:val="both"/>
      </w:pPr>
      <w:r>
        <w:t>Cahyo, B. (2009). *</w:t>
      </w:r>
      <w:proofErr w:type="spellStart"/>
      <w:r>
        <w:t>Budidaya</w:t>
      </w:r>
      <w:proofErr w:type="spellEnd"/>
      <w:r>
        <w:t xml:space="preserve"> Lele dan </w:t>
      </w:r>
      <w:proofErr w:type="spellStart"/>
      <w:r>
        <w:t>Betutu</w:t>
      </w:r>
      <w:proofErr w:type="spellEnd"/>
      <w:r>
        <w:t xml:space="preserve"> (Ikan </w:t>
      </w:r>
      <w:proofErr w:type="spellStart"/>
      <w:r>
        <w:t>Langka</w:t>
      </w:r>
      <w:proofErr w:type="spellEnd"/>
      <w:r>
        <w:t xml:space="preserve"> </w:t>
      </w:r>
      <w:proofErr w:type="spellStart"/>
      <w:r>
        <w:t>Bernilai</w:t>
      </w:r>
      <w:proofErr w:type="spellEnd"/>
      <w:r>
        <w:t xml:space="preserve"> </w:t>
      </w:r>
      <w:proofErr w:type="gramStart"/>
      <w:r>
        <w:t>Tinggi)*</w:t>
      </w:r>
      <w:proofErr w:type="gramEnd"/>
      <w:r>
        <w:t xml:space="preserve"> [Cultivation of Catfish and </w:t>
      </w:r>
      <w:proofErr w:type="spellStart"/>
      <w:r>
        <w:t>Betutu</w:t>
      </w:r>
      <w:proofErr w:type="spellEnd"/>
      <w:r>
        <w:t xml:space="preserve"> (A Rare, High-Value Fish)]. Pustaka Mina. Jakarta, 131.</w:t>
      </w:r>
    </w:p>
    <w:p w14:paraId="4D93C3AD" w14:textId="77777777" w:rsidR="009945F1" w:rsidRDefault="009945F1" w:rsidP="009945F1">
      <w:pPr>
        <w:widowControl w:val="0"/>
        <w:autoSpaceDE w:val="0"/>
        <w:autoSpaceDN w:val="0"/>
        <w:adjustRightInd w:val="0"/>
        <w:ind w:left="480" w:hanging="480"/>
        <w:jc w:val="both"/>
      </w:pPr>
      <w:r>
        <w:t>Council, N. R. (1993). *Nutrient Requirements of Fish*. The National Academies Press. https://doi.org/10.17226/2115</w:t>
      </w:r>
    </w:p>
    <w:p w14:paraId="38C69ED0" w14:textId="77777777" w:rsidR="009945F1" w:rsidRDefault="009945F1" w:rsidP="009945F1">
      <w:pPr>
        <w:widowControl w:val="0"/>
        <w:autoSpaceDE w:val="0"/>
        <w:autoSpaceDN w:val="0"/>
        <w:adjustRightInd w:val="0"/>
        <w:ind w:left="480" w:hanging="480"/>
        <w:jc w:val="both"/>
      </w:pPr>
      <w:r>
        <w:t xml:space="preserve">Dani, N. P., </w:t>
      </w:r>
      <w:proofErr w:type="spellStart"/>
      <w:r>
        <w:t>Budiharjo</w:t>
      </w:r>
      <w:proofErr w:type="spellEnd"/>
      <w:r>
        <w:t xml:space="preserve">, A., &amp; </w:t>
      </w:r>
      <w:proofErr w:type="spellStart"/>
      <w:r>
        <w:t>Listyawati</w:t>
      </w:r>
      <w:proofErr w:type="spellEnd"/>
      <w:r>
        <w:t xml:space="preserve">, S. (2005). </w:t>
      </w:r>
      <w:proofErr w:type="spellStart"/>
      <w:r>
        <w:t>Komposisi</w:t>
      </w:r>
      <w:proofErr w:type="spellEnd"/>
      <w:r>
        <w:t xml:space="preserve"> </w:t>
      </w:r>
      <w:proofErr w:type="spellStart"/>
      <w:r>
        <w:t>pakan</w:t>
      </w:r>
      <w:proofErr w:type="spellEnd"/>
      <w:r>
        <w:t xml:space="preserve"> </w:t>
      </w:r>
      <w:proofErr w:type="spellStart"/>
      <w:r>
        <w:t>buatan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pertumbuhan</w:t>
      </w:r>
      <w:proofErr w:type="spellEnd"/>
      <w:r>
        <w:t xml:space="preserve"> dan </w:t>
      </w:r>
      <w:proofErr w:type="spellStart"/>
      <w:r>
        <w:t>kandungan</w:t>
      </w:r>
      <w:proofErr w:type="spellEnd"/>
      <w:r>
        <w:t xml:space="preserve"> protein ikan </w:t>
      </w:r>
      <w:proofErr w:type="spellStart"/>
      <w:r>
        <w:t>tawes</w:t>
      </w:r>
      <w:proofErr w:type="spellEnd"/>
      <w:r>
        <w:t xml:space="preserve"> (*Puntius javanicus* </w:t>
      </w:r>
      <w:proofErr w:type="spellStart"/>
      <w:r>
        <w:t>Blkr</w:t>
      </w:r>
      <w:proofErr w:type="spellEnd"/>
      <w:r>
        <w:t xml:space="preserve">.) [Artificial feed composition to enhance growth and protein content in Tawes fish (*Puntius javanicus* </w:t>
      </w:r>
      <w:proofErr w:type="spellStart"/>
      <w:r>
        <w:t>Blkr</w:t>
      </w:r>
      <w:proofErr w:type="spellEnd"/>
      <w:r>
        <w:t xml:space="preserve">.)]. </w:t>
      </w:r>
      <w:proofErr w:type="spellStart"/>
      <w:r>
        <w:t>Biosmart</w:t>
      </w:r>
      <w:proofErr w:type="spellEnd"/>
      <w:r>
        <w:t>, 7(2), 83–90.</w:t>
      </w:r>
    </w:p>
    <w:p w14:paraId="36C758AC" w14:textId="77777777" w:rsidR="008F2FB2" w:rsidRDefault="008F2FB2" w:rsidP="009945F1">
      <w:pPr>
        <w:widowControl w:val="0"/>
        <w:autoSpaceDE w:val="0"/>
        <w:autoSpaceDN w:val="0"/>
        <w:adjustRightInd w:val="0"/>
        <w:ind w:left="480" w:hanging="480"/>
        <w:jc w:val="both"/>
      </w:pPr>
      <w:proofErr w:type="spellStart"/>
      <w:r w:rsidRPr="008F2FB2">
        <w:t>Effendie</w:t>
      </w:r>
      <w:proofErr w:type="spellEnd"/>
      <w:r w:rsidRPr="008F2FB2">
        <w:t>, M. I. (1997). *Fisheries Biology* (Yogyakarta: Yayasan Pustaka Nusantara).</w:t>
      </w:r>
    </w:p>
    <w:p w14:paraId="18A1806D" w14:textId="77777777" w:rsidR="009945F1" w:rsidRDefault="009945F1" w:rsidP="009945F1">
      <w:pPr>
        <w:widowControl w:val="0"/>
        <w:autoSpaceDE w:val="0"/>
        <w:autoSpaceDN w:val="0"/>
        <w:adjustRightInd w:val="0"/>
        <w:ind w:left="480" w:hanging="480"/>
        <w:jc w:val="both"/>
      </w:pPr>
      <w:r>
        <w:t>Food and Agriculture Organization. (2006). *FAO Yearbook: Fishery Statistics, Aquaculture Production*.</w:t>
      </w:r>
    </w:p>
    <w:p w14:paraId="06C88315" w14:textId="77777777" w:rsidR="009945F1" w:rsidRDefault="009945F1" w:rsidP="009945F1">
      <w:pPr>
        <w:widowControl w:val="0"/>
        <w:autoSpaceDE w:val="0"/>
        <w:autoSpaceDN w:val="0"/>
        <w:adjustRightInd w:val="0"/>
        <w:ind w:left="480" w:hanging="480"/>
        <w:jc w:val="both"/>
      </w:pPr>
      <w:r>
        <w:t>Glass, D. J. (2003). Molecular mechanisms modulating muscle mass. Trends in Molecular Medicine, 9(8), 344–350. https://doi.org/10.1016/S1471-4914(03)00138-2</w:t>
      </w:r>
    </w:p>
    <w:p w14:paraId="555979EB" w14:textId="77777777" w:rsidR="009945F1" w:rsidRDefault="009945F1" w:rsidP="009945F1">
      <w:pPr>
        <w:widowControl w:val="0"/>
        <w:autoSpaceDE w:val="0"/>
        <w:autoSpaceDN w:val="0"/>
        <w:adjustRightInd w:val="0"/>
        <w:ind w:left="480" w:hanging="480"/>
        <w:jc w:val="both"/>
      </w:pPr>
      <w:proofErr w:type="spellStart"/>
      <w:r>
        <w:t>Hoseini</w:t>
      </w:r>
      <w:proofErr w:type="spellEnd"/>
      <w:r>
        <w:t xml:space="preserve">, S. M., Taheri Mirghaed, A., </w:t>
      </w:r>
      <w:proofErr w:type="spellStart"/>
      <w:r>
        <w:t>Ghelichpour</w:t>
      </w:r>
      <w:proofErr w:type="spellEnd"/>
      <w:r>
        <w:t>, M., Pagheh, E., Iri, Y., &amp; Kor, A. (2020). Effects of dietary tryptophan supplementation and stocking density on growth performance and stress responses in rainbow trout (*Oncorhynchus mykiss*). Aquaculture, 519, 734908. https://doi.org/10.1016/J.AQUACULTURE.2019.734908</w:t>
      </w:r>
    </w:p>
    <w:p w14:paraId="64A71C89" w14:textId="77777777" w:rsidR="009945F1" w:rsidRDefault="009945F1" w:rsidP="009945F1">
      <w:pPr>
        <w:widowControl w:val="0"/>
        <w:autoSpaceDE w:val="0"/>
        <w:autoSpaceDN w:val="0"/>
        <w:adjustRightInd w:val="0"/>
        <w:ind w:left="480" w:hanging="480"/>
        <w:jc w:val="both"/>
      </w:pPr>
      <w:r>
        <w:t>Ji, K., Liang, H., Ren, M., Ge, X., Liu, B., Xi, B., Pan, L., &amp; Yu, H. (2019). Effects of dietary tryptophan levels on antioxidant status and immunity for juvenile blunt snout bream (</w:t>
      </w:r>
      <w:proofErr w:type="spellStart"/>
      <w:r>
        <w:t>Megalobrama</w:t>
      </w:r>
      <w:proofErr w:type="spellEnd"/>
      <w:r>
        <w:t xml:space="preserve"> </w:t>
      </w:r>
      <w:proofErr w:type="spellStart"/>
      <w:r>
        <w:t>amblycephala</w:t>
      </w:r>
      <w:proofErr w:type="spellEnd"/>
      <w:r>
        <w:t>) involved in Nrf2 and TOR signaling pathway. Fish &amp; Shellfish Immunology, 93, 474–483. https://doi.org/10.1016/J.FSI.2019.08.006</w:t>
      </w:r>
    </w:p>
    <w:p w14:paraId="79FEB0BF" w14:textId="77777777" w:rsidR="009945F1" w:rsidRDefault="009945F1" w:rsidP="009945F1">
      <w:pPr>
        <w:widowControl w:val="0"/>
        <w:autoSpaceDE w:val="0"/>
        <w:autoSpaceDN w:val="0"/>
        <w:adjustRightInd w:val="0"/>
        <w:ind w:left="480" w:hanging="480"/>
        <w:jc w:val="both"/>
      </w:pPr>
      <w:proofErr w:type="spellStart"/>
      <w:r>
        <w:t>Karapanagiotidis</w:t>
      </w:r>
      <w:proofErr w:type="spellEnd"/>
      <w:r>
        <w:t xml:space="preserve">, I. T., </w:t>
      </w:r>
      <w:proofErr w:type="spellStart"/>
      <w:r>
        <w:t>Metsoviti</w:t>
      </w:r>
      <w:proofErr w:type="spellEnd"/>
      <w:r>
        <w:t xml:space="preserve">, M. N., </w:t>
      </w:r>
      <w:proofErr w:type="spellStart"/>
      <w:r>
        <w:t>Gkalogianni</w:t>
      </w:r>
      <w:proofErr w:type="spellEnd"/>
      <w:r>
        <w:t xml:space="preserve">, E. Z., </w:t>
      </w:r>
      <w:proofErr w:type="spellStart"/>
      <w:r>
        <w:t>Psofakis</w:t>
      </w:r>
      <w:proofErr w:type="spellEnd"/>
      <w:r>
        <w:t xml:space="preserve">, P., </w:t>
      </w:r>
      <w:proofErr w:type="spellStart"/>
      <w:r>
        <w:t>Asimaki</w:t>
      </w:r>
      <w:proofErr w:type="spellEnd"/>
      <w:r>
        <w:t xml:space="preserve">, A., </w:t>
      </w:r>
      <w:proofErr w:type="spellStart"/>
      <w:r>
        <w:t>Katsoulas</w:t>
      </w:r>
      <w:proofErr w:type="spellEnd"/>
      <w:r>
        <w:t xml:space="preserve">, N., </w:t>
      </w:r>
      <w:proofErr w:type="spellStart"/>
      <w:r>
        <w:t>Papapolymerou</w:t>
      </w:r>
      <w:proofErr w:type="spellEnd"/>
      <w:r>
        <w:t xml:space="preserve">, G., &amp; </w:t>
      </w:r>
      <w:proofErr w:type="spellStart"/>
      <w:r>
        <w:t>Zarkadas</w:t>
      </w:r>
      <w:proofErr w:type="spellEnd"/>
      <w:r>
        <w:t xml:space="preserve">, I. (2022). The effects of replacing fishmeal by Chlorella vulgaris and fish oil by </w:t>
      </w:r>
      <w:proofErr w:type="spellStart"/>
      <w:r>
        <w:t>Schizochytrium</w:t>
      </w:r>
      <w:proofErr w:type="spellEnd"/>
      <w:r>
        <w:t xml:space="preserve"> sp. and </w:t>
      </w:r>
      <w:proofErr w:type="spellStart"/>
      <w:r>
        <w:t>Microchloropsis</w:t>
      </w:r>
      <w:proofErr w:type="spellEnd"/>
      <w:r>
        <w:t xml:space="preserve"> </w:t>
      </w:r>
      <w:proofErr w:type="spellStart"/>
      <w:r>
        <w:t>gaditana</w:t>
      </w:r>
      <w:proofErr w:type="spellEnd"/>
      <w:r>
        <w:t xml:space="preserve"> blend on growth performance, feed efficiency, muscle fatty acid composition and liver histology of gilthead seabream (Sparus aurata). Aquaculture, 561, 738709. https://doi.org/10.1016/J.AQUACULTURE.2022.738709</w:t>
      </w:r>
    </w:p>
    <w:p w14:paraId="3ACF8EB1" w14:textId="77777777" w:rsidR="009945F1" w:rsidRDefault="009945F1" w:rsidP="009945F1">
      <w:pPr>
        <w:widowControl w:val="0"/>
        <w:autoSpaceDE w:val="0"/>
        <w:autoSpaceDN w:val="0"/>
        <w:adjustRightInd w:val="0"/>
        <w:ind w:left="480" w:hanging="480"/>
        <w:jc w:val="both"/>
      </w:pPr>
      <w:proofErr w:type="spellStart"/>
      <w:r>
        <w:t>Mainisa</w:t>
      </w:r>
      <w:proofErr w:type="spellEnd"/>
      <w:r>
        <w:t xml:space="preserve">, M., Juliana, J., Khalil, M., Mahdaliana, M., &amp; Salamah, S. (2024). Use of Tryptophan in Feed to Reduce Cannibalism in White Sea Bass (Lates calcarifer). </w:t>
      </w:r>
      <w:proofErr w:type="spellStart"/>
      <w:r>
        <w:t>Jurnal</w:t>
      </w:r>
      <w:proofErr w:type="spellEnd"/>
      <w:r>
        <w:t xml:space="preserve"> </w:t>
      </w:r>
      <w:proofErr w:type="spellStart"/>
      <w:r>
        <w:t>Laot</w:t>
      </w:r>
      <w:proofErr w:type="spellEnd"/>
      <w:r>
        <w:t xml:space="preserve"> </w:t>
      </w:r>
      <w:proofErr w:type="spellStart"/>
      <w:r>
        <w:t>Ilmu</w:t>
      </w:r>
      <w:proofErr w:type="spellEnd"/>
      <w:r>
        <w:t xml:space="preserve"> Kelautan, 6(1), 28. https://doi.org/10.35308/jlik.v6i1.9561</w:t>
      </w:r>
    </w:p>
    <w:p w14:paraId="47A1E727" w14:textId="77777777" w:rsidR="009945F1" w:rsidRDefault="009945F1" w:rsidP="009945F1">
      <w:pPr>
        <w:widowControl w:val="0"/>
        <w:autoSpaceDE w:val="0"/>
        <w:autoSpaceDN w:val="0"/>
        <w:adjustRightInd w:val="0"/>
        <w:ind w:left="480" w:hanging="480"/>
        <w:jc w:val="both"/>
      </w:pPr>
      <w:proofErr w:type="spellStart"/>
      <w:r>
        <w:t>Masyahoro</w:t>
      </w:r>
      <w:proofErr w:type="spellEnd"/>
      <w:r>
        <w:t xml:space="preserve">, A., &amp; Setiawan, M. A. B. (2023). Growth of White Snapper (Lates calcarifer, Bloch 1790) Fingerlings at Various Salinities and Shrimp Head Waste Feed Dosages in Controlled Containers. </w:t>
      </w:r>
      <w:proofErr w:type="spellStart"/>
      <w:r>
        <w:t>Jurnal</w:t>
      </w:r>
      <w:proofErr w:type="spellEnd"/>
      <w:r>
        <w:t xml:space="preserve"> </w:t>
      </w:r>
      <w:proofErr w:type="spellStart"/>
      <w:r>
        <w:t>Ilmiah</w:t>
      </w:r>
      <w:proofErr w:type="spellEnd"/>
      <w:r>
        <w:t xml:space="preserve"> </w:t>
      </w:r>
      <w:proofErr w:type="spellStart"/>
      <w:r>
        <w:t>AgriSains</w:t>
      </w:r>
      <w:proofErr w:type="spellEnd"/>
      <w:r>
        <w:t>, 24(2), 103–113.</w:t>
      </w:r>
    </w:p>
    <w:p w14:paraId="292DAE9E" w14:textId="77777777" w:rsidR="009945F1" w:rsidRDefault="009945F1" w:rsidP="009945F1">
      <w:pPr>
        <w:widowControl w:val="0"/>
        <w:autoSpaceDE w:val="0"/>
        <w:autoSpaceDN w:val="0"/>
        <w:adjustRightInd w:val="0"/>
        <w:ind w:left="480" w:hanging="480"/>
        <w:jc w:val="both"/>
      </w:pPr>
      <w:r>
        <w:t>Melzer, K. (2011). Carbohydrate and fat utilization during rest and physical activity. E-SPEN, 6(2), e45–e52. https://doi.org/10.1016/j.eclnm.2011.01.005</w:t>
      </w:r>
    </w:p>
    <w:p w14:paraId="5890A901" w14:textId="77777777" w:rsidR="009945F1" w:rsidRDefault="009945F1" w:rsidP="009945F1">
      <w:pPr>
        <w:widowControl w:val="0"/>
        <w:autoSpaceDE w:val="0"/>
        <w:autoSpaceDN w:val="0"/>
        <w:adjustRightInd w:val="0"/>
        <w:ind w:left="480" w:hanging="480"/>
        <w:jc w:val="both"/>
      </w:pPr>
      <w:r>
        <w:lastRenderedPageBreak/>
        <w:t>Miao, S., Chang, E., Han, B., Zhang, X., Liu, X., Zhou, Z., &amp; Zhou, Y. (2021). Dietary tryptophan requirement of northern snakehead, Channa argus (Cantor, 1842). Aquaculture, 542, 736904. https://doi.org/10.1016/J.AQUACULTURE.2021.736904</w:t>
      </w:r>
    </w:p>
    <w:p w14:paraId="40B081C0" w14:textId="77777777" w:rsidR="009945F1" w:rsidRDefault="009945F1" w:rsidP="009945F1">
      <w:pPr>
        <w:widowControl w:val="0"/>
        <w:autoSpaceDE w:val="0"/>
        <w:autoSpaceDN w:val="0"/>
        <w:adjustRightInd w:val="0"/>
        <w:ind w:left="480" w:hanging="480"/>
        <w:jc w:val="both"/>
      </w:pPr>
      <w:r>
        <w:t xml:space="preserve">Olusola, S. E., &amp; </w:t>
      </w:r>
      <w:proofErr w:type="spellStart"/>
      <w:r>
        <w:t>Nwanna</w:t>
      </w:r>
      <w:proofErr w:type="spellEnd"/>
      <w:r>
        <w:t xml:space="preserve">, L. C. (2014). Growth Performance of Nile Tilapia (Oreochromis niloticus) Fed Processed Soybean Meal Based Diets Supplemented </w:t>
      </w:r>
      <w:proofErr w:type="gramStart"/>
      <w:r>
        <w:t>With</w:t>
      </w:r>
      <w:proofErr w:type="gramEnd"/>
      <w:r>
        <w:t xml:space="preserve"> Phytase. International Journal of Aquaculture. https://doi.org/10.5376/ija.2014.04.0008</w:t>
      </w:r>
    </w:p>
    <w:p w14:paraId="4E6E7C4A" w14:textId="77777777" w:rsidR="009945F1" w:rsidRDefault="009945F1" w:rsidP="009945F1">
      <w:pPr>
        <w:widowControl w:val="0"/>
        <w:autoSpaceDE w:val="0"/>
        <w:autoSpaceDN w:val="0"/>
        <w:adjustRightInd w:val="0"/>
        <w:ind w:left="480" w:hanging="480"/>
        <w:jc w:val="both"/>
      </w:pPr>
      <w:proofErr w:type="spellStart"/>
      <w:r>
        <w:t>Pianesso</w:t>
      </w:r>
      <w:proofErr w:type="spellEnd"/>
      <w:r>
        <w:t xml:space="preserve">, D., </w:t>
      </w:r>
      <w:proofErr w:type="spellStart"/>
      <w:r>
        <w:t>Radünz</w:t>
      </w:r>
      <w:proofErr w:type="spellEnd"/>
      <w:r>
        <w:t xml:space="preserve"> Neto, J., da Silva, L. P., Goulart, F. R., Adorian, T. J., </w:t>
      </w:r>
      <w:proofErr w:type="spellStart"/>
      <w:r>
        <w:t>Mombach</w:t>
      </w:r>
      <w:proofErr w:type="spellEnd"/>
      <w:r>
        <w:t xml:space="preserve">, P. I., Loureiro, B. B., Dalcin, M. O., </w:t>
      </w:r>
      <w:proofErr w:type="spellStart"/>
      <w:r>
        <w:t>Rotili</w:t>
      </w:r>
      <w:proofErr w:type="spellEnd"/>
      <w:r>
        <w:t xml:space="preserve">, D. A., &amp; Lazzari, R. (2015). Determination of tryptophan requirements for juvenile silver catfish (Rhamdia </w:t>
      </w:r>
      <w:proofErr w:type="spellStart"/>
      <w:r>
        <w:t>quelen</w:t>
      </w:r>
      <w:proofErr w:type="spellEnd"/>
      <w:r>
        <w:t>) and its effects on growth performance, plasma and hepatic metabolites and digestive enzymes activity. Animal Feed Science and Technology, 210, 172–183. https://doi.org/10.1016/J.ANIFEEDSCI.2015.09.025</w:t>
      </w:r>
    </w:p>
    <w:p w14:paraId="7FA2FF0B" w14:textId="77777777" w:rsidR="009945F1" w:rsidRDefault="009945F1" w:rsidP="009945F1">
      <w:pPr>
        <w:widowControl w:val="0"/>
        <w:autoSpaceDE w:val="0"/>
        <w:autoSpaceDN w:val="0"/>
        <w:adjustRightInd w:val="0"/>
        <w:ind w:left="480" w:hanging="480"/>
        <w:jc w:val="both"/>
      </w:pPr>
      <w:proofErr w:type="spellStart"/>
      <w:r>
        <w:t>Pinandoyo</w:t>
      </w:r>
      <w:proofErr w:type="spellEnd"/>
      <w:r>
        <w:t xml:space="preserve">, P., Syakirin, M. B., &amp; </w:t>
      </w:r>
      <w:proofErr w:type="spellStart"/>
      <w:r>
        <w:t>Mardiana</w:t>
      </w:r>
      <w:proofErr w:type="spellEnd"/>
      <w:r>
        <w:t xml:space="preserve">, T. Y. (2021). Utilization of Trash Fish and Fermented Chicken Manure in Catfish Feed on the Growth and Survival of </w:t>
      </w:r>
      <w:proofErr w:type="spellStart"/>
      <w:r>
        <w:t>Sangkuriang</w:t>
      </w:r>
      <w:proofErr w:type="spellEnd"/>
      <w:r>
        <w:t xml:space="preserve"> Catfish (Clarias sp.). Pena Akuatika: </w:t>
      </w:r>
      <w:proofErr w:type="spellStart"/>
      <w:r>
        <w:t>Jurnal</w:t>
      </w:r>
      <w:proofErr w:type="spellEnd"/>
      <w:r>
        <w:t xml:space="preserve"> </w:t>
      </w:r>
      <w:proofErr w:type="spellStart"/>
      <w:r>
        <w:t>Ilmiah</w:t>
      </w:r>
      <w:proofErr w:type="spellEnd"/>
      <w:r>
        <w:t xml:space="preserve"> </w:t>
      </w:r>
      <w:proofErr w:type="spellStart"/>
      <w:r>
        <w:t>Perikanan</w:t>
      </w:r>
      <w:proofErr w:type="spellEnd"/>
      <w:r>
        <w:t xml:space="preserve"> Dan Kelautan, 20(1).</w:t>
      </w:r>
    </w:p>
    <w:p w14:paraId="2B1F32DF" w14:textId="77777777" w:rsidR="009945F1" w:rsidRDefault="009945F1" w:rsidP="009945F1">
      <w:pPr>
        <w:widowControl w:val="0"/>
        <w:autoSpaceDE w:val="0"/>
        <w:autoSpaceDN w:val="0"/>
        <w:adjustRightInd w:val="0"/>
        <w:ind w:left="480" w:hanging="480"/>
        <w:jc w:val="both"/>
      </w:pPr>
      <w:proofErr w:type="spellStart"/>
      <w:r>
        <w:t>Rachmawati</w:t>
      </w:r>
      <w:proofErr w:type="spellEnd"/>
      <w:r>
        <w:t xml:space="preserve">, D., </w:t>
      </w:r>
      <w:proofErr w:type="spellStart"/>
      <w:r>
        <w:t>Hutabarat</w:t>
      </w:r>
      <w:proofErr w:type="spellEnd"/>
      <w:r>
        <w:t xml:space="preserve">, J., Fiat, A. I., </w:t>
      </w:r>
      <w:proofErr w:type="spellStart"/>
      <w:r>
        <w:t>Elfitasari</w:t>
      </w:r>
      <w:proofErr w:type="spellEnd"/>
      <w:r>
        <w:t xml:space="preserve">, T., </w:t>
      </w:r>
      <w:proofErr w:type="spellStart"/>
      <w:r>
        <w:t>Windarto</w:t>
      </w:r>
      <w:proofErr w:type="spellEnd"/>
      <w:r>
        <w:t>, S., &amp; Dewi, E. N. (2021). The Addition of the Amino Acid Tryptophan in Feed on Cannibalism Rates and Growth of *</w:t>
      </w:r>
      <w:proofErr w:type="spellStart"/>
      <w:r>
        <w:t>Litopenaeus</w:t>
      </w:r>
      <w:proofErr w:type="spellEnd"/>
      <w:r>
        <w:t xml:space="preserve"> </w:t>
      </w:r>
      <w:proofErr w:type="spellStart"/>
      <w:r>
        <w:t>vannamei</w:t>
      </w:r>
      <w:proofErr w:type="spellEnd"/>
      <w:r>
        <w:t xml:space="preserve">*. </w:t>
      </w:r>
      <w:proofErr w:type="spellStart"/>
      <w:r>
        <w:t>Jurnal</w:t>
      </w:r>
      <w:proofErr w:type="spellEnd"/>
      <w:r>
        <w:t xml:space="preserve"> </w:t>
      </w:r>
      <w:proofErr w:type="spellStart"/>
      <w:r>
        <w:t>Kelautan</w:t>
      </w:r>
      <w:proofErr w:type="spellEnd"/>
      <w:r>
        <w:t xml:space="preserve"> </w:t>
      </w:r>
      <w:proofErr w:type="spellStart"/>
      <w:r>
        <w:t>Tropis</w:t>
      </w:r>
      <w:proofErr w:type="spellEnd"/>
      <w:r>
        <w:t>, 24(3), 343–352.</w:t>
      </w:r>
    </w:p>
    <w:p w14:paraId="66EF61D0" w14:textId="77777777" w:rsidR="009945F1" w:rsidRDefault="009945F1" w:rsidP="009945F1">
      <w:pPr>
        <w:widowControl w:val="0"/>
        <w:autoSpaceDE w:val="0"/>
        <w:autoSpaceDN w:val="0"/>
        <w:adjustRightInd w:val="0"/>
        <w:ind w:left="480" w:hanging="480"/>
        <w:jc w:val="both"/>
      </w:pPr>
      <w:r>
        <w:t>Ramos-Pinto, L., Martos-</w:t>
      </w:r>
      <w:proofErr w:type="spellStart"/>
      <w:r>
        <w:t>Sitcha</w:t>
      </w:r>
      <w:proofErr w:type="spellEnd"/>
      <w:r>
        <w:t xml:space="preserve">, J. A., Reis, B., Azeredo, R., Fernandez-Boo, S., Pérez-Sánchez, J., </w:t>
      </w:r>
      <w:proofErr w:type="spellStart"/>
      <w:r>
        <w:t>Calduch</w:t>
      </w:r>
      <w:proofErr w:type="spellEnd"/>
      <w:r>
        <w:t xml:space="preserve">-Giner, J. A., </w:t>
      </w:r>
      <w:proofErr w:type="spellStart"/>
      <w:r>
        <w:t>Engrola</w:t>
      </w:r>
      <w:proofErr w:type="spellEnd"/>
      <w:r>
        <w:t>, S., Conceição, L. E. C., Dias, J., Silva, T. S., &amp; Costas, B. (2019). Dietary tryptophan supplementation induces a transient immune enhancement of gilthead seabream (*Sparus aurata*) juveniles fed fishmeal-free diets. Fish and Shellfish Immunology, 93, 240–250. https://doi.org/10.1016/j.fsi.2019.07.033</w:t>
      </w:r>
    </w:p>
    <w:p w14:paraId="08884960" w14:textId="77777777" w:rsidR="009945F1" w:rsidRDefault="009945F1" w:rsidP="009945F1">
      <w:pPr>
        <w:widowControl w:val="0"/>
        <w:autoSpaceDE w:val="0"/>
        <w:autoSpaceDN w:val="0"/>
        <w:adjustRightInd w:val="0"/>
        <w:ind w:left="480" w:hanging="480"/>
        <w:jc w:val="both"/>
      </w:pPr>
      <w:proofErr w:type="spellStart"/>
      <w:r>
        <w:t>Ridlo</w:t>
      </w:r>
      <w:proofErr w:type="spellEnd"/>
      <w:r>
        <w:t xml:space="preserve">, A., &amp; </w:t>
      </w:r>
      <w:proofErr w:type="spellStart"/>
      <w:r>
        <w:t>Subagiyo</w:t>
      </w:r>
      <w:proofErr w:type="spellEnd"/>
      <w:r>
        <w:t>, S. (2013). Growth, Feed Conversion Ratio, and Survival Rate of *</w:t>
      </w:r>
      <w:proofErr w:type="spellStart"/>
      <w:r>
        <w:t>Litopenaeus</w:t>
      </w:r>
      <w:proofErr w:type="spellEnd"/>
      <w:r>
        <w:t xml:space="preserve"> </w:t>
      </w:r>
      <w:proofErr w:type="spellStart"/>
      <w:r>
        <w:t>vannamei</w:t>
      </w:r>
      <w:proofErr w:type="spellEnd"/>
      <w:r>
        <w:t>* Shrimp Fed with FOS (</w:t>
      </w:r>
      <w:proofErr w:type="spellStart"/>
      <w:r>
        <w:t>Fructooligosaccharide</w:t>
      </w:r>
      <w:proofErr w:type="spellEnd"/>
      <w:r>
        <w:t xml:space="preserve">) Prebiotic Supplementation. </w:t>
      </w:r>
      <w:proofErr w:type="spellStart"/>
      <w:r>
        <w:t>Buletin</w:t>
      </w:r>
      <w:proofErr w:type="spellEnd"/>
      <w:r>
        <w:t xml:space="preserve"> Oseanografi Marina, 2(4), 1–8.</w:t>
      </w:r>
    </w:p>
    <w:p w14:paraId="6F738F0F" w14:textId="77777777" w:rsidR="009945F1" w:rsidRDefault="009945F1" w:rsidP="009945F1">
      <w:pPr>
        <w:widowControl w:val="0"/>
        <w:autoSpaceDE w:val="0"/>
        <w:autoSpaceDN w:val="0"/>
        <w:adjustRightInd w:val="0"/>
        <w:ind w:left="480" w:hanging="480"/>
        <w:jc w:val="both"/>
      </w:pPr>
      <w:r>
        <w:t>Tang, L., Feng, L., Sun, C. Y., Chen, G. F., Jiang, W. D., Hu, K., Liu, Y., Jiang, J., Li, S. H., Kuang, S. Y., &amp; Zhou, X. Q. (2013). Effect of tryptophan on growth, intestinal enzyme activities and TOR gene expression in juvenile Jian carp (Cyprinus carpio var. Jian): Studies in vivo and in vitro. Aquaculture, 412–413, 23–33. https://doi.org/10.1016/J.AQUACULTURE.2013.07.002</w:t>
      </w:r>
    </w:p>
    <w:p w14:paraId="3F443294" w14:textId="77777777" w:rsidR="009945F1" w:rsidRDefault="009945F1" w:rsidP="009945F1">
      <w:pPr>
        <w:widowControl w:val="0"/>
        <w:autoSpaceDE w:val="0"/>
        <w:autoSpaceDN w:val="0"/>
        <w:adjustRightInd w:val="0"/>
        <w:ind w:left="480" w:hanging="480"/>
        <w:jc w:val="both"/>
      </w:pPr>
      <w:proofErr w:type="spellStart"/>
      <w:r>
        <w:t>Trisnasari</w:t>
      </w:r>
      <w:proofErr w:type="spellEnd"/>
      <w:r>
        <w:t xml:space="preserve">, V., Subandiyono, &amp; </w:t>
      </w:r>
      <w:proofErr w:type="spellStart"/>
      <w:r>
        <w:t>Hastuti</w:t>
      </w:r>
      <w:proofErr w:type="spellEnd"/>
      <w:r>
        <w:t>, S. (2020). The Effect of Tryptophan in Artificial Feed on Cannibalism Rates and Growth of Freshwater Lobster (</w:t>
      </w:r>
      <w:proofErr w:type="spellStart"/>
      <w:r>
        <w:t>Cherax</w:t>
      </w:r>
      <w:proofErr w:type="spellEnd"/>
      <w:r>
        <w:t xml:space="preserve"> </w:t>
      </w:r>
      <w:proofErr w:type="spellStart"/>
      <w:r>
        <w:t>quadricarinatus</w:t>
      </w:r>
      <w:proofErr w:type="spellEnd"/>
      <w:r>
        <w:t xml:space="preserve">). Sains </w:t>
      </w:r>
      <w:proofErr w:type="spellStart"/>
      <w:r>
        <w:t>Akuakultur</w:t>
      </w:r>
      <w:proofErr w:type="spellEnd"/>
      <w:r>
        <w:t xml:space="preserve"> Tropis: Indonesian Journal of Tropical Aquaculture, 4(1), 19–30.</w:t>
      </w:r>
    </w:p>
    <w:p w14:paraId="3655229F" w14:textId="77777777" w:rsidR="009945F1" w:rsidRDefault="009945F1" w:rsidP="009945F1">
      <w:pPr>
        <w:widowControl w:val="0"/>
        <w:autoSpaceDE w:val="0"/>
        <w:autoSpaceDN w:val="0"/>
        <w:adjustRightInd w:val="0"/>
        <w:ind w:left="480" w:hanging="480"/>
        <w:jc w:val="both"/>
      </w:pPr>
      <w:r>
        <w:t>Winberg, S., Winberg, Y., &amp; Anastasio, R. D. (1997). Effect of social rank on brain monoaminergic activity in a cichlid fish. Brain, Behavior and Evolution, 49(4), 230–236. https://doi.org/10.1159/000112994</w:t>
      </w:r>
    </w:p>
    <w:p w14:paraId="7B1DF2D8" w14:textId="77777777" w:rsidR="00B01FCD" w:rsidRPr="00FB3A86" w:rsidRDefault="009945F1" w:rsidP="009945F1">
      <w:pPr>
        <w:widowControl w:val="0"/>
        <w:autoSpaceDE w:val="0"/>
        <w:autoSpaceDN w:val="0"/>
        <w:adjustRightInd w:val="0"/>
        <w:ind w:left="480" w:hanging="480"/>
        <w:jc w:val="both"/>
        <w:rPr>
          <w:rFonts w:ascii="Arial" w:hAnsi="Arial" w:cs="Arial"/>
          <w:b/>
        </w:rPr>
      </w:pPr>
      <w:proofErr w:type="spellStart"/>
      <w:r>
        <w:t>Yunisa</w:t>
      </w:r>
      <w:proofErr w:type="spellEnd"/>
      <w:r>
        <w:t xml:space="preserve">, Y., </w:t>
      </w:r>
      <w:proofErr w:type="spellStart"/>
      <w:r>
        <w:t>Suhaera</w:t>
      </w:r>
      <w:proofErr w:type="spellEnd"/>
      <w:r>
        <w:t xml:space="preserve">, S., &amp; Sari, S. (2023). Proximate Analysis of </w:t>
      </w:r>
      <w:proofErr w:type="spellStart"/>
      <w:r>
        <w:t>Bronok</w:t>
      </w:r>
      <w:proofErr w:type="spellEnd"/>
      <w:r>
        <w:t xml:space="preserve"> (</w:t>
      </w:r>
      <w:proofErr w:type="spellStart"/>
      <w:r>
        <w:t>Acaudina</w:t>
      </w:r>
      <w:proofErr w:type="spellEnd"/>
      <w:r>
        <w:t xml:space="preserve"> </w:t>
      </w:r>
      <w:proofErr w:type="spellStart"/>
      <w:r>
        <w:t>Malpadioides</w:t>
      </w:r>
      <w:proofErr w:type="spellEnd"/>
      <w:r>
        <w:t>). The Journal General Health and Pharmaceutical Sciences Research, 1(2), 31–40. https://doi.org/10.57213/tjghpsr.v1i2.224</w:t>
      </w:r>
    </w:p>
    <w:sectPr w:rsidR="00B01FCD" w:rsidRPr="00FB3A86" w:rsidSect="00B655E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3FFD" w14:textId="77777777" w:rsidR="000925D5" w:rsidRDefault="000925D5" w:rsidP="00C37E61">
      <w:r>
        <w:separator/>
      </w:r>
    </w:p>
  </w:endnote>
  <w:endnote w:type="continuationSeparator" w:id="0">
    <w:p w14:paraId="4D10D1C4" w14:textId="77777777" w:rsidR="000925D5" w:rsidRDefault="000925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7FB3" w14:textId="77777777" w:rsidR="00B655E5" w:rsidRDefault="00B65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8570" w14:textId="77777777" w:rsidR="00B655E5" w:rsidRDefault="00B65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65C0" w14:textId="77777777" w:rsidR="00C22C5E" w:rsidRDefault="00C22C5E">
    <w:pPr>
      <w:pStyle w:val="Footer"/>
      <w:rPr>
        <w:rFonts w:ascii="Arial" w:hAnsi="Arial" w:cs="Arial"/>
        <w:sz w:val="16"/>
      </w:rPr>
    </w:pPr>
  </w:p>
  <w:p w14:paraId="6D866917" w14:textId="77777777" w:rsidR="00C22C5E" w:rsidRDefault="00C22C5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87A83B3" w14:textId="77777777" w:rsidR="00C22C5E" w:rsidRDefault="00C22C5E">
    <w:pPr>
      <w:pStyle w:val="Footer"/>
      <w:rPr>
        <w:rFonts w:ascii="Arial" w:hAnsi="Arial" w:cs="Arial"/>
        <w:sz w:val="16"/>
      </w:rPr>
    </w:pPr>
  </w:p>
  <w:p w14:paraId="6F1B5D0A" w14:textId="77777777" w:rsidR="00C22C5E" w:rsidRPr="009E048A" w:rsidRDefault="00C22C5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CB6E" w14:textId="77777777" w:rsidR="00C22C5E" w:rsidRPr="00C37E61" w:rsidRDefault="00C22C5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C673" w14:textId="77777777" w:rsidR="000925D5" w:rsidRDefault="000925D5" w:rsidP="00C37E61">
      <w:r>
        <w:separator/>
      </w:r>
    </w:p>
  </w:footnote>
  <w:footnote w:type="continuationSeparator" w:id="0">
    <w:p w14:paraId="60E27C09" w14:textId="77777777" w:rsidR="000925D5" w:rsidRDefault="000925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C732" w14:textId="77777777" w:rsidR="00B655E5" w:rsidRDefault="00000000">
    <w:pPr>
      <w:pStyle w:val="Header"/>
    </w:pPr>
    <w:r>
      <w:rPr>
        <w:noProof/>
      </w:rPr>
      <w:pict w14:anchorId="2D7AA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842C" w14:textId="77777777" w:rsidR="00B655E5" w:rsidRDefault="00000000">
    <w:pPr>
      <w:pStyle w:val="Header"/>
    </w:pPr>
    <w:r>
      <w:rPr>
        <w:noProof/>
      </w:rPr>
      <w:pict w14:anchorId="54664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2119" w14:textId="77777777" w:rsidR="00C22C5E" w:rsidRPr="00296529" w:rsidRDefault="00000000" w:rsidP="00296529">
    <w:pPr>
      <w:ind w:left="2160"/>
      <w:jc w:val="center"/>
      <w:rPr>
        <w:rFonts w:ascii="Times New Roman" w:eastAsia="Calibri" w:hAnsi="Times New Roman"/>
        <w:i/>
        <w:sz w:val="18"/>
        <w:szCs w:val="22"/>
      </w:rPr>
    </w:pPr>
    <w:r>
      <w:rPr>
        <w:noProof/>
      </w:rPr>
      <w:pict w14:anchorId="72E80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5E71E1" w14:textId="77777777" w:rsidR="00C22C5E" w:rsidRPr="00296529" w:rsidRDefault="00C22C5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43AE9C" w14:textId="77777777" w:rsidR="00C22C5E" w:rsidRPr="00296529" w:rsidRDefault="00C22C5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E89C3" w14:textId="77777777" w:rsidR="00C22C5E" w:rsidRPr="00296529" w:rsidRDefault="00C22C5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47D7AE" w14:textId="77777777" w:rsidR="00C22C5E" w:rsidRDefault="00C22C5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29FFE3" w14:textId="77777777" w:rsidR="00C22C5E" w:rsidRDefault="00C22C5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A4A5A7E" w14:textId="77777777" w:rsidR="00C22C5E" w:rsidRDefault="00C22C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B797" w14:textId="77777777" w:rsidR="00B655E5" w:rsidRDefault="00000000">
    <w:pPr>
      <w:pStyle w:val="Header"/>
    </w:pPr>
    <w:r>
      <w:rPr>
        <w:noProof/>
      </w:rPr>
      <w:pict w14:anchorId="4A794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1"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88B5" w14:textId="77777777" w:rsidR="00B655E5" w:rsidRDefault="00000000">
    <w:pPr>
      <w:pStyle w:val="Header"/>
    </w:pPr>
    <w:r>
      <w:rPr>
        <w:noProof/>
      </w:rPr>
      <w:pict w14:anchorId="2AE15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2"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2FB3" w14:textId="77777777" w:rsidR="00B655E5" w:rsidRDefault="00000000">
    <w:pPr>
      <w:pStyle w:val="Header"/>
    </w:pPr>
    <w:r>
      <w:rPr>
        <w:noProof/>
      </w:rPr>
      <w:pict w14:anchorId="21C57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0"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C20B9C"/>
    <w:multiLevelType w:val="hybridMultilevel"/>
    <w:tmpl w:val="45B8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4D2484"/>
    <w:multiLevelType w:val="hybridMultilevel"/>
    <w:tmpl w:val="70A4CA14"/>
    <w:lvl w:ilvl="0" w:tplc="F3DE3028">
      <w:start w:val="1"/>
      <w:numFmt w:val="decimal"/>
      <w:lvlText w:val="3.%1"/>
      <w:lvlJc w:val="left"/>
      <w:pPr>
        <w:ind w:left="720" w:hanging="360"/>
      </w:pPr>
      <w:rPr>
        <w:rFonts w:hint="default"/>
      </w:rPr>
    </w:lvl>
    <w:lvl w:ilvl="1" w:tplc="989639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785387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3093386">
    <w:abstractNumId w:val="17"/>
  </w:num>
  <w:num w:numId="3" w16cid:durableId="729117556">
    <w:abstractNumId w:val="25"/>
  </w:num>
  <w:num w:numId="4" w16cid:durableId="18318236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59110493">
    <w:abstractNumId w:val="7"/>
  </w:num>
  <w:num w:numId="6" w16cid:durableId="238056360">
    <w:abstractNumId w:val="6"/>
  </w:num>
  <w:num w:numId="7" w16cid:durableId="1192722317">
    <w:abstractNumId w:val="1"/>
  </w:num>
  <w:num w:numId="8" w16cid:durableId="2062896480">
    <w:abstractNumId w:val="14"/>
  </w:num>
  <w:num w:numId="9" w16cid:durableId="1116292246">
    <w:abstractNumId w:val="27"/>
  </w:num>
  <w:num w:numId="10" w16cid:durableId="1234387307">
    <w:abstractNumId w:val="2"/>
  </w:num>
  <w:num w:numId="11" w16cid:durableId="191961995">
    <w:abstractNumId w:val="20"/>
  </w:num>
  <w:num w:numId="12" w16cid:durableId="1225947898">
    <w:abstractNumId w:val="3"/>
  </w:num>
  <w:num w:numId="13" w16cid:durableId="463429835">
    <w:abstractNumId w:val="19"/>
  </w:num>
  <w:num w:numId="14" w16cid:durableId="318385747">
    <w:abstractNumId w:val="9"/>
  </w:num>
  <w:num w:numId="15" w16cid:durableId="1616792759">
    <w:abstractNumId w:val="23"/>
  </w:num>
  <w:num w:numId="16" w16cid:durableId="268196394">
    <w:abstractNumId w:val="5"/>
  </w:num>
  <w:num w:numId="17" w16cid:durableId="2000184393">
    <w:abstractNumId w:val="24"/>
  </w:num>
  <w:num w:numId="18" w16cid:durableId="927541708">
    <w:abstractNumId w:val="16"/>
  </w:num>
  <w:num w:numId="19" w16cid:durableId="1569344521">
    <w:abstractNumId w:val="30"/>
  </w:num>
  <w:num w:numId="20" w16cid:durableId="922490600">
    <w:abstractNumId w:val="12"/>
  </w:num>
  <w:num w:numId="21" w16cid:durableId="1153915236">
    <w:abstractNumId w:val="10"/>
  </w:num>
  <w:num w:numId="22" w16cid:durableId="1253244942">
    <w:abstractNumId w:val="15"/>
  </w:num>
  <w:num w:numId="23" w16cid:durableId="1210846028">
    <w:abstractNumId w:val="21"/>
  </w:num>
  <w:num w:numId="24" w16cid:durableId="542400118">
    <w:abstractNumId w:val="28"/>
  </w:num>
  <w:num w:numId="25" w16cid:durableId="1925412338">
    <w:abstractNumId w:val="4"/>
  </w:num>
  <w:num w:numId="26" w16cid:durableId="1470366753">
    <w:abstractNumId w:val="18"/>
  </w:num>
  <w:num w:numId="27" w16cid:durableId="1213233534">
    <w:abstractNumId w:val="22"/>
  </w:num>
  <w:num w:numId="28" w16cid:durableId="1640842180">
    <w:abstractNumId w:val="29"/>
  </w:num>
  <w:num w:numId="29" w16cid:durableId="1375889303">
    <w:abstractNumId w:val="26"/>
  </w:num>
  <w:num w:numId="30" w16cid:durableId="386608144">
    <w:abstractNumId w:val="11"/>
  </w:num>
  <w:num w:numId="31" w16cid:durableId="399056797">
    <w:abstractNumId w:val="13"/>
  </w:num>
  <w:num w:numId="32" w16cid:durableId="48890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FB8"/>
    <w:rsid w:val="000236CC"/>
    <w:rsid w:val="00030174"/>
    <w:rsid w:val="0004579C"/>
    <w:rsid w:val="000543FF"/>
    <w:rsid w:val="0007390D"/>
    <w:rsid w:val="000925D5"/>
    <w:rsid w:val="000A47FA"/>
    <w:rsid w:val="000A65D3"/>
    <w:rsid w:val="000B08FE"/>
    <w:rsid w:val="000B1E33"/>
    <w:rsid w:val="000B797B"/>
    <w:rsid w:val="000D126E"/>
    <w:rsid w:val="000D689F"/>
    <w:rsid w:val="000E7B7B"/>
    <w:rsid w:val="000E7D62"/>
    <w:rsid w:val="000F39F6"/>
    <w:rsid w:val="00103357"/>
    <w:rsid w:val="00116858"/>
    <w:rsid w:val="00121C97"/>
    <w:rsid w:val="00123C9F"/>
    <w:rsid w:val="00126190"/>
    <w:rsid w:val="00130F17"/>
    <w:rsid w:val="001320BF"/>
    <w:rsid w:val="00163BC4"/>
    <w:rsid w:val="001640F2"/>
    <w:rsid w:val="001669DC"/>
    <w:rsid w:val="001807B2"/>
    <w:rsid w:val="00191062"/>
    <w:rsid w:val="00192B72"/>
    <w:rsid w:val="001947D6"/>
    <w:rsid w:val="001A29D8"/>
    <w:rsid w:val="001A5CAA"/>
    <w:rsid w:val="001A729E"/>
    <w:rsid w:val="001B0427"/>
    <w:rsid w:val="001C062F"/>
    <w:rsid w:val="001C3EA5"/>
    <w:rsid w:val="001D3A51"/>
    <w:rsid w:val="001D7043"/>
    <w:rsid w:val="001E10D2"/>
    <w:rsid w:val="001E25B4"/>
    <w:rsid w:val="001E44FE"/>
    <w:rsid w:val="00200595"/>
    <w:rsid w:val="00204835"/>
    <w:rsid w:val="002208E1"/>
    <w:rsid w:val="00231920"/>
    <w:rsid w:val="0023195C"/>
    <w:rsid w:val="0024282C"/>
    <w:rsid w:val="002460DC"/>
    <w:rsid w:val="00250985"/>
    <w:rsid w:val="002556F6"/>
    <w:rsid w:val="00283105"/>
    <w:rsid w:val="00284C4C"/>
    <w:rsid w:val="00287E68"/>
    <w:rsid w:val="00296529"/>
    <w:rsid w:val="002B22E1"/>
    <w:rsid w:val="002B27FB"/>
    <w:rsid w:val="002B685A"/>
    <w:rsid w:val="002C57D2"/>
    <w:rsid w:val="002D6030"/>
    <w:rsid w:val="002E0D56"/>
    <w:rsid w:val="002E4D67"/>
    <w:rsid w:val="00315186"/>
    <w:rsid w:val="00321CCF"/>
    <w:rsid w:val="003326EA"/>
    <w:rsid w:val="0033343E"/>
    <w:rsid w:val="0033448E"/>
    <w:rsid w:val="003512C2"/>
    <w:rsid w:val="00365AF1"/>
    <w:rsid w:val="00371FB6"/>
    <w:rsid w:val="003763C1"/>
    <w:rsid w:val="00376BBE"/>
    <w:rsid w:val="00377210"/>
    <w:rsid w:val="0039224F"/>
    <w:rsid w:val="0039426C"/>
    <w:rsid w:val="003A43A4"/>
    <w:rsid w:val="003A7E18"/>
    <w:rsid w:val="003B5B12"/>
    <w:rsid w:val="003C4C86"/>
    <w:rsid w:val="003C6258"/>
    <w:rsid w:val="003D3106"/>
    <w:rsid w:val="003E2904"/>
    <w:rsid w:val="003E468B"/>
    <w:rsid w:val="00401927"/>
    <w:rsid w:val="0041027F"/>
    <w:rsid w:val="00412475"/>
    <w:rsid w:val="00422382"/>
    <w:rsid w:val="00423789"/>
    <w:rsid w:val="00431A2F"/>
    <w:rsid w:val="004401A1"/>
    <w:rsid w:val="00440F43"/>
    <w:rsid w:val="00441B6F"/>
    <w:rsid w:val="00442420"/>
    <w:rsid w:val="00446221"/>
    <w:rsid w:val="00450E62"/>
    <w:rsid w:val="004539DB"/>
    <w:rsid w:val="00471A80"/>
    <w:rsid w:val="00477B57"/>
    <w:rsid w:val="004B203F"/>
    <w:rsid w:val="004D305E"/>
    <w:rsid w:val="004D4277"/>
    <w:rsid w:val="004D6914"/>
    <w:rsid w:val="00502516"/>
    <w:rsid w:val="00505F06"/>
    <w:rsid w:val="00506828"/>
    <w:rsid w:val="00520A4B"/>
    <w:rsid w:val="0053056E"/>
    <w:rsid w:val="00554FDA"/>
    <w:rsid w:val="005660A5"/>
    <w:rsid w:val="0057404D"/>
    <w:rsid w:val="005C784C"/>
    <w:rsid w:val="005D17F6"/>
    <w:rsid w:val="005E5539"/>
    <w:rsid w:val="00602BF5"/>
    <w:rsid w:val="00610F06"/>
    <w:rsid w:val="00612B41"/>
    <w:rsid w:val="00617FDD"/>
    <w:rsid w:val="00625209"/>
    <w:rsid w:val="00625757"/>
    <w:rsid w:val="00633614"/>
    <w:rsid w:val="00633F68"/>
    <w:rsid w:val="00636EB2"/>
    <w:rsid w:val="006375B8"/>
    <w:rsid w:val="00655882"/>
    <w:rsid w:val="00657482"/>
    <w:rsid w:val="0066510A"/>
    <w:rsid w:val="00673F9F"/>
    <w:rsid w:val="0068448A"/>
    <w:rsid w:val="00686953"/>
    <w:rsid w:val="00687DEA"/>
    <w:rsid w:val="00687E67"/>
    <w:rsid w:val="006967F7"/>
    <w:rsid w:val="006A250C"/>
    <w:rsid w:val="006B18AA"/>
    <w:rsid w:val="006B21D3"/>
    <w:rsid w:val="006B57D0"/>
    <w:rsid w:val="006D289A"/>
    <w:rsid w:val="006D30FF"/>
    <w:rsid w:val="006D43B1"/>
    <w:rsid w:val="006D6940"/>
    <w:rsid w:val="006F11EC"/>
    <w:rsid w:val="006F461E"/>
    <w:rsid w:val="0070082C"/>
    <w:rsid w:val="007369E6"/>
    <w:rsid w:val="00746E59"/>
    <w:rsid w:val="00754C9A"/>
    <w:rsid w:val="0075599A"/>
    <w:rsid w:val="00761D52"/>
    <w:rsid w:val="007621D0"/>
    <w:rsid w:val="00766AF7"/>
    <w:rsid w:val="0077749E"/>
    <w:rsid w:val="0078076E"/>
    <w:rsid w:val="00782E3E"/>
    <w:rsid w:val="00790ADA"/>
    <w:rsid w:val="007B3AB6"/>
    <w:rsid w:val="007D2288"/>
    <w:rsid w:val="007D7A73"/>
    <w:rsid w:val="007E088F"/>
    <w:rsid w:val="007F7B32"/>
    <w:rsid w:val="00804BC2"/>
    <w:rsid w:val="008070AE"/>
    <w:rsid w:val="0081431A"/>
    <w:rsid w:val="0083216F"/>
    <w:rsid w:val="008456E6"/>
    <w:rsid w:val="00860000"/>
    <w:rsid w:val="00863BD3"/>
    <w:rsid w:val="008641ED"/>
    <w:rsid w:val="00866D66"/>
    <w:rsid w:val="008671C6"/>
    <w:rsid w:val="00875803"/>
    <w:rsid w:val="008B459E"/>
    <w:rsid w:val="008D172C"/>
    <w:rsid w:val="008E13AE"/>
    <w:rsid w:val="008E1506"/>
    <w:rsid w:val="008E710C"/>
    <w:rsid w:val="008F2FB2"/>
    <w:rsid w:val="008F69D6"/>
    <w:rsid w:val="00902823"/>
    <w:rsid w:val="00915CA6"/>
    <w:rsid w:val="00927834"/>
    <w:rsid w:val="0093092C"/>
    <w:rsid w:val="00944BD3"/>
    <w:rsid w:val="009500A6"/>
    <w:rsid w:val="00957835"/>
    <w:rsid w:val="00957C18"/>
    <w:rsid w:val="00962030"/>
    <w:rsid w:val="009659BA"/>
    <w:rsid w:val="00983040"/>
    <w:rsid w:val="009945F1"/>
    <w:rsid w:val="009B3FB9"/>
    <w:rsid w:val="009B4237"/>
    <w:rsid w:val="009C2465"/>
    <w:rsid w:val="009D35A0"/>
    <w:rsid w:val="009D7EB7"/>
    <w:rsid w:val="009E048A"/>
    <w:rsid w:val="009E08E9"/>
    <w:rsid w:val="009E3DB9"/>
    <w:rsid w:val="009E6E35"/>
    <w:rsid w:val="009F0EDA"/>
    <w:rsid w:val="009F7FD9"/>
    <w:rsid w:val="00A01EB7"/>
    <w:rsid w:val="00A03B96"/>
    <w:rsid w:val="00A05B19"/>
    <w:rsid w:val="00A1134E"/>
    <w:rsid w:val="00A24E7E"/>
    <w:rsid w:val="00A258C3"/>
    <w:rsid w:val="00A347C0"/>
    <w:rsid w:val="00A51431"/>
    <w:rsid w:val="00A539AD"/>
    <w:rsid w:val="00A84DE7"/>
    <w:rsid w:val="00A85BA9"/>
    <w:rsid w:val="00A94063"/>
    <w:rsid w:val="00A95680"/>
    <w:rsid w:val="00AA6219"/>
    <w:rsid w:val="00AA74E0"/>
    <w:rsid w:val="00AB703F"/>
    <w:rsid w:val="00AC33DB"/>
    <w:rsid w:val="00AC6BB8"/>
    <w:rsid w:val="00AD3CFE"/>
    <w:rsid w:val="00AE008F"/>
    <w:rsid w:val="00AF3414"/>
    <w:rsid w:val="00B01FCD"/>
    <w:rsid w:val="00B06737"/>
    <w:rsid w:val="00B1776C"/>
    <w:rsid w:val="00B25F40"/>
    <w:rsid w:val="00B52583"/>
    <w:rsid w:val="00B52896"/>
    <w:rsid w:val="00B55992"/>
    <w:rsid w:val="00B642D1"/>
    <w:rsid w:val="00B655E5"/>
    <w:rsid w:val="00B72201"/>
    <w:rsid w:val="00B80B7C"/>
    <w:rsid w:val="00B8469B"/>
    <w:rsid w:val="00B916D7"/>
    <w:rsid w:val="00B94347"/>
    <w:rsid w:val="00B95236"/>
    <w:rsid w:val="00B96BD9"/>
    <w:rsid w:val="00B96FE8"/>
    <w:rsid w:val="00BA0FB2"/>
    <w:rsid w:val="00BA1B01"/>
    <w:rsid w:val="00BA2641"/>
    <w:rsid w:val="00BB37AA"/>
    <w:rsid w:val="00BC53A0"/>
    <w:rsid w:val="00BE62AD"/>
    <w:rsid w:val="00BF121F"/>
    <w:rsid w:val="00BF1F80"/>
    <w:rsid w:val="00C166EF"/>
    <w:rsid w:val="00C1700D"/>
    <w:rsid w:val="00C17EB0"/>
    <w:rsid w:val="00C22C5E"/>
    <w:rsid w:val="00C27F5F"/>
    <w:rsid w:val="00C30A0F"/>
    <w:rsid w:val="00C37E61"/>
    <w:rsid w:val="00C70F1B"/>
    <w:rsid w:val="00C71A47"/>
    <w:rsid w:val="00C722F0"/>
    <w:rsid w:val="00C7464C"/>
    <w:rsid w:val="00C75BD7"/>
    <w:rsid w:val="00C85588"/>
    <w:rsid w:val="00CB4CEC"/>
    <w:rsid w:val="00CD2976"/>
    <w:rsid w:val="00CD6755"/>
    <w:rsid w:val="00CD6856"/>
    <w:rsid w:val="00CE0089"/>
    <w:rsid w:val="00CE4760"/>
    <w:rsid w:val="00CE793C"/>
    <w:rsid w:val="00CF0512"/>
    <w:rsid w:val="00CF193C"/>
    <w:rsid w:val="00D173F1"/>
    <w:rsid w:val="00D74CB0"/>
    <w:rsid w:val="00D80135"/>
    <w:rsid w:val="00D8295D"/>
    <w:rsid w:val="00DA55EA"/>
    <w:rsid w:val="00DC2A65"/>
    <w:rsid w:val="00DE15F0"/>
    <w:rsid w:val="00DE360C"/>
    <w:rsid w:val="00DE5663"/>
    <w:rsid w:val="00DE78AA"/>
    <w:rsid w:val="00E053D0"/>
    <w:rsid w:val="00E11A0A"/>
    <w:rsid w:val="00E13713"/>
    <w:rsid w:val="00E15994"/>
    <w:rsid w:val="00E20EFF"/>
    <w:rsid w:val="00E3114E"/>
    <w:rsid w:val="00E3130B"/>
    <w:rsid w:val="00E31A70"/>
    <w:rsid w:val="00E35B02"/>
    <w:rsid w:val="00E66496"/>
    <w:rsid w:val="00E66B35"/>
    <w:rsid w:val="00E66E10"/>
    <w:rsid w:val="00E66FA8"/>
    <w:rsid w:val="00E67A40"/>
    <w:rsid w:val="00E769F6"/>
    <w:rsid w:val="00E8407C"/>
    <w:rsid w:val="00E84F3C"/>
    <w:rsid w:val="00EA012C"/>
    <w:rsid w:val="00EC6A55"/>
    <w:rsid w:val="00ED0288"/>
    <w:rsid w:val="00ED40AE"/>
    <w:rsid w:val="00EE52CB"/>
    <w:rsid w:val="00EE6E67"/>
    <w:rsid w:val="00EF581D"/>
    <w:rsid w:val="00EF7FD8"/>
    <w:rsid w:val="00F06F59"/>
    <w:rsid w:val="00F17988"/>
    <w:rsid w:val="00F469F0"/>
    <w:rsid w:val="00F53273"/>
    <w:rsid w:val="00F755E4"/>
    <w:rsid w:val="00F77D02"/>
    <w:rsid w:val="00F80F7D"/>
    <w:rsid w:val="00FB1D5C"/>
    <w:rsid w:val="00FB3A86"/>
    <w:rsid w:val="00FD36C8"/>
    <w:rsid w:val="00FE3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BDC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B12"/>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57835"/>
    <w:pPr>
      <w:ind w:left="720"/>
      <w:contextualSpacing/>
    </w:pPr>
  </w:style>
  <w:style w:type="character" w:styleId="PlaceholderText">
    <w:name w:val="Placeholder Text"/>
    <w:basedOn w:val="DefaultParagraphFont"/>
    <w:uiPriority w:val="99"/>
    <w:semiHidden/>
    <w:rsid w:val="00F80F7D"/>
    <w:rPr>
      <w:color w:val="808080"/>
    </w:rPr>
  </w:style>
  <w:style w:type="paragraph" w:styleId="Caption">
    <w:name w:val="caption"/>
    <w:basedOn w:val="Normal"/>
    <w:next w:val="Normal"/>
    <w:unhideWhenUsed/>
    <w:qFormat/>
    <w:rsid w:val="000543FF"/>
    <w:pPr>
      <w:spacing w:after="200"/>
    </w:pPr>
    <w:rPr>
      <w:i/>
      <w:iCs/>
      <w:color w:val="1F497D" w:themeColor="text2"/>
      <w:sz w:val="18"/>
      <w:szCs w:val="18"/>
    </w:rPr>
  </w:style>
  <w:style w:type="character" w:customStyle="1" w:styleId="Heading1Char">
    <w:name w:val="Heading 1 Char"/>
    <w:basedOn w:val="DefaultParagraphFont"/>
    <w:link w:val="Heading1"/>
    <w:uiPriority w:val="9"/>
    <w:rsid w:val="00FB1D5C"/>
    <w:rPr>
      <w:rFonts w:ascii="Arial" w:hAnsi="Arial"/>
      <w:b/>
      <w:kern w:val="28"/>
      <w:sz w:val="28"/>
    </w:rPr>
  </w:style>
  <w:style w:type="paragraph" w:styleId="NormalWeb">
    <w:name w:val="Normal (Web)"/>
    <w:basedOn w:val="Normal"/>
    <w:semiHidden/>
    <w:unhideWhenUsed/>
    <w:rsid w:val="003E468B"/>
    <w:rPr>
      <w:rFonts w:ascii="Times New Roman" w:hAnsi="Times New Roman"/>
      <w:sz w:val="24"/>
      <w:szCs w:val="24"/>
    </w:rPr>
  </w:style>
  <w:style w:type="character" w:styleId="UnresolvedMention">
    <w:name w:val="Unresolved Mention"/>
    <w:basedOn w:val="DefaultParagraphFont"/>
    <w:uiPriority w:val="99"/>
    <w:semiHidden/>
    <w:unhideWhenUsed/>
    <w:rsid w:val="00AC3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8945138">
      <w:bodyDiv w:val="1"/>
      <w:marLeft w:val="0"/>
      <w:marRight w:val="0"/>
      <w:marTop w:val="0"/>
      <w:marBottom w:val="0"/>
      <w:divBdr>
        <w:top w:val="none" w:sz="0" w:space="0" w:color="auto"/>
        <w:left w:val="none" w:sz="0" w:space="0" w:color="auto"/>
        <w:bottom w:val="none" w:sz="0" w:space="0" w:color="auto"/>
        <w:right w:val="none" w:sz="0" w:space="0" w:color="auto"/>
      </w:divBdr>
    </w:div>
    <w:div w:id="503596905">
      <w:bodyDiv w:val="1"/>
      <w:marLeft w:val="0"/>
      <w:marRight w:val="0"/>
      <w:marTop w:val="0"/>
      <w:marBottom w:val="0"/>
      <w:divBdr>
        <w:top w:val="none" w:sz="0" w:space="0" w:color="auto"/>
        <w:left w:val="none" w:sz="0" w:space="0" w:color="auto"/>
        <w:bottom w:val="none" w:sz="0" w:space="0" w:color="auto"/>
        <w:right w:val="none" w:sz="0" w:space="0" w:color="auto"/>
      </w:divBdr>
    </w:div>
    <w:div w:id="5651879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23793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B82C-FE9D-463C-B486-84807026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286</TotalTime>
  <Pages>10</Pages>
  <Words>17524</Words>
  <Characters>99893</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117183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TMBRS Panvel</cp:lastModifiedBy>
  <cp:revision>3</cp:revision>
  <cp:lastPrinted>1999-07-06T11:00:00Z</cp:lastPrinted>
  <dcterms:created xsi:type="dcterms:W3CDTF">2026-05-21T06:37:00Z</dcterms:created>
  <dcterms:modified xsi:type="dcterms:W3CDTF">2026-05-21T11:22:00Z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d637f38a-190e-3760-9e6f-9ac4f06d971c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http://www.zotero.org/styles/apa</vt:lpwstr>
  </property>
  <property fmtid="{D5CDD505-2E9C-101B-9397-08002B2CF9AE}" pid="8" name="Mendeley Recent Style Name 1_1">
    <vt:lpwstr>APA Style 7th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APSA Style Manual revised 2018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ASA Style Guide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