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8524" w14:textId="77777777" w:rsidR="00CE1106" w:rsidRDefault="007E060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Knowledge of Farmers on Organic Farming in Bundelkhand Region of Uttar Pradesh</w:t>
      </w:r>
    </w:p>
    <w:p w14:paraId="229BEFB6" w14:textId="77777777" w:rsidR="0094524D" w:rsidRDefault="0094524D">
      <w:pPr>
        <w:spacing w:after="0" w:line="360" w:lineRule="auto"/>
        <w:jc w:val="center"/>
        <w:rPr>
          <w:rFonts w:ascii="Times New Roman" w:hAnsi="Times New Roman" w:cs="Times New Roman"/>
          <w:b/>
          <w:bCs/>
          <w:sz w:val="24"/>
          <w:szCs w:val="24"/>
        </w:rPr>
      </w:pPr>
    </w:p>
    <w:p w14:paraId="77015990" w14:textId="52739144" w:rsidR="0094524D" w:rsidRDefault="0094524D">
      <w:pPr>
        <w:spacing w:after="0" w:line="360" w:lineRule="auto"/>
        <w:jc w:val="center"/>
        <w:rPr>
          <w:rFonts w:ascii="Times New Roman" w:hAnsi="Times New Roman" w:cs="Times New Roman"/>
          <w:b/>
          <w:bCs/>
          <w:sz w:val="24"/>
          <w:szCs w:val="24"/>
        </w:rPr>
      </w:pPr>
    </w:p>
    <w:p w14:paraId="3698B885" w14:textId="1BEB8AF4" w:rsidR="00CE160A" w:rsidRDefault="00CE160A">
      <w:pPr>
        <w:spacing w:after="0" w:line="360" w:lineRule="auto"/>
        <w:jc w:val="center"/>
        <w:rPr>
          <w:rFonts w:ascii="Times New Roman" w:hAnsi="Times New Roman"/>
          <w:b/>
          <w:bCs/>
          <w:sz w:val="24"/>
          <w:szCs w:val="24"/>
        </w:rPr>
      </w:pPr>
    </w:p>
    <w:p w14:paraId="363E74CE" w14:textId="77777777" w:rsidR="00CE160A" w:rsidRDefault="00CE160A">
      <w:pPr>
        <w:spacing w:after="0" w:line="360" w:lineRule="auto"/>
        <w:jc w:val="center"/>
        <w:rPr>
          <w:rFonts w:ascii="Times New Roman" w:hAnsi="Times New Roman"/>
          <w:b/>
          <w:bCs/>
          <w:sz w:val="24"/>
          <w:szCs w:val="24"/>
        </w:rPr>
      </w:pPr>
    </w:p>
    <w:p w14:paraId="1156C7AC" w14:textId="77777777" w:rsidR="00CE1106" w:rsidRDefault="007E060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936C11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Natural resources of countries are its national property, proper planning is required to make the most use of them. As a result, appropriate manageme</w:t>
      </w:r>
      <w:bookmarkStart w:id="0" w:name="_GoBack"/>
      <w:bookmarkEnd w:id="0"/>
      <w:r>
        <w:rPr>
          <w:rFonts w:ascii="Times New Roman" w:hAnsi="Times New Roman" w:cs="Times New Roman"/>
          <w:sz w:val="24"/>
          <w:szCs w:val="24"/>
        </w:rPr>
        <w:t>nt measures are urgently required to safeguard agricultural areas' productive</w:t>
      </w:r>
      <w:r>
        <w:rPr>
          <w:rFonts w:ascii="Times New Roman" w:hAnsi="Times New Roman" w:cs="Times New Roman"/>
          <w:sz w:val="24"/>
          <w:szCs w:val="24"/>
        </w:rPr>
        <w:t xml:space="preserve"> potential. Study was conduct in </w:t>
      </w:r>
      <w:proofErr w:type="spellStart"/>
      <w:r>
        <w:rPr>
          <w:rFonts w:ascii="Times New Roman" w:hAnsi="Times New Roman" w:cs="Times New Roman"/>
          <w:sz w:val="24"/>
          <w:szCs w:val="24"/>
        </w:rPr>
        <w:t>Hamirpure</w:t>
      </w:r>
      <w:proofErr w:type="spellEnd"/>
      <w:r>
        <w:rPr>
          <w:rFonts w:ascii="Times New Roman" w:hAnsi="Times New Roman" w:cs="Times New Roman"/>
          <w:sz w:val="24"/>
          <w:szCs w:val="24"/>
        </w:rPr>
        <w:t>, Bundelkhand region of Uttar Pradesh to assess the Knowledge of Farmers on Organic farming. Data was collected from 120 organic farming practices were selected from the two blocks by using simple random sampling w</w:t>
      </w:r>
      <w:r>
        <w:rPr>
          <w:rFonts w:ascii="Times New Roman" w:hAnsi="Times New Roman" w:cs="Times New Roman"/>
          <w:sz w:val="24"/>
          <w:szCs w:val="24"/>
        </w:rPr>
        <w:t>ith proportion to the size of sample in selected villages. Ex post facto research designed was employed for the study area. The results revealed that 81.66 percent of respondents had a medium level of knowledge about organic farming whereas 9.16 percent an</w:t>
      </w:r>
      <w:r>
        <w:rPr>
          <w:rFonts w:ascii="Times New Roman" w:hAnsi="Times New Roman" w:cs="Times New Roman"/>
          <w:sz w:val="24"/>
          <w:szCs w:val="24"/>
        </w:rPr>
        <w:t xml:space="preserve">d 9.16 percent respondents having a high and low level of knowledge regarding organic farming respectively. The knowledge schedule consisted of 22 items from different aspects of organic farming practices like inputs, manures, </w:t>
      </w:r>
      <w:proofErr w:type="spellStart"/>
      <w:r>
        <w:rPr>
          <w:rFonts w:ascii="Times New Roman" w:hAnsi="Times New Roman" w:cs="Times New Roman"/>
          <w:sz w:val="24"/>
          <w:szCs w:val="24"/>
        </w:rPr>
        <w:t>vermi</w:t>
      </w:r>
      <w:proofErr w:type="spellEnd"/>
      <w:r>
        <w:rPr>
          <w:rFonts w:ascii="Times New Roman" w:hAnsi="Times New Roman" w:cs="Times New Roman"/>
          <w:sz w:val="24"/>
          <w:szCs w:val="24"/>
        </w:rPr>
        <w:t>-compost, organic certif</w:t>
      </w:r>
      <w:r>
        <w:rPr>
          <w:rFonts w:ascii="Times New Roman" w:hAnsi="Times New Roman" w:cs="Times New Roman"/>
          <w:sz w:val="24"/>
          <w:szCs w:val="24"/>
        </w:rPr>
        <w:t xml:space="preserve">ication, diseases management, bio pesticides, bio fertilizers, alternatives of chemical fertilizer and pesticides and marketing managements etc.  </w:t>
      </w:r>
    </w:p>
    <w:p w14:paraId="549969C3" w14:textId="77777777" w:rsidR="00CE1106" w:rsidRDefault="007E060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Knowledge, Organic farming practices, Input Agency, Certification Agency </w:t>
      </w:r>
    </w:p>
    <w:p w14:paraId="1C7B4DB6" w14:textId="77777777" w:rsidR="00CE1106" w:rsidRDefault="007E060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160F9DC" w14:textId="77777777" w:rsidR="00CE1106" w:rsidRDefault="007E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growth o</w:t>
      </w:r>
      <w:r>
        <w:rPr>
          <w:rFonts w:ascii="Times New Roman" w:hAnsi="Times New Roman" w:cs="Times New Roman"/>
          <w:sz w:val="24"/>
          <w:szCs w:val="24"/>
        </w:rPr>
        <w:t>f population and the increase in income will lead to a rise in demand for food grains as well as for the various agricultural bashed raw materials which are needed for running the industries in the future. At present in India 140 million hectares will have</w:t>
      </w:r>
      <w:r>
        <w:rPr>
          <w:rFonts w:ascii="Times New Roman" w:hAnsi="Times New Roman" w:cs="Times New Roman"/>
          <w:sz w:val="24"/>
          <w:szCs w:val="24"/>
        </w:rPr>
        <w:t xml:space="preserve"> to meet the future increases in such demands, area under cultivation, obviously, cannot be increased. There is a strong reason for even a decline in the cultivated area because of the urbanization and industrialization, which in turn will exert much press</w:t>
      </w:r>
      <w:r>
        <w:rPr>
          <w:rFonts w:ascii="Times New Roman" w:hAnsi="Times New Roman" w:cs="Times New Roman"/>
          <w:sz w:val="24"/>
          <w:szCs w:val="24"/>
        </w:rPr>
        <w:t>ure on the existing, cropped area. Organic cultivation is attracting farmers the world over due to its various advantages over modern agricultural practices. Essentially it is a farming system which supports and strengthens biological processes without rec</w:t>
      </w:r>
      <w:r>
        <w:rPr>
          <w:rFonts w:ascii="Times New Roman" w:hAnsi="Times New Roman" w:cs="Times New Roman"/>
          <w:sz w:val="24"/>
          <w:szCs w:val="24"/>
        </w:rPr>
        <w:t xml:space="preserve">ourse to inorganic remedies such as chemicals or genetically modified organisms (Reddy, 2010). Natural resources of countries are its national property, proper planning is required to make the most use of them. As a result, appropriate management measures </w:t>
      </w:r>
      <w:r>
        <w:rPr>
          <w:rFonts w:ascii="Times New Roman" w:hAnsi="Times New Roman" w:cs="Times New Roman"/>
          <w:sz w:val="24"/>
          <w:szCs w:val="24"/>
        </w:rPr>
        <w:t xml:space="preserve">are urgently required to safeguard agricultural areas' productive potential. The key to achieving sustained high production, food security, and environmental safety is effective </w:t>
      </w:r>
      <w:r>
        <w:rPr>
          <w:rFonts w:ascii="Times New Roman" w:hAnsi="Times New Roman" w:cs="Times New Roman"/>
          <w:sz w:val="24"/>
          <w:szCs w:val="24"/>
        </w:rPr>
        <w:lastRenderedPageBreak/>
        <w:t xml:space="preserve">management and maintenance of soil health/quality. As a result of the rapidly </w:t>
      </w:r>
      <w:r>
        <w:rPr>
          <w:rFonts w:ascii="Times New Roman" w:hAnsi="Times New Roman" w:cs="Times New Roman"/>
          <w:sz w:val="24"/>
          <w:szCs w:val="24"/>
        </w:rPr>
        <w:t>shrinking land area for agriculture, deteriorating soil fertility, and increasing soil degradation, as well as incorrect land use policies and irrational and imbalanced input utilization, soil is receiving increased attention. All of these reasons necessit</w:t>
      </w:r>
      <w:r>
        <w:rPr>
          <w:rFonts w:ascii="Times New Roman" w:hAnsi="Times New Roman" w:cs="Times New Roman"/>
          <w:sz w:val="24"/>
          <w:szCs w:val="24"/>
        </w:rPr>
        <w:t>ate a research shift away from maximal crop output and toward a "sustainable crop production system" that does not degrade soil health or environmental quality. The essential requirement of the era is to develop and implement an ideal management system tha</w:t>
      </w:r>
      <w:r>
        <w:rPr>
          <w:rFonts w:ascii="Times New Roman" w:hAnsi="Times New Roman" w:cs="Times New Roman"/>
          <w:sz w:val="24"/>
          <w:szCs w:val="24"/>
        </w:rPr>
        <w:t xml:space="preserve">t can maintain or improve the quality of natural resources. One of the possibilities for improving natural resources or even damaged land is to use an organic management system. The Indian agriculture switched over to the conventional system of production </w:t>
      </w:r>
      <w:r>
        <w:rPr>
          <w:rFonts w:ascii="Times New Roman" w:hAnsi="Times New Roman" w:cs="Times New Roman"/>
          <w:sz w:val="24"/>
          <w:szCs w:val="24"/>
        </w:rPr>
        <w:t>on the advent of the green revolution after 1966. Following the commencement of the green revolution in India, the use of improved crop types and higher levels of inputs, fertilizers, and plant protection chemicals resulted in a significant increase in foo</w:t>
      </w:r>
      <w:r>
        <w:rPr>
          <w:rFonts w:ascii="Times New Roman" w:hAnsi="Times New Roman" w:cs="Times New Roman"/>
          <w:sz w:val="24"/>
          <w:szCs w:val="24"/>
        </w:rPr>
        <w:t>d grain production. However, it has recently been shown that the boost in productivity came at the expense of soil health. In fact, indiscriminate use of irrigation water, pesticides and chemical fertilizer’s adversely affects around 60% of our currently c</w:t>
      </w:r>
      <w:r>
        <w:rPr>
          <w:rFonts w:ascii="Times New Roman" w:hAnsi="Times New Roman" w:cs="Times New Roman"/>
          <w:sz w:val="24"/>
          <w:szCs w:val="24"/>
        </w:rPr>
        <w:t>ultivated agricultural area. The increased usage of fertilizers is one of the major causes to increase in food production during the green revolution period. Organic farming is a type of farming that avoids or limits the use of synthetically produced ferti</w:t>
      </w:r>
      <w:r>
        <w:rPr>
          <w:rFonts w:ascii="Times New Roman" w:hAnsi="Times New Roman" w:cs="Times New Roman"/>
          <w:sz w:val="24"/>
          <w:szCs w:val="24"/>
        </w:rPr>
        <w:t>lizers, pesticides, growth regulators, and livestock feed additives. Crop rotations, crop residues, animal manures, legumes, green manures, off-farm organic wastes, mechanical cultivation, mineral bearing rocks, and aspects of biological pest control are u</w:t>
      </w:r>
      <w:r>
        <w:rPr>
          <w:rFonts w:ascii="Times New Roman" w:hAnsi="Times New Roman" w:cs="Times New Roman"/>
          <w:sz w:val="24"/>
          <w:szCs w:val="24"/>
        </w:rPr>
        <w:t>sed to maintain soil productivity and tilt, supply plant nutrients, and control insects, weeds, and other pests to the greatest extent possible in organic farming systems.</w:t>
      </w:r>
    </w:p>
    <w:p w14:paraId="405E5659"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7E235D9C"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For the present study Ex-post-facto research design was used and Hamirpu</w:t>
      </w:r>
      <w:r>
        <w:rPr>
          <w:rFonts w:ascii="Times New Roman" w:hAnsi="Times New Roman" w:cs="Times New Roman"/>
          <w:sz w:val="24"/>
          <w:szCs w:val="24"/>
        </w:rPr>
        <w:t xml:space="preserve">r district was selected purposively. Out of seven blocks, two blocks i.e. </w:t>
      </w:r>
      <w:proofErr w:type="spellStart"/>
      <w:r>
        <w:rPr>
          <w:rFonts w:ascii="Times New Roman" w:hAnsi="Times New Roman" w:cs="Times New Roman"/>
          <w:sz w:val="24"/>
          <w:szCs w:val="24"/>
        </w:rPr>
        <w:t>Sarila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Sumerpur</w:t>
      </w:r>
      <w:proofErr w:type="spellEnd"/>
      <w:r>
        <w:rPr>
          <w:rFonts w:ascii="Times New Roman" w:hAnsi="Times New Roman" w:cs="Times New Roman"/>
          <w:sz w:val="24"/>
          <w:szCs w:val="24"/>
        </w:rPr>
        <w:t xml:space="preserve"> were selected for the present study. The scheme had covered around 7000 acres (1000 acers in each blocks) of land in 140 clusters (20 in each block), around 7000 </w:t>
      </w:r>
      <w:proofErr w:type="gramStart"/>
      <w:r>
        <w:rPr>
          <w:rFonts w:ascii="Times New Roman" w:hAnsi="Times New Roman" w:cs="Times New Roman"/>
          <w:sz w:val="24"/>
          <w:szCs w:val="24"/>
        </w:rPr>
        <w:t>far</w:t>
      </w:r>
      <w:r>
        <w:rPr>
          <w:rFonts w:ascii="Times New Roman" w:hAnsi="Times New Roman" w:cs="Times New Roman"/>
          <w:sz w:val="24"/>
          <w:szCs w:val="24"/>
        </w:rPr>
        <w:t>mer’s</w:t>
      </w:r>
      <w:proofErr w:type="gramEnd"/>
      <w:r>
        <w:rPr>
          <w:rFonts w:ascii="Times New Roman" w:hAnsi="Times New Roman" w:cs="Times New Roman"/>
          <w:sz w:val="24"/>
          <w:szCs w:val="24"/>
        </w:rPr>
        <w:t xml:space="preserve"> (50 farmers in each cluster) were benefited with this scheme.  Two blocks namely </w:t>
      </w:r>
      <w:proofErr w:type="spellStart"/>
      <w:r>
        <w:rPr>
          <w:rFonts w:ascii="Times New Roman" w:hAnsi="Times New Roman" w:cs="Times New Roman"/>
          <w:sz w:val="24"/>
          <w:szCs w:val="24"/>
        </w:rPr>
        <w:t>Sarila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Sumerpur</w:t>
      </w:r>
      <w:proofErr w:type="spellEnd"/>
      <w:r>
        <w:rPr>
          <w:rFonts w:ascii="Times New Roman" w:hAnsi="Times New Roman" w:cs="Times New Roman"/>
          <w:sz w:val="24"/>
          <w:szCs w:val="24"/>
        </w:rPr>
        <w:t xml:space="preserve"> was selected randomly. Further, from the list of cluster/ village ten villages (five from each block) namely </w:t>
      </w:r>
      <w:proofErr w:type="spellStart"/>
      <w:r>
        <w:rPr>
          <w:rFonts w:ascii="Times New Roman" w:hAnsi="Times New Roman" w:cs="Times New Roman"/>
          <w:sz w:val="24"/>
          <w:szCs w:val="24"/>
        </w:rPr>
        <w:t>Devgaun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Paraojhi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Chandaukhi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Kalaulite</w:t>
      </w:r>
      <w:r>
        <w:rPr>
          <w:rFonts w:ascii="Times New Roman" w:hAnsi="Times New Roman" w:cs="Times New Roman"/>
          <w:sz w:val="24"/>
          <w:szCs w:val="24"/>
        </w:rPr>
        <w:t>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Tikarauli</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Sumerpur</w:t>
      </w:r>
      <w:proofErr w:type="spellEnd"/>
      <w:r>
        <w:rPr>
          <w:rFonts w:ascii="Times New Roman" w:hAnsi="Times New Roman" w:cs="Times New Roman"/>
          <w:sz w:val="24"/>
          <w:szCs w:val="24"/>
        </w:rPr>
        <w:t xml:space="preserve"> block and </w:t>
      </w:r>
      <w:proofErr w:type="spellStart"/>
      <w:r>
        <w:rPr>
          <w:rFonts w:ascii="Times New Roman" w:hAnsi="Times New Roman" w:cs="Times New Roman"/>
          <w:sz w:val="24"/>
          <w:szCs w:val="24"/>
        </w:rPr>
        <w:t>Chhibauli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Rigwara</w:t>
      </w:r>
      <w:proofErr w:type="spellEnd"/>
      <w:r>
        <w:rPr>
          <w:rFonts w:ascii="Times New Roman" w:hAnsi="Times New Roman" w:cs="Times New Roman"/>
          <w:sz w:val="24"/>
          <w:szCs w:val="24"/>
        </w:rPr>
        <w:t xml:space="preserve"> Kala, </w:t>
      </w:r>
      <w:proofErr w:type="spellStart"/>
      <w:r>
        <w:rPr>
          <w:rFonts w:ascii="Times New Roman" w:hAnsi="Times New Roman" w:cs="Times New Roman"/>
          <w:sz w:val="24"/>
          <w:szCs w:val="24"/>
        </w:rPr>
        <w:t>Pahara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Bhaisaye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Turna</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Sarila</w:t>
      </w:r>
      <w:proofErr w:type="spellEnd"/>
      <w:r>
        <w:rPr>
          <w:rFonts w:ascii="Times New Roman" w:hAnsi="Times New Roman" w:cs="Times New Roman"/>
          <w:sz w:val="24"/>
          <w:szCs w:val="24"/>
        </w:rPr>
        <w:t xml:space="preserve"> block was selected randomly for present study. Further, the list of </w:t>
      </w:r>
      <w:proofErr w:type="gramStart"/>
      <w:r>
        <w:rPr>
          <w:rFonts w:ascii="Times New Roman" w:hAnsi="Times New Roman" w:cs="Times New Roman"/>
          <w:sz w:val="24"/>
          <w:szCs w:val="24"/>
        </w:rPr>
        <w:t>beneficiaries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farmer’s</w:t>
      </w:r>
      <w:proofErr w:type="spellEnd"/>
      <w:r>
        <w:rPr>
          <w:rFonts w:ascii="Times New Roman" w:hAnsi="Times New Roman" w:cs="Times New Roman"/>
          <w:sz w:val="24"/>
          <w:szCs w:val="24"/>
        </w:rPr>
        <w:t xml:space="preserve"> of selected villages was collected from department of agricu</w:t>
      </w:r>
      <w:r>
        <w:rPr>
          <w:rFonts w:ascii="Times New Roman" w:hAnsi="Times New Roman" w:cs="Times New Roman"/>
          <w:sz w:val="24"/>
          <w:szCs w:val="24"/>
        </w:rPr>
        <w:t xml:space="preserve">lture as well as certifying agencies i.e. PGS India.  A list of </w:t>
      </w:r>
      <w:proofErr w:type="gramStart"/>
      <w:r>
        <w:rPr>
          <w:rFonts w:ascii="Times New Roman" w:hAnsi="Times New Roman" w:cs="Times New Roman"/>
          <w:sz w:val="24"/>
          <w:szCs w:val="24"/>
        </w:rPr>
        <w:t>beneficiaries</w:t>
      </w:r>
      <w:proofErr w:type="gramEnd"/>
      <w:r>
        <w:rPr>
          <w:rFonts w:ascii="Times New Roman" w:hAnsi="Times New Roman" w:cs="Times New Roman"/>
          <w:sz w:val="24"/>
          <w:szCs w:val="24"/>
        </w:rPr>
        <w:t xml:space="preserve"> farmers of each selected cluster/ village was prepared. Among these twelve beneficiaries about 25 percent from </w:t>
      </w:r>
      <w:r>
        <w:rPr>
          <w:rFonts w:ascii="Times New Roman" w:hAnsi="Times New Roman" w:cs="Times New Roman"/>
          <w:sz w:val="24"/>
          <w:szCs w:val="24"/>
        </w:rPr>
        <w:lastRenderedPageBreak/>
        <w:t>each cluster/ village has been selected as respondents. Altogether,</w:t>
      </w:r>
      <w:r>
        <w:rPr>
          <w:rFonts w:ascii="Times New Roman" w:hAnsi="Times New Roman" w:cs="Times New Roman"/>
          <w:sz w:val="24"/>
          <w:szCs w:val="24"/>
        </w:rPr>
        <w:t xml:space="preserve"> the total sample size of 120 respondents was selected randomly from the beneficiaries of scheme. Knowledge about organic farming practices was measured with the help of structured schedule, which was specially developed in consultation with the expert and</w:t>
      </w:r>
      <w:r>
        <w:rPr>
          <w:rFonts w:ascii="Times New Roman" w:hAnsi="Times New Roman" w:cs="Times New Roman"/>
          <w:sz w:val="24"/>
          <w:szCs w:val="24"/>
        </w:rPr>
        <w:t xml:space="preserve"> teachers of Department of Agricultural Extension and Agricultural Economics, College of Agriculture, BUAT, Banda Item selected for this purpose has been presented in appendix. The schedule consisted of 22 items from different aspects of organic farming pr</w:t>
      </w:r>
      <w:r>
        <w:rPr>
          <w:rFonts w:ascii="Times New Roman" w:hAnsi="Times New Roman" w:cs="Times New Roman"/>
          <w:sz w:val="24"/>
          <w:szCs w:val="24"/>
        </w:rPr>
        <w:t xml:space="preserve">actices like inputs, manures, </w:t>
      </w:r>
      <w:proofErr w:type="spellStart"/>
      <w:r>
        <w:rPr>
          <w:rFonts w:ascii="Times New Roman" w:hAnsi="Times New Roman" w:cs="Times New Roman"/>
          <w:sz w:val="24"/>
          <w:szCs w:val="24"/>
        </w:rPr>
        <w:t>vermi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copostes</w:t>
      </w:r>
      <w:proofErr w:type="spellEnd"/>
      <w:r>
        <w:rPr>
          <w:rFonts w:ascii="Times New Roman" w:hAnsi="Times New Roman" w:cs="Times New Roman"/>
          <w:sz w:val="24"/>
          <w:szCs w:val="24"/>
        </w:rPr>
        <w:t>,  organic</w:t>
      </w:r>
      <w:proofErr w:type="gramEnd"/>
      <w:r>
        <w:rPr>
          <w:rFonts w:ascii="Times New Roman" w:hAnsi="Times New Roman" w:cs="Times New Roman"/>
          <w:sz w:val="24"/>
          <w:szCs w:val="24"/>
        </w:rPr>
        <w:t xml:space="preserve"> certification, diseases management, bio pesticides, bio fertilizers, alternatives of chemical fertilizer and pesticides and  marketing managements etc.</w:t>
      </w:r>
    </w:p>
    <w:p w14:paraId="2DCB1C3D"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4071FA8"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Socio-economic profile of </w:t>
      </w:r>
      <w:r>
        <w:rPr>
          <w:rFonts w:ascii="Times New Roman" w:hAnsi="Times New Roman" w:cs="Times New Roman"/>
          <w:b/>
          <w:bCs/>
          <w:sz w:val="24"/>
          <w:szCs w:val="24"/>
        </w:rPr>
        <w:t>the respondents</w:t>
      </w:r>
    </w:p>
    <w:p w14:paraId="0056658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findings revealed that (Table 1) the majority (72.50%) of respondents was belonged to 39-56 years age group and greater part (45.83) of respondents were educated intermediate education level.  Common (78.33%) of respondents were </w:t>
      </w:r>
      <w:r>
        <w:rPr>
          <w:rFonts w:ascii="Times New Roman" w:hAnsi="Times New Roman" w:cs="Times New Roman"/>
          <w:sz w:val="24"/>
          <w:szCs w:val="24"/>
        </w:rPr>
        <w:t xml:space="preserve">belonging from joint family system and preponderance (48.33%) of respondents were belonging from medium family. Maximum (40.83%) of the respondents were belonged to medium (4-10 ha) land holding size. Most (64.16%) of the respondents were engaging in only </w:t>
      </w:r>
      <w:r>
        <w:rPr>
          <w:rFonts w:ascii="Times New Roman" w:hAnsi="Times New Roman" w:cs="Times New Roman"/>
          <w:sz w:val="24"/>
          <w:szCs w:val="24"/>
        </w:rPr>
        <w:t>Agriculture + Dairying. Maximum (91.66%) of the respondents come under above 100000 rupees per annum category. Highest (76.67%) of respondents come under member of at least one organization social participation category. Greater part (95.83%) of the respon</w:t>
      </w:r>
      <w:r>
        <w:rPr>
          <w:rFonts w:ascii="Times New Roman" w:hAnsi="Times New Roman" w:cs="Times New Roman"/>
          <w:sz w:val="24"/>
          <w:szCs w:val="24"/>
        </w:rPr>
        <w:t>dents has more than 10 years farming experience. Upper limit (95.83%) of the respondents was belonging to medium level of extension contact. Maximum (94.16%) of the respondent belonging to medium level of extension contact. Most (83.34%) of the respondents</w:t>
      </w:r>
      <w:r>
        <w:rPr>
          <w:rFonts w:ascii="Times New Roman" w:hAnsi="Times New Roman" w:cs="Times New Roman"/>
          <w:sz w:val="24"/>
          <w:szCs w:val="24"/>
        </w:rPr>
        <w:t xml:space="preserve"> belonging to medium level of scientific orientation.</w:t>
      </w:r>
    </w:p>
    <w:p w14:paraId="0D8171F7" w14:textId="77777777" w:rsidR="00CE1106" w:rsidRDefault="007E060A">
      <w:pPr>
        <w:pStyle w:val="ListParagraph"/>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Socio-demographic profile of the respondents (n=120)</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50"/>
        <w:gridCol w:w="3551"/>
        <w:gridCol w:w="1387"/>
        <w:gridCol w:w="1420"/>
      </w:tblGrid>
      <w:tr w:rsidR="00CE1106" w14:paraId="31B4B361" w14:textId="77777777">
        <w:trPr>
          <w:jc w:val="center"/>
        </w:trPr>
        <w:tc>
          <w:tcPr>
            <w:tcW w:w="744" w:type="dxa"/>
          </w:tcPr>
          <w:p w14:paraId="39FDD19F"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Sl. No.</w:t>
            </w:r>
          </w:p>
        </w:tc>
        <w:tc>
          <w:tcPr>
            <w:tcW w:w="2010" w:type="dxa"/>
          </w:tcPr>
          <w:p w14:paraId="595F8E25"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Profile characteristics</w:t>
            </w:r>
          </w:p>
        </w:tc>
        <w:tc>
          <w:tcPr>
            <w:tcW w:w="3645" w:type="dxa"/>
          </w:tcPr>
          <w:p w14:paraId="41DCF523"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Category</w:t>
            </w:r>
          </w:p>
        </w:tc>
        <w:tc>
          <w:tcPr>
            <w:tcW w:w="1406" w:type="dxa"/>
          </w:tcPr>
          <w:p w14:paraId="54B5156F" w14:textId="77777777" w:rsidR="00CE1106" w:rsidRDefault="007E060A">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438" w:type="dxa"/>
          </w:tcPr>
          <w:p w14:paraId="4204155F" w14:textId="77777777" w:rsidR="00CE1106" w:rsidRDefault="007E060A">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rsidR="00CE1106" w14:paraId="5E51AF14" w14:textId="77777777">
        <w:trPr>
          <w:trHeight w:val="357"/>
          <w:jc w:val="center"/>
        </w:trPr>
        <w:tc>
          <w:tcPr>
            <w:tcW w:w="744" w:type="dxa"/>
            <w:vMerge w:val="restart"/>
          </w:tcPr>
          <w:p w14:paraId="7C527038" w14:textId="77777777" w:rsidR="00CE1106" w:rsidRDefault="007E060A">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1.</w:t>
            </w:r>
          </w:p>
        </w:tc>
        <w:tc>
          <w:tcPr>
            <w:tcW w:w="2010" w:type="dxa"/>
            <w:vMerge w:val="restart"/>
          </w:tcPr>
          <w:p w14:paraId="01A80856"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sz w:val="24"/>
                <w:szCs w:val="24"/>
              </w:rPr>
              <w:t>Age</w:t>
            </w:r>
          </w:p>
          <w:p w14:paraId="2654859D" w14:textId="77777777" w:rsidR="00CE1106" w:rsidRDefault="00CE1106">
            <w:pPr>
              <w:spacing w:after="0" w:line="360" w:lineRule="auto"/>
              <w:jc w:val="both"/>
              <w:rPr>
                <w:rFonts w:ascii="Times New Roman" w:hAnsi="Times New Roman" w:cs="Times New Roman"/>
                <w:sz w:val="24"/>
                <w:szCs w:val="24"/>
              </w:rPr>
            </w:pPr>
          </w:p>
        </w:tc>
        <w:tc>
          <w:tcPr>
            <w:tcW w:w="3645" w:type="dxa"/>
          </w:tcPr>
          <w:p w14:paraId="13969E9F"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Young &lt; 39)</w:t>
            </w:r>
          </w:p>
        </w:tc>
        <w:tc>
          <w:tcPr>
            <w:tcW w:w="1406" w:type="dxa"/>
          </w:tcPr>
          <w:p w14:paraId="144FFCC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438" w:type="dxa"/>
          </w:tcPr>
          <w:p w14:paraId="5BA183FF"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CE1106" w14:paraId="687B3234" w14:textId="77777777">
        <w:trPr>
          <w:trHeight w:val="435"/>
          <w:jc w:val="center"/>
        </w:trPr>
        <w:tc>
          <w:tcPr>
            <w:tcW w:w="744" w:type="dxa"/>
            <w:vMerge/>
          </w:tcPr>
          <w:p w14:paraId="7EB687E6" w14:textId="77777777" w:rsidR="00CE1106" w:rsidRDefault="00CE1106">
            <w:pPr>
              <w:spacing w:after="0" w:line="360" w:lineRule="auto"/>
              <w:jc w:val="center"/>
              <w:rPr>
                <w:rFonts w:ascii="Times New Roman" w:hAnsi="Times New Roman" w:cs="Times New Roman"/>
                <w:b/>
                <w:sz w:val="24"/>
                <w:szCs w:val="24"/>
                <w:lang w:val="en-IN"/>
              </w:rPr>
            </w:pPr>
          </w:p>
        </w:tc>
        <w:tc>
          <w:tcPr>
            <w:tcW w:w="2010" w:type="dxa"/>
            <w:vMerge/>
          </w:tcPr>
          <w:p w14:paraId="3B888980"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3645" w:type="dxa"/>
          </w:tcPr>
          <w:p w14:paraId="000FD297"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Middle Age 39 to 56</w:t>
            </w:r>
          </w:p>
        </w:tc>
        <w:tc>
          <w:tcPr>
            <w:tcW w:w="1406" w:type="dxa"/>
          </w:tcPr>
          <w:p w14:paraId="7A0E8B3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87</w:t>
            </w:r>
          </w:p>
        </w:tc>
        <w:tc>
          <w:tcPr>
            <w:tcW w:w="1438" w:type="dxa"/>
          </w:tcPr>
          <w:p w14:paraId="1AFFF58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72.5</w:t>
            </w:r>
          </w:p>
        </w:tc>
      </w:tr>
      <w:tr w:rsidR="00CE1106" w14:paraId="14AD85B4" w14:textId="77777777">
        <w:trPr>
          <w:trHeight w:val="420"/>
          <w:jc w:val="center"/>
        </w:trPr>
        <w:tc>
          <w:tcPr>
            <w:tcW w:w="744" w:type="dxa"/>
            <w:vMerge/>
          </w:tcPr>
          <w:p w14:paraId="5941DFE3" w14:textId="77777777" w:rsidR="00CE1106" w:rsidRDefault="00CE1106">
            <w:pPr>
              <w:spacing w:after="0" w:line="360" w:lineRule="auto"/>
              <w:jc w:val="center"/>
              <w:rPr>
                <w:rFonts w:ascii="Times New Roman" w:hAnsi="Times New Roman" w:cs="Times New Roman"/>
                <w:b/>
                <w:sz w:val="24"/>
                <w:szCs w:val="24"/>
                <w:lang w:val="en-IN"/>
              </w:rPr>
            </w:pPr>
          </w:p>
        </w:tc>
        <w:tc>
          <w:tcPr>
            <w:tcW w:w="2010" w:type="dxa"/>
            <w:vMerge/>
          </w:tcPr>
          <w:p w14:paraId="4F36EFFD"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3645" w:type="dxa"/>
          </w:tcPr>
          <w:p w14:paraId="09A1A5AA"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Old Age &gt; 56)</w:t>
            </w:r>
          </w:p>
        </w:tc>
        <w:tc>
          <w:tcPr>
            <w:tcW w:w="1406" w:type="dxa"/>
          </w:tcPr>
          <w:p w14:paraId="195D1BB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438" w:type="dxa"/>
          </w:tcPr>
          <w:p w14:paraId="23FBF9DE"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12.5</w:t>
            </w:r>
          </w:p>
        </w:tc>
      </w:tr>
      <w:tr w:rsidR="00CE1106" w14:paraId="7DA2E32E" w14:textId="77777777">
        <w:trPr>
          <w:trHeight w:val="435"/>
          <w:jc w:val="center"/>
        </w:trPr>
        <w:tc>
          <w:tcPr>
            <w:tcW w:w="744" w:type="dxa"/>
            <w:vMerge w:val="restart"/>
          </w:tcPr>
          <w:p w14:paraId="5FEF0BE0"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2.</w:t>
            </w:r>
          </w:p>
        </w:tc>
        <w:tc>
          <w:tcPr>
            <w:tcW w:w="2010" w:type="dxa"/>
            <w:vMerge w:val="restart"/>
          </w:tcPr>
          <w:p w14:paraId="70A78722"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Education</w:t>
            </w:r>
          </w:p>
        </w:tc>
        <w:tc>
          <w:tcPr>
            <w:tcW w:w="3645" w:type="dxa"/>
          </w:tcPr>
          <w:p w14:paraId="65F81FBB"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Illiterate</w:t>
            </w:r>
          </w:p>
        </w:tc>
        <w:tc>
          <w:tcPr>
            <w:tcW w:w="1406" w:type="dxa"/>
          </w:tcPr>
          <w:p w14:paraId="7AE636D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38" w:type="dxa"/>
          </w:tcPr>
          <w:p w14:paraId="6CD334F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2.50</w:t>
            </w:r>
          </w:p>
        </w:tc>
      </w:tr>
      <w:tr w:rsidR="00CE1106" w14:paraId="40B12F8E" w14:textId="77777777">
        <w:trPr>
          <w:trHeight w:val="360"/>
          <w:jc w:val="center"/>
        </w:trPr>
        <w:tc>
          <w:tcPr>
            <w:tcW w:w="744" w:type="dxa"/>
            <w:vMerge/>
          </w:tcPr>
          <w:p w14:paraId="6CF24F9F" w14:textId="77777777" w:rsidR="00CE1106" w:rsidRDefault="00CE1106">
            <w:pPr>
              <w:pStyle w:val="ListParagraph"/>
              <w:spacing w:after="0" w:line="360" w:lineRule="auto"/>
              <w:ind w:left="0"/>
              <w:jc w:val="center"/>
              <w:rPr>
                <w:rFonts w:ascii="Times New Roman" w:hAnsi="Times New Roman" w:cs="Times New Roman"/>
                <w:b/>
                <w:sz w:val="24"/>
                <w:szCs w:val="24"/>
                <w:lang w:val="en-IN"/>
              </w:rPr>
            </w:pPr>
          </w:p>
        </w:tc>
        <w:tc>
          <w:tcPr>
            <w:tcW w:w="2010" w:type="dxa"/>
            <w:vMerge/>
          </w:tcPr>
          <w:p w14:paraId="26E586F7"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3645" w:type="dxa"/>
          </w:tcPr>
          <w:p w14:paraId="4E77837A"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Primary school</w:t>
            </w:r>
          </w:p>
        </w:tc>
        <w:tc>
          <w:tcPr>
            <w:tcW w:w="1406" w:type="dxa"/>
          </w:tcPr>
          <w:p w14:paraId="59FBBFAD"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tcPr>
          <w:p w14:paraId="29F5405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tc>
      </w:tr>
      <w:tr w:rsidR="00CE1106" w14:paraId="17D673E2" w14:textId="77777777">
        <w:trPr>
          <w:trHeight w:val="420"/>
          <w:jc w:val="center"/>
        </w:trPr>
        <w:tc>
          <w:tcPr>
            <w:tcW w:w="744" w:type="dxa"/>
            <w:vMerge/>
          </w:tcPr>
          <w:p w14:paraId="687A230A" w14:textId="77777777" w:rsidR="00CE1106" w:rsidRDefault="00CE1106">
            <w:pPr>
              <w:pStyle w:val="ListParagraph"/>
              <w:spacing w:after="0" w:line="360" w:lineRule="auto"/>
              <w:ind w:left="0"/>
              <w:jc w:val="center"/>
              <w:rPr>
                <w:rFonts w:ascii="Times New Roman" w:hAnsi="Times New Roman" w:cs="Times New Roman"/>
                <w:b/>
                <w:sz w:val="24"/>
                <w:szCs w:val="24"/>
                <w:lang w:val="en-IN"/>
              </w:rPr>
            </w:pPr>
          </w:p>
        </w:tc>
        <w:tc>
          <w:tcPr>
            <w:tcW w:w="2010" w:type="dxa"/>
            <w:vMerge/>
          </w:tcPr>
          <w:p w14:paraId="309F2946"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3645" w:type="dxa"/>
          </w:tcPr>
          <w:p w14:paraId="64FF38D2"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Middle school</w:t>
            </w:r>
          </w:p>
          <w:p w14:paraId="2E33BAB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 school</w:t>
            </w:r>
          </w:p>
        </w:tc>
        <w:tc>
          <w:tcPr>
            <w:tcW w:w="1406" w:type="dxa"/>
          </w:tcPr>
          <w:p w14:paraId="118DC91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p w14:paraId="0767E7A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1438" w:type="dxa"/>
          </w:tcPr>
          <w:p w14:paraId="382D930F"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w:t>
            </w:r>
          </w:p>
          <w:p w14:paraId="476F673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30.83</w:t>
            </w:r>
          </w:p>
        </w:tc>
      </w:tr>
      <w:tr w:rsidR="00CE1106" w14:paraId="6429403C" w14:textId="77777777">
        <w:trPr>
          <w:trHeight w:val="405"/>
          <w:jc w:val="center"/>
        </w:trPr>
        <w:tc>
          <w:tcPr>
            <w:tcW w:w="744" w:type="dxa"/>
            <w:vMerge/>
          </w:tcPr>
          <w:p w14:paraId="1928579B" w14:textId="77777777" w:rsidR="00CE1106" w:rsidRDefault="00CE1106">
            <w:pPr>
              <w:pStyle w:val="ListParagraph"/>
              <w:spacing w:after="0" w:line="360" w:lineRule="auto"/>
              <w:ind w:left="0"/>
              <w:jc w:val="center"/>
              <w:rPr>
                <w:rFonts w:ascii="Times New Roman" w:hAnsi="Times New Roman" w:cs="Times New Roman"/>
                <w:b/>
                <w:sz w:val="24"/>
                <w:szCs w:val="24"/>
                <w:lang w:val="en-IN"/>
              </w:rPr>
            </w:pPr>
          </w:p>
        </w:tc>
        <w:tc>
          <w:tcPr>
            <w:tcW w:w="2010" w:type="dxa"/>
            <w:vMerge/>
          </w:tcPr>
          <w:p w14:paraId="3BB5991F"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3645" w:type="dxa"/>
          </w:tcPr>
          <w:p w14:paraId="40BFFC8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Intermediate</w:t>
            </w:r>
          </w:p>
        </w:tc>
        <w:tc>
          <w:tcPr>
            <w:tcW w:w="1406" w:type="dxa"/>
          </w:tcPr>
          <w:p w14:paraId="204683DB"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tc>
        <w:tc>
          <w:tcPr>
            <w:tcW w:w="1438" w:type="dxa"/>
          </w:tcPr>
          <w:p w14:paraId="4C3D3BBB"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45.83</w:t>
            </w:r>
          </w:p>
        </w:tc>
      </w:tr>
      <w:tr w:rsidR="00CE1106" w14:paraId="7300FB9D" w14:textId="77777777">
        <w:trPr>
          <w:trHeight w:val="840"/>
          <w:jc w:val="center"/>
        </w:trPr>
        <w:tc>
          <w:tcPr>
            <w:tcW w:w="744" w:type="dxa"/>
            <w:vMerge/>
          </w:tcPr>
          <w:p w14:paraId="1D922CB1" w14:textId="77777777" w:rsidR="00CE1106" w:rsidRDefault="00CE1106">
            <w:pPr>
              <w:pStyle w:val="ListParagraph"/>
              <w:spacing w:after="0" w:line="360" w:lineRule="auto"/>
              <w:ind w:left="0"/>
              <w:jc w:val="center"/>
              <w:rPr>
                <w:rFonts w:ascii="Times New Roman" w:hAnsi="Times New Roman" w:cs="Times New Roman"/>
                <w:b/>
                <w:sz w:val="24"/>
                <w:szCs w:val="24"/>
                <w:lang w:val="en-IN"/>
              </w:rPr>
            </w:pPr>
          </w:p>
        </w:tc>
        <w:tc>
          <w:tcPr>
            <w:tcW w:w="2010" w:type="dxa"/>
            <w:vMerge/>
          </w:tcPr>
          <w:p w14:paraId="0BC9558D"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3645" w:type="dxa"/>
          </w:tcPr>
          <w:p w14:paraId="45E3AE21"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College Education</w:t>
            </w:r>
          </w:p>
        </w:tc>
        <w:tc>
          <w:tcPr>
            <w:tcW w:w="1406" w:type="dxa"/>
          </w:tcPr>
          <w:p w14:paraId="4A9C12C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438" w:type="dxa"/>
          </w:tcPr>
          <w:p w14:paraId="6088967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r>
      <w:tr w:rsidR="00CE1106" w14:paraId="71CF0DE8" w14:textId="77777777">
        <w:trPr>
          <w:jc w:val="center"/>
        </w:trPr>
        <w:tc>
          <w:tcPr>
            <w:tcW w:w="744" w:type="dxa"/>
          </w:tcPr>
          <w:p w14:paraId="07C1B292"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3.</w:t>
            </w:r>
          </w:p>
        </w:tc>
        <w:tc>
          <w:tcPr>
            <w:tcW w:w="2010" w:type="dxa"/>
          </w:tcPr>
          <w:p w14:paraId="2CEC3A52"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type</w:t>
            </w:r>
          </w:p>
        </w:tc>
        <w:tc>
          <w:tcPr>
            <w:tcW w:w="3645" w:type="dxa"/>
          </w:tcPr>
          <w:p w14:paraId="7D8626DD"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Nuclear Family</w:t>
            </w:r>
          </w:p>
          <w:p w14:paraId="1E8DECA4"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Joint Family</w:t>
            </w:r>
          </w:p>
        </w:tc>
        <w:tc>
          <w:tcPr>
            <w:tcW w:w="1406" w:type="dxa"/>
          </w:tcPr>
          <w:p w14:paraId="45BC08E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59AE37AB"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94</w:t>
            </w:r>
          </w:p>
        </w:tc>
        <w:tc>
          <w:tcPr>
            <w:tcW w:w="1438" w:type="dxa"/>
          </w:tcPr>
          <w:p w14:paraId="0B9A8C5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p w14:paraId="4306AAB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78.33</w:t>
            </w:r>
          </w:p>
        </w:tc>
      </w:tr>
      <w:tr w:rsidR="00CE1106" w14:paraId="42436C96" w14:textId="77777777">
        <w:trPr>
          <w:trHeight w:val="1168"/>
          <w:jc w:val="center"/>
        </w:trPr>
        <w:tc>
          <w:tcPr>
            <w:tcW w:w="744" w:type="dxa"/>
          </w:tcPr>
          <w:p w14:paraId="2F5573AB"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4.</w:t>
            </w:r>
          </w:p>
        </w:tc>
        <w:tc>
          <w:tcPr>
            <w:tcW w:w="2010" w:type="dxa"/>
          </w:tcPr>
          <w:p w14:paraId="7C4340A8"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size</w:t>
            </w:r>
          </w:p>
        </w:tc>
        <w:tc>
          <w:tcPr>
            <w:tcW w:w="3645" w:type="dxa"/>
          </w:tcPr>
          <w:p w14:paraId="3B146F8F"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Small family &lt; </w:t>
            </w:r>
            <w:r>
              <w:rPr>
                <w:rFonts w:ascii="Times New Roman" w:hAnsi="Times New Roman" w:cs="Times New Roman"/>
                <w:sz w:val="24"/>
                <w:szCs w:val="24"/>
              </w:rPr>
              <w:t>5</w:t>
            </w:r>
          </w:p>
          <w:p w14:paraId="1A08849D" w14:textId="77777777" w:rsidR="00CE1106" w:rsidRDefault="007E060A">
            <w:pPr>
              <w:pStyle w:val="ListParagraph"/>
              <w:spacing w:after="0" w:line="360" w:lineRule="auto"/>
              <w:ind w:left="-42"/>
              <w:jc w:val="both"/>
              <w:rPr>
                <w:rFonts w:ascii="Times New Roman" w:hAnsi="Times New Roman" w:cs="Times New Roman"/>
                <w:sz w:val="24"/>
                <w:szCs w:val="24"/>
              </w:rPr>
            </w:pPr>
            <w:r>
              <w:rPr>
                <w:rFonts w:ascii="Times New Roman" w:hAnsi="Times New Roman" w:cs="Times New Roman"/>
                <w:sz w:val="24"/>
                <w:szCs w:val="24"/>
              </w:rPr>
              <w:t>Medium family 6-10</w:t>
            </w:r>
          </w:p>
          <w:p w14:paraId="53D42F5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Large family &gt;11</w:t>
            </w:r>
          </w:p>
          <w:p w14:paraId="0E28C7D8"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1406" w:type="dxa"/>
          </w:tcPr>
          <w:p w14:paraId="4D87558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5BE8EE6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59</w:t>
            </w:r>
          </w:p>
          <w:p w14:paraId="120E3DB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438" w:type="dxa"/>
          </w:tcPr>
          <w:p w14:paraId="4762184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p w14:paraId="194944BE"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49.16</w:t>
            </w:r>
          </w:p>
          <w:p w14:paraId="2ADED94F"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rsidR="00CE1106" w14:paraId="7A5D33FB" w14:textId="77777777">
        <w:trPr>
          <w:jc w:val="center"/>
        </w:trPr>
        <w:tc>
          <w:tcPr>
            <w:tcW w:w="744" w:type="dxa"/>
          </w:tcPr>
          <w:p w14:paraId="2FA99BDF"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5.</w:t>
            </w:r>
          </w:p>
        </w:tc>
        <w:tc>
          <w:tcPr>
            <w:tcW w:w="2010" w:type="dxa"/>
          </w:tcPr>
          <w:p w14:paraId="18CD8AA3"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Land holding</w:t>
            </w:r>
          </w:p>
        </w:tc>
        <w:tc>
          <w:tcPr>
            <w:tcW w:w="3645" w:type="dxa"/>
          </w:tcPr>
          <w:p w14:paraId="204C53C7"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Marginal &lt; 1 ha.</w:t>
            </w:r>
          </w:p>
          <w:p w14:paraId="2B36B47D"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Small 1-2 ha.</w:t>
            </w:r>
          </w:p>
          <w:p w14:paraId="6CB6E5EA" w14:textId="77777777" w:rsidR="00CE1106" w:rsidRDefault="007E060A">
            <w:pPr>
              <w:pStyle w:val="ListParagraph"/>
              <w:spacing w:after="0" w:line="360" w:lineRule="auto"/>
              <w:ind w:left="-42" w:right="436" w:firstLine="42"/>
              <w:jc w:val="both"/>
              <w:rPr>
                <w:rFonts w:ascii="Times New Roman" w:hAnsi="Times New Roman" w:cs="Times New Roman"/>
                <w:sz w:val="24"/>
                <w:szCs w:val="24"/>
              </w:rPr>
            </w:pPr>
            <w:r>
              <w:rPr>
                <w:rFonts w:ascii="Times New Roman" w:hAnsi="Times New Roman" w:cs="Times New Roman"/>
                <w:sz w:val="24"/>
                <w:szCs w:val="24"/>
              </w:rPr>
              <w:t>Semi–Medium 2–4 ha.</w:t>
            </w:r>
          </w:p>
          <w:p w14:paraId="3F9F3F4A"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 4- 10 ha.        Large &gt; 10 ha</w:t>
            </w:r>
          </w:p>
        </w:tc>
        <w:tc>
          <w:tcPr>
            <w:tcW w:w="1406" w:type="dxa"/>
          </w:tcPr>
          <w:p w14:paraId="5B4BC85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p w14:paraId="0551458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p w14:paraId="19E57EC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143C476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49</w:t>
            </w:r>
          </w:p>
          <w:p w14:paraId="678BB7A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438" w:type="dxa"/>
          </w:tcPr>
          <w:p w14:paraId="7611197E"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p w14:paraId="090BEDD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7.50</w:t>
            </w:r>
          </w:p>
          <w:p w14:paraId="29AFF65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27.50</w:t>
            </w:r>
          </w:p>
          <w:p w14:paraId="5E8A725F"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40.83</w:t>
            </w:r>
          </w:p>
          <w:p w14:paraId="00528FA4"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22.50</w:t>
            </w:r>
          </w:p>
        </w:tc>
      </w:tr>
      <w:tr w:rsidR="00CE1106" w14:paraId="4F05BD1C" w14:textId="77777777">
        <w:trPr>
          <w:jc w:val="center"/>
        </w:trPr>
        <w:tc>
          <w:tcPr>
            <w:tcW w:w="744" w:type="dxa"/>
          </w:tcPr>
          <w:p w14:paraId="64A0273C"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6.</w:t>
            </w:r>
          </w:p>
        </w:tc>
        <w:tc>
          <w:tcPr>
            <w:tcW w:w="2010" w:type="dxa"/>
          </w:tcPr>
          <w:p w14:paraId="6F0E052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Occupation</w:t>
            </w:r>
          </w:p>
        </w:tc>
        <w:tc>
          <w:tcPr>
            <w:tcW w:w="3645" w:type="dxa"/>
          </w:tcPr>
          <w:p w14:paraId="07E9B47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Agriculture</w:t>
            </w:r>
          </w:p>
          <w:p w14:paraId="2BBE0623"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Dairying</w:t>
            </w:r>
          </w:p>
          <w:p w14:paraId="33FE47AE" w14:textId="77777777" w:rsidR="00CE1106" w:rsidRDefault="007E060A">
            <w:pPr>
              <w:pStyle w:val="ListParagraph"/>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Agriculture+Dairying</w:t>
            </w:r>
            <w:proofErr w:type="spellEnd"/>
          </w:p>
          <w:p w14:paraId="3D10A552"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Agriculture + Service</w:t>
            </w:r>
          </w:p>
          <w:p w14:paraId="42A2FCBA" w14:textId="77777777" w:rsidR="00CE1106" w:rsidRDefault="007E060A">
            <w:pPr>
              <w:pStyle w:val="ListParagraph"/>
              <w:spacing w:after="0" w:line="360" w:lineRule="auto"/>
              <w:ind w:left="0" w:right="861"/>
              <w:jc w:val="both"/>
              <w:rPr>
                <w:rFonts w:ascii="Times New Roman" w:hAnsi="Times New Roman" w:cs="Times New Roman"/>
                <w:sz w:val="24"/>
                <w:szCs w:val="24"/>
              </w:rPr>
            </w:pPr>
            <w:proofErr w:type="spellStart"/>
            <w:r>
              <w:rPr>
                <w:rFonts w:ascii="Times New Roman" w:hAnsi="Times New Roman" w:cs="Times New Roman"/>
                <w:sz w:val="24"/>
                <w:szCs w:val="24"/>
              </w:rPr>
              <w:t>Agriculture+Dairying</w:t>
            </w:r>
            <w:proofErr w:type="spellEnd"/>
            <w:r>
              <w:rPr>
                <w:rFonts w:ascii="Times New Roman" w:hAnsi="Times New Roman" w:cs="Times New Roman"/>
                <w:sz w:val="24"/>
                <w:szCs w:val="24"/>
              </w:rPr>
              <w:t xml:space="preserve"> +Service</w:t>
            </w:r>
          </w:p>
        </w:tc>
        <w:tc>
          <w:tcPr>
            <w:tcW w:w="1406" w:type="dxa"/>
          </w:tcPr>
          <w:p w14:paraId="01C63F6B"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2D7BA92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p w14:paraId="7C157A1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77</w:t>
            </w:r>
          </w:p>
          <w:p w14:paraId="5EF8A56E"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p w14:paraId="03EF634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tcPr>
          <w:p w14:paraId="11C0470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p w14:paraId="1870AB4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p w14:paraId="3567D2A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64.16</w:t>
            </w:r>
          </w:p>
          <w:p w14:paraId="6B09474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p w14:paraId="5E005D3C"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1.66</w:t>
            </w:r>
          </w:p>
        </w:tc>
      </w:tr>
      <w:tr w:rsidR="00CE1106" w14:paraId="085BBCCB" w14:textId="77777777">
        <w:trPr>
          <w:jc w:val="center"/>
        </w:trPr>
        <w:tc>
          <w:tcPr>
            <w:tcW w:w="744" w:type="dxa"/>
          </w:tcPr>
          <w:p w14:paraId="2A34ADBF"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7.</w:t>
            </w:r>
          </w:p>
        </w:tc>
        <w:tc>
          <w:tcPr>
            <w:tcW w:w="2010" w:type="dxa"/>
          </w:tcPr>
          <w:p w14:paraId="41FA324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Farming Experience</w:t>
            </w:r>
          </w:p>
        </w:tc>
        <w:tc>
          <w:tcPr>
            <w:tcW w:w="3645" w:type="dxa"/>
          </w:tcPr>
          <w:p w14:paraId="3668C3D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&lt;10 years</w:t>
            </w:r>
          </w:p>
          <w:p w14:paraId="6C2DB8FD"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&gt;10 years</w:t>
            </w:r>
          </w:p>
        </w:tc>
        <w:tc>
          <w:tcPr>
            <w:tcW w:w="1406" w:type="dxa"/>
          </w:tcPr>
          <w:p w14:paraId="311EB05B"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0160630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103</w:t>
            </w:r>
          </w:p>
        </w:tc>
        <w:tc>
          <w:tcPr>
            <w:tcW w:w="1438" w:type="dxa"/>
          </w:tcPr>
          <w:p w14:paraId="69C3164C"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14.16</w:t>
            </w:r>
          </w:p>
          <w:p w14:paraId="7C3B41E4"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95.83</w:t>
            </w:r>
          </w:p>
        </w:tc>
      </w:tr>
      <w:tr w:rsidR="00CE1106" w14:paraId="0CA8D138" w14:textId="77777777">
        <w:trPr>
          <w:jc w:val="center"/>
        </w:trPr>
        <w:tc>
          <w:tcPr>
            <w:tcW w:w="744" w:type="dxa"/>
          </w:tcPr>
          <w:p w14:paraId="4266800D"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8.</w:t>
            </w:r>
          </w:p>
        </w:tc>
        <w:tc>
          <w:tcPr>
            <w:tcW w:w="2010" w:type="dxa"/>
          </w:tcPr>
          <w:p w14:paraId="714B576C"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Annual income</w:t>
            </w:r>
          </w:p>
        </w:tc>
        <w:tc>
          <w:tcPr>
            <w:tcW w:w="3645" w:type="dxa"/>
          </w:tcPr>
          <w:p w14:paraId="7265CF3B"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&lt; 100000</w:t>
            </w:r>
          </w:p>
          <w:p w14:paraId="46CBF428"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&gt; 100000</w:t>
            </w:r>
          </w:p>
        </w:tc>
        <w:tc>
          <w:tcPr>
            <w:tcW w:w="1406" w:type="dxa"/>
          </w:tcPr>
          <w:p w14:paraId="196287C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p w14:paraId="73FF068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1438" w:type="dxa"/>
          </w:tcPr>
          <w:p w14:paraId="19AA35D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8.33</w:t>
            </w:r>
          </w:p>
          <w:p w14:paraId="31E0805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91.66</w:t>
            </w:r>
          </w:p>
        </w:tc>
      </w:tr>
      <w:tr w:rsidR="00CE1106" w14:paraId="509C6AF4" w14:textId="77777777">
        <w:trPr>
          <w:jc w:val="center"/>
        </w:trPr>
        <w:tc>
          <w:tcPr>
            <w:tcW w:w="744" w:type="dxa"/>
          </w:tcPr>
          <w:p w14:paraId="436F00A0"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9.</w:t>
            </w:r>
          </w:p>
        </w:tc>
        <w:tc>
          <w:tcPr>
            <w:tcW w:w="2010" w:type="dxa"/>
          </w:tcPr>
          <w:p w14:paraId="1477C535"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Social Participation</w:t>
            </w:r>
          </w:p>
        </w:tc>
        <w:tc>
          <w:tcPr>
            <w:tcW w:w="3645" w:type="dxa"/>
          </w:tcPr>
          <w:p w14:paraId="51D535E1" w14:textId="77777777" w:rsidR="00CE1106" w:rsidRDefault="007E060A">
            <w:pPr>
              <w:pStyle w:val="ListParagraph"/>
              <w:spacing w:after="0" w:line="360" w:lineRule="auto"/>
              <w:ind w:left="0" w:right="1242"/>
              <w:jc w:val="both"/>
              <w:rPr>
                <w:rFonts w:ascii="Times New Roman" w:hAnsi="Times New Roman" w:cs="Times New Roman"/>
                <w:sz w:val="24"/>
                <w:szCs w:val="24"/>
              </w:rPr>
            </w:pPr>
            <w:r>
              <w:rPr>
                <w:rFonts w:ascii="Times New Roman" w:hAnsi="Times New Roman" w:cs="Times New Roman"/>
                <w:sz w:val="24"/>
                <w:szCs w:val="24"/>
              </w:rPr>
              <w:t xml:space="preserve">Not a </w:t>
            </w:r>
            <w:r>
              <w:rPr>
                <w:rFonts w:ascii="Times New Roman" w:hAnsi="Times New Roman" w:cs="Times New Roman"/>
                <w:sz w:val="24"/>
                <w:szCs w:val="24"/>
              </w:rPr>
              <w:t>member of any organization</w:t>
            </w:r>
          </w:p>
          <w:p w14:paraId="7B80D858" w14:textId="77777777" w:rsidR="00CE1106" w:rsidRDefault="007E060A">
            <w:pPr>
              <w:pStyle w:val="ListParagraph"/>
              <w:spacing w:after="0" w:line="360" w:lineRule="auto"/>
              <w:ind w:left="13" w:right="-33"/>
              <w:jc w:val="both"/>
              <w:rPr>
                <w:rFonts w:ascii="Times New Roman" w:hAnsi="Times New Roman" w:cs="Times New Roman"/>
                <w:sz w:val="24"/>
                <w:szCs w:val="24"/>
              </w:rPr>
            </w:pPr>
            <w:r>
              <w:rPr>
                <w:rFonts w:ascii="Times New Roman" w:hAnsi="Times New Roman" w:cs="Times New Roman"/>
                <w:sz w:val="24"/>
                <w:szCs w:val="24"/>
              </w:rPr>
              <w:t>Members of at least one organization</w:t>
            </w:r>
          </w:p>
          <w:p w14:paraId="18F89F7B" w14:textId="77777777" w:rsidR="00CE1106" w:rsidRDefault="007E060A">
            <w:pPr>
              <w:pStyle w:val="ListParagraph"/>
              <w:spacing w:after="0" w:line="360" w:lineRule="auto"/>
              <w:ind w:left="13" w:right="-33"/>
              <w:jc w:val="both"/>
              <w:rPr>
                <w:rFonts w:ascii="Times New Roman" w:hAnsi="Times New Roman" w:cs="Times New Roman"/>
                <w:sz w:val="24"/>
                <w:szCs w:val="24"/>
              </w:rPr>
            </w:pPr>
            <w:r>
              <w:rPr>
                <w:rFonts w:ascii="Times New Roman" w:hAnsi="Times New Roman" w:cs="Times New Roman"/>
                <w:sz w:val="24"/>
                <w:szCs w:val="24"/>
              </w:rPr>
              <w:t xml:space="preserve">Member of more than one </w:t>
            </w:r>
            <w:proofErr w:type="gramStart"/>
            <w:r>
              <w:rPr>
                <w:rFonts w:ascii="Times New Roman" w:hAnsi="Times New Roman" w:cs="Times New Roman"/>
                <w:sz w:val="24"/>
                <w:szCs w:val="24"/>
              </w:rPr>
              <w:t>organizations</w:t>
            </w:r>
            <w:proofErr w:type="gramEnd"/>
          </w:p>
          <w:p w14:paraId="150B00BC" w14:textId="77777777" w:rsidR="00CE1106" w:rsidRDefault="007E060A">
            <w:pPr>
              <w:pStyle w:val="ListParagraph"/>
              <w:spacing w:after="0" w:line="360" w:lineRule="auto"/>
              <w:ind w:left="13" w:right="-33"/>
              <w:jc w:val="both"/>
              <w:rPr>
                <w:rFonts w:ascii="Times New Roman" w:hAnsi="Times New Roman" w:cs="Times New Roman"/>
                <w:sz w:val="24"/>
                <w:szCs w:val="24"/>
              </w:rPr>
            </w:pPr>
            <w:r>
              <w:rPr>
                <w:rFonts w:ascii="Times New Roman" w:hAnsi="Times New Roman" w:cs="Times New Roman"/>
                <w:sz w:val="24"/>
                <w:szCs w:val="24"/>
              </w:rPr>
              <w:t>Office bearer</w:t>
            </w:r>
          </w:p>
        </w:tc>
        <w:tc>
          <w:tcPr>
            <w:tcW w:w="1406" w:type="dxa"/>
          </w:tcPr>
          <w:p w14:paraId="6227F7F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p w14:paraId="3260F6D5" w14:textId="77777777" w:rsidR="00CE1106" w:rsidRDefault="00CE1106">
            <w:pPr>
              <w:pStyle w:val="ListParagraph"/>
              <w:spacing w:after="0" w:line="360" w:lineRule="auto"/>
              <w:ind w:left="0"/>
              <w:jc w:val="center"/>
              <w:rPr>
                <w:rFonts w:ascii="Times New Roman" w:hAnsi="Times New Roman" w:cs="Times New Roman"/>
                <w:sz w:val="24"/>
                <w:szCs w:val="24"/>
              </w:rPr>
            </w:pPr>
          </w:p>
          <w:p w14:paraId="4CEA080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92</w:t>
            </w:r>
          </w:p>
          <w:p w14:paraId="49427BF6" w14:textId="77777777" w:rsidR="00CE1106" w:rsidRDefault="00CE1106">
            <w:pPr>
              <w:pStyle w:val="ListParagraph"/>
              <w:spacing w:after="0" w:line="360" w:lineRule="auto"/>
              <w:ind w:left="0"/>
              <w:jc w:val="center"/>
              <w:rPr>
                <w:rFonts w:ascii="Times New Roman" w:hAnsi="Times New Roman" w:cs="Times New Roman"/>
                <w:sz w:val="24"/>
                <w:szCs w:val="24"/>
              </w:rPr>
            </w:pPr>
          </w:p>
          <w:p w14:paraId="169A658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p w14:paraId="3C35F217" w14:textId="77777777" w:rsidR="00CE1106" w:rsidRDefault="00CE1106">
            <w:pPr>
              <w:pStyle w:val="ListParagraph"/>
              <w:spacing w:after="0" w:line="360" w:lineRule="auto"/>
              <w:ind w:left="0"/>
              <w:jc w:val="center"/>
              <w:rPr>
                <w:rFonts w:ascii="Times New Roman" w:hAnsi="Times New Roman" w:cs="Times New Roman"/>
                <w:sz w:val="24"/>
                <w:szCs w:val="24"/>
              </w:rPr>
            </w:pPr>
          </w:p>
          <w:p w14:paraId="7C95347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438" w:type="dxa"/>
          </w:tcPr>
          <w:p w14:paraId="030AD0D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0.00</w:t>
            </w:r>
          </w:p>
          <w:p w14:paraId="50F980B8" w14:textId="77777777" w:rsidR="00CE1106" w:rsidRDefault="00CE1106">
            <w:pPr>
              <w:pStyle w:val="ListParagraph"/>
              <w:spacing w:after="0" w:line="360" w:lineRule="auto"/>
              <w:ind w:left="0"/>
              <w:jc w:val="center"/>
              <w:rPr>
                <w:rFonts w:ascii="Times New Roman" w:hAnsi="Times New Roman" w:cs="Times New Roman"/>
                <w:sz w:val="24"/>
                <w:szCs w:val="24"/>
              </w:rPr>
            </w:pPr>
          </w:p>
          <w:p w14:paraId="0ECC05C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76.67</w:t>
            </w:r>
          </w:p>
          <w:p w14:paraId="4406D2ED" w14:textId="77777777" w:rsidR="00CE1106" w:rsidRDefault="00CE1106">
            <w:pPr>
              <w:pStyle w:val="ListParagraph"/>
              <w:spacing w:after="0" w:line="360" w:lineRule="auto"/>
              <w:ind w:left="0"/>
              <w:jc w:val="center"/>
              <w:rPr>
                <w:rFonts w:ascii="Times New Roman" w:hAnsi="Times New Roman" w:cs="Times New Roman"/>
                <w:sz w:val="24"/>
                <w:szCs w:val="24"/>
              </w:rPr>
            </w:pPr>
          </w:p>
          <w:p w14:paraId="54D69EF2"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p w14:paraId="489C8361" w14:textId="77777777" w:rsidR="00CE1106" w:rsidRDefault="00CE1106">
            <w:pPr>
              <w:pStyle w:val="ListParagraph"/>
              <w:spacing w:after="0" w:line="360" w:lineRule="auto"/>
              <w:ind w:left="0"/>
              <w:jc w:val="center"/>
              <w:rPr>
                <w:rFonts w:ascii="Times New Roman" w:hAnsi="Times New Roman" w:cs="Times New Roman"/>
                <w:sz w:val="24"/>
                <w:szCs w:val="24"/>
              </w:rPr>
            </w:pPr>
          </w:p>
          <w:p w14:paraId="3768F56F"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13.33</w:t>
            </w:r>
          </w:p>
        </w:tc>
      </w:tr>
      <w:tr w:rsidR="00CE1106" w14:paraId="31A86D46" w14:textId="77777777">
        <w:trPr>
          <w:jc w:val="center"/>
        </w:trPr>
        <w:tc>
          <w:tcPr>
            <w:tcW w:w="744" w:type="dxa"/>
          </w:tcPr>
          <w:p w14:paraId="1BC0055C"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10.</w:t>
            </w:r>
          </w:p>
        </w:tc>
        <w:tc>
          <w:tcPr>
            <w:tcW w:w="2010" w:type="dxa"/>
          </w:tcPr>
          <w:p w14:paraId="309A516C"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Extension contact</w:t>
            </w:r>
          </w:p>
        </w:tc>
        <w:tc>
          <w:tcPr>
            <w:tcW w:w="3645" w:type="dxa"/>
          </w:tcPr>
          <w:p w14:paraId="2B325C2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w:t>
            </w:r>
          </w:p>
          <w:p w14:paraId="4605F552"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w:t>
            </w:r>
          </w:p>
          <w:p w14:paraId="6DA12A9F"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High</w:t>
            </w:r>
          </w:p>
        </w:tc>
        <w:tc>
          <w:tcPr>
            <w:tcW w:w="1406" w:type="dxa"/>
          </w:tcPr>
          <w:p w14:paraId="5AECFBD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p w14:paraId="508543B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115</w:t>
            </w:r>
          </w:p>
          <w:p w14:paraId="23828AB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38" w:type="dxa"/>
          </w:tcPr>
          <w:p w14:paraId="62101E7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2.50</w:t>
            </w:r>
          </w:p>
          <w:p w14:paraId="1F6CA2FB"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95.83</w:t>
            </w:r>
          </w:p>
          <w:p w14:paraId="25B5271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1.67</w:t>
            </w:r>
          </w:p>
        </w:tc>
      </w:tr>
      <w:tr w:rsidR="00CE1106" w14:paraId="2E385DCD" w14:textId="77777777">
        <w:trPr>
          <w:jc w:val="center"/>
        </w:trPr>
        <w:tc>
          <w:tcPr>
            <w:tcW w:w="744" w:type="dxa"/>
          </w:tcPr>
          <w:p w14:paraId="2574F5D1" w14:textId="77777777" w:rsidR="00CE1106" w:rsidRDefault="007E060A">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11.</w:t>
            </w:r>
          </w:p>
        </w:tc>
        <w:tc>
          <w:tcPr>
            <w:tcW w:w="2010" w:type="dxa"/>
          </w:tcPr>
          <w:p w14:paraId="13070F2C" w14:textId="77777777" w:rsidR="00CE1106" w:rsidRDefault="007E0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Mass media exposure</w:t>
            </w:r>
          </w:p>
        </w:tc>
        <w:tc>
          <w:tcPr>
            <w:tcW w:w="3645" w:type="dxa"/>
          </w:tcPr>
          <w:p w14:paraId="10DDBFF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w:t>
            </w:r>
          </w:p>
          <w:p w14:paraId="261A03F4"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w:t>
            </w:r>
          </w:p>
          <w:p w14:paraId="4F167B5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w:t>
            </w:r>
          </w:p>
        </w:tc>
        <w:tc>
          <w:tcPr>
            <w:tcW w:w="1406" w:type="dxa"/>
          </w:tcPr>
          <w:p w14:paraId="2C8667F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p w14:paraId="3B4F1A6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113</w:t>
            </w:r>
          </w:p>
          <w:p w14:paraId="64B52A6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38" w:type="dxa"/>
          </w:tcPr>
          <w:p w14:paraId="152784DC"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2.50</w:t>
            </w:r>
          </w:p>
          <w:p w14:paraId="2820B98D"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94.16</w:t>
            </w:r>
          </w:p>
          <w:p w14:paraId="0A7B109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3.33</w:t>
            </w:r>
          </w:p>
        </w:tc>
      </w:tr>
      <w:tr w:rsidR="00CE1106" w14:paraId="08AA5D34" w14:textId="77777777">
        <w:trPr>
          <w:jc w:val="center"/>
        </w:trPr>
        <w:tc>
          <w:tcPr>
            <w:tcW w:w="744" w:type="dxa"/>
          </w:tcPr>
          <w:p w14:paraId="43735F5C" w14:textId="77777777" w:rsidR="00CE1106" w:rsidRDefault="007E060A">
            <w:pPr>
              <w:pStyle w:val="ListParagraph"/>
              <w:spacing w:after="0" w:line="360" w:lineRule="auto"/>
              <w:ind w:left="0"/>
              <w:jc w:val="center"/>
              <w:rPr>
                <w:rFonts w:ascii="Times New Roman" w:hAnsi="Times New Roman" w:cs="Times New Roman"/>
                <w:b/>
                <w:sz w:val="24"/>
                <w:szCs w:val="24"/>
                <w:lang w:val="en-IN"/>
              </w:rPr>
            </w:pPr>
            <w:r>
              <w:rPr>
                <w:rFonts w:ascii="Times New Roman" w:hAnsi="Times New Roman" w:cs="Times New Roman"/>
                <w:b/>
                <w:sz w:val="24"/>
                <w:szCs w:val="24"/>
                <w:lang w:val="en-IN"/>
              </w:rPr>
              <w:t>12.</w:t>
            </w:r>
          </w:p>
        </w:tc>
        <w:tc>
          <w:tcPr>
            <w:tcW w:w="2010" w:type="dxa"/>
          </w:tcPr>
          <w:p w14:paraId="3C1E16C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Scientific orientation</w:t>
            </w:r>
          </w:p>
        </w:tc>
        <w:tc>
          <w:tcPr>
            <w:tcW w:w="3645" w:type="dxa"/>
          </w:tcPr>
          <w:p w14:paraId="695BA4C8"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w:t>
            </w:r>
          </w:p>
          <w:p w14:paraId="7BCD6F1C"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w:t>
            </w:r>
          </w:p>
          <w:p w14:paraId="132C78F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w:t>
            </w:r>
          </w:p>
        </w:tc>
        <w:tc>
          <w:tcPr>
            <w:tcW w:w="1406" w:type="dxa"/>
          </w:tcPr>
          <w:p w14:paraId="2C285B1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p w14:paraId="233B5B4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p w14:paraId="37293EB5"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438" w:type="dxa"/>
          </w:tcPr>
          <w:p w14:paraId="44577B06"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12.50</w:t>
            </w:r>
          </w:p>
          <w:p w14:paraId="6B1763C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83.34</w:t>
            </w:r>
          </w:p>
          <w:p w14:paraId="7B5BB7E2"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4.16</w:t>
            </w:r>
          </w:p>
        </w:tc>
      </w:tr>
    </w:tbl>
    <w:p w14:paraId="0AC6505D" w14:textId="77777777" w:rsidR="00CE1106" w:rsidRDefault="00CE1106">
      <w:pPr>
        <w:pStyle w:val="ListParagraph"/>
        <w:spacing w:after="0" w:line="360" w:lineRule="auto"/>
        <w:ind w:left="0"/>
        <w:jc w:val="both"/>
        <w:rPr>
          <w:rFonts w:ascii="Times New Roman" w:hAnsi="Times New Roman" w:cs="Times New Roman"/>
          <w:sz w:val="24"/>
          <w:szCs w:val="24"/>
        </w:rPr>
      </w:pPr>
    </w:p>
    <w:p w14:paraId="7505A34C"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Knowledge of respondents on organic farming practices</w:t>
      </w:r>
    </w:p>
    <w:p w14:paraId="74569E8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It is clearly evident from the Table 2 that the majority 81.67 percent of respondents had a medium level of knowledge about organic farming, whereas 9.16 percent and 9.16 percent respondents having a high and low level of knowledge regarding organic farmin</w:t>
      </w:r>
      <w:r>
        <w:rPr>
          <w:rFonts w:ascii="Times New Roman" w:hAnsi="Times New Roman" w:cs="Times New Roman"/>
          <w:sz w:val="24"/>
          <w:szCs w:val="24"/>
        </w:rPr>
        <w:t>g respectively. This finding could be due to that time to time up-to-date information related to organic farming has been provided by the input agencies (certification agencies), NGOs, department of agriculture and horticulture through training, farmer’s f</w:t>
      </w:r>
      <w:r>
        <w:rPr>
          <w:rFonts w:ascii="Times New Roman" w:hAnsi="Times New Roman" w:cs="Times New Roman"/>
          <w:sz w:val="24"/>
          <w:szCs w:val="24"/>
        </w:rPr>
        <w:t xml:space="preserve">air, </w:t>
      </w:r>
      <w:proofErr w:type="spellStart"/>
      <w:r>
        <w:rPr>
          <w:rFonts w:ascii="Times New Roman" w:hAnsi="Times New Roman" w:cs="Times New Roman"/>
          <w:sz w:val="24"/>
          <w:szCs w:val="24"/>
        </w:rPr>
        <w:t>Kisan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goshthi</w:t>
      </w:r>
      <w:proofErr w:type="spellEnd"/>
      <w:r>
        <w:rPr>
          <w:rFonts w:ascii="Times New Roman" w:hAnsi="Times New Roman" w:cs="Times New Roman"/>
          <w:sz w:val="24"/>
          <w:szCs w:val="24"/>
        </w:rPr>
        <w:t>, demonstration, kinds of literature and other means of technology transfer to the doorsteps of farmers. Another probable reason may be due to that the majority of the respondents having more than 10 years of farming experience, so over t</w:t>
      </w:r>
      <w:r>
        <w:rPr>
          <w:rFonts w:ascii="Times New Roman" w:hAnsi="Times New Roman" w:cs="Times New Roman"/>
          <w:sz w:val="24"/>
          <w:szCs w:val="24"/>
        </w:rPr>
        <w:t xml:space="preserve">ime, they have also gained knowledge. The table categorizes respondents based on their knowledge scores into three levels: low, medium, and high. The </w:t>
      </w:r>
      <w:r>
        <w:rPr>
          <w:rStyle w:val="Strong"/>
          <w:rFonts w:ascii="Times New Roman" w:hAnsi="Times New Roman" w:cs="Times New Roman"/>
          <w:b w:val="0"/>
          <w:bCs w:val="0"/>
          <w:sz w:val="24"/>
          <w:szCs w:val="24"/>
        </w:rPr>
        <w:t>mean score</w:t>
      </w:r>
      <w:r>
        <w:rPr>
          <w:rFonts w:ascii="Times New Roman" w:hAnsi="Times New Roman" w:cs="Times New Roman"/>
          <w:sz w:val="24"/>
          <w:szCs w:val="24"/>
        </w:rPr>
        <w:t xml:space="preserve"> is </w:t>
      </w:r>
      <w:r>
        <w:rPr>
          <w:rStyle w:val="Strong"/>
          <w:rFonts w:ascii="Times New Roman" w:hAnsi="Times New Roman" w:cs="Times New Roman"/>
          <w:b w:val="0"/>
          <w:bCs w:val="0"/>
          <w:sz w:val="24"/>
          <w:szCs w:val="24"/>
        </w:rPr>
        <w:t>32.15</w:t>
      </w:r>
      <w:r>
        <w:rPr>
          <w:rFonts w:ascii="Times New Roman" w:hAnsi="Times New Roman" w:cs="Times New Roman"/>
          <w:sz w:val="24"/>
          <w:szCs w:val="24"/>
        </w:rPr>
        <w:t xml:space="preserve"> with a </w:t>
      </w:r>
      <w:r>
        <w:rPr>
          <w:rStyle w:val="Strong"/>
          <w:rFonts w:ascii="Times New Roman" w:hAnsi="Times New Roman" w:cs="Times New Roman"/>
          <w:b w:val="0"/>
          <w:bCs w:val="0"/>
          <w:sz w:val="24"/>
          <w:szCs w:val="24"/>
        </w:rPr>
        <w:t>standard deviation (SD) of 1.87</w:t>
      </w:r>
      <w:r>
        <w:rPr>
          <w:rFonts w:ascii="Times New Roman" w:hAnsi="Times New Roman" w:cs="Times New Roman"/>
          <w:sz w:val="24"/>
          <w:szCs w:val="24"/>
        </w:rPr>
        <w:t xml:space="preserve">. Respondents with scores </w:t>
      </w:r>
      <w:r>
        <w:rPr>
          <w:rStyle w:val="Strong"/>
          <w:rFonts w:ascii="Times New Roman" w:hAnsi="Times New Roman" w:cs="Times New Roman"/>
          <w:b w:val="0"/>
          <w:bCs w:val="0"/>
          <w:sz w:val="24"/>
          <w:szCs w:val="24"/>
        </w:rPr>
        <w:t>below 30.28</w:t>
      </w:r>
      <w:r>
        <w:rPr>
          <w:rFonts w:ascii="Times New Roman" w:hAnsi="Times New Roman" w:cs="Times New Roman"/>
          <w:sz w:val="24"/>
          <w:szCs w:val="24"/>
        </w:rPr>
        <w:t xml:space="preserve"> (Mean - SD</w:t>
      </w:r>
      <w:r>
        <w:rPr>
          <w:rFonts w:ascii="Times New Roman" w:hAnsi="Times New Roman" w:cs="Times New Roman"/>
          <w:sz w:val="24"/>
          <w:szCs w:val="24"/>
        </w:rPr>
        <w:t xml:space="preserve">) are classified as having </w:t>
      </w:r>
      <w:r>
        <w:rPr>
          <w:rStyle w:val="Strong"/>
          <w:rFonts w:ascii="Times New Roman" w:hAnsi="Times New Roman" w:cs="Times New Roman"/>
          <w:b w:val="0"/>
          <w:bCs w:val="0"/>
          <w:sz w:val="24"/>
          <w:szCs w:val="24"/>
        </w:rPr>
        <w:t>low knowledge</w:t>
      </w:r>
      <w:r>
        <w:rPr>
          <w:rFonts w:ascii="Times New Roman" w:hAnsi="Times New Roman" w:cs="Times New Roman"/>
          <w:sz w:val="24"/>
          <w:szCs w:val="24"/>
        </w:rPr>
        <w:t xml:space="preserve">, comprising </w:t>
      </w:r>
      <w:r>
        <w:rPr>
          <w:rStyle w:val="Strong"/>
          <w:rFonts w:ascii="Times New Roman" w:hAnsi="Times New Roman" w:cs="Times New Roman"/>
          <w:b w:val="0"/>
          <w:bCs w:val="0"/>
          <w:sz w:val="24"/>
          <w:szCs w:val="24"/>
        </w:rPr>
        <w:t>11 individuals</w:t>
      </w:r>
      <w:r>
        <w:rPr>
          <w:rFonts w:ascii="Times New Roman" w:hAnsi="Times New Roman" w:cs="Times New Roman"/>
          <w:sz w:val="24"/>
          <w:szCs w:val="24"/>
        </w:rPr>
        <w:t xml:space="preserve"> or </w:t>
      </w:r>
      <w:r>
        <w:rPr>
          <w:rStyle w:val="Strong"/>
          <w:rFonts w:ascii="Times New Roman" w:hAnsi="Times New Roman" w:cs="Times New Roman"/>
          <w:b w:val="0"/>
          <w:bCs w:val="0"/>
          <w:sz w:val="24"/>
          <w:szCs w:val="24"/>
        </w:rPr>
        <w:t>9.16%</w:t>
      </w:r>
      <w:r>
        <w:rPr>
          <w:rFonts w:ascii="Times New Roman" w:hAnsi="Times New Roman" w:cs="Times New Roman"/>
          <w:sz w:val="24"/>
          <w:szCs w:val="24"/>
        </w:rPr>
        <w:t xml:space="preserve"> of the total. Those scoring between </w:t>
      </w:r>
      <w:r>
        <w:rPr>
          <w:rStyle w:val="Strong"/>
          <w:rFonts w:ascii="Times New Roman" w:hAnsi="Times New Roman" w:cs="Times New Roman"/>
          <w:b w:val="0"/>
          <w:bCs w:val="0"/>
          <w:sz w:val="24"/>
          <w:szCs w:val="24"/>
        </w:rPr>
        <w:t>30.28 and 34.02</w:t>
      </w:r>
      <w:r>
        <w:rPr>
          <w:rFonts w:ascii="Times New Roman" w:hAnsi="Times New Roman" w:cs="Times New Roman"/>
          <w:sz w:val="24"/>
          <w:szCs w:val="24"/>
        </w:rPr>
        <w:t xml:space="preserve"> (Mean ± SD) fall under the </w:t>
      </w:r>
      <w:r>
        <w:rPr>
          <w:rStyle w:val="Strong"/>
          <w:rFonts w:ascii="Times New Roman" w:hAnsi="Times New Roman" w:cs="Times New Roman"/>
          <w:b w:val="0"/>
          <w:bCs w:val="0"/>
          <w:sz w:val="24"/>
          <w:szCs w:val="24"/>
        </w:rPr>
        <w:t>medium knowledge</w:t>
      </w:r>
      <w:r>
        <w:rPr>
          <w:rFonts w:ascii="Times New Roman" w:hAnsi="Times New Roman" w:cs="Times New Roman"/>
          <w:sz w:val="24"/>
          <w:szCs w:val="24"/>
        </w:rPr>
        <w:t xml:space="preserve"> category, representing the </w:t>
      </w:r>
      <w:r>
        <w:rPr>
          <w:rStyle w:val="Strong"/>
          <w:rFonts w:ascii="Times New Roman" w:hAnsi="Times New Roman" w:cs="Times New Roman"/>
          <w:b w:val="0"/>
          <w:bCs w:val="0"/>
          <w:sz w:val="24"/>
          <w:szCs w:val="24"/>
        </w:rPr>
        <w:t>majority with 98 individuals</w:t>
      </w:r>
      <w:r>
        <w:rPr>
          <w:rFonts w:ascii="Times New Roman" w:hAnsi="Times New Roman" w:cs="Times New Roman"/>
          <w:sz w:val="24"/>
          <w:szCs w:val="24"/>
        </w:rPr>
        <w:t xml:space="preserve"> or </w:t>
      </w:r>
      <w:r>
        <w:rPr>
          <w:rStyle w:val="Strong"/>
          <w:rFonts w:ascii="Times New Roman" w:hAnsi="Times New Roman" w:cs="Times New Roman"/>
          <w:b w:val="0"/>
          <w:bCs w:val="0"/>
          <w:sz w:val="24"/>
          <w:szCs w:val="24"/>
        </w:rPr>
        <w:t>81.66%</w:t>
      </w:r>
      <w:r>
        <w:rPr>
          <w:rFonts w:ascii="Times New Roman" w:hAnsi="Times New Roman" w:cs="Times New Roman"/>
          <w:sz w:val="24"/>
          <w:szCs w:val="24"/>
        </w:rPr>
        <w:t xml:space="preserve">. Finally, </w:t>
      </w:r>
      <w:r>
        <w:rPr>
          <w:rFonts w:ascii="Times New Roman" w:hAnsi="Times New Roman" w:cs="Times New Roman"/>
          <w:sz w:val="24"/>
          <w:szCs w:val="24"/>
        </w:rPr>
        <w:t xml:space="preserve">respondents scoring </w:t>
      </w:r>
      <w:r>
        <w:rPr>
          <w:rStyle w:val="Strong"/>
          <w:rFonts w:ascii="Times New Roman" w:hAnsi="Times New Roman" w:cs="Times New Roman"/>
          <w:b w:val="0"/>
          <w:bCs w:val="0"/>
          <w:sz w:val="24"/>
          <w:szCs w:val="24"/>
        </w:rPr>
        <w:t>above 34.02</w:t>
      </w:r>
      <w:r>
        <w:rPr>
          <w:rFonts w:ascii="Times New Roman" w:hAnsi="Times New Roman" w:cs="Times New Roman"/>
          <w:sz w:val="24"/>
          <w:szCs w:val="24"/>
        </w:rPr>
        <w:t xml:space="preserve"> (Mean + SD) are considered to have </w:t>
      </w:r>
      <w:r>
        <w:rPr>
          <w:rStyle w:val="Strong"/>
          <w:rFonts w:ascii="Times New Roman" w:hAnsi="Times New Roman" w:cs="Times New Roman"/>
          <w:b w:val="0"/>
          <w:bCs w:val="0"/>
          <w:sz w:val="24"/>
          <w:szCs w:val="24"/>
        </w:rPr>
        <w:t>high knowledge</w:t>
      </w:r>
      <w:r>
        <w:rPr>
          <w:rFonts w:ascii="Times New Roman" w:hAnsi="Times New Roman" w:cs="Times New Roman"/>
          <w:sz w:val="24"/>
          <w:szCs w:val="24"/>
        </w:rPr>
        <w:t xml:space="preserve">, again comprising </w:t>
      </w:r>
      <w:r>
        <w:rPr>
          <w:rStyle w:val="Strong"/>
          <w:rFonts w:ascii="Times New Roman" w:hAnsi="Times New Roman" w:cs="Times New Roman"/>
          <w:b w:val="0"/>
          <w:bCs w:val="0"/>
          <w:sz w:val="24"/>
          <w:szCs w:val="24"/>
        </w:rPr>
        <w:t>11 individuals</w:t>
      </w:r>
      <w:r>
        <w:rPr>
          <w:rFonts w:ascii="Times New Roman" w:hAnsi="Times New Roman" w:cs="Times New Roman"/>
          <w:sz w:val="24"/>
          <w:szCs w:val="24"/>
        </w:rPr>
        <w:t xml:space="preserve"> or </w:t>
      </w:r>
      <w:r>
        <w:rPr>
          <w:rStyle w:val="Strong"/>
          <w:rFonts w:ascii="Times New Roman" w:hAnsi="Times New Roman" w:cs="Times New Roman"/>
          <w:b w:val="0"/>
          <w:bCs w:val="0"/>
          <w:sz w:val="24"/>
          <w:szCs w:val="24"/>
        </w:rPr>
        <w:t>9.16%</w:t>
      </w:r>
      <w:r>
        <w:rPr>
          <w:rFonts w:ascii="Times New Roman" w:hAnsi="Times New Roman" w:cs="Times New Roman"/>
          <w:sz w:val="24"/>
          <w:szCs w:val="24"/>
        </w:rPr>
        <w:t xml:space="preserve">. This distribution indicates that most respondents possess a moderate level of knowledge, with fewer individuals at the extremes. </w:t>
      </w:r>
    </w:p>
    <w:p w14:paraId="3A0DA8D8" w14:textId="77777777" w:rsidR="00CE1106" w:rsidRDefault="007E060A">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able 2: Distribution of the Respondents according to knowledge on organic farming (n=120)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606"/>
        <w:gridCol w:w="1570"/>
        <w:gridCol w:w="1631"/>
        <w:gridCol w:w="1412"/>
      </w:tblGrid>
      <w:tr w:rsidR="00CE1106" w14:paraId="4361996D" w14:textId="77777777">
        <w:trPr>
          <w:trHeight w:val="804"/>
        </w:trPr>
        <w:tc>
          <w:tcPr>
            <w:tcW w:w="798" w:type="dxa"/>
          </w:tcPr>
          <w:p w14:paraId="391338AA" w14:textId="77777777" w:rsidR="00CE1106" w:rsidRDefault="007E060A">
            <w:pPr>
              <w:pStyle w:val="ListParagraph"/>
              <w:spacing w:after="0" w:line="36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r>
              <w:rPr>
                <w:rFonts w:ascii="Times New Roman" w:hAnsi="Times New Roman" w:cs="Times New Roman"/>
                <w:b/>
                <w:sz w:val="24"/>
                <w:szCs w:val="24"/>
              </w:rPr>
              <w:t>.</w:t>
            </w:r>
          </w:p>
        </w:tc>
        <w:tc>
          <w:tcPr>
            <w:tcW w:w="3618" w:type="dxa"/>
          </w:tcPr>
          <w:p w14:paraId="3171B590" w14:textId="77777777" w:rsidR="00CE1106" w:rsidRDefault="007E060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Category</w:t>
            </w:r>
          </w:p>
        </w:tc>
        <w:tc>
          <w:tcPr>
            <w:tcW w:w="1575" w:type="dxa"/>
          </w:tcPr>
          <w:p w14:paraId="724F2D0D"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Score range</w:t>
            </w:r>
          </w:p>
        </w:tc>
        <w:tc>
          <w:tcPr>
            <w:tcW w:w="1633" w:type="dxa"/>
          </w:tcPr>
          <w:p w14:paraId="62804076"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12" w:type="dxa"/>
          </w:tcPr>
          <w:p w14:paraId="6D35C8B4"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E1106" w14:paraId="7B3326E6" w14:textId="77777777">
        <w:trPr>
          <w:trHeight w:val="313"/>
        </w:trPr>
        <w:tc>
          <w:tcPr>
            <w:tcW w:w="798" w:type="dxa"/>
          </w:tcPr>
          <w:p w14:paraId="1247C424"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3618" w:type="dxa"/>
          </w:tcPr>
          <w:p w14:paraId="663C4EE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Low knowledge</w:t>
            </w:r>
          </w:p>
          <w:p w14:paraId="32AAD140"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(&lt;Mean-</w:t>
            </w:r>
            <w:proofErr w:type="gramStart"/>
            <w:r>
              <w:rPr>
                <w:rFonts w:ascii="Times New Roman" w:hAnsi="Times New Roman" w:cs="Times New Roman"/>
                <w:sz w:val="24"/>
                <w:szCs w:val="24"/>
              </w:rPr>
              <w:t>S.D</w:t>
            </w:r>
            <w:proofErr w:type="gramEnd"/>
            <w:r>
              <w:rPr>
                <w:rFonts w:ascii="Times New Roman" w:hAnsi="Times New Roman" w:cs="Times New Roman"/>
                <w:sz w:val="24"/>
                <w:szCs w:val="24"/>
              </w:rPr>
              <w:t>)</w:t>
            </w:r>
          </w:p>
        </w:tc>
        <w:tc>
          <w:tcPr>
            <w:tcW w:w="1575" w:type="dxa"/>
          </w:tcPr>
          <w:p w14:paraId="5E2A50F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&lt;30</w:t>
            </w:r>
          </w:p>
        </w:tc>
        <w:tc>
          <w:tcPr>
            <w:tcW w:w="1633" w:type="dxa"/>
          </w:tcPr>
          <w:p w14:paraId="187160A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p w14:paraId="50960511" w14:textId="77777777" w:rsidR="00CE1106" w:rsidRDefault="00CE1106">
            <w:pPr>
              <w:pStyle w:val="ListParagraph"/>
              <w:spacing w:after="0" w:line="360" w:lineRule="auto"/>
              <w:ind w:left="0"/>
              <w:jc w:val="center"/>
              <w:rPr>
                <w:rFonts w:ascii="Times New Roman" w:hAnsi="Times New Roman" w:cs="Times New Roman"/>
                <w:sz w:val="24"/>
                <w:szCs w:val="24"/>
              </w:rPr>
            </w:pPr>
          </w:p>
        </w:tc>
        <w:tc>
          <w:tcPr>
            <w:tcW w:w="1412" w:type="dxa"/>
          </w:tcPr>
          <w:p w14:paraId="264D3691"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w:t>
            </w:r>
          </w:p>
        </w:tc>
      </w:tr>
      <w:tr w:rsidR="00CE1106" w14:paraId="0443756F" w14:textId="77777777">
        <w:trPr>
          <w:trHeight w:val="325"/>
        </w:trPr>
        <w:tc>
          <w:tcPr>
            <w:tcW w:w="798" w:type="dxa"/>
          </w:tcPr>
          <w:p w14:paraId="746837AB"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3618" w:type="dxa"/>
          </w:tcPr>
          <w:p w14:paraId="5D2C8D89"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Medium knowledge</w:t>
            </w:r>
          </w:p>
          <w:p w14:paraId="113EA8B3"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(Mean + S.D)</w:t>
            </w:r>
          </w:p>
        </w:tc>
        <w:tc>
          <w:tcPr>
            <w:tcW w:w="1575" w:type="dxa"/>
          </w:tcPr>
          <w:p w14:paraId="2BDA8C0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31-34</w:t>
            </w:r>
          </w:p>
        </w:tc>
        <w:tc>
          <w:tcPr>
            <w:tcW w:w="1633" w:type="dxa"/>
          </w:tcPr>
          <w:p w14:paraId="7A3AE0CD"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1412" w:type="dxa"/>
          </w:tcPr>
          <w:p w14:paraId="3FCF06C4"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81.67</w:t>
            </w:r>
          </w:p>
        </w:tc>
      </w:tr>
      <w:tr w:rsidR="00CE1106" w14:paraId="02CC2197" w14:textId="77777777">
        <w:trPr>
          <w:trHeight w:val="478"/>
        </w:trPr>
        <w:tc>
          <w:tcPr>
            <w:tcW w:w="798" w:type="dxa"/>
          </w:tcPr>
          <w:p w14:paraId="2AFCC9D7"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3618" w:type="dxa"/>
          </w:tcPr>
          <w:p w14:paraId="3ED7FE85"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High knowledge</w:t>
            </w:r>
          </w:p>
          <w:p w14:paraId="7F4BFDB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(&gt;</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w:t>
            </w:r>
          </w:p>
        </w:tc>
        <w:tc>
          <w:tcPr>
            <w:tcW w:w="1575" w:type="dxa"/>
          </w:tcPr>
          <w:p w14:paraId="2152628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&gt;34</w:t>
            </w:r>
          </w:p>
        </w:tc>
        <w:tc>
          <w:tcPr>
            <w:tcW w:w="1633" w:type="dxa"/>
          </w:tcPr>
          <w:p w14:paraId="709A9C4C"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412" w:type="dxa"/>
          </w:tcPr>
          <w:p w14:paraId="766B05D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9.16</w:t>
            </w:r>
          </w:p>
        </w:tc>
      </w:tr>
      <w:tr w:rsidR="00CE1106" w14:paraId="09D5145E" w14:textId="77777777">
        <w:trPr>
          <w:trHeight w:val="70"/>
        </w:trPr>
        <w:tc>
          <w:tcPr>
            <w:tcW w:w="798" w:type="dxa"/>
          </w:tcPr>
          <w:p w14:paraId="6C31438B" w14:textId="77777777" w:rsidR="00CE1106" w:rsidRDefault="00CE1106">
            <w:pPr>
              <w:pStyle w:val="ListParagraph"/>
              <w:spacing w:after="0" w:line="360" w:lineRule="auto"/>
              <w:ind w:left="0"/>
              <w:jc w:val="center"/>
              <w:rPr>
                <w:rFonts w:ascii="Times New Roman" w:hAnsi="Times New Roman" w:cs="Times New Roman"/>
                <w:b/>
                <w:sz w:val="24"/>
                <w:szCs w:val="24"/>
              </w:rPr>
            </w:pPr>
          </w:p>
        </w:tc>
        <w:tc>
          <w:tcPr>
            <w:tcW w:w="3618" w:type="dxa"/>
          </w:tcPr>
          <w:p w14:paraId="38F9135A" w14:textId="77777777" w:rsidR="00CE1106" w:rsidRDefault="00CE1106">
            <w:pPr>
              <w:pStyle w:val="ListParagraph"/>
              <w:spacing w:after="0" w:line="360" w:lineRule="auto"/>
              <w:ind w:left="0"/>
              <w:jc w:val="both"/>
              <w:rPr>
                <w:rFonts w:ascii="Times New Roman" w:hAnsi="Times New Roman" w:cs="Times New Roman"/>
                <w:sz w:val="24"/>
                <w:szCs w:val="24"/>
              </w:rPr>
            </w:pPr>
          </w:p>
        </w:tc>
        <w:tc>
          <w:tcPr>
            <w:tcW w:w="1575" w:type="dxa"/>
          </w:tcPr>
          <w:p w14:paraId="466824CF" w14:textId="77777777" w:rsidR="00CE1106" w:rsidRDefault="00CE1106">
            <w:pPr>
              <w:pStyle w:val="ListParagraph"/>
              <w:spacing w:after="0" w:line="360" w:lineRule="auto"/>
              <w:ind w:left="0"/>
              <w:jc w:val="center"/>
              <w:rPr>
                <w:rFonts w:ascii="Times New Roman" w:hAnsi="Times New Roman" w:cs="Times New Roman"/>
                <w:sz w:val="24"/>
                <w:szCs w:val="24"/>
              </w:rPr>
            </w:pPr>
          </w:p>
        </w:tc>
        <w:tc>
          <w:tcPr>
            <w:tcW w:w="1633" w:type="dxa"/>
          </w:tcPr>
          <w:p w14:paraId="2458ED1F"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120</w:t>
            </w:r>
          </w:p>
        </w:tc>
        <w:tc>
          <w:tcPr>
            <w:tcW w:w="1412" w:type="dxa"/>
          </w:tcPr>
          <w:p w14:paraId="028D8287"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4E7B0AC7"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Mean:32.15, SD:1.87</w:t>
      </w:r>
    </w:p>
    <w:p w14:paraId="615960B4" w14:textId="77777777" w:rsidR="00CE1106" w:rsidRDefault="00CE1106">
      <w:pPr>
        <w:pStyle w:val="ListParagraph"/>
        <w:spacing w:after="0" w:line="360" w:lineRule="auto"/>
        <w:ind w:left="0"/>
        <w:jc w:val="center"/>
        <w:rPr>
          <w:rFonts w:ascii="Times New Roman" w:hAnsi="Times New Roman" w:cs="Times New Roman"/>
          <w:b/>
          <w:bCs/>
          <w:sz w:val="24"/>
          <w:szCs w:val="24"/>
        </w:rPr>
      </w:pPr>
    </w:p>
    <w:p w14:paraId="3CDFC3F0" w14:textId="77777777" w:rsidR="00CE1106" w:rsidRDefault="007E060A">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Table 3: Relationship between socio-demographic profile of the respondents and knowledge </w:t>
      </w:r>
      <w:r>
        <w:rPr>
          <w:rFonts w:ascii="Times New Roman" w:hAnsi="Times New Roman" w:cs="Times New Roman"/>
          <w:b/>
          <w:bCs/>
          <w:sz w:val="24"/>
          <w:szCs w:val="24"/>
        </w:rPr>
        <w:t>on organic farming practices (n=120)</w:t>
      </w:r>
    </w:p>
    <w:tbl>
      <w:tblPr>
        <w:tblStyle w:val="TableGrid"/>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4535"/>
        <w:gridCol w:w="3266"/>
      </w:tblGrid>
      <w:tr w:rsidR="00CE1106" w14:paraId="270DFA27" w14:textId="77777777">
        <w:trPr>
          <w:trHeight w:val="273"/>
        </w:trPr>
        <w:tc>
          <w:tcPr>
            <w:tcW w:w="672" w:type="pct"/>
          </w:tcPr>
          <w:p w14:paraId="6F6CB343" w14:textId="77777777" w:rsidR="00CE1106" w:rsidRDefault="007E060A">
            <w:pPr>
              <w:pStyle w:val="ListParagraph"/>
              <w:spacing w:after="0" w:line="36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r>
              <w:rPr>
                <w:rFonts w:ascii="Times New Roman" w:hAnsi="Times New Roman" w:cs="Times New Roman"/>
                <w:b/>
                <w:sz w:val="24"/>
                <w:szCs w:val="24"/>
              </w:rPr>
              <w:t>.</w:t>
            </w:r>
          </w:p>
        </w:tc>
        <w:tc>
          <w:tcPr>
            <w:tcW w:w="2515" w:type="pct"/>
          </w:tcPr>
          <w:p w14:paraId="382612D1" w14:textId="77777777" w:rsidR="00CE1106" w:rsidRDefault="007E060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812" w:type="pct"/>
          </w:tcPr>
          <w:p w14:paraId="27ACB0F9" w14:textId="77777777" w:rsidR="00CE1106" w:rsidRDefault="007E060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Correlation (‘r’-value)</w:t>
            </w:r>
          </w:p>
        </w:tc>
      </w:tr>
      <w:tr w:rsidR="00CE1106" w14:paraId="23637173" w14:textId="77777777">
        <w:trPr>
          <w:trHeight w:val="273"/>
        </w:trPr>
        <w:tc>
          <w:tcPr>
            <w:tcW w:w="672" w:type="pct"/>
          </w:tcPr>
          <w:p w14:paraId="5E427EC3"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2515" w:type="pct"/>
          </w:tcPr>
          <w:p w14:paraId="3805DB74"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Age</w:t>
            </w:r>
          </w:p>
        </w:tc>
        <w:tc>
          <w:tcPr>
            <w:tcW w:w="1812" w:type="pct"/>
          </w:tcPr>
          <w:p w14:paraId="53C0B819"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0.323</w:t>
            </w:r>
            <w:r>
              <w:rPr>
                <w:rFonts w:ascii="Times New Roman" w:hAnsi="Times New Roman" w:cs="Times New Roman"/>
                <w:sz w:val="24"/>
                <w:szCs w:val="24"/>
                <w:vertAlign w:val="superscript"/>
              </w:rPr>
              <w:t>*</w:t>
            </w:r>
          </w:p>
        </w:tc>
      </w:tr>
      <w:tr w:rsidR="00CE1106" w14:paraId="68D856F3" w14:textId="77777777">
        <w:trPr>
          <w:trHeight w:val="273"/>
        </w:trPr>
        <w:tc>
          <w:tcPr>
            <w:tcW w:w="672" w:type="pct"/>
          </w:tcPr>
          <w:p w14:paraId="3903FE80"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2515" w:type="pct"/>
          </w:tcPr>
          <w:p w14:paraId="69475767"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Education</w:t>
            </w:r>
          </w:p>
        </w:tc>
        <w:tc>
          <w:tcPr>
            <w:tcW w:w="1812" w:type="pct"/>
          </w:tcPr>
          <w:p w14:paraId="70F101A0"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0.431</w:t>
            </w:r>
            <w:r>
              <w:rPr>
                <w:rFonts w:ascii="Times New Roman" w:hAnsi="Times New Roman" w:cs="Times New Roman"/>
                <w:sz w:val="24"/>
                <w:szCs w:val="24"/>
                <w:vertAlign w:val="superscript"/>
              </w:rPr>
              <w:t>**</w:t>
            </w:r>
          </w:p>
        </w:tc>
      </w:tr>
      <w:tr w:rsidR="00CE1106" w14:paraId="1E0AD1D7" w14:textId="77777777">
        <w:trPr>
          <w:trHeight w:val="273"/>
        </w:trPr>
        <w:tc>
          <w:tcPr>
            <w:tcW w:w="672" w:type="pct"/>
          </w:tcPr>
          <w:p w14:paraId="4E8CA3FC"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2515" w:type="pct"/>
          </w:tcPr>
          <w:p w14:paraId="047BD01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type</w:t>
            </w:r>
          </w:p>
        </w:tc>
        <w:tc>
          <w:tcPr>
            <w:tcW w:w="1812" w:type="pct"/>
          </w:tcPr>
          <w:p w14:paraId="1CEBD30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-0.183</w:t>
            </w:r>
            <w:r>
              <w:rPr>
                <w:rFonts w:ascii="Times New Roman" w:hAnsi="Times New Roman" w:cs="Times New Roman"/>
                <w:sz w:val="24"/>
                <w:szCs w:val="24"/>
                <w:vertAlign w:val="superscript"/>
              </w:rPr>
              <w:t>*</w:t>
            </w:r>
          </w:p>
        </w:tc>
      </w:tr>
      <w:tr w:rsidR="00CE1106" w14:paraId="0C4B6D1D" w14:textId="77777777">
        <w:trPr>
          <w:trHeight w:val="273"/>
        </w:trPr>
        <w:tc>
          <w:tcPr>
            <w:tcW w:w="672" w:type="pct"/>
          </w:tcPr>
          <w:p w14:paraId="2020DDFA"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2515" w:type="pct"/>
          </w:tcPr>
          <w:p w14:paraId="27F0947E"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Family size</w:t>
            </w:r>
          </w:p>
        </w:tc>
        <w:tc>
          <w:tcPr>
            <w:tcW w:w="1812" w:type="pct"/>
          </w:tcPr>
          <w:p w14:paraId="537D62FD"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-.021</w:t>
            </w:r>
            <w:r>
              <w:rPr>
                <w:rFonts w:ascii="Times New Roman" w:hAnsi="Times New Roman" w:cs="Times New Roman"/>
                <w:sz w:val="24"/>
                <w:szCs w:val="24"/>
                <w:vertAlign w:val="superscript"/>
              </w:rPr>
              <w:t xml:space="preserve"> NS</w:t>
            </w:r>
          </w:p>
        </w:tc>
      </w:tr>
      <w:tr w:rsidR="00CE1106" w14:paraId="63608F17" w14:textId="77777777">
        <w:trPr>
          <w:trHeight w:val="273"/>
        </w:trPr>
        <w:tc>
          <w:tcPr>
            <w:tcW w:w="672" w:type="pct"/>
          </w:tcPr>
          <w:p w14:paraId="44A5A5E9"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2515" w:type="pct"/>
          </w:tcPr>
          <w:p w14:paraId="21DAB43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Land holding</w:t>
            </w:r>
          </w:p>
        </w:tc>
        <w:tc>
          <w:tcPr>
            <w:tcW w:w="1812" w:type="pct"/>
          </w:tcPr>
          <w:p w14:paraId="5E4049EA"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0.746</w:t>
            </w:r>
            <w:r>
              <w:rPr>
                <w:rFonts w:ascii="Times New Roman" w:hAnsi="Times New Roman" w:cs="Times New Roman"/>
                <w:sz w:val="24"/>
                <w:szCs w:val="24"/>
                <w:vertAlign w:val="superscript"/>
              </w:rPr>
              <w:t>**</w:t>
            </w:r>
          </w:p>
        </w:tc>
      </w:tr>
      <w:tr w:rsidR="00CE1106" w14:paraId="1AAEBEBB" w14:textId="77777777">
        <w:trPr>
          <w:trHeight w:val="273"/>
        </w:trPr>
        <w:tc>
          <w:tcPr>
            <w:tcW w:w="672" w:type="pct"/>
          </w:tcPr>
          <w:p w14:paraId="0A5E5394"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2515" w:type="pct"/>
          </w:tcPr>
          <w:p w14:paraId="5FB90FA8"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Occupation</w:t>
            </w:r>
          </w:p>
        </w:tc>
        <w:tc>
          <w:tcPr>
            <w:tcW w:w="1812" w:type="pct"/>
          </w:tcPr>
          <w:p w14:paraId="599A9764"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-.018</w:t>
            </w:r>
            <w:r>
              <w:rPr>
                <w:rFonts w:ascii="Times New Roman" w:hAnsi="Times New Roman" w:cs="Times New Roman"/>
                <w:sz w:val="24"/>
                <w:szCs w:val="24"/>
                <w:vertAlign w:val="superscript"/>
              </w:rPr>
              <w:t xml:space="preserve"> NS</w:t>
            </w:r>
          </w:p>
        </w:tc>
      </w:tr>
      <w:tr w:rsidR="00CE1106" w14:paraId="24D38598" w14:textId="77777777">
        <w:trPr>
          <w:trHeight w:val="273"/>
        </w:trPr>
        <w:tc>
          <w:tcPr>
            <w:tcW w:w="672" w:type="pct"/>
          </w:tcPr>
          <w:p w14:paraId="3CD7D8E3"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2515" w:type="pct"/>
          </w:tcPr>
          <w:p w14:paraId="3FA844D9"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Annual income</w:t>
            </w:r>
          </w:p>
        </w:tc>
        <w:tc>
          <w:tcPr>
            <w:tcW w:w="1812" w:type="pct"/>
          </w:tcPr>
          <w:p w14:paraId="3565FE24"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0.272</w:t>
            </w:r>
            <w:r>
              <w:rPr>
                <w:rFonts w:ascii="Times New Roman" w:hAnsi="Times New Roman" w:cs="Times New Roman"/>
                <w:sz w:val="24"/>
                <w:szCs w:val="24"/>
                <w:vertAlign w:val="superscript"/>
              </w:rPr>
              <w:t>**</w:t>
            </w:r>
          </w:p>
        </w:tc>
      </w:tr>
      <w:tr w:rsidR="00CE1106" w14:paraId="2205F1E0" w14:textId="77777777">
        <w:trPr>
          <w:trHeight w:val="273"/>
        </w:trPr>
        <w:tc>
          <w:tcPr>
            <w:tcW w:w="672" w:type="pct"/>
          </w:tcPr>
          <w:p w14:paraId="61B8DBE1"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2515" w:type="pct"/>
          </w:tcPr>
          <w:p w14:paraId="0BD82168"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Social </w:t>
            </w:r>
            <w:r>
              <w:rPr>
                <w:rFonts w:ascii="Times New Roman" w:hAnsi="Times New Roman" w:cs="Times New Roman"/>
                <w:sz w:val="24"/>
                <w:szCs w:val="24"/>
              </w:rPr>
              <w:t>Participation</w:t>
            </w:r>
          </w:p>
        </w:tc>
        <w:tc>
          <w:tcPr>
            <w:tcW w:w="1812" w:type="pct"/>
          </w:tcPr>
          <w:p w14:paraId="7D863E0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0.518</w:t>
            </w:r>
            <w:r>
              <w:rPr>
                <w:rFonts w:ascii="Times New Roman" w:hAnsi="Times New Roman" w:cs="Times New Roman"/>
                <w:sz w:val="24"/>
                <w:szCs w:val="24"/>
                <w:vertAlign w:val="superscript"/>
              </w:rPr>
              <w:t>**</w:t>
            </w:r>
          </w:p>
        </w:tc>
      </w:tr>
      <w:tr w:rsidR="00CE1106" w14:paraId="152EB867" w14:textId="77777777">
        <w:trPr>
          <w:trHeight w:val="273"/>
        </w:trPr>
        <w:tc>
          <w:tcPr>
            <w:tcW w:w="672" w:type="pct"/>
          </w:tcPr>
          <w:p w14:paraId="591CF0B8"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9.</w:t>
            </w:r>
          </w:p>
        </w:tc>
        <w:tc>
          <w:tcPr>
            <w:tcW w:w="2515" w:type="pct"/>
          </w:tcPr>
          <w:p w14:paraId="464BB496"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Farming Experience </w:t>
            </w:r>
          </w:p>
        </w:tc>
        <w:tc>
          <w:tcPr>
            <w:tcW w:w="1812" w:type="pct"/>
          </w:tcPr>
          <w:p w14:paraId="615BADFD"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0.443</w:t>
            </w:r>
            <w:r>
              <w:rPr>
                <w:rFonts w:ascii="Times New Roman" w:hAnsi="Times New Roman" w:cs="Times New Roman"/>
                <w:sz w:val="24"/>
                <w:szCs w:val="24"/>
                <w:vertAlign w:val="superscript"/>
              </w:rPr>
              <w:t>**</w:t>
            </w:r>
          </w:p>
        </w:tc>
      </w:tr>
      <w:tr w:rsidR="00CE1106" w14:paraId="3249F69C" w14:textId="77777777">
        <w:trPr>
          <w:trHeight w:val="273"/>
        </w:trPr>
        <w:tc>
          <w:tcPr>
            <w:tcW w:w="672" w:type="pct"/>
          </w:tcPr>
          <w:p w14:paraId="3C64F3B3"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w:t>
            </w:r>
          </w:p>
        </w:tc>
        <w:tc>
          <w:tcPr>
            <w:tcW w:w="2515" w:type="pct"/>
          </w:tcPr>
          <w:p w14:paraId="07E60148"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Extension contact</w:t>
            </w:r>
          </w:p>
        </w:tc>
        <w:tc>
          <w:tcPr>
            <w:tcW w:w="1812" w:type="pct"/>
          </w:tcPr>
          <w:p w14:paraId="1DCBE62C"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0.336</w:t>
            </w:r>
            <w:r>
              <w:rPr>
                <w:rFonts w:ascii="Times New Roman" w:hAnsi="Times New Roman" w:cs="Times New Roman"/>
                <w:sz w:val="24"/>
                <w:szCs w:val="24"/>
                <w:vertAlign w:val="superscript"/>
              </w:rPr>
              <w:t>**</w:t>
            </w:r>
          </w:p>
        </w:tc>
      </w:tr>
      <w:tr w:rsidR="00CE1106" w14:paraId="714494A5" w14:textId="77777777">
        <w:trPr>
          <w:trHeight w:val="273"/>
        </w:trPr>
        <w:tc>
          <w:tcPr>
            <w:tcW w:w="672" w:type="pct"/>
          </w:tcPr>
          <w:p w14:paraId="5A86833B"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2515" w:type="pct"/>
          </w:tcPr>
          <w:p w14:paraId="75654FFD"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Mass media exposure  </w:t>
            </w:r>
          </w:p>
        </w:tc>
        <w:tc>
          <w:tcPr>
            <w:tcW w:w="1812" w:type="pct"/>
          </w:tcPr>
          <w:p w14:paraId="4ABA89C8"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-.136</w:t>
            </w:r>
            <w:r>
              <w:rPr>
                <w:rFonts w:ascii="Times New Roman" w:hAnsi="Times New Roman" w:cs="Times New Roman"/>
                <w:sz w:val="24"/>
                <w:szCs w:val="24"/>
                <w:vertAlign w:val="superscript"/>
              </w:rPr>
              <w:t>NS</w:t>
            </w:r>
          </w:p>
        </w:tc>
      </w:tr>
      <w:tr w:rsidR="00CE1106" w14:paraId="4DCAFE3B" w14:textId="77777777">
        <w:trPr>
          <w:trHeight w:val="282"/>
        </w:trPr>
        <w:tc>
          <w:tcPr>
            <w:tcW w:w="672" w:type="pct"/>
          </w:tcPr>
          <w:p w14:paraId="6F0779B8" w14:textId="77777777" w:rsidR="00CE1106" w:rsidRDefault="007E060A">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w:t>
            </w:r>
          </w:p>
        </w:tc>
        <w:tc>
          <w:tcPr>
            <w:tcW w:w="2515" w:type="pct"/>
          </w:tcPr>
          <w:p w14:paraId="0CD58ABF" w14:textId="77777777" w:rsidR="00CE1106" w:rsidRDefault="007E060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Scientific orientation </w:t>
            </w:r>
          </w:p>
        </w:tc>
        <w:tc>
          <w:tcPr>
            <w:tcW w:w="1812" w:type="pct"/>
          </w:tcPr>
          <w:p w14:paraId="77388173" w14:textId="77777777" w:rsidR="00CE1106" w:rsidRDefault="007E060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0.335</w:t>
            </w:r>
            <w:r>
              <w:rPr>
                <w:rFonts w:ascii="Times New Roman" w:hAnsi="Times New Roman" w:cs="Times New Roman"/>
                <w:sz w:val="24"/>
                <w:szCs w:val="24"/>
                <w:vertAlign w:val="superscript"/>
              </w:rPr>
              <w:t>**</w:t>
            </w:r>
          </w:p>
        </w:tc>
      </w:tr>
    </w:tbl>
    <w:p w14:paraId="7F87F52C" w14:textId="77777777" w:rsidR="00CE1106" w:rsidRDefault="007E060A">
      <w:pPr>
        <w:spacing w:after="0" w:line="360" w:lineRule="auto"/>
        <w:jc w:val="right"/>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 Significant at 5% level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Significant at 1 % level, </w:t>
      </w:r>
      <w:proofErr w:type="spellStart"/>
      <w:r>
        <w:rPr>
          <w:rFonts w:ascii="Times New Roman" w:hAnsi="Times New Roman" w:cs="Times New Roman"/>
          <w:sz w:val="24"/>
          <w:szCs w:val="24"/>
          <w:vertAlign w:val="superscript"/>
        </w:rPr>
        <w:t>NS</w:t>
      </w:r>
      <w:r>
        <w:rPr>
          <w:rFonts w:ascii="Times New Roman" w:hAnsi="Times New Roman" w:cs="Times New Roman"/>
          <w:sz w:val="24"/>
          <w:szCs w:val="24"/>
        </w:rPr>
        <w:t>Non</w:t>
      </w:r>
      <w:proofErr w:type="spellEnd"/>
      <w:r>
        <w:rPr>
          <w:rFonts w:ascii="Times New Roman" w:hAnsi="Times New Roman" w:cs="Times New Roman"/>
          <w:sz w:val="24"/>
          <w:szCs w:val="24"/>
        </w:rPr>
        <w:t xml:space="preserve"> Significant </w:t>
      </w:r>
    </w:p>
    <w:p w14:paraId="1DD58DBA" w14:textId="77777777" w:rsidR="00CE1106" w:rsidRDefault="007E060A">
      <w:pPr>
        <w:pStyle w:val="NormalWeb"/>
        <w:spacing w:line="360" w:lineRule="auto"/>
        <w:jc w:val="both"/>
      </w:pPr>
      <w:r>
        <w:t>The correlation analysis indicates the kind and degree of associations between the chosen independent variables and the dependent, demonstrating the impact of various socio-economic and psychological characteristics on the results of knowledge, adoption, o</w:t>
      </w:r>
      <w:r>
        <w:t>r attitude. There is a positive significant relationship (r = 0.323) at the 5% level between age and experience indicating that as age increases, the respondents are likely to be more experienced and understand more, which positively relates to the depende</w:t>
      </w:r>
      <w:r>
        <w:t xml:space="preserve">nt variable. Education shows a greater positive and significantly significant relationship (r = 0.431**), which means that the higher the level of education, the more awareness, understanding and </w:t>
      </w:r>
      <w:r>
        <w:rPr>
          <w:lang w:val="en-US"/>
        </w:rPr>
        <w:t>up-taking</w:t>
      </w:r>
      <w:r>
        <w:t xml:space="preserve"> of better agricultural practices. Conversely, the </w:t>
      </w:r>
      <w:r>
        <w:t xml:space="preserve">type of family correlates negatively and significantly (r = -0.183), which means that the respondents of the joint families might have a comparatively lower </w:t>
      </w:r>
      <w:r>
        <w:lastRenderedPageBreak/>
        <w:t>autonomy in decision making than their counterparts of nuclear families and this variable can affec</w:t>
      </w:r>
      <w:r>
        <w:t xml:space="preserve">t the adoption </w:t>
      </w:r>
      <w:proofErr w:type="spellStart"/>
      <w:r>
        <w:t>behavior</w:t>
      </w:r>
      <w:proofErr w:type="spellEnd"/>
      <w:r>
        <w:t xml:space="preserve">. The family size (r = -0.021 NS) and occupation (r = -0.018 NS) do not have any significant relationship, which means that these variables do not affect the dependent variable in any meaningful way. Annual income (r = 0.272**) also </w:t>
      </w:r>
      <w:r>
        <w:t>has a positive and significant relationship as well as land holding (r = 0.746**), implying that respondents with sufficient finances are more likely to use better practices. There is a strong positive, and statistically significant relationship between so</w:t>
      </w:r>
      <w:r>
        <w:t>cial participation (r = 0.518) and information, motivation, meanwhile, farming experience (r = 0.443) is also positively correlated, showing that the experienced farmers have practical knowledge that would make better decisions. There is a significant posi</w:t>
      </w:r>
      <w:r>
        <w:t>tive relationship with extension contact (r = 0.336) and a negative non-significant relationship with mass media exposure (r = -0.136 NS), indicating that direct exposure to extension personnel is not always associated with effective knowledge and adoption</w:t>
      </w:r>
      <w:r>
        <w:t>. Lastly, scientific orientation (r = 0.335) is positively and significantly correlated, which means that the respondents who have a scientific orientation are more willing to accept and adopt new technologies. In general, the analysis shows that the varia</w:t>
      </w:r>
      <w:r>
        <w:t>bles of land holding, social participation, education, and farming experience are significant, whereas the variables of family size, occupation, and mass media exposure have minimal or no impact on the dependent variable.</w:t>
      </w:r>
    </w:p>
    <w:p w14:paraId="24AACC0C" w14:textId="77777777" w:rsidR="00CE1106" w:rsidRDefault="007E060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762BA08" w14:textId="77777777" w:rsidR="00CE1106" w:rsidRDefault="007E060A">
      <w:pPr>
        <w:pStyle w:val="NormalWeb"/>
        <w:spacing w:line="360" w:lineRule="auto"/>
        <w:jc w:val="both"/>
      </w:pPr>
      <w:r>
        <w:t xml:space="preserve">The current research </w:t>
      </w:r>
      <w:r>
        <w:t>within Hamirpur district of Bundelkhand region the</w:t>
      </w:r>
      <w:r>
        <w:rPr>
          <w:lang w:val="en-US"/>
        </w:rPr>
        <w:t xml:space="preserve"> finding </w:t>
      </w:r>
      <w:proofErr w:type="gramStart"/>
      <w:r>
        <w:rPr>
          <w:lang w:val="en-US"/>
        </w:rPr>
        <w:t>show</w:t>
      </w:r>
      <w:proofErr w:type="gramEnd"/>
      <w:r>
        <w:rPr>
          <w:lang w:val="en-US"/>
        </w:rPr>
        <w:t xml:space="preserve"> that</w:t>
      </w:r>
      <w:r>
        <w:t xml:space="preserve"> knowledge of farmers on the practice of organic farming and the determinants of the same. The findings revealed that the medium level of knowledge was recorded in 81.66 percent of the res</w:t>
      </w:r>
      <w:r>
        <w:t>pondents with low and high levels being 9.16 percent. This shows that the farmers possess elementary awareness, yet they require enhancement. The medium level of knowledge could be attributed to the initiatives of the extension agencies, certification agen</w:t>
      </w:r>
      <w:r>
        <w:t>cies, and the agricultural departments in terms of training, demonstration, and farmer meetings. Besides that, the majority of respondents possessed over 10 years of experience in farming and this assisted them in acquiring practical knowledge. The socio-e</w:t>
      </w:r>
      <w:r>
        <w:t>conomic profile indicated that majority of the farmers were middle aged, moderately educated and undertook agriculture and dairying. The number of respondents with medium landholding and greater annual income was high, which indicated their ability to impl</w:t>
      </w:r>
      <w:r>
        <w:t xml:space="preserve">ement better practices. Social high participation and extension contact also assisted farmers to gain access to information and enhance their </w:t>
      </w:r>
      <w:r>
        <w:lastRenderedPageBreak/>
        <w:t>knowledge. Correlation analysis revealed that there was a positive and significant relationship between land holdi</w:t>
      </w:r>
      <w:r>
        <w:t>ng, social participation, farming experience, education, extension contact, scientific orientation, age and annual income and knowledge. The most powerful of them was land holding. Larger landowners had a bigger probability of acquiring and using knowledge</w:t>
      </w:r>
      <w:r>
        <w:t>. There was also the social participation and education, which was important to raise awareness and exposure. The relationship between family type and the decision-making process was negative but significant. Family size, occupation, and exposure to mass m</w:t>
      </w:r>
      <w:r>
        <w:t xml:space="preserve">edia, on the other hand, were also found to be non-significant. This implies that there is not much impact of these factors on knowledge in this field of study. The lack of significance of the mass media also reflects the necessity to have more direct and </w:t>
      </w:r>
      <w:r>
        <w:t>interactive means of extension. In general, it is indicated that farmers possess an average knowledge about organic farming. More focused training and the need to strengthen the extension services should be implemented. Participatory approaches and capacit</w:t>
      </w:r>
      <w:r>
        <w:t>y building should be advised. Such initiatives will contribute to the increase in knowledge and organic farming practices. This will also facilitate sustainable farming and improved livelihoods to farmers.</w:t>
      </w:r>
    </w:p>
    <w:p w14:paraId="31879E4C" w14:textId="77777777" w:rsidR="00CE1106" w:rsidRDefault="007E060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AD097D6" w14:textId="77777777" w:rsidR="00CE1106" w:rsidRDefault="007E060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Ahmad. S. K, and </w:t>
      </w:r>
      <w:proofErr w:type="spellStart"/>
      <w:proofErr w:type="gramStart"/>
      <w:r>
        <w:rPr>
          <w:rFonts w:ascii="Times New Roman" w:hAnsi="Times New Roman" w:cs="Times New Roman"/>
          <w:sz w:val="24"/>
          <w:szCs w:val="24"/>
        </w:rPr>
        <w:t>S.Dam</w:t>
      </w:r>
      <w:proofErr w:type="spellEnd"/>
      <w:proofErr w:type="gramEnd"/>
      <w:r>
        <w:rPr>
          <w:rFonts w:ascii="Times New Roman" w:hAnsi="Times New Roman" w:cs="Times New Roman"/>
          <w:sz w:val="24"/>
          <w:szCs w:val="24"/>
        </w:rPr>
        <w:t xml:space="preserve">. Roy, (2013). A </w:t>
      </w:r>
      <w:r>
        <w:rPr>
          <w:rFonts w:ascii="Times New Roman" w:hAnsi="Times New Roman" w:cs="Times New Roman"/>
          <w:sz w:val="24"/>
          <w:szCs w:val="24"/>
        </w:rPr>
        <w:t xml:space="preserve">Study on Knowledge Grain, Adoption and Attitude towards Training of Farm Woman in Port </w:t>
      </w:r>
      <w:proofErr w:type="spellStart"/>
      <w:r>
        <w:rPr>
          <w:rFonts w:ascii="Times New Roman" w:hAnsi="Times New Roman" w:cs="Times New Roman"/>
          <w:sz w:val="24"/>
          <w:szCs w:val="24"/>
        </w:rPr>
        <w:t>Balir</w:t>
      </w:r>
      <w:proofErr w:type="spellEnd"/>
      <w:r>
        <w:rPr>
          <w:rFonts w:ascii="Times New Roman" w:hAnsi="Times New Roman" w:cs="Times New Roman"/>
          <w:sz w:val="24"/>
          <w:szCs w:val="24"/>
        </w:rPr>
        <w:t xml:space="preserve">, Andaman. </w:t>
      </w:r>
      <w:proofErr w:type="gramStart"/>
      <w:r>
        <w:rPr>
          <w:rFonts w:ascii="Times New Roman" w:hAnsi="Times New Roman" w:cs="Times New Roman"/>
          <w:sz w:val="24"/>
          <w:szCs w:val="24"/>
        </w:rPr>
        <w:t>Indian  Journal</w:t>
      </w:r>
      <w:proofErr w:type="gramEnd"/>
      <w:r>
        <w:rPr>
          <w:rFonts w:ascii="Times New Roman" w:hAnsi="Times New Roman" w:cs="Times New Roman"/>
          <w:sz w:val="24"/>
          <w:szCs w:val="24"/>
        </w:rPr>
        <w:t xml:space="preserve"> of Extension Education Vol. 49, No. (1&amp;2) (67-72) </w:t>
      </w:r>
    </w:p>
    <w:p w14:paraId="6F5DB87E" w14:textId="77777777" w:rsidR="00CE1106" w:rsidRDefault="007E060A">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Chanpaneri</w:t>
      </w:r>
      <w:proofErr w:type="spellEnd"/>
      <w:r>
        <w:rPr>
          <w:rFonts w:ascii="Times New Roman" w:hAnsi="Times New Roman" w:cs="Times New Roman"/>
          <w:sz w:val="24"/>
          <w:szCs w:val="24"/>
        </w:rPr>
        <w:t xml:space="preserve">, H. C. (2012). Adoption of organic farming practices by the tribal farmers </w:t>
      </w:r>
      <w:r>
        <w:rPr>
          <w:rFonts w:ascii="Times New Roman" w:hAnsi="Times New Roman" w:cs="Times New Roman"/>
          <w:sz w:val="24"/>
          <w:szCs w:val="24"/>
        </w:rPr>
        <w:t xml:space="preserve">of North Gujarat. M.Sc. (Agri.) Thesis (Unpublished), SDAU,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Gujarat.</w:t>
      </w:r>
    </w:p>
    <w:p w14:paraId="797BAC1C" w14:textId="77777777" w:rsidR="00CE1106" w:rsidRDefault="007E060A">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Dobariya</w:t>
      </w:r>
      <w:proofErr w:type="spellEnd"/>
      <w:r>
        <w:rPr>
          <w:rFonts w:ascii="Times New Roman" w:hAnsi="Times New Roman" w:cs="Times New Roman"/>
          <w:sz w:val="24"/>
          <w:szCs w:val="24"/>
        </w:rPr>
        <w:t>. J. B, and N. B. Chauhan, (2012). Knowledge of Postgraduate Research Scholars of Anand Agriculture University about Global Warming. Indian Journal of Extension</w:t>
      </w:r>
      <w:r>
        <w:rPr>
          <w:rFonts w:ascii="Times New Roman" w:hAnsi="Times New Roman" w:cs="Times New Roman"/>
          <w:sz w:val="24"/>
          <w:szCs w:val="24"/>
        </w:rPr>
        <w:t xml:space="preserve"> Education Vol. 48, No. (1&amp;2) (56-59)</w:t>
      </w:r>
    </w:p>
    <w:p w14:paraId="1886B592" w14:textId="77777777" w:rsidR="00CE1106" w:rsidRDefault="007E060A">
      <w:pPr>
        <w:numPr>
          <w:ilvl w:val="0"/>
          <w:numId w:val="1"/>
        </w:numPr>
        <w:spacing w:after="0" w:line="360" w:lineRule="auto"/>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Haneef R, Sharma G, Ahmad T. Constraints faced by farmers practicing organic farming in hill region of Uttarakhand, India. International Journal of Current Microbiology and Applied Sciences. 2019;8(5):1149-1157.20.</w:t>
      </w:r>
    </w:p>
    <w:p w14:paraId="02F05E36" w14:textId="77777777" w:rsidR="00CE1106" w:rsidRDefault="007E060A">
      <w:pPr>
        <w:numPr>
          <w:ilvl w:val="0"/>
          <w:numId w:val="1"/>
        </w:numPr>
        <w:spacing w:after="0" w:line="360" w:lineRule="auto"/>
        <w:jc w:val="both"/>
        <w:rPr>
          <w:rFonts w:ascii="Times New Roman" w:hAnsi="Times New Roman" w:cs="Times New Roman"/>
          <w:sz w:val="24"/>
          <w:szCs w:val="24"/>
        </w:rPr>
      </w:pPr>
      <w:proofErr w:type="spellStart"/>
      <w:r>
        <w:rPr>
          <w:rFonts w:ascii="Times New Roman" w:eastAsia="sans-serif" w:hAnsi="Times New Roman" w:cs="Times New Roman"/>
          <w:sz w:val="24"/>
          <w:szCs w:val="24"/>
          <w:shd w:val="clear" w:color="auto" w:fill="FFFFFF"/>
        </w:rPr>
        <w:t>Kan</w:t>
      </w:r>
      <w:r>
        <w:rPr>
          <w:rFonts w:ascii="Times New Roman" w:eastAsia="sans-serif" w:hAnsi="Times New Roman" w:cs="Times New Roman"/>
          <w:sz w:val="24"/>
          <w:szCs w:val="24"/>
          <w:shd w:val="clear" w:color="auto" w:fill="FFFFFF"/>
        </w:rPr>
        <w:t>agasabapathi</w:t>
      </w:r>
      <w:proofErr w:type="spellEnd"/>
      <w:r>
        <w:rPr>
          <w:rFonts w:ascii="Times New Roman" w:eastAsia="sans-serif" w:hAnsi="Times New Roman" w:cs="Times New Roman"/>
          <w:sz w:val="24"/>
          <w:szCs w:val="24"/>
          <w:shd w:val="clear" w:color="auto" w:fill="FFFFFF"/>
        </w:rPr>
        <w:t xml:space="preserve"> K, Sakthivel V. Constraints in the adoption of organic farming practices as perceived by the extension personnel in </w:t>
      </w:r>
      <w:proofErr w:type="spellStart"/>
      <w:r>
        <w:rPr>
          <w:rFonts w:ascii="Times New Roman" w:eastAsia="sans-serif" w:hAnsi="Times New Roman" w:cs="Times New Roman"/>
          <w:sz w:val="24"/>
          <w:szCs w:val="24"/>
          <w:shd w:val="clear" w:color="auto" w:fill="FFFFFF"/>
        </w:rPr>
        <w:t>kolli</w:t>
      </w:r>
      <w:proofErr w:type="spellEnd"/>
      <w:r>
        <w:rPr>
          <w:rFonts w:ascii="Times New Roman" w:eastAsia="sans-serif" w:hAnsi="Times New Roman" w:cs="Times New Roman"/>
          <w:sz w:val="24"/>
          <w:szCs w:val="24"/>
          <w:shd w:val="clear" w:color="auto" w:fill="FFFFFF"/>
        </w:rPr>
        <w:t xml:space="preserve"> hills. Plant Archives. 2020;20(2):2165-2166.22.</w:t>
      </w:r>
    </w:p>
    <w:p w14:paraId="5A5AEB9F" w14:textId="77777777" w:rsidR="00CE1106" w:rsidRDefault="007E060A">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Kavaskar</w:t>
      </w:r>
      <w:proofErr w:type="spellEnd"/>
      <w:r>
        <w:rPr>
          <w:rFonts w:ascii="Times New Roman" w:hAnsi="Times New Roman" w:cs="Times New Roman"/>
          <w:sz w:val="24"/>
          <w:szCs w:val="24"/>
        </w:rPr>
        <w:t>, M. (2012). Profile characteristics and knowledge level of paddy</w:t>
      </w:r>
      <w:r>
        <w:rPr>
          <w:rFonts w:ascii="Times New Roman" w:hAnsi="Times New Roman" w:cs="Times New Roman"/>
          <w:sz w:val="24"/>
          <w:szCs w:val="24"/>
        </w:rPr>
        <w:t xml:space="preserve"> growers about organic farming practices in Tamil Nadu. Research J. </w:t>
      </w:r>
      <w:proofErr w:type="spellStart"/>
      <w:r>
        <w:rPr>
          <w:rFonts w:ascii="Times New Roman" w:hAnsi="Times New Roman" w:cs="Times New Roman"/>
          <w:sz w:val="24"/>
          <w:szCs w:val="24"/>
        </w:rPr>
        <w:t>Agril</w:t>
      </w:r>
      <w:proofErr w:type="spellEnd"/>
      <w:r>
        <w:rPr>
          <w:rFonts w:ascii="Times New Roman" w:hAnsi="Times New Roman" w:cs="Times New Roman"/>
          <w:sz w:val="24"/>
          <w:szCs w:val="24"/>
        </w:rPr>
        <w:t>. Sci. 3(2): 385-388.</w:t>
      </w:r>
    </w:p>
    <w:p w14:paraId="6D0E20D5" w14:textId="77777777" w:rsidR="00CE1106" w:rsidRDefault="007E060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M., R. K. </w:t>
      </w:r>
      <w:proofErr w:type="spellStart"/>
      <w:r>
        <w:rPr>
          <w:rFonts w:ascii="Times New Roman" w:hAnsi="Times New Roman" w:cs="Times New Roman"/>
          <w:sz w:val="24"/>
          <w:szCs w:val="24"/>
        </w:rPr>
        <w:t>Doharey</w:t>
      </w:r>
      <w:proofErr w:type="spellEnd"/>
      <w:r>
        <w:rPr>
          <w:rFonts w:ascii="Times New Roman" w:hAnsi="Times New Roman" w:cs="Times New Roman"/>
          <w:sz w:val="24"/>
          <w:szCs w:val="24"/>
        </w:rPr>
        <w:t xml:space="preserve">, D. K. Singh, </w:t>
      </w:r>
      <w:proofErr w:type="spellStart"/>
      <w:r>
        <w:rPr>
          <w:rFonts w:ascii="Times New Roman" w:hAnsi="Times New Roman" w:cs="Times New Roman"/>
          <w:sz w:val="24"/>
          <w:szCs w:val="24"/>
        </w:rPr>
        <w:t>Satyapriya</w:t>
      </w:r>
      <w:proofErr w:type="spellEnd"/>
      <w:r>
        <w:rPr>
          <w:rFonts w:ascii="Times New Roman" w:hAnsi="Times New Roman" w:cs="Times New Roman"/>
          <w:sz w:val="24"/>
          <w:szCs w:val="24"/>
        </w:rPr>
        <w:t xml:space="preserve">, R. P. Singh, (2020). Knowledge of Mango   grower about management practices Mango Grower of western </w:t>
      </w:r>
      <w:proofErr w:type="spellStart"/>
      <w:r>
        <w:rPr>
          <w:rFonts w:ascii="Times New Roman" w:hAnsi="Times New Roman" w:cs="Times New Roman"/>
          <w:sz w:val="24"/>
          <w:szCs w:val="24"/>
        </w:rPr>
        <w:t>uttar</w:t>
      </w:r>
      <w:proofErr w:type="spellEnd"/>
      <w:r>
        <w:rPr>
          <w:rFonts w:ascii="Times New Roman" w:hAnsi="Times New Roman" w:cs="Times New Roman"/>
          <w:sz w:val="24"/>
          <w:szCs w:val="24"/>
        </w:rPr>
        <w:t xml:space="preserve"> Prad</w:t>
      </w:r>
      <w:r>
        <w:rPr>
          <w:rFonts w:ascii="Times New Roman" w:hAnsi="Times New Roman" w:cs="Times New Roman"/>
          <w:sz w:val="24"/>
          <w:szCs w:val="24"/>
        </w:rPr>
        <w:t xml:space="preserve">esh. </w:t>
      </w:r>
      <w:proofErr w:type="gramStart"/>
      <w:r>
        <w:rPr>
          <w:rFonts w:ascii="Times New Roman" w:hAnsi="Times New Roman" w:cs="Times New Roman"/>
          <w:sz w:val="24"/>
          <w:szCs w:val="24"/>
        </w:rPr>
        <w:t>Indian  Journal</w:t>
      </w:r>
      <w:proofErr w:type="gramEnd"/>
      <w:r>
        <w:rPr>
          <w:rFonts w:ascii="Times New Roman" w:hAnsi="Times New Roman" w:cs="Times New Roman"/>
          <w:sz w:val="24"/>
          <w:szCs w:val="24"/>
        </w:rPr>
        <w:t xml:space="preserve"> of Extension Education Vol. 56, No. 4, (104-108)</w:t>
      </w:r>
    </w:p>
    <w:p w14:paraId="520E75B4" w14:textId="77777777" w:rsidR="00CE1106" w:rsidRDefault="007E060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Kumar, S.; Singh, S. R. K. and Sharma, R. C. (2014). Farmers Knowledge Level on Organic Cultivation in Madhya Pradesh. Indian Res. J. Ext. Edu. 14(3): 131-133.</w:t>
      </w:r>
    </w:p>
    <w:p w14:paraId="0FC64AA4" w14:textId="77777777" w:rsidR="00CE1106" w:rsidRDefault="007E060A">
      <w:pPr>
        <w:numPr>
          <w:ilvl w:val="0"/>
          <w:numId w:val="1"/>
        </w:numPr>
        <w:spacing w:after="0" w:line="360" w:lineRule="auto"/>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 xml:space="preserve">Kumari VV, Hobbs P, </w:t>
      </w:r>
      <w:proofErr w:type="spellStart"/>
      <w:r>
        <w:rPr>
          <w:rFonts w:ascii="Times New Roman" w:eastAsia="sans-serif" w:hAnsi="Times New Roman" w:cs="Times New Roman"/>
          <w:sz w:val="24"/>
          <w:szCs w:val="24"/>
          <w:shd w:val="clear" w:color="auto" w:fill="FFFFFF"/>
        </w:rPr>
        <w:t>Sarath</w:t>
      </w:r>
      <w:proofErr w:type="spellEnd"/>
      <w:r>
        <w:rPr>
          <w:rFonts w:ascii="Times New Roman" w:eastAsia="sans-serif" w:hAnsi="Times New Roman" w:cs="Times New Roman"/>
          <w:sz w:val="24"/>
          <w:szCs w:val="24"/>
          <w:shd w:val="clear" w:color="auto" w:fill="FFFFFF"/>
        </w:rPr>
        <w:t xml:space="preserve"> C. Organic farming in India: status, opportunities and </w:t>
      </w:r>
      <w:proofErr w:type="spellStart"/>
      <w:proofErr w:type="gramStart"/>
      <w:r>
        <w:rPr>
          <w:rFonts w:ascii="Times New Roman" w:eastAsia="sans-serif" w:hAnsi="Times New Roman" w:cs="Times New Roman"/>
          <w:sz w:val="24"/>
          <w:szCs w:val="24"/>
          <w:shd w:val="clear" w:color="auto" w:fill="FFFFFF"/>
        </w:rPr>
        <w:t>constraints.Journal</w:t>
      </w:r>
      <w:proofErr w:type="spellEnd"/>
      <w:proofErr w:type="gramEnd"/>
      <w:r>
        <w:rPr>
          <w:rFonts w:ascii="Times New Roman" w:eastAsia="sans-serif" w:hAnsi="Times New Roman" w:cs="Times New Roman"/>
          <w:sz w:val="24"/>
          <w:szCs w:val="24"/>
          <w:shd w:val="clear" w:color="auto" w:fill="FFFFFF"/>
        </w:rPr>
        <w:t xml:space="preserve"> of Progressive Agriculture. 2016;7(2):15-21.18.</w:t>
      </w:r>
    </w:p>
    <w:p w14:paraId="452A3DA9" w14:textId="77777777" w:rsidR="00CE1106" w:rsidRDefault="007E060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Pandey. S. K., U. S. Gautam, D. P. Rai, and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(2011) Mustafa, Knowledge and Adoption of Gram Production Technology. Indian Journ</w:t>
      </w:r>
      <w:r>
        <w:rPr>
          <w:rFonts w:ascii="Times New Roman" w:hAnsi="Times New Roman" w:cs="Times New Roman"/>
          <w:sz w:val="24"/>
          <w:szCs w:val="24"/>
        </w:rPr>
        <w:t xml:space="preserve">al of Extension Education Vol. 47,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3&amp;4) (37-39).</w:t>
      </w:r>
    </w:p>
    <w:p w14:paraId="008C4C33" w14:textId="77777777" w:rsidR="00CE1106" w:rsidRDefault="007E060A">
      <w:pPr>
        <w:numPr>
          <w:ilvl w:val="0"/>
          <w:numId w:val="1"/>
        </w:numPr>
        <w:spacing w:after="0" w:line="360" w:lineRule="auto"/>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xml:space="preserve">Raut V, Raut DD, Deshpande S. A boost of organic farming to </w:t>
      </w:r>
      <w:proofErr w:type="spellStart"/>
      <w:proofErr w:type="gramStart"/>
      <w:r>
        <w:rPr>
          <w:rFonts w:ascii="Times New Roman" w:eastAsia="sans-serif" w:hAnsi="Times New Roman" w:cs="Times New Roman"/>
          <w:sz w:val="24"/>
          <w:szCs w:val="24"/>
          <w:shd w:val="clear" w:color="auto" w:fill="FFFFFF"/>
        </w:rPr>
        <w:t>farmers.Gujarat</w:t>
      </w:r>
      <w:proofErr w:type="spellEnd"/>
      <w:proofErr w:type="gramEnd"/>
      <w:r>
        <w:rPr>
          <w:rFonts w:ascii="Times New Roman" w:eastAsia="sans-serif" w:hAnsi="Times New Roman" w:cs="Times New Roman"/>
          <w:sz w:val="24"/>
          <w:szCs w:val="24"/>
          <w:shd w:val="clear" w:color="auto" w:fill="FFFFFF"/>
        </w:rPr>
        <w:t xml:space="preserve"> Journal of Extension Education. 2018;29(2):159-162</w:t>
      </w:r>
    </w:p>
    <w:p w14:paraId="2153DECD" w14:textId="77777777" w:rsidR="00CE1106" w:rsidRDefault="007E060A">
      <w:pPr>
        <w:numPr>
          <w:ilvl w:val="0"/>
          <w:numId w:val="1"/>
        </w:numPr>
        <w:spacing w:after="0" w:line="360" w:lineRule="auto"/>
        <w:jc w:val="both"/>
        <w:rPr>
          <w:rFonts w:ascii="Times New Roman" w:eastAsia="sans-serif" w:hAnsi="Times New Roman" w:cs="Times New Roman"/>
          <w:sz w:val="24"/>
          <w:szCs w:val="24"/>
          <w:shd w:val="clear" w:color="auto" w:fill="FFFFFF"/>
        </w:rPr>
      </w:pPr>
      <w:r>
        <w:rPr>
          <w:rFonts w:ascii="Times New Roman" w:hAnsi="Times New Roman" w:cs="Times New Roman"/>
          <w:sz w:val="24"/>
          <w:szCs w:val="24"/>
        </w:rPr>
        <w:t>Reddy, K. M. 2009. Participatory management of tank irrigation and its susta</w:t>
      </w:r>
      <w:r>
        <w:rPr>
          <w:rFonts w:ascii="Times New Roman" w:hAnsi="Times New Roman" w:cs="Times New Roman"/>
          <w:sz w:val="24"/>
          <w:szCs w:val="24"/>
        </w:rPr>
        <w:t xml:space="preserve">inability in Andhra Pradesh.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xml:space="preserve"> Thesis. Acharya N.G. </w:t>
      </w:r>
      <w:proofErr w:type="spellStart"/>
      <w:r>
        <w:rPr>
          <w:rFonts w:ascii="Times New Roman" w:hAnsi="Times New Roman" w:cs="Times New Roman"/>
          <w:sz w:val="24"/>
          <w:szCs w:val="24"/>
        </w:rPr>
        <w:t>ranga</w:t>
      </w:r>
      <w:proofErr w:type="spellEnd"/>
      <w:r>
        <w:rPr>
          <w:rFonts w:ascii="Times New Roman" w:hAnsi="Times New Roman" w:cs="Times New Roman"/>
          <w:sz w:val="24"/>
          <w:szCs w:val="24"/>
        </w:rPr>
        <w:t xml:space="preserve"> Agriculture University, Hyderabad, India. </w:t>
      </w:r>
    </w:p>
    <w:p w14:paraId="299720A3" w14:textId="77777777" w:rsidR="00CE1106" w:rsidRDefault="007E060A">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Sangutha</w:t>
      </w:r>
      <w:proofErr w:type="spellEnd"/>
      <w:r>
        <w:rPr>
          <w:rFonts w:ascii="Times New Roman" w:hAnsi="Times New Roman" w:cs="Times New Roman"/>
          <w:sz w:val="24"/>
          <w:szCs w:val="24"/>
        </w:rPr>
        <w:t xml:space="preserve">, O. S., N. </w:t>
      </w:r>
      <w:proofErr w:type="spellStart"/>
      <w:r>
        <w:rPr>
          <w:rFonts w:ascii="Times New Roman" w:hAnsi="Times New Roman" w:cs="Times New Roman"/>
          <w:sz w:val="24"/>
          <w:szCs w:val="24"/>
        </w:rPr>
        <w:t>narmatha</w:t>
      </w:r>
      <w:proofErr w:type="spellEnd"/>
      <w:r>
        <w:rPr>
          <w:rFonts w:ascii="Times New Roman" w:hAnsi="Times New Roman" w:cs="Times New Roman"/>
          <w:sz w:val="24"/>
          <w:szCs w:val="24"/>
        </w:rPr>
        <w:t xml:space="preserve">, V. Uma, D. </w:t>
      </w:r>
      <w:proofErr w:type="spellStart"/>
      <w:proofErr w:type="gramStart"/>
      <w:r>
        <w:rPr>
          <w:rFonts w:ascii="Times New Roman" w:hAnsi="Times New Roman" w:cs="Times New Roman"/>
          <w:sz w:val="24"/>
          <w:szCs w:val="24"/>
        </w:rPr>
        <w:t>Thirunavukkarasu,S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Karthikeyan,(2019). Knowledge of Smallholder Dairy farmers about green fodder Innovation in</w:t>
      </w:r>
      <w:r>
        <w:rPr>
          <w:rFonts w:ascii="Times New Roman" w:hAnsi="Times New Roman" w:cs="Times New Roman"/>
          <w:sz w:val="24"/>
          <w:szCs w:val="24"/>
        </w:rPr>
        <w:t xml:space="preserve"> </w:t>
      </w:r>
      <w:proofErr w:type="spellStart"/>
      <w:r>
        <w:rPr>
          <w:rFonts w:ascii="Times New Roman" w:hAnsi="Times New Roman" w:cs="Times New Roman"/>
          <w:sz w:val="24"/>
          <w:szCs w:val="24"/>
        </w:rPr>
        <w:t>Namakkal</w:t>
      </w:r>
      <w:proofErr w:type="spellEnd"/>
      <w:r>
        <w:rPr>
          <w:rFonts w:ascii="Times New Roman" w:hAnsi="Times New Roman" w:cs="Times New Roman"/>
          <w:sz w:val="24"/>
          <w:szCs w:val="24"/>
        </w:rPr>
        <w:t xml:space="preserve"> District of Tamil Nadu.  </w:t>
      </w:r>
      <w:proofErr w:type="gramStart"/>
      <w:r>
        <w:rPr>
          <w:rFonts w:ascii="Times New Roman" w:hAnsi="Times New Roman" w:cs="Times New Roman"/>
          <w:sz w:val="24"/>
          <w:szCs w:val="24"/>
        </w:rPr>
        <w:t>Indian  Journal</w:t>
      </w:r>
      <w:proofErr w:type="gramEnd"/>
      <w:r>
        <w:rPr>
          <w:rFonts w:ascii="Times New Roman" w:hAnsi="Times New Roman" w:cs="Times New Roman"/>
          <w:sz w:val="24"/>
          <w:szCs w:val="24"/>
        </w:rPr>
        <w:t xml:space="preserve"> of Extension Education Vol. 55, No. 1, 2019 (50-54)</w:t>
      </w:r>
    </w:p>
    <w:p w14:paraId="25CBDB1B" w14:textId="77777777" w:rsidR="00CE1106" w:rsidRDefault="007E060A">
      <w:pPr>
        <w:numPr>
          <w:ilvl w:val="0"/>
          <w:numId w:val="1"/>
        </w:numPr>
        <w:spacing w:after="0" w:line="360" w:lineRule="auto"/>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Singh AP. Socio-Economic Attribute and Attitude of the Farmers towards Organic Farming in Eastern Uttar Pradesh. International Journal of Agriculture Sci</w:t>
      </w:r>
      <w:r>
        <w:rPr>
          <w:rFonts w:ascii="Times New Roman" w:eastAsia="sans-serif" w:hAnsi="Times New Roman" w:cs="Times New Roman"/>
          <w:sz w:val="24"/>
          <w:szCs w:val="24"/>
          <w:shd w:val="clear" w:color="auto" w:fill="FFFFFF"/>
        </w:rPr>
        <w:t>ences. 2020;12(12):9966-9969.21.</w:t>
      </w:r>
    </w:p>
    <w:p w14:paraId="18A15A63" w14:textId="77777777" w:rsidR="00CE1106" w:rsidRDefault="007E060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A.K., D. Singh, A. Singh, A. Singh, M. Singh, and A. Kumar, (2016). Knowledge and Attitude of the farmers towards raised bed and other Improved Production technology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Cajanus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cajan</w:t>
      </w:r>
      <w:proofErr w:type="spellEnd"/>
      <w:r>
        <w:rPr>
          <w:rFonts w:ascii="Times New Roman" w:hAnsi="Times New Roman" w:cs="Times New Roman"/>
          <w:sz w:val="24"/>
          <w:szCs w:val="24"/>
        </w:rPr>
        <w:t>) for Climate Resilient</w:t>
      </w:r>
      <w:r>
        <w:rPr>
          <w:rFonts w:ascii="Times New Roman" w:hAnsi="Times New Roman" w:cs="Times New Roman"/>
          <w:sz w:val="24"/>
          <w:szCs w:val="24"/>
        </w:rPr>
        <w:t xml:space="preserve"> Agriculture. </w:t>
      </w:r>
      <w:proofErr w:type="gramStart"/>
      <w:r>
        <w:rPr>
          <w:rFonts w:ascii="Times New Roman" w:hAnsi="Times New Roman" w:cs="Times New Roman"/>
          <w:sz w:val="24"/>
          <w:szCs w:val="24"/>
        </w:rPr>
        <w:t>Indian  Journal</w:t>
      </w:r>
      <w:proofErr w:type="gramEnd"/>
      <w:r>
        <w:rPr>
          <w:rFonts w:ascii="Times New Roman" w:hAnsi="Times New Roman" w:cs="Times New Roman"/>
          <w:sz w:val="24"/>
          <w:szCs w:val="24"/>
        </w:rPr>
        <w:t xml:space="preserve"> of Extension Education Vol. 52, No.(3&amp;4) (135-140)</w:t>
      </w:r>
    </w:p>
    <w:p w14:paraId="0115534F" w14:textId="77777777" w:rsidR="00CE1106" w:rsidRDefault="007E060A">
      <w:pPr>
        <w:numPr>
          <w:ilvl w:val="0"/>
          <w:numId w:val="1"/>
        </w:numPr>
        <w:spacing w:after="0" w:line="360" w:lineRule="auto"/>
        <w:jc w:val="both"/>
        <w:rPr>
          <w:rFonts w:ascii="Times New Roman" w:eastAsia="sans-serif" w:hAnsi="Times New Roman" w:cs="Times New Roman"/>
          <w:sz w:val="24"/>
          <w:szCs w:val="24"/>
          <w:shd w:val="clear" w:color="auto" w:fill="FFFFFF"/>
        </w:rPr>
      </w:pPr>
      <w:proofErr w:type="spellStart"/>
      <w:r>
        <w:rPr>
          <w:rFonts w:ascii="Times New Roman" w:eastAsia="sans-serif" w:hAnsi="Times New Roman" w:cs="Times New Roman"/>
          <w:sz w:val="24"/>
          <w:szCs w:val="24"/>
          <w:shd w:val="clear" w:color="auto" w:fill="FFFFFF"/>
        </w:rPr>
        <w:t>Sivaraj</w:t>
      </w:r>
      <w:proofErr w:type="spellEnd"/>
      <w:r>
        <w:rPr>
          <w:rFonts w:ascii="Times New Roman" w:eastAsia="sans-serif" w:hAnsi="Times New Roman" w:cs="Times New Roman"/>
          <w:sz w:val="24"/>
          <w:szCs w:val="24"/>
          <w:shd w:val="clear" w:color="auto" w:fill="FFFFFF"/>
        </w:rPr>
        <w:t xml:space="preserve"> P, Philip H, </w:t>
      </w:r>
      <w:proofErr w:type="spellStart"/>
      <w:r>
        <w:rPr>
          <w:rFonts w:ascii="Times New Roman" w:eastAsia="sans-serif" w:hAnsi="Times New Roman" w:cs="Times New Roman"/>
          <w:sz w:val="24"/>
          <w:szCs w:val="24"/>
          <w:shd w:val="clear" w:color="auto" w:fill="FFFFFF"/>
        </w:rPr>
        <w:t>Chinnadurai</w:t>
      </w:r>
      <w:proofErr w:type="spellEnd"/>
      <w:r>
        <w:rPr>
          <w:rFonts w:ascii="Times New Roman" w:eastAsia="sans-serif" w:hAnsi="Times New Roman" w:cs="Times New Roman"/>
          <w:sz w:val="24"/>
          <w:szCs w:val="24"/>
          <w:shd w:val="clear" w:color="auto" w:fill="FFFFFF"/>
        </w:rPr>
        <w:t xml:space="preserve"> M, </w:t>
      </w:r>
      <w:proofErr w:type="spellStart"/>
      <w:r>
        <w:rPr>
          <w:rFonts w:ascii="Times New Roman" w:eastAsia="sans-serif" w:hAnsi="Times New Roman" w:cs="Times New Roman"/>
          <w:sz w:val="24"/>
          <w:szCs w:val="24"/>
          <w:shd w:val="clear" w:color="auto" w:fill="FFFFFF"/>
        </w:rPr>
        <w:t>Asokhan</w:t>
      </w:r>
      <w:proofErr w:type="spellEnd"/>
      <w:r>
        <w:rPr>
          <w:rFonts w:ascii="Times New Roman" w:eastAsia="sans-serif" w:hAnsi="Times New Roman" w:cs="Times New Roman"/>
          <w:sz w:val="24"/>
          <w:szCs w:val="24"/>
          <w:shd w:val="clear" w:color="auto" w:fill="FFFFFF"/>
        </w:rPr>
        <w:t xml:space="preserve"> M, </w:t>
      </w:r>
      <w:proofErr w:type="spellStart"/>
      <w:r>
        <w:rPr>
          <w:rFonts w:ascii="Times New Roman" w:eastAsia="sans-serif" w:hAnsi="Times New Roman" w:cs="Times New Roman"/>
          <w:sz w:val="24"/>
          <w:szCs w:val="24"/>
          <w:shd w:val="clear" w:color="auto" w:fill="FFFFFF"/>
        </w:rPr>
        <w:t>Sathyamoorthi</w:t>
      </w:r>
      <w:proofErr w:type="spellEnd"/>
      <w:r>
        <w:rPr>
          <w:rFonts w:ascii="Times New Roman" w:eastAsia="sans-serif" w:hAnsi="Times New Roman" w:cs="Times New Roman"/>
          <w:sz w:val="24"/>
          <w:szCs w:val="24"/>
          <w:shd w:val="clear" w:color="auto" w:fill="FFFFFF"/>
        </w:rPr>
        <w:t xml:space="preserve"> K. Constraints and Suggestions of Certified Organic Farmers in Practicing Organic Farming in Western Zone of Tamil</w:t>
      </w:r>
      <w:r>
        <w:rPr>
          <w:rFonts w:ascii="Times New Roman" w:eastAsia="sans-serif" w:hAnsi="Times New Roman" w:cs="Times New Roman"/>
          <w:sz w:val="24"/>
          <w:szCs w:val="24"/>
          <w:shd w:val="clear" w:color="auto" w:fill="FFFFFF"/>
        </w:rPr>
        <w:t xml:space="preserve"> Nadu. International Journal of Current Microbiological Applied Sciences. 2017;6(3):1270-1277.19.</w:t>
      </w:r>
    </w:p>
    <w:sectPr w:rsidR="00CE110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596B5" w14:textId="77777777" w:rsidR="007E060A" w:rsidRDefault="007E060A">
      <w:pPr>
        <w:spacing w:line="240" w:lineRule="auto"/>
      </w:pPr>
      <w:r>
        <w:separator/>
      </w:r>
    </w:p>
  </w:endnote>
  <w:endnote w:type="continuationSeparator" w:id="0">
    <w:p w14:paraId="5FD4842B" w14:textId="77777777" w:rsidR="007E060A" w:rsidRDefault="007E0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58B0" w14:textId="77777777" w:rsidR="009B6C99" w:rsidRDefault="009B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88C3" w14:textId="77777777" w:rsidR="009B6C99" w:rsidRDefault="009B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1772" w14:textId="77777777" w:rsidR="009B6C99" w:rsidRDefault="009B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8E5F1" w14:textId="77777777" w:rsidR="007E060A" w:rsidRDefault="007E060A">
      <w:pPr>
        <w:spacing w:after="0"/>
      </w:pPr>
      <w:r>
        <w:separator/>
      </w:r>
    </w:p>
  </w:footnote>
  <w:footnote w:type="continuationSeparator" w:id="0">
    <w:p w14:paraId="17958FB1" w14:textId="77777777" w:rsidR="007E060A" w:rsidRDefault="007E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EA9F" w14:textId="19B2A2B6" w:rsidR="009B6C99" w:rsidRDefault="009B6C99">
    <w:pPr>
      <w:pStyle w:val="Header"/>
    </w:pPr>
    <w:r>
      <w:rPr>
        <w:noProof/>
      </w:rPr>
      <w:pict w14:anchorId="2DB1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0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0EEB" w14:textId="1CC0F6DD" w:rsidR="009B6C99" w:rsidRDefault="009B6C99">
    <w:pPr>
      <w:pStyle w:val="Header"/>
    </w:pPr>
    <w:r>
      <w:rPr>
        <w:noProof/>
      </w:rPr>
      <w:pict w14:anchorId="616FE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0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072E" w14:textId="20C7D2AE" w:rsidR="009B6C99" w:rsidRDefault="009B6C99">
    <w:pPr>
      <w:pStyle w:val="Header"/>
    </w:pPr>
    <w:r>
      <w:rPr>
        <w:noProof/>
      </w:rPr>
      <w:pict w14:anchorId="07213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0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BF7D8"/>
    <w:multiLevelType w:val="singleLevel"/>
    <w:tmpl w:val="20DBF7D8"/>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5A"/>
    <w:rsid w:val="000069A4"/>
    <w:rsid w:val="00046D37"/>
    <w:rsid w:val="0005327D"/>
    <w:rsid w:val="00075596"/>
    <w:rsid w:val="000E0F89"/>
    <w:rsid w:val="000E6137"/>
    <w:rsid w:val="00101179"/>
    <w:rsid w:val="00120F30"/>
    <w:rsid w:val="00163F2E"/>
    <w:rsid w:val="001D09F7"/>
    <w:rsid w:val="001F45CC"/>
    <w:rsid w:val="0025536C"/>
    <w:rsid w:val="00257DEC"/>
    <w:rsid w:val="00262E4C"/>
    <w:rsid w:val="00267B7B"/>
    <w:rsid w:val="00292CBE"/>
    <w:rsid w:val="002945CA"/>
    <w:rsid w:val="002A148C"/>
    <w:rsid w:val="002C729F"/>
    <w:rsid w:val="00300DBB"/>
    <w:rsid w:val="003100BF"/>
    <w:rsid w:val="003A6C73"/>
    <w:rsid w:val="004262EF"/>
    <w:rsid w:val="00427F7C"/>
    <w:rsid w:val="004C5119"/>
    <w:rsid w:val="004D6EB3"/>
    <w:rsid w:val="00527B30"/>
    <w:rsid w:val="00570902"/>
    <w:rsid w:val="005B0BD3"/>
    <w:rsid w:val="005E1335"/>
    <w:rsid w:val="006813A6"/>
    <w:rsid w:val="006E1397"/>
    <w:rsid w:val="006E573A"/>
    <w:rsid w:val="007050E3"/>
    <w:rsid w:val="007562E2"/>
    <w:rsid w:val="00787D52"/>
    <w:rsid w:val="007A4452"/>
    <w:rsid w:val="007D3287"/>
    <w:rsid w:val="007D3B8E"/>
    <w:rsid w:val="007D72FC"/>
    <w:rsid w:val="007E060A"/>
    <w:rsid w:val="007F5135"/>
    <w:rsid w:val="007F6676"/>
    <w:rsid w:val="00804F34"/>
    <w:rsid w:val="00837340"/>
    <w:rsid w:val="008377E7"/>
    <w:rsid w:val="00875864"/>
    <w:rsid w:val="008B5EFD"/>
    <w:rsid w:val="008B77F5"/>
    <w:rsid w:val="008D3D60"/>
    <w:rsid w:val="008F096C"/>
    <w:rsid w:val="009162B1"/>
    <w:rsid w:val="00944581"/>
    <w:rsid w:val="0094524D"/>
    <w:rsid w:val="009510F4"/>
    <w:rsid w:val="0095680D"/>
    <w:rsid w:val="00966724"/>
    <w:rsid w:val="009830F3"/>
    <w:rsid w:val="009B6C99"/>
    <w:rsid w:val="009E4C89"/>
    <w:rsid w:val="009E4D56"/>
    <w:rsid w:val="009F1975"/>
    <w:rsid w:val="00A66281"/>
    <w:rsid w:val="00A86E08"/>
    <w:rsid w:val="00A9483E"/>
    <w:rsid w:val="00AF7613"/>
    <w:rsid w:val="00B12299"/>
    <w:rsid w:val="00B41A28"/>
    <w:rsid w:val="00B528B6"/>
    <w:rsid w:val="00B70228"/>
    <w:rsid w:val="00B75134"/>
    <w:rsid w:val="00BA1A5A"/>
    <w:rsid w:val="00BF231A"/>
    <w:rsid w:val="00C1342F"/>
    <w:rsid w:val="00C46BC2"/>
    <w:rsid w:val="00C712CD"/>
    <w:rsid w:val="00C715EB"/>
    <w:rsid w:val="00CE1106"/>
    <w:rsid w:val="00CE160A"/>
    <w:rsid w:val="00CE7502"/>
    <w:rsid w:val="00D130A9"/>
    <w:rsid w:val="00D555BE"/>
    <w:rsid w:val="00D567FB"/>
    <w:rsid w:val="00DA3824"/>
    <w:rsid w:val="00DB5976"/>
    <w:rsid w:val="00E10861"/>
    <w:rsid w:val="00E458D3"/>
    <w:rsid w:val="00E53228"/>
    <w:rsid w:val="00E70EDD"/>
    <w:rsid w:val="00E90DA7"/>
    <w:rsid w:val="00EC1BE3"/>
    <w:rsid w:val="00EC5977"/>
    <w:rsid w:val="00EE05D4"/>
    <w:rsid w:val="00F4080E"/>
    <w:rsid w:val="00F52E5F"/>
    <w:rsid w:val="00F83D97"/>
    <w:rsid w:val="00F94ABB"/>
    <w:rsid w:val="00F94EFE"/>
    <w:rsid w:val="00FD038A"/>
    <w:rsid w:val="00FD5699"/>
    <w:rsid w:val="5A6E268D"/>
    <w:rsid w:val="6C3F1EAF"/>
    <w:rsid w:val="6FCB0B58"/>
    <w:rsid w:val="76DF580D"/>
    <w:rsid w:val="7FE1571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587738"/>
  <w15:docId w15:val="{524C5D86-F64E-4F38-BF4D-F01CC47C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Pr>
      <w:rFonts w:asciiTheme="minorHAnsi" w:eastAsiaTheme="minorHAnsi" w:hAnsiTheme="minorHAnsi" w:cstheme="minorBidi"/>
      <w:sz w:val="22"/>
      <w:lang w:val="en-US" w:eastAsia="en-US" w:bidi="hi-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94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A406-C796-412A-87F4-0AA40EE1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2941</Words>
  <Characters>16764</Characters>
  <Application>Microsoft Office Word</Application>
  <DocSecurity>0</DocSecurity>
  <Lines>139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2025-05-06T09:42:00Z</dcterms:created>
  <dcterms:modified xsi:type="dcterms:W3CDTF">2026-05-19T08:59:00Z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AFE36FDAC5E44A9EBC229551781BA08F_12</vt:lpwstr>
  </property>
  <property fmtid="{D5CDD505-2E9C-101B-9397-08002B2CF9AE}" pid="4" name="KSOTemplateDocerSaveRecord">
    <vt:lpwstr>eyJoZGlkIjoiOTBhZTBiZWM5NDBhYzIxMThhZjZiMTRmMTQ4MjA4MWMiLCJ1c2VySWQiOiI1NjcyMDQ5NDI3OTEifQ==</vt:lpwstr>
  </property>
</Properties>
</file>