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EC8E" w14:textId="275247A4" w:rsidR="00031ABE" w:rsidRPr="00031ABE" w:rsidRDefault="00031ABE" w:rsidP="00031ABE">
      <w:pPr>
        <w:pStyle w:val="Author"/>
        <w:spacing w:line="240" w:lineRule="auto"/>
        <w:jc w:val="left"/>
        <w:rPr>
          <w:rFonts w:ascii="Arial" w:hAnsi="Arial" w:cs="Arial"/>
          <w:bCs/>
          <w:iCs/>
          <w:kern w:val="28"/>
          <w:sz w:val="36"/>
          <w:u w:val="single"/>
          <w:lang w:val="en-IN"/>
        </w:rPr>
      </w:pPr>
      <w:r w:rsidRPr="00031ABE">
        <w:rPr>
          <w:rFonts w:ascii="Arial" w:hAnsi="Arial" w:cs="Arial"/>
          <w:bCs/>
          <w:iCs/>
          <w:kern w:val="28"/>
          <w:sz w:val="36"/>
          <w:u w:val="single"/>
          <w:lang w:val="en-IN"/>
        </w:rPr>
        <w:t>Review Article</w:t>
      </w:r>
    </w:p>
    <w:p w14:paraId="1C765EAE" w14:textId="1D15104C" w:rsidR="00245894" w:rsidRPr="00245894" w:rsidRDefault="00245894" w:rsidP="00245894">
      <w:pPr>
        <w:pStyle w:val="Author"/>
        <w:spacing w:line="240" w:lineRule="auto"/>
        <w:rPr>
          <w:rFonts w:ascii="Arial" w:hAnsi="Arial" w:cs="Arial"/>
          <w:bCs/>
          <w:iCs/>
          <w:kern w:val="28"/>
          <w:sz w:val="36"/>
          <w:lang w:val="en-IN"/>
        </w:rPr>
      </w:pPr>
      <w:r w:rsidRPr="00245894">
        <w:rPr>
          <w:rFonts w:ascii="Arial" w:hAnsi="Arial" w:cs="Arial"/>
          <w:bCs/>
          <w:iCs/>
          <w:kern w:val="28"/>
          <w:sz w:val="36"/>
          <w:lang w:val="en-IN"/>
        </w:rPr>
        <w:t>Public Debt Framework for Kerala: Fiscal Sustainability, Institutional Reform and Intergenerational Equity</w:t>
      </w:r>
    </w:p>
    <w:p w14:paraId="6972810E" w14:textId="77777777" w:rsidR="00C778BC" w:rsidRDefault="00C778BC" w:rsidP="00441B6F">
      <w:pPr>
        <w:pStyle w:val="Author"/>
        <w:spacing w:line="240" w:lineRule="auto"/>
        <w:rPr>
          <w:rFonts w:ascii="Arial" w:hAnsi="Arial" w:cs="Arial"/>
        </w:rPr>
      </w:pPr>
    </w:p>
    <w:p w14:paraId="48230AD6" w14:textId="77777777" w:rsidR="00031ABE" w:rsidRDefault="00031ABE" w:rsidP="00441B6F">
      <w:pPr>
        <w:pStyle w:val="Affiliation"/>
        <w:spacing w:after="0" w:line="240" w:lineRule="auto"/>
        <w:rPr>
          <w:rFonts w:ascii="Arial" w:hAnsi="Arial" w:cs="Arial"/>
          <w:i/>
        </w:rPr>
      </w:pPr>
    </w:p>
    <w:p w14:paraId="62FB0574" w14:textId="77777777" w:rsidR="009A0D34" w:rsidRDefault="009A0D34" w:rsidP="00441B6F">
      <w:pPr>
        <w:pStyle w:val="Affiliation"/>
        <w:spacing w:after="0" w:line="240" w:lineRule="auto"/>
        <w:rPr>
          <w:rFonts w:ascii="Arial" w:hAnsi="Arial" w:cs="Arial"/>
          <w:i/>
        </w:rPr>
      </w:pPr>
    </w:p>
    <w:p w14:paraId="372AC5AF" w14:textId="77777777" w:rsidR="009A0D34" w:rsidRDefault="009A0D34" w:rsidP="00441B6F">
      <w:pPr>
        <w:pStyle w:val="Affiliation"/>
        <w:spacing w:after="0" w:line="240" w:lineRule="auto"/>
        <w:rPr>
          <w:rFonts w:ascii="Arial" w:hAnsi="Arial" w:cs="Arial"/>
          <w:i/>
        </w:rPr>
      </w:pPr>
    </w:p>
    <w:p w14:paraId="4245954C" w14:textId="77777777" w:rsidR="00BB5038" w:rsidRDefault="00BB5038" w:rsidP="00441B6F">
      <w:pPr>
        <w:pStyle w:val="Affiliation"/>
        <w:spacing w:after="0" w:line="240" w:lineRule="auto"/>
        <w:rPr>
          <w:rFonts w:ascii="Arial" w:hAnsi="Arial" w:cs="Arial"/>
          <w:i/>
        </w:rPr>
      </w:pPr>
    </w:p>
    <w:p w14:paraId="1F918875" w14:textId="77777777" w:rsidR="00BB5038" w:rsidRDefault="00BB5038" w:rsidP="00441B6F">
      <w:pPr>
        <w:pStyle w:val="Affiliation"/>
        <w:spacing w:after="0" w:line="240" w:lineRule="auto"/>
        <w:rPr>
          <w:rFonts w:ascii="Arial" w:hAnsi="Arial" w:cs="Arial"/>
          <w:i/>
        </w:rPr>
      </w:pPr>
    </w:p>
    <w:p w14:paraId="2989A416" w14:textId="77777777" w:rsidR="00BB5038" w:rsidRDefault="00BB5038" w:rsidP="00441B6F">
      <w:pPr>
        <w:pStyle w:val="Affiliation"/>
        <w:spacing w:after="0" w:line="240" w:lineRule="auto"/>
        <w:rPr>
          <w:rFonts w:ascii="Arial" w:hAnsi="Arial" w:cs="Arial"/>
          <w:i/>
        </w:rPr>
      </w:pPr>
    </w:p>
    <w:p w14:paraId="6A580CF3" w14:textId="77777777" w:rsidR="00BB5038" w:rsidRDefault="00BB5038" w:rsidP="00441B6F">
      <w:pPr>
        <w:pStyle w:val="Affiliation"/>
        <w:spacing w:after="0" w:line="240" w:lineRule="auto"/>
        <w:rPr>
          <w:rFonts w:ascii="Arial" w:hAnsi="Arial" w:cs="Arial"/>
          <w:i/>
        </w:rPr>
      </w:pPr>
    </w:p>
    <w:p w14:paraId="41F51A96" w14:textId="77777777" w:rsidR="00BB5038" w:rsidRDefault="00BB5038" w:rsidP="00441B6F">
      <w:pPr>
        <w:pStyle w:val="Affiliation"/>
        <w:spacing w:after="0" w:line="240" w:lineRule="auto"/>
        <w:rPr>
          <w:rFonts w:ascii="Arial" w:hAnsi="Arial" w:cs="Arial"/>
          <w:i/>
        </w:rPr>
      </w:pPr>
    </w:p>
    <w:p w14:paraId="57780EA8" w14:textId="77777777" w:rsidR="00BB5038" w:rsidRDefault="00BB5038" w:rsidP="00441B6F">
      <w:pPr>
        <w:pStyle w:val="Affiliation"/>
        <w:spacing w:after="0" w:line="240" w:lineRule="auto"/>
        <w:rPr>
          <w:rFonts w:ascii="Arial" w:hAnsi="Arial" w:cs="Arial"/>
          <w:i/>
        </w:rPr>
      </w:pPr>
    </w:p>
    <w:p w14:paraId="5EA9669D" w14:textId="77777777" w:rsidR="00BB5038" w:rsidRDefault="00BB5038" w:rsidP="00441B6F">
      <w:pPr>
        <w:pStyle w:val="Affiliation"/>
        <w:spacing w:after="0" w:line="240" w:lineRule="auto"/>
        <w:rPr>
          <w:rFonts w:ascii="Arial" w:hAnsi="Arial" w:cs="Arial"/>
          <w:i/>
        </w:rPr>
      </w:pPr>
    </w:p>
    <w:p w14:paraId="5C810733" w14:textId="77777777" w:rsidR="00BB5038" w:rsidRDefault="00BB5038" w:rsidP="00441B6F">
      <w:pPr>
        <w:pStyle w:val="Affiliation"/>
        <w:spacing w:after="0" w:line="240" w:lineRule="auto"/>
        <w:rPr>
          <w:rFonts w:ascii="Arial" w:hAnsi="Arial" w:cs="Arial"/>
          <w:i/>
        </w:rPr>
      </w:pPr>
    </w:p>
    <w:p w14:paraId="19ABA1F6" w14:textId="77777777" w:rsidR="00BB5038" w:rsidRDefault="00BB5038" w:rsidP="00441B6F">
      <w:pPr>
        <w:pStyle w:val="Affiliation"/>
        <w:spacing w:after="0" w:line="240" w:lineRule="auto"/>
        <w:rPr>
          <w:rFonts w:ascii="Arial" w:hAnsi="Arial" w:cs="Arial"/>
          <w:i/>
        </w:rPr>
      </w:pPr>
    </w:p>
    <w:p w14:paraId="22601C9E" w14:textId="77777777" w:rsidR="009A0D34" w:rsidRDefault="009A0D34" w:rsidP="00441B6F">
      <w:pPr>
        <w:pStyle w:val="Affiliation"/>
        <w:spacing w:after="0" w:line="240" w:lineRule="auto"/>
        <w:rPr>
          <w:rFonts w:ascii="Arial" w:hAnsi="Arial" w:cs="Arial"/>
          <w:i/>
        </w:rPr>
      </w:pPr>
    </w:p>
    <w:p w14:paraId="338DC1A2" w14:textId="77777777" w:rsidR="009A0D34" w:rsidRDefault="009A0D34" w:rsidP="00441B6F">
      <w:pPr>
        <w:pStyle w:val="Affiliation"/>
        <w:spacing w:after="0" w:line="240" w:lineRule="auto"/>
        <w:rPr>
          <w:rFonts w:ascii="Arial" w:hAnsi="Arial" w:cs="Arial"/>
          <w:i/>
        </w:rPr>
      </w:pPr>
    </w:p>
    <w:p w14:paraId="498C935E" w14:textId="77777777" w:rsidR="00790ADA" w:rsidRDefault="00790ADA" w:rsidP="00441B6F">
      <w:pPr>
        <w:pStyle w:val="Affiliation"/>
        <w:spacing w:after="0" w:line="240" w:lineRule="auto"/>
        <w:jc w:val="both"/>
        <w:rPr>
          <w:rFonts w:ascii="Arial" w:hAnsi="Arial" w:cs="Arial"/>
        </w:rPr>
      </w:pPr>
    </w:p>
    <w:p w14:paraId="30FE4771" w14:textId="77777777" w:rsidR="002C57D2" w:rsidRPr="00FB3A86" w:rsidRDefault="002C57D2" w:rsidP="00441B6F">
      <w:pPr>
        <w:pStyle w:val="Affiliation"/>
        <w:spacing w:after="0" w:line="240" w:lineRule="auto"/>
        <w:jc w:val="both"/>
        <w:rPr>
          <w:rFonts w:ascii="Arial" w:hAnsi="Arial" w:cs="Arial"/>
        </w:rPr>
      </w:pPr>
    </w:p>
    <w:p w14:paraId="26078462" w14:textId="77777777" w:rsidR="00B01FCD" w:rsidRPr="00FB3A86" w:rsidRDefault="00000000" w:rsidP="00441B6F">
      <w:pPr>
        <w:pStyle w:val="Copyright"/>
        <w:spacing w:after="0" w:line="240" w:lineRule="auto"/>
        <w:jc w:val="both"/>
        <w:rPr>
          <w:rFonts w:ascii="Arial" w:hAnsi="Arial" w:cs="Arial"/>
        </w:rPr>
        <w:sectPr w:rsidR="00B01FCD" w:rsidRPr="00FB3A86" w:rsidSect="00A738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36EE2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A235F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E61A1F" w14:textId="77777777" w:rsidTr="001E44FE">
        <w:tc>
          <w:tcPr>
            <w:tcW w:w="9576" w:type="dxa"/>
            <w:shd w:val="clear" w:color="auto" w:fill="F2F2F2"/>
          </w:tcPr>
          <w:p w14:paraId="01433574" w14:textId="46ABE884" w:rsidR="00E3114E" w:rsidRPr="00031ABE" w:rsidRDefault="00031ABE" w:rsidP="00441B6F">
            <w:pPr>
              <w:pStyle w:val="Body"/>
              <w:spacing w:after="0"/>
              <w:rPr>
                <w:rFonts w:ascii="Arial" w:eastAsia="Calibri" w:hAnsi="Arial" w:cs="Arial"/>
                <w:b/>
                <w:bCs/>
                <w:szCs w:val="22"/>
              </w:rPr>
            </w:pPr>
            <w:r w:rsidRPr="00031ABE">
              <w:rPr>
                <w:rFonts w:ascii="Arial" w:eastAsia="Calibri" w:hAnsi="Arial" w:cs="Arial"/>
                <w:b/>
                <w:bCs/>
                <w:szCs w:val="22"/>
              </w:rPr>
              <w:t>ABSTRACT</w:t>
            </w:r>
          </w:p>
          <w:p w14:paraId="1385D808" w14:textId="77777777" w:rsidR="00E3114E" w:rsidRDefault="00E3114E" w:rsidP="00441B6F">
            <w:pPr>
              <w:pStyle w:val="Body"/>
              <w:spacing w:after="0"/>
              <w:rPr>
                <w:rFonts w:ascii="Arial" w:eastAsia="Calibri" w:hAnsi="Arial" w:cs="Arial"/>
                <w:b/>
                <w:szCs w:val="22"/>
              </w:rPr>
            </w:pPr>
          </w:p>
          <w:p w14:paraId="50364D8B" w14:textId="77777777" w:rsidR="00C50BF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50BF2">
              <w:rPr>
                <w:rFonts w:ascii="Arial" w:eastAsia="Calibri" w:hAnsi="Arial" w:cs="Arial"/>
                <w:b/>
                <w:szCs w:val="22"/>
              </w:rPr>
              <w:t>E</w:t>
            </w:r>
            <w:r w:rsidR="00C50BF2" w:rsidRPr="00C50BF2">
              <w:rPr>
                <w:rFonts w:ascii="Arial" w:eastAsia="Calibri" w:hAnsi="Arial" w:cs="Arial"/>
                <w:szCs w:val="22"/>
              </w:rPr>
              <w:t>xamines the theoretical foundations of public debt management and analyses the evolving debt profile of Kerala within the broader framework of fiscal sustainability.</w:t>
            </w:r>
            <w:r w:rsidR="00C50BF2">
              <w:rPr>
                <w:rFonts w:ascii="Arial" w:eastAsia="Calibri" w:hAnsi="Arial" w:cs="Arial"/>
                <w:szCs w:val="22"/>
              </w:rPr>
              <w:t xml:space="preserve"> </w:t>
            </w:r>
          </w:p>
          <w:p w14:paraId="4C6BD0BE" w14:textId="50C2214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50BF2">
              <w:rPr>
                <w:rFonts w:ascii="Arial" w:eastAsia="Calibri" w:hAnsi="Arial" w:cs="Arial"/>
                <w:szCs w:val="22"/>
              </w:rPr>
              <w:t xml:space="preserve">The article is of </w:t>
            </w:r>
            <w:r w:rsidR="00034093">
              <w:rPr>
                <w:rFonts w:ascii="Arial" w:eastAsia="Calibri" w:hAnsi="Arial" w:cs="Arial"/>
                <w:szCs w:val="22"/>
              </w:rPr>
              <w:t>a review</w:t>
            </w:r>
            <w:r w:rsidR="00DA237F">
              <w:rPr>
                <w:rFonts w:ascii="Arial" w:eastAsia="Calibri" w:hAnsi="Arial" w:cs="Arial"/>
                <w:szCs w:val="22"/>
              </w:rPr>
              <w:t xml:space="preserve"> paper in </w:t>
            </w:r>
            <w:r w:rsidR="00FF4C6A">
              <w:rPr>
                <w:rFonts w:ascii="Arial" w:eastAsia="Calibri" w:hAnsi="Arial" w:cs="Arial"/>
                <w:szCs w:val="22"/>
              </w:rPr>
              <w:t xml:space="preserve">nature. </w:t>
            </w:r>
            <w:r w:rsidR="00C50BF2">
              <w:rPr>
                <w:rFonts w:ascii="Arial" w:eastAsia="Calibri" w:hAnsi="Arial" w:cs="Arial"/>
                <w:szCs w:val="22"/>
              </w:rPr>
              <w:t xml:space="preserve"> </w:t>
            </w:r>
          </w:p>
          <w:p w14:paraId="64F075B7" w14:textId="70BA84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F4C6A">
              <w:rPr>
                <w:rFonts w:ascii="Arial" w:eastAsia="Calibri" w:hAnsi="Arial" w:cs="Arial"/>
                <w:szCs w:val="22"/>
              </w:rPr>
              <w:t xml:space="preserve">data on fiscal and debt indicators, structure, composition and growth of public debt in Kerala over the years since 2001 has been used for the discussion. </w:t>
            </w:r>
            <w:r w:rsidR="00AF4342">
              <w:rPr>
                <w:rFonts w:ascii="Arial" w:eastAsia="Calibri" w:hAnsi="Arial" w:cs="Arial"/>
                <w:szCs w:val="22"/>
              </w:rPr>
              <w:t>The databases of RBI, Kerala state budget documents and Economic Review of various years have been used here for the purpose.</w:t>
            </w:r>
          </w:p>
          <w:p w14:paraId="6DB7DAC8" w14:textId="29AF760F" w:rsidR="00A62CF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B53FB4" w:rsidRPr="00BA1B01">
              <w:rPr>
                <w:rFonts w:ascii="Arial" w:eastAsia="Calibri" w:hAnsi="Arial" w:cs="Arial"/>
                <w:b/>
                <w:bCs/>
                <w:szCs w:val="22"/>
              </w:rPr>
              <w:t>:</w:t>
            </w:r>
            <w:r w:rsidR="00B53FB4" w:rsidRPr="00BA1B01">
              <w:rPr>
                <w:rFonts w:ascii="Arial" w:eastAsia="Calibri" w:hAnsi="Arial" w:cs="Arial"/>
                <w:szCs w:val="22"/>
              </w:rPr>
              <w:t xml:space="preserve"> A</w:t>
            </w:r>
            <w:r w:rsidR="00B53FB4" w:rsidRPr="00B53FB4">
              <w:rPr>
                <w:rFonts w:ascii="Arial" w:eastAsia="Calibri" w:hAnsi="Arial" w:cs="Arial"/>
                <w:szCs w:val="22"/>
              </w:rPr>
              <w:t xml:space="preserve"> comprehensive and forward-looking public debt management framework that balances welfare commitments with fiscal sustainability</w:t>
            </w:r>
            <w:r w:rsidR="00B53FB4">
              <w:rPr>
                <w:rFonts w:ascii="Arial" w:eastAsia="Calibri" w:hAnsi="Arial" w:cs="Arial"/>
                <w:szCs w:val="22"/>
              </w:rPr>
              <w:t xml:space="preserve"> is very important for </w:t>
            </w:r>
            <w:r w:rsidR="005F7607">
              <w:rPr>
                <w:rFonts w:ascii="Arial" w:eastAsia="Calibri" w:hAnsi="Arial" w:cs="Arial"/>
                <w:szCs w:val="22"/>
              </w:rPr>
              <w:t>Kerala.</w:t>
            </w:r>
            <w:r w:rsidR="00B53FB4" w:rsidRPr="00B53FB4">
              <w:rPr>
                <w:rFonts w:ascii="Arial" w:eastAsia="Calibri" w:hAnsi="Arial" w:cs="Arial"/>
                <w:szCs w:val="22"/>
              </w:rPr>
              <w:t xml:space="preserve"> Institutional reforms such as a dedicated Public Debt Management Office, regular public disclosures, independent audits, and fiscal council reviews would strengthen fiscal credibility and investor confidence.</w:t>
            </w:r>
            <w:r w:rsidR="00B53FB4">
              <w:rPr>
                <w:rFonts w:ascii="Arial" w:eastAsia="Calibri" w:hAnsi="Arial" w:cs="Arial"/>
                <w:szCs w:val="22"/>
              </w:rPr>
              <w:t xml:space="preserve"> </w:t>
            </w:r>
            <w:r w:rsidR="00A62CF4">
              <w:rPr>
                <w:rFonts w:ascii="Arial" w:eastAsia="Calibri" w:hAnsi="Arial" w:cs="Arial"/>
                <w:szCs w:val="22"/>
              </w:rPr>
              <w:t xml:space="preserve">Kerala must </w:t>
            </w:r>
            <w:r w:rsidR="00A62CF4" w:rsidRPr="00A62CF4">
              <w:rPr>
                <w:rFonts w:ascii="Arial" w:eastAsia="Calibri" w:hAnsi="Arial" w:cs="Arial"/>
                <w:szCs w:val="22"/>
              </w:rPr>
              <w:t xml:space="preserve">link borrowing with long-term economic transformation. Kerala’s debt policy must move beyond narrow deficit management towards a broader institutional framework rooted in transparency, accountability, growth orientation, and intergenerational equity. </w:t>
            </w:r>
          </w:p>
          <w:p w14:paraId="51DC9FAA" w14:textId="7EBF331B" w:rsidR="00505F06" w:rsidRPr="00BA1B01" w:rsidRDefault="00BA1B01" w:rsidP="00E276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276EB">
              <w:rPr>
                <w:rFonts w:ascii="Arial" w:eastAsia="Calibri" w:hAnsi="Arial" w:cs="Arial"/>
                <w:szCs w:val="22"/>
              </w:rPr>
              <w:t xml:space="preserve">A well principled fiscal architecture will help Kerala to </w:t>
            </w:r>
            <w:r w:rsidR="00E276EB" w:rsidRPr="00E276EB">
              <w:rPr>
                <w:rFonts w:ascii="Arial" w:eastAsia="Calibri" w:hAnsi="Arial" w:cs="Arial"/>
                <w:szCs w:val="22"/>
              </w:rPr>
              <w:t>preserve its welfare achievements while ensuring long-term fiscal resilience and sustainable economic transformation.</w:t>
            </w:r>
          </w:p>
        </w:tc>
      </w:tr>
    </w:tbl>
    <w:p w14:paraId="103FB0DE" w14:textId="27F3E8AA" w:rsidR="00A24E7E" w:rsidRDefault="00A24E7E" w:rsidP="00441B6F">
      <w:pPr>
        <w:pStyle w:val="Body"/>
        <w:spacing w:after="0"/>
        <w:rPr>
          <w:rFonts w:ascii="Arial" w:hAnsi="Arial" w:cs="Arial"/>
          <w:i/>
        </w:rPr>
      </w:pPr>
      <w:r>
        <w:rPr>
          <w:rFonts w:ascii="Arial" w:hAnsi="Arial" w:cs="Arial"/>
          <w:i/>
        </w:rPr>
        <w:t>Keywords: [</w:t>
      </w:r>
      <w:r w:rsidR="005F7607">
        <w:rPr>
          <w:rFonts w:ascii="Arial" w:hAnsi="Arial" w:cs="Arial"/>
          <w:i/>
        </w:rPr>
        <w:t>Public Debt Management,</w:t>
      </w:r>
      <w:r w:rsidR="005F7607" w:rsidRPr="005F7607">
        <w:t xml:space="preserve"> </w:t>
      </w:r>
      <w:r w:rsidR="005F7607" w:rsidRPr="005F7607">
        <w:rPr>
          <w:rFonts w:ascii="Arial" w:hAnsi="Arial" w:cs="Arial"/>
          <w:i/>
        </w:rPr>
        <w:t xml:space="preserve">Gross State Domestic </w:t>
      </w:r>
      <w:r w:rsidR="00E55C95" w:rsidRPr="005F7607">
        <w:rPr>
          <w:rFonts w:ascii="Arial" w:hAnsi="Arial" w:cs="Arial"/>
          <w:i/>
        </w:rPr>
        <w:t>Product</w:t>
      </w:r>
      <w:r w:rsidR="00E55C95">
        <w:rPr>
          <w:rFonts w:ascii="Arial" w:hAnsi="Arial" w:cs="Arial"/>
          <w:i/>
        </w:rPr>
        <w:t>, Off</w:t>
      </w:r>
      <w:r w:rsidR="00DF355E">
        <w:rPr>
          <w:rFonts w:ascii="Arial" w:hAnsi="Arial" w:cs="Arial"/>
          <w:i/>
        </w:rPr>
        <w:t xml:space="preserve">-budget </w:t>
      </w:r>
      <w:r w:rsidR="00E55C95">
        <w:rPr>
          <w:rFonts w:ascii="Arial" w:hAnsi="Arial" w:cs="Arial"/>
          <w:i/>
        </w:rPr>
        <w:t xml:space="preserve">borrowings, </w:t>
      </w:r>
      <w:r w:rsidR="00E55C95" w:rsidRPr="005F7607">
        <w:rPr>
          <w:rFonts w:ascii="Arial" w:hAnsi="Arial" w:cs="Arial"/>
          <w:i/>
        </w:rPr>
        <w:t>Fiscal</w:t>
      </w:r>
      <w:r w:rsidR="005F7607" w:rsidRPr="005F7607">
        <w:rPr>
          <w:rFonts w:ascii="Arial" w:hAnsi="Arial" w:cs="Arial"/>
          <w:i/>
        </w:rPr>
        <w:t xml:space="preserve"> sustainability, Debt </w:t>
      </w:r>
      <w:r w:rsidR="00DF355E" w:rsidRPr="005F7607">
        <w:rPr>
          <w:rFonts w:ascii="Arial" w:hAnsi="Arial" w:cs="Arial"/>
          <w:i/>
        </w:rPr>
        <w:t>sustainability</w:t>
      </w:r>
      <w:r w:rsidR="00E55C95" w:rsidRPr="005F7607">
        <w:rPr>
          <w:rFonts w:ascii="Arial" w:hAnsi="Arial" w:cs="Arial"/>
          <w:i/>
        </w:rPr>
        <w:t>.</w:t>
      </w:r>
      <w:r w:rsidR="00E55C95">
        <w:rPr>
          <w:rFonts w:ascii="Arial" w:hAnsi="Arial" w:cs="Arial"/>
          <w:i/>
        </w:rPr>
        <w:t>}</w:t>
      </w:r>
    </w:p>
    <w:p w14:paraId="725E423E" w14:textId="368132F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BB8519" w14:textId="4851C528" w:rsidR="00777C25" w:rsidRPr="00777C25" w:rsidRDefault="00777C25" w:rsidP="00777C25">
      <w:pPr>
        <w:pStyle w:val="Body"/>
        <w:rPr>
          <w:rFonts w:ascii="Arial" w:hAnsi="Arial" w:cs="Arial"/>
        </w:rPr>
      </w:pPr>
      <w:r w:rsidRPr="00777C25">
        <w:rPr>
          <w:rFonts w:ascii="Arial" w:hAnsi="Arial" w:cs="Arial"/>
        </w:rPr>
        <w:t xml:space="preserve">Public debt occupies a central place in contemporary fiscal policy because governments increasingly rely on borrowing to finance developmental expenditure, welfare commitments, and macroeconomic stabilization. In developing federal economies such as India, state governments often face structural fiscal pressures arising from limited revenue autonomy, </w:t>
      </w:r>
      <w:r w:rsidRPr="00777C25">
        <w:rPr>
          <w:rFonts w:ascii="Arial" w:hAnsi="Arial" w:cs="Arial"/>
        </w:rPr>
        <w:lastRenderedPageBreak/>
        <w:t>rising social sector obligations, and growing infrastructure requirements. Kerala represents a particularly important case in this context. The state has historically pursued a welfare-oriented development strategy characterized by high public expenditure on health, education, social protection, and decentralized governance. Although this model has delivered notable human development achievements, it has also generated persistent fiscal stress and rising public debt.</w:t>
      </w:r>
    </w:p>
    <w:p w14:paraId="48EDD970" w14:textId="7BE36A23" w:rsidR="00777C25" w:rsidRPr="00777C25" w:rsidRDefault="00777C25" w:rsidP="00777C25">
      <w:pPr>
        <w:pStyle w:val="Body"/>
        <w:rPr>
          <w:rFonts w:ascii="Arial" w:hAnsi="Arial" w:cs="Arial"/>
        </w:rPr>
      </w:pPr>
      <w:r w:rsidRPr="00777C25">
        <w:rPr>
          <w:rFonts w:ascii="Arial" w:hAnsi="Arial" w:cs="Arial"/>
        </w:rPr>
        <w:t>Kerala’s public debt has evolved into one of the most critical dimensions of its fiscal policy. Since the early 2000s, the debt–GSDP ratio has remained elevated, averaging around 30 per cent and reaching nearly 40 per cent during the pandemic before moderating to approximately 34 per cent in recent years. The composition of debt has also changed significantly. SDL now constitute nearly seventy five percent of total liabilities, while institutional loans and central assistance have declined in its relative share. In addition, off-budget borrowings now through KIIFB and guarantees extended to public sector undertakings (PSUs) have created significant contingent liabilities that are not fully reflected in headline debt figures.</w:t>
      </w:r>
    </w:p>
    <w:p w14:paraId="67BB70DB" w14:textId="77777777" w:rsidR="00777C25" w:rsidRPr="00777C25" w:rsidRDefault="00777C25" w:rsidP="00777C25">
      <w:pPr>
        <w:pStyle w:val="Body"/>
        <w:rPr>
          <w:rFonts w:ascii="Arial" w:hAnsi="Arial" w:cs="Arial"/>
        </w:rPr>
      </w:pPr>
      <w:r w:rsidRPr="00777C25">
        <w:rPr>
          <w:rFonts w:ascii="Arial" w:hAnsi="Arial" w:cs="Arial"/>
        </w:rPr>
        <w:t>The persistence of revenue deficits and the growing interest burden indicate that a substantial portion of borrowing is being used to finance current expenditure rather than productive capital formation. Interest payments consistently absorb nearly one-fifth of revenue receipts, thereby reducing the fiscal space available for developmental expenditure. This trajectory raises concerns regarding fiscal sustainability, refinancing risks, and intergenerational equity.</w:t>
      </w:r>
    </w:p>
    <w:p w14:paraId="1CE5733A" w14:textId="77777777" w:rsidR="00777C25" w:rsidRPr="00777C25" w:rsidRDefault="00777C25" w:rsidP="00777C25">
      <w:pPr>
        <w:pStyle w:val="Body"/>
        <w:rPr>
          <w:rFonts w:ascii="Arial" w:hAnsi="Arial" w:cs="Arial"/>
        </w:rPr>
      </w:pPr>
      <w:r w:rsidRPr="00777C25">
        <w:rPr>
          <w:rFonts w:ascii="Arial" w:hAnsi="Arial" w:cs="Arial"/>
        </w:rPr>
        <w:t xml:space="preserve">Against this background, this paper argues for the formulation of a comprehensive public debt framework for Kerala. Such a framework should integrate debt sustainability analysis, fiscal risk assessment, transparency mechanisms, institutional reforms, and a clear linkage between borrowing and productive investment. The paper is </w:t>
      </w:r>
      <w:proofErr w:type="spellStart"/>
      <w:r w:rsidRPr="00777C25">
        <w:rPr>
          <w:rFonts w:ascii="Arial" w:hAnsi="Arial" w:cs="Arial"/>
        </w:rPr>
        <w:t>organised</w:t>
      </w:r>
      <w:proofErr w:type="spellEnd"/>
      <w:r w:rsidRPr="00777C25">
        <w:rPr>
          <w:rFonts w:ascii="Arial" w:hAnsi="Arial" w:cs="Arial"/>
        </w:rPr>
        <w:t xml:space="preserve"> into five sections. The first section discusses the conceptual meaning and significance of a public debt framework. The second examines the theoretical foundations of debt sustainability. The third analyses Kerala’s debt trajectory and fiscal challenges. The fourth proposes the major components of a comprehensive debt management framework for Kerala. The final section concludes the discussion with policy implications.</w:t>
      </w:r>
    </w:p>
    <w:p w14:paraId="2982409A" w14:textId="22342DD1" w:rsidR="00777C25" w:rsidRPr="009C7828" w:rsidRDefault="007B0317" w:rsidP="00777C25">
      <w:pPr>
        <w:pStyle w:val="Body"/>
        <w:rPr>
          <w:rFonts w:ascii="Arial" w:hAnsi="Arial" w:cs="Arial"/>
          <w:b/>
          <w:bCs/>
          <w:sz w:val="22"/>
          <w:szCs w:val="22"/>
        </w:rPr>
      </w:pPr>
      <w:r w:rsidRPr="009C7828">
        <w:rPr>
          <w:rFonts w:ascii="Arial" w:hAnsi="Arial" w:cs="Arial"/>
          <w:b/>
          <w:bCs/>
          <w:sz w:val="22"/>
          <w:szCs w:val="22"/>
        </w:rPr>
        <w:t>2. PUBLIC DEBT FRAMEWORK: CONCEPT AND SIGNIFICANCE</w:t>
      </w:r>
    </w:p>
    <w:p w14:paraId="0636111A" w14:textId="77777777" w:rsidR="00874D21" w:rsidRPr="00874D21" w:rsidRDefault="00874D21" w:rsidP="00874D21">
      <w:pPr>
        <w:pStyle w:val="AbstHead"/>
        <w:jc w:val="both"/>
        <w:rPr>
          <w:rFonts w:ascii="Arial" w:hAnsi="Arial" w:cs="Arial"/>
          <w:b w:val="0"/>
          <w:caps w:val="0"/>
          <w:sz w:val="20"/>
        </w:rPr>
      </w:pPr>
      <w:r w:rsidRPr="00874D21">
        <w:rPr>
          <w:rFonts w:ascii="Arial" w:hAnsi="Arial" w:cs="Arial"/>
          <w:b w:val="0"/>
          <w:caps w:val="0"/>
          <w:sz w:val="20"/>
        </w:rPr>
        <w:t xml:space="preserve">Public debt management framework which is also known as a Sovereign Debt Management framework was jointly developed by International Monetary Fund and World Bank. It may be defined as the institutional and policy architecture through which a government manages its borrowing, repayment obligations, and overall debt portfolio. It encompasses the rules, strategies, legal provisions and </w:t>
      </w:r>
      <w:proofErr w:type="spellStart"/>
      <w:r w:rsidRPr="00874D21">
        <w:rPr>
          <w:rFonts w:ascii="Arial" w:hAnsi="Arial" w:cs="Arial"/>
          <w:b w:val="0"/>
          <w:caps w:val="0"/>
          <w:sz w:val="20"/>
        </w:rPr>
        <w:t>organisational</w:t>
      </w:r>
      <w:proofErr w:type="spellEnd"/>
      <w:r w:rsidRPr="00874D21">
        <w:rPr>
          <w:rFonts w:ascii="Arial" w:hAnsi="Arial" w:cs="Arial"/>
          <w:b w:val="0"/>
          <w:caps w:val="0"/>
          <w:sz w:val="20"/>
        </w:rPr>
        <w:t xml:space="preserve"> arrangements that determine how debt is contracted, monitored, serviced, and reported. It normally includes debt sustainability analysis, fiscal rules, risk management mechanisms, transparency standards, and coordination between fiscal and monetary authorities. Adhering to the framework helps an economy to safeguard macroeconomic stability and investor confidence by strengthening fiscal discipline and keeping its public debt at prudent and sustainable levels. </w:t>
      </w:r>
    </w:p>
    <w:p w14:paraId="633AC0C0" w14:textId="77777777" w:rsidR="00874D21" w:rsidRPr="00874D21" w:rsidRDefault="00874D21" w:rsidP="00874D21">
      <w:pPr>
        <w:pStyle w:val="AbstHead"/>
        <w:jc w:val="both"/>
        <w:rPr>
          <w:rFonts w:ascii="Arial" w:hAnsi="Arial" w:cs="Arial"/>
          <w:b w:val="0"/>
          <w:caps w:val="0"/>
          <w:sz w:val="20"/>
        </w:rPr>
      </w:pPr>
      <w:r w:rsidRPr="00874D21">
        <w:rPr>
          <w:rFonts w:ascii="Arial" w:hAnsi="Arial" w:cs="Arial"/>
          <w:b w:val="0"/>
          <w:caps w:val="0"/>
          <w:sz w:val="20"/>
        </w:rPr>
        <w:t xml:space="preserve">Globally also, the debt management framework assumes relevance considerably in recent decades due to rising global debt levels and repeated fiscal crises. Governments that rely excessively on short-term borrowing or opaque financing arrangements often become vulnerable to economic shocks, sudden increases in interest rates, and refinancing pressures. A comprehensive debt framework reduces these vulnerabilities by monitoring </w:t>
      </w:r>
      <w:r w:rsidRPr="00874D21">
        <w:rPr>
          <w:rFonts w:ascii="Arial" w:hAnsi="Arial" w:cs="Arial"/>
          <w:b w:val="0"/>
          <w:caps w:val="0"/>
          <w:sz w:val="20"/>
        </w:rPr>
        <w:lastRenderedPageBreak/>
        <w:t>debt indicators such as debt–GDP ratios, debt servicing obligations, maturity structures, and primary balances.</w:t>
      </w:r>
    </w:p>
    <w:p w14:paraId="5942B7A3" w14:textId="77777777" w:rsidR="005B5062" w:rsidRDefault="00874D21" w:rsidP="00874D21">
      <w:pPr>
        <w:pStyle w:val="AbstHead"/>
        <w:spacing w:after="0"/>
        <w:jc w:val="both"/>
        <w:rPr>
          <w:rFonts w:ascii="Arial" w:hAnsi="Arial" w:cs="Arial"/>
          <w:b w:val="0"/>
          <w:caps w:val="0"/>
          <w:sz w:val="20"/>
        </w:rPr>
      </w:pPr>
      <w:r w:rsidRPr="00874D21">
        <w:rPr>
          <w:rFonts w:ascii="Arial" w:hAnsi="Arial" w:cs="Arial"/>
          <w:b w:val="0"/>
          <w:caps w:val="0"/>
          <w:sz w:val="20"/>
        </w:rPr>
        <w:t xml:space="preserve">Equally important is the role of transparency and democratic accountability. Public debt involves long-term obligations that are ultimately borne by taxpayers. Therefore, systematic reporting, legislative oversight, and independent audits are essential to ensure that borrowing decisions remain aligned with public interest. </w:t>
      </w:r>
    </w:p>
    <w:p w14:paraId="4114B7F7" w14:textId="77777777" w:rsidR="00BB5038" w:rsidRDefault="00BB5038" w:rsidP="00874D21">
      <w:pPr>
        <w:pStyle w:val="AbstHead"/>
        <w:spacing w:after="0"/>
        <w:jc w:val="both"/>
        <w:rPr>
          <w:rFonts w:ascii="Arial" w:hAnsi="Arial" w:cs="Arial"/>
          <w:b w:val="0"/>
          <w:caps w:val="0"/>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6"/>
        <w:gridCol w:w="3550"/>
        <w:gridCol w:w="2562"/>
      </w:tblGrid>
      <w:tr w:rsidR="005B5062" w:rsidRPr="002E1A28" w14:paraId="51284D6C" w14:textId="77777777" w:rsidTr="005E53BF">
        <w:trPr>
          <w:tblHeader/>
          <w:tblCellSpacing w:w="15" w:type="dxa"/>
        </w:trPr>
        <w:tc>
          <w:tcPr>
            <w:tcW w:w="0" w:type="auto"/>
            <w:gridSpan w:val="3"/>
            <w:vAlign w:val="center"/>
          </w:tcPr>
          <w:p w14:paraId="422CF10D" w14:textId="39FDB65D" w:rsidR="005B5062" w:rsidRPr="005B5062" w:rsidRDefault="005B5062" w:rsidP="005E53BF">
            <w:pPr>
              <w:spacing w:before="100" w:beforeAutospacing="1" w:after="100" w:afterAutospacing="1"/>
              <w:jc w:val="center"/>
              <w:rPr>
                <w:rFonts w:ascii="Arial" w:hAnsi="Arial" w:cs="Arial"/>
                <w:b/>
                <w:bCs/>
                <w:color w:val="000000"/>
              </w:rPr>
            </w:pPr>
            <w:r w:rsidRPr="005B5062">
              <w:rPr>
                <w:rFonts w:ascii="Arial" w:hAnsi="Arial" w:cs="Arial"/>
                <w:b/>
                <w:bCs/>
                <w:color w:val="000000"/>
              </w:rPr>
              <w:t>Table</w:t>
            </w:r>
            <w:r w:rsidR="00813E5A">
              <w:rPr>
                <w:rFonts w:ascii="Arial" w:hAnsi="Arial" w:cs="Arial"/>
                <w:b/>
                <w:bCs/>
                <w:color w:val="000000"/>
              </w:rPr>
              <w:t xml:space="preserve"> </w:t>
            </w:r>
            <w:r w:rsidRPr="005B5062">
              <w:rPr>
                <w:rFonts w:ascii="Arial" w:hAnsi="Arial" w:cs="Arial"/>
                <w:b/>
                <w:bCs/>
                <w:color w:val="000000"/>
              </w:rPr>
              <w:t>1: Key Elements of a Public Debt Framework</w:t>
            </w:r>
          </w:p>
        </w:tc>
      </w:tr>
      <w:tr w:rsidR="005B5062" w:rsidRPr="002E1A28" w14:paraId="6686137B" w14:textId="77777777" w:rsidTr="005E53BF">
        <w:trPr>
          <w:tblHeader/>
          <w:tblCellSpacing w:w="15" w:type="dxa"/>
        </w:trPr>
        <w:tc>
          <w:tcPr>
            <w:tcW w:w="0" w:type="auto"/>
            <w:vAlign w:val="center"/>
            <w:hideMark/>
          </w:tcPr>
          <w:p w14:paraId="122F0FF0" w14:textId="77777777" w:rsidR="005B5062" w:rsidRPr="00596125" w:rsidRDefault="005B5062" w:rsidP="005E53BF">
            <w:pPr>
              <w:spacing w:before="100" w:beforeAutospacing="1" w:after="100" w:afterAutospacing="1"/>
              <w:rPr>
                <w:rFonts w:ascii="Arial" w:hAnsi="Arial" w:cs="Arial"/>
                <w:b/>
                <w:bCs/>
                <w:color w:val="000000"/>
              </w:rPr>
            </w:pPr>
            <w:r w:rsidRPr="00596125">
              <w:rPr>
                <w:rFonts w:ascii="Arial" w:hAnsi="Arial" w:cs="Arial"/>
                <w:b/>
                <w:bCs/>
                <w:color w:val="000000"/>
              </w:rPr>
              <w:t>Element</w:t>
            </w:r>
          </w:p>
        </w:tc>
        <w:tc>
          <w:tcPr>
            <w:tcW w:w="0" w:type="auto"/>
            <w:vAlign w:val="center"/>
            <w:hideMark/>
          </w:tcPr>
          <w:p w14:paraId="32832CA6" w14:textId="77777777" w:rsidR="005B5062" w:rsidRPr="005B5062" w:rsidRDefault="005B5062" w:rsidP="005E53BF">
            <w:pPr>
              <w:spacing w:before="100" w:beforeAutospacing="1" w:after="100" w:afterAutospacing="1"/>
              <w:rPr>
                <w:rFonts w:ascii="Arial" w:hAnsi="Arial" w:cs="Arial"/>
                <w:b/>
                <w:bCs/>
                <w:color w:val="000000"/>
              </w:rPr>
            </w:pPr>
            <w:r w:rsidRPr="005B5062">
              <w:rPr>
                <w:rFonts w:ascii="Arial" w:hAnsi="Arial" w:cs="Arial"/>
                <w:b/>
                <w:bCs/>
                <w:color w:val="000000"/>
              </w:rPr>
              <w:t>Purpose</w:t>
            </w:r>
          </w:p>
        </w:tc>
        <w:tc>
          <w:tcPr>
            <w:tcW w:w="0" w:type="auto"/>
            <w:vAlign w:val="center"/>
            <w:hideMark/>
          </w:tcPr>
          <w:p w14:paraId="6D54BA90" w14:textId="77777777" w:rsidR="005B5062" w:rsidRPr="005B5062" w:rsidRDefault="005B5062" w:rsidP="005E53BF">
            <w:pPr>
              <w:spacing w:before="100" w:beforeAutospacing="1" w:after="100" w:afterAutospacing="1"/>
              <w:rPr>
                <w:rFonts w:ascii="Arial" w:hAnsi="Arial" w:cs="Arial"/>
                <w:b/>
                <w:bCs/>
                <w:color w:val="000000"/>
              </w:rPr>
            </w:pPr>
            <w:r w:rsidRPr="005B5062">
              <w:rPr>
                <w:rFonts w:ascii="Arial" w:hAnsi="Arial" w:cs="Arial"/>
                <w:b/>
                <w:bCs/>
                <w:color w:val="000000"/>
              </w:rPr>
              <w:t>Relevance</w:t>
            </w:r>
          </w:p>
        </w:tc>
      </w:tr>
      <w:tr w:rsidR="005B5062" w:rsidRPr="002E1A28" w14:paraId="2F8F7CF1" w14:textId="77777777" w:rsidTr="005E53BF">
        <w:trPr>
          <w:tblCellSpacing w:w="15" w:type="dxa"/>
        </w:trPr>
        <w:tc>
          <w:tcPr>
            <w:tcW w:w="0" w:type="auto"/>
            <w:vAlign w:val="center"/>
            <w:hideMark/>
          </w:tcPr>
          <w:p w14:paraId="40A6488D"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Debt Strategy</w:t>
            </w:r>
          </w:p>
        </w:tc>
        <w:tc>
          <w:tcPr>
            <w:tcW w:w="0" w:type="auto"/>
            <w:vAlign w:val="center"/>
            <w:hideMark/>
          </w:tcPr>
          <w:p w14:paraId="463A0E28"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Defines borrowing mix (domestic vs. external, short vs. long-term)</w:t>
            </w:r>
          </w:p>
        </w:tc>
        <w:tc>
          <w:tcPr>
            <w:tcW w:w="0" w:type="auto"/>
            <w:vAlign w:val="center"/>
            <w:hideMark/>
          </w:tcPr>
          <w:p w14:paraId="3C3DF291"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Ensures cost-effective and stable financing</w:t>
            </w:r>
          </w:p>
        </w:tc>
      </w:tr>
      <w:tr w:rsidR="005B5062" w:rsidRPr="002E1A28" w14:paraId="17B009B8" w14:textId="77777777" w:rsidTr="005E53BF">
        <w:trPr>
          <w:tblCellSpacing w:w="15" w:type="dxa"/>
        </w:trPr>
        <w:tc>
          <w:tcPr>
            <w:tcW w:w="0" w:type="auto"/>
            <w:vAlign w:val="center"/>
            <w:hideMark/>
          </w:tcPr>
          <w:p w14:paraId="2EB90258"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Debt Sustainability Analysis (DSA)</w:t>
            </w:r>
          </w:p>
        </w:tc>
        <w:tc>
          <w:tcPr>
            <w:tcW w:w="0" w:type="auto"/>
            <w:vAlign w:val="center"/>
            <w:hideMark/>
          </w:tcPr>
          <w:p w14:paraId="0A9BA6D0"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Evaluates long-term viability of debt levels</w:t>
            </w:r>
          </w:p>
        </w:tc>
        <w:tc>
          <w:tcPr>
            <w:tcW w:w="0" w:type="auto"/>
            <w:vAlign w:val="center"/>
            <w:hideMark/>
          </w:tcPr>
          <w:p w14:paraId="105B3FEC"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Prevents fiscal slippage and crises</w:t>
            </w:r>
          </w:p>
        </w:tc>
      </w:tr>
      <w:tr w:rsidR="005B5062" w:rsidRPr="002E1A28" w14:paraId="624DDBAF" w14:textId="77777777" w:rsidTr="005E53BF">
        <w:trPr>
          <w:tblCellSpacing w:w="15" w:type="dxa"/>
        </w:trPr>
        <w:tc>
          <w:tcPr>
            <w:tcW w:w="0" w:type="auto"/>
            <w:vAlign w:val="center"/>
            <w:hideMark/>
          </w:tcPr>
          <w:p w14:paraId="5771882C"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Institutional Setup</w:t>
            </w:r>
          </w:p>
        </w:tc>
        <w:tc>
          <w:tcPr>
            <w:tcW w:w="0" w:type="auto"/>
            <w:vAlign w:val="center"/>
            <w:hideMark/>
          </w:tcPr>
          <w:p w14:paraId="3981DFE5"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Assigns roles to Finance Ministry, Debt Office, Central Bank</w:t>
            </w:r>
          </w:p>
        </w:tc>
        <w:tc>
          <w:tcPr>
            <w:tcW w:w="0" w:type="auto"/>
            <w:vAlign w:val="center"/>
            <w:hideMark/>
          </w:tcPr>
          <w:p w14:paraId="46771AD9"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Improves coordination and accountability</w:t>
            </w:r>
          </w:p>
        </w:tc>
      </w:tr>
      <w:tr w:rsidR="005B5062" w:rsidRPr="002E1A28" w14:paraId="0AAC8A5E" w14:textId="77777777" w:rsidTr="005E53BF">
        <w:trPr>
          <w:tblCellSpacing w:w="15" w:type="dxa"/>
        </w:trPr>
        <w:tc>
          <w:tcPr>
            <w:tcW w:w="0" w:type="auto"/>
            <w:vAlign w:val="center"/>
            <w:hideMark/>
          </w:tcPr>
          <w:p w14:paraId="5FF1B525"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Risk Management Tools</w:t>
            </w:r>
          </w:p>
        </w:tc>
        <w:tc>
          <w:tcPr>
            <w:tcW w:w="0" w:type="auto"/>
            <w:vAlign w:val="center"/>
            <w:hideMark/>
          </w:tcPr>
          <w:p w14:paraId="56BF2DD9"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Hedging, maturity diversification, currency balance</w:t>
            </w:r>
          </w:p>
        </w:tc>
        <w:tc>
          <w:tcPr>
            <w:tcW w:w="0" w:type="auto"/>
            <w:vAlign w:val="center"/>
            <w:hideMark/>
          </w:tcPr>
          <w:p w14:paraId="7F4EBCC3"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Reduces vulnerability to shocks</w:t>
            </w:r>
          </w:p>
        </w:tc>
      </w:tr>
      <w:tr w:rsidR="005B5062" w:rsidRPr="002E1A28" w14:paraId="4CC8B548" w14:textId="77777777" w:rsidTr="005E53BF">
        <w:trPr>
          <w:tblCellSpacing w:w="15" w:type="dxa"/>
        </w:trPr>
        <w:tc>
          <w:tcPr>
            <w:tcW w:w="0" w:type="auto"/>
            <w:vAlign w:val="center"/>
            <w:hideMark/>
          </w:tcPr>
          <w:p w14:paraId="1844DFA3" w14:textId="77777777" w:rsidR="005B5062" w:rsidRPr="00596125" w:rsidRDefault="005B5062" w:rsidP="005E53BF">
            <w:pPr>
              <w:spacing w:before="100" w:beforeAutospacing="1" w:after="100" w:afterAutospacing="1"/>
              <w:rPr>
                <w:rFonts w:ascii="Arial" w:hAnsi="Arial" w:cs="Arial"/>
                <w:color w:val="000000"/>
              </w:rPr>
            </w:pPr>
            <w:r w:rsidRPr="00596125">
              <w:rPr>
                <w:rFonts w:ascii="Arial" w:hAnsi="Arial" w:cs="Arial"/>
                <w:color w:val="000000"/>
              </w:rPr>
              <w:t>Transparency Measures</w:t>
            </w:r>
          </w:p>
        </w:tc>
        <w:tc>
          <w:tcPr>
            <w:tcW w:w="0" w:type="auto"/>
            <w:vAlign w:val="center"/>
            <w:hideMark/>
          </w:tcPr>
          <w:p w14:paraId="25443F7E"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Public reporting, audits, parliamentary oversight</w:t>
            </w:r>
          </w:p>
        </w:tc>
        <w:tc>
          <w:tcPr>
            <w:tcW w:w="0" w:type="auto"/>
            <w:vAlign w:val="center"/>
            <w:hideMark/>
          </w:tcPr>
          <w:p w14:paraId="46447EFE" w14:textId="77777777" w:rsidR="005B5062" w:rsidRPr="005B5062" w:rsidRDefault="005B5062" w:rsidP="005E53BF">
            <w:pPr>
              <w:spacing w:before="100" w:beforeAutospacing="1" w:after="100" w:afterAutospacing="1"/>
              <w:rPr>
                <w:rFonts w:ascii="Arial" w:hAnsi="Arial" w:cs="Arial"/>
                <w:color w:val="000000"/>
              </w:rPr>
            </w:pPr>
            <w:r w:rsidRPr="005B5062">
              <w:rPr>
                <w:rFonts w:ascii="Arial" w:hAnsi="Arial" w:cs="Arial"/>
                <w:color w:val="000000"/>
              </w:rPr>
              <w:t>Builds investor trust and public confidence</w:t>
            </w:r>
          </w:p>
        </w:tc>
      </w:tr>
    </w:tbl>
    <w:p w14:paraId="53F92B78" w14:textId="77777777" w:rsidR="00BB5038" w:rsidRDefault="00BB5038" w:rsidP="00874D21">
      <w:pPr>
        <w:pStyle w:val="AbstHead"/>
        <w:spacing w:after="0"/>
        <w:jc w:val="both"/>
        <w:rPr>
          <w:rFonts w:ascii="Arial" w:hAnsi="Arial" w:cs="Arial"/>
          <w:b w:val="0"/>
          <w:caps w:val="0"/>
          <w:sz w:val="20"/>
        </w:rPr>
      </w:pPr>
    </w:p>
    <w:p w14:paraId="00DD9D2C" w14:textId="77777777" w:rsidR="00BB5038" w:rsidRDefault="00BB5038" w:rsidP="00874D21">
      <w:pPr>
        <w:pStyle w:val="AbstHead"/>
        <w:spacing w:after="0"/>
        <w:jc w:val="both"/>
        <w:rPr>
          <w:rFonts w:ascii="Arial" w:hAnsi="Arial" w:cs="Arial"/>
          <w:b w:val="0"/>
          <w:caps w:val="0"/>
          <w:sz w:val="20"/>
        </w:rPr>
      </w:pPr>
    </w:p>
    <w:p w14:paraId="470458BD" w14:textId="19057170" w:rsidR="00860C06" w:rsidRPr="00860C06" w:rsidRDefault="00860C06" w:rsidP="00874D21">
      <w:pPr>
        <w:pStyle w:val="AbstHead"/>
        <w:spacing w:after="0"/>
        <w:jc w:val="both"/>
        <w:rPr>
          <w:rFonts w:ascii="Arial" w:hAnsi="Arial" w:cs="Arial"/>
          <w:b w:val="0"/>
          <w:caps w:val="0"/>
          <w:sz w:val="20"/>
        </w:rPr>
      </w:pPr>
      <w:r w:rsidRPr="00860C06">
        <w:rPr>
          <w:rFonts w:ascii="Arial" w:hAnsi="Arial" w:cs="Arial"/>
          <w:b w:val="0"/>
          <w:caps w:val="0"/>
          <w:sz w:val="20"/>
        </w:rPr>
        <w:t xml:space="preserve">Source: International Monetary Fund </w:t>
      </w:r>
      <w:r w:rsidR="00720F4E">
        <w:rPr>
          <w:rFonts w:ascii="Arial" w:hAnsi="Arial" w:cs="Arial"/>
          <w:b w:val="0"/>
          <w:caps w:val="0"/>
          <w:sz w:val="20"/>
        </w:rPr>
        <w:t>(2002, 2018)</w:t>
      </w:r>
    </w:p>
    <w:p w14:paraId="7353409E" w14:textId="09698CFC" w:rsidR="00874D21" w:rsidRDefault="00BE0453" w:rsidP="00874D21">
      <w:pPr>
        <w:pStyle w:val="AbstHead"/>
        <w:spacing w:after="0"/>
        <w:jc w:val="both"/>
        <w:rPr>
          <w:rFonts w:ascii="Arial" w:hAnsi="Arial" w:cs="Arial"/>
          <w:b w:val="0"/>
          <w:caps w:val="0"/>
          <w:sz w:val="20"/>
        </w:rPr>
      </w:pPr>
      <w:r>
        <w:rPr>
          <w:rFonts w:ascii="Arial" w:hAnsi="Arial" w:cs="Arial"/>
          <w:b w:val="0"/>
          <w:caps w:val="0"/>
          <w:sz w:val="20"/>
        </w:rPr>
        <w:t>Due to the increasing burden of public debt for global economies, i</w:t>
      </w:r>
      <w:r w:rsidR="00874D21" w:rsidRPr="00874D21">
        <w:rPr>
          <w:rFonts w:ascii="Arial" w:hAnsi="Arial" w:cs="Arial"/>
          <w:b w:val="0"/>
          <w:caps w:val="0"/>
          <w:sz w:val="20"/>
        </w:rPr>
        <w:t xml:space="preserve">nternational organizations such as IMF, World Bank, and Organization for Economic Co-operation and Development (OECD) increasingly emphasize </w:t>
      </w:r>
      <w:r>
        <w:rPr>
          <w:rFonts w:ascii="Arial" w:hAnsi="Arial" w:cs="Arial"/>
          <w:b w:val="0"/>
          <w:caps w:val="0"/>
          <w:sz w:val="20"/>
        </w:rPr>
        <w:t xml:space="preserve">on </w:t>
      </w:r>
      <w:r w:rsidR="00874D21" w:rsidRPr="00874D21">
        <w:rPr>
          <w:rFonts w:ascii="Arial" w:hAnsi="Arial" w:cs="Arial"/>
          <w:b w:val="0"/>
          <w:caps w:val="0"/>
          <w:sz w:val="20"/>
        </w:rPr>
        <w:t>integrated debt management frameworks as a precondition for fiscal sustainability and macroeconomic credibility.</w:t>
      </w:r>
    </w:p>
    <w:p w14:paraId="5693A86C" w14:textId="7ACE0669" w:rsidR="00790ADA" w:rsidRPr="00FB3A86" w:rsidRDefault="00874D21"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874D21">
        <w:rPr>
          <w:rFonts w:ascii="Arial" w:hAnsi="Arial" w:cs="Arial"/>
        </w:rPr>
        <w:t>THEORETICAL FRAMEWORK</w:t>
      </w:r>
    </w:p>
    <w:p w14:paraId="72AC4269" w14:textId="77777777" w:rsidR="00706CC5" w:rsidRPr="00706CC5" w:rsidRDefault="00706CC5" w:rsidP="00706CC5">
      <w:pPr>
        <w:pStyle w:val="Body"/>
        <w:rPr>
          <w:rFonts w:ascii="Arial" w:hAnsi="Arial" w:cs="Arial"/>
        </w:rPr>
      </w:pPr>
      <w:r w:rsidRPr="00706CC5">
        <w:rPr>
          <w:rFonts w:ascii="Arial" w:hAnsi="Arial" w:cs="Arial"/>
        </w:rPr>
        <w:t>The concept of a comprehensive public debt framework emerges from the broader theoretical literature on fiscal sustainability, macroeconomic stability, and intergenerational public finance. Economic theory does not treat public debt as inherently undesirable. Rather, the sustainability and developmental impact of borrowing depend upon the purposes for which debt is incurred, the economy’s repayment capacity, and the institutional mechanisms governing fiscal management.</w:t>
      </w:r>
    </w:p>
    <w:p w14:paraId="557C9860" w14:textId="77777777" w:rsidR="00706CC5" w:rsidRPr="003F0361" w:rsidRDefault="00706CC5" w:rsidP="00205B52">
      <w:pPr>
        <w:pStyle w:val="Body"/>
        <w:rPr>
          <w:rFonts w:ascii="Arial" w:hAnsi="Arial" w:cs="Arial"/>
          <w:b/>
          <w:bCs/>
        </w:rPr>
      </w:pPr>
      <w:r w:rsidRPr="003F0361">
        <w:rPr>
          <w:rFonts w:ascii="Arial" w:hAnsi="Arial" w:cs="Arial"/>
          <w:b/>
          <w:bCs/>
        </w:rPr>
        <w:t>Classical and Keynesian Perspectives</w:t>
      </w:r>
    </w:p>
    <w:p w14:paraId="27EE79D0" w14:textId="58F24EF3" w:rsidR="00706CC5" w:rsidRDefault="00706CC5" w:rsidP="00706CC5">
      <w:pPr>
        <w:pStyle w:val="Body"/>
        <w:rPr>
          <w:rFonts w:ascii="Arial" w:hAnsi="Arial" w:cs="Arial"/>
        </w:rPr>
      </w:pPr>
      <w:r w:rsidRPr="00706CC5">
        <w:rPr>
          <w:rFonts w:ascii="Arial" w:hAnsi="Arial" w:cs="Arial"/>
        </w:rPr>
        <w:t>Classical and neoclassical economists traditionally viewed public borrowing with caution in which borrowing should remain limited and largely confined to productive investment or exceptional circumstances. Persistent fiscal deficits were considered harmful because they could increase interest rates, crowd out private investment, and generate macroeconomic instability. On the other hand, Keynes (1936) argued that deficit financing can play a stabilizing role during economic recessions by sustaining aggregate demand, employment, and public investment. According to Keynesian theory, governments may need to borrow during downturns in order to counteract declines in private sector demand. Contemporary fiscal theory therefore recognizes that borrowing may be economically rational when it supports long-term productive growth and counter-cyclical stabilization.</w:t>
      </w:r>
    </w:p>
    <w:p w14:paraId="4BE91A08" w14:textId="77777777" w:rsidR="002845BB" w:rsidRPr="00706CC5" w:rsidRDefault="002845BB" w:rsidP="00706CC5">
      <w:pPr>
        <w:pStyle w:val="Body"/>
        <w:rPr>
          <w:rFonts w:ascii="Arial" w:hAnsi="Arial" w:cs="Arial"/>
        </w:rPr>
      </w:pPr>
    </w:p>
    <w:p w14:paraId="02C3D95D" w14:textId="77777777" w:rsidR="00706CC5" w:rsidRPr="003F0361" w:rsidRDefault="00706CC5" w:rsidP="00205B52">
      <w:pPr>
        <w:pStyle w:val="Body"/>
        <w:rPr>
          <w:rFonts w:ascii="Arial" w:hAnsi="Arial" w:cs="Arial"/>
          <w:b/>
          <w:bCs/>
        </w:rPr>
      </w:pPr>
      <w:r w:rsidRPr="003F0361">
        <w:rPr>
          <w:rFonts w:ascii="Arial" w:hAnsi="Arial" w:cs="Arial"/>
          <w:b/>
          <w:bCs/>
        </w:rPr>
        <w:lastRenderedPageBreak/>
        <w:t>Debt Sustainability Theory</w:t>
      </w:r>
    </w:p>
    <w:p w14:paraId="2E766C20" w14:textId="5F89C4D5" w:rsidR="00706CC5" w:rsidRPr="00706CC5" w:rsidRDefault="00706CC5" w:rsidP="00706CC5">
      <w:pPr>
        <w:pStyle w:val="Body"/>
        <w:rPr>
          <w:rFonts w:ascii="Arial" w:hAnsi="Arial" w:cs="Arial"/>
        </w:rPr>
      </w:pPr>
      <w:r w:rsidRPr="00706CC5">
        <w:rPr>
          <w:rFonts w:ascii="Arial" w:hAnsi="Arial" w:cs="Arial"/>
        </w:rPr>
        <w:t>Modern debt sustainability theory focuses on the relationship between economic growth and interest rates. Public debt remains sustainable when the growth rate of the economy exceeds the effective interest rate on government borrowing. Under such conditions, the debt burden stabilizes relative to national income because economic expansion enlarges the revenue base and reduces the relative burden of debt.</w:t>
      </w:r>
    </w:p>
    <w:p w14:paraId="101EC8F8" w14:textId="5C17F58A" w:rsidR="00706CC5" w:rsidRPr="00706CC5" w:rsidRDefault="00706CC5" w:rsidP="00706CC5">
      <w:pPr>
        <w:pStyle w:val="Body"/>
        <w:rPr>
          <w:rFonts w:ascii="Arial" w:hAnsi="Arial" w:cs="Arial"/>
        </w:rPr>
      </w:pPr>
      <w:r w:rsidRPr="00706CC5">
        <w:rPr>
          <w:rFonts w:ascii="Arial" w:hAnsi="Arial" w:cs="Arial"/>
        </w:rPr>
        <w:t>Conversely, when interest costs exceed economic growth over prolonged periods, debt may enter an unsustainable trajectory characterized by rising refinancing risks and escalating fiscal stress (Blanchard 2019). Debt sustainability therefore depends not merely on the absolute size of debt, but also on economic growth, fiscal credibility, and the structure of liabilities.</w:t>
      </w:r>
    </w:p>
    <w:p w14:paraId="08108533" w14:textId="77777777" w:rsidR="00706CC5" w:rsidRPr="00706CC5" w:rsidRDefault="00706CC5" w:rsidP="00706CC5">
      <w:pPr>
        <w:pStyle w:val="Body"/>
        <w:rPr>
          <w:rFonts w:ascii="Arial" w:hAnsi="Arial" w:cs="Arial"/>
        </w:rPr>
      </w:pPr>
      <w:r w:rsidRPr="00706CC5">
        <w:rPr>
          <w:rFonts w:ascii="Arial" w:hAnsi="Arial" w:cs="Arial"/>
        </w:rPr>
        <w:t>The debt dynamics equation illustrates this relationship:</w:t>
      </w:r>
    </w:p>
    <w:p w14:paraId="7CD2A45B" w14:textId="13FE8F7A" w:rsidR="00706CC5" w:rsidRPr="00706CC5" w:rsidRDefault="00706CC5" w:rsidP="003C5464">
      <w:pPr>
        <w:pStyle w:val="Body"/>
        <w:jc w:val="center"/>
        <w:rPr>
          <w:rFonts w:ascii="Arial" w:hAnsi="Arial" w:cs="Arial"/>
        </w:rPr>
      </w:pPr>
      <w:proofErr w:type="spellStart"/>
      <w:r w:rsidRPr="00706CC5">
        <w:rPr>
          <w:rFonts w:ascii="Arial" w:hAnsi="Arial" w:cs="Arial"/>
        </w:rPr>
        <w:t>Δd</w:t>
      </w:r>
      <w:proofErr w:type="spellEnd"/>
      <w:r w:rsidRPr="00706CC5">
        <w:rPr>
          <w:rFonts w:ascii="Arial" w:hAnsi="Arial" w:cs="Arial"/>
        </w:rPr>
        <w:t>=(r-</w:t>
      </w:r>
      <w:r w:rsidR="003C5464" w:rsidRPr="00706CC5">
        <w:rPr>
          <w:rFonts w:ascii="Arial" w:hAnsi="Arial" w:cs="Arial"/>
        </w:rPr>
        <w:t>g) d</w:t>
      </w:r>
      <w:r w:rsidRPr="00706CC5">
        <w:rPr>
          <w:rFonts w:ascii="Arial" w:hAnsi="Arial" w:cs="Arial"/>
        </w:rPr>
        <w:t>-</w:t>
      </w:r>
      <w:proofErr w:type="spellStart"/>
      <w:r w:rsidRPr="00706CC5">
        <w:rPr>
          <w:rFonts w:ascii="Arial" w:hAnsi="Arial" w:cs="Arial"/>
        </w:rPr>
        <w:t>ps</w:t>
      </w:r>
      <w:proofErr w:type="spellEnd"/>
      <w:r w:rsidRPr="00706CC5">
        <w:rPr>
          <w:rFonts w:ascii="Arial" w:hAnsi="Arial" w:cs="Arial"/>
        </w:rPr>
        <w:t>…….{1}</w:t>
      </w:r>
    </w:p>
    <w:p w14:paraId="37F8250E" w14:textId="1693A55A" w:rsidR="00706CC5" w:rsidRPr="00706CC5" w:rsidRDefault="00706CC5" w:rsidP="00706CC5">
      <w:pPr>
        <w:pStyle w:val="Body"/>
        <w:rPr>
          <w:rFonts w:ascii="Arial" w:hAnsi="Arial" w:cs="Arial"/>
        </w:rPr>
      </w:pPr>
      <w:r w:rsidRPr="00706CC5">
        <w:rPr>
          <w:rFonts w:ascii="Arial" w:hAnsi="Arial" w:cs="Arial"/>
        </w:rPr>
        <w:t>where d represents the debt–GDP ratio, r</w:t>
      </w:r>
      <w:r w:rsidR="003C5464">
        <w:rPr>
          <w:rFonts w:ascii="Arial" w:hAnsi="Arial" w:cs="Arial"/>
        </w:rPr>
        <w:t xml:space="preserve"> </w:t>
      </w:r>
      <w:r w:rsidRPr="00706CC5">
        <w:rPr>
          <w:rFonts w:ascii="Arial" w:hAnsi="Arial" w:cs="Arial"/>
        </w:rPr>
        <w:t>is the effective interest rate, g</w:t>
      </w:r>
      <w:r w:rsidR="003C5464">
        <w:rPr>
          <w:rFonts w:ascii="Arial" w:hAnsi="Arial" w:cs="Arial"/>
        </w:rPr>
        <w:t xml:space="preserve"> </w:t>
      </w:r>
      <w:r w:rsidRPr="00706CC5">
        <w:rPr>
          <w:rFonts w:ascii="Arial" w:hAnsi="Arial" w:cs="Arial"/>
        </w:rPr>
        <w:t xml:space="preserve">is the economic growth rate, and </w:t>
      </w:r>
      <w:proofErr w:type="spellStart"/>
      <w:r w:rsidRPr="00706CC5">
        <w:rPr>
          <w:rFonts w:ascii="Arial" w:hAnsi="Arial" w:cs="Arial"/>
        </w:rPr>
        <w:t>ps</w:t>
      </w:r>
      <w:proofErr w:type="spellEnd"/>
      <w:r w:rsidR="003C5464">
        <w:rPr>
          <w:rFonts w:ascii="Arial" w:hAnsi="Arial" w:cs="Arial"/>
        </w:rPr>
        <w:t xml:space="preserve"> </w:t>
      </w:r>
      <w:r w:rsidRPr="00706CC5">
        <w:rPr>
          <w:rFonts w:ascii="Arial" w:hAnsi="Arial" w:cs="Arial"/>
        </w:rPr>
        <w:t>denotes the primary surplus.</w:t>
      </w:r>
    </w:p>
    <w:p w14:paraId="45B25670" w14:textId="6D092B77" w:rsidR="00706CC5" w:rsidRPr="00706CC5" w:rsidRDefault="00706CC5" w:rsidP="00706CC5">
      <w:pPr>
        <w:pStyle w:val="Body"/>
        <w:rPr>
          <w:rFonts w:ascii="Arial" w:hAnsi="Arial" w:cs="Arial"/>
        </w:rPr>
      </w:pPr>
      <w:r w:rsidRPr="00706CC5">
        <w:rPr>
          <w:rFonts w:ascii="Arial" w:hAnsi="Arial" w:cs="Arial"/>
        </w:rPr>
        <w:t xml:space="preserve">This equation indicates that debt </w:t>
      </w:r>
      <w:r w:rsidR="008E5E9A" w:rsidRPr="00706CC5">
        <w:rPr>
          <w:rFonts w:ascii="Arial" w:hAnsi="Arial" w:cs="Arial"/>
        </w:rPr>
        <w:t>stabilization</w:t>
      </w:r>
      <w:r w:rsidRPr="00706CC5">
        <w:rPr>
          <w:rFonts w:ascii="Arial" w:hAnsi="Arial" w:cs="Arial"/>
        </w:rPr>
        <w:t xml:space="preserve"> can occur through three channels: higher economic growth, lower interest costs, or primary fiscal correction through improved revenues and expenditure </w:t>
      </w:r>
      <w:r w:rsidR="00617099" w:rsidRPr="00706CC5">
        <w:rPr>
          <w:rFonts w:ascii="Arial" w:hAnsi="Arial" w:cs="Arial"/>
        </w:rPr>
        <w:t>rationalization</w:t>
      </w:r>
      <w:r w:rsidRPr="00706CC5">
        <w:rPr>
          <w:rFonts w:ascii="Arial" w:hAnsi="Arial" w:cs="Arial"/>
        </w:rPr>
        <w:t>.</w:t>
      </w:r>
    </w:p>
    <w:p w14:paraId="65AAE40C" w14:textId="77777777" w:rsidR="00706CC5" w:rsidRPr="00706CC5" w:rsidRDefault="00706CC5" w:rsidP="00706CC5">
      <w:pPr>
        <w:pStyle w:val="Body"/>
        <w:rPr>
          <w:rFonts w:ascii="Arial" w:hAnsi="Arial" w:cs="Arial"/>
        </w:rPr>
      </w:pPr>
      <w:r w:rsidRPr="00706CC5">
        <w:rPr>
          <w:rFonts w:ascii="Arial" w:hAnsi="Arial" w:cs="Arial"/>
        </w:rPr>
        <w:t>Another important theoretical justification for debt management frameworks arises from the principle of intergenerational equity. Public borrowing transfers repayment obligations to future taxpayers and is therefore justified primarily when it finances long-term productive assets such as infrastructure, education, healthcare, and technological development. Borrowing for current consumption without corresponding productivity gains may impose disproportionate burdens on future generations (Musgrave 1959). The literature on public finance therefore distinguishes between productive and non-productive borrowing. Productive borrowing generates future income streams and strengthens economic capacity, whereas non-productive borrowing merely postpones fiscal adjustment.</w:t>
      </w:r>
    </w:p>
    <w:p w14:paraId="17BDE507" w14:textId="3E7E12DC" w:rsidR="00790ADA" w:rsidRDefault="00706CC5" w:rsidP="00706CC5">
      <w:pPr>
        <w:pStyle w:val="Body"/>
        <w:spacing w:after="0"/>
        <w:rPr>
          <w:rFonts w:ascii="Arial" w:hAnsi="Arial" w:cs="Arial"/>
        </w:rPr>
      </w:pPr>
      <w:r w:rsidRPr="00706CC5">
        <w:rPr>
          <w:rFonts w:ascii="Arial" w:hAnsi="Arial" w:cs="Arial"/>
        </w:rPr>
        <w:t xml:space="preserve">Institutional economics </w:t>
      </w:r>
      <w:r w:rsidR="00617099" w:rsidRPr="00706CC5">
        <w:rPr>
          <w:rFonts w:ascii="Arial" w:hAnsi="Arial" w:cs="Arial"/>
        </w:rPr>
        <w:t>emphasizes</w:t>
      </w:r>
      <w:r w:rsidRPr="00706CC5">
        <w:rPr>
          <w:rFonts w:ascii="Arial" w:hAnsi="Arial" w:cs="Arial"/>
        </w:rPr>
        <w:t xml:space="preserve"> the importance of transparency, accountability, and fiscal credibility in debt management. Governments may obscure liabilities through off-budget borrowing, guarantees, public enterprises, or special purpose vehicles, thereby understating fiscal risks. Such practices weaken fiscal discipline and reduce investor </w:t>
      </w:r>
      <w:r w:rsidR="00617099" w:rsidRPr="00706CC5">
        <w:rPr>
          <w:rFonts w:ascii="Arial" w:hAnsi="Arial" w:cs="Arial"/>
        </w:rPr>
        <w:t>confidence. International</w:t>
      </w:r>
      <w:r w:rsidRPr="00706CC5">
        <w:rPr>
          <w:rFonts w:ascii="Arial" w:hAnsi="Arial" w:cs="Arial"/>
        </w:rPr>
        <w:t xml:space="preserve"> </w:t>
      </w:r>
      <w:r w:rsidR="00617099" w:rsidRPr="00706CC5">
        <w:rPr>
          <w:rFonts w:ascii="Arial" w:hAnsi="Arial" w:cs="Arial"/>
        </w:rPr>
        <w:t>organizations</w:t>
      </w:r>
      <w:r w:rsidRPr="00706CC5">
        <w:rPr>
          <w:rFonts w:ascii="Arial" w:hAnsi="Arial" w:cs="Arial"/>
        </w:rPr>
        <w:t xml:space="preserve"> such as the IMF and World Bank therefore advocate integrated public debt frameworks that incorporate direct debt, contingent liabilities, pension obligations, and quasi-fiscal deficits (IMF and World Bank 2018). These frameworks improve policy credibility, reduce borrowing costs, and strengthen democratic accountability.</w:t>
      </w:r>
    </w:p>
    <w:p w14:paraId="480DD2CB" w14:textId="094364DC" w:rsidR="006D26EC" w:rsidRPr="006D26EC" w:rsidRDefault="006D26EC" w:rsidP="006D26EC">
      <w:pPr>
        <w:pStyle w:val="Body"/>
        <w:rPr>
          <w:rFonts w:ascii="Arial" w:hAnsi="Arial" w:cs="Arial"/>
          <w:b/>
          <w:bCs/>
          <w:sz w:val="22"/>
          <w:szCs w:val="22"/>
        </w:rPr>
      </w:pPr>
      <w:r w:rsidRPr="006D26EC">
        <w:rPr>
          <w:rFonts w:ascii="Arial" w:hAnsi="Arial" w:cs="Arial"/>
          <w:b/>
          <w:bCs/>
          <w:sz w:val="22"/>
          <w:szCs w:val="22"/>
        </w:rPr>
        <w:t>4.KERALA’S DEBT TRAJECTORY AND FISCAL CHALLENGES</w:t>
      </w:r>
    </w:p>
    <w:p w14:paraId="555CA40A" w14:textId="77777777" w:rsidR="006D26EC" w:rsidRPr="006D26EC" w:rsidRDefault="006D26EC" w:rsidP="006D26EC">
      <w:pPr>
        <w:pStyle w:val="Body"/>
        <w:rPr>
          <w:rFonts w:ascii="Arial" w:hAnsi="Arial" w:cs="Arial"/>
        </w:rPr>
      </w:pPr>
      <w:r w:rsidRPr="006D26EC">
        <w:rPr>
          <w:rFonts w:ascii="Arial" w:hAnsi="Arial" w:cs="Arial"/>
        </w:rPr>
        <w:t>Kerala’s debt management framework currently operates within the broader institutional structure established by the Fiscal Responsibility and Budget Management (FRBM) Act. The framework sets targets for fiscal deficits and debt ratios while mandating transparency and medium-term fiscal planning. The Finance Department oversees debt operations, including treasury management and the issuance of State Development Loans, in coordination with the Reserve Bank of India.</w:t>
      </w:r>
    </w:p>
    <w:p w14:paraId="423AFBC3" w14:textId="70B59664" w:rsidR="003F283F" w:rsidRDefault="006D26EC" w:rsidP="006D26EC">
      <w:pPr>
        <w:pStyle w:val="Body"/>
        <w:spacing w:after="0"/>
        <w:rPr>
          <w:rFonts w:ascii="Arial" w:hAnsi="Arial" w:cs="Arial"/>
        </w:rPr>
      </w:pPr>
      <w:r w:rsidRPr="006D26EC">
        <w:rPr>
          <w:rFonts w:ascii="Arial" w:hAnsi="Arial" w:cs="Arial"/>
        </w:rPr>
        <w:lastRenderedPageBreak/>
        <w:t>Despite these institutional arrangements, Kerala’s debt trajectory has remained a major concern. Since the early 2000s, the debt–GSDP ratio has consistently hovered around 30 per cent, increasing sharply during the pandemic and approaching 40 per cent before moderating in recent years. This pattern reflects structural fiscal imbalances and the impact of external shocks such as the COVID-19 crisis, climate-related disasters, and fluctuations in remittance inflows.</w:t>
      </w:r>
    </w:p>
    <w:p w14:paraId="6F24ED1C" w14:textId="77777777" w:rsidR="002A007B" w:rsidRPr="002A007B" w:rsidRDefault="002A007B" w:rsidP="002A007B">
      <w:pPr>
        <w:pStyle w:val="Body"/>
        <w:rPr>
          <w:rFonts w:ascii="Arial" w:hAnsi="Arial" w:cs="Arial"/>
        </w:rPr>
      </w:pPr>
      <w:r w:rsidRPr="002A007B">
        <w:rPr>
          <w:rFonts w:ascii="Arial" w:hAnsi="Arial" w:cs="Arial"/>
        </w:rPr>
        <w:t>The composition of debt has also undergone significant transformation. State Development Loans now account for nearly three-quarters of Kerala’s liabilities. Although SDLs provide access to market financing, they also expose the state to refinancing risks and interest rate fluctuations. Institutional loans and central assistance have declined in relative importance, while concessional external loans continue to play only a limited role.</w:t>
      </w:r>
    </w:p>
    <w:p w14:paraId="76A92E60" w14:textId="256DB243" w:rsidR="002A007B" w:rsidRDefault="002A007B" w:rsidP="002A007B">
      <w:pPr>
        <w:pStyle w:val="Body"/>
        <w:rPr>
          <w:rFonts w:ascii="Arial" w:hAnsi="Arial" w:cs="Arial"/>
        </w:rPr>
      </w:pPr>
      <w:r w:rsidRPr="002A007B">
        <w:rPr>
          <w:rFonts w:ascii="Arial" w:hAnsi="Arial" w:cs="Arial"/>
        </w:rPr>
        <w:t>A major development in recent years has been the rise of off-budget liabilities through institutions such as KIIFB and various public sector undertakings. Borrowings undertaken through these entities have financed infrastructure projects outside the conventional budget framework. While such mechanisms have enabled investment expansion, they have also created significant contingent liabilities that remain partially hidden from official debt indicators.</w:t>
      </w:r>
      <w:r w:rsidR="001D28E7">
        <w:rPr>
          <w:rFonts w:ascii="Arial" w:hAnsi="Arial" w:cs="Arial"/>
        </w:rPr>
        <w:t xml:space="preserve"> </w:t>
      </w:r>
      <w:r w:rsidR="001D28E7" w:rsidRPr="001D28E7">
        <w:rPr>
          <w:rFonts w:ascii="Arial" w:hAnsi="Arial" w:cs="Arial"/>
        </w:rPr>
        <w:t>The following table presents the structure and composition of Kerala’s public debt.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4"/>
        <w:gridCol w:w="1213"/>
        <w:gridCol w:w="1416"/>
        <w:gridCol w:w="1553"/>
        <w:gridCol w:w="2032"/>
      </w:tblGrid>
      <w:tr w:rsidR="001D28E7" w:rsidRPr="009E6C6A" w14:paraId="397CEB0C" w14:textId="77777777" w:rsidTr="009C1F69">
        <w:trPr>
          <w:tblHeader/>
          <w:tblCellSpacing w:w="15" w:type="dxa"/>
        </w:trPr>
        <w:tc>
          <w:tcPr>
            <w:tcW w:w="0" w:type="auto"/>
            <w:gridSpan w:val="5"/>
            <w:vAlign w:val="center"/>
          </w:tcPr>
          <w:p w14:paraId="6F2354E6" w14:textId="6DD3C74C" w:rsidR="001D28E7" w:rsidRPr="009E6C6A" w:rsidRDefault="001D28E7" w:rsidP="009C1F69">
            <w:pPr>
              <w:pStyle w:val="Body"/>
              <w:spacing w:after="0"/>
              <w:jc w:val="center"/>
              <w:rPr>
                <w:rFonts w:ascii="Arial" w:hAnsi="Arial" w:cs="Arial"/>
                <w:b/>
                <w:bCs/>
                <w:lang w:val="en-IN"/>
              </w:rPr>
            </w:pPr>
            <w:r w:rsidRPr="009E6C6A">
              <w:rPr>
                <w:rFonts w:ascii="Arial" w:hAnsi="Arial" w:cs="Arial"/>
                <w:b/>
                <w:bCs/>
                <w:lang w:val="en-IN"/>
              </w:rPr>
              <w:t>Table 2: Nature and Composition of Kerala’s Public Debt</w:t>
            </w:r>
          </w:p>
        </w:tc>
      </w:tr>
      <w:tr w:rsidR="001D28E7" w:rsidRPr="009E6C6A" w14:paraId="024BDBC0" w14:textId="77777777" w:rsidTr="009C1F69">
        <w:trPr>
          <w:tblHeader/>
          <w:tblCellSpacing w:w="15" w:type="dxa"/>
        </w:trPr>
        <w:tc>
          <w:tcPr>
            <w:tcW w:w="0" w:type="auto"/>
            <w:vAlign w:val="center"/>
            <w:hideMark/>
          </w:tcPr>
          <w:p w14:paraId="08520FFE"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Component / Source</w:t>
            </w:r>
          </w:p>
        </w:tc>
        <w:tc>
          <w:tcPr>
            <w:tcW w:w="0" w:type="auto"/>
            <w:vAlign w:val="center"/>
            <w:hideMark/>
          </w:tcPr>
          <w:p w14:paraId="4F3C3493"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Share in Total Debt</w:t>
            </w:r>
          </w:p>
        </w:tc>
        <w:tc>
          <w:tcPr>
            <w:tcW w:w="0" w:type="auto"/>
            <w:vAlign w:val="center"/>
            <w:hideMark/>
          </w:tcPr>
          <w:p w14:paraId="53B9D92C"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Term Structure</w:t>
            </w:r>
          </w:p>
        </w:tc>
        <w:tc>
          <w:tcPr>
            <w:tcW w:w="0" w:type="auto"/>
            <w:vAlign w:val="center"/>
            <w:hideMark/>
          </w:tcPr>
          <w:p w14:paraId="1BCD4ACC"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Typical Interest Rate</w:t>
            </w:r>
          </w:p>
        </w:tc>
        <w:tc>
          <w:tcPr>
            <w:tcW w:w="0" w:type="auto"/>
            <w:vAlign w:val="center"/>
            <w:hideMark/>
          </w:tcPr>
          <w:p w14:paraId="2DBB3779" w14:textId="77777777" w:rsidR="001D28E7" w:rsidRPr="00596125" w:rsidRDefault="001D28E7" w:rsidP="009C1F69">
            <w:pPr>
              <w:pStyle w:val="Body"/>
              <w:spacing w:after="0"/>
              <w:rPr>
                <w:rFonts w:ascii="Arial" w:hAnsi="Arial" w:cs="Arial"/>
                <w:b/>
                <w:bCs/>
                <w:lang w:val="en-IN"/>
              </w:rPr>
            </w:pPr>
            <w:r w:rsidRPr="00596125">
              <w:rPr>
                <w:rFonts w:ascii="Arial" w:hAnsi="Arial" w:cs="Arial"/>
                <w:b/>
                <w:bCs/>
                <w:lang w:val="en-IN"/>
              </w:rPr>
              <w:t>Notes</w:t>
            </w:r>
          </w:p>
        </w:tc>
      </w:tr>
      <w:tr w:rsidR="001D28E7" w:rsidRPr="009E6C6A" w14:paraId="4A0118A8" w14:textId="77777777" w:rsidTr="009C1F69">
        <w:trPr>
          <w:tblCellSpacing w:w="15" w:type="dxa"/>
        </w:trPr>
        <w:tc>
          <w:tcPr>
            <w:tcW w:w="0" w:type="auto"/>
            <w:vAlign w:val="center"/>
            <w:hideMark/>
          </w:tcPr>
          <w:p w14:paraId="333A1078"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State Development Loans (SDLs)</w:t>
            </w:r>
          </w:p>
        </w:tc>
        <w:tc>
          <w:tcPr>
            <w:tcW w:w="0" w:type="auto"/>
            <w:vAlign w:val="center"/>
            <w:hideMark/>
          </w:tcPr>
          <w:p w14:paraId="55969C85"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~70–75%</w:t>
            </w:r>
          </w:p>
        </w:tc>
        <w:tc>
          <w:tcPr>
            <w:tcW w:w="0" w:type="auto"/>
            <w:vAlign w:val="center"/>
            <w:hideMark/>
          </w:tcPr>
          <w:p w14:paraId="0DFF6B64"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 (5–20 years)</w:t>
            </w:r>
          </w:p>
        </w:tc>
        <w:tc>
          <w:tcPr>
            <w:tcW w:w="0" w:type="auto"/>
            <w:vAlign w:val="center"/>
            <w:hideMark/>
          </w:tcPr>
          <w:p w14:paraId="1AC7A35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7.0–8.0% (market</w:t>
            </w:r>
            <w:r w:rsidRPr="00596125">
              <w:rPr>
                <w:rFonts w:ascii="Arial" w:hAnsi="Arial" w:cs="Arial"/>
                <w:lang w:val="en-IN"/>
              </w:rPr>
              <w:noBreakHyphen/>
              <w:t>linked)</w:t>
            </w:r>
          </w:p>
        </w:tc>
        <w:tc>
          <w:tcPr>
            <w:tcW w:w="0" w:type="auto"/>
            <w:vAlign w:val="center"/>
            <w:hideMark/>
          </w:tcPr>
          <w:p w14:paraId="77D1E31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Primary source of borrowing; managed via RBI auctions</w:t>
            </w:r>
          </w:p>
        </w:tc>
      </w:tr>
      <w:tr w:rsidR="001D28E7" w:rsidRPr="009E6C6A" w14:paraId="07C4E541" w14:textId="77777777" w:rsidTr="009C1F69">
        <w:trPr>
          <w:tblCellSpacing w:w="15" w:type="dxa"/>
        </w:trPr>
        <w:tc>
          <w:tcPr>
            <w:tcW w:w="0" w:type="auto"/>
            <w:vAlign w:val="center"/>
            <w:hideMark/>
          </w:tcPr>
          <w:p w14:paraId="271BCD4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Loans from Financial Institutions (NABARD, LIC, etc.)</w:t>
            </w:r>
          </w:p>
        </w:tc>
        <w:tc>
          <w:tcPr>
            <w:tcW w:w="0" w:type="auto"/>
            <w:vAlign w:val="center"/>
            <w:hideMark/>
          </w:tcPr>
          <w:p w14:paraId="709E29D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~10–12%</w:t>
            </w:r>
          </w:p>
        </w:tc>
        <w:tc>
          <w:tcPr>
            <w:tcW w:w="0" w:type="auto"/>
            <w:vAlign w:val="center"/>
            <w:hideMark/>
          </w:tcPr>
          <w:p w14:paraId="7EB877F8"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Medium to long</w:t>
            </w:r>
            <w:r w:rsidRPr="00596125">
              <w:rPr>
                <w:rFonts w:ascii="Arial" w:hAnsi="Arial" w:cs="Arial"/>
                <w:lang w:val="en-IN"/>
              </w:rPr>
              <w:noBreakHyphen/>
              <w:t>term</w:t>
            </w:r>
          </w:p>
        </w:tc>
        <w:tc>
          <w:tcPr>
            <w:tcW w:w="0" w:type="auto"/>
            <w:vAlign w:val="center"/>
            <w:hideMark/>
          </w:tcPr>
          <w:p w14:paraId="05DF54F7"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6.5–7.5%</w:t>
            </w:r>
          </w:p>
        </w:tc>
        <w:tc>
          <w:tcPr>
            <w:tcW w:w="0" w:type="auto"/>
            <w:vAlign w:val="center"/>
            <w:hideMark/>
          </w:tcPr>
          <w:p w14:paraId="63CB428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Used for agriculture, rural infrastructure, and social sector projects</w:t>
            </w:r>
          </w:p>
        </w:tc>
      </w:tr>
      <w:tr w:rsidR="001D28E7" w:rsidRPr="009E6C6A" w14:paraId="14619638" w14:textId="77777777" w:rsidTr="009C1F69">
        <w:trPr>
          <w:tblCellSpacing w:w="15" w:type="dxa"/>
        </w:trPr>
        <w:tc>
          <w:tcPr>
            <w:tcW w:w="0" w:type="auto"/>
            <w:vAlign w:val="center"/>
            <w:hideMark/>
          </w:tcPr>
          <w:p w14:paraId="279BB3C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Central Loans</w:t>
            </w:r>
          </w:p>
        </w:tc>
        <w:tc>
          <w:tcPr>
            <w:tcW w:w="0" w:type="auto"/>
            <w:vAlign w:val="center"/>
            <w:hideMark/>
          </w:tcPr>
          <w:p w14:paraId="1B4C7F8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~5–7%</w:t>
            </w:r>
          </w:p>
        </w:tc>
        <w:tc>
          <w:tcPr>
            <w:tcW w:w="0" w:type="auto"/>
            <w:vAlign w:val="center"/>
            <w:hideMark/>
          </w:tcPr>
          <w:p w14:paraId="60C46A21"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w:t>
            </w:r>
          </w:p>
        </w:tc>
        <w:tc>
          <w:tcPr>
            <w:tcW w:w="0" w:type="auto"/>
            <w:vAlign w:val="center"/>
            <w:hideMark/>
          </w:tcPr>
          <w:p w14:paraId="6A284DE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6.0–7.0%</w:t>
            </w:r>
          </w:p>
        </w:tc>
        <w:tc>
          <w:tcPr>
            <w:tcW w:w="0" w:type="auto"/>
            <w:vAlign w:val="center"/>
            <w:hideMark/>
          </w:tcPr>
          <w:p w14:paraId="27416F8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Declining share post</w:t>
            </w:r>
            <w:r w:rsidRPr="00596125">
              <w:rPr>
                <w:rFonts w:ascii="Arial" w:hAnsi="Arial" w:cs="Arial"/>
                <w:lang w:val="en-IN"/>
              </w:rPr>
              <w:noBreakHyphen/>
              <w:t>FRBM reforms; concessional rates earlier</w:t>
            </w:r>
          </w:p>
        </w:tc>
      </w:tr>
      <w:tr w:rsidR="001D28E7" w:rsidRPr="009E6C6A" w14:paraId="061F7C8E" w14:textId="77777777" w:rsidTr="009C1F69">
        <w:trPr>
          <w:tblCellSpacing w:w="15" w:type="dxa"/>
        </w:trPr>
        <w:tc>
          <w:tcPr>
            <w:tcW w:w="0" w:type="auto"/>
            <w:vAlign w:val="center"/>
            <w:hideMark/>
          </w:tcPr>
          <w:p w14:paraId="7ECCB0F1"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Externally Aided Projects (World Bank, ADB, JICA)</w:t>
            </w:r>
          </w:p>
        </w:tc>
        <w:tc>
          <w:tcPr>
            <w:tcW w:w="0" w:type="auto"/>
            <w:vAlign w:val="center"/>
            <w:hideMark/>
          </w:tcPr>
          <w:p w14:paraId="0DACFC26"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~3–5%</w:t>
            </w:r>
          </w:p>
        </w:tc>
        <w:tc>
          <w:tcPr>
            <w:tcW w:w="0" w:type="auto"/>
            <w:vAlign w:val="center"/>
            <w:hideMark/>
          </w:tcPr>
          <w:p w14:paraId="4051F52D"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 (15–25 years)</w:t>
            </w:r>
          </w:p>
        </w:tc>
        <w:tc>
          <w:tcPr>
            <w:tcW w:w="0" w:type="auto"/>
            <w:vAlign w:val="center"/>
            <w:hideMark/>
          </w:tcPr>
          <w:p w14:paraId="2337A21B"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1.5–3.0% (concessional)</w:t>
            </w:r>
          </w:p>
        </w:tc>
        <w:tc>
          <w:tcPr>
            <w:tcW w:w="0" w:type="auto"/>
            <w:vAlign w:val="center"/>
            <w:hideMark/>
          </w:tcPr>
          <w:p w14:paraId="2852A8B9"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For infrastructure, water supply, and urban development</w:t>
            </w:r>
          </w:p>
        </w:tc>
      </w:tr>
      <w:tr w:rsidR="001D28E7" w:rsidRPr="009E6C6A" w14:paraId="01587BD7" w14:textId="77777777" w:rsidTr="009C1F69">
        <w:trPr>
          <w:tblCellSpacing w:w="15" w:type="dxa"/>
        </w:trPr>
        <w:tc>
          <w:tcPr>
            <w:tcW w:w="0" w:type="auto"/>
            <w:vAlign w:val="center"/>
            <w:hideMark/>
          </w:tcPr>
          <w:p w14:paraId="00FA01A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Small Savings, Provident Fund, etc.</w:t>
            </w:r>
          </w:p>
        </w:tc>
        <w:tc>
          <w:tcPr>
            <w:tcW w:w="0" w:type="auto"/>
            <w:vAlign w:val="center"/>
            <w:hideMark/>
          </w:tcPr>
          <w:p w14:paraId="121ECBCD"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~5–6%</w:t>
            </w:r>
          </w:p>
        </w:tc>
        <w:tc>
          <w:tcPr>
            <w:tcW w:w="0" w:type="auto"/>
            <w:vAlign w:val="center"/>
            <w:hideMark/>
          </w:tcPr>
          <w:p w14:paraId="427D204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Short to medium</w:t>
            </w:r>
            <w:r w:rsidRPr="00596125">
              <w:rPr>
                <w:rFonts w:ascii="Arial" w:hAnsi="Arial" w:cs="Arial"/>
                <w:lang w:val="en-IN"/>
              </w:rPr>
              <w:noBreakHyphen/>
              <w:t>term</w:t>
            </w:r>
          </w:p>
        </w:tc>
        <w:tc>
          <w:tcPr>
            <w:tcW w:w="0" w:type="auto"/>
            <w:vAlign w:val="center"/>
            <w:hideMark/>
          </w:tcPr>
          <w:p w14:paraId="554D5BD0"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7.1–7.6%</w:t>
            </w:r>
          </w:p>
        </w:tc>
        <w:tc>
          <w:tcPr>
            <w:tcW w:w="0" w:type="auto"/>
            <w:vAlign w:val="center"/>
            <w:hideMark/>
          </w:tcPr>
          <w:p w14:paraId="13C82C4F"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High interest burden; mobilized domestically</w:t>
            </w:r>
          </w:p>
        </w:tc>
      </w:tr>
      <w:tr w:rsidR="001D28E7" w:rsidRPr="009E6C6A" w14:paraId="6B4FCC16" w14:textId="77777777" w:rsidTr="009C1F69">
        <w:trPr>
          <w:tblCellSpacing w:w="15" w:type="dxa"/>
        </w:trPr>
        <w:tc>
          <w:tcPr>
            <w:tcW w:w="0" w:type="auto"/>
            <w:vAlign w:val="center"/>
            <w:hideMark/>
          </w:tcPr>
          <w:p w14:paraId="3A938FDE"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Off</w:t>
            </w:r>
            <w:r w:rsidRPr="00596125">
              <w:rPr>
                <w:rFonts w:ascii="Arial" w:hAnsi="Arial" w:cs="Arial"/>
                <w:lang w:val="en-IN"/>
              </w:rPr>
              <w:noBreakHyphen/>
              <w:t>Budget Borrowings (KIIFB, PSU</w:t>
            </w:r>
            <w:r w:rsidRPr="00596125">
              <w:rPr>
                <w:rFonts w:ascii="Arial" w:hAnsi="Arial" w:cs="Arial"/>
                <w:lang w:val="en-IN"/>
              </w:rPr>
              <w:noBreakHyphen/>
              <w:t>guaranteed loans)</w:t>
            </w:r>
          </w:p>
        </w:tc>
        <w:tc>
          <w:tcPr>
            <w:tcW w:w="0" w:type="auto"/>
            <w:vAlign w:val="center"/>
            <w:hideMark/>
          </w:tcPr>
          <w:p w14:paraId="4A030A4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Rising (not fully reflected in budget)</w:t>
            </w:r>
          </w:p>
        </w:tc>
        <w:tc>
          <w:tcPr>
            <w:tcW w:w="0" w:type="auto"/>
            <w:vAlign w:val="center"/>
            <w:hideMark/>
          </w:tcPr>
          <w:p w14:paraId="71AED1F5"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Long</w:t>
            </w:r>
            <w:r w:rsidRPr="00596125">
              <w:rPr>
                <w:rFonts w:ascii="Arial" w:hAnsi="Arial" w:cs="Arial"/>
                <w:lang w:val="en-IN"/>
              </w:rPr>
              <w:noBreakHyphen/>
              <w:t>term</w:t>
            </w:r>
          </w:p>
        </w:tc>
        <w:tc>
          <w:tcPr>
            <w:tcW w:w="0" w:type="auto"/>
            <w:vAlign w:val="center"/>
            <w:hideMark/>
          </w:tcPr>
          <w:p w14:paraId="5AB9A7B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7.5–8.5%</w:t>
            </w:r>
          </w:p>
        </w:tc>
        <w:tc>
          <w:tcPr>
            <w:tcW w:w="0" w:type="auto"/>
            <w:vAlign w:val="center"/>
            <w:hideMark/>
          </w:tcPr>
          <w:p w14:paraId="1F647100"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Infrastructure financing; contingent liabilities</w:t>
            </w:r>
          </w:p>
        </w:tc>
      </w:tr>
      <w:tr w:rsidR="001D28E7" w:rsidRPr="009E6C6A" w14:paraId="39DF73AD" w14:textId="77777777" w:rsidTr="009C1F69">
        <w:trPr>
          <w:tblCellSpacing w:w="15" w:type="dxa"/>
        </w:trPr>
        <w:tc>
          <w:tcPr>
            <w:tcW w:w="0" w:type="auto"/>
            <w:vAlign w:val="center"/>
            <w:hideMark/>
          </w:tcPr>
          <w:p w14:paraId="6F5565F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Treasury Bills / Ways &amp; Means Advances</w:t>
            </w:r>
          </w:p>
        </w:tc>
        <w:tc>
          <w:tcPr>
            <w:tcW w:w="0" w:type="auto"/>
            <w:vAlign w:val="center"/>
            <w:hideMark/>
          </w:tcPr>
          <w:p w14:paraId="3A34DBCB"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&lt;2%</w:t>
            </w:r>
          </w:p>
        </w:tc>
        <w:tc>
          <w:tcPr>
            <w:tcW w:w="0" w:type="auto"/>
            <w:vAlign w:val="center"/>
            <w:hideMark/>
          </w:tcPr>
          <w:p w14:paraId="18E0BD5C"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Short</w:t>
            </w:r>
            <w:r w:rsidRPr="00596125">
              <w:rPr>
                <w:rFonts w:ascii="Arial" w:hAnsi="Arial" w:cs="Arial"/>
                <w:lang w:val="en-IN"/>
              </w:rPr>
              <w:noBreakHyphen/>
              <w:t>term (up to 1 year)</w:t>
            </w:r>
          </w:p>
        </w:tc>
        <w:tc>
          <w:tcPr>
            <w:tcW w:w="0" w:type="auto"/>
            <w:vAlign w:val="center"/>
            <w:hideMark/>
          </w:tcPr>
          <w:p w14:paraId="00CD3842"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Market</w:t>
            </w:r>
            <w:r w:rsidRPr="00596125">
              <w:rPr>
                <w:rFonts w:ascii="Arial" w:hAnsi="Arial" w:cs="Arial"/>
                <w:lang w:val="en-IN"/>
              </w:rPr>
              <w:noBreakHyphen/>
              <w:t>linked</w:t>
            </w:r>
          </w:p>
        </w:tc>
        <w:tc>
          <w:tcPr>
            <w:tcW w:w="0" w:type="auto"/>
            <w:vAlign w:val="center"/>
            <w:hideMark/>
          </w:tcPr>
          <w:p w14:paraId="5BF3FA8A" w14:textId="77777777" w:rsidR="001D28E7" w:rsidRPr="00596125" w:rsidRDefault="001D28E7" w:rsidP="009C1F69">
            <w:pPr>
              <w:pStyle w:val="Body"/>
              <w:spacing w:after="0"/>
              <w:rPr>
                <w:rFonts w:ascii="Arial" w:hAnsi="Arial" w:cs="Arial"/>
                <w:lang w:val="en-IN"/>
              </w:rPr>
            </w:pPr>
            <w:r w:rsidRPr="00596125">
              <w:rPr>
                <w:rFonts w:ascii="Arial" w:hAnsi="Arial" w:cs="Arial"/>
                <w:lang w:val="en-IN"/>
              </w:rPr>
              <w:t>Used for cash management; rollover risks present</w:t>
            </w:r>
          </w:p>
        </w:tc>
      </w:tr>
      <w:tr w:rsidR="001D28E7" w:rsidRPr="009E6C6A" w14:paraId="6B75B316" w14:textId="77777777" w:rsidTr="009C1F69">
        <w:trPr>
          <w:tblCellSpacing w:w="15" w:type="dxa"/>
        </w:trPr>
        <w:tc>
          <w:tcPr>
            <w:tcW w:w="0" w:type="auto"/>
            <w:gridSpan w:val="5"/>
            <w:vAlign w:val="center"/>
          </w:tcPr>
          <w:p w14:paraId="4C65763C" w14:textId="77777777" w:rsidR="001D28E7" w:rsidRPr="009E6C6A" w:rsidRDefault="001D28E7" w:rsidP="009C1F69">
            <w:pPr>
              <w:pStyle w:val="Body"/>
              <w:spacing w:after="0"/>
              <w:rPr>
                <w:rFonts w:ascii="Arial" w:hAnsi="Arial" w:cs="Arial"/>
                <w:lang w:val="en-IN"/>
              </w:rPr>
            </w:pPr>
            <w:r w:rsidRPr="009E6C6A">
              <w:rPr>
                <w:rFonts w:ascii="Arial" w:hAnsi="Arial" w:cs="Arial"/>
                <w:lang w:val="en-IN"/>
              </w:rPr>
              <w:t>Source: RBI’s State Finances: A Study of Budgets.</w:t>
            </w:r>
          </w:p>
        </w:tc>
      </w:tr>
    </w:tbl>
    <w:p w14:paraId="7DEA0EA5" w14:textId="7D36EFA1" w:rsidR="005F4485" w:rsidRDefault="002A007B" w:rsidP="006D26EC">
      <w:pPr>
        <w:pStyle w:val="Body"/>
        <w:spacing w:after="0"/>
        <w:rPr>
          <w:rFonts w:ascii="Arial" w:hAnsi="Arial" w:cs="Arial"/>
        </w:rPr>
      </w:pPr>
      <w:r w:rsidRPr="002A007B">
        <w:rPr>
          <w:rFonts w:ascii="Arial" w:hAnsi="Arial" w:cs="Arial"/>
        </w:rPr>
        <w:t xml:space="preserve">The persistence of revenue deficits further complicates Kerala’s fiscal position. A substantial portion of borrowing continues to finance salaries, pensions, subsidies, and welfare </w:t>
      </w:r>
      <w:r w:rsidRPr="002A007B">
        <w:rPr>
          <w:rFonts w:ascii="Arial" w:hAnsi="Arial" w:cs="Arial"/>
        </w:rPr>
        <w:lastRenderedPageBreak/>
        <w:t>expenditure rather than productive capital formation. Interest payments consistently absorb nearly one-fifth of revenue receipts, thereby reducing the fiscal space available for development expenditure.</w:t>
      </w:r>
      <w:r w:rsidR="005F4485">
        <w:rPr>
          <w:rFonts w:ascii="Arial" w:hAnsi="Arial" w:cs="Arial"/>
        </w:rPr>
        <w:t xml:space="preserve"> The following table shows the</w:t>
      </w:r>
      <w:r w:rsidR="005F4485" w:rsidRPr="005F4485">
        <w:rPr>
          <w:rFonts w:ascii="Arial" w:hAnsi="Arial" w:cs="Arial"/>
        </w:rPr>
        <w:t xml:space="preserve"> major debt indicators of Kerala on the basis of outstanding debt.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6"/>
        <w:gridCol w:w="1456"/>
        <w:gridCol w:w="1293"/>
        <w:gridCol w:w="1192"/>
        <w:gridCol w:w="1488"/>
        <w:gridCol w:w="1723"/>
      </w:tblGrid>
      <w:tr w:rsidR="005F4485" w:rsidRPr="005F4485" w14:paraId="341C9805" w14:textId="77777777" w:rsidTr="009C1F69">
        <w:trPr>
          <w:tblHeader/>
          <w:tblCellSpacing w:w="15" w:type="dxa"/>
        </w:trPr>
        <w:tc>
          <w:tcPr>
            <w:tcW w:w="0" w:type="auto"/>
            <w:gridSpan w:val="6"/>
            <w:vAlign w:val="center"/>
          </w:tcPr>
          <w:p w14:paraId="443804CA" w14:textId="77777777" w:rsidR="005F4485" w:rsidRPr="005F4485" w:rsidRDefault="005F4485" w:rsidP="005F4485">
            <w:pPr>
              <w:pStyle w:val="Body"/>
              <w:spacing w:after="0"/>
              <w:jc w:val="center"/>
              <w:rPr>
                <w:rFonts w:ascii="Arial" w:hAnsi="Arial" w:cs="Arial"/>
                <w:b/>
                <w:bCs/>
                <w:lang w:val="en-IN"/>
              </w:rPr>
            </w:pPr>
            <w:r w:rsidRPr="005F4485">
              <w:rPr>
                <w:rFonts w:ascii="Arial" w:hAnsi="Arial" w:cs="Arial"/>
                <w:b/>
                <w:bCs/>
                <w:lang w:val="en-IN"/>
              </w:rPr>
              <w:t>Table 3: Major Debt Indicators of Kerala</w:t>
            </w:r>
          </w:p>
        </w:tc>
      </w:tr>
      <w:tr w:rsidR="005F4485" w:rsidRPr="005F4485" w14:paraId="73221328" w14:textId="77777777" w:rsidTr="009C1F69">
        <w:trPr>
          <w:tblHeader/>
          <w:tblCellSpacing w:w="15" w:type="dxa"/>
        </w:trPr>
        <w:tc>
          <w:tcPr>
            <w:tcW w:w="0" w:type="auto"/>
            <w:vAlign w:val="center"/>
            <w:hideMark/>
          </w:tcPr>
          <w:p w14:paraId="4800BB1A"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Year / Period</w:t>
            </w:r>
          </w:p>
        </w:tc>
        <w:tc>
          <w:tcPr>
            <w:tcW w:w="0" w:type="auto"/>
            <w:vAlign w:val="center"/>
            <w:hideMark/>
          </w:tcPr>
          <w:p w14:paraId="5F16B2A1"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Debt Outstanding (₹ crore)</w:t>
            </w:r>
          </w:p>
        </w:tc>
        <w:tc>
          <w:tcPr>
            <w:tcW w:w="0" w:type="auto"/>
            <w:vAlign w:val="center"/>
            <w:hideMark/>
          </w:tcPr>
          <w:p w14:paraId="04CFB0B2"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Debt</w:t>
            </w:r>
            <w:r w:rsidRPr="005F4485">
              <w:rPr>
                <w:rFonts w:ascii="Arial" w:hAnsi="Arial" w:cs="Arial"/>
                <w:b/>
                <w:bCs/>
                <w:lang w:val="en-IN"/>
              </w:rPr>
              <w:noBreakHyphen/>
              <w:t>GSDP Ratio (%)</w:t>
            </w:r>
          </w:p>
        </w:tc>
        <w:tc>
          <w:tcPr>
            <w:tcW w:w="0" w:type="auto"/>
            <w:vAlign w:val="center"/>
            <w:hideMark/>
          </w:tcPr>
          <w:p w14:paraId="2EBA46DA"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Revenue Deficit (% of GSDP)</w:t>
            </w:r>
          </w:p>
        </w:tc>
        <w:tc>
          <w:tcPr>
            <w:tcW w:w="0" w:type="auto"/>
            <w:vAlign w:val="center"/>
            <w:hideMark/>
          </w:tcPr>
          <w:p w14:paraId="3B3CD6C9"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Interest Payments (% of Revenue Receipts)</w:t>
            </w:r>
          </w:p>
        </w:tc>
        <w:tc>
          <w:tcPr>
            <w:tcW w:w="0" w:type="auto"/>
            <w:vAlign w:val="center"/>
            <w:hideMark/>
          </w:tcPr>
          <w:p w14:paraId="2808C2B3" w14:textId="77777777" w:rsidR="005F4485" w:rsidRPr="005F4485" w:rsidRDefault="005F4485" w:rsidP="005F4485">
            <w:pPr>
              <w:pStyle w:val="Body"/>
              <w:spacing w:after="0"/>
              <w:rPr>
                <w:rFonts w:ascii="Arial" w:hAnsi="Arial" w:cs="Arial"/>
                <w:b/>
                <w:bCs/>
                <w:lang w:val="en-IN"/>
              </w:rPr>
            </w:pPr>
            <w:r w:rsidRPr="005F4485">
              <w:rPr>
                <w:rFonts w:ascii="Arial" w:hAnsi="Arial" w:cs="Arial"/>
                <w:b/>
                <w:bCs/>
                <w:lang w:val="en-IN"/>
              </w:rPr>
              <w:t>Notes</w:t>
            </w:r>
          </w:p>
        </w:tc>
      </w:tr>
      <w:tr w:rsidR="005F4485" w:rsidRPr="005F4485" w14:paraId="07F4A353" w14:textId="77777777" w:rsidTr="009C1F69">
        <w:trPr>
          <w:tblCellSpacing w:w="15" w:type="dxa"/>
        </w:trPr>
        <w:tc>
          <w:tcPr>
            <w:tcW w:w="0" w:type="auto"/>
            <w:vAlign w:val="center"/>
            <w:hideMark/>
          </w:tcPr>
          <w:p w14:paraId="7D45E65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2001</w:t>
            </w:r>
            <w:r w:rsidRPr="005F4485">
              <w:rPr>
                <w:rFonts w:ascii="Arial" w:hAnsi="Arial" w:cs="Arial"/>
                <w:lang w:val="en-IN"/>
              </w:rPr>
              <w:noBreakHyphen/>
              <w:t>02</w:t>
            </w:r>
          </w:p>
        </w:tc>
        <w:tc>
          <w:tcPr>
            <w:tcW w:w="0" w:type="auto"/>
            <w:vAlign w:val="center"/>
            <w:hideMark/>
          </w:tcPr>
          <w:p w14:paraId="7DA22E0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~₹34,000</w:t>
            </w:r>
          </w:p>
        </w:tc>
        <w:tc>
          <w:tcPr>
            <w:tcW w:w="0" w:type="auto"/>
            <w:vAlign w:val="center"/>
            <w:hideMark/>
          </w:tcPr>
          <w:p w14:paraId="51CBE88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31.5</w:t>
            </w:r>
          </w:p>
        </w:tc>
        <w:tc>
          <w:tcPr>
            <w:tcW w:w="0" w:type="auto"/>
            <w:vAlign w:val="center"/>
            <w:hideMark/>
          </w:tcPr>
          <w:p w14:paraId="16A563BC"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3.2</w:t>
            </w:r>
          </w:p>
        </w:tc>
        <w:tc>
          <w:tcPr>
            <w:tcW w:w="0" w:type="auto"/>
            <w:vAlign w:val="center"/>
            <w:hideMark/>
          </w:tcPr>
          <w:p w14:paraId="61EFD61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24.0</w:t>
            </w:r>
          </w:p>
        </w:tc>
        <w:tc>
          <w:tcPr>
            <w:tcW w:w="0" w:type="auto"/>
            <w:vAlign w:val="center"/>
            <w:hideMark/>
          </w:tcPr>
          <w:p w14:paraId="48F55CC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High debt burden, structural revenue deficit</w:t>
            </w:r>
          </w:p>
        </w:tc>
      </w:tr>
      <w:tr w:rsidR="005F4485" w:rsidRPr="005F4485" w14:paraId="0A079315" w14:textId="77777777" w:rsidTr="009C1F69">
        <w:trPr>
          <w:tblCellSpacing w:w="15" w:type="dxa"/>
        </w:trPr>
        <w:tc>
          <w:tcPr>
            <w:tcW w:w="0" w:type="auto"/>
            <w:vAlign w:val="center"/>
            <w:hideMark/>
          </w:tcPr>
          <w:p w14:paraId="4F2A4BA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2005</w:t>
            </w:r>
            <w:r w:rsidRPr="005F4485">
              <w:rPr>
                <w:rFonts w:ascii="Arial" w:hAnsi="Arial" w:cs="Arial"/>
                <w:lang w:val="en-IN"/>
              </w:rPr>
              <w:noBreakHyphen/>
              <w:t>06</w:t>
            </w:r>
          </w:p>
        </w:tc>
        <w:tc>
          <w:tcPr>
            <w:tcW w:w="0" w:type="auto"/>
            <w:vAlign w:val="center"/>
            <w:hideMark/>
          </w:tcPr>
          <w:p w14:paraId="24A4BE0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~₹47,000</w:t>
            </w:r>
          </w:p>
        </w:tc>
        <w:tc>
          <w:tcPr>
            <w:tcW w:w="0" w:type="auto"/>
            <w:vAlign w:val="center"/>
            <w:hideMark/>
          </w:tcPr>
          <w:p w14:paraId="5F1AD82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29.8</w:t>
            </w:r>
          </w:p>
        </w:tc>
        <w:tc>
          <w:tcPr>
            <w:tcW w:w="0" w:type="auto"/>
            <w:vAlign w:val="center"/>
            <w:hideMark/>
          </w:tcPr>
          <w:p w14:paraId="23E32032"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w:t>
            </w:r>
          </w:p>
        </w:tc>
        <w:tc>
          <w:tcPr>
            <w:tcW w:w="0" w:type="auto"/>
            <w:vAlign w:val="center"/>
            <w:hideMark/>
          </w:tcPr>
          <w:p w14:paraId="5B56D15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22.5</w:t>
            </w:r>
          </w:p>
        </w:tc>
        <w:tc>
          <w:tcPr>
            <w:tcW w:w="0" w:type="auto"/>
            <w:vAlign w:val="center"/>
            <w:hideMark/>
          </w:tcPr>
          <w:p w14:paraId="2CA9D2C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FRBM Act adopted, gradual consolidation</w:t>
            </w:r>
          </w:p>
        </w:tc>
      </w:tr>
      <w:tr w:rsidR="005F4485" w:rsidRPr="005F4485" w14:paraId="0C318043" w14:textId="77777777" w:rsidTr="009C1F69">
        <w:trPr>
          <w:tblCellSpacing w:w="15" w:type="dxa"/>
        </w:trPr>
        <w:tc>
          <w:tcPr>
            <w:tcW w:w="0" w:type="auto"/>
            <w:vAlign w:val="center"/>
            <w:hideMark/>
          </w:tcPr>
          <w:p w14:paraId="5FA232F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2010</w:t>
            </w:r>
            <w:r w:rsidRPr="005F4485">
              <w:rPr>
                <w:rFonts w:ascii="Arial" w:hAnsi="Arial" w:cs="Arial"/>
                <w:lang w:val="en-IN"/>
              </w:rPr>
              <w:noBreakHyphen/>
              <w:t>11</w:t>
            </w:r>
          </w:p>
        </w:tc>
        <w:tc>
          <w:tcPr>
            <w:tcW w:w="0" w:type="auto"/>
            <w:vAlign w:val="center"/>
            <w:hideMark/>
          </w:tcPr>
          <w:p w14:paraId="6C8B141C"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~₹77,000</w:t>
            </w:r>
          </w:p>
        </w:tc>
        <w:tc>
          <w:tcPr>
            <w:tcW w:w="0" w:type="auto"/>
            <w:vAlign w:val="center"/>
            <w:hideMark/>
          </w:tcPr>
          <w:p w14:paraId="2E8F6E3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28.9</w:t>
            </w:r>
          </w:p>
        </w:tc>
        <w:tc>
          <w:tcPr>
            <w:tcW w:w="0" w:type="auto"/>
            <w:vAlign w:val="center"/>
            <w:hideMark/>
          </w:tcPr>
          <w:p w14:paraId="4F83C0C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w:t>
            </w:r>
          </w:p>
        </w:tc>
        <w:tc>
          <w:tcPr>
            <w:tcW w:w="0" w:type="auto"/>
            <w:vAlign w:val="center"/>
            <w:hideMark/>
          </w:tcPr>
          <w:p w14:paraId="0C8807E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20.3</w:t>
            </w:r>
          </w:p>
        </w:tc>
        <w:tc>
          <w:tcPr>
            <w:tcW w:w="0" w:type="auto"/>
            <w:vAlign w:val="center"/>
            <w:hideMark/>
          </w:tcPr>
          <w:p w14:paraId="59A4392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Stable debt ratio, rising social expenditure</w:t>
            </w:r>
          </w:p>
        </w:tc>
      </w:tr>
      <w:tr w:rsidR="005F4485" w:rsidRPr="005F4485" w14:paraId="4228AA28" w14:textId="77777777" w:rsidTr="009C1F69">
        <w:trPr>
          <w:tblCellSpacing w:w="15" w:type="dxa"/>
        </w:trPr>
        <w:tc>
          <w:tcPr>
            <w:tcW w:w="0" w:type="auto"/>
            <w:vAlign w:val="center"/>
            <w:hideMark/>
          </w:tcPr>
          <w:p w14:paraId="62123DD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2015</w:t>
            </w:r>
            <w:r w:rsidRPr="005F4485">
              <w:rPr>
                <w:rFonts w:ascii="Arial" w:hAnsi="Arial" w:cs="Arial"/>
                <w:lang w:val="en-IN"/>
              </w:rPr>
              <w:noBreakHyphen/>
              <w:t>16</w:t>
            </w:r>
          </w:p>
        </w:tc>
        <w:tc>
          <w:tcPr>
            <w:tcW w:w="0" w:type="auto"/>
            <w:vAlign w:val="center"/>
            <w:hideMark/>
          </w:tcPr>
          <w:p w14:paraId="70DA4C9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~₹1,30,000</w:t>
            </w:r>
          </w:p>
        </w:tc>
        <w:tc>
          <w:tcPr>
            <w:tcW w:w="0" w:type="auto"/>
            <w:vAlign w:val="center"/>
            <w:hideMark/>
          </w:tcPr>
          <w:p w14:paraId="01B962FA"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30.2</w:t>
            </w:r>
          </w:p>
        </w:tc>
        <w:tc>
          <w:tcPr>
            <w:tcW w:w="0" w:type="auto"/>
            <w:vAlign w:val="center"/>
            <w:hideMark/>
          </w:tcPr>
          <w:p w14:paraId="4016B8C2"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2.5</w:t>
            </w:r>
          </w:p>
        </w:tc>
        <w:tc>
          <w:tcPr>
            <w:tcW w:w="0" w:type="auto"/>
            <w:vAlign w:val="center"/>
            <w:hideMark/>
          </w:tcPr>
          <w:p w14:paraId="42BABD3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19.8</w:t>
            </w:r>
          </w:p>
        </w:tc>
        <w:tc>
          <w:tcPr>
            <w:tcW w:w="0" w:type="auto"/>
            <w:vAlign w:val="center"/>
            <w:hideMark/>
          </w:tcPr>
          <w:p w14:paraId="10F92C6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Welfare commitments sustained debt levels</w:t>
            </w:r>
          </w:p>
        </w:tc>
      </w:tr>
      <w:tr w:rsidR="005F4485" w:rsidRPr="005F4485" w14:paraId="45F1FAFF" w14:textId="77777777" w:rsidTr="009C1F69">
        <w:trPr>
          <w:tblCellSpacing w:w="15" w:type="dxa"/>
        </w:trPr>
        <w:tc>
          <w:tcPr>
            <w:tcW w:w="0" w:type="auto"/>
            <w:vAlign w:val="center"/>
            <w:hideMark/>
          </w:tcPr>
          <w:p w14:paraId="2D14925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2018</w:t>
            </w:r>
            <w:r w:rsidRPr="005F4485">
              <w:rPr>
                <w:rFonts w:ascii="Arial" w:hAnsi="Arial" w:cs="Arial"/>
                <w:lang w:val="en-IN"/>
              </w:rPr>
              <w:noBreakHyphen/>
              <w:t>19</w:t>
            </w:r>
          </w:p>
        </w:tc>
        <w:tc>
          <w:tcPr>
            <w:tcW w:w="0" w:type="auto"/>
            <w:vAlign w:val="center"/>
            <w:hideMark/>
          </w:tcPr>
          <w:p w14:paraId="093F6E0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~₹1,85,000</w:t>
            </w:r>
          </w:p>
        </w:tc>
        <w:tc>
          <w:tcPr>
            <w:tcW w:w="0" w:type="auto"/>
            <w:vAlign w:val="center"/>
            <w:hideMark/>
          </w:tcPr>
          <w:p w14:paraId="616CA22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30.65</w:t>
            </w:r>
          </w:p>
        </w:tc>
        <w:tc>
          <w:tcPr>
            <w:tcW w:w="0" w:type="auto"/>
            <w:vAlign w:val="center"/>
            <w:hideMark/>
          </w:tcPr>
          <w:p w14:paraId="1F95F1C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2.7</w:t>
            </w:r>
          </w:p>
        </w:tc>
        <w:tc>
          <w:tcPr>
            <w:tcW w:w="0" w:type="auto"/>
            <w:vAlign w:val="center"/>
            <w:hideMark/>
          </w:tcPr>
          <w:p w14:paraId="56688AC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20.1</w:t>
            </w:r>
          </w:p>
        </w:tc>
        <w:tc>
          <w:tcPr>
            <w:tcW w:w="0" w:type="auto"/>
            <w:vAlign w:val="center"/>
            <w:hideMark/>
          </w:tcPr>
          <w:p w14:paraId="03A0ABF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Pre</w:t>
            </w:r>
            <w:r w:rsidRPr="005F4485">
              <w:rPr>
                <w:rFonts w:ascii="Arial" w:hAnsi="Arial" w:cs="Arial"/>
                <w:lang w:val="en-IN"/>
              </w:rPr>
              <w:noBreakHyphen/>
              <w:t>pandemic stability</w:t>
            </w:r>
          </w:p>
        </w:tc>
      </w:tr>
      <w:tr w:rsidR="005F4485" w:rsidRPr="005F4485" w14:paraId="4898F338" w14:textId="77777777" w:rsidTr="009C1F69">
        <w:trPr>
          <w:tblCellSpacing w:w="15" w:type="dxa"/>
        </w:trPr>
        <w:tc>
          <w:tcPr>
            <w:tcW w:w="0" w:type="auto"/>
            <w:vAlign w:val="center"/>
            <w:hideMark/>
          </w:tcPr>
          <w:p w14:paraId="6F36E16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2020</w:t>
            </w:r>
            <w:r w:rsidRPr="005F4485">
              <w:rPr>
                <w:rFonts w:ascii="Arial" w:hAnsi="Arial" w:cs="Arial"/>
                <w:lang w:val="en-IN"/>
              </w:rPr>
              <w:noBreakHyphen/>
              <w:t>21</w:t>
            </w:r>
          </w:p>
        </w:tc>
        <w:tc>
          <w:tcPr>
            <w:tcW w:w="0" w:type="auto"/>
            <w:vAlign w:val="center"/>
            <w:hideMark/>
          </w:tcPr>
          <w:p w14:paraId="2772F5C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~₹2,65,000</w:t>
            </w:r>
          </w:p>
        </w:tc>
        <w:tc>
          <w:tcPr>
            <w:tcW w:w="0" w:type="auto"/>
            <w:vAlign w:val="center"/>
            <w:hideMark/>
          </w:tcPr>
          <w:p w14:paraId="004CA63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39.96</w:t>
            </w:r>
          </w:p>
        </w:tc>
        <w:tc>
          <w:tcPr>
            <w:tcW w:w="0" w:type="auto"/>
            <w:vAlign w:val="center"/>
            <w:hideMark/>
          </w:tcPr>
          <w:p w14:paraId="1790952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3.8</w:t>
            </w:r>
          </w:p>
        </w:tc>
        <w:tc>
          <w:tcPr>
            <w:tcW w:w="0" w:type="auto"/>
            <w:vAlign w:val="center"/>
            <w:hideMark/>
          </w:tcPr>
          <w:p w14:paraId="20B6832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22.7</w:t>
            </w:r>
          </w:p>
        </w:tc>
        <w:tc>
          <w:tcPr>
            <w:tcW w:w="0" w:type="auto"/>
            <w:vAlign w:val="center"/>
            <w:hideMark/>
          </w:tcPr>
          <w:p w14:paraId="14D19DA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Pandemic shock, GSDP contraction</w:t>
            </w:r>
          </w:p>
        </w:tc>
      </w:tr>
      <w:tr w:rsidR="005F4485" w:rsidRPr="005F4485" w14:paraId="1A5A24D5" w14:textId="77777777" w:rsidTr="009C1F69">
        <w:trPr>
          <w:tblCellSpacing w:w="15" w:type="dxa"/>
        </w:trPr>
        <w:tc>
          <w:tcPr>
            <w:tcW w:w="0" w:type="auto"/>
            <w:vAlign w:val="center"/>
            <w:hideMark/>
          </w:tcPr>
          <w:p w14:paraId="2EB77AF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2022</w:t>
            </w:r>
            <w:r w:rsidRPr="005F4485">
              <w:rPr>
                <w:rFonts w:ascii="Arial" w:hAnsi="Arial" w:cs="Arial"/>
                <w:lang w:val="en-IN"/>
              </w:rPr>
              <w:noBreakHyphen/>
              <w:t>23 (RE)</w:t>
            </w:r>
          </w:p>
        </w:tc>
        <w:tc>
          <w:tcPr>
            <w:tcW w:w="0" w:type="auto"/>
            <w:vAlign w:val="center"/>
            <w:hideMark/>
          </w:tcPr>
          <w:p w14:paraId="4FF63F5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~₹3,05,000</w:t>
            </w:r>
          </w:p>
        </w:tc>
        <w:tc>
          <w:tcPr>
            <w:tcW w:w="0" w:type="auto"/>
            <w:vAlign w:val="center"/>
            <w:hideMark/>
          </w:tcPr>
          <w:p w14:paraId="34E890A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35.0</w:t>
            </w:r>
          </w:p>
        </w:tc>
        <w:tc>
          <w:tcPr>
            <w:tcW w:w="0" w:type="auto"/>
            <w:vAlign w:val="center"/>
            <w:hideMark/>
          </w:tcPr>
          <w:p w14:paraId="5901F1F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2.9</w:t>
            </w:r>
          </w:p>
        </w:tc>
        <w:tc>
          <w:tcPr>
            <w:tcW w:w="0" w:type="auto"/>
            <w:vAlign w:val="center"/>
            <w:hideMark/>
          </w:tcPr>
          <w:p w14:paraId="3AAB88E3"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21.5</w:t>
            </w:r>
          </w:p>
        </w:tc>
        <w:tc>
          <w:tcPr>
            <w:tcW w:w="0" w:type="auto"/>
            <w:vAlign w:val="center"/>
            <w:hideMark/>
          </w:tcPr>
          <w:p w14:paraId="61AF3A3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Recovery phase, borrowing moderated</w:t>
            </w:r>
          </w:p>
        </w:tc>
      </w:tr>
      <w:tr w:rsidR="005F4485" w:rsidRPr="005F4485" w14:paraId="3F8FAFEB" w14:textId="77777777" w:rsidTr="009C1F69">
        <w:trPr>
          <w:tblCellSpacing w:w="15" w:type="dxa"/>
        </w:trPr>
        <w:tc>
          <w:tcPr>
            <w:tcW w:w="0" w:type="auto"/>
            <w:vAlign w:val="center"/>
            <w:hideMark/>
          </w:tcPr>
          <w:p w14:paraId="0F43BDB9"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2023</w:t>
            </w:r>
            <w:r w:rsidRPr="005F4485">
              <w:rPr>
                <w:rFonts w:ascii="Arial" w:hAnsi="Arial" w:cs="Arial"/>
                <w:lang w:val="en-IN"/>
              </w:rPr>
              <w:noBreakHyphen/>
              <w:t>24 (Accounts)</w:t>
            </w:r>
          </w:p>
        </w:tc>
        <w:tc>
          <w:tcPr>
            <w:tcW w:w="0" w:type="auto"/>
            <w:vAlign w:val="center"/>
            <w:hideMark/>
          </w:tcPr>
          <w:p w14:paraId="34D21A7B"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~₹3,25,000</w:t>
            </w:r>
          </w:p>
        </w:tc>
        <w:tc>
          <w:tcPr>
            <w:tcW w:w="0" w:type="auto"/>
            <w:vAlign w:val="center"/>
            <w:hideMark/>
          </w:tcPr>
          <w:p w14:paraId="7B4EA3F7"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34.2</w:t>
            </w:r>
          </w:p>
        </w:tc>
        <w:tc>
          <w:tcPr>
            <w:tcW w:w="0" w:type="auto"/>
            <w:vAlign w:val="center"/>
            <w:hideMark/>
          </w:tcPr>
          <w:p w14:paraId="12F53F48"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2.6</w:t>
            </w:r>
          </w:p>
        </w:tc>
        <w:tc>
          <w:tcPr>
            <w:tcW w:w="0" w:type="auto"/>
            <w:vAlign w:val="center"/>
            <w:hideMark/>
          </w:tcPr>
          <w:p w14:paraId="65896D11"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21.0</w:t>
            </w:r>
          </w:p>
        </w:tc>
        <w:tc>
          <w:tcPr>
            <w:tcW w:w="0" w:type="auto"/>
            <w:vAlign w:val="center"/>
            <w:hideMark/>
          </w:tcPr>
          <w:p w14:paraId="642A230E"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RBI &amp; CAG note stabilisation</w:t>
            </w:r>
          </w:p>
        </w:tc>
      </w:tr>
      <w:tr w:rsidR="005F4485" w:rsidRPr="005F4485" w14:paraId="4A01C2FF" w14:textId="77777777" w:rsidTr="009C1F69">
        <w:trPr>
          <w:tblCellSpacing w:w="15" w:type="dxa"/>
        </w:trPr>
        <w:tc>
          <w:tcPr>
            <w:tcW w:w="0" w:type="auto"/>
            <w:vAlign w:val="center"/>
            <w:hideMark/>
          </w:tcPr>
          <w:p w14:paraId="065CB06D"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2025</w:t>
            </w:r>
            <w:r w:rsidRPr="005F4485">
              <w:rPr>
                <w:rFonts w:ascii="Arial" w:hAnsi="Arial" w:cs="Arial"/>
                <w:lang w:val="en-IN"/>
              </w:rPr>
              <w:noBreakHyphen/>
              <w:t>26 (BE)</w:t>
            </w:r>
          </w:p>
        </w:tc>
        <w:tc>
          <w:tcPr>
            <w:tcW w:w="0" w:type="auto"/>
            <w:vAlign w:val="center"/>
            <w:hideMark/>
          </w:tcPr>
          <w:p w14:paraId="2CE90836"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~₹3,65,000</w:t>
            </w:r>
          </w:p>
        </w:tc>
        <w:tc>
          <w:tcPr>
            <w:tcW w:w="0" w:type="auto"/>
            <w:vAlign w:val="center"/>
            <w:hideMark/>
          </w:tcPr>
          <w:p w14:paraId="02ECC574"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33.8</w:t>
            </w:r>
          </w:p>
        </w:tc>
        <w:tc>
          <w:tcPr>
            <w:tcW w:w="0" w:type="auto"/>
            <w:vAlign w:val="center"/>
            <w:hideMark/>
          </w:tcPr>
          <w:p w14:paraId="505FB1B5"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2.5</w:t>
            </w:r>
          </w:p>
        </w:tc>
        <w:tc>
          <w:tcPr>
            <w:tcW w:w="0" w:type="auto"/>
            <w:vAlign w:val="center"/>
            <w:hideMark/>
          </w:tcPr>
          <w:p w14:paraId="023139F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20.8</w:t>
            </w:r>
          </w:p>
        </w:tc>
        <w:tc>
          <w:tcPr>
            <w:tcW w:w="0" w:type="auto"/>
            <w:vAlign w:val="center"/>
            <w:hideMark/>
          </w:tcPr>
          <w:p w14:paraId="358853C0" w14:textId="77777777" w:rsidR="005F4485" w:rsidRPr="005F4485" w:rsidRDefault="005F4485" w:rsidP="005F4485">
            <w:pPr>
              <w:pStyle w:val="Body"/>
              <w:spacing w:after="0"/>
              <w:rPr>
                <w:rFonts w:ascii="Arial" w:hAnsi="Arial" w:cs="Arial"/>
                <w:lang w:val="en-IN"/>
              </w:rPr>
            </w:pPr>
            <w:r w:rsidRPr="005F4485">
              <w:rPr>
                <w:rFonts w:ascii="Arial" w:hAnsi="Arial" w:cs="Arial"/>
                <w:lang w:val="en-IN"/>
              </w:rPr>
              <w:t>Budget estimates project cautious recovery</w:t>
            </w:r>
          </w:p>
        </w:tc>
      </w:tr>
      <w:tr w:rsidR="005F4485" w:rsidRPr="005F4485" w14:paraId="34BE91FB" w14:textId="77777777" w:rsidTr="009C1F69">
        <w:trPr>
          <w:tblCellSpacing w:w="15" w:type="dxa"/>
        </w:trPr>
        <w:tc>
          <w:tcPr>
            <w:tcW w:w="0" w:type="auto"/>
            <w:gridSpan w:val="6"/>
            <w:vAlign w:val="center"/>
          </w:tcPr>
          <w:p w14:paraId="40A27DBD" w14:textId="1D8F8DBB" w:rsidR="005F4485" w:rsidRPr="005F4485" w:rsidRDefault="00924B90" w:rsidP="005F4485">
            <w:pPr>
              <w:pStyle w:val="Body"/>
              <w:spacing w:after="0"/>
              <w:rPr>
                <w:rFonts w:ascii="Arial" w:hAnsi="Arial" w:cs="Arial"/>
                <w:lang w:val="en-IN"/>
              </w:rPr>
            </w:pPr>
            <w:r>
              <w:rPr>
                <w:rFonts w:ascii="Arial" w:hAnsi="Arial" w:cs="Arial"/>
                <w:lang w:val="en-IN"/>
              </w:rPr>
              <w:t xml:space="preserve">Source: </w:t>
            </w:r>
            <w:r w:rsidR="005F4485" w:rsidRPr="005F4485">
              <w:rPr>
                <w:rFonts w:ascii="Arial" w:hAnsi="Arial" w:cs="Arial"/>
                <w:lang w:val="en-IN"/>
              </w:rPr>
              <w:t xml:space="preserve">RBI’s </w:t>
            </w:r>
            <w:r w:rsidR="005F4485" w:rsidRPr="005F4485">
              <w:rPr>
                <w:rFonts w:ascii="Arial" w:hAnsi="Arial" w:cs="Arial"/>
                <w:i/>
                <w:iCs/>
                <w:lang w:val="en-IN"/>
              </w:rPr>
              <w:t>State Finances: A Study of Budgets</w:t>
            </w:r>
            <w:r w:rsidR="005F4485" w:rsidRPr="005F4485">
              <w:rPr>
                <w:rFonts w:ascii="Arial" w:hAnsi="Arial" w:cs="Arial"/>
                <w:lang w:val="en-IN"/>
              </w:rPr>
              <w:t>, Kerala Budget documents, and the Economic Review of the State Planning Board</w:t>
            </w:r>
          </w:p>
        </w:tc>
      </w:tr>
    </w:tbl>
    <w:p w14:paraId="46B6B267" w14:textId="7231E4CB" w:rsidR="00AD041E" w:rsidRDefault="00AD041E" w:rsidP="00AD041E">
      <w:pPr>
        <w:pStyle w:val="Body"/>
        <w:rPr>
          <w:rFonts w:ascii="Arial" w:hAnsi="Arial" w:cs="Arial"/>
        </w:rPr>
      </w:pPr>
      <w:r w:rsidRPr="00AD041E">
        <w:rPr>
          <w:rFonts w:ascii="Arial" w:hAnsi="Arial" w:cs="Arial"/>
        </w:rPr>
        <w:t>Kerala’s welfare-oriented fiscal model has undoubtedly produced substantial social achievements in literacy, healthcare, life expectancy, and social development. However, sustaining this model requires a stable and resilient fiscal architecture. The state’s revenue base, which depends significantly on indirect taxes, service sector activity, and remittances, has often proved insufficient to finance expanding expenditure obligations.</w:t>
      </w:r>
    </w:p>
    <w:p w14:paraId="395684BE" w14:textId="27053C43" w:rsidR="00126CF7" w:rsidRPr="00126CF7" w:rsidRDefault="00126CF7" w:rsidP="00126CF7">
      <w:pPr>
        <w:pStyle w:val="Body"/>
        <w:rPr>
          <w:rFonts w:ascii="Arial" w:hAnsi="Arial" w:cs="Arial"/>
          <w:b/>
          <w:bCs/>
          <w:sz w:val="22"/>
          <w:szCs w:val="22"/>
        </w:rPr>
      </w:pPr>
      <w:r>
        <w:rPr>
          <w:rFonts w:ascii="Arial" w:hAnsi="Arial" w:cs="Arial"/>
          <w:b/>
          <w:bCs/>
          <w:sz w:val="22"/>
          <w:szCs w:val="22"/>
        </w:rPr>
        <w:t>5.</w:t>
      </w:r>
      <w:r w:rsidRPr="00126CF7">
        <w:rPr>
          <w:rFonts w:ascii="Arial" w:hAnsi="Arial" w:cs="Arial"/>
          <w:b/>
          <w:bCs/>
          <w:sz w:val="22"/>
          <w:szCs w:val="22"/>
        </w:rPr>
        <w:t>CASE FOR A COMPREHENSIVE PUBLIC DEBT FRAMEWORK</w:t>
      </w:r>
    </w:p>
    <w:p w14:paraId="474B4FCF" w14:textId="77777777" w:rsidR="00126CF7" w:rsidRDefault="00126CF7" w:rsidP="00126CF7">
      <w:pPr>
        <w:pStyle w:val="Body"/>
        <w:rPr>
          <w:rFonts w:ascii="Arial" w:hAnsi="Arial" w:cs="Arial"/>
        </w:rPr>
      </w:pPr>
      <w:r w:rsidRPr="00126CF7">
        <w:rPr>
          <w:rFonts w:ascii="Arial" w:hAnsi="Arial" w:cs="Arial"/>
        </w:rPr>
        <w:t>The growing complexity of Kerala’s fiscal system makes the establishment of a comprehensive debt framework increasingly necessary. Traditional approaches that focus narrowly on direct borrowings no longer capture the true extent of fiscal obligations. A modern framework must therefore incorporate off-budget liabilities, guarantees, pension obligations, and quasi-fiscal commitments.</w:t>
      </w:r>
      <w:r>
        <w:rPr>
          <w:rFonts w:ascii="Arial" w:hAnsi="Arial" w:cs="Arial"/>
        </w:rPr>
        <w:t xml:space="preserve"> It w</w:t>
      </w:r>
      <w:r w:rsidRPr="00126CF7">
        <w:rPr>
          <w:rFonts w:ascii="Arial" w:hAnsi="Arial" w:cs="Arial"/>
        </w:rPr>
        <w:t xml:space="preserve">ould improve transparency and strengthen </w:t>
      </w:r>
      <w:r w:rsidRPr="00126CF7">
        <w:rPr>
          <w:rFonts w:ascii="Arial" w:hAnsi="Arial" w:cs="Arial"/>
        </w:rPr>
        <w:lastRenderedPageBreak/>
        <w:t>fiscal credibility. Integrated reporting of liabilities would provide policymakers, investors, and citizens with a realistic understanding of the state’s fiscal position. It would also reduce the risk of fiscal surprises arising from contingent liabilities or hidden borrowings.</w:t>
      </w:r>
      <w:r>
        <w:rPr>
          <w:rFonts w:ascii="Arial" w:hAnsi="Arial" w:cs="Arial"/>
        </w:rPr>
        <w:t xml:space="preserve"> </w:t>
      </w:r>
      <w:r w:rsidRPr="00126CF7">
        <w:rPr>
          <w:rFonts w:ascii="Arial" w:hAnsi="Arial" w:cs="Arial"/>
        </w:rPr>
        <w:t xml:space="preserve">Such a framework is equally important for improving borrowing efficiency. Kerala’s dependence on market borrowings exposes it to interest rate risks and refinancing pressures. </w:t>
      </w:r>
    </w:p>
    <w:p w14:paraId="2ADB914B" w14:textId="60A5CC1F" w:rsidR="00126CF7" w:rsidRPr="00126CF7" w:rsidRDefault="00126CF7" w:rsidP="00126CF7">
      <w:pPr>
        <w:pStyle w:val="Body"/>
        <w:rPr>
          <w:rFonts w:ascii="Arial" w:hAnsi="Arial" w:cs="Arial"/>
        </w:rPr>
      </w:pPr>
      <w:r w:rsidRPr="00126CF7">
        <w:rPr>
          <w:rFonts w:ascii="Arial" w:hAnsi="Arial" w:cs="Arial"/>
        </w:rPr>
        <w:t>A systematic debt management strategy can reduce borrowing costs by optimizing maturity structures, improving liquidity management, and strengthening investor confidence.</w:t>
      </w:r>
      <w:r>
        <w:rPr>
          <w:rFonts w:ascii="Arial" w:hAnsi="Arial" w:cs="Arial"/>
        </w:rPr>
        <w:t xml:space="preserve"> </w:t>
      </w:r>
      <w:r w:rsidRPr="00126CF7">
        <w:rPr>
          <w:rFonts w:ascii="Arial" w:hAnsi="Arial" w:cs="Arial"/>
        </w:rPr>
        <w:t>Furthermore, a comprehensive framework would establish a clearer relationship between borrowing and productive investment. Borrowing should increasingly support sectors capable of generating long-term growth, such as infrastructure, logistics, digital systems, renewable energy, healthcare, and human capital development.</w:t>
      </w:r>
    </w:p>
    <w:p w14:paraId="4461A703" w14:textId="77777777" w:rsidR="00126CF7" w:rsidRPr="00126CF7" w:rsidRDefault="00126CF7" w:rsidP="00126CF7">
      <w:pPr>
        <w:pStyle w:val="Body"/>
        <w:rPr>
          <w:rFonts w:ascii="Arial" w:hAnsi="Arial" w:cs="Arial"/>
        </w:rPr>
      </w:pPr>
      <w:r w:rsidRPr="00126CF7">
        <w:rPr>
          <w:rFonts w:ascii="Arial" w:hAnsi="Arial" w:cs="Arial"/>
        </w:rPr>
        <w:t>International experience demonstrates that debt sustainability depends not only on debt size but also on institutional credibility, transparency, and growth prospects. Therefore, Kerala’s fiscal sustainability requires both fiscal discipline and developmental transformation.</w:t>
      </w:r>
    </w:p>
    <w:p w14:paraId="715103D7" w14:textId="5F88267B" w:rsidR="00126CF7" w:rsidRPr="009F018B" w:rsidRDefault="009F018B" w:rsidP="00126CF7">
      <w:pPr>
        <w:pStyle w:val="Body"/>
        <w:rPr>
          <w:rFonts w:ascii="Arial" w:hAnsi="Arial" w:cs="Arial"/>
          <w:b/>
          <w:bCs/>
          <w:sz w:val="22"/>
          <w:szCs w:val="22"/>
        </w:rPr>
      </w:pPr>
      <w:r>
        <w:rPr>
          <w:rFonts w:ascii="Arial" w:hAnsi="Arial" w:cs="Arial"/>
          <w:b/>
          <w:bCs/>
          <w:sz w:val="22"/>
          <w:szCs w:val="22"/>
        </w:rPr>
        <w:t>6.</w:t>
      </w:r>
      <w:r w:rsidRPr="009F018B">
        <w:rPr>
          <w:rFonts w:ascii="Arial" w:hAnsi="Arial" w:cs="Arial"/>
          <w:b/>
          <w:bCs/>
          <w:sz w:val="22"/>
          <w:szCs w:val="22"/>
        </w:rPr>
        <w:t>COMPONENTS OF A COMPREHENSIVE PUBLIC DEBT FRAMEWORK FOR KERALA</w:t>
      </w:r>
    </w:p>
    <w:p w14:paraId="4C0D4292" w14:textId="4A958D61" w:rsidR="00126CF7" w:rsidRPr="009F018B" w:rsidRDefault="00126CF7" w:rsidP="00126CF7">
      <w:pPr>
        <w:pStyle w:val="Body"/>
        <w:rPr>
          <w:rFonts w:ascii="Arial" w:hAnsi="Arial" w:cs="Arial"/>
          <w:b/>
          <w:bCs/>
        </w:rPr>
      </w:pPr>
      <w:r w:rsidRPr="009F018B">
        <w:rPr>
          <w:rFonts w:ascii="Arial" w:hAnsi="Arial" w:cs="Arial"/>
          <w:b/>
          <w:bCs/>
        </w:rPr>
        <w:t>Clear Definition and Coverage of Public Debt</w:t>
      </w:r>
    </w:p>
    <w:p w14:paraId="33BFB16F" w14:textId="77777777" w:rsidR="00126CF7" w:rsidRPr="00126CF7" w:rsidRDefault="00126CF7" w:rsidP="00126CF7">
      <w:pPr>
        <w:pStyle w:val="Body"/>
        <w:rPr>
          <w:rFonts w:ascii="Arial" w:hAnsi="Arial" w:cs="Arial"/>
        </w:rPr>
      </w:pPr>
      <w:r w:rsidRPr="00126CF7">
        <w:rPr>
          <w:rFonts w:ascii="Arial" w:hAnsi="Arial" w:cs="Arial"/>
        </w:rPr>
        <w:t xml:space="preserve">An effective debt framework for Kerala must adopt a broad definition of public liabilities in order to capture the true extent of fiscal stress. Restricting measurement to direct borrowings understates obligations and weakens fiscal </w:t>
      </w:r>
      <w:proofErr w:type="spellStart"/>
      <w:proofErr w:type="gramStart"/>
      <w:r w:rsidRPr="00126CF7">
        <w:rPr>
          <w:rFonts w:ascii="Arial" w:hAnsi="Arial" w:cs="Arial"/>
        </w:rPr>
        <w:t>transparency.The</w:t>
      </w:r>
      <w:proofErr w:type="spellEnd"/>
      <w:proofErr w:type="gramEnd"/>
      <w:r w:rsidRPr="00126CF7">
        <w:rPr>
          <w:rFonts w:ascii="Arial" w:hAnsi="Arial" w:cs="Arial"/>
        </w:rPr>
        <w:t xml:space="preserve"> framework should therefore include state government debt, off-budget borrowings, guarantees, contingent liabilities, pension obligations, power sector arrears, local government debt, and liabilities associated with special purpose vehicles such as KIIFB. Consolidated reporting would provide policymakers and investors with a realistic picture of Kerala’s fiscal position and improve fiscal discipline.</w:t>
      </w:r>
    </w:p>
    <w:p w14:paraId="5C06B35C" w14:textId="0AAA2B1F" w:rsidR="00126CF7" w:rsidRPr="009F018B" w:rsidRDefault="00126CF7" w:rsidP="00126CF7">
      <w:pPr>
        <w:pStyle w:val="Body"/>
        <w:rPr>
          <w:rFonts w:ascii="Arial" w:hAnsi="Arial" w:cs="Arial"/>
          <w:b/>
          <w:bCs/>
        </w:rPr>
      </w:pPr>
      <w:r w:rsidRPr="009F018B">
        <w:rPr>
          <w:rFonts w:ascii="Arial" w:hAnsi="Arial" w:cs="Arial"/>
          <w:b/>
          <w:bCs/>
        </w:rPr>
        <w:t>Debt Classification System</w:t>
      </w:r>
    </w:p>
    <w:p w14:paraId="081BA791" w14:textId="2C081F21" w:rsidR="00126CF7" w:rsidRPr="00126CF7" w:rsidRDefault="00126CF7" w:rsidP="00126CF7">
      <w:pPr>
        <w:pStyle w:val="Body"/>
        <w:rPr>
          <w:rFonts w:ascii="Arial" w:hAnsi="Arial" w:cs="Arial"/>
        </w:rPr>
      </w:pPr>
      <w:r w:rsidRPr="00126CF7">
        <w:rPr>
          <w:rFonts w:ascii="Arial" w:hAnsi="Arial" w:cs="Arial"/>
        </w:rPr>
        <w:t>A systematic classification of public debt is necessary for assessing fiscal risks and designing effective management strategies. Kerala’s debt profile is increasingly complex due to the expansion of market borrowings and off-budget financing.</w:t>
      </w:r>
      <w:r w:rsidR="00451971">
        <w:rPr>
          <w:rFonts w:ascii="Arial" w:hAnsi="Arial" w:cs="Arial"/>
        </w:rPr>
        <w:t xml:space="preserve"> </w:t>
      </w:r>
      <w:r w:rsidRPr="00126CF7">
        <w:rPr>
          <w:rFonts w:ascii="Arial" w:hAnsi="Arial" w:cs="Arial"/>
        </w:rPr>
        <w:t>Debt should therefore be classified according to source, maturity, purpose, and risk characteristics. Distinguishing between internal and external debt is important because external borrowings carry exchange rate risks and conditionalities. Classification by maturity structure helps identify refinancing pressures and repayment bunching.</w:t>
      </w:r>
    </w:p>
    <w:p w14:paraId="27F822AB" w14:textId="77777777" w:rsidR="00126CF7" w:rsidRPr="00126CF7" w:rsidRDefault="00126CF7" w:rsidP="00126CF7">
      <w:pPr>
        <w:pStyle w:val="Body"/>
        <w:rPr>
          <w:rFonts w:ascii="Arial" w:hAnsi="Arial" w:cs="Arial"/>
        </w:rPr>
      </w:pPr>
      <w:r w:rsidRPr="00126CF7">
        <w:rPr>
          <w:rFonts w:ascii="Arial" w:hAnsi="Arial" w:cs="Arial"/>
        </w:rPr>
        <w:t>Equally important is the distinction between productive and non-productive borrowing. Productive borrowing supports infrastructure and capital formation, whereas non-productive borrowing finances routine expenditure such as salaries and pensions.</w:t>
      </w:r>
    </w:p>
    <w:p w14:paraId="7556CE6A" w14:textId="1A429A73" w:rsidR="00126CF7" w:rsidRPr="009F018B" w:rsidRDefault="00126CF7" w:rsidP="00126CF7">
      <w:pPr>
        <w:pStyle w:val="Body"/>
        <w:rPr>
          <w:rFonts w:ascii="Arial" w:hAnsi="Arial" w:cs="Arial"/>
          <w:b/>
          <w:bCs/>
        </w:rPr>
      </w:pPr>
      <w:r w:rsidRPr="009F018B">
        <w:rPr>
          <w:rFonts w:ascii="Arial" w:hAnsi="Arial" w:cs="Arial"/>
          <w:b/>
          <w:bCs/>
        </w:rPr>
        <w:t>Medium-Term Debt Sustainability Framework</w:t>
      </w:r>
    </w:p>
    <w:p w14:paraId="1E399F9D" w14:textId="1C015627" w:rsidR="00126CF7" w:rsidRPr="00126CF7" w:rsidRDefault="00126CF7" w:rsidP="00126CF7">
      <w:pPr>
        <w:pStyle w:val="Body"/>
        <w:rPr>
          <w:rFonts w:ascii="Arial" w:hAnsi="Arial" w:cs="Arial"/>
        </w:rPr>
      </w:pPr>
      <w:r w:rsidRPr="00126CF7">
        <w:rPr>
          <w:rFonts w:ascii="Arial" w:hAnsi="Arial" w:cs="Arial"/>
        </w:rPr>
        <w:t>Kerala requires a rolling medium-term debt sustainability framework spanning five to ten years. Such a framework should regularly assess key indicators including the debt–GSDP ratio, primary deficits, interest payments, and refinancing risks.</w:t>
      </w:r>
      <w:r w:rsidR="009F018B">
        <w:rPr>
          <w:rFonts w:ascii="Arial" w:hAnsi="Arial" w:cs="Arial"/>
        </w:rPr>
        <w:t xml:space="preserve"> </w:t>
      </w:r>
      <w:r w:rsidRPr="00126CF7">
        <w:rPr>
          <w:rFonts w:ascii="Arial" w:hAnsi="Arial" w:cs="Arial"/>
        </w:rPr>
        <w:t xml:space="preserve">Stress testing under alternative scenarios is particularly important given Kerala’s vulnerability to climate shocks, remittance fluctuations, and economic slowdowns. Debt sustainability analysis should therefore evaluate the impact of lower growth, revenue shocks, and higher interest </w:t>
      </w:r>
      <w:r w:rsidR="009F018B" w:rsidRPr="00126CF7">
        <w:rPr>
          <w:rFonts w:ascii="Arial" w:hAnsi="Arial" w:cs="Arial"/>
        </w:rPr>
        <w:t xml:space="preserve">rates. </w:t>
      </w:r>
      <w:r w:rsidR="009F018B" w:rsidRPr="00126CF7">
        <w:rPr>
          <w:rFonts w:ascii="Arial" w:hAnsi="Arial" w:cs="Arial"/>
        </w:rPr>
        <w:lastRenderedPageBreak/>
        <w:t>The</w:t>
      </w:r>
      <w:r w:rsidRPr="00126CF7">
        <w:rPr>
          <w:rFonts w:ascii="Arial" w:hAnsi="Arial" w:cs="Arial"/>
        </w:rPr>
        <w:t xml:space="preserve"> policy implications are clear. Long-term sustainability can be achieved only through a combination of stronger economic growth, lower borrowing costs, and gradual fiscal correction.</w:t>
      </w:r>
    </w:p>
    <w:p w14:paraId="23ACFB1E" w14:textId="0E92FFF6" w:rsidR="00126CF7" w:rsidRPr="009F018B" w:rsidRDefault="00126CF7" w:rsidP="00126CF7">
      <w:pPr>
        <w:pStyle w:val="Body"/>
        <w:rPr>
          <w:rFonts w:ascii="Arial" w:hAnsi="Arial" w:cs="Arial"/>
          <w:b/>
          <w:bCs/>
        </w:rPr>
      </w:pPr>
      <w:r w:rsidRPr="009F018B">
        <w:rPr>
          <w:rFonts w:ascii="Arial" w:hAnsi="Arial" w:cs="Arial"/>
          <w:b/>
          <w:bCs/>
        </w:rPr>
        <w:t>Fiscal Rules and Borrowing Limits</w:t>
      </w:r>
    </w:p>
    <w:p w14:paraId="3E2A6067" w14:textId="3093AE96" w:rsidR="00126CF7" w:rsidRPr="00126CF7" w:rsidRDefault="00126CF7" w:rsidP="00126CF7">
      <w:pPr>
        <w:pStyle w:val="Body"/>
        <w:rPr>
          <w:rFonts w:ascii="Arial" w:hAnsi="Arial" w:cs="Arial"/>
        </w:rPr>
      </w:pPr>
      <w:r w:rsidRPr="00126CF7">
        <w:rPr>
          <w:rFonts w:ascii="Arial" w:hAnsi="Arial" w:cs="Arial"/>
        </w:rPr>
        <w:t xml:space="preserve">Kerala’s fiscal rules framework requires reform in order to balance fiscal discipline with developmental investment needs. The existing FRBM structure imposes rigid borrowing limits that may constrain productive infrastructure </w:t>
      </w:r>
      <w:r w:rsidR="009F018B" w:rsidRPr="00126CF7">
        <w:rPr>
          <w:rFonts w:ascii="Arial" w:hAnsi="Arial" w:cs="Arial"/>
        </w:rPr>
        <w:t>investment. A</w:t>
      </w:r>
      <w:r w:rsidRPr="00126CF7">
        <w:rPr>
          <w:rFonts w:ascii="Arial" w:hAnsi="Arial" w:cs="Arial"/>
        </w:rPr>
        <w:t xml:space="preserve"> revised framework should distinguish between borrowing for capital expenditure and borrowing for current consumption. Borrowing for infrastructure projects capable of generating future growth may be economically justified, whereas borrowing for salaries or pensions weakens sustainability.</w:t>
      </w:r>
      <w:r w:rsidR="009F018B">
        <w:rPr>
          <w:rFonts w:ascii="Arial" w:hAnsi="Arial" w:cs="Arial"/>
        </w:rPr>
        <w:t xml:space="preserve"> </w:t>
      </w:r>
      <w:r w:rsidRPr="00126CF7">
        <w:rPr>
          <w:rFonts w:ascii="Arial" w:hAnsi="Arial" w:cs="Arial"/>
        </w:rPr>
        <w:t>The framework should also establish clear thresholds for debt–GSDP ratios and interest-to-revenue ratios, while incorporating escape clauses for extraordinary events such as natural disasters or economic crises.</w:t>
      </w:r>
    </w:p>
    <w:p w14:paraId="7AC1133A" w14:textId="1B5B4049" w:rsidR="00126CF7" w:rsidRPr="009F018B" w:rsidRDefault="00126CF7" w:rsidP="00126CF7">
      <w:pPr>
        <w:pStyle w:val="Body"/>
        <w:rPr>
          <w:rFonts w:ascii="Arial" w:hAnsi="Arial" w:cs="Arial"/>
          <w:b/>
          <w:bCs/>
        </w:rPr>
      </w:pPr>
      <w:r w:rsidRPr="009F018B">
        <w:rPr>
          <w:rFonts w:ascii="Arial" w:hAnsi="Arial" w:cs="Arial"/>
          <w:b/>
          <w:bCs/>
        </w:rPr>
        <w:t>Integrated Off-Budget Liability Reporting</w:t>
      </w:r>
    </w:p>
    <w:p w14:paraId="40540FD7" w14:textId="6FE5FD1D" w:rsidR="00126CF7" w:rsidRPr="00126CF7" w:rsidRDefault="00126CF7" w:rsidP="00126CF7">
      <w:pPr>
        <w:pStyle w:val="Body"/>
        <w:rPr>
          <w:rFonts w:ascii="Arial" w:hAnsi="Arial" w:cs="Arial"/>
        </w:rPr>
      </w:pPr>
      <w:r w:rsidRPr="00126CF7">
        <w:rPr>
          <w:rFonts w:ascii="Arial" w:hAnsi="Arial" w:cs="Arial"/>
        </w:rPr>
        <w:t>A major weakness in Kerala’s fiscal system is the fragmented reporting of off-budget liabilities. Borrowings undertaken through KIIFB, PSU guarantees, deferred payment obligations, and public-private partnership commitments create future fiscal obligations even when they do not immediately appear in budget documents.</w:t>
      </w:r>
      <w:r w:rsidR="00B66608">
        <w:rPr>
          <w:rFonts w:ascii="Arial" w:hAnsi="Arial" w:cs="Arial"/>
        </w:rPr>
        <w:t xml:space="preserve"> </w:t>
      </w:r>
      <w:r w:rsidRPr="00126CF7">
        <w:rPr>
          <w:rFonts w:ascii="Arial" w:hAnsi="Arial" w:cs="Arial"/>
        </w:rPr>
        <w:t>Comprehensive disclosure of these liabilities is essential for strengthening fiscal transparency and preventing understatement of fiscal stress. Integrated reporting would also improve investor confidence and align Kerala with international best practices in debt management.</w:t>
      </w:r>
    </w:p>
    <w:p w14:paraId="73F07E46" w14:textId="245C8D47" w:rsidR="00126CF7" w:rsidRPr="00B66608" w:rsidRDefault="00126CF7" w:rsidP="00126CF7">
      <w:pPr>
        <w:pStyle w:val="Body"/>
        <w:rPr>
          <w:rFonts w:ascii="Arial" w:hAnsi="Arial" w:cs="Arial"/>
          <w:b/>
          <w:bCs/>
        </w:rPr>
      </w:pPr>
      <w:r w:rsidRPr="00B66608">
        <w:rPr>
          <w:rFonts w:ascii="Arial" w:hAnsi="Arial" w:cs="Arial"/>
          <w:b/>
          <w:bCs/>
        </w:rPr>
        <w:t>Public Debt Management Office (PDMO)</w:t>
      </w:r>
    </w:p>
    <w:p w14:paraId="47ADE23A" w14:textId="4671D202" w:rsidR="00126CF7" w:rsidRPr="00126CF7" w:rsidRDefault="00126CF7" w:rsidP="00126CF7">
      <w:pPr>
        <w:pStyle w:val="Body"/>
        <w:rPr>
          <w:rFonts w:ascii="Arial" w:hAnsi="Arial" w:cs="Arial"/>
        </w:rPr>
      </w:pPr>
      <w:r w:rsidRPr="00126CF7">
        <w:rPr>
          <w:rFonts w:ascii="Arial" w:hAnsi="Arial" w:cs="Arial"/>
        </w:rPr>
        <w:t xml:space="preserve">The establishment of a </w:t>
      </w:r>
      <w:r w:rsidR="00B66608" w:rsidRPr="00126CF7">
        <w:rPr>
          <w:rFonts w:ascii="Arial" w:hAnsi="Arial" w:cs="Arial"/>
        </w:rPr>
        <w:t>specialized</w:t>
      </w:r>
      <w:r w:rsidRPr="00126CF7">
        <w:rPr>
          <w:rFonts w:ascii="Arial" w:hAnsi="Arial" w:cs="Arial"/>
        </w:rPr>
        <w:t xml:space="preserve"> Public Debt Management Office would represent a major institutional reform in Kerala’s fiscal architecture. At present, debt management functions remain dispersed between different departments and institutions.</w:t>
      </w:r>
      <w:r w:rsidR="00B66608">
        <w:rPr>
          <w:rFonts w:ascii="Arial" w:hAnsi="Arial" w:cs="Arial"/>
        </w:rPr>
        <w:t xml:space="preserve"> </w:t>
      </w:r>
      <w:r w:rsidRPr="00126CF7">
        <w:rPr>
          <w:rFonts w:ascii="Arial" w:hAnsi="Arial" w:cs="Arial"/>
        </w:rPr>
        <w:t xml:space="preserve">A dedicated PDMO would formulate borrowing strategies, manage refinancing schedules, monitor risks, and </w:t>
      </w:r>
      <w:r w:rsidR="00B66608" w:rsidRPr="00126CF7">
        <w:rPr>
          <w:rFonts w:ascii="Arial" w:hAnsi="Arial" w:cs="Arial"/>
        </w:rPr>
        <w:t>optimize</w:t>
      </w:r>
      <w:r w:rsidRPr="00126CF7">
        <w:rPr>
          <w:rFonts w:ascii="Arial" w:hAnsi="Arial" w:cs="Arial"/>
        </w:rPr>
        <w:t xml:space="preserve"> debt operations. It would also undertake detailed analyses of maturity profiles, interest rate risks, and contingent liabilities.</w:t>
      </w:r>
      <w:r w:rsidR="00B66608">
        <w:rPr>
          <w:rFonts w:ascii="Arial" w:hAnsi="Arial" w:cs="Arial"/>
        </w:rPr>
        <w:t xml:space="preserve"> </w:t>
      </w:r>
      <w:r w:rsidRPr="00126CF7">
        <w:rPr>
          <w:rFonts w:ascii="Arial" w:hAnsi="Arial" w:cs="Arial"/>
        </w:rPr>
        <w:t xml:space="preserve">International experience suggests that </w:t>
      </w:r>
      <w:r w:rsidR="00B66608" w:rsidRPr="00126CF7">
        <w:rPr>
          <w:rFonts w:ascii="Arial" w:hAnsi="Arial" w:cs="Arial"/>
        </w:rPr>
        <w:t>specialized</w:t>
      </w:r>
      <w:r w:rsidRPr="00126CF7">
        <w:rPr>
          <w:rFonts w:ascii="Arial" w:hAnsi="Arial" w:cs="Arial"/>
        </w:rPr>
        <w:t xml:space="preserve"> debt offices improve fiscal credibility, reduce borrowing costs, and strengthen long-term sustainability.</w:t>
      </w:r>
    </w:p>
    <w:p w14:paraId="74CCA030" w14:textId="6CA0B2D7" w:rsidR="00126CF7" w:rsidRPr="00B66608" w:rsidRDefault="00126CF7" w:rsidP="00126CF7">
      <w:pPr>
        <w:pStyle w:val="Body"/>
        <w:rPr>
          <w:rFonts w:ascii="Arial" w:hAnsi="Arial" w:cs="Arial"/>
          <w:b/>
          <w:bCs/>
        </w:rPr>
      </w:pPr>
      <w:r w:rsidRPr="00B66608">
        <w:rPr>
          <w:rFonts w:ascii="Arial" w:hAnsi="Arial" w:cs="Arial"/>
          <w:b/>
          <w:bCs/>
        </w:rPr>
        <w:t>Contingent Liability and Fiscal Risk Assessment</w:t>
      </w:r>
    </w:p>
    <w:p w14:paraId="13C4FDC8" w14:textId="4BD0F9DE" w:rsidR="00126CF7" w:rsidRPr="00126CF7" w:rsidRDefault="00126CF7" w:rsidP="00126CF7">
      <w:pPr>
        <w:pStyle w:val="Body"/>
        <w:rPr>
          <w:rFonts w:ascii="Arial" w:hAnsi="Arial" w:cs="Arial"/>
        </w:rPr>
      </w:pPr>
      <w:r w:rsidRPr="00126CF7">
        <w:rPr>
          <w:rFonts w:ascii="Arial" w:hAnsi="Arial" w:cs="Arial"/>
        </w:rPr>
        <w:t>An effective debt framework must incorporate systematic assessment of contingent liabilities and fiscal risks. Kerala faces significant exposure from PSU losses, pension obligations, power sector arrears, and climate-related disasters.</w:t>
      </w:r>
      <w:r w:rsidR="00B66608">
        <w:rPr>
          <w:rFonts w:ascii="Arial" w:hAnsi="Arial" w:cs="Arial"/>
        </w:rPr>
        <w:t xml:space="preserve"> </w:t>
      </w:r>
      <w:r w:rsidRPr="00126CF7">
        <w:rPr>
          <w:rFonts w:ascii="Arial" w:hAnsi="Arial" w:cs="Arial"/>
        </w:rPr>
        <w:t>Annual fiscal risk statements should therefore document these exposures and evaluate their potential impact on public finances. Transparent reporting of fiscal risks would improve policy preparedness and reduce the likelihood of fiscal crises.</w:t>
      </w:r>
    </w:p>
    <w:p w14:paraId="07489F40" w14:textId="0EACE6DE" w:rsidR="00126CF7" w:rsidRPr="00B66608" w:rsidRDefault="00126CF7" w:rsidP="00126CF7">
      <w:pPr>
        <w:pStyle w:val="Body"/>
        <w:rPr>
          <w:rFonts w:ascii="Arial" w:hAnsi="Arial" w:cs="Arial"/>
          <w:b/>
          <w:bCs/>
        </w:rPr>
      </w:pPr>
      <w:r w:rsidRPr="00B66608">
        <w:rPr>
          <w:rFonts w:ascii="Arial" w:hAnsi="Arial" w:cs="Arial"/>
          <w:b/>
          <w:bCs/>
        </w:rPr>
        <w:t>Transparency and Public Accountability</w:t>
      </w:r>
    </w:p>
    <w:p w14:paraId="6F5F00A3" w14:textId="032209D4" w:rsidR="00126CF7" w:rsidRPr="00126CF7" w:rsidRDefault="00126CF7" w:rsidP="00126CF7">
      <w:pPr>
        <w:pStyle w:val="Body"/>
        <w:rPr>
          <w:rFonts w:ascii="Arial" w:hAnsi="Arial" w:cs="Arial"/>
        </w:rPr>
      </w:pPr>
      <w:r w:rsidRPr="00126CF7">
        <w:rPr>
          <w:rFonts w:ascii="Arial" w:hAnsi="Arial" w:cs="Arial"/>
        </w:rPr>
        <w:t>Transparency constitutes the cornerstone of fiscal credibility and sustainable debt management. Kerala’s debt framework should mandate regular public disclosure of debt indicators, guarantees, and contingent liabilities.</w:t>
      </w:r>
      <w:r w:rsidR="00B66608">
        <w:rPr>
          <w:rFonts w:ascii="Arial" w:hAnsi="Arial" w:cs="Arial"/>
        </w:rPr>
        <w:t xml:space="preserve"> </w:t>
      </w:r>
      <w:r w:rsidRPr="00126CF7">
        <w:rPr>
          <w:rFonts w:ascii="Arial" w:hAnsi="Arial" w:cs="Arial"/>
        </w:rPr>
        <w:t xml:space="preserve">Quarterly debt statements, independent audits by the Comptroller and Auditor General (CAG), legislative oversight, and public debt dashboards would strengthen democratic accountability. The establishment of an </w:t>
      </w:r>
      <w:r w:rsidRPr="00126CF7">
        <w:rPr>
          <w:rFonts w:ascii="Arial" w:hAnsi="Arial" w:cs="Arial"/>
        </w:rPr>
        <w:lastRenderedPageBreak/>
        <w:t>independent fiscal council could further improve objective policy evaluation and reduce political pressures.</w:t>
      </w:r>
      <w:r w:rsidR="00B66608">
        <w:rPr>
          <w:rFonts w:ascii="Arial" w:hAnsi="Arial" w:cs="Arial"/>
        </w:rPr>
        <w:t xml:space="preserve"> </w:t>
      </w:r>
      <w:r w:rsidRPr="00126CF7">
        <w:rPr>
          <w:rFonts w:ascii="Arial" w:hAnsi="Arial" w:cs="Arial"/>
        </w:rPr>
        <w:t>Improved transparency would lower borrowing costs, strengthen investor confidence, and reduce the risk of hidden liabilities.</w:t>
      </w:r>
    </w:p>
    <w:p w14:paraId="2AA85046" w14:textId="6896A6F9" w:rsidR="00126CF7" w:rsidRPr="00463F70" w:rsidRDefault="00126CF7" w:rsidP="00126CF7">
      <w:pPr>
        <w:pStyle w:val="Body"/>
        <w:rPr>
          <w:rFonts w:ascii="Arial" w:hAnsi="Arial" w:cs="Arial"/>
          <w:b/>
          <w:bCs/>
        </w:rPr>
      </w:pPr>
      <w:r w:rsidRPr="00463F70">
        <w:rPr>
          <w:rFonts w:ascii="Arial" w:hAnsi="Arial" w:cs="Arial"/>
          <w:b/>
          <w:bCs/>
        </w:rPr>
        <w:t>Linking Debt to Growth Strategy</w:t>
      </w:r>
    </w:p>
    <w:p w14:paraId="4DBAEB98" w14:textId="28B7A782" w:rsidR="00126CF7" w:rsidRPr="00126CF7" w:rsidRDefault="00126CF7" w:rsidP="00126CF7">
      <w:pPr>
        <w:pStyle w:val="Body"/>
        <w:rPr>
          <w:rFonts w:ascii="Arial" w:hAnsi="Arial" w:cs="Arial"/>
        </w:rPr>
      </w:pPr>
      <w:r w:rsidRPr="00126CF7">
        <w:rPr>
          <w:rFonts w:ascii="Arial" w:hAnsi="Arial" w:cs="Arial"/>
        </w:rPr>
        <w:t>A sustainable debt framework must explicitly connect borrowing with Kerala’s broader economic transformation strategy. Historically, borrowing has often financed revenue deficits and welfare expenditure rather than productivity-enhancing investment.</w:t>
      </w:r>
      <w:r w:rsidR="00463F70">
        <w:rPr>
          <w:rFonts w:ascii="Arial" w:hAnsi="Arial" w:cs="Arial"/>
        </w:rPr>
        <w:t xml:space="preserve"> </w:t>
      </w:r>
      <w:r w:rsidRPr="00126CF7">
        <w:rPr>
          <w:rFonts w:ascii="Arial" w:hAnsi="Arial" w:cs="Arial"/>
        </w:rPr>
        <w:t xml:space="preserve">Future borrowing should increasingly </w:t>
      </w:r>
      <w:proofErr w:type="spellStart"/>
      <w:r w:rsidRPr="00126CF7">
        <w:rPr>
          <w:rFonts w:ascii="Arial" w:hAnsi="Arial" w:cs="Arial"/>
        </w:rPr>
        <w:t>prioritise</w:t>
      </w:r>
      <w:proofErr w:type="spellEnd"/>
      <w:r w:rsidRPr="00126CF7">
        <w:rPr>
          <w:rFonts w:ascii="Arial" w:hAnsi="Arial" w:cs="Arial"/>
        </w:rPr>
        <w:t xml:space="preserve"> high-multiplier sectors such as logistics, transport infrastructure, digital systems, renewable energy, port development, healthcare, and skill development. Investments in these sectors can generate future income streams, strengthen the tax base, and improve long-term debt sustainability.</w:t>
      </w:r>
      <w:r w:rsidR="00463F70">
        <w:rPr>
          <w:rFonts w:ascii="Arial" w:hAnsi="Arial" w:cs="Arial"/>
        </w:rPr>
        <w:t xml:space="preserve"> </w:t>
      </w:r>
      <w:r w:rsidRPr="00126CF7">
        <w:rPr>
          <w:rFonts w:ascii="Arial" w:hAnsi="Arial" w:cs="Arial"/>
        </w:rPr>
        <w:t>Debt management should therefore function not merely as a fiscal control mechanism but also as a developmental strategy.</w:t>
      </w:r>
    </w:p>
    <w:p w14:paraId="16ED0DEC" w14:textId="39C38477" w:rsidR="00126CF7" w:rsidRPr="00F60AB1" w:rsidRDefault="00126CF7" w:rsidP="00126CF7">
      <w:pPr>
        <w:pStyle w:val="Body"/>
        <w:rPr>
          <w:rFonts w:ascii="Arial" w:hAnsi="Arial" w:cs="Arial"/>
          <w:b/>
          <w:bCs/>
        </w:rPr>
      </w:pPr>
      <w:r w:rsidRPr="00F60AB1">
        <w:rPr>
          <w:rFonts w:ascii="Arial" w:hAnsi="Arial" w:cs="Arial"/>
          <w:b/>
          <w:bCs/>
        </w:rPr>
        <w:t>Intergenerational Fiscal Balance</w:t>
      </w:r>
    </w:p>
    <w:p w14:paraId="5608316C" w14:textId="013CC603" w:rsidR="00126CF7" w:rsidRPr="00126CF7" w:rsidRDefault="00126CF7" w:rsidP="00126CF7">
      <w:pPr>
        <w:pStyle w:val="Body"/>
        <w:rPr>
          <w:rFonts w:ascii="Arial" w:hAnsi="Arial" w:cs="Arial"/>
        </w:rPr>
      </w:pPr>
      <w:r w:rsidRPr="00126CF7">
        <w:rPr>
          <w:rFonts w:ascii="Arial" w:hAnsi="Arial" w:cs="Arial"/>
        </w:rPr>
        <w:t>The principle of intergenerational equity must remain central to Kerala’s debt policy. Excessive borrowing for current consumption imposes repayment burdens on future taxpayers without creating productive assets.</w:t>
      </w:r>
      <w:r w:rsidR="00F60AB1">
        <w:rPr>
          <w:rFonts w:ascii="Arial" w:hAnsi="Arial" w:cs="Arial"/>
        </w:rPr>
        <w:t xml:space="preserve"> </w:t>
      </w:r>
      <w:r w:rsidRPr="00126CF7">
        <w:rPr>
          <w:rFonts w:ascii="Arial" w:hAnsi="Arial" w:cs="Arial"/>
        </w:rPr>
        <w:t>A sustainable framework should therefore ensure that borrowing primarily finances long-term investment capable of generating future economic returns. Such an approach would reconcile welfare priorities with fiscal sustainability and protect the fiscal rights of future generations.</w:t>
      </w:r>
    </w:p>
    <w:p w14:paraId="135CE968" w14:textId="3ED31096" w:rsidR="00126CF7" w:rsidRPr="00F60AB1" w:rsidRDefault="00F60AB1" w:rsidP="00126CF7">
      <w:pPr>
        <w:pStyle w:val="Body"/>
        <w:rPr>
          <w:rFonts w:ascii="Arial" w:hAnsi="Arial" w:cs="Arial"/>
          <w:b/>
          <w:bCs/>
          <w:sz w:val="22"/>
          <w:szCs w:val="22"/>
        </w:rPr>
      </w:pPr>
      <w:r w:rsidRPr="00F60AB1">
        <w:rPr>
          <w:rFonts w:ascii="Arial" w:hAnsi="Arial" w:cs="Arial"/>
          <w:b/>
          <w:bCs/>
          <w:sz w:val="22"/>
          <w:szCs w:val="22"/>
        </w:rPr>
        <w:t>7.CONCLUSION</w:t>
      </w:r>
    </w:p>
    <w:p w14:paraId="29561B97" w14:textId="4368A814" w:rsidR="009E6C6A" w:rsidRDefault="00126CF7" w:rsidP="00F60AB1">
      <w:pPr>
        <w:pStyle w:val="Body"/>
        <w:rPr>
          <w:rFonts w:ascii="Arial" w:hAnsi="Arial" w:cs="Arial"/>
        </w:rPr>
      </w:pPr>
      <w:r w:rsidRPr="00126CF7">
        <w:rPr>
          <w:rFonts w:ascii="Arial" w:hAnsi="Arial" w:cs="Arial"/>
        </w:rPr>
        <w:t>Kerala’s debt trajectory highlights the urgent need for a comprehensive and forward-looking public debt management framework that balances welfare commitments with fiscal sustainability. Persistent revenue deficits, rising dependence on State Development Loans, and the expansion of off-budget liabilities have increased fiscal vulnerabilities and constrained developmental expenditure.</w:t>
      </w:r>
      <w:r w:rsidR="00F60AB1">
        <w:rPr>
          <w:rFonts w:ascii="Arial" w:hAnsi="Arial" w:cs="Arial"/>
        </w:rPr>
        <w:t xml:space="preserve"> </w:t>
      </w:r>
      <w:r w:rsidRPr="00126CF7">
        <w:rPr>
          <w:rFonts w:ascii="Arial" w:hAnsi="Arial" w:cs="Arial"/>
        </w:rPr>
        <w:t>A sustainable framework must integrate transparent reporting of all liabilities, systematic fiscal risk assessment, and medium-term debt sustainability analysis. Institutional reforms such as a dedicated Public Debt Management Office, regular public disclosures, independent audits, and fiscal council reviews would strengthen fiscal credibility and investor confidence.</w:t>
      </w:r>
      <w:r w:rsidR="00F60AB1">
        <w:rPr>
          <w:rFonts w:ascii="Arial" w:hAnsi="Arial" w:cs="Arial"/>
        </w:rPr>
        <w:t xml:space="preserve"> </w:t>
      </w:r>
      <w:r w:rsidRPr="00126CF7">
        <w:rPr>
          <w:rFonts w:ascii="Arial" w:hAnsi="Arial" w:cs="Arial"/>
        </w:rPr>
        <w:t>Equally important is the need to link borrowing with long-term economic transformation. Debt should increasingly support infrastructure, digital systems, renewable energy, logistics, healthcare, and human capital development. Productive investment of this nature can strengthen economic growth, expand the revenue base, and improve long-term sustainability.</w:t>
      </w:r>
      <w:r w:rsidR="00F60AB1">
        <w:rPr>
          <w:rFonts w:ascii="Arial" w:hAnsi="Arial" w:cs="Arial"/>
        </w:rPr>
        <w:t xml:space="preserve"> </w:t>
      </w:r>
      <w:r w:rsidRPr="00126CF7">
        <w:rPr>
          <w:rFonts w:ascii="Arial" w:hAnsi="Arial" w:cs="Arial"/>
        </w:rPr>
        <w:t>Ultimately, Kerala’s debt policy must move beyond narrow deficit management towards a broader institutional framework rooted in transparency, accountability, growth orientation, and intergenerational equity. By embedding these principles within its fiscal architecture, Kerala can preserve its welfare achievements while ensuring long-term fiscal resilience and sustainable economic transformation.</w:t>
      </w:r>
      <w:r w:rsidR="00F60AB1">
        <w:rPr>
          <w:rFonts w:ascii="Arial" w:hAnsi="Arial" w:cs="Arial"/>
        </w:rPr>
        <w:t xml:space="preserve"> </w:t>
      </w:r>
      <w:r w:rsidR="00AD041E" w:rsidRPr="00AD041E">
        <w:rPr>
          <w:rFonts w:ascii="Arial" w:hAnsi="Arial" w:cs="Arial"/>
        </w:rPr>
        <w:t>These trends underline the need for a comprehensive and forward-looking public debt framework that integrates explicit liabilities, contingent risks, fiscal transparency, and long-term sustainability.</w:t>
      </w:r>
    </w:p>
    <w:p w14:paraId="4E7C5D76" w14:textId="282DC5BD" w:rsidR="00AE1D79" w:rsidRPr="00AE1D79" w:rsidRDefault="00AE1D79" w:rsidP="00AE1D79">
      <w:pPr>
        <w:pStyle w:val="Body"/>
        <w:rPr>
          <w:rFonts w:ascii="Arial" w:hAnsi="Arial" w:cs="Arial"/>
          <w:b/>
          <w:bCs/>
          <w:sz w:val="22"/>
          <w:szCs w:val="22"/>
        </w:rPr>
      </w:pPr>
      <w:r w:rsidRPr="00AE1D79">
        <w:rPr>
          <w:rFonts w:ascii="Arial" w:hAnsi="Arial" w:cs="Arial"/>
          <w:b/>
          <w:bCs/>
          <w:sz w:val="22"/>
          <w:szCs w:val="22"/>
        </w:rPr>
        <w:t>REFERENCES</w:t>
      </w:r>
    </w:p>
    <w:p w14:paraId="141A5994" w14:textId="77777777" w:rsidR="00AE1D79" w:rsidRPr="00AE1D79" w:rsidRDefault="00AE1D79" w:rsidP="00AE1D79">
      <w:pPr>
        <w:pStyle w:val="Body"/>
        <w:rPr>
          <w:rFonts w:ascii="Arial" w:hAnsi="Arial" w:cs="Arial"/>
        </w:rPr>
      </w:pPr>
      <w:r w:rsidRPr="00AE1D79">
        <w:rPr>
          <w:rFonts w:ascii="Arial" w:hAnsi="Arial" w:cs="Arial"/>
        </w:rPr>
        <w:t>Balbir, Kaur, Atri Mukherjee, and Anand Prakash Ekka. 2018. “Debt Sustainability of States in India: An Assessment.” Indian Economic Review 53 (1–2): 93–129.</w:t>
      </w:r>
    </w:p>
    <w:p w14:paraId="51EB30D9" w14:textId="77777777" w:rsidR="00AE1D79" w:rsidRPr="00AE1D79" w:rsidRDefault="00AE1D79" w:rsidP="00AE1D79">
      <w:pPr>
        <w:pStyle w:val="Body"/>
        <w:rPr>
          <w:rFonts w:ascii="Arial" w:hAnsi="Arial" w:cs="Arial"/>
        </w:rPr>
      </w:pPr>
      <w:r w:rsidRPr="00AE1D79">
        <w:rPr>
          <w:rFonts w:ascii="Arial" w:hAnsi="Arial" w:cs="Arial"/>
        </w:rPr>
        <w:lastRenderedPageBreak/>
        <w:t>Barro, Robert J. 1979. “On the Determination of the Public Debt.” Journal of Political Economy 87 (5): 940–971.</w:t>
      </w:r>
    </w:p>
    <w:p w14:paraId="46BDC382" w14:textId="77777777" w:rsidR="00AE1D79" w:rsidRPr="00AE1D79" w:rsidRDefault="00AE1D79" w:rsidP="00AE1D79">
      <w:pPr>
        <w:pStyle w:val="Body"/>
        <w:rPr>
          <w:rFonts w:ascii="Arial" w:hAnsi="Arial" w:cs="Arial"/>
        </w:rPr>
      </w:pPr>
      <w:r w:rsidRPr="00AE1D79">
        <w:rPr>
          <w:rFonts w:ascii="Arial" w:hAnsi="Arial" w:cs="Arial"/>
        </w:rPr>
        <w:t>Blanchard, Olivier. 2019. “Public Debt and Low Interest Rates.” American Economic Review 109 (4): 1197–1229.</w:t>
      </w:r>
    </w:p>
    <w:p w14:paraId="7902216C" w14:textId="77777777" w:rsidR="00AE1D79" w:rsidRPr="00AE1D79" w:rsidRDefault="00AE1D79" w:rsidP="00AE1D79">
      <w:pPr>
        <w:pStyle w:val="Body"/>
        <w:rPr>
          <w:rFonts w:ascii="Arial" w:hAnsi="Arial" w:cs="Arial"/>
        </w:rPr>
      </w:pPr>
      <w:r w:rsidRPr="00AE1D79">
        <w:rPr>
          <w:rFonts w:ascii="Arial" w:hAnsi="Arial" w:cs="Arial"/>
        </w:rPr>
        <w:t>Buchanan, James M. 1958. Public Principles of Public Debt. Homewood, IL: Richard D. Irwin.</w:t>
      </w:r>
    </w:p>
    <w:p w14:paraId="61C92C36" w14:textId="77777777" w:rsidR="00AE1D79" w:rsidRPr="00AE1D79" w:rsidRDefault="00AE1D79" w:rsidP="00AE1D79">
      <w:pPr>
        <w:pStyle w:val="Body"/>
        <w:rPr>
          <w:rFonts w:ascii="Arial" w:hAnsi="Arial" w:cs="Arial"/>
        </w:rPr>
      </w:pPr>
      <w:r w:rsidRPr="00AE1D79">
        <w:rPr>
          <w:rFonts w:ascii="Arial" w:hAnsi="Arial" w:cs="Arial"/>
        </w:rPr>
        <w:t>Buiter, Willem, and Urjit R. Patel. 1992. “Debt, Deficits and Inflation: An Application to the Public Finances of India.” Journal of Public Economics 47 (2): 171–205.</w:t>
      </w:r>
    </w:p>
    <w:p w14:paraId="7DB1F6BE" w14:textId="77777777" w:rsidR="00AE1D79" w:rsidRPr="00AE1D79" w:rsidRDefault="00AE1D79" w:rsidP="00AE1D79">
      <w:pPr>
        <w:pStyle w:val="Body"/>
        <w:rPr>
          <w:rFonts w:ascii="Arial" w:hAnsi="Arial" w:cs="Arial"/>
        </w:rPr>
      </w:pPr>
      <w:proofErr w:type="spellStart"/>
      <w:r w:rsidRPr="00AE1D79">
        <w:rPr>
          <w:rFonts w:ascii="Arial" w:hAnsi="Arial" w:cs="Arial"/>
        </w:rPr>
        <w:t>D’Erasmo</w:t>
      </w:r>
      <w:proofErr w:type="spellEnd"/>
      <w:r w:rsidRPr="00AE1D79">
        <w:rPr>
          <w:rFonts w:ascii="Arial" w:hAnsi="Arial" w:cs="Arial"/>
        </w:rPr>
        <w:t>, Pablo, Enrique G. Mendoza, and Jing Zhang. 2016. “What is a Sustainable Public Debt?” In Handbook of Macroeconomics, Vol. 2, edited by John B. Taylor and Harald Uhlig, 2493–2597. Amsterdam: Elsevier.</w:t>
      </w:r>
    </w:p>
    <w:p w14:paraId="2F53E324" w14:textId="77777777" w:rsidR="00AE1D79" w:rsidRPr="00AE1D79" w:rsidRDefault="00AE1D79" w:rsidP="00AE1D79">
      <w:pPr>
        <w:pStyle w:val="Body"/>
        <w:rPr>
          <w:rFonts w:ascii="Arial" w:hAnsi="Arial" w:cs="Arial"/>
        </w:rPr>
      </w:pPr>
      <w:r w:rsidRPr="00AE1D79">
        <w:rPr>
          <w:rFonts w:ascii="Arial" w:hAnsi="Arial" w:cs="Arial"/>
        </w:rPr>
        <w:t>George, K. K. 1998. Kerala’s Fiscal Crisis: Causes and Consequences. New Delhi: National Institute of Public Finance and Policy.</w:t>
      </w:r>
    </w:p>
    <w:p w14:paraId="403DA954" w14:textId="77777777" w:rsidR="00AE1D79" w:rsidRPr="00AE1D79" w:rsidRDefault="00AE1D79" w:rsidP="00AE1D79">
      <w:pPr>
        <w:pStyle w:val="Body"/>
        <w:rPr>
          <w:rFonts w:ascii="Arial" w:hAnsi="Arial" w:cs="Arial"/>
        </w:rPr>
      </w:pPr>
      <w:r w:rsidRPr="00AE1D79">
        <w:rPr>
          <w:rFonts w:ascii="Arial" w:hAnsi="Arial" w:cs="Arial"/>
        </w:rPr>
        <w:t>International Monetary Fund (IMF). 2002. Assessing Sustainability. Washington, DC: International Monetary Fund.</w:t>
      </w:r>
    </w:p>
    <w:p w14:paraId="1895DFC6" w14:textId="77777777" w:rsidR="00AE1D79" w:rsidRPr="00AE1D79" w:rsidRDefault="00AE1D79" w:rsidP="00AE1D79">
      <w:pPr>
        <w:pStyle w:val="Body"/>
        <w:rPr>
          <w:rFonts w:ascii="Arial" w:hAnsi="Arial" w:cs="Arial"/>
        </w:rPr>
      </w:pPr>
      <w:r w:rsidRPr="00AE1D79">
        <w:rPr>
          <w:rFonts w:ascii="Arial" w:hAnsi="Arial" w:cs="Arial"/>
        </w:rPr>
        <w:t>International Monetary Fund (IMF) and World Bank. 2018. Debt Sustainability Framework for Low-Income Countries. Washington, DC: IMF and World Bank.</w:t>
      </w:r>
    </w:p>
    <w:p w14:paraId="48B663C1" w14:textId="77777777" w:rsidR="00AE1D79" w:rsidRPr="00AE1D79" w:rsidRDefault="00AE1D79" w:rsidP="00AE1D79">
      <w:pPr>
        <w:pStyle w:val="Body"/>
        <w:rPr>
          <w:rFonts w:ascii="Arial" w:hAnsi="Arial" w:cs="Arial"/>
        </w:rPr>
      </w:pPr>
      <w:r w:rsidRPr="00AE1D79">
        <w:rPr>
          <w:rFonts w:ascii="Arial" w:hAnsi="Arial" w:cs="Arial"/>
        </w:rPr>
        <w:t>Jeromi, P. D. 2003. “Fiscal Imbalances in Kerala: Causes and Consequences.” Economic and Political Weekly 38 (44): 4706–4711.</w:t>
      </w:r>
    </w:p>
    <w:p w14:paraId="181DBF21" w14:textId="77777777" w:rsidR="00AE1D79" w:rsidRPr="00AE1D79" w:rsidRDefault="00AE1D79" w:rsidP="00AE1D79">
      <w:pPr>
        <w:pStyle w:val="Body"/>
        <w:rPr>
          <w:rFonts w:ascii="Arial" w:hAnsi="Arial" w:cs="Arial"/>
        </w:rPr>
      </w:pPr>
      <w:r w:rsidRPr="00AE1D79">
        <w:rPr>
          <w:rFonts w:ascii="Arial" w:hAnsi="Arial" w:cs="Arial"/>
        </w:rPr>
        <w:t>Keynes, John Maynard. 1936. The General Theory of Employment, Interest and Money. London: Macmillan.</w:t>
      </w:r>
    </w:p>
    <w:p w14:paraId="483A0A90" w14:textId="77777777" w:rsidR="00AE1D79" w:rsidRPr="00AE1D79" w:rsidRDefault="00AE1D79" w:rsidP="00AE1D79">
      <w:pPr>
        <w:pStyle w:val="Body"/>
        <w:rPr>
          <w:rFonts w:ascii="Arial" w:hAnsi="Arial" w:cs="Arial"/>
        </w:rPr>
      </w:pPr>
      <w:r w:rsidRPr="00AE1D79">
        <w:rPr>
          <w:rFonts w:ascii="Arial" w:hAnsi="Arial" w:cs="Arial"/>
        </w:rPr>
        <w:t>Kumar, M. S., and Teresa Ter-Minassian, eds. 2007. Promoting Fiscal Discipline. Washington, DC: International Monetary Fund.</w:t>
      </w:r>
    </w:p>
    <w:p w14:paraId="75B40B47" w14:textId="77777777" w:rsidR="00AE1D79" w:rsidRPr="00AE1D79" w:rsidRDefault="00AE1D79" w:rsidP="00AE1D79">
      <w:pPr>
        <w:pStyle w:val="Body"/>
        <w:rPr>
          <w:rFonts w:ascii="Arial" w:hAnsi="Arial" w:cs="Arial"/>
        </w:rPr>
      </w:pPr>
      <w:r w:rsidRPr="00AE1D79">
        <w:rPr>
          <w:rFonts w:ascii="Arial" w:hAnsi="Arial" w:cs="Arial"/>
        </w:rPr>
        <w:t>Lahiri, Ashok, and Lekha Chakraborty. 2001. “Fiscal Consolidation, Budget Deficits and the FRBM Debate in India.” Economic and Political Weekly.</w:t>
      </w:r>
    </w:p>
    <w:p w14:paraId="1721A240" w14:textId="77777777" w:rsidR="00AE1D79" w:rsidRPr="00AE1D79" w:rsidRDefault="00AE1D79" w:rsidP="00AE1D79">
      <w:pPr>
        <w:pStyle w:val="Body"/>
        <w:rPr>
          <w:rFonts w:ascii="Arial" w:hAnsi="Arial" w:cs="Arial"/>
        </w:rPr>
      </w:pPr>
      <w:r w:rsidRPr="00AE1D79">
        <w:rPr>
          <w:rFonts w:ascii="Arial" w:hAnsi="Arial" w:cs="Arial"/>
        </w:rPr>
        <w:t xml:space="preserve">Lakshmanan, T. Liji. 2019. “Revisiting the Sustainability of Kerala State Finances.” </w:t>
      </w:r>
      <w:proofErr w:type="spellStart"/>
      <w:r w:rsidRPr="00AE1D79">
        <w:rPr>
          <w:rFonts w:ascii="Arial" w:hAnsi="Arial" w:cs="Arial"/>
        </w:rPr>
        <w:t>Arthshastra</w:t>
      </w:r>
      <w:proofErr w:type="spellEnd"/>
      <w:r w:rsidRPr="00AE1D79">
        <w:rPr>
          <w:rFonts w:ascii="Arial" w:hAnsi="Arial" w:cs="Arial"/>
        </w:rPr>
        <w:t xml:space="preserve"> Indian Journal of Economics &amp; Research 8 (1).</w:t>
      </w:r>
    </w:p>
    <w:p w14:paraId="005A23AE" w14:textId="77777777" w:rsidR="00AE1D79" w:rsidRPr="00AE1D79" w:rsidRDefault="00AE1D79" w:rsidP="00AE1D79">
      <w:pPr>
        <w:pStyle w:val="Body"/>
        <w:rPr>
          <w:rFonts w:ascii="Arial" w:hAnsi="Arial" w:cs="Arial"/>
        </w:rPr>
      </w:pPr>
      <w:r w:rsidRPr="00AE1D79">
        <w:rPr>
          <w:rFonts w:ascii="Arial" w:hAnsi="Arial" w:cs="Arial"/>
        </w:rPr>
        <w:t>Mohan, Rakesh. 2000. “Fiscal Correction for Economic Growth: Data Analysis and Suggestions.” Economic and Political Weekly.</w:t>
      </w:r>
    </w:p>
    <w:p w14:paraId="1D17870E" w14:textId="77777777" w:rsidR="00AE1D79" w:rsidRPr="00AE1D79" w:rsidRDefault="00AE1D79" w:rsidP="00AE1D79">
      <w:pPr>
        <w:pStyle w:val="Body"/>
        <w:rPr>
          <w:rFonts w:ascii="Arial" w:hAnsi="Arial" w:cs="Arial"/>
        </w:rPr>
      </w:pPr>
      <w:r w:rsidRPr="00AE1D79">
        <w:rPr>
          <w:rFonts w:ascii="Arial" w:hAnsi="Arial" w:cs="Arial"/>
        </w:rPr>
        <w:t>Musgrave, Richard A. 1959. The Theory of Public Finance: A Study in Public Economy. New York: McGraw-Hill.</w:t>
      </w:r>
    </w:p>
    <w:p w14:paraId="2AA4EA72" w14:textId="77777777" w:rsidR="00AE1D79" w:rsidRPr="00AE1D79" w:rsidRDefault="00AE1D79" w:rsidP="00AE1D79">
      <w:pPr>
        <w:pStyle w:val="Body"/>
        <w:rPr>
          <w:rFonts w:ascii="Arial" w:hAnsi="Arial" w:cs="Arial"/>
        </w:rPr>
      </w:pPr>
      <w:r w:rsidRPr="00AE1D79">
        <w:rPr>
          <w:rFonts w:ascii="Arial" w:hAnsi="Arial" w:cs="Arial"/>
        </w:rPr>
        <w:t>Oommen, M. A., and D. Narayana. 2001. “The Fiscal Health of Kerala.” Centre for Development Studies Working Paper.</w:t>
      </w:r>
    </w:p>
    <w:p w14:paraId="13C2EEC9" w14:textId="77777777" w:rsidR="00AE1D79" w:rsidRPr="00AE1D79" w:rsidRDefault="00AE1D79" w:rsidP="00AE1D79">
      <w:pPr>
        <w:pStyle w:val="Body"/>
        <w:rPr>
          <w:rFonts w:ascii="Arial" w:hAnsi="Arial" w:cs="Arial"/>
        </w:rPr>
      </w:pPr>
      <w:proofErr w:type="spellStart"/>
      <w:r w:rsidRPr="00AE1D79">
        <w:rPr>
          <w:rFonts w:ascii="Arial" w:hAnsi="Arial" w:cs="Arial"/>
        </w:rPr>
        <w:t>Panancheri</w:t>
      </w:r>
      <w:proofErr w:type="spellEnd"/>
      <w:r w:rsidRPr="00AE1D79">
        <w:rPr>
          <w:rFonts w:ascii="Arial" w:hAnsi="Arial" w:cs="Arial"/>
        </w:rPr>
        <w:t>, Ashraf. 2025. “Debt, Growth and the Domar Gap: Is Kerala’s Public Debt Sustainable?” Asian Research Journal of Arts &amp; Social Sciences 23 (11): 119–130.</w:t>
      </w:r>
    </w:p>
    <w:p w14:paraId="384F408E" w14:textId="77777777" w:rsidR="00AE1D79" w:rsidRPr="00AE1D79" w:rsidRDefault="00AE1D79" w:rsidP="00AE1D79">
      <w:pPr>
        <w:pStyle w:val="Body"/>
        <w:rPr>
          <w:rFonts w:ascii="Arial" w:hAnsi="Arial" w:cs="Arial"/>
        </w:rPr>
      </w:pPr>
      <w:r w:rsidRPr="00AE1D79">
        <w:rPr>
          <w:rFonts w:ascii="Arial" w:hAnsi="Arial" w:cs="Arial"/>
        </w:rPr>
        <w:lastRenderedPageBreak/>
        <w:t>Pradhan, Krishanu. 2014. “Is India’s Public Debt Sustainable?” Journal of Emerging Market Finance 13 (2): 145–160.</w:t>
      </w:r>
    </w:p>
    <w:p w14:paraId="536C4F84" w14:textId="77777777" w:rsidR="00AE1D79" w:rsidRPr="00AE1D79" w:rsidRDefault="00AE1D79" w:rsidP="00AE1D79">
      <w:pPr>
        <w:pStyle w:val="Body"/>
        <w:rPr>
          <w:rFonts w:ascii="Arial" w:hAnsi="Arial" w:cs="Arial"/>
        </w:rPr>
      </w:pPr>
      <w:r w:rsidRPr="00AE1D79">
        <w:rPr>
          <w:rFonts w:ascii="Arial" w:hAnsi="Arial" w:cs="Arial"/>
        </w:rPr>
        <w:t>Prakash, B. A. 2000. Kerala’s Economic Development: Issues and Problems. New Delhi: Sage Publications.</w:t>
      </w:r>
    </w:p>
    <w:p w14:paraId="7D33632D" w14:textId="77777777" w:rsidR="00AE1D79" w:rsidRPr="00AE1D79" w:rsidRDefault="00AE1D79" w:rsidP="00AE1D79">
      <w:pPr>
        <w:pStyle w:val="Body"/>
        <w:rPr>
          <w:rFonts w:ascii="Arial" w:hAnsi="Arial" w:cs="Arial"/>
        </w:rPr>
      </w:pPr>
      <w:r w:rsidRPr="00AE1D79">
        <w:rPr>
          <w:rFonts w:ascii="Arial" w:hAnsi="Arial" w:cs="Arial"/>
        </w:rPr>
        <w:t xml:space="preserve">Raj, Akhila Sunil, and Rahul Thekkedath. 2025. “Public Debt Dynamics and Debt Sustainability: An Analysis of Kerala State.” </w:t>
      </w:r>
      <w:proofErr w:type="spellStart"/>
      <w:r w:rsidRPr="00AE1D79">
        <w:rPr>
          <w:rFonts w:ascii="Arial" w:hAnsi="Arial" w:cs="Arial"/>
        </w:rPr>
        <w:t>Arthaniti</w:t>
      </w:r>
      <w:proofErr w:type="spellEnd"/>
      <w:r w:rsidRPr="00AE1D79">
        <w:rPr>
          <w:rFonts w:ascii="Arial" w:hAnsi="Arial" w:cs="Arial"/>
        </w:rPr>
        <w:t>: Journal of Economic Theory and Practice.</w:t>
      </w:r>
    </w:p>
    <w:p w14:paraId="3770A897" w14:textId="77777777" w:rsidR="00AE1D79" w:rsidRPr="00AE1D79" w:rsidRDefault="00AE1D79" w:rsidP="00AE1D79">
      <w:pPr>
        <w:pStyle w:val="Body"/>
        <w:rPr>
          <w:rFonts w:ascii="Arial" w:hAnsi="Arial" w:cs="Arial"/>
        </w:rPr>
      </w:pPr>
      <w:r w:rsidRPr="00AE1D79">
        <w:rPr>
          <w:rFonts w:ascii="Arial" w:hAnsi="Arial" w:cs="Arial"/>
        </w:rPr>
        <w:t xml:space="preserve">Rangarajan, C., and D. K. Srivastava. 2005. Fiscal Deficits and Government Debt in India: Implications for Growth and </w:t>
      </w:r>
      <w:proofErr w:type="spellStart"/>
      <w:r w:rsidRPr="00AE1D79">
        <w:rPr>
          <w:rFonts w:ascii="Arial" w:hAnsi="Arial" w:cs="Arial"/>
        </w:rPr>
        <w:t>Stabilisation</w:t>
      </w:r>
      <w:proofErr w:type="spellEnd"/>
      <w:r w:rsidRPr="00AE1D79">
        <w:rPr>
          <w:rFonts w:ascii="Arial" w:hAnsi="Arial" w:cs="Arial"/>
        </w:rPr>
        <w:t>. New Delhi: Economic and Political Weekly Research Foundation.</w:t>
      </w:r>
    </w:p>
    <w:p w14:paraId="78006A6A" w14:textId="77777777" w:rsidR="00AE1D79" w:rsidRPr="00AE1D79" w:rsidRDefault="00AE1D79" w:rsidP="00AE1D79">
      <w:pPr>
        <w:pStyle w:val="Body"/>
        <w:rPr>
          <w:rFonts w:ascii="Arial" w:hAnsi="Arial" w:cs="Arial"/>
        </w:rPr>
      </w:pPr>
      <w:r w:rsidRPr="00AE1D79">
        <w:rPr>
          <w:rFonts w:ascii="Arial" w:hAnsi="Arial" w:cs="Arial"/>
        </w:rPr>
        <w:t>Reserve Bank of India. Various years. State Finances: A Study of Budgets. Mumbai: RBI.</w:t>
      </w:r>
    </w:p>
    <w:p w14:paraId="42FF623D" w14:textId="77777777" w:rsidR="00AE1D79" w:rsidRPr="00AE1D79" w:rsidRDefault="00AE1D79" w:rsidP="00AE1D79">
      <w:pPr>
        <w:pStyle w:val="Body"/>
        <w:rPr>
          <w:rFonts w:ascii="Arial" w:hAnsi="Arial" w:cs="Arial"/>
        </w:rPr>
      </w:pPr>
      <w:r w:rsidRPr="00AE1D79">
        <w:rPr>
          <w:rFonts w:ascii="Arial" w:hAnsi="Arial" w:cs="Arial"/>
        </w:rPr>
        <w:t>Singh, Y. V. Reddy, and G. R. Reddy. 2005. “Fiscal Responsibility Legislation in India: A Suggestion.” Economic and Political Weekly.</w:t>
      </w:r>
    </w:p>
    <w:p w14:paraId="5A689035" w14:textId="77777777" w:rsidR="00AE1D79" w:rsidRPr="00AE1D79" w:rsidRDefault="00AE1D79" w:rsidP="00AE1D79">
      <w:pPr>
        <w:pStyle w:val="Body"/>
        <w:rPr>
          <w:rFonts w:ascii="Arial" w:hAnsi="Arial" w:cs="Arial"/>
        </w:rPr>
      </w:pPr>
      <w:r w:rsidRPr="00AE1D79">
        <w:rPr>
          <w:rFonts w:ascii="Arial" w:hAnsi="Arial" w:cs="Arial"/>
        </w:rPr>
        <w:t>Srivastava, D. K., and Sudipto Mundle. 2003. “Containing Public Debt in India: The Impact of the FRBM Act.” National Institute of Public Finance and Policy (NIPFP) Working Paper.</w:t>
      </w:r>
    </w:p>
    <w:p w14:paraId="2104CF59" w14:textId="7871171E" w:rsidR="00AE1D79" w:rsidRDefault="00AE1D79" w:rsidP="00AE1D79">
      <w:pPr>
        <w:pStyle w:val="Body"/>
        <w:rPr>
          <w:rFonts w:ascii="Arial" w:hAnsi="Arial" w:cs="Arial"/>
        </w:rPr>
      </w:pPr>
      <w:proofErr w:type="spellStart"/>
      <w:r w:rsidRPr="00AE1D79">
        <w:rPr>
          <w:rFonts w:ascii="Arial" w:hAnsi="Arial" w:cs="Arial"/>
        </w:rPr>
        <w:t>Wyplosz</w:t>
      </w:r>
      <w:proofErr w:type="spellEnd"/>
      <w:r w:rsidRPr="00AE1D79">
        <w:rPr>
          <w:rFonts w:ascii="Arial" w:hAnsi="Arial" w:cs="Arial"/>
        </w:rPr>
        <w:t>, Charles. 2007. “Debt Sustainability Assessment: The IMF Approach and Alternatives.” Graduate Institute of International Studies Working Paper, Geneva.</w:t>
      </w:r>
    </w:p>
    <w:p w14:paraId="4CB1F4BC" w14:textId="77777777" w:rsidR="002B685A" w:rsidRDefault="002B685A" w:rsidP="00451971">
      <w:pPr>
        <w:pStyle w:val="ReferHead"/>
        <w:spacing w:after="0"/>
        <w:jc w:val="both"/>
        <w:rPr>
          <w:rFonts w:ascii="Arial" w:hAnsi="Arial" w:cs="Arial"/>
          <w:b w:val="0"/>
          <w:caps w:val="0"/>
          <w:sz w:val="20"/>
        </w:rPr>
      </w:pPr>
    </w:p>
    <w:p w14:paraId="063BA493" w14:textId="77777777" w:rsidR="0041027F" w:rsidRDefault="0041027F" w:rsidP="00441B6F">
      <w:pPr>
        <w:pStyle w:val="ReferHead"/>
        <w:spacing w:after="0"/>
        <w:jc w:val="both"/>
        <w:rPr>
          <w:rFonts w:ascii="Arial" w:hAnsi="Arial" w:cs="Arial"/>
          <w:b w:val="0"/>
          <w:caps w:val="0"/>
          <w:sz w:val="20"/>
        </w:rPr>
      </w:pPr>
    </w:p>
    <w:sectPr w:rsidR="0041027F" w:rsidSect="00A7380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3AEF" w14:textId="77777777" w:rsidR="00ED71AE" w:rsidRDefault="00ED71AE" w:rsidP="00C37E61">
      <w:r>
        <w:separator/>
      </w:r>
    </w:p>
  </w:endnote>
  <w:endnote w:type="continuationSeparator" w:id="0">
    <w:p w14:paraId="7ACD34DB" w14:textId="77777777" w:rsidR="00ED71AE" w:rsidRDefault="00ED71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8AA8" w14:textId="77777777" w:rsidR="005910EB" w:rsidRDefault="00591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010" w14:textId="77777777" w:rsidR="005910EB" w:rsidRDefault="00591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BACF" w14:textId="77777777" w:rsidR="005E53BF" w:rsidRDefault="005E53BF">
    <w:pPr>
      <w:pStyle w:val="Footer"/>
      <w:rPr>
        <w:rFonts w:ascii="Arial" w:hAnsi="Arial" w:cs="Arial"/>
        <w:sz w:val="16"/>
      </w:rPr>
    </w:pPr>
  </w:p>
  <w:p w14:paraId="49D2650D" w14:textId="77777777" w:rsidR="005E53BF" w:rsidRDefault="005E53B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7B7300" w14:textId="77777777" w:rsidR="005E53BF" w:rsidRDefault="005E53BF">
    <w:pPr>
      <w:pStyle w:val="Footer"/>
      <w:rPr>
        <w:rFonts w:ascii="Arial" w:hAnsi="Arial" w:cs="Arial"/>
        <w:sz w:val="16"/>
      </w:rPr>
    </w:pPr>
  </w:p>
  <w:p w14:paraId="45F78138" w14:textId="2D82057F" w:rsidR="005E53BF" w:rsidRPr="009E048A" w:rsidRDefault="005E53BF">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618F" w14:textId="77777777" w:rsidR="00ED71AE" w:rsidRDefault="00ED71AE" w:rsidP="00C37E61">
      <w:r>
        <w:separator/>
      </w:r>
    </w:p>
  </w:footnote>
  <w:footnote w:type="continuationSeparator" w:id="0">
    <w:p w14:paraId="4DD3454B" w14:textId="77777777" w:rsidR="00ED71AE" w:rsidRDefault="00ED71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61C1" w14:textId="6231B5A8" w:rsidR="005910EB" w:rsidRDefault="005910EB">
    <w:pPr>
      <w:pStyle w:val="Header"/>
    </w:pPr>
    <w:r>
      <w:rPr>
        <w:noProof/>
      </w:rPr>
      <w:pict w14:anchorId="184D2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1"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597A" w14:textId="44CDBA91" w:rsidR="005910EB" w:rsidRDefault="005910EB">
    <w:pPr>
      <w:pStyle w:val="Header"/>
    </w:pPr>
    <w:r>
      <w:rPr>
        <w:noProof/>
      </w:rPr>
      <w:pict w14:anchorId="06E61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2"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86A6" w14:textId="0851696F" w:rsidR="005E53BF" w:rsidRPr="00296529" w:rsidRDefault="005910EB" w:rsidP="00296529">
    <w:pPr>
      <w:ind w:left="2160"/>
      <w:jc w:val="center"/>
      <w:rPr>
        <w:rFonts w:ascii="Times New Roman" w:eastAsia="Calibri" w:hAnsi="Times New Roman"/>
        <w:i/>
        <w:sz w:val="18"/>
        <w:szCs w:val="22"/>
      </w:rPr>
    </w:pPr>
    <w:r>
      <w:rPr>
        <w:noProof/>
      </w:rPr>
      <w:pict w14:anchorId="51CB8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0250"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763E30" w14:textId="77777777" w:rsidR="005E53BF" w:rsidRPr="00296529" w:rsidRDefault="005E53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3C6D8A" w14:textId="77777777" w:rsidR="005E53BF" w:rsidRPr="00296529" w:rsidRDefault="005E53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430028" w14:textId="77777777" w:rsidR="005E53BF" w:rsidRPr="00296529" w:rsidRDefault="005E53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69BAC6" w14:textId="77777777" w:rsidR="005E53BF" w:rsidRDefault="005E53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F1944" w14:textId="77777777" w:rsidR="005E53BF" w:rsidRDefault="005E53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E946A9" w14:textId="77777777" w:rsidR="005E53BF" w:rsidRDefault="005E53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840FF7"/>
    <w:multiLevelType w:val="hybridMultilevel"/>
    <w:tmpl w:val="828A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407399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5486566">
    <w:abstractNumId w:val="16"/>
  </w:num>
  <w:num w:numId="3" w16cid:durableId="538468329">
    <w:abstractNumId w:val="24"/>
  </w:num>
  <w:num w:numId="4" w16cid:durableId="7592524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20683241">
    <w:abstractNumId w:val="7"/>
  </w:num>
  <w:num w:numId="6" w16cid:durableId="1639728582">
    <w:abstractNumId w:val="6"/>
  </w:num>
  <w:num w:numId="7" w16cid:durableId="2099520109">
    <w:abstractNumId w:val="1"/>
  </w:num>
  <w:num w:numId="8" w16cid:durableId="504170730">
    <w:abstractNumId w:val="12"/>
  </w:num>
  <w:num w:numId="9" w16cid:durableId="558635648">
    <w:abstractNumId w:val="26"/>
  </w:num>
  <w:num w:numId="10" w16cid:durableId="1872037415">
    <w:abstractNumId w:val="2"/>
  </w:num>
  <w:num w:numId="11" w16cid:durableId="700787044">
    <w:abstractNumId w:val="19"/>
  </w:num>
  <w:num w:numId="12" w16cid:durableId="2109885489">
    <w:abstractNumId w:val="3"/>
  </w:num>
  <w:num w:numId="13" w16cid:durableId="270284851">
    <w:abstractNumId w:val="18"/>
  </w:num>
  <w:num w:numId="14" w16cid:durableId="51080251">
    <w:abstractNumId w:val="8"/>
  </w:num>
  <w:num w:numId="15" w16cid:durableId="1915242296">
    <w:abstractNumId w:val="22"/>
  </w:num>
  <w:num w:numId="16" w16cid:durableId="1859239">
    <w:abstractNumId w:val="5"/>
  </w:num>
  <w:num w:numId="17" w16cid:durableId="1234123271">
    <w:abstractNumId w:val="23"/>
  </w:num>
  <w:num w:numId="18" w16cid:durableId="1658071022">
    <w:abstractNumId w:val="14"/>
  </w:num>
  <w:num w:numId="19" w16cid:durableId="376392412">
    <w:abstractNumId w:val="29"/>
  </w:num>
  <w:num w:numId="20" w16cid:durableId="415441057">
    <w:abstractNumId w:val="11"/>
  </w:num>
  <w:num w:numId="21" w16cid:durableId="696464984">
    <w:abstractNumId w:val="9"/>
  </w:num>
  <w:num w:numId="22" w16cid:durableId="575896634">
    <w:abstractNumId w:val="13"/>
  </w:num>
  <w:num w:numId="23" w16cid:durableId="420294107">
    <w:abstractNumId w:val="20"/>
  </w:num>
  <w:num w:numId="24" w16cid:durableId="903639525">
    <w:abstractNumId w:val="27"/>
  </w:num>
  <w:num w:numId="25" w16cid:durableId="1496414490">
    <w:abstractNumId w:val="4"/>
  </w:num>
  <w:num w:numId="26" w16cid:durableId="828250195">
    <w:abstractNumId w:val="17"/>
  </w:num>
  <w:num w:numId="27" w16cid:durableId="486240757">
    <w:abstractNumId w:val="21"/>
  </w:num>
  <w:num w:numId="28" w16cid:durableId="1419716470">
    <w:abstractNumId w:val="28"/>
  </w:num>
  <w:num w:numId="29" w16cid:durableId="1518696352">
    <w:abstractNumId w:val="25"/>
  </w:num>
  <w:num w:numId="30" w16cid:durableId="1712342080">
    <w:abstractNumId w:val="10"/>
  </w:num>
  <w:num w:numId="31" w16cid:durableId="1487286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ABE"/>
    <w:rsid w:val="00034093"/>
    <w:rsid w:val="0004579C"/>
    <w:rsid w:val="000A47FA"/>
    <w:rsid w:val="000A65D3"/>
    <w:rsid w:val="000B1AFD"/>
    <w:rsid w:val="000B1E33"/>
    <w:rsid w:val="000C3EE4"/>
    <w:rsid w:val="000D689F"/>
    <w:rsid w:val="000E7B7B"/>
    <w:rsid w:val="000E7D62"/>
    <w:rsid w:val="00103357"/>
    <w:rsid w:val="00123C9F"/>
    <w:rsid w:val="00126190"/>
    <w:rsid w:val="00126CF7"/>
    <w:rsid w:val="00130F17"/>
    <w:rsid w:val="001320BF"/>
    <w:rsid w:val="001419DF"/>
    <w:rsid w:val="00163BC4"/>
    <w:rsid w:val="00181503"/>
    <w:rsid w:val="00191062"/>
    <w:rsid w:val="00192B72"/>
    <w:rsid w:val="001A29D8"/>
    <w:rsid w:val="001A5CAA"/>
    <w:rsid w:val="001B0427"/>
    <w:rsid w:val="001C50E5"/>
    <w:rsid w:val="001D28E7"/>
    <w:rsid w:val="001D3A51"/>
    <w:rsid w:val="001E10D2"/>
    <w:rsid w:val="001E25B4"/>
    <w:rsid w:val="001E44FE"/>
    <w:rsid w:val="00200595"/>
    <w:rsid w:val="00204835"/>
    <w:rsid w:val="00205B52"/>
    <w:rsid w:val="00231920"/>
    <w:rsid w:val="0023195C"/>
    <w:rsid w:val="0024282C"/>
    <w:rsid w:val="00245894"/>
    <w:rsid w:val="002460DC"/>
    <w:rsid w:val="00250985"/>
    <w:rsid w:val="002556F6"/>
    <w:rsid w:val="00283105"/>
    <w:rsid w:val="002845BB"/>
    <w:rsid w:val="00284C4C"/>
    <w:rsid w:val="00287E68"/>
    <w:rsid w:val="00296529"/>
    <w:rsid w:val="002A007B"/>
    <w:rsid w:val="002B27FB"/>
    <w:rsid w:val="002B685A"/>
    <w:rsid w:val="002C57D2"/>
    <w:rsid w:val="002E0D56"/>
    <w:rsid w:val="002E3515"/>
    <w:rsid w:val="002E4D10"/>
    <w:rsid w:val="00315186"/>
    <w:rsid w:val="0033343E"/>
    <w:rsid w:val="003512C2"/>
    <w:rsid w:val="00371FB6"/>
    <w:rsid w:val="003763C1"/>
    <w:rsid w:val="00376BBE"/>
    <w:rsid w:val="00376FAC"/>
    <w:rsid w:val="0039224F"/>
    <w:rsid w:val="003A40F1"/>
    <w:rsid w:val="003A43A4"/>
    <w:rsid w:val="003A7E18"/>
    <w:rsid w:val="003C4C86"/>
    <w:rsid w:val="003C5464"/>
    <w:rsid w:val="003C6258"/>
    <w:rsid w:val="003E2904"/>
    <w:rsid w:val="003F0361"/>
    <w:rsid w:val="003F283F"/>
    <w:rsid w:val="00401927"/>
    <w:rsid w:val="0041027F"/>
    <w:rsid w:val="00412475"/>
    <w:rsid w:val="00423789"/>
    <w:rsid w:val="00440F43"/>
    <w:rsid w:val="00441B6F"/>
    <w:rsid w:val="00446221"/>
    <w:rsid w:val="00450E62"/>
    <w:rsid w:val="00451971"/>
    <w:rsid w:val="004539DB"/>
    <w:rsid w:val="00463F70"/>
    <w:rsid w:val="00471A80"/>
    <w:rsid w:val="004D305E"/>
    <w:rsid w:val="004D4277"/>
    <w:rsid w:val="00502516"/>
    <w:rsid w:val="00505F06"/>
    <w:rsid w:val="00506828"/>
    <w:rsid w:val="0053056E"/>
    <w:rsid w:val="00554FDA"/>
    <w:rsid w:val="00585896"/>
    <w:rsid w:val="005910EB"/>
    <w:rsid w:val="00596125"/>
    <w:rsid w:val="005B5062"/>
    <w:rsid w:val="005C784C"/>
    <w:rsid w:val="005D17F6"/>
    <w:rsid w:val="005E53BF"/>
    <w:rsid w:val="005E5539"/>
    <w:rsid w:val="005F4485"/>
    <w:rsid w:val="005F7607"/>
    <w:rsid w:val="00602BF5"/>
    <w:rsid w:val="00617099"/>
    <w:rsid w:val="00617FDD"/>
    <w:rsid w:val="00621CD2"/>
    <w:rsid w:val="006310F8"/>
    <w:rsid w:val="00633614"/>
    <w:rsid w:val="00633F68"/>
    <w:rsid w:val="00636EB2"/>
    <w:rsid w:val="006375B8"/>
    <w:rsid w:val="00652B8D"/>
    <w:rsid w:val="0066510A"/>
    <w:rsid w:val="00673F9F"/>
    <w:rsid w:val="00686953"/>
    <w:rsid w:val="00687DEA"/>
    <w:rsid w:val="00687E67"/>
    <w:rsid w:val="006967F7"/>
    <w:rsid w:val="006A250C"/>
    <w:rsid w:val="006B21D3"/>
    <w:rsid w:val="006B57D0"/>
    <w:rsid w:val="006D26EC"/>
    <w:rsid w:val="006D30FF"/>
    <w:rsid w:val="006D6940"/>
    <w:rsid w:val="006F11EC"/>
    <w:rsid w:val="0070082C"/>
    <w:rsid w:val="00706CC5"/>
    <w:rsid w:val="00714E40"/>
    <w:rsid w:val="00715949"/>
    <w:rsid w:val="00720F4E"/>
    <w:rsid w:val="007369E6"/>
    <w:rsid w:val="00746E59"/>
    <w:rsid w:val="00754C9A"/>
    <w:rsid w:val="0075599A"/>
    <w:rsid w:val="00761D52"/>
    <w:rsid w:val="0077749E"/>
    <w:rsid w:val="00777C25"/>
    <w:rsid w:val="00790ADA"/>
    <w:rsid w:val="007B0317"/>
    <w:rsid w:val="007D2288"/>
    <w:rsid w:val="007E088F"/>
    <w:rsid w:val="007F7B32"/>
    <w:rsid w:val="0080036A"/>
    <w:rsid w:val="00804BC2"/>
    <w:rsid w:val="00813E5A"/>
    <w:rsid w:val="0081431A"/>
    <w:rsid w:val="008279E7"/>
    <w:rsid w:val="0083216F"/>
    <w:rsid w:val="00860000"/>
    <w:rsid w:val="00860C06"/>
    <w:rsid w:val="00863BD3"/>
    <w:rsid w:val="008641ED"/>
    <w:rsid w:val="00866D66"/>
    <w:rsid w:val="008671C6"/>
    <w:rsid w:val="00874D21"/>
    <w:rsid w:val="00875803"/>
    <w:rsid w:val="008B459E"/>
    <w:rsid w:val="008D169A"/>
    <w:rsid w:val="008E13AE"/>
    <w:rsid w:val="008E1506"/>
    <w:rsid w:val="008E5E9A"/>
    <w:rsid w:val="008E710C"/>
    <w:rsid w:val="008F69D6"/>
    <w:rsid w:val="00902823"/>
    <w:rsid w:val="0090689E"/>
    <w:rsid w:val="00915CA6"/>
    <w:rsid w:val="00924B90"/>
    <w:rsid w:val="00927834"/>
    <w:rsid w:val="009500A6"/>
    <w:rsid w:val="00957C18"/>
    <w:rsid w:val="009659BA"/>
    <w:rsid w:val="00983040"/>
    <w:rsid w:val="009A0D34"/>
    <w:rsid w:val="009B3FB9"/>
    <w:rsid w:val="009C2465"/>
    <w:rsid w:val="009C7828"/>
    <w:rsid w:val="009D0FB8"/>
    <w:rsid w:val="009D35A0"/>
    <w:rsid w:val="009D7EB7"/>
    <w:rsid w:val="009E048A"/>
    <w:rsid w:val="009E08E9"/>
    <w:rsid w:val="009E3DB9"/>
    <w:rsid w:val="009E6C6A"/>
    <w:rsid w:val="009E6E35"/>
    <w:rsid w:val="009F018B"/>
    <w:rsid w:val="009F0EDA"/>
    <w:rsid w:val="009F74AE"/>
    <w:rsid w:val="00A00A97"/>
    <w:rsid w:val="00A03B96"/>
    <w:rsid w:val="00A05B19"/>
    <w:rsid w:val="00A1134E"/>
    <w:rsid w:val="00A24E7E"/>
    <w:rsid w:val="00A258C3"/>
    <w:rsid w:val="00A347C0"/>
    <w:rsid w:val="00A51431"/>
    <w:rsid w:val="00A539AD"/>
    <w:rsid w:val="00A62CF4"/>
    <w:rsid w:val="00A63C5A"/>
    <w:rsid w:val="00A73807"/>
    <w:rsid w:val="00A94063"/>
    <w:rsid w:val="00AA6219"/>
    <w:rsid w:val="00AA74E0"/>
    <w:rsid w:val="00AB703F"/>
    <w:rsid w:val="00AC6BB8"/>
    <w:rsid w:val="00AD041E"/>
    <w:rsid w:val="00AE008F"/>
    <w:rsid w:val="00AE1D79"/>
    <w:rsid w:val="00AF4342"/>
    <w:rsid w:val="00B01FCD"/>
    <w:rsid w:val="00B1776C"/>
    <w:rsid w:val="00B32F62"/>
    <w:rsid w:val="00B342C5"/>
    <w:rsid w:val="00B52583"/>
    <w:rsid w:val="00B52896"/>
    <w:rsid w:val="00B53FB4"/>
    <w:rsid w:val="00B64214"/>
    <w:rsid w:val="00B66608"/>
    <w:rsid w:val="00B95236"/>
    <w:rsid w:val="00B96BD9"/>
    <w:rsid w:val="00BA1B01"/>
    <w:rsid w:val="00BA2641"/>
    <w:rsid w:val="00BA7D08"/>
    <w:rsid w:val="00BA7F7E"/>
    <w:rsid w:val="00BB37AA"/>
    <w:rsid w:val="00BB5038"/>
    <w:rsid w:val="00BC53A0"/>
    <w:rsid w:val="00BE0453"/>
    <w:rsid w:val="00BE62AD"/>
    <w:rsid w:val="00BF121F"/>
    <w:rsid w:val="00BF1F80"/>
    <w:rsid w:val="00C02A3C"/>
    <w:rsid w:val="00C166EF"/>
    <w:rsid w:val="00C17EB0"/>
    <w:rsid w:val="00C27F5F"/>
    <w:rsid w:val="00C30A0F"/>
    <w:rsid w:val="00C37E61"/>
    <w:rsid w:val="00C50BF2"/>
    <w:rsid w:val="00C70F1B"/>
    <w:rsid w:val="00C71A47"/>
    <w:rsid w:val="00C7464C"/>
    <w:rsid w:val="00C778BC"/>
    <w:rsid w:val="00C85588"/>
    <w:rsid w:val="00C968FC"/>
    <w:rsid w:val="00CD6755"/>
    <w:rsid w:val="00CD6856"/>
    <w:rsid w:val="00CE0089"/>
    <w:rsid w:val="00CE50C6"/>
    <w:rsid w:val="00CE793C"/>
    <w:rsid w:val="00CF193C"/>
    <w:rsid w:val="00CF7104"/>
    <w:rsid w:val="00D173F1"/>
    <w:rsid w:val="00D74CB0"/>
    <w:rsid w:val="00D8295D"/>
    <w:rsid w:val="00D872D2"/>
    <w:rsid w:val="00DA237F"/>
    <w:rsid w:val="00DC2A65"/>
    <w:rsid w:val="00DE15F0"/>
    <w:rsid w:val="00DE5663"/>
    <w:rsid w:val="00DE78AA"/>
    <w:rsid w:val="00DF355E"/>
    <w:rsid w:val="00DF67F2"/>
    <w:rsid w:val="00E053D0"/>
    <w:rsid w:val="00E15994"/>
    <w:rsid w:val="00E276EB"/>
    <w:rsid w:val="00E3114E"/>
    <w:rsid w:val="00E31A70"/>
    <w:rsid w:val="00E35B02"/>
    <w:rsid w:val="00E55C95"/>
    <w:rsid w:val="00E66496"/>
    <w:rsid w:val="00E66B35"/>
    <w:rsid w:val="00E66E10"/>
    <w:rsid w:val="00E769F6"/>
    <w:rsid w:val="00E8407C"/>
    <w:rsid w:val="00E84F3C"/>
    <w:rsid w:val="00EA012C"/>
    <w:rsid w:val="00EC6A55"/>
    <w:rsid w:val="00ED0288"/>
    <w:rsid w:val="00ED71AE"/>
    <w:rsid w:val="00EE52CB"/>
    <w:rsid w:val="00EF581D"/>
    <w:rsid w:val="00EF7FD8"/>
    <w:rsid w:val="00F06F59"/>
    <w:rsid w:val="00F17988"/>
    <w:rsid w:val="00F469F0"/>
    <w:rsid w:val="00F53273"/>
    <w:rsid w:val="00F60AB1"/>
    <w:rsid w:val="00F755E4"/>
    <w:rsid w:val="00F77D02"/>
    <w:rsid w:val="00FB3A86"/>
    <w:rsid w:val="00FD36C8"/>
    <w:rsid w:val="00FF45F0"/>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6A124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55C9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11</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85</cp:revision>
  <cp:lastPrinted>1999-07-06T11:00:00Z</cp:lastPrinted>
  <dcterms:created xsi:type="dcterms:W3CDTF">2014-10-25T14:34:00Z</dcterms:created>
  <dcterms:modified xsi:type="dcterms:W3CDTF">2026-05-23T09:47:00Z</dcterms:modified>
</cp:coreProperties>
</file>