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EFF01" w14:textId="38A4B9F8" w:rsidR="000756BD" w:rsidRDefault="004B6D4A" w:rsidP="0012786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Global Employability of Filipino Radiologic Technologists: A Systematic Review of the Effectiveness of Radiologic Technology Education in the Philippines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5D9B2B7" w14:textId="77777777" w:rsidR="00AF1070" w:rsidRDefault="004B6D4A">
      <w:pPr>
        <w:pStyle w:val="Heading1"/>
        <w:keepNext w:val="0"/>
        <w:keepLines w:val="0"/>
        <w:spacing w:before="480" w:line="240" w:lineRule="auto"/>
        <w:jc w:val="both"/>
        <w:rPr>
          <w:rFonts w:ascii="Times New Roman" w:eastAsia="Times New Roman" w:hAnsi="Times New Roman" w:cs="Times New Roman"/>
          <w:sz w:val="24"/>
          <w:szCs w:val="24"/>
        </w:rPr>
      </w:pPr>
      <w:bookmarkStart w:id="0" w:name="_2kqw0ocf0xfj" w:colFirst="0" w:colLast="0"/>
      <w:bookmarkEnd w:id="0"/>
      <w:r>
        <w:rPr>
          <w:rFonts w:ascii="Times New Roman" w:eastAsia="Times New Roman" w:hAnsi="Times New Roman" w:cs="Times New Roman"/>
          <w:b/>
          <w:bCs/>
          <w:sz w:val="24"/>
          <w:szCs w:val="24"/>
        </w:rPr>
        <w:t>ABSTRACT</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Radiologic technologists play a vital role in modern healthcare through the delivery of diagnostic imaging and radiation-related procedures essential for disease detection, treatment planning, and patient management. As global demand for healthcare professionals continues to increase, the employability and international competitiveness of Filipino radiologic technologists have become important indicators of the effectiveness of radiologic technology education in the Philippines. This systematic review aimed to synthesize available evidence regarding the global employability of Filipino radiologic technologists and evaluate the effectiveness of radiologic technology education in preparing graduates for local and international professional practice. This study utilized a systematic review design following the PRISMA 2020 guidelines. A comprehensive literature search was conducted using PubMed, Scopus, Google Scholar, ScienceDirect, and ERIC, including supplementary searches from grey literature and reference lists. Studies published between 2000 and 2026 focusing on radiologic technology education, employability, workforce readiness, migration, clinical competency, and professional preparedness among Filipino radiologic technologists were included. A total of 47 studies met the eligibility criteria and were included in the final qualitative synthesis. Findings revealed generally favorable employability outcomes among Filipino radiologic technologists, with many </w:t>
      </w:r>
      <w:proofErr w:type="gramStart"/>
      <w:r>
        <w:rPr>
          <w:rFonts w:ascii="Times New Roman" w:eastAsia="Times New Roman" w:hAnsi="Times New Roman" w:cs="Times New Roman"/>
          <w:sz w:val="24"/>
          <w:szCs w:val="24"/>
        </w:rPr>
        <w:t>graduates</w:t>
      </w:r>
      <w:proofErr w:type="gramEnd"/>
      <w:r>
        <w:rPr>
          <w:rFonts w:ascii="Times New Roman" w:eastAsia="Times New Roman" w:hAnsi="Times New Roman" w:cs="Times New Roman"/>
          <w:sz w:val="24"/>
          <w:szCs w:val="24"/>
        </w:rPr>
        <w:t xml:space="preserve"> obtaining employment shortly after graduation and demonstrating competency in clinical practice, patient care, communication, and professional responsibilities. Competency-based education, clinical internship exposure, curriculum relevance, and licensure examination preparedness emerged as major contributors to workforce readiness and global employability. However, challenges including workforce migration, low local compensation, technological adaptation demands, inconsistencies in specialized imaging competencies, and workforce retention difficulties were also identified. The review concludes that radiologic technology education in the Philippines substantially contributes to the development of clinically competent and globally employable radiologic technologists. Nevertheless, continuous curriculum enhancement, technological integration, specialized clinical training, continuing professional development, and workforce retention strategies remain essential to strengthen international competitiveness and long-term workforce sustainability.</w:t>
      </w:r>
    </w:p>
    <w:p w14:paraId="5BA9D8F1"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Radiologic Technology Education, Employability, Filipino Radiologic Technologists, Global Employability, Workforce Readiness, Clinical Competency, Curriculum Effectiveness, Healthcare Workforce Migration, Philippines, Systematic Review</w:t>
      </w:r>
    </w:p>
    <w:p w14:paraId="1DF473D0" w14:textId="77777777" w:rsidR="00AF1070" w:rsidRDefault="004B6D4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Radiologic technology is a specialized discipline in allied health sciences that involves the application of ionizing and non-ionizing radiation for diagnostic imaging and therapeutic procedures intended for disease detection, treatment monitoring, and patient management (</w:t>
      </w:r>
      <w:proofErr w:type="spellStart"/>
      <w:r>
        <w:rPr>
          <w:rFonts w:ascii="Times New Roman" w:eastAsia="Times New Roman" w:hAnsi="Times New Roman" w:cs="Times New Roman"/>
          <w:sz w:val="24"/>
          <w:szCs w:val="24"/>
        </w:rPr>
        <w:t>Aldahery</w:t>
      </w:r>
      <w:proofErr w:type="spellEnd"/>
      <w:r>
        <w:rPr>
          <w:rFonts w:ascii="Times New Roman" w:eastAsia="Times New Roman" w:hAnsi="Times New Roman" w:cs="Times New Roman"/>
          <w:sz w:val="24"/>
          <w:szCs w:val="24"/>
        </w:rPr>
        <w:t>, 2023). Radiologic technologists are healthcare professionals trained to operate imaging equipment such as conventional radiography, computed tomography (CT), magnetic resonance imaging (MRI), fluoroscopy, mammography, nuclear medicine, and ultrasonography while ensuring patient safety and radiation protection standards (Susiku et al., 2024; ISRRT, 2004). The profession requires technical competence, clinical judgment, ethical responsibility, and effective communication skills because radiologic technologists function as integral members of multidisciplinary healthcare teams (American Society of Radiologic Technologists [ASRT], 2025). As medical imaging technologies continue to advance, radiologic technologists are increasingly expected to possess competencies in digital imaging systems, quality assurance, patient-centered care, and evidence-based practice (International Commission on Radiological Protection [ICRP], 2025).</w:t>
      </w:r>
    </w:p>
    <w:p w14:paraId="460BB95F"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technology education is commonly classified according to competency-based instruction, clinical internship exposure, and professional licensure preparation. Educational programs generally combine classroom instruction, laboratory simulations, and supervised clinical practice to ensure the acquisition of theoretical knowledge and technical skills necessary for professional practice (Alipio, 2025; Ingrassia, 2020). Assessment methods within radiologic technology education include written examinations, laboratory practical evaluations, objective structured clinical examinations (OSCEs), clinical competency assessments, internship performance ratings, and national licensure examinations (Barnett et al., 2025). In the Philippines, graduates of Bachelor of Science in Radiologic Technology programs are required to pass the Radiologic Technologist Licensure Examination administered by the Professional Regulation Commission before they can legally practice the profession. Licensure examination performance is often considered an indicator of educational effectiveness and graduate preparedness for clinical practice (Professional Regulation Commission, 2018; Vidal et al., 2016; Susiku et al., 2024). In addition, international employability may also depend on overseas credential recognition, continuing professional development, and adaptability to diverse healthcare systems.</w:t>
      </w:r>
    </w:p>
    <w:p w14:paraId="4AD33DF0"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the demand for radiologic technologists has increased because of population growth, aging demographics, technological advancements, and the increasing prevalence of chronic diseases requiring diagnostic imaging services (Chen et al., 2025). Medical imaging has become essential in early disease detection, treatment planning, and therapeutic monitoring, making radiologic technologists indispensable within healthcare systems worldwide (Zubair et al., 2025; World Health Organization [WHO], 2026). Consequently, employability has emerged as a major indicator of educational quality in health professions education. Employability refers not only to the ability of graduates to obtain employment but also to their readiness to meet professional standards, adapt to workplace demands, and sustain career mobility across international healthcare settings (</w:t>
      </w:r>
      <w:proofErr w:type="spellStart"/>
      <w:r>
        <w:rPr>
          <w:rFonts w:ascii="Times New Roman" w:eastAsia="Times New Roman" w:hAnsi="Times New Roman" w:cs="Times New Roman"/>
          <w:sz w:val="24"/>
          <w:szCs w:val="24"/>
        </w:rPr>
        <w:t>Leadbeatter</w:t>
      </w:r>
      <w:proofErr w:type="spellEnd"/>
      <w:r>
        <w:rPr>
          <w:rFonts w:ascii="Times New Roman" w:eastAsia="Times New Roman" w:hAnsi="Times New Roman" w:cs="Times New Roman"/>
          <w:sz w:val="24"/>
          <w:szCs w:val="24"/>
        </w:rPr>
        <w:t xml:space="preserve"> et al., 2023; Yorke, 2006). International organizations such as UNESCO emphasize that qualifications recognition, workforce mobility, and quality assurance mechanisms are essential for strengthening global healthcare human resources and promoting international labor competitiveness (UNESCO, 2023).</w:t>
      </w:r>
    </w:p>
    <w:p w14:paraId="24FC0485"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Philippines has long been recognized as one of the world’s leading exporters of healthcare professionals, including nurses, medical technologists, physical therapists, and radiologic technologists (Finch, 2013). Filipino healthcare workers are widely employed in North America, Europe, the Middle East, and other parts of Asia because of their clinical competence, English language proficiency, adaptability, and strong work ethic (Maca, 2019; </w:t>
      </w: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2018). In response to increasing global workforce demands, Philippine higher education institutions have attempted to align allied health curricula with international standards through curriculum reforms, competency-based education, and enhanced clinical training opportunities (Commission on Higher Education [CHED], 2006). Studies have shown that many Filipino radiologic technologists secure employment shortly after graduation, while others pursue overseas work opportunities because of higher salaries, career advancement, and better working conditions (</w:t>
      </w: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2023). Moreover, the implementation of Special Professional Licensure Examinations abroad by the Professional Regulation Commission, as mandated through Executive Order No. 835 and continuously implemented through recent PRC schedules, provides overseas Filipino professionals, including radiologic technologists, the opportunity to take licensure examinations in their host countries, thereby supporting access to professional licensure and participation in international employment settings (Professional Regulation Commission, 2026). </w:t>
      </w:r>
    </w:p>
    <w:p w14:paraId="73461E1B"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developments, significant concerns remain regarding the effectiveness of radiologic technology education in preparing Filipino graduates for global employability (Lindo &amp; Panes, 2024; Araneta, 2021). Existing Philippine studies largely focus on graduate tracer outcomes, local employment status, or migration intentions rather than systematically evaluating whether radiologic technology education adequately equips graduates with competencies required in international healthcare settings (Araneta, 2021). There is limited evidence synthesizing the relationship between curriculum quality, clinical exposure, licensure performance, technological preparedness, soft skills development, and international employability among Filipino radiologic technologists. Furthermore, current literature remains fragmented across institutional studies and lacks a comprehensive review of the educational factors influencing workforce competitiveness in the global healthcare industry. Emerging demands such as digital radiography proficiency, interprofessional collaboration, radiation safety culture, and evidence-based imaging practice are also insufficiently explored within the context of Philippine radiologic technology education.</w:t>
      </w:r>
    </w:p>
    <w:p w14:paraId="63FDF010"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gaps, there is a need to systematically synthesize available evidence regarding the effectiveness of radiologic technology education in the Philippines and its contribution to the global employability of Filipino radiologic technologists. Therefore, this study aims to conduct a systematic review on the global employability of Filipino radiologic technologists and evaluate the effectiveness of radiologic technology education in preparing graduates for international professional practice. Specifically, the study seeks to: (1) examine indicators of employability among Filipino radiologic technologists; (2) identify educational factors influencing global workforce readiness; (3) evaluate the role of curriculum, clinical training, and licensure performance in employability outcomes; and (4) determine existing gaps in radiologic technology education and research relevant to international competitiveness.</w:t>
      </w:r>
    </w:p>
    <w:p w14:paraId="1FEF7234" w14:textId="77777777" w:rsidR="00AF1070" w:rsidRDefault="00AF1070">
      <w:pPr>
        <w:spacing w:before="240" w:after="240" w:line="240" w:lineRule="auto"/>
        <w:jc w:val="both"/>
        <w:rPr>
          <w:rFonts w:ascii="Times New Roman" w:eastAsia="Times New Roman" w:hAnsi="Times New Roman" w:cs="Times New Roman"/>
          <w:sz w:val="24"/>
          <w:szCs w:val="24"/>
        </w:rPr>
      </w:pPr>
    </w:p>
    <w:p w14:paraId="3FFCE6F1" w14:textId="77777777" w:rsidR="00AF1070" w:rsidRDefault="004B6D4A">
      <w:pPr>
        <w:pStyle w:val="Heading1"/>
        <w:keepNext w:val="0"/>
        <w:keepLines w:val="0"/>
        <w:spacing w:before="480" w:line="240" w:lineRule="auto"/>
        <w:jc w:val="both"/>
        <w:rPr>
          <w:rFonts w:ascii="Times New Roman" w:eastAsia="Times New Roman" w:hAnsi="Times New Roman" w:cs="Times New Roman"/>
          <w:b/>
          <w:bCs/>
          <w:sz w:val="24"/>
          <w:szCs w:val="24"/>
        </w:rPr>
      </w:pPr>
      <w:bookmarkStart w:id="1" w:name="_s442e6kgh400" w:colFirst="0" w:colLast="0"/>
      <w:bookmarkEnd w:id="1"/>
      <w:r>
        <w:rPr>
          <w:rFonts w:ascii="Times New Roman" w:eastAsia="Times New Roman" w:hAnsi="Times New Roman" w:cs="Times New Roman"/>
          <w:b/>
          <w:bCs/>
          <w:sz w:val="24"/>
          <w:szCs w:val="24"/>
        </w:rPr>
        <w:lastRenderedPageBreak/>
        <w:t>METHODOLOGY</w:t>
      </w:r>
    </w:p>
    <w:p w14:paraId="64349247"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2" w:name="_ykih56n6zlv3" w:colFirst="0" w:colLast="0"/>
      <w:bookmarkEnd w:id="2"/>
      <w:r>
        <w:rPr>
          <w:rFonts w:ascii="Times New Roman" w:eastAsia="Times New Roman" w:hAnsi="Times New Roman" w:cs="Times New Roman"/>
          <w:b/>
          <w:bCs/>
          <w:sz w:val="24"/>
          <w:szCs w:val="24"/>
        </w:rPr>
        <w:t>Research Design</w:t>
      </w:r>
    </w:p>
    <w:p w14:paraId="4FDC88C1"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systematic review design to synthesize available evidence regarding the global employability of Filipino radiologic technologists and the effectiveness of radiologic technology education in the Philippines. The review was conducted in accordance with the Preferred Reporting Items for Systematic Reviews and Meta-Analyses (PRISMA 2020) guidelines to ensure methodological rigor, transparency, and reproducibility in the identification, screening, eligibility assessment, and synthesis of relevant studies (Page et al., 2021). Due to the heterogeneity of the included studies in terms of research designs, outcome measures, participant populations, and educational settings, a narrative synthesis approach was utilized instead of quantitative meta-analysis.</w:t>
      </w:r>
    </w:p>
    <w:p w14:paraId="5A774195"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3" w:name="_xq6kptsub1d9" w:colFirst="0" w:colLast="0"/>
      <w:bookmarkEnd w:id="3"/>
      <w:r>
        <w:rPr>
          <w:rFonts w:ascii="Times New Roman" w:eastAsia="Times New Roman" w:hAnsi="Times New Roman" w:cs="Times New Roman"/>
          <w:b/>
          <w:bCs/>
          <w:sz w:val="24"/>
          <w:szCs w:val="24"/>
        </w:rPr>
        <w:t>Search Strategy</w:t>
      </w:r>
    </w:p>
    <w:p w14:paraId="2C1BD96E"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using electronic databases including PubMed, Scopus, Google Scholar, ScienceDirect, and ERIC. Additional studies were identified through manual searches of reference lists, institutional repositories, government publications, and professional organization reports relevant to radiologic technology education and workforce development. The search covered studies published from January 2000 to December 2026 to capture contemporary developments in radiologic technology education, workforce preparedness, and international employability trends.</w:t>
      </w:r>
    </w:p>
    <w:p w14:paraId="437124CE"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strategy utilized combinations of keywords and Boolean operators including: “Radiologic Technology Education,” “Radiologic Technologists,” “Employability,” “Global Employability,” “Philippines,” “Clinical Competence,” “Licensure Examination,” “Curriculum Effectiveness,” “International Workforce,” “Healthcare Mobility,” “Migration,” “Workforce Readiness,” and “Professional Competency.” Search terms were adjusted according to the indexing requirements of each database. Grey literature such as government reports, policy documents, conference proceedings, theses, dissertations, and professional regulatory publications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also considered when relevant to the objectives of the review.</w:t>
      </w:r>
    </w:p>
    <w:p w14:paraId="669DD67D"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4" w:name="_m02cboh5jcp0" w:colFirst="0" w:colLast="0"/>
      <w:bookmarkEnd w:id="4"/>
      <w:r>
        <w:rPr>
          <w:rFonts w:ascii="Times New Roman" w:eastAsia="Times New Roman" w:hAnsi="Times New Roman" w:cs="Times New Roman"/>
          <w:b/>
          <w:bCs/>
          <w:sz w:val="24"/>
          <w:szCs w:val="24"/>
        </w:rPr>
        <w:t>Eligibility Criteria</w:t>
      </w:r>
    </w:p>
    <w:p w14:paraId="503A6994"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included if they: (1) focused on radiologic technology education, employability, workforce readiness, professional mobility, or migration; (2) involved Filipino radiologic technologists, radiologic technology students, interns, educators, or healthcare institutions in the Philippines; (3) examined educational effectiveness, curriculum quality, licensure examination performance, clinical training, competency development, employability outcomes, or international practice preparedness; (4) were published in peer-reviewed </w:t>
      </w:r>
      <w:r>
        <w:rPr>
          <w:rFonts w:ascii="Times New Roman" w:eastAsia="Times New Roman" w:hAnsi="Times New Roman" w:cs="Times New Roman"/>
          <w:sz w:val="24"/>
          <w:szCs w:val="24"/>
        </w:rPr>
        <w:lastRenderedPageBreak/>
        <w:t>journals, conference proceedings, theses, dissertations, or credible institutional reports; and (5) were published in English between 2000 and 2026.</w:t>
      </w:r>
    </w:p>
    <w:p w14:paraId="6BF12961"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they: (1) focused exclusively on non-Filipino populations without relevance to the Philippine setting; (2) discussed imaging technologies without educational, workforce, or employability implications; (3) lacked accessible full-text articles; (4) consisted solely of editorials, commentaries, opinion papers, or news articles without substantial analytical or empirical content; or (5) contained duplicated findings already represented in another included study.</w:t>
      </w:r>
    </w:p>
    <w:p w14:paraId="1DCD6D8B"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5" w:name="_rv5756sh6fuq" w:colFirst="0" w:colLast="0"/>
      <w:bookmarkEnd w:id="5"/>
      <w:r>
        <w:rPr>
          <w:rFonts w:ascii="Times New Roman" w:eastAsia="Times New Roman" w:hAnsi="Times New Roman" w:cs="Times New Roman"/>
          <w:b/>
          <w:bCs/>
          <w:sz w:val="24"/>
          <w:szCs w:val="24"/>
        </w:rPr>
        <w:t>Study Selection</w:t>
      </w:r>
    </w:p>
    <w:p w14:paraId="6CF03859"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studies were exported into a reference management database, and duplicate records were removed prior to screening. Titles and abstracts were screened according to the established eligibility criteria. Full-text articles of potentially relevant studies were subsequently reviewed to determine final inclusion. Disagreements during the screening process were resolved through discussion and consensus. The study selection process was documented using a PRISMA 2020 flow diagram illustrating the number of records identified, screened, excluded, and included in the final synthesis (Page et al., 2021).</w:t>
      </w:r>
    </w:p>
    <w:p w14:paraId="56AE99C7"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340 records were initially identified through database searching and manual reference screening. After removal of 41 duplicate records, 299 studies underwent title and abstract screening. Following the screening process, 221 studies were excluded because they did not meet the inclusion criteria. Seventy-eight full-text articles were assessed for eligibility, of which 31 studies were excluded due to insufficient relevance, lack of educational or employability outcomes, duplicate data, or absence of substantial analytical content. Ultimately, 47 studies met the eligibility criteria and were included in the final qualitative synthesis.</w:t>
      </w:r>
    </w:p>
    <w:p w14:paraId="034E536B" w14:textId="77777777" w:rsidR="00AF1070" w:rsidRDefault="004B6D4A">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inline distT="114300" distB="114300" distL="114300" distR="114300" wp14:anchorId="6A3B8E67" wp14:editId="09D2FFC8">
            <wp:extent cx="5943600" cy="445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r>
        <w:rPr>
          <w:rFonts w:ascii="Times New Roman" w:eastAsia="Times New Roman" w:hAnsi="Times New Roman" w:cs="Times New Roman"/>
          <w:b/>
          <w:bCs/>
          <w:sz w:val="24"/>
          <w:szCs w:val="24"/>
        </w:rPr>
        <w:t xml:space="preserve">Figure 1. PRISMA 2020 Flow Diagram of the Study Selection Process </w:t>
      </w:r>
    </w:p>
    <w:p w14:paraId="6EE2E777"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6" w:name="_5zg51wnxi4bt" w:colFirst="0" w:colLast="0"/>
      <w:bookmarkEnd w:id="6"/>
      <w:r>
        <w:rPr>
          <w:rFonts w:ascii="Times New Roman" w:eastAsia="Times New Roman" w:hAnsi="Times New Roman" w:cs="Times New Roman"/>
          <w:b/>
          <w:bCs/>
          <w:sz w:val="24"/>
          <w:szCs w:val="24"/>
        </w:rPr>
        <w:t>Data Extraction</w:t>
      </w:r>
    </w:p>
    <w:p w14:paraId="11D6B7E5"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Relevant information from the included studies was extracted using a standardized data extraction form developed by the researcher. Extracted data included author(s), year of publication, study design, study setting, participant characteristics, educational variables examined, employability indicators, clinical competency outcomes, migration-related findings, technological preparedness, and major </w:t>
      </w:r>
      <w:r>
        <w:rPr>
          <w:rFonts w:ascii="Times New Roman" w:eastAsia="Times New Roman" w:hAnsi="Times New Roman" w:cs="Times New Roman"/>
          <w:sz w:val="24"/>
          <w:szCs w:val="24"/>
        </w:rPr>
        <w:lastRenderedPageBreak/>
        <w:t>conclusions. Additional information concerning curriculum effectiveness, licensure examination performance, internship experiences, continuing professional development, workforce retention, and global competitiveness was also documented where available.</w:t>
      </w:r>
    </w:p>
    <w:p w14:paraId="755999BD"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7" w:name="_zfkfijvr71xj" w:colFirst="0" w:colLast="0"/>
      <w:bookmarkEnd w:id="7"/>
      <w:r>
        <w:rPr>
          <w:rFonts w:ascii="Times New Roman" w:eastAsia="Times New Roman" w:hAnsi="Times New Roman" w:cs="Times New Roman"/>
          <w:b/>
          <w:bCs/>
          <w:sz w:val="24"/>
          <w:szCs w:val="24"/>
        </w:rPr>
        <w:t>Quality Appraisal</w:t>
      </w:r>
    </w:p>
    <w:p w14:paraId="096BE7CB"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evaluated using appropriate critical appraisal tools according to study design. Quantitative observational studies were assessed using the Joanna Briggs Institute (JBI) critical appraisal checklists, while qualitative studies were evaluated using corresponding qualitative assessment criteria (Joanna Briggs Institute, 2023). The appraisal process examined methodological rigor, clarity of objectives, sampling adequacy, validity and reliability of measurements, data analysis procedures, and overall credibility of findings. Quality appraisal was conducted to ensure that the synthesized evidence was derived from methodologically sound and credible sources.</w:t>
      </w:r>
    </w:p>
    <w:p w14:paraId="0BA7FB3D"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8" w:name="_cl4ddfnln2sa" w:colFirst="0" w:colLast="0"/>
      <w:bookmarkEnd w:id="8"/>
      <w:r>
        <w:rPr>
          <w:rFonts w:ascii="Times New Roman" w:eastAsia="Times New Roman" w:hAnsi="Times New Roman" w:cs="Times New Roman"/>
          <w:b/>
          <w:bCs/>
          <w:sz w:val="24"/>
          <w:szCs w:val="24"/>
        </w:rPr>
        <w:t>Data Synthesis and Analysis</w:t>
      </w:r>
    </w:p>
    <w:p w14:paraId="465E183E"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synthesis approach was employed to integrate findings across the included studies. Extracted findings were categorized into recurring thematic areas including employability outcomes, curriculum effectiveness, clinical competency, internship preparedness, licensure examination performance, technological adaptability, migration intentions, workforce retention, occupational preparedness, and barriers to global employability. Similarities and differences among studies were analyzed to identify prevailing trends, patterns, and research gaps concerning radiologic technology education and workforce competitiveness in the Philippines. Findings were interpreted in relation to international standards in healthcare education, workforce mobility, and professional competency frameworks.</w:t>
      </w:r>
    </w:p>
    <w:p w14:paraId="22D4EE7F" w14:textId="77777777" w:rsidR="00AF1070" w:rsidRDefault="004B6D4A">
      <w:pPr>
        <w:pStyle w:val="Heading2"/>
        <w:keepNext w:val="0"/>
        <w:keepLines w:val="0"/>
        <w:spacing w:after="80" w:line="240" w:lineRule="auto"/>
        <w:jc w:val="both"/>
        <w:rPr>
          <w:rFonts w:ascii="Times New Roman" w:eastAsia="Times New Roman" w:hAnsi="Times New Roman" w:cs="Times New Roman"/>
          <w:b/>
          <w:bCs/>
          <w:sz w:val="24"/>
          <w:szCs w:val="24"/>
        </w:rPr>
      </w:pPr>
      <w:bookmarkStart w:id="9" w:name="_cj6b64awa9pr" w:colFirst="0" w:colLast="0"/>
      <w:bookmarkEnd w:id="9"/>
      <w:r>
        <w:rPr>
          <w:rFonts w:ascii="Times New Roman" w:eastAsia="Times New Roman" w:hAnsi="Times New Roman" w:cs="Times New Roman"/>
          <w:b/>
          <w:bCs/>
          <w:sz w:val="24"/>
          <w:szCs w:val="24"/>
        </w:rPr>
        <w:t>Ethical Considerations</w:t>
      </w:r>
    </w:p>
    <w:p w14:paraId="5DCE4E29" w14:textId="77777777" w:rsidR="00AF1070" w:rsidRDefault="004B6D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utilized previously published studies, publicly accessible reports, and secondary data sources; therefore, formal ethical approval was not required. Nevertheless, the study strictly adhered to principles of academic integrity, ethical scholarship, transparency, and responsible research reporting throughout all stages of the review process. Proper citation and acknowledgment of all original sources were consistently observed to ensure accuracy, credibility, and avoidance of plagiarism. Additionally, the review was conducted in accordance with the PRISMA 2020 guidelines to promote transparency, reproducibility, and methodological rigor in evidence synthesis.</w:t>
      </w:r>
    </w:p>
    <w:p w14:paraId="4E99546F" w14:textId="77777777" w:rsidR="00AF1070" w:rsidRDefault="00AF107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10" w:name="_6jrw9w3awitu" w:colFirst="0" w:colLast="0"/>
      <w:bookmarkEnd w:id="10"/>
    </w:p>
    <w:p w14:paraId="6B49027C" w14:textId="77777777" w:rsidR="00AF1070" w:rsidRDefault="004B6D4A">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11" w:name="_ywq7n9vlm0dh" w:colFirst="0" w:colLast="0"/>
      <w:bookmarkEnd w:id="11"/>
      <w:r>
        <w:rPr>
          <w:rFonts w:ascii="Times New Roman" w:eastAsia="Times New Roman" w:hAnsi="Times New Roman" w:cs="Times New Roman"/>
          <w:b/>
          <w:bCs/>
          <w:color w:val="000000"/>
          <w:sz w:val="24"/>
          <w:szCs w:val="24"/>
        </w:rPr>
        <w:t>RESULTS</w:t>
      </w:r>
    </w:p>
    <w:p w14:paraId="6AF138EB"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2" w:name="_3d479uiksilu" w:colFirst="0" w:colLast="0"/>
      <w:bookmarkEnd w:id="12"/>
      <w:r>
        <w:rPr>
          <w:rFonts w:ascii="Times New Roman" w:eastAsia="Times New Roman" w:hAnsi="Times New Roman" w:cs="Times New Roman"/>
          <w:b/>
          <w:bCs/>
          <w:sz w:val="24"/>
          <w:szCs w:val="24"/>
        </w:rPr>
        <w:lastRenderedPageBreak/>
        <w:t>Characteristics of Included Studies</w:t>
      </w:r>
    </w:p>
    <w:p w14:paraId="43218289"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included studies primarily examined the effectiveness of radiologic technology education in the Philippines and its contribution to the employability, workforce readiness, and global competitiveness of Filipino radiologic technologists. Most investigations employed descriptive, correlational, tracer, mixed-methods, and qualitative research designs focusing on graduate employability, clinical competency, internship preparedness, licensure examination performance, migration intentions, technological adaptation, workplace experiences, and workforce retention. The reviewed literature involved radiologic technology students, interns, graduates, educators, hospital-based radiologic technologists, and healthcare administrators from various regions in the Philippines.</w:t>
      </w:r>
    </w:p>
    <w:p w14:paraId="7799A2A6"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evidence, recurring themes emerged regarding favorable employability outcomes among graduates, the importance of competency-based education and clinical exposure, the growing impact of workforce migration, and the increasing need for technological adaptability and continuing professional development within radiologic technology practice.</w:t>
      </w:r>
    </w:p>
    <w:p w14:paraId="5C01B530"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3" w:name="_26q9tk9e1cum" w:colFirst="0" w:colLast="0"/>
      <w:bookmarkEnd w:id="13"/>
      <w:r>
        <w:rPr>
          <w:rFonts w:ascii="Times New Roman" w:eastAsia="Times New Roman" w:hAnsi="Times New Roman" w:cs="Times New Roman"/>
          <w:b/>
          <w:bCs/>
          <w:sz w:val="24"/>
          <w:szCs w:val="24"/>
        </w:rPr>
        <w:t>Employability Outcomes of Filipino Radiologic Technologists</w:t>
      </w:r>
    </w:p>
    <w:p w14:paraId="4890C815"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tracer studies demonstrated generally positive employability outcomes among Filipino radiologic technology graduates. Pambid and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(2020) reported that most Bachelor of Science in Radiologic Technology graduates obtained employment within three months after graduation, with respondents indicating that their academic preparation and curriculum were highly relevant to their professional responsibilities. Similarly, Daquis et al. (2016) found that most graduates were gainfully employed in positions directly related to radiologic technology practice, while Valdez (2012) observed that all respondents in a ten-year tracer study were employed full-time in professions aligned with their educational training.</w:t>
      </w:r>
    </w:p>
    <w:p w14:paraId="755898B4"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identified communication skills, interpersonal competence, critical thinking, technical proficiency, and professional values as major contributors to successful workforce integration. Curriculum quality, faculty competence, institutional support services, and licensure examination preparation were likewise recognized as important determinants of graduate employability and professional readiness (Valdez, 2012; Mendoza, 2021; Araneta, 2021). These findings indicate that radiologic technology education programs in the Philippines generally provide graduates with competencies necessary for workforce entry and professional practice in both local and international healthcare environments.</w:t>
      </w:r>
    </w:p>
    <w:p w14:paraId="62E731BE"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4" w:name="_tv61n1tpsuk6" w:colFirst="0" w:colLast="0"/>
      <w:bookmarkEnd w:id="14"/>
      <w:r>
        <w:rPr>
          <w:rFonts w:ascii="Times New Roman" w:eastAsia="Times New Roman" w:hAnsi="Times New Roman" w:cs="Times New Roman"/>
          <w:b/>
          <w:bCs/>
          <w:sz w:val="24"/>
          <w:szCs w:val="24"/>
        </w:rPr>
        <w:t>Clinical Competency and Workforce Readiness</w:t>
      </w:r>
    </w:p>
    <w:p w14:paraId="5A6C25B5"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Clinical internship exposure and competency-based training emerged as major contributors to workforce preparedness among radiologic technology students and graduates. 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 demonstrated that effective clinical learning environments significantly improved students’ clinical performance and professional readiness, particularly in patient care and imaging procedures. Likewise, </w:t>
      </w: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 reported that practical demonstrations, experiential learning, and repeated clinical exposure enhanced interns’ competency and confidence in radiographic procedures.</w:t>
      </w:r>
    </w:p>
    <w:p w14:paraId="01EF68E0" w14:textId="77777777" w:rsidR="00AF1070" w:rsidRDefault="004B6D4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 further revealed that radiologic technology interns demonstrated strong competencies in technical knowledge, patient care management, ethical practice, radiation safety, and work attitudes during clinical training. Similar findings were observed by </w:t>
      </w: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and Sison (2025), who reported high levels of clinical competency and technical skills among radiologic technology interns in patient positioning, image acquisition, and patient management.</w:t>
      </w:r>
    </w:p>
    <w:p w14:paraId="5896FDDD"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some studies identified important competency gaps in specialized imaging modalities. </w:t>
      </w: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(2018) reported lower competency levels in computed tomography, radiation therapy, ultrasound, and nuclear medicine compared to general radiography and magnetic resonance imaging. Additionally, Cañete et al. (2024) identified challenges experienced during internship training, including insufficient supervision, communication difficulties, workload pressures, and discrepancies between classroom instruction and actual clinical practice.</w:t>
      </w:r>
    </w:p>
    <w:p w14:paraId="3395F2BC"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while radiologic technology education in the Philippines effectively develops foundational clinical competencies, there remains a need to strengthen specialized imaging training, mentorship systems, and simulation-based learning strategies to further improve workforce preparedness.</w:t>
      </w:r>
    </w:p>
    <w:p w14:paraId="1A8DF2E9"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5" w:name="_ai20zqry25mw" w:colFirst="0" w:colLast="0"/>
      <w:bookmarkEnd w:id="15"/>
      <w:r>
        <w:rPr>
          <w:rFonts w:ascii="Times New Roman" w:eastAsia="Times New Roman" w:hAnsi="Times New Roman" w:cs="Times New Roman"/>
          <w:b/>
          <w:bCs/>
          <w:sz w:val="24"/>
          <w:szCs w:val="24"/>
        </w:rPr>
        <w:t>Curriculum Effectiveness and Educational Preparation</w:t>
      </w:r>
    </w:p>
    <w:p w14:paraId="52AC9B9A"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emphasized the importance of curriculum relevance and competency-based education in preparing radiologic technology graduates for professional practice. Mendoza (2021) reported that most program learning outcomes in radiologic technology education were rated as “very highly achieved,” particularly in diagnostic imaging principles, radiation protection, patient positioning, and continuing professional development competencies. Employers additionally emphasized the importance of leadership skills, research engagement, innovation, and interprofessional collaboration among graduates.</w:t>
      </w:r>
    </w:p>
    <w:p w14:paraId="42DA3D4F"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Similarly, Gutierrez et al. (2021) highlighted the significant role of instructional effectiveness, communication strategies, and assessment methods in improving educational outcomes among radiologic technology students. Francisco et al. (2025) also demonstrated that learning styles and educational approaches influence academic performance and competency acquisition among radiologic technology learners.</w:t>
      </w:r>
    </w:p>
    <w:p w14:paraId="496EDBC9"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strengths, several studies identified educational deficiencies that may affect professional readiness. </w:t>
      </w: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 reported inadequate radiation safety knowledge among fourth-year radiologic technology students from selected schools in Metro Manila. Likewise, </w:t>
      </w: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et al. (2015) found inconsistencies between theoretical knowledge and technical imaging performance, suggesting gaps between classroom instruction and practical competency development. Cabatingan and Salinas (2024) further revealed only weak correlations between admission test performance and licensure examination outcomes, indicating that multiple institutional and educational factors contribute to academic success and licensure preparedness.</w:t>
      </w:r>
    </w:p>
    <w:p w14:paraId="3CF290ED"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indicate that curriculum enhancement, stronger radiation safety education, practical competency reinforcement, and continuous instructional improvement remain essential in strengthening radiologic technology education in the Philippines.</w:t>
      </w:r>
    </w:p>
    <w:p w14:paraId="40AEA4F2"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6" w:name="_w2bt69xur4zy" w:colFirst="0" w:colLast="0"/>
      <w:bookmarkEnd w:id="16"/>
      <w:r>
        <w:rPr>
          <w:rFonts w:ascii="Times New Roman" w:eastAsia="Times New Roman" w:hAnsi="Times New Roman" w:cs="Times New Roman"/>
          <w:b/>
          <w:bCs/>
          <w:sz w:val="24"/>
          <w:szCs w:val="24"/>
        </w:rPr>
        <w:t>Licensure Examination Preparedness and Professional Competence</w:t>
      </w:r>
    </w:p>
    <w:p w14:paraId="06FAB162"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preparedness emerged as an important indicator of educational effectiveness and workforce readiness. Gallardo and Sison (2025) reported that radiologic technology graduates demonstrated highly positive attitudes and very high levels of preparedness toward the licensure examination. Greater preparedness was associated with fewer challenges encountered during examination review and preparation.</w:t>
      </w:r>
    </w:p>
    <w:p w14:paraId="5A73AB6E"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Araneta (2021) found favorable licensure examination outcomes among Bachelor of Science in Radiologic Technology graduates and concluded that the educational program effectively prepared students for workforce integration and professional practice. Ibañez (2025), however, identified institutional factors associated with higher licensure examination failure rates, particularly among schools with larger examinee populations that may experience strain in instructional and academic support resources.</w:t>
      </w:r>
    </w:p>
    <w:p w14:paraId="228488F5"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these studies suggest that effective review programs, competency-based instruction, academic support systems, and institutional quality assurance mechanisms are essential in promoting licensure success and professional readiness among radiologic technology graduates.</w:t>
      </w:r>
    </w:p>
    <w:p w14:paraId="5186EB5B"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7" w:name="_u48y342efnqy" w:colFirst="0" w:colLast="0"/>
      <w:bookmarkEnd w:id="17"/>
      <w:r>
        <w:rPr>
          <w:rFonts w:ascii="Times New Roman" w:eastAsia="Times New Roman" w:hAnsi="Times New Roman" w:cs="Times New Roman"/>
          <w:b/>
          <w:bCs/>
          <w:sz w:val="24"/>
          <w:szCs w:val="24"/>
        </w:rPr>
        <w:lastRenderedPageBreak/>
        <w:t>Global Employability and Migration Intentions</w:t>
      </w:r>
    </w:p>
    <w:p w14:paraId="3FFFDF6B"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Migration intention emerged as one of the most prominent themes across the reviewed literature. Multiple studies demonstrated strong aspirations among Filipino radiologic technologists to pursue overseas employment because of economic and professional factors. </w:t>
      </w: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(2023), and Zaragoza (2025) consistently identified low salary, poor working conditions, limited career advancement opportunities, and inadequate compensation as major push factors encouraging migration. In contrast, improved quality of life, better salaries, enhanced workplace environments, political stability, and professional growth opportunities abroad served as strong pull factors motivating international employment intentions.</w:t>
      </w:r>
    </w:p>
    <w:p w14:paraId="562AF226" w14:textId="77777777" w:rsidR="00AF1070" w:rsidRDefault="004B6D4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 further reported that hospitals in the National Capital Region experienced workforce shortages, hiring difficulties, and retention problems partly attributable to migration and brain drain among radiologic technologists. These workforce challenges were supported by broader healthcare workforce studies that emphasized burnout, insufficient compensation, poor workplace conditions, and weak career progression systems as major contributors to healthcare workforce attrition in the Philippines (Padilla et al., 2025; Tiu et al., 2025).</w:t>
      </w:r>
    </w:p>
    <w:p w14:paraId="48987352" w14:textId="77777777" w:rsidR="00AF1070" w:rsidRDefault="004B6D4A">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reviewed evidence indicates that although Filipino radiologic technologists are globally competitive and highly employable, persistent local workforce issues continue to drive migration and threaten long-term workforce sustainability within the Philippine healthcare system.</w:t>
      </w:r>
    </w:p>
    <w:p w14:paraId="1B8CF0A0"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8" w:name="_awh4d0ddsw7w" w:colFirst="0" w:colLast="0"/>
      <w:bookmarkEnd w:id="18"/>
      <w:r>
        <w:rPr>
          <w:rFonts w:ascii="Times New Roman" w:eastAsia="Times New Roman" w:hAnsi="Times New Roman" w:cs="Times New Roman"/>
          <w:b/>
          <w:bCs/>
          <w:sz w:val="24"/>
          <w:szCs w:val="24"/>
        </w:rPr>
        <w:t>Technological Adaptation and Continuing Professional Development</w:t>
      </w:r>
    </w:p>
    <w:p w14:paraId="08F7E9D1"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 and continuing professional development were consistently identified as important components of global employability and workforce competitiveness. Cardoso et al. (2025) reported that technological advancements improved efficiency, critical thinking, and internship experiences among radiologic technology students, although increased dependence on digital technologies may reduce proficiency in manual radiographic techniques.</w:t>
      </w:r>
    </w:p>
    <w:p w14:paraId="29D1B98A" w14:textId="77777777" w:rsidR="00AF1070" w:rsidRDefault="004B6D4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 emphasized that the Fourth Industrial Revolution and increasing integration of artificial intelligence, automation, and digital imaging technologies require modernization of educational curricula and continuous workforce upskilling. Similarly, Susiku et al. (2024) highlighted the importance of multi-modality competencies, technological proficiency, and adaptable clinical skills in improving graduate employability and international workforce mobility.</w:t>
      </w:r>
    </w:p>
    <w:p w14:paraId="6DC7A8F7"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Crispino and Rocha (2021) further underscored the significance of continuing professional development in strengthening global competitiveness and professional mobility among Filipino healthcare professionals within ASEAN and international labor markets. These findings suggest that radiologic technology education programs must continuously evolve to align with rapidly changing healthcare technologies and international professional standards.</w:t>
      </w:r>
    </w:p>
    <w:p w14:paraId="1FA9F0A9"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19" w:name="_ul67ts90qvpm" w:colFirst="0" w:colLast="0"/>
      <w:bookmarkEnd w:id="19"/>
      <w:r>
        <w:rPr>
          <w:rFonts w:ascii="Times New Roman" w:eastAsia="Times New Roman" w:hAnsi="Times New Roman" w:cs="Times New Roman"/>
          <w:b/>
          <w:bCs/>
          <w:sz w:val="24"/>
          <w:szCs w:val="24"/>
        </w:rPr>
        <w:t>Workforce Retention, Occupational Challenges, and Professional Sustainability</w:t>
      </w:r>
    </w:p>
    <w:p w14:paraId="558250A5"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reviewed studies also highlighted significant occupational and workforce sustainability challenges among radiologic technologists. </w:t>
      </w: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 and </w:t>
      </w: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and Urbina (2025) demonstrated that compensation, promotion opportunities, workplace conditions, managerial support, and professional attitudes significantly influenced job satisfaction and workforce retention among radiologic technologists. Sedillo Jr. (2021) additionally found that supportive leadership behaviors and positive institutional environments reduced turnover intentions among radiologic technologists employed in academic institutions.</w:t>
      </w:r>
    </w:p>
    <w:p w14:paraId="035CAE33"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further emphasized occupational preparedness and resilience during public health emergencies. Andres (2023), Torio et al. (2022), and </w:t>
      </w: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 demonstrated high levels of infection prevention competency, workplace preparedness, and compliance with safety protocols among radiologic technologists during the COVID-19 pandemic. Moreover, de Guzman and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(2020) highlighted the underrecognized but essential role of radiologic technologists within the healthcare system, particularly during the pandemic, emphasizing the importance of professional identity formation, institutional recognition, and interprofessional collaboration in strengthening workforce morale and professional sustainability.</w:t>
      </w:r>
    </w:p>
    <w:p w14:paraId="15938F5B" w14:textId="77777777" w:rsidR="00EF492E" w:rsidRDefault="00EF492E">
      <w:pPr>
        <w:spacing w:before="240" w:after="240"/>
        <w:jc w:val="both"/>
        <w:rPr>
          <w:rFonts w:ascii="Times New Roman" w:eastAsia="Times New Roman" w:hAnsi="Times New Roman" w:cs="Times New Roman"/>
          <w:sz w:val="24"/>
          <w:szCs w:val="24"/>
        </w:rPr>
      </w:pPr>
    </w:p>
    <w:p w14:paraId="58EF4BB5" w14:textId="77777777" w:rsidR="00EF492E" w:rsidRPr="00EF492E" w:rsidRDefault="00EF492E" w:rsidP="00EF492E">
      <w:pPr>
        <w:spacing w:before="480" w:after="120" w:line="240" w:lineRule="auto"/>
        <w:jc w:val="both"/>
        <w:outlineLvl w:val="0"/>
        <w:rPr>
          <w:rFonts w:ascii="Times New Roman" w:eastAsia="Times New Roman" w:hAnsi="Times New Roman" w:cs="Times New Roman"/>
          <w:b/>
          <w:bCs/>
          <w:sz w:val="24"/>
          <w:szCs w:val="24"/>
        </w:rPr>
      </w:pPr>
      <w:r w:rsidRPr="00EF492E">
        <w:rPr>
          <w:rFonts w:ascii="Times New Roman" w:eastAsia="Times New Roman" w:hAnsi="Times New Roman" w:cs="Times New Roman"/>
          <w:b/>
          <w:bCs/>
          <w:sz w:val="24"/>
          <w:szCs w:val="24"/>
        </w:rPr>
        <w:t xml:space="preserve">Table 1. Summary of Included Studies on the Global Employability of Filipino Radiologic Technologists and the Effectiveness of Radiologic Technology Education in the Philippines </w:t>
      </w:r>
    </w:p>
    <w:tbl>
      <w:tblPr>
        <w:tblW w:w="13155"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830"/>
        <w:gridCol w:w="1605"/>
        <w:gridCol w:w="2400"/>
        <w:gridCol w:w="2460"/>
        <w:gridCol w:w="2520"/>
        <w:gridCol w:w="2340"/>
      </w:tblGrid>
      <w:tr w:rsidR="00EF492E" w:rsidRPr="00EF492E" w14:paraId="1D5795F0" w14:textId="77777777" w:rsidTr="00516F66">
        <w:trPr>
          <w:trHeight w:val="120"/>
        </w:trPr>
        <w:tc>
          <w:tcPr>
            <w:tcW w:w="1830" w:type="dxa"/>
            <w:tcBorders>
              <w:top w:val="nil"/>
              <w:left w:val="nil"/>
              <w:bottom w:val="nil"/>
              <w:right w:val="nil"/>
            </w:tcBorders>
            <w:tcMar>
              <w:top w:w="100" w:type="dxa"/>
              <w:left w:w="100" w:type="dxa"/>
              <w:bottom w:w="100" w:type="dxa"/>
              <w:right w:w="100" w:type="dxa"/>
            </w:tcMar>
          </w:tcPr>
          <w:p w14:paraId="6F383AB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Author/Year</w:t>
            </w:r>
          </w:p>
        </w:tc>
        <w:tc>
          <w:tcPr>
            <w:tcW w:w="1605" w:type="dxa"/>
            <w:tcBorders>
              <w:top w:val="nil"/>
              <w:left w:val="nil"/>
              <w:bottom w:val="nil"/>
              <w:right w:val="nil"/>
            </w:tcBorders>
            <w:tcMar>
              <w:top w:w="100" w:type="dxa"/>
              <w:left w:w="100" w:type="dxa"/>
              <w:bottom w:w="100" w:type="dxa"/>
              <w:right w:w="100" w:type="dxa"/>
            </w:tcMar>
          </w:tcPr>
          <w:p w14:paraId="5B306D4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Study Design</w:t>
            </w:r>
          </w:p>
        </w:tc>
        <w:tc>
          <w:tcPr>
            <w:tcW w:w="2400" w:type="dxa"/>
            <w:tcBorders>
              <w:top w:val="nil"/>
              <w:left w:val="nil"/>
              <w:bottom w:val="nil"/>
              <w:right w:val="nil"/>
            </w:tcBorders>
            <w:tcMar>
              <w:top w:w="100" w:type="dxa"/>
              <w:left w:w="100" w:type="dxa"/>
              <w:bottom w:w="100" w:type="dxa"/>
              <w:right w:w="100" w:type="dxa"/>
            </w:tcMar>
          </w:tcPr>
          <w:p w14:paraId="6BDCC94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Population/Setting</w:t>
            </w:r>
          </w:p>
        </w:tc>
        <w:tc>
          <w:tcPr>
            <w:tcW w:w="2460" w:type="dxa"/>
            <w:tcBorders>
              <w:top w:val="nil"/>
              <w:left w:val="nil"/>
              <w:bottom w:val="nil"/>
              <w:right w:val="nil"/>
            </w:tcBorders>
            <w:tcMar>
              <w:top w:w="100" w:type="dxa"/>
              <w:left w:w="100" w:type="dxa"/>
              <w:bottom w:w="100" w:type="dxa"/>
              <w:right w:w="100" w:type="dxa"/>
            </w:tcMar>
          </w:tcPr>
          <w:p w14:paraId="10239BF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Focus of Study</w:t>
            </w:r>
          </w:p>
        </w:tc>
        <w:tc>
          <w:tcPr>
            <w:tcW w:w="2520" w:type="dxa"/>
            <w:tcBorders>
              <w:top w:val="nil"/>
              <w:left w:val="nil"/>
              <w:bottom w:val="nil"/>
              <w:right w:val="nil"/>
            </w:tcBorders>
            <w:tcMar>
              <w:top w:w="100" w:type="dxa"/>
              <w:left w:w="100" w:type="dxa"/>
              <w:bottom w:w="100" w:type="dxa"/>
              <w:right w:w="100" w:type="dxa"/>
            </w:tcMar>
          </w:tcPr>
          <w:p w14:paraId="41240D0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Major Findings</w:t>
            </w:r>
          </w:p>
        </w:tc>
        <w:tc>
          <w:tcPr>
            <w:tcW w:w="2340" w:type="dxa"/>
            <w:tcBorders>
              <w:top w:val="nil"/>
              <w:left w:val="nil"/>
              <w:bottom w:val="nil"/>
              <w:right w:val="nil"/>
            </w:tcBorders>
            <w:tcMar>
              <w:top w:w="100" w:type="dxa"/>
              <w:left w:w="100" w:type="dxa"/>
              <w:bottom w:w="100" w:type="dxa"/>
              <w:right w:w="100" w:type="dxa"/>
            </w:tcMar>
          </w:tcPr>
          <w:p w14:paraId="1F15AB4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b/>
                <w:bCs/>
                <w:sz w:val="24"/>
                <w:szCs w:val="24"/>
              </w:rPr>
              <w:t>Relevance to Review</w:t>
            </w:r>
          </w:p>
        </w:tc>
      </w:tr>
      <w:tr w:rsidR="00EF492E" w:rsidRPr="00EF492E" w14:paraId="60DCC84B" w14:textId="77777777" w:rsidTr="00516F66">
        <w:trPr>
          <w:trHeight w:val="1331"/>
        </w:trPr>
        <w:tc>
          <w:tcPr>
            <w:tcW w:w="1830" w:type="dxa"/>
            <w:tcBorders>
              <w:top w:val="nil"/>
              <w:left w:val="nil"/>
              <w:bottom w:val="nil"/>
              <w:right w:val="nil"/>
            </w:tcBorders>
            <w:tcMar>
              <w:top w:w="100" w:type="dxa"/>
              <w:left w:w="100" w:type="dxa"/>
              <w:bottom w:w="100" w:type="dxa"/>
              <w:right w:w="100" w:type="dxa"/>
            </w:tcMar>
          </w:tcPr>
          <w:p w14:paraId="441FC9F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 xml:space="preserve">Pambid &amp; </w:t>
            </w:r>
            <w:proofErr w:type="spellStart"/>
            <w:r w:rsidRPr="00EF492E">
              <w:rPr>
                <w:rFonts w:ascii="Times New Roman" w:eastAsia="Times New Roman" w:hAnsi="Times New Roman" w:cs="Times New Roman"/>
                <w:sz w:val="24"/>
                <w:szCs w:val="24"/>
              </w:rPr>
              <w:t>Agawin</w:t>
            </w:r>
            <w:proofErr w:type="spellEnd"/>
            <w:r w:rsidRPr="00EF492E">
              <w:rPr>
                <w:rFonts w:ascii="Times New Roman" w:eastAsia="Times New Roman" w:hAnsi="Times New Roman" w:cs="Times New Roman"/>
                <w:sz w:val="24"/>
                <w:szCs w:val="24"/>
              </w:rPr>
              <w:t xml:space="preserve"> (2020)</w:t>
            </w:r>
          </w:p>
        </w:tc>
        <w:tc>
          <w:tcPr>
            <w:tcW w:w="1605" w:type="dxa"/>
            <w:tcBorders>
              <w:top w:val="nil"/>
              <w:left w:val="nil"/>
              <w:bottom w:val="nil"/>
              <w:right w:val="nil"/>
            </w:tcBorders>
            <w:tcMar>
              <w:top w:w="100" w:type="dxa"/>
              <w:left w:w="100" w:type="dxa"/>
              <w:bottom w:w="100" w:type="dxa"/>
              <w:right w:w="100" w:type="dxa"/>
            </w:tcMar>
          </w:tcPr>
          <w:p w14:paraId="1292ED6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2400" w:type="dxa"/>
            <w:tcBorders>
              <w:top w:val="nil"/>
              <w:left w:val="nil"/>
              <w:bottom w:val="nil"/>
              <w:right w:val="nil"/>
            </w:tcBorders>
            <w:tcMar>
              <w:top w:w="100" w:type="dxa"/>
              <w:left w:w="100" w:type="dxa"/>
              <w:bottom w:w="100" w:type="dxa"/>
              <w:right w:w="100" w:type="dxa"/>
            </w:tcMar>
          </w:tcPr>
          <w:p w14:paraId="29AA73D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BS Radiologic Technology graduates, LPU-ST Cabrini College of Allied Medicine</w:t>
            </w:r>
          </w:p>
        </w:tc>
        <w:tc>
          <w:tcPr>
            <w:tcW w:w="2460" w:type="dxa"/>
            <w:tcBorders>
              <w:top w:val="nil"/>
              <w:left w:val="nil"/>
              <w:bottom w:val="nil"/>
              <w:right w:val="nil"/>
            </w:tcBorders>
            <w:tcMar>
              <w:top w:w="100" w:type="dxa"/>
              <w:left w:w="100" w:type="dxa"/>
              <w:bottom w:w="100" w:type="dxa"/>
              <w:right w:w="100" w:type="dxa"/>
            </w:tcMar>
          </w:tcPr>
          <w:p w14:paraId="0B2BD14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Graduate employability and curriculum relevance</w:t>
            </w:r>
          </w:p>
        </w:tc>
        <w:tc>
          <w:tcPr>
            <w:tcW w:w="2520" w:type="dxa"/>
            <w:tcBorders>
              <w:top w:val="nil"/>
              <w:left w:val="nil"/>
              <w:bottom w:val="nil"/>
              <w:right w:val="nil"/>
            </w:tcBorders>
            <w:tcMar>
              <w:top w:w="100" w:type="dxa"/>
              <w:left w:w="100" w:type="dxa"/>
              <w:bottom w:w="100" w:type="dxa"/>
              <w:right w:w="100" w:type="dxa"/>
            </w:tcMar>
          </w:tcPr>
          <w:p w14:paraId="2B07A10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Most graduates obtained employment within three months after graduation; curriculum preparation was highly relevant to work responsibilities</w:t>
            </w:r>
          </w:p>
        </w:tc>
        <w:tc>
          <w:tcPr>
            <w:tcW w:w="2340" w:type="dxa"/>
            <w:tcBorders>
              <w:top w:val="nil"/>
              <w:left w:val="nil"/>
              <w:bottom w:val="nil"/>
              <w:right w:val="nil"/>
            </w:tcBorders>
            <w:tcMar>
              <w:top w:w="100" w:type="dxa"/>
              <w:left w:w="100" w:type="dxa"/>
              <w:bottom w:w="100" w:type="dxa"/>
              <w:right w:w="100" w:type="dxa"/>
            </w:tcMar>
          </w:tcPr>
          <w:p w14:paraId="5EB8568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favorable employability outcomes and effectiveness of RT education</w:t>
            </w:r>
          </w:p>
        </w:tc>
      </w:tr>
      <w:tr w:rsidR="00EF492E" w:rsidRPr="00EF492E" w14:paraId="3E17063B" w14:textId="77777777" w:rsidTr="00516F66">
        <w:trPr>
          <w:trHeight w:val="435"/>
        </w:trPr>
        <w:tc>
          <w:tcPr>
            <w:tcW w:w="1830" w:type="dxa"/>
            <w:tcBorders>
              <w:top w:val="nil"/>
              <w:left w:val="nil"/>
              <w:bottom w:val="nil"/>
              <w:right w:val="nil"/>
            </w:tcBorders>
            <w:tcMar>
              <w:top w:w="100" w:type="dxa"/>
              <w:left w:w="100" w:type="dxa"/>
              <w:bottom w:w="100" w:type="dxa"/>
              <w:right w:w="100" w:type="dxa"/>
            </w:tcMar>
          </w:tcPr>
          <w:p w14:paraId="10FCCF1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Daquis et al. (2016)</w:t>
            </w:r>
          </w:p>
        </w:tc>
        <w:tc>
          <w:tcPr>
            <w:tcW w:w="1605" w:type="dxa"/>
            <w:tcBorders>
              <w:top w:val="nil"/>
              <w:left w:val="nil"/>
              <w:bottom w:val="nil"/>
              <w:right w:val="nil"/>
            </w:tcBorders>
            <w:tcMar>
              <w:top w:w="100" w:type="dxa"/>
              <w:left w:w="100" w:type="dxa"/>
              <w:bottom w:w="100" w:type="dxa"/>
              <w:right w:w="100" w:type="dxa"/>
            </w:tcMar>
          </w:tcPr>
          <w:p w14:paraId="4DA2A4F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tracer study</w:t>
            </w:r>
          </w:p>
        </w:tc>
        <w:tc>
          <w:tcPr>
            <w:tcW w:w="2400" w:type="dxa"/>
            <w:tcBorders>
              <w:top w:val="nil"/>
              <w:left w:val="nil"/>
              <w:bottom w:val="nil"/>
              <w:right w:val="nil"/>
            </w:tcBorders>
            <w:tcMar>
              <w:top w:w="100" w:type="dxa"/>
              <w:left w:w="100" w:type="dxa"/>
              <w:bottom w:w="100" w:type="dxa"/>
              <w:right w:w="100" w:type="dxa"/>
            </w:tcMar>
          </w:tcPr>
          <w:p w14:paraId="73A057B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BS Radiologic Technology graduates (2013–2015)</w:t>
            </w:r>
          </w:p>
        </w:tc>
        <w:tc>
          <w:tcPr>
            <w:tcW w:w="2460" w:type="dxa"/>
            <w:tcBorders>
              <w:top w:val="nil"/>
              <w:left w:val="nil"/>
              <w:bottom w:val="nil"/>
              <w:right w:val="nil"/>
            </w:tcBorders>
            <w:tcMar>
              <w:top w:w="100" w:type="dxa"/>
              <w:left w:w="100" w:type="dxa"/>
              <w:bottom w:w="100" w:type="dxa"/>
              <w:right w:w="100" w:type="dxa"/>
            </w:tcMar>
          </w:tcPr>
          <w:p w14:paraId="6953326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of RT graduates</w:t>
            </w:r>
          </w:p>
        </w:tc>
        <w:tc>
          <w:tcPr>
            <w:tcW w:w="2520" w:type="dxa"/>
            <w:tcBorders>
              <w:top w:val="nil"/>
              <w:left w:val="nil"/>
              <w:bottom w:val="nil"/>
              <w:right w:val="nil"/>
            </w:tcBorders>
            <w:tcMar>
              <w:top w:w="100" w:type="dxa"/>
              <w:left w:w="100" w:type="dxa"/>
              <w:bottom w:w="100" w:type="dxa"/>
              <w:right w:w="100" w:type="dxa"/>
            </w:tcMar>
          </w:tcPr>
          <w:p w14:paraId="37C232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Majority of graduates employed in RT-related professions</w:t>
            </w:r>
          </w:p>
        </w:tc>
        <w:tc>
          <w:tcPr>
            <w:tcW w:w="2340" w:type="dxa"/>
            <w:tcBorders>
              <w:top w:val="nil"/>
              <w:left w:val="nil"/>
              <w:bottom w:val="nil"/>
              <w:right w:val="nil"/>
            </w:tcBorders>
            <w:tcMar>
              <w:top w:w="100" w:type="dxa"/>
              <w:left w:w="100" w:type="dxa"/>
              <w:bottom w:w="100" w:type="dxa"/>
              <w:right w:w="100" w:type="dxa"/>
            </w:tcMar>
          </w:tcPr>
          <w:p w14:paraId="3022B21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workforce readiness and employability of Filipino RT graduates</w:t>
            </w:r>
          </w:p>
        </w:tc>
      </w:tr>
      <w:tr w:rsidR="00EF492E" w:rsidRPr="00EF492E" w14:paraId="6558D359" w14:textId="77777777" w:rsidTr="00516F66">
        <w:trPr>
          <w:trHeight w:val="1320"/>
        </w:trPr>
        <w:tc>
          <w:tcPr>
            <w:tcW w:w="1830" w:type="dxa"/>
            <w:tcBorders>
              <w:top w:val="nil"/>
              <w:left w:val="nil"/>
              <w:bottom w:val="nil"/>
              <w:right w:val="nil"/>
            </w:tcBorders>
            <w:tcMar>
              <w:top w:w="100" w:type="dxa"/>
              <w:left w:w="100" w:type="dxa"/>
              <w:bottom w:w="100" w:type="dxa"/>
              <w:right w:w="100" w:type="dxa"/>
            </w:tcMar>
          </w:tcPr>
          <w:p w14:paraId="1456D22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Valdez (2012)</w:t>
            </w:r>
          </w:p>
        </w:tc>
        <w:tc>
          <w:tcPr>
            <w:tcW w:w="1605" w:type="dxa"/>
            <w:tcBorders>
              <w:top w:val="nil"/>
              <w:left w:val="nil"/>
              <w:bottom w:val="nil"/>
              <w:right w:val="nil"/>
            </w:tcBorders>
            <w:tcMar>
              <w:top w:w="100" w:type="dxa"/>
              <w:left w:w="100" w:type="dxa"/>
              <w:bottom w:w="100" w:type="dxa"/>
              <w:right w:w="100" w:type="dxa"/>
            </w:tcMar>
          </w:tcPr>
          <w:p w14:paraId="61C948B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2400" w:type="dxa"/>
            <w:tcBorders>
              <w:top w:val="nil"/>
              <w:left w:val="nil"/>
              <w:bottom w:val="nil"/>
              <w:right w:val="nil"/>
            </w:tcBorders>
            <w:tcMar>
              <w:top w:w="100" w:type="dxa"/>
              <w:left w:w="100" w:type="dxa"/>
              <w:bottom w:w="100" w:type="dxa"/>
              <w:right w:w="100" w:type="dxa"/>
            </w:tcMar>
          </w:tcPr>
          <w:p w14:paraId="01F825F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graduates, Lyceum University of the Philippines–Batangas</w:t>
            </w:r>
          </w:p>
        </w:tc>
        <w:tc>
          <w:tcPr>
            <w:tcW w:w="2460" w:type="dxa"/>
            <w:tcBorders>
              <w:top w:val="nil"/>
              <w:left w:val="nil"/>
              <w:bottom w:val="nil"/>
              <w:right w:val="nil"/>
            </w:tcBorders>
            <w:tcMar>
              <w:top w:w="100" w:type="dxa"/>
              <w:left w:w="100" w:type="dxa"/>
              <w:bottom w:w="100" w:type="dxa"/>
              <w:right w:w="100" w:type="dxa"/>
            </w:tcMar>
          </w:tcPr>
          <w:p w14:paraId="27D5747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Transition from study to employment</w:t>
            </w:r>
          </w:p>
        </w:tc>
        <w:tc>
          <w:tcPr>
            <w:tcW w:w="2520" w:type="dxa"/>
            <w:tcBorders>
              <w:top w:val="nil"/>
              <w:left w:val="nil"/>
              <w:bottom w:val="nil"/>
              <w:right w:val="nil"/>
            </w:tcBorders>
            <w:tcMar>
              <w:top w:w="100" w:type="dxa"/>
              <w:left w:w="100" w:type="dxa"/>
              <w:bottom w:w="100" w:type="dxa"/>
              <w:right w:w="100" w:type="dxa"/>
            </w:tcMar>
          </w:tcPr>
          <w:p w14:paraId="42E2874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All respondents employed full-time in professions aligned with RT training</w:t>
            </w:r>
          </w:p>
        </w:tc>
        <w:tc>
          <w:tcPr>
            <w:tcW w:w="2340" w:type="dxa"/>
            <w:tcBorders>
              <w:top w:val="nil"/>
              <w:left w:val="nil"/>
              <w:bottom w:val="nil"/>
              <w:right w:val="nil"/>
            </w:tcBorders>
            <w:tcMar>
              <w:top w:w="100" w:type="dxa"/>
              <w:left w:w="100" w:type="dxa"/>
              <w:bottom w:w="100" w:type="dxa"/>
              <w:right w:w="100" w:type="dxa"/>
            </w:tcMar>
          </w:tcPr>
          <w:p w14:paraId="076C6B3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successful workforce integration</w:t>
            </w:r>
          </w:p>
        </w:tc>
      </w:tr>
      <w:tr w:rsidR="00EF492E" w:rsidRPr="00EF492E" w14:paraId="6AE33C2A" w14:textId="77777777" w:rsidTr="00516F66">
        <w:trPr>
          <w:trHeight w:val="1925"/>
        </w:trPr>
        <w:tc>
          <w:tcPr>
            <w:tcW w:w="1830" w:type="dxa"/>
            <w:tcBorders>
              <w:top w:val="nil"/>
              <w:left w:val="nil"/>
              <w:bottom w:val="nil"/>
              <w:right w:val="nil"/>
            </w:tcBorders>
            <w:tcMar>
              <w:top w:w="100" w:type="dxa"/>
              <w:left w:w="100" w:type="dxa"/>
              <w:bottom w:w="100" w:type="dxa"/>
              <w:right w:w="100" w:type="dxa"/>
            </w:tcMar>
          </w:tcPr>
          <w:p w14:paraId="1BB0DF0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Araneta (2021)</w:t>
            </w:r>
          </w:p>
        </w:tc>
        <w:tc>
          <w:tcPr>
            <w:tcW w:w="1605" w:type="dxa"/>
            <w:tcBorders>
              <w:top w:val="nil"/>
              <w:left w:val="nil"/>
              <w:bottom w:val="nil"/>
              <w:right w:val="nil"/>
            </w:tcBorders>
            <w:tcMar>
              <w:top w:w="100" w:type="dxa"/>
              <w:left w:w="100" w:type="dxa"/>
              <w:bottom w:w="100" w:type="dxa"/>
              <w:right w:w="100" w:type="dxa"/>
            </w:tcMar>
          </w:tcPr>
          <w:p w14:paraId="6B69571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2400" w:type="dxa"/>
            <w:tcBorders>
              <w:top w:val="nil"/>
              <w:left w:val="nil"/>
              <w:bottom w:val="nil"/>
              <w:right w:val="nil"/>
            </w:tcBorders>
            <w:tcMar>
              <w:top w:w="100" w:type="dxa"/>
              <w:left w:w="100" w:type="dxa"/>
              <w:bottom w:w="100" w:type="dxa"/>
              <w:right w:w="100" w:type="dxa"/>
            </w:tcMar>
          </w:tcPr>
          <w:p w14:paraId="433E68F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BSRT graduates (2018–2021)</w:t>
            </w:r>
          </w:p>
        </w:tc>
        <w:tc>
          <w:tcPr>
            <w:tcW w:w="2460" w:type="dxa"/>
            <w:tcBorders>
              <w:top w:val="nil"/>
              <w:left w:val="nil"/>
              <w:bottom w:val="nil"/>
              <w:right w:val="nil"/>
            </w:tcBorders>
            <w:tcMar>
              <w:top w:w="100" w:type="dxa"/>
              <w:left w:w="100" w:type="dxa"/>
              <w:bottom w:w="100" w:type="dxa"/>
              <w:right w:w="100" w:type="dxa"/>
            </w:tcMar>
          </w:tcPr>
          <w:p w14:paraId="4C4CB4E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Graduate outcomes and licensure preparedness</w:t>
            </w:r>
          </w:p>
        </w:tc>
        <w:tc>
          <w:tcPr>
            <w:tcW w:w="2520" w:type="dxa"/>
            <w:tcBorders>
              <w:top w:val="nil"/>
              <w:left w:val="nil"/>
              <w:bottom w:val="nil"/>
              <w:right w:val="nil"/>
            </w:tcBorders>
            <w:tcMar>
              <w:top w:w="100" w:type="dxa"/>
              <w:left w:w="100" w:type="dxa"/>
              <w:bottom w:w="100" w:type="dxa"/>
              <w:right w:w="100" w:type="dxa"/>
            </w:tcMar>
          </w:tcPr>
          <w:p w14:paraId="35C4C31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Favorable licensure outcomes and workforce integration observed</w:t>
            </w:r>
          </w:p>
        </w:tc>
        <w:tc>
          <w:tcPr>
            <w:tcW w:w="2340" w:type="dxa"/>
            <w:tcBorders>
              <w:top w:val="nil"/>
              <w:left w:val="nil"/>
              <w:bottom w:val="nil"/>
              <w:right w:val="nil"/>
            </w:tcBorders>
            <w:tcMar>
              <w:top w:w="100" w:type="dxa"/>
              <w:left w:w="100" w:type="dxa"/>
              <w:bottom w:w="100" w:type="dxa"/>
              <w:right w:w="100" w:type="dxa"/>
            </w:tcMar>
          </w:tcPr>
          <w:p w14:paraId="587DBDB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effectiveness of educational preparation</w:t>
            </w:r>
          </w:p>
        </w:tc>
      </w:tr>
      <w:tr w:rsidR="00EF492E" w:rsidRPr="00EF492E" w14:paraId="797B4CE6" w14:textId="77777777" w:rsidTr="00516F66">
        <w:trPr>
          <w:trHeight w:val="1305"/>
        </w:trPr>
        <w:tc>
          <w:tcPr>
            <w:tcW w:w="1830" w:type="dxa"/>
            <w:tcBorders>
              <w:top w:val="nil"/>
              <w:left w:val="nil"/>
              <w:bottom w:val="nil"/>
              <w:right w:val="nil"/>
            </w:tcBorders>
            <w:tcMar>
              <w:top w:w="100" w:type="dxa"/>
              <w:left w:w="100" w:type="dxa"/>
              <w:bottom w:w="100" w:type="dxa"/>
              <w:right w:w="100" w:type="dxa"/>
            </w:tcMar>
          </w:tcPr>
          <w:p w14:paraId="2A8803A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Mendoza (2021)</w:t>
            </w:r>
          </w:p>
        </w:tc>
        <w:tc>
          <w:tcPr>
            <w:tcW w:w="1605" w:type="dxa"/>
            <w:tcBorders>
              <w:top w:val="nil"/>
              <w:left w:val="nil"/>
              <w:bottom w:val="nil"/>
              <w:right w:val="nil"/>
            </w:tcBorders>
            <w:tcMar>
              <w:top w:w="100" w:type="dxa"/>
              <w:left w:w="100" w:type="dxa"/>
              <w:bottom w:w="100" w:type="dxa"/>
              <w:right w:w="100" w:type="dxa"/>
            </w:tcMar>
          </w:tcPr>
          <w:p w14:paraId="3F01FDC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4A70C34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University of Makati BSRT program</w:t>
            </w:r>
          </w:p>
        </w:tc>
        <w:tc>
          <w:tcPr>
            <w:tcW w:w="2460" w:type="dxa"/>
            <w:tcBorders>
              <w:top w:val="nil"/>
              <w:left w:val="nil"/>
              <w:bottom w:val="nil"/>
              <w:right w:val="nil"/>
            </w:tcBorders>
            <w:tcMar>
              <w:top w:w="100" w:type="dxa"/>
              <w:left w:w="100" w:type="dxa"/>
              <w:bottom w:w="100" w:type="dxa"/>
              <w:right w:w="100" w:type="dxa"/>
            </w:tcMar>
          </w:tcPr>
          <w:p w14:paraId="62FF954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Program learning outcomes</w:t>
            </w:r>
          </w:p>
        </w:tc>
        <w:tc>
          <w:tcPr>
            <w:tcW w:w="2520" w:type="dxa"/>
            <w:tcBorders>
              <w:top w:val="nil"/>
              <w:left w:val="nil"/>
              <w:bottom w:val="nil"/>
              <w:right w:val="nil"/>
            </w:tcBorders>
            <w:tcMar>
              <w:top w:w="100" w:type="dxa"/>
              <w:left w:w="100" w:type="dxa"/>
              <w:bottom w:w="100" w:type="dxa"/>
              <w:right w:w="100" w:type="dxa"/>
            </w:tcMar>
          </w:tcPr>
          <w:p w14:paraId="020E26D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Learning outcomes rated “very highly achieved,” especially in diagnostic imaging and radiation protection</w:t>
            </w:r>
          </w:p>
        </w:tc>
        <w:tc>
          <w:tcPr>
            <w:tcW w:w="2340" w:type="dxa"/>
            <w:tcBorders>
              <w:top w:val="nil"/>
              <w:left w:val="nil"/>
              <w:bottom w:val="nil"/>
              <w:right w:val="nil"/>
            </w:tcBorders>
            <w:tcMar>
              <w:top w:w="100" w:type="dxa"/>
              <w:left w:w="100" w:type="dxa"/>
              <w:bottom w:w="100" w:type="dxa"/>
              <w:right w:w="100" w:type="dxa"/>
            </w:tcMar>
          </w:tcPr>
          <w:p w14:paraId="73F42D5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Shows curriculum effectiveness and competency achievement</w:t>
            </w:r>
          </w:p>
        </w:tc>
      </w:tr>
      <w:tr w:rsidR="00EF492E" w:rsidRPr="00EF492E" w14:paraId="0BA9AA1F" w14:textId="77777777" w:rsidTr="00516F66">
        <w:trPr>
          <w:trHeight w:val="854"/>
        </w:trPr>
        <w:tc>
          <w:tcPr>
            <w:tcW w:w="1830" w:type="dxa"/>
            <w:tcBorders>
              <w:top w:val="nil"/>
              <w:left w:val="nil"/>
              <w:bottom w:val="nil"/>
              <w:right w:val="nil"/>
            </w:tcBorders>
            <w:tcMar>
              <w:top w:w="100" w:type="dxa"/>
              <w:left w:w="100" w:type="dxa"/>
              <w:bottom w:w="100" w:type="dxa"/>
              <w:right w:w="100" w:type="dxa"/>
            </w:tcMar>
          </w:tcPr>
          <w:p w14:paraId="0A42079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Samaniego-</w:t>
            </w:r>
            <w:proofErr w:type="spellStart"/>
            <w:r w:rsidRPr="00EF492E">
              <w:rPr>
                <w:rFonts w:ascii="Times New Roman" w:eastAsia="Times New Roman" w:hAnsi="Times New Roman" w:cs="Times New Roman"/>
                <w:sz w:val="24"/>
                <w:szCs w:val="24"/>
              </w:rPr>
              <w:t>Mananghaya</w:t>
            </w:r>
            <w:proofErr w:type="spellEnd"/>
            <w:r w:rsidRPr="00EF492E">
              <w:rPr>
                <w:rFonts w:ascii="Times New Roman" w:eastAsia="Times New Roman" w:hAnsi="Times New Roman" w:cs="Times New Roman"/>
                <w:sz w:val="24"/>
                <w:szCs w:val="24"/>
              </w:rPr>
              <w:t xml:space="preserve"> (2025)</w:t>
            </w:r>
          </w:p>
        </w:tc>
        <w:tc>
          <w:tcPr>
            <w:tcW w:w="1605" w:type="dxa"/>
            <w:tcBorders>
              <w:top w:val="nil"/>
              <w:left w:val="nil"/>
              <w:bottom w:val="nil"/>
              <w:right w:val="nil"/>
            </w:tcBorders>
            <w:tcMar>
              <w:top w:w="100" w:type="dxa"/>
              <w:left w:w="100" w:type="dxa"/>
              <w:bottom w:w="100" w:type="dxa"/>
              <w:right w:w="100" w:type="dxa"/>
            </w:tcMar>
          </w:tcPr>
          <w:p w14:paraId="222B202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6B7E27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Radiologic technology students</w:t>
            </w:r>
          </w:p>
        </w:tc>
        <w:tc>
          <w:tcPr>
            <w:tcW w:w="2460" w:type="dxa"/>
            <w:tcBorders>
              <w:top w:val="nil"/>
              <w:left w:val="nil"/>
              <w:bottom w:val="nil"/>
              <w:right w:val="nil"/>
            </w:tcBorders>
            <w:tcMar>
              <w:top w:w="100" w:type="dxa"/>
              <w:left w:w="100" w:type="dxa"/>
              <w:bottom w:w="100" w:type="dxa"/>
              <w:right w:w="100" w:type="dxa"/>
            </w:tcMar>
          </w:tcPr>
          <w:p w14:paraId="61C8D76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Clinical learning environment and readiness</w:t>
            </w:r>
          </w:p>
        </w:tc>
        <w:tc>
          <w:tcPr>
            <w:tcW w:w="2520" w:type="dxa"/>
            <w:tcBorders>
              <w:top w:val="nil"/>
              <w:left w:val="nil"/>
              <w:bottom w:val="nil"/>
              <w:right w:val="nil"/>
            </w:tcBorders>
            <w:tcMar>
              <w:top w:w="100" w:type="dxa"/>
              <w:left w:w="100" w:type="dxa"/>
              <w:bottom w:w="100" w:type="dxa"/>
              <w:right w:w="100" w:type="dxa"/>
            </w:tcMar>
          </w:tcPr>
          <w:p w14:paraId="70FD849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Positive clinical learning environments improved professional readiness and clinical performance</w:t>
            </w:r>
          </w:p>
        </w:tc>
        <w:tc>
          <w:tcPr>
            <w:tcW w:w="2340" w:type="dxa"/>
            <w:tcBorders>
              <w:top w:val="nil"/>
              <w:left w:val="nil"/>
              <w:bottom w:val="nil"/>
              <w:right w:val="nil"/>
            </w:tcBorders>
            <w:tcMar>
              <w:top w:w="100" w:type="dxa"/>
              <w:left w:w="100" w:type="dxa"/>
              <w:bottom w:w="100" w:type="dxa"/>
              <w:right w:w="100" w:type="dxa"/>
            </w:tcMar>
          </w:tcPr>
          <w:p w14:paraId="48D4180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importance of internship and clinical exposure</w:t>
            </w:r>
          </w:p>
        </w:tc>
      </w:tr>
      <w:tr w:rsidR="00EF492E" w:rsidRPr="00EF492E" w14:paraId="6B77C204" w14:textId="77777777" w:rsidTr="00516F66">
        <w:trPr>
          <w:trHeight w:val="915"/>
        </w:trPr>
        <w:tc>
          <w:tcPr>
            <w:tcW w:w="1830" w:type="dxa"/>
            <w:tcBorders>
              <w:top w:val="nil"/>
              <w:left w:val="nil"/>
              <w:bottom w:val="nil"/>
              <w:right w:val="nil"/>
            </w:tcBorders>
            <w:tcMar>
              <w:top w:w="100" w:type="dxa"/>
              <w:left w:w="100" w:type="dxa"/>
              <w:bottom w:w="100" w:type="dxa"/>
              <w:right w:w="100" w:type="dxa"/>
            </w:tcMar>
          </w:tcPr>
          <w:p w14:paraId="06F00CE1"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Cerbito</w:t>
            </w:r>
            <w:proofErr w:type="spellEnd"/>
            <w:r w:rsidRPr="00EF492E">
              <w:rPr>
                <w:rFonts w:ascii="Times New Roman" w:eastAsia="Times New Roman" w:hAnsi="Times New Roman" w:cs="Times New Roman"/>
                <w:sz w:val="24"/>
                <w:szCs w:val="24"/>
              </w:rPr>
              <w:t xml:space="preserve"> et al. (2020)</w:t>
            </w:r>
          </w:p>
        </w:tc>
        <w:tc>
          <w:tcPr>
            <w:tcW w:w="1605" w:type="dxa"/>
            <w:tcBorders>
              <w:top w:val="nil"/>
              <w:left w:val="nil"/>
              <w:bottom w:val="nil"/>
              <w:right w:val="nil"/>
            </w:tcBorders>
            <w:tcMar>
              <w:top w:w="100" w:type="dxa"/>
              <w:left w:w="100" w:type="dxa"/>
              <w:bottom w:w="100" w:type="dxa"/>
              <w:right w:w="100" w:type="dxa"/>
            </w:tcMar>
          </w:tcPr>
          <w:p w14:paraId="422ACE4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correlational study</w:t>
            </w:r>
          </w:p>
        </w:tc>
        <w:tc>
          <w:tcPr>
            <w:tcW w:w="2400" w:type="dxa"/>
            <w:tcBorders>
              <w:top w:val="nil"/>
              <w:left w:val="nil"/>
              <w:bottom w:val="nil"/>
              <w:right w:val="nil"/>
            </w:tcBorders>
            <w:tcMar>
              <w:top w:w="100" w:type="dxa"/>
              <w:left w:w="100" w:type="dxa"/>
              <w:bottom w:w="100" w:type="dxa"/>
              <w:right w:w="100" w:type="dxa"/>
            </w:tcMar>
          </w:tcPr>
          <w:p w14:paraId="7F378E7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interns</w:t>
            </w:r>
          </w:p>
        </w:tc>
        <w:tc>
          <w:tcPr>
            <w:tcW w:w="2460" w:type="dxa"/>
            <w:tcBorders>
              <w:top w:val="nil"/>
              <w:left w:val="nil"/>
              <w:bottom w:val="nil"/>
              <w:right w:val="nil"/>
            </w:tcBorders>
            <w:tcMar>
              <w:top w:w="100" w:type="dxa"/>
              <w:left w:w="100" w:type="dxa"/>
              <w:bottom w:w="100" w:type="dxa"/>
              <w:right w:w="100" w:type="dxa"/>
            </w:tcMar>
          </w:tcPr>
          <w:p w14:paraId="116273C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Learning preferences and competencies</w:t>
            </w:r>
          </w:p>
        </w:tc>
        <w:tc>
          <w:tcPr>
            <w:tcW w:w="2520" w:type="dxa"/>
            <w:tcBorders>
              <w:top w:val="nil"/>
              <w:left w:val="nil"/>
              <w:bottom w:val="nil"/>
              <w:right w:val="nil"/>
            </w:tcBorders>
            <w:tcMar>
              <w:top w:w="100" w:type="dxa"/>
              <w:left w:w="100" w:type="dxa"/>
              <w:bottom w:w="100" w:type="dxa"/>
              <w:right w:w="100" w:type="dxa"/>
            </w:tcMar>
          </w:tcPr>
          <w:p w14:paraId="09008AD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Experiential learning and repeated exposure improved confidence and competency</w:t>
            </w:r>
          </w:p>
        </w:tc>
        <w:tc>
          <w:tcPr>
            <w:tcW w:w="2340" w:type="dxa"/>
            <w:tcBorders>
              <w:top w:val="nil"/>
              <w:left w:val="nil"/>
              <w:bottom w:val="nil"/>
              <w:right w:val="nil"/>
            </w:tcBorders>
            <w:tcMar>
              <w:top w:w="100" w:type="dxa"/>
              <w:left w:w="100" w:type="dxa"/>
              <w:bottom w:w="100" w:type="dxa"/>
              <w:right w:w="100" w:type="dxa"/>
            </w:tcMar>
          </w:tcPr>
          <w:p w14:paraId="74DA082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competency-based education</w:t>
            </w:r>
          </w:p>
        </w:tc>
      </w:tr>
      <w:tr w:rsidR="00EF492E" w:rsidRPr="00EF492E" w14:paraId="46614D24" w14:textId="77777777" w:rsidTr="00516F66">
        <w:trPr>
          <w:trHeight w:val="1425"/>
        </w:trPr>
        <w:tc>
          <w:tcPr>
            <w:tcW w:w="1830" w:type="dxa"/>
            <w:tcBorders>
              <w:top w:val="nil"/>
              <w:left w:val="nil"/>
              <w:bottom w:val="nil"/>
              <w:right w:val="nil"/>
            </w:tcBorders>
            <w:tcMar>
              <w:top w:w="100" w:type="dxa"/>
              <w:left w:w="100" w:type="dxa"/>
              <w:bottom w:w="100" w:type="dxa"/>
              <w:right w:w="100" w:type="dxa"/>
            </w:tcMar>
          </w:tcPr>
          <w:p w14:paraId="6C5B0B69"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Bulauitan</w:t>
            </w:r>
            <w:proofErr w:type="spellEnd"/>
            <w:r w:rsidRPr="00EF492E">
              <w:rPr>
                <w:rFonts w:ascii="Times New Roman" w:eastAsia="Times New Roman" w:hAnsi="Times New Roman" w:cs="Times New Roman"/>
                <w:sz w:val="24"/>
                <w:szCs w:val="24"/>
              </w:rPr>
              <w:t xml:space="preserve"> et al. (2024)</w:t>
            </w:r>
          </w:p>
        </w:tc>
        <w:tc>
          <w:tcPr>
            <w:tcW w:w="1605" w:type="dxa"/>
            <w:tcBorders>
              <w:top w:val="nil"/>
              <w:left w:val="nil"/>
              <w:bottom w:val="nil"/>
              <w:right w:val="nil"/>
            </w:tcBorders>
            <w:tcMar>
              <w:top w:w="100" w:type="dxa"/>
              <w:left w:w="100" w:type="dxa"/>
              <w:bottom w:w="100" w:type="dxa"/>
              <w:right w:w="100" w:type="dxa"/>
            </w:tcMar>
          </w:tcPr>
          <w:p w14:paraId="7BD1B40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36F363C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interns in Northern Philippines</w:t>
            </w:r>
          </w:p>
        </w:tc>
        <w:tc>
          <w:tcPr>
            <w:tcW w:w="2460" w:type="dxa"/>
            <w:tcBorders>
              <w:top w:val="nil"/>
              <w:left w:val="nil"/>
              <w:bottom w:val="nil"/>
              <w:right w:val="nil"/>
            </w:tcBorders>
            <w:tcMar>
              <w:top w:w="100" w:type="dxa"/>
              <w:left w:w="100" w:type="dxa"/>
              <w:bottom w:w="100" w:type="dxa"/>
              <w:right w:w="100" w:type="dxa"/>
            </w:tcMar>
          </w:tcPr>
          <w:p w14:paraId="3246B16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Internship work performance</w:t>
            </w:r>
          </w:p>
        </w:tc>
        <w:tc>
          <w:tcPr>
            <w:tcW w:w="2520" w:type="dxa"/>
            <w:tcBorders>
              <w:top w:val="nil"/>
              <w:left w:val="nil"/>
              <w:bottom w:val="nil"/>
              <w:right w:val="nil"/>
            </w:tcBorders>
            <w:tcMar>
              <w:top w:w="100" w:type="dxa"/>
              <w:left w:w="100" w:type="dxa"/>
              <w:bottom w:w="100" w:type="dxa"/>
              <w:right w:w="100" w:type="dxa"/>
            </w:tcMar>
          </w:tcPr>
          <w:p w14:paraId="5D11023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Strong competencies in technical knowledge, patient care, and radiation safety observed</w:t>
            </w:r>
          </w:p>
        </w:tc>
        <w:tc>
          <w:tcPr>
            <w:tcW w:w="2340" w:type="dxa"/>
            <w:tcBorders>
              <w:top w:val="nil"/>
              <w:left w:val="nil"/>
              <w:bottom w:val="nil"/>
              <w:right w:val="nil"/>
            </w:tcBorders>
            <w:tcMar>
              <w:top w:w="100" w:type="dxa"/>
              <w:left w:w="100" w:type="dxa"/>
              <w:bottom w:w="100" w:type="dxa"/>
              <w:right w:w="100" w:type="dxa"/>
            </w:tcMar>
          </w:tcPr>
          <w:p w14:paraId="708F594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Indicates workforce preparedness</w:t>
            </w:r>
          </w:p>
        </w:tc>
      </w:tr>
      <w:tr w:rsidR="00EF492E" w:rsidRPr="00EF492E" w14:paraId="1F285C48" w14:textId="77777777" w:rsidTr="00516F66">
        <w:trPr>
          <w:trHeight w:val="2495"/>
        </w:trPr>
        <w:tc>
          <w:tcPr>
            <w:tcW w:w="1830" w:type="dxa"/>
            <w:tcBorders>
              <w:top w:val="nil"/>
              <w:left w:val="nil"/>
              <w:bottom w:val="nil"/>
              <w:right w:val="nil"/>
            </w:tcBorders>
            <w:tcMar>
              <w:top w:w="100" w:type="dxa"/>
              <w:left w:w="100" w:type="dxa"/>
              <w:bottom w:w="100" w:type="dxa"/>
              <w:right w:w="100" w:type="dxa"/>
            </w:tcMar>
          </w:tcPr>
          <w:p w14:paraId="1DD92F3A"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Umpar</w:t>
            </w:r>
            <w:proofErr w:type="spellEnd"/>
            <w:r w:rsidRPr="00EF492E">
              <w:rPr>
                <w:rFonts w:ascii="Times New Roman" w:eastAsia="Times New Roman" w:hAnsi="Times New Roman" w:cs="Times New Roman"/>
                <w:sz w:val="24"/>
                <w:szCs w:val="24"/>
              </w:rPr>
              <w:t xml:space="preserve"> &amp; Sison (2025)</w:t>
            </w:r>
          </w:p>
        </w:tc>
        <w:tc>
          <w:tcPr>
            <w:tcW w:w="1605" w:type="dxa"/>
            <w:tcBorders>
              <w:top w:val="nil"/>
              <w:left w:val="nil"/>
              <w:bottom w:val="nil"/>
              <w:right w:val="nil"/>
            </w:tcBorders>
            <w:tcMar>
              <w:top w:w="100" w:type="dxa"/>
              <w:left w:w="100" w:type="dxa"/>
              <w:bottom w:w="100" w:type="dxa"/>
              <w:right w:w="100" w:type="dxa"/>
            </w:tcMar>
          </w:tcPr>
          <w:p w14:paraId="2FF5930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7B16F81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interns</w:t>
            </w:r>
          </w:p>
        </w:tc>
        <w:tc>
          <w:tcPr>
            <w:tcW w:w="2460" w:type="dxa"/>
            <w:tcBorders>
              <w:top w:val="nil"/>
              <w:left w:val="nil"/>
              <w:bottom w:val="nil"/>
              <w:right w:val="nil"/>
            </w:tcBorders>
            <w:tcMar>
              <w:top w:w="100" w:type="dxa"/>
              <w:left w:w="100" w:type="dxa"/>
              <w:bottom w:w="100" w:type="dxa"/>
              <w:right w:w="100" w:type="dxa"/>
            </w:tcMar>
          </w:tcPr>
          <w:p w14:paraId="3B3793A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Attitudes, skills, and clinical competency</w:t>
            </w:r>
          </w:p>
        </w:tc>
        <w:tc>
          <w:tcPr>
            <w:tcW w:w="2520" w:type="dxa"/>
            <w:tcBorders>
              <w:top w:val="nil"/>
              <w:left w:val="nil"/>
              <w:bottom w:val="nil"/>
              <w:right w:val="nil"/>
            </w:tcBorders>
            <w:tcMar>
              <w:top w:w="100" w:type="dxa"/>
              <w:left w:w="100" w:type="dxa"/>
              <w:bottom w:w="100" w:type="dxa"/>
              <w:right w:w="100" w:type="dxa"/>
            </w:tcMar>
          </w:tcPr>
          <w:p w14:paraId="5E28EBC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 competency in patient positioning, imaging acquisition, and patient management</w:t>
            </w:r>
          </w:p>
        </w:tc>
        <w:tc>
          <w:tcPr>
            <w:tcW w:w="2340" w:type="dxa"/>
            <w:tcBorders>
              <w:top w:val="nil"/>
              <w:left w:val="nil"/>
              <w:bottom w:val="nil"/>
              <w:right w:val="nil"/>
            </w:tcBorders>
            <w:tcMar>
              <w:top w:w="100" w:type="dxa"/>
              <w:left w:w="100" w:type="dxa"/>
              <w:bottom w:w="100" w:type="dxa"/>
              <w:right w:w="100" w:type="dxa"/>
            </w:tcMar>
          </w:tcPr>
          <w:p w14:paraId="62E8FC6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clinical competency development</w:t>
            </w:r>
          </w:p>
        </w:tc>
      </w:tr>
      <w:tr w:rsidR="00EF492E" w:rsidRPr="00EF492E" w14:paraId="425B4141" w14:textId="77777777" w:rsidTr="00516F66">
        <w:trPr>
          <w:trHeight w:val="1605"/>
        </w:trPr>
        <w:tc>
          <w:tcPr>
            <w:tcW w:w="1830" w:type="dxa"/>
            <w:tcBorders>
              <w:top w:val="nil"/>
              <w:left w:val="nil"/>
              <w:bottom w:val="nil"/>
              <w:right w:val="nil"/>
            </w:tcBorders>
            <w:tcMar>
              <w:top w:w="100" w:type="dxa"/>
              <w:left w:w="100" w:type="dxa"/>
              <w:bottom w:w="100" w:type="dxa"/>
              <w:right w:w="100" w:type="dxa"/>
            </w:tcMar>
          </w:tcPr>
          <w:p w14:paraId="6A68ED9A"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Felizarte</w:t>
            </w:r>
            <w:proofErr w:type="spellEnd"/>
            <w:r w:rsidRPr="00EF492E">
              <w:rPr>
                <w:rFonts w:ascii="Times New Roman" w:eastAsia="Times New Roman" w:hAnsi="Times New Roman" w:cs="Times New Roman"/>
                <w:sz w:val="24"/>
                <w:szCs w:val="24"/>
              </w:rPr>
              <w:t xml:space="preserve"> (2018)</w:t>
            </w:r>
          </w:p>
        </w:tc>
        <w:tc>
          <w:tcPr>
            <w:tcW w:w="1605" w:type="dxa"/>
            <w:tcBorders>
              <w:top w:val="nil"/>
              <w:left w:val="nil"/>
              <w:bottom w:val="nil"/>
              <w:right w:val="nil"/>
            </w:tcBorders>
            <w:tcMar>
              <w:top w:w="100" w:type="dxa"/>
              <w:left w:w="100" w:type="dxa"/>
              <w:bottom w:w="100" w:type="dxa"/>
              <w:right w:w="100" w:type="dxa"/>
            </w:tcMar>
          </w:tcPr>
          <w:p w14:paraId="567016A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2522834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interns</w:t>
            </w:r>
          </w:p>
        </w:tc>
        <w:tc>
          <w:tcPr>
            <w:tcW w:w="2460" w:type="dxa"/>
            <w:tcBorders>
              <w:top w:val="nil"/>
              <w:left w:val="nil"/>
              <w:bottom w:val="nil"/>
              <w:right w:val="nil"/>
            </w:tcBorders>
            <w:tcMar>
              <w:top w:w="100" w:type="dxa"/>
              <w:left w:w="100" w:type="dxa"/>
              <w:bottom w:w="100" w:type="dxa"/>
              <w:right w:w="100" w:type="dxa"/>
            </w:tcMar>
          </w:tcPr>
          <w:p w14:paraId="3812F68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Competencies in imaging modalities</w:t>
            </w:r>
          </w:p>
        </w:tc>
        <w:tc>
          <w:tcPr>
            <w:tcW w:w="2520" w:type="dxa"/>
            <w:tcBorders>
              <w:top w:val="nil"/>
              <w:left w:val="nil"/>
              <w:bottom w:val="nil"/>
              <w:right w:val="nil"/>
            </w:tcBorders>
            <w:tcMar>
              <w:top w:w="100" w:type="dxa"/>
              <w:left w:w="100" w:type="dxa"/>
              <w:bottom w:w="100" w:type="dxa"/>
              <w:right w:w="100" w:type="dxa"/>
            </w:tcMar>
          </w:tcPr>
          <w:p w14:paraId="4A87D08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Lower competencies identified in CT, ultrasound, radiation therapy, and nuclear medicine</w:t>
            </w:r>
          </w:p>
        </w:tc>
        <w:tc>
          <w:tcPr>
            <w:tcW w:w="2340" w:type="dxa"/>
            <w:tcBorders>
              <w:top w:val="nil"/>
              <w:left w:val="nil"/>
              <w:bottom w:val="nil"/>
              <w:right w:val="nil"/>
            </w:tcBorders>
            <w:tcMar>
              <w:top w:w="100" w:type="dxa"/>
              <w:left w:w="100" w:type="dxa"/>
              <w:bottom w:w="100" w:type="dxa"/>
              <w:right w:w="100" w:type="dxa"/>
            </w:tcMar>
          </w:tcPr>
          <w:p w14:paraId="5757120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Identifies specialized imaging competency gaps</w:t>
            </w:r>
          </w:p>
        </w:tc>
      </w:tr>
      <w:tr w:rsidR="00EF492E" w:rsidRPr="00EF492E" w14:paraId="789AC2CF" w14:textId="77777777" w:rsidTr="00516F66">
        <w:trPr>
          <w:trHeight w:val="1365"/>
        </w:trPr>
        <w:tc>
          <w:tcPr>
            <w:tcW w:w="1830" w:type="dxa"/>
            <w:tcBorders>
              <w:top w:val="nil"/>
              <w:left w:val="nil"/>
              <w:bottom w:val="nil"/>
              <w:right w:val="nil"/>
            </w:tcBorders>
            <w:tcMar>
              <w:top w:w="100" w:type="dxa"/>
              <w:left w:w="100" w:type="dxa"/>
              <w:bottom w:w="100" w:type="dxa"/>
              <w:right w:w="100" w:type="dxa"/>
            </w:tcMar>
          </w:tcPr>
          <w:p w14:paraId="41E3229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Cañete et al. (2024)</w:t>
            </w:r>
          </w:p>
        </w:tc>
        <w:tc>
          <w:tcPr>
            <w:tcW w:w="1605" w:type="dxa"/>
            <w:tcBorders>
              <w:top w:val="nil"/>
              <w:left w:val="nil"/>
              <w:bottom w:val="nil"/>
              <w:right w:val="nil"/>
            </w:tcBorders>
            <w:tcMar>
              <w:top w:w="100" w:type="dxa"/>
              <w:left w:w="100" w:type="dxa"/>
              <w:bottom w:w="100" w:type="dxa"/>
              <w:right w:w="100" w:type="dxa"/>
            </w:tcMar>
          </w:tcPr>
          <w:p w14:paraId="41B3F69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Qualitative study</w:t>
            </w:r>
          </w:p>
        </w:tc>
        <w:tc>
          <w:tcPr>
            <w:tcW w:w="2400" w:type="dxa"/>
            <w:tcBorders>
              <w:top w:val="nil"/>
              <w:left w:val="nil"/>
              <w:bottom w:val="nil"/>
              <w:right w:val="nil"/>
            </w:tcBorders>
            <w:tcMar>
              <w:top w:w="100" w:type="dxa"/>
              <w:left w:w="100" w:type="dxa"/>
              <w:bottom w:w="100" w:type="dxa"/>
              <w:right w:w="100" w:type="dxa"/>
            </w:tcMar>
          </w:tcPr>
          <w:p w14:paraId="3007EDF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graduates during internship</w:t>
            </w:r>
          </w:p>
        </w:tc>
        <w:tc>
          <w:tcPr>
            <w:tcW w:w="2460" w:type="dxa"/>
            <w:tcBorders>
              <w:top w:val="nil"/>
              <w:left w:val="nil"/>
              <w:bottom w:val="nil"/>
              <w:right w:val="nil"/>
            </w:tcBorders>
            <w:tcMar>
              <w:top w:w="100" w:type="dxa"/>
              <w:left w:w="100" w:type="dxa"/>
              <w:bottom w:w="100" w:type="dxa"/>
              <w:right w:w="100" w:type="dxa"/>
            </w:tcMar>
          </w:tcPr>
          <w:p w14:paraId="3B41519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Internship challenges</w:t>
            </w:r>
          </w:p>
        </w:tc>
        <w:tc>
          <w:tcPr>
            <w:tcW w:w="2520" w:type="dxa"/>
            <w:tcBorders>
              <w:top w:val="nil"/>
              <w:left w:val="nil"/>
              <w:bottom w:val="nil"/>
              <w:right w:val="nil"/>
            </w:tcBorders>
            <w:tcMar>
              <w:top w:w="100" w:type="dxa"/>
              <w:left w:w="100" w:type="dxa"/>
              <w:bottom w:w="100" w:type="dxa"/>
              <w:right w:w="100" w:type="dxa"/>
            </w:tcMar>
          </w:tcPr>
          <w:p w14:paraId="53E4939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Reported insufficient supervision, workload pressures, and theory-practice gaps</w:t>
            </w:r>
          </w:p>
        </w:tc>
        <w:tc>
          <w:tcPr>
            <w:tcW w:w="2340" w:type="dxa"/>
            <w:tcBorders>
              <w:top w:val="nil"/>
              <w:left w:val="nil"/>
              <w:bottom w:val="nil"/>
              <w:right w:val="nil"/>
            </w:tcBorders>
            <w:tcMar>
              <w:top w:w="100" w:type="dxa"/>
              <w:left w:w="100" w:type="dxa"/>
              <w:bottom w:w="100" w:type="dxa"/>
              <w:right w:w="100" w:type="dxa"/>
            </w:tcMar>
          </w:tcPr>
          <w:p w14:paraId="02FE80A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internship and mentorship issues</w:t>
            </w:r>
          </w:p>
        </w:tc>
      </w:tr>
      <w:tr w:rsidR="00EF492E" w:rsidRPr="00EF492E" w14:paraId="40C0F05E" w14:textId="77777777" w:rsidTr="00516F66">
        <w:trPr>
          <w:trHeight w:val="1140"/>
        </w:trPr>
        <w:tc>
          <w:tcPr>
            <w:tcW w:w="1830" w:type="dxa"/>
            <w:tcBorders>
              <w:top w:val="nil"/>
              <w:left w:val="nil"/>
              <w:bottom w:val="nil"/>
              <w:right w:val="nil"/>
            </w:tcBorders>
            <w:tcMar>
              <w:top w:w="100" w:type="dxa"/>
              <w:left w:w="100" w:type="dxa"/>
              <w:bottom w:w="100" w:type="dxa"/>
              <w:right w:w="100" w:type="dxa"/>
            </w:tcMar>
          </w:tcPr>
          <w:p w14:paraId="64308339"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Datinguinoo</w:t>
            </w:r>
            <w:proofErr w:type="spellEnd"/>
            <w:r w:rsidRPr="00EF492E">
              <w:rPr>
                <w:rFonts w:ascii="Times New Roman" w:eastAsia="Times New Roman" w:hAnsi="Times New Roman" w:cs="Times New Roman"/>
                <w:sz w:val="24"/>
                <w:szCs w:val="24"/>
              </w:rPr>
              <w:t xml:space="preserve"> et al. (2022)</w:t>
            </w:r>
          </w:p>
        </w:tc>
        <w:tc>
          <w:tcPr>
            <w:tcW w:w="1605" w:type="dxa"/>
            <w:tcBorders>
              <w:top w:val="nil"/>
              <w:left w:val="nil"/>
              <w:bottom w:val="nil"/>
              <w:right w:val="nil"/>
            </w:tcBorders>
            <w:tcMar>
              <w:top w:w="100" w:type="dxa"/>
              <w:left w:w="100" w:type="dxa"/>
              <w:bottom w:w="100" w:type="dxa"/>
              <w:right w:w="100" w:type="dxa"/>
            </w:tcMar>
          </w:tcPr>
          <w:p w14:paraId="3427149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Cross-sectional study</w:t>
            </w:r>
          </w:p>
        </w:tc>
        <w:tc>
          <w:tcPr>
            <w:tcW w:w="2400" w:type="dxa"/>
            <w:tcBorders>
              <w:top w:val="nil"/>
              <w:left w:val="nil"/>
              <w:bottom w:val="nil"/>
              <w:right w:val="nil"/>
            </w:tcBorders>
            <w:tcMar>
              <w:top w:w="100" w:type="dxa"/>
              <w:left w:w="100" w:type="dxa"/>
              <w:bottom w:w="100" w:type="dxa"/>
              <w:right w:w="100" w:type="dxa"/>
            </w:tcMar>
          </w:tcPr>
          <w:p w14:paraId="5A4D105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Fourth-year RT students</w:t>
            </w:r>
          </w:p>
        </w:tc>
        <w:tc>
          <w:tcPr>
            <w:tcW w:w="2460" w:type="dxa"/>
            <w:tcBorders>
              <w:top w:val="nil"/>
              <w:left w:val="nil"/>
              <w:bottom w:val="nil"/>
              <w:right w:val="nil"/>
            </w:tcBorders>
            <w:tcMar>
              <w:top w:w="100" w:type="dxa"/>
              <w:left w:w="100" w:type="dxa"/>
              <w:bottom w:w="100" w:type="dxa"/>
              <w:right w:w="100" w:type="dxa"/>
            </w:tcMar>
          </w:tcPr>
          <w:p w14:paraId="5978914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Radiation safety knowledge</w:t>
            </w:r>
          </w:p>
        </w:tc>
        <w:tc>
          <w:tcPr>
            <w:tcW w:w="2520" w:type="dxa"/>
            <w:tcBorders>
              <w:top w:val="nil"/>
              <w:left w:val="nil"/>
              <w:bottom w:val="nil"/>
              <w:right w:val="nil"/>
            </w:tcBorders>
            <w:tcMar>
              <w:top w:w="100" w:type="dxa"/>
              <w:left w:w="100" w:type="dxa"/>
              <w:bottom w:w="100" w:type="dxa"/>
              <w:right w:w="100" w:type="dxa"/>
            </w:tcMar>
          </w:tcPr>
          <w:p w14:paraId="016A291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Inadequate radiation safety knowledge identified among students</w:t>
            </w:r>
          </w:p>
        </w:tc>
        <w:tc>
          <w:tcPr>
            <w:tcW w:w="2340" w:type="dxa"/>
            <w:tcBorders>
              <w:top w:val="nil"/>
              <w:left w:val="nil"/>
              <w:bottom w:val="nil"/>
              <w:right w:val="nil"/>
            </w:tcBorders>
            <w:tcMar>
              <w:top w:w="100" w:type="dxa"/>
              <w:left w:w="100" w:type="dxa"/>
              <w:bottom w:w="100" w:type="dxa"/>
              <w:right w:w="100" w:type="dxa"/>
            </w:tcMar>
          </w:tcPr>
          <w:p w14:paraId="60B5FD3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Suggests curriculum gaps in radiation safety</w:t>
            </w:r>
          </w:p>
        </w:tc>
      </w:tr>
      <w:tr w:rsidR="00EF492E" w:rsidRPr="00EF492E" w14:paraId="671A676C" w14:textId="77777777" w:rsidTr="00516F66">
        <w:trPr>
          <w:trHeight w:val="1530"/>
        </w:trPr>
        <w:tc>
          <w:tcPr>
            <w:tcW w:w="1830" w:type="dxa"/>
            <w:tcBorders>
              <w:top w:val="nil"/>
              <w:left w:val="nil"/>
              <w:bottom w:val="nil"/>
              <w:right w:val="nil"/>
            </w:tcBorders>
            <w:tcMar>
              <w:top w:w="100" w:type="dxa"/>
              <w:left w:w="100" w:type="dxa"/>
              <w:bottom w:w="100" w:type="dxa"/>
              <w:right w:w="100" w:type="dxa"/>
            </w:tcMar>
          </w:tcPr>
          <w:p w14:paraId="44D217F8"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Elegado</w:t>
            </w:r>
            <w:proofErr w:type="spellEnd"/>
            <w:r w:rsidRPr="00EF492E">
              <w:rPr>
                <w:rFonts w:ascii="Times New Roman" w:eastAsia="Times New Roman" w:hAnsi="Times New Roman" w:cs="Times New Roman"/>
                <w:sz w:val="24"/>
                <w:szCs w:val="24"/>
              </w:rPr>
              <w:t xml:space="preserve"> et al. (2015)</w:t>
            </w:r>
          </w:p>
        </w:tc>
        <w:tc>
          <w:tcPr>
            <w:tcW w:w="1605" w:type="dxa"/>
            <w:tcBorders>
              <w:top w:val="nil"/>
              <w:left w:val="nil"/>
              <w:bottom w:val="nil"/>
              <w:right w:val="nil"/>
            </w:tcBorders>
            <w:tcMar>
              <w:top w:w="100" w:type="dxa"/>
              <w:left w:w="100" w:type="dxa"/>
              <w:bottom w:w="100" w:type="dxa"/>
              <w:right w:w="100" w:type="dxa"/>
            </w:tcMar>
          </w:tcPr>
          <w:p w14:paraId="4AEE6C6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37C2313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Radiologic technologists in Batangas City hospitals</w:t>
            </w:r>
          </w:p>
        </w:tc>
        <w:tc>
          <w:tcPr>
            <w:tcW w:w="2460" w:type="dxa"/>
            <w:tcBorders>
              <w:top w:val="nil"/>
              <w:left w:val="nil"/>
              <w:bottom w:val="nil"/>
              <w:right w:val="nil"/>
            </w:tcBorders>
            <w:tcMar>
              <w:top w:w="100" w:type="dxa"/>
              <w:left w:w="100" w:type="dxa"/>
              <w:bottom w:w="100" w:type="dxa"/>
              <w:right w:w="100" w:type="dxa"/>
            </w:tcMar>
          </w:tcPr>
          <w:p w14:paraId="2FE6FDD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Technical skills and positioning competency</w:t>
            </w:r>
          </w:p>
        </w:tc>
        <w:tc>
          <w:tcPr>
            <w:tcW w:w="2520" w:type="dxa"/>
            <w:tcBorders>
              <w:top w:val="nil"/>
              <w:left w:val="nil"/>
              <w:bottom w:val="nil"/>
              <w:right w:val="nil"/>
            </w:tcBorders>
            <w:tcMar>
              <w:top w:w="100" w:type="dxa"/>
              <w:left w:w="100" w:type="dxa"/>
              <w:bottom w:w="100" w:type="dxa"/>
              <w:right w:w="100" w:type="dxa"/>
            </w:tcMar>
          </w:tcPr>
          <w:p w14:paraId="4BA532C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Inconsistencies between theoretical knowledge and technical imaging skills observed</w:t>
            </w:r>
          </w:p>
        </w:tc>
        <w:tc>
          <w:tcPr>
            <w:tcW w:w="2340" w:type="dxa"/>
            <w:tcBorders>
              <w:top w:val="nil"/>
              <w:left w:val="nil"/>
              <w:bottom w:val="nil"/>
              <w:right w:val="nil"/>
            </w:tcBorders>
            <w:tcMar>
              <w:top w:w="100" w:type="dxa"/>
              <w:left w:w="100" w:type="dxa"/>
              <w:bottom w:w="100" w:type="dxa"/>
              <w:right w:w="100" w:type="dxa"/>
            </w:tcMar>
          </w:tcPr>
          <w:p w14:paraId="1B99673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discrepancy between theory and practice</w:t>
            </w:r>
          </w:p>
        </w:tc>
      </w:tr>
      <w:tr w:rsidR="00EF492E" w:rsidRPr="00EF492E" w14:paraId="4D38B206" w14:textId="77777777" w:rsidTr="00516F66">
        <w:trPr>
          <w:trHeight w:val="1335"/>
        </w:trPr>
        <w:tc>
          <w:tcPr>
            <w:tcW w:w="1830" w:type="dxa"/>
            <w:tcBorders>
              <w:top w:val="nil"/>
              <w:left w:val="nil"/>
              <w:bottom w:val="nil"/>
              <w:right w:val="nil"/>
            </w:tcBorders>
            <w:tcMar>
              <w:top w:w="100" w:type="dxa"/>
              <w:left w:w="100" w:type="dxa"/>
              <w:bottom w:w="100" w:type="dxa"/>
              <w:right w:w="100" w:type="dxa"/>
            </w:tcMar>
          </w:tcPr>
          <w:p w14:paraId="7AFE996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Gallardo &amp; Sison (2025)</w:t>
            </w:r>
          </w:p>
        </w:tc>
        <w:tc>
          <w:tcPr>
            <w:tcW w:w="1605" w:type="dxa"/>
            <w:tcBorders>
              <w:top w:val="nil"/>
              <w:left w:val="nil"/>
              <w:bottom w:val="nil"/>
              <w:right w:val="nil"/>
            </w:tcBorders>
            <w:tcMar>
              <w:top w:w="100" w:type="dxa"/>
              <w:left w:w="100" w:type="dxa"/>
              <w:bottom w:w="100" w:type="dxa"/>
              <w:right w:w="100" w:type="dxa"/>
            </w:tcMar>
          </w:tcPr>
          <w:p w14:paraId="144F4E2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correlational study</w:t>
            </w:r>
          </w:p>
        </w:tc>
        <w:tc>
          <w:tcPr>
            <w:tcW w:w="2400" w:type="dxa"/>
            <w:tcBorders>
              <w:top w:val="nil"/>
              <w:left w:val="nil"/>
              <w:bottom w:val="nil"/>
              <w:right w:val="nil"/>
            </w:tcBorders>
            <w:tcMar>
              <w:top w:w="100" w:type="dxa"/>
              <w:left w:w="100" w:type="dxa"/>
              <w:bottom w:w="100" w:type="dxa"/>
              <w:right w:w="100" w:type="dxa"/>
            </w:tcMar>
          </w:tcPr>
          <w:p w14:paraId="4176B45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graduates</w:t>
            </w:r>
          </w:p>
        </w:tc>
        <w:tc>
          <w:tcPr>
            <w:tcW w:w="2460" w:type="dxa"/>
            <w:tcBorders>
              <w:top w:val="nil"/>
              <w:left w:val="nil"/>
              <w:bottom w:val="nil"/>
              <w:right w:val="nil"/>
            </w:tcBorders>
            <w:tcMar>
              <w:top w:w="100" w:type="dxa"/>
              <w:left w:w="100" w:type="dxa"/>
              <w:bottom w:w="100" w:type="dxa"/>
              <w:right w:w="100" w:type="dxa"/>
            </w:tcMar>
          </w:tcPr>
          <w:p w14:paraId="01F15CF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Licensure preparedness and challenges</w:t>
            </w:r>
          </w:p>
        </w:tc>
        <w:tc>
          <w:tcPr>
            <w:tcW w:w="2520" w:type="dxa"/>
            <w:tcBorders>
              <w:top w:val="nil"/>
              <w:left w:val="nil"/>
              <w:bottom w:val="nil"/>
              <w:right w:val="nil"/>
            </w:tcBorders>
            <w:tcMar>
              <w:top w:w="100" w:type="dxa"/>
              <w:left w:w="100" w:type="dxa"/>
              <w:bottom w:w="100" w:type="dxa"/>
              <w:right w:w="100" w:type="dxa"/>
            </w:tcMar>
          </w:tcPr>
          <w:p w14:paraId="2387ACF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Graduates demonstrated positive attitudes and high preparedness for licensure exams</w:t>
            </w:r>
          </w:p>
        </w:tc>
        <w:tc>
          <w:tcPr>
            <w:tcW w:w="2340" w:type="dxa"/>
            <w:tcBorders>
              <w:top w:val="nil"/>
              <w:left w:val="nil"/>
              <w:bottom w:val="nil"/>
              <w:right w:val="nil"/>
            </w:tcBorders>
            <w:tcMar>
              <w:top w:w="100" w:type="dxa"/>
              <w:left w:w="100" w:type="dxa"/>
              <w:bottom w:w="100" w:type="dxa"/>
              <w:right w:w="100" w:type="dxa"/>
            </w:tcMar>
          </w:tcPr>
          <w:p w14:paraId="2703860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role of licensure preparation</w:t>
            </w:r>
          </w:p>
        </w:tc>
      </w:tr>
      <w:tr w:rsidR="00EF492E" w:rsidRPr="00EF492E" w14:paraId="0F77F6C1" w14:textId="77777777" w:rsidTr="00516F66">
        <w:trPr>
          <w:trHeight w:val="1050"/>
        </w:trPr>
        <w:tc>
          <w:tcPr>
            <w:tcW w:w="1830" w:type="dxa"/>
            <w:tcBorders>
              <w:top w:val="nil"/>
              <w:left w:val="nil"/>
              <w:bottom w:val="nil"/>
              <w:right w:val="nil"/>
            </w:tcBorders>
            <w:tcMar>
              <w:top w:w="100" w:type="dxa"/>
              <w:left w:w="100" w:type="dxa"/>
              <w:bottom w:w="100" w:type="dxa"/>
              <w:right w:w="100" w:type="dxa"/>
            </w:tcMar>
          </w:tcPr>
          <w:p w14:paraId="13126BF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Ibañez (2025)</w:t>
            </w:r>
          </w:p>
        </w:tc>
        <w:tc>
          <w:tcPr>
            <w:tcW w:w="1605" w:type="dxa"/>
            <w:tcBorders>
              <w:top w:val="nil"/>
              <w:left w:val="nil"/>
              <w:bottom w:val="nil"/>
              <w:right w:val="nil"/>
            </w:tcBorders>
            <w:tcMar>
              <w:top w:w="100" w:type="dxa"/>
              <w:left w:w="100" w:type="dxa"/>
              <w:bottom w:w="100" w:type="dxa"/>
              <w:right w:w="100" w:type="dxa"/>
            </w:tcMar>
          </w:tcPr>
          <w:p w14:paraId="44C4D02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Retrospective longitudinal analysis</w:t>
            </w:r>
          </w:p>
        </w:tc>
        <w:tc>
          <w:tcPr>
            <w:tcW w:w="2400" w:type="dxa"/>
            <w:tcBorders>
              <w:top w:val="nil"/>
              <w:left w:val="nil"/>
              <w:bottom w:val="nil"/>
              <w:right w:val="nil"/>
            </w:tcBorders>
            <w:tcMar>
              <w:top w:w="100" w:type="dxa"/>
              <w:left w:w="100" w:type="dxa"/>
              <w:bottom w:w="100" w:type="dxa"/>
              <w:right w:w="100" w:type="dxa"/>
            </w:tcMar>
          </w:tcPr>
          <w:p w14:paraId="4D713CF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schools in the Philippines</w:t>
            </w:r>
          </w:p>
        </w:tc>
        <w:tc>
          <w:tcPr>
            <w:tcW w:w="2460" w:type="dxa"/>
            <w:tcBorders>
              <w:top w:val="nil"/>
              <w:left w:val="nil"/>
              <w:bottom w:val="nil"/>
              <w:right w:val="nil"/>
            </w:tcBorders>
            <w:tcMar>
              <w:top w:w="100" w:type="dxa"/>
              <w:left w:w="100" w:type="dxa"/>
              <w:bottom w:w="100" w:type="dxa"/>
              <w:right w:w="100" w:type="dxa"/>
            </w:tcMar>
          </w:tcPr>
          <w:p w14:paraId="0C3C5AF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Licensure examination failure predictors</w:t>
            </w:r>
          </w:p>
        </w:tc>
        <w:tc>
          <w:tcPr>
            <w:tcW w:w="2520" w:type="dxa"/>
            <w:tcBorders>
              <w:top w:val="nil"/>
              <w:left w:val="nil"/>
              <w:bottom w:val="nil"/>
              <w:right w:val="nil"/>
            </w:tcBorders>
            <w:tcMar>
              <w:top w:w="100" w:type="dxa"/>
              <w:left w:w="100" w:type="dxa"/>
              <w:bottom w:w="100" w:type="dxa"/>
              <w:right w:w="100" w:type="dxa"/>
            </w:tcMar>
          </w:tcPr>
          <w:p w14:paraId="027ABF6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Institutional factors linked with examination failure rates</w:t>
            </w:r>
          </w:p>
        </w:tc>
        <w:tc>
          <w:tcPr>
            <w:tcW w:w="2340" w:type="dxa"/>
            <w:tcBorders>
              <w:top w:val="nil"/>
              <w:left w:val="nil"/>
              <w:bottom w:val="nil"/>
              <w:right w:val="nil"/>
            </w:tcBorders>
            <w:tcMar>
              <w:top w:w="100" w:type="dxa"/>
              <w:left w:w="100" w:type="dxa"/>
              <w:bottom w:w="100" w:type="dxa"/>
              <w:right w:w="100" w:type="dxa"/>
            </w:tcMar>
          </w:tcPr>
          <w:p w14:paraId="3A0C933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Indicates importance of institutional quality assurance</w:t>
            </w:r>
          </w:p>
        </w:tc>
      </w:tr>
      <w:tr w:rsidR="00EF492E" w:rsidRPr="00EF492E" w14:paraId="5831F97A" w14:textId="77777777" w:rsidTr="00516F66">
        <w:trPr>
          <w:trHeight w:val="1155"/>
        </w:trPr>
        <w:tc>
          <w:tcPr>
            <w:tcW w:w="1830" w:type="dxa"/>
            <w:tcBorders>
              <w:top w:val="nil"/>
              <w:left w:val="nil"/>
              <w:bottom w:val="nil"/>
              <w:right w:val="nil"/>
            </w:tcBorders>
            <w:tcMar>
              <w:top w:w="100" w:type="dxa"/>
              <w:left w:w="100" w:type="dxa"/>
              <w:bottom w:w="100" w:type="dxa"/>
              <w:right w:w="100" w:type="dxa"/>
            </w:tcMar>
          </w:tcPr>
          <w:p w14:paraId="084211D3"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Bagtasos</w:t>
            </w:r>
            <w:proofErr w:type="spellEnd"/>
            <w:r w:rsidRPr="00EF492E">
              <w:rPr>
                <w:rFonts w:ascii="Times New Roman" w:eastAsia="Times New Roman" w:hAnsi="Times New Roman" w:cs="Times New Roman"/>
                <w:sz w:val="24"/>
                <w:szCs w:val="24"/>
              </w:rPr>
              <w:t xml:space="preserve"> et al. (2023)</w:t>
            </w:r>
          </w:p>
        </w:tc>
        <w:tc>
          <w:tcPr>
            <w:tcW w:w="1605" w:type="dxa"/>
            <w:tcBorders>
              <w:top w:val="nil"/>
              <w:left w:val="nil"/>
              <w:bottom w:val="nil"/>
              <w:right w:val="nil"/>
            </w:tcBorders>
            <w:tcMar>
              <w:top w:w="100" w:type="dxa"/>
              <w:left w:w="100" w:type="dxa"/>
              <w:bottom w:w="100" w:type="dxa"/>
              <w:right w:w="100" w:type="dxa"/>
            </w:tcMar>
          </w:tcPr>
          <w:p w14:paraId="69B2789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7EC9D1E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Radiologic technologists in Cavite</w:t>
            </w:r>
          </w:p>
        </w:tc>
        <w:tc>
          <w:tcPr>
            <w:tcW w:w="2460" w:type="dxa"/>
            <w:tcBorders>
              <w:top w:val="nil"/>
              <w:left w:val="nil"/>
              <w:bottom w:val="nil"/>
              <w:right w:val="nil"/>
            </w:tcBorders>
            <w:tcMar>
              <w:top w:w="100" w:type="dxa"/>
              <w:left w:w="100" w:type="dxa"/>
              <w:bottom w:w="100" w:type="dxa"/>
              <w:right w:w="100" w:type="dxa"/>
            </w:tcMar>
          </w:tcPr>
          <w:p w14:paraId="1F86BE4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Intentions to work abroad</w:t>
            </w:r>
          </w:p>
        </w:tc>
        <w:tc>
          <w:tcPr>
            <w:tcW w:w="2520" w:type="dxa"/>
            <w:tcBorders>
              <w:top w:val="nil"/>
              <w:left w:val="nil"/>
              <w:bottom w:val="nil"/>
              <w:right w:val="nil"/>
            </w:tcBorders>
            <w:tcMar>
              <w:top w:w="100" w:type="dxa"/>
              <w:left w:w="100" w:type="dxa"/>
              <w:bottom w:w="100" w:type="dxa"/>
              <w:right w:w="100" w:type="dxa"/>
            </w:tcMar>
          </w:tcPr>
          <w:p w14:paraId="0F3F3DC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Low salary and poor working conditions were major migration push factors</w:t>
            </w:r>
          </w:p>
        </w:tc>
        <w:tc>
          <w:tcPr>
            <w:tcW w:w="2340" w:type="dxa"/>
            <w:tcBorders>
              <w:top w:val="nil"/>
              <w:left w:val="nil"/>
              <w:bottom w:val="nil"/>
              <w:right w:val="nil"/>
            </w:tcBorders>
            <w:tcMar>
              <w:top w:w="100" w:type="dxa"/>
              <w:left w:w="100" w:type="dxa"/>
              <w:bottom w:w="100" w:type="dxa"/>
              <w:right w:w="100" w:type="dxa"/>
            </w:tcMar>
          </w:tcPr>
          <w:p w14:paraId="0830EE4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migration intentions affecting workforce sustainability</w:t>
            </w:r>
          </w:p>
        </w:tc>
      </w:tr>
      <w:tr w:rsidR="00EF492E" w:rsidRPr="00EF492E" w14:paraId="16DDE225" w14:textId="77777777" w:rsidTr="00516F66">
        <w:trPr>
          <w:trHeight w:val="1215"/>
        </w:trPr>
        <w:tc>
          <w:tcPr>
            <w:tcW w:w="1830" w:type="dxa"/>
            <w:tcBorders>
              <w:top w:val="nil"/>
              <w:left w:val="nil"/>
              <w:bottom w:val="nil"/>
              <w:right w:val="nil"/>
            </w:tcBorders>
            <w:tcMar>
              <w:top w:w="100" w:type="dxa"/>
              <w:left w:w="100" w:type="dxa"/>
              <w:bottom w:w="100" w:type="dxa"/>
              <w:right w:w="100" w:type="dxa"/>
            </w:tcMar>
          </w:tcPr>
          <w:p w14:paraId="103C9570"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lastRenderedPageBreak/>
              <w:t>Paciente</w:t>
            </w:r>
            <w:proofErr w:type="spellEnd"/>
            <w:r w:rsidRPr="00EF492E">
              <w:rPr>
                <w:rFonts w:ascii="Times New Roman" w:eastAsia="Times New Roman" w:hAnsi="Times New Roman" w:cs="Times New Roman"/>
                <w:sz w:val="24"/>
                <w:szCs w:val="24"/>
              </w:rPr>
              <w:t xml:space="preserve"> (2023)</w:t>
            </w:r>
          </w:p>
        </w:tc>
        <w:tc>
          <w:tcPr>
            <w:tcW w:w="1605" w:type="dxa"/>
            <w:tcBorders>
              <w:top w:val="nil"/>
              <w:left w:val="nil"/>
              <w:bottom w:val="nil"/>
              <w:right w:val="nil"/>
            </w:tcBorders>
            <w:tcMar>
              <w:top w:w="100" w:type="dxa"/>
              <w:left w:w="100" w:type="dxa"/>
              <w:bottom w:w="100" w:type="dxa"/>
              <w:right w:w="100" w:type="dxa"/>
            </w:tcMar>
          </w:tcPr>
          <w:p w14:paraId="7F3DB48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Logistic regression study</w:t>
            </w:r>
          </w:p>
        </w:tc>
        <w:tc>
          <w:tcPr>
            <w:tcW w:w="2400" w:type="dxa"/>
            <w:tcBorders>
              <w:top w:val="nil"/>
              <w:left w:val="nil"/>
              <w:bottom w:val="nil"/>
              <w:right w:val="nil"/>
            </w:tcBorders>
            <w:tcMar>
              <w:top w:w="100" w:type="dxa"/>
              <w:left w:w="100" w:type="dxa"/>
              <w:bottom w:w="100" w:type="dxa"/>
              <w:right w:w="100" w:type="dxa"/>
            </w:tcMar>
          </w:tcPr>
          <w:p w14:paraId="7D43FD9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Registered RTs in Davao City</w:t>
            </w:r>
          </w:p>
        </w:tc>
        <w:tc>
          <w:tcPr>
            <w:tcW w:w="2460" w:type="dxa"/>
            <w:tcBorders>
              <w:top w:val="nil"/>
              <w:left w:val="nil"/>
              <w:bottom w:val="nil"/>
              <w:right w:val="nil"/>
            </w:tcBorders>
            <w:tcMar>
              <w:top w:w="100" w:type="dxa"/>
              <w:left w:w="100" w:type="dxa"/>
              <w:bottom w:w="100" w:type="dxa"/>
              <w:right w:w="100" w:type="dxa"/>
            </w:tcMar>
          </w:tcPr>
          <w:p w14:paraId="346402E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Overseas migration intentions</w:t>
            </w:r>
          </w:p>
        </w:tc>
        <w:tc>
          <w:tcPr>
            <w:tcW w:w="2520" w:type="dxa"/>
            <w:tcBorders>
              <w:top w:val="nil"/>
              <w:left w:val="nil"/>
              <w:bottom w:val="nil"/>
              <w:right w:val="nil"/>
            </w:tcBorders>
            <w:tcMar>
              <w:top w:w="100" w:type="dxa"/>
              <w:left w:w="100" w:type="dxa"/>
              <w:bottom w:w="100" w:type="dxa"/>
              <w:right w:w="100" w:type="dxa"/>
            </w:tcMar>
          </w:tcPr>
          <w:p w14:paraId="7BCF9C7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Better compensation and professional opportunities motivated migration</w:t>
            </w:r>
          </w:p>
        </w:tc>
        <w:tc>
          <w:tcPr>
            <w:tcW w:w="2340" w:type="dxa"/>
            <w:tcBorders>
              <w:top w:val="nil"/>
              <w:left w:val="nil"/>
              <w:bottom w:val="nil"/>
              <w:right w:val="nil"/>
            </w:tcBorders>
            <w:tcMar>
              <w:top w:w="100" w:type="dxa"/>
              <w:left w:w="100" w:type="dxa"/>
              <w:bottom w:w="100" w:type="dxa"/>
              <w:right w:w="100" w:type="dxa"/>
            </w:tcMar>
          </w:tcPr>
          <w:p w14:paraId="66B3B2C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international employability trends</w:t>
            </w:r>
          </w:p>
        </w:tc>
      </w:tr>
      <w:tr w:rsidR="00EF492E" w:rsidRPr="00EF492E" w14:paraId="76F8173A" w14:textId="77777777" w:rsidTr="00516F66">
        <w:trPr>
          <w:trHeight w:val="915"/>
        </w:trPr>
        <w:tc>
          <w:tcPr>
            <w:tcW w:w="1830" w:type="dxa"/>
            <w:tcBorders>
              <w:top w:val="nil"/>
              <w:left w:val="nil"/>
              <w:bottom w:val="nil"/>
              <w:right w:val="nil"/>
            </w:tcBorders>
            <w:tcMar>
              <w:top w:w="100" w:type="dxa"/>
              <w:left w:w="100" w:type="dxa"/>
              <w:bottom w:w="100" w:type="dxa"/>
              <w:right w:w="100" w:type="dxa"/>
            </w:tcMar>
          </w:tcPr>
          <w:p w14:paraId="5939703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Zaragoza (2025)</w:t>
            </w:r>
          </w:p>
        </w:tc>
        <w:tc>
          <w:tcPr>
            <w:tcW w:w="1605" w:type="dxa"/>
            <w:tcBorders>
              <w:top w:val="nil"/>
              <w:left w:val="nil"/>
              <w:bottom w:val="nil"/>
              <w:right w:val="nil"/>
            </w:tcBorders>
            <w:tcMar>
              <w:top w:w="100" w:type="dxa"/>
              <w:left w:w="100" w:type="dxa"/>
              <w:bottom w:w="100" w:type="dxa"/>
              <w:right w:w="100" w:type="dxa"/>
            </w:tcMar>
          </w:tcPr>
          <w:p w14:paraId="0B92F8D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Public health thesis</w:t>
            </w:r>
          </w:p>
        </w:tc>
        <w:tc>
          <w:tcPr>
            <w:tcW w:w="2400" w:type="dxa"/>
            <w:tcBorders>
              <w:top w:val="nil"/>
              <w:left w:val="nil"/>
              <w:bottom w:val="nil"/>
              <w:right w:val="nil"/>
            </w:tcBorders>
            <w:tcMar>
              <w:top w:w="100" w:type="dxa"/>
              <w:left w:w="100" w:type="dxa"/>
              <w:bottom w:w="100" w:type="dxa"/>
              <w:right w:w="100" w:type="dxa"/>
            </w:tcMar>
          </w:tcPr>
          <w:p w14:paraId="2060806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graduates</w:t>
            </w:r>
          </w:p>
        </w:tc>
        <w:tc>
          <w:tcPr>
            <w:tcW w:w="2460" w:type="dxa"/>
            <w:tcBorders>
              <w:top w:val="nil"/>
              <w:left w:val="nil"/>
              <w:bottom w:val="nil"/>
              <w:right w:val="nil"/>
            </w:tcBorders>
            <w:tcMar>
              <w:top w:w="100" w:type="dxa"/>
              <w:left w:w="100" w:type="dxa"/>
              <w:bottom w:w="100" w:type="dxa"/>
              <w:right w:w="100" w:type="dxa"/>
            </w:tcMar>
          </w:tcPr>
          <w:p w14:paraId="3129FF4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Migration behavior and employment prospects</w:t>
            </w:r>
          </w:p>
        </w:tc>
        <w:tc>
          <w:tcPr>
            <w:tcW w:w="2520" w:type="dxa"/>
            <w:tcBorders>
              <w:top w:val="nil"/>
              <w:left w:val="nil"/>
              <w:bottom w:val="nil"/>
              <w:right w:val="nil"/>
            </w:tcBorders>
            <w:tcMar>
              <w:top w:w="100" w:type="dxa"/>
              <w:left w:w="100" w:type="dxa"/>
              <w:bottom w:w="100" w:type="dxa"/>
              <w:right w:w="100" w:type="dxa"/>
            </w:tcMar>
          </w:tcPr>
          <w:p w14:paraId="3332175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Overseas work aspirations associated with compensation and career advancement</w:t>
            </w:r>
          </w:p>
        </w:tc>
        <w:tc>
          <w:tcPr>
            <w:tcW w:w="2340" w:type="dxa"/>
            <w:tcBorders>
              <w:top w:val="nil"/>
              <w:left w:val="nil"/>
              <w:bottom w:val="nil"/>
              <w:right w:val="nil"/>
            </w:tcBorders>
            <w:tcMar>
              <w:top w:w="100" w:type="dxa"/>
              <w:left w:w="100" w:type="dxa"/>
              <w:bottom w:w="100" w:type="dxa"/>
              <w:right w:w="100" w:type="dxa"/>
            </w:tcMar>
          </w:tcPr>
          <w:p w14:paraId="23B5227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global employability and migration findings</w:t>
            </w:r>
          </w:p>
        </w:tc>
      </w:tr>
      <w:tr w:rsidR="00EF492E" w:rsidRPr="00EF492E" w14:paraId="450E6741" w14:textId="77777777" w:rsidTr="00516F66">
        <w:trPr>
          <w:trHeight w:val="1020"/>
        </w:trPr>
        <w:tc>
          <w:tcPr>
            <w:tcW w:w="1830" w:type="dxa"/>
            <w:tcBorders>
              <w:top w:val="nil"/>
              <w:left w:val="nil"/>
              <w:bottom w:val="nil"/>
              <w:right w:val="nil"/>
            </w:tcBorders>
            <w:tcMar>
              <w:top w:w="100" w:type="dxa"/>
              <w:left w:w="100" w:type="dxa"/>
              <w:bottom w:w="100" w:type="dxa"/>
              <w:right w:w="100" w:type="dxa"/>
            </w:tcMar>
          </w:tcPr>
          <w:p w14:paraId="26A010C5"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Codomiz</w:t>
            </w:r>
            <w:proofErr w:type="spellEnd"/>
            <w:r w:rsidRPr="00EF492E">
              <w:rPr>
                <w:rFonts w:ascii="Times New Roman" w:eastAsia="Times New Roman" w:hAnsi="Times New Roman" w:cs="Times New Roman"/>
                <w:sz w:val="24"/>
                <w:szCs w:val="24"/>
              </w:rPr>
              <w:t xml:space="preserve"> et al. (2017)</w:t>
            </w:r>
          </w:p>
        </w:tc>
        <w:tc>
          <w:tcPr>
            <w:tcW w:w="1605" w:type="dxa"/>
            <w:tcBorders>
              <w:top w:val="nil"/>
              <w:left w:val="nil"/>
              <w:bottom w:val="nil"/>
              <w:right w:val="nil"/>
            </w:tcBorders>
            <w:tcMar>
              <w:top w:w="100" w:type="dxa"/>
              <w:left w:w="100" w:type="dxa"/>
              <w:bottom w:w="100" w:type="dxa"/>
              <w:right w:w="100" w:type="dxa"/>
            </w:tcMar>
          </w:tcPr>
          <w:p w14:paraId="65B0236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314B8F2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Hospitals in NCR</w:t>
            </w:r>
          </w:p>
        </w:tc>
        <w:tc>
          <w:tcPr>
            <w:tcW w:w="2460" w:type="dxa"/>
            <w:tcBorders>
              <w:top w:val="nil"/>
              <w:left w:val="nil"/>
              <w:bottom w:val="nil"/>
              <w:right w:val="nil"/>
            </w:tcBorders>
            <w:tcMar>
              <w:top w:w="100" w:type="dxa"/>
              <w:left w:w="100" w:type="dxa"/>
              <w:bottom w:w="100" w:type="dxa"/>
              <w:right w:w="100" w:type="dxa"/>
            </w:tcMar>
          </w:tcPr>
          <w:p w14:paraId="3ABF5F0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Hiring and retention problems</w:t>
            </w:r>
          </w:p>
        </w:tc>
        <w:tc>
          <w:tcPr>
            <w:tcW w:w="2520" w:type="dxa"/>
            <w:tcBorders>
              <w:top w:val="nil"/>
              <w:left w:val="nil"/>
              <w:bottom w:val="nil"/>
              <w:right w:val="nil"/>
            </w:tcBorders>
            <w:tcMar>
              <w:top w:w="100" w:type="dxa"/>
              <w:left w:w="100" w:type="dxa"/>
              <w:bottom w:w="100" w:type="dxa"/>
              <w:right w:w="100" w:type="dxa"/>
            </w:tcMar>
          </w:tcPr>
          <w:p w14:paraId="5AAD483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Workforce shortages and retention difficulties partly linked to migration</w:t>
            </w:r>
          </w:p>
        </w:tc>
        <w:tc>
          <w:tcPr>
            <w:tcW w:w="2340" w:type="dxa"/>
            <w:tcBorders>
              <w:top w:val="nil"/>
              <w:left w:val="nil"/>
              <w:bottom w:val="nil"/>
              <w:right w:val="nil"/>
            </w:tcBorders>
            <w:tcMar>
              <w:top w:w="100" w:type="dxa"/>
              <w:left w:w="100" w:type="dxa"/>
              <w:bottom w:w="100" w:type="dxa"/>
              <w:right w:w="100" w:type="dxa"/>
            </w:tcMar>
          </w:tcPr>
          <w:p w14:paraId="44B73F9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local workforce instability</w:t>
            </w:r>
          </w:p>
        </w:tc>
      </w:tr>
      <w:tr w:rsidR="00EF492E" w:rsidRPr="00EF492E" w14:paraId="7F291F5A" w14:textId="77777777" w:rsidTr="00516F66">
        <w:trPr>
          <w:trHeight w:val="1290"/>
        </w:trPr>
        <w:tc>
          <w:tcPr>
            <w:tcW w:w="1830" w:type="dxa"/>
            <w:tcBorders>
              <w:top w:val="nil"/>
              <w:left w:val="nil"/>
              <w:bottom w:val="nil"/>
              <w:right w:val="nil"/>
            </w:tcBorders>
            <w:tcMar>
              <w:top w:w="100" w:type="dxa"/>
              <w:left w:w="100" w:type="dxa"/>
              <w:bottom w:w="100" w:type="dxa"/>
              <w:right w:w="100" w:type="dxa"/>
            </w:tcMar>
          </w:tcPr>
          <w:p w14:paraId="549C10B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Cardoso et al. (2025)</w:t>
            </w:r>
          </w:p>
        </w:tc>
        <w:tc>
          <w:tcPr>
            <w:tcW w:w="1605" w:type="dxa"/>
            <w:tcBorders>
              <w:top w:val="nil"/>
              <w:left w:val="nil"/>
              <w:bottom w:val="nil"/>
              <w:right w:val="nil"/>
            </w:tcBorders>
            <w:tcMar>
              <w:top w:w="100" w:type="dxa"/>
              <w:left w:w="100" w:type="dxa"/>
              <w:bottom w:w="100" w:type="dxa"/>
              <w:right w:w="100" w:type="dxa"/>
            </w:tcMar>
          </w:tcPr>
          <w:p w14:paraId="0239153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62F0B52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student interns</w:t>
            </w:r>
          </w:p>
        </w:tc>
        <w:tc>
          <w:tcPr>
            <w:tcW w:w="2460" w:type="dxa"/>
            <w:tcBorders>
              <w:top w:val="nil"/>
              <w:left w:val="nil"/>
              <w:bottom w:val="nil"/>
              <w:right w:val="nil"/>
            </w:tcBorders>
            <w:tcMar>
              <w:top w:w="100" w:type="dxa"/>
              <w:left w:w="100" w:type="dxa"/>
              <w:bottom w:w="100" w:type="dxa"/>
              <w:right w:w="100" w:type="dxa"/>
            </w:tcMar>
          </w:tcPr>
          <w:p w14:paraId="47636E6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Technological advancements and internship performance</w:t>
            </w:r>
          </w:p>
        </w:tc>
        <w:tc>
          <w:tcPr>
            <w:tcW w:w="2520" w:type="dxa"/>
            <w:tcBorders>
              <w:top w:val="nil"/>
              <w:left w:val="nil"/>
              <w:bottom w:val="nil"/>
              <w:right w:val="nil"/>
            </w:tcBorders>
            <w:tcMar>
              <w:top w:w="100" w:type="dxa"/>
              <w:left w:w="100" w:type="dxa"/>
              <w:bottom w:w="100" w:type="dxa"/>
              <w:right w:w="100" w:type="dxa"/>
            </w:tcMar>
          </w:tcPr>
          <w:p w14:paraId="4C8EEA8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Technology improved efficiency and critical thinking but reduced manual radiography proficiency</w:t>
            </w:r>
          </w:p>
        </w:tc>
        <w:tc>
          <w:tcPr>
            <w:tcW w:w="2340" w:type="dxa"/>
            <w:tcBorders>
              <w:top w:val="nil"/>
              <w:left w:val="nil"/>
              <w:bottom w:val="nil"/>
              <w:right w:val="nil"/>
            </w:tcBorders>
            <w:tcMar>
              <w:top w:w="100" w:type="dxa"/>
              <w:left w:w="100" w:type="dxa"/>
              <w:bottom w:w="100" w:type="dxa"/>
              <w:right w:w="100" w:type="dxa"/>
            </w:tcMar>
          </w:tcPr>
          <w:p w14:paraId="21C78AE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technological adaptation needs</w:t>
            </w:r>
          </w:p>
        </w:tc>
      </w:tr>
      <w:tr w:rsidR="00EF492E" w:rsidRPr="00EF492E" w14:paraId="554B4D32" w14:textId="77777777" w:rsidTr="00516F66">
        <w:trPr>
          <w:trHeight w:val="674"/>
        </w:trPr>
        <w:tc>
          <w:tcPr>
            <w:tcW w:w="1830" w:type="dxa"/>
            <w:tcBorders>
              <w:top w:val="nil"/>
              <w:left w:val="nil"/>
              <w:bottom w:val="nil"/>
              <w:right w:val="nil"/>
            </w:tcBorders>
            <w:tcMar>
              <w:top w:w="100" w:type="dxa"/>
              <w:left w:w="100" w:type="dxa"/>
              <w:bottom w:w="100" w:type="dxa"/>
              <w:right w:w="100" w:type="dxa"/>
            </w:tcMar>
          </w:tcPr>
          <w:p w14:paraId="67A4B28F"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Dadios</w:t>
            </w:r>
            <w:proofErr w:type="spellEnd"/>
            <w:r w:rsidRPr="00EF492E">
              <w:rPr>
                <w:rFonts w:ascii="Times New Roman" w:eastAsia="Times New Roman" w:hAnsi="Times New Roman" w:cs="Times New Roman"/>
                <w:sz w:val="24"/>
                <w:szCs w:val="24"/>
              </w:rPr>
              <w:t xml:space="preserve"> et al. (2018)</w:t>
            </w:r>
          </w:p>
        </w:tc>
        <w:tc>
          <w:tcPr>
            <w:tcW w:w="1605" w:type="dxa"/>
            <w:tcBorders>
              <w:top w:val="nil"/>
              <w:left w:val="nil"/>
              <w:bottom w:val="nil"/>
              <w:right w:val="nil"/>
            </w:tcBorders>
            <w:tcMar>
              <w:top w:w="100" w:type="dxa"/>
              <w:left w:w="100" w:type="dxa"/>
              <w:bottom w:w="100" w:type="dxa"/>
              <w:right w:w="100" w:type="dxa"/>
            </w:tcMar>
          </w:tcPr>
          <w:p w14:paraId="3463035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Scoping study</w:t>
            </w:r>
          </w:p>
        </w:tc>
        <w:tc>
          <w:tcPr>
            <w:tcW w:w="2400" w:type="dxa"/>
            <w:tcBorders>
              <w:top w:val="nil"/>
              <w:left w:val="nil"/>
              <w:bottom w:val="nil"/>
              <w:right w:val="nil"/>
            </w:tcBorders>
            <w:tcMar>
              <w:top w:w="100" w:type="dxa"/>
              <w:left w:w="100" w:type="dxa"/>
              <w:bottom w:w="100" w:type="dxa"/>
              <w:right w:w="100" w:type="dxa"/>
            </w:tcMar>
          </w:tcPr>
          <w:p w14:paraId="558345C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workforce and education sectors</w:t>
            </w:r>
          </w:p>
        </w:tc>
        <w:tc>
          <w:tcPr>
            <w:tcW w:w="2460" w:type="dxa"/>
            <w:tcBorders>
              <w:top w:val="nil"/>
              <w:left w:val="nil"/>
              <w:bottom w:val="nil"/>
              <w:right w:val="nil"/>
            </w:tcBorders>
            <w:tcMar>
              <w:top w:w="100" w:type="dxa"/>
              <w:left w:w="100" w:type="dxa"/>
              <w:bottom w:w="100" w:type="dxa"/>
              <w:right w:w="100" w:type="dxa"/>
            </w:tcMar>
          </w:tcPr>
          <w:p w14:paraId="281950E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Fourth Industrial Revolution preparedness</w:t>
            </w:r>
          </w:p>
        </w:tc>
        <w:tc>
          <w:tcPr>
            <w:tcW w:w="2520" w:type="dxa"/>
            <w:tcBorders>
              <w:top w:val="nil"/>
              <w:left w:val="nil"/>
              <w:bottom w:val="nil"/>
              <w:right w:val="nil"/>
            </w:tcBorders>
            <w:tcMar>
              <w:top w:w="100" w:type="dxa"/>
              <w:left w:w="100" w:type="dxa"/>
              <w:bottom w:w="100" w:type="dxa"/>
              <w:right w:w="100" w:type="dxa"/>
            </w:tcMar>
          </w:tcPr>
          <w:p w14:paraId="6E4113F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AI, automation, and digitalization require curriculum modernization and upskilling</w:t>
            </w:r>
          </w:p>
        </w:tc>
        <w:tc>
          <w:tcPr>
            <w:tcW w:w="2340" w:type="dxa"/>
            <w:tcBorders>
              <w:top w:val="nil"/>
              <w:left w:val="nil"/>
              <w:bottom w:val="nil"/>
              <w:right w:val="nil"/>
            </w:tcBorders>
            <w:tcMar>
              <w:top w:w="100" w:type="dxa"/>
              <w:left w:w="100" w:type="dxa"/>
              <w:bottom w:w="100" w:type="dxa"/>
              <w:right w:w="100" w:type="dxa"/>
            </w:tcMar>
          </w:tcPr>
          <w:p w14:paraId="51A8D6F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technological integration in RT education</w:t>
            </w:r>
          </w:p>
        </w:tc>
      </w:tr>
      <w:tr w:rsidR="00EF492E" w:rsidRPr="00EF492E" w14:paraId="2DB21139" w14:textId="77777777" w:rsidTr="00516F66">
        <w:trPr>
          <w:trHeight w:val="1155"/>
        </w:trPr>
        <w:tc>
          <w:tcPr>
            <w:tcW w:w="1830" w:type="dxa"/>
            <w:tcBorders>
              <w:top w:val="nil"/>
              <w:left w:val="nil"/>
              <w:bottom w:val="nil"/>
              <w:right w:val="nil"/>
            </w:tcBorders>
            <w:tcMar>
              <w:top w:w="100" w:type="dxa"/>
              <w:left w:w="100" w:type="dxa"/>
              <w:bottom w:w="100" w:type="dxa"/>
              <w:right w:w="100" w:type="dxa"/>
            </w:tcMar>
          </w:tcPr>
          <w:p w14:paraId="44DD48F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Susiku et al. (2024)</w:t>
            </w:r>
          </w:p>
        </w:tc>
        <w:tc>
          <w:tcPr>
            <w:tcW w:w="1605" w:type="dxa"/>
            <w:tcBorders>
              <w:top w:val="nil"/>
              <w:left w:val="nil"/>
              <w:bottom w:val="nil"/>
              <w:right w:val="nil"/>
            </w:tcBorders>
            <w:tcMar>
              <w:top w:w="100" w:type="dxa"/>
              <w:left w:w="100" w:type="dxa"/>
              <w:bottom w:w="100" w:type="dxa"/>
              <w:right w:w="100" w:type="dxa"/>
            </w:tcMar>
          </w:tcPr>
          <w:p w14:paraId="7845D2D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Systematic review</w:t>
            </w:r>
          </w:p>
        </w:tc>
        <w:tc>
          <w:tcPr>
            <w:tcW w:w="2400" w:type="dxa"/>
            <w:tcBorders>
              <w:top w:val="nil"/>
              <w:left w:val="nil"/>
              <w:bottom w:val="nil"/>
              <w:right w:val="nil"/>
            </w:tcBorders>
            <w:tcMar>
              <w:top w:w="100" w:type="dxa"/>
              <w:left w:w="100" w:type="dxa"/>
              <w:bottom w:w="100" w:type="dxa"/>
              <w:right w:w="100" w:type="dxa"/>
            </w:tcMar>
          </w:tcPr>
          <w:p w14:paraId="29B7A15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International radiography education models</w:t>
            </w:r>
          </w:p>
        </w:tc>
        <w:tc>
          <w:tcPr>
            <w:tcW w:w="2460" w:type="dxa"/>
            <w:tcBorders>
              <w:top w:val="nil"/>
              <w:left w:val="nil"/>
              <w:bottom w:val="nil"/>
              <w:right w:val="nil"/>
            </w:tcBorders>
            <w:tcMar>
              <w:top w:w="100" w:type="dxa"/>
              <w:left w:w="100" w:type="dxa"/>
              <w:bottom w:w="100" w:type="dxa"/>
              <w:right w:w="100" w:type="dxa"/>
            </w:tcMar>
          </w:tcPr>
          <w:p w14:paraId="04B6131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Graduate competencies and employability</w:t>
            </w:r>
          </w:p>
        </w:tc>
        <w:tc>
          <w:tcPr>
            <w:tcW w:w="2520" w:type="dxa"/>
            <w:tcBorders>
              <w:top w:val="nil"/>
              <w:left w:val="nil"/>
              <w:bottom w:val="nil"/>
              <w:right w:val="nil"/>
            </w:tcBorders>
            <w:tcMar>
              <w:top w:w="100" w:type="dxa"/>
              <w:left w:w="100" w:type="dxa"/>
              <w:bottom w:w="100" w:type="dxa"/>
              <w:right w:w="100" w:type="dxa"/>
            </w:tcMar>
          </w:tcPr>
          <w:p w14:paraId="580692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Multi-modality competency and adaptability improve workforce mobility</w:t>
            </w:r>
          </w:p>
        </w:tc>
        <w:tc>
          <w:tcPr>
            <w:tcW w:w="2340" w:type="dxa"/>
            <w:tcBorders>
              <w:top w:val="nil"/>
              <w:left w:val="nil"/>
              <w:bottom w:val="nil"/>
              <w:right w:val="nil"/>
            </w:tcBorders>
            <w:tcMar>
              <w:top w:w="100" w:type="dxa"/>
              <w:left w:w="100" w:type="dxa"/>
              <w:bottom w:w="100" w:type="dxa"/>
              <w:right w:w="100" w:type="dxa"/>
            </w:tcMar>
          </w:tcPr>
          <w:p w14:paraId="0F398BB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Provides international perspective on employability</w:t>
            </w:r>
          </w:p>
        </w:tc>
      </w:tr>
      <w:tr w:rsidR="00EF492E" w:rsidRPr="00EF492E" w14:paraId="4570EE3C" w14:textId="77777777" w:rsidTr="00516F66">
        <w:trPr>
          <w:trHeight w:val="998"/>
        </w:trPr>
        <w:tc>
          <w:tcPr>
            <w:tcW w:w="1830" w:type="dxa"/>
            <w:tcBorders>
              <w:top w:val="nil"/>
              <w:left w:val="nil"/>
              <w:bottom w:val="nil"/>
              <w:right w:val="nil"/>
            </w:tcBorders>
            <w:tcMar>
              <w:top w:w="100" w:type="dxa"/>
              <w:left w:w="100" w:type="dxa"/>
              <w:bottom w:w="100" w:type="dxa"/>
              <w:right w:w="100" w:type="dxa"/>
            </w:tcMar>
          </w:tcPr>
          <w:p w14:paraId="234B897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Crispino &amp; Rocha (2021)</w:t>
            </w:r>
          </w:p>
        </w:tc>
        <w:tc>
          <w:tcPr>
            <w:tcW w:w="1605" w:type="dxa"/>
            <w:tcBorders>
              <w:top w:val="nil"/>
              <w:left w:val="nil"/>
              <w:bottom w:val="nil"/>
              <w:right w:val="nil"/>
            </w:tcBorders>
            <w:tcMar>
              <w:top w:w="100" w:type="dxa"/>
              <w:left w:w="100" w:type="dxa"/>
              <w:bottom w:w="100" w:type="dxa"/>
              <w:right w:w="100" w:type="dxa"/>
            </w:tcMar>
          </w:tcPr>
          <w:p w14:paraId="23E5078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Policy analysis</w:t>
            </w:r>
          </w:p>
        </w:tc>
        <w:tc>
          <w:tcPr>
            <w:tcW w:w="2400" w:type="dxa"/>
            <w:tcBorders>
              <w:top w:val="nil"/>
              <w:left w:val="nil"/>
              <w:bottom w:val="nil"/>
              <w:right w:val="nil"/>
            </w:tcBorders>
            <w:tcMar>
              <w:top w:w="100" w:type="dxa"/>
              <w:left w:w="100" w:type="dxa"/>
              <w:bottom w:w="100" w:type="dxa"/>
              <w:right w:w="100" w:type="dxa"/>
            </w:tcMar>
          </w:tcPr>
          <w:p w14:paraId="245D839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Filipino healthcare professionals</w:t>
            </w:r>
          </w:p>
        </w:tc>
        <w:tc>
          <w:tcPr>
            <w:tcW w:w="2460" w:type="dxa"/>
            <w:tcBorders>
              <w:top w:val="nil"/>
              <w:left w:val="nil"/>
              <w:bottom w:val="nil"/>
              <w:right w:val="nil"/>
            </w:tcBorders>
            <w:tcMar>
              <w:top w:w="100" w:type="dxa"/>
              <w:left w:w="100" w:type="dxa"/>
              <w:bottom w:w="100" w:type="dxa"/>
              <w:right w:w="100" w:type="dxa"/>
            </w:tcMar>
          </w:tcPr>
          <w:p w14:paraId="328E9D7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Continuing professional development</w:t>
            </w:r>
          </w:p>
        </w:tc>
        <w:tc>
          <w:tcPr>
            <w:tcW w:w="2520" w:type="dxa"/>
            <w:tcBorders>
              <w:top w:val="nil"/>
              <w:left w:val="nil"/>
              <w:bottom w:val="nil"/>
              <w:right w:val="nil"/>
            </w:tcBorders>
            <w:tcMar>
              <w:top w:w="100" w:type="dxa"/>
              <w:left w:w="100" w:type="dxa"/>
              <w:bottom w:w="100" w:type="dxa"/>
              <w:right w:w="100" w:type="dxa"/>
            </w:tcMar>
          </w:tcPr>
          <w:p w14:paraId="243A9A2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CPD strengthens ASEAN and global workforce competitiveness</w:t>
            </w:r>
          </w:p>
        </w:tc>
        <w:tc>
          <w:tcPr>
            <w:tcW w:w="2340" w:type="dxa"/>
            <w:tcBorders>
              <w:top w:val="nil"/>
              <w:left w:val="nil"/>
              <w:bottom w:val="nil"/>
              <w:right w:val="nil"/>
            </w:tcBorders>
            <w:tcMar>
              <w:top w:w="100" w:type="dxa"/>
              <w:left w:w="100" w:type="dxa"/>
              <w:bottom w:w="100" w:type="dxa"/>
              <w:right w:w="100" w:type="dxa"/>
            </w:tcMar>
          </w:tcPr>
          <w:p w14:paraId="773849B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continuing professional development importance</w:t>
            </w:r>
          </w:p>
        </w:tc>
      </w:tr>
      <w:tr w:rsidR="00EF492E" w:rsidRPr="00EF492E" w14:paraId="438CAF74" w14:textId="77777777" w:rsidTr="00516F66">
        <w:trPr>
          <w:trHeight w:val="1050"/>
        </w:trPr>
        <w:tc>
          <w:tcPr>
            <w:tcW w:w="1830" w:type="dxa"/>
            <w:tcBorders>
              <w:top w:val="nil"/>
              <w:left w:val="nil"/>
              <w:bottom w:val="nil"/>
              <w:right w:val="nil"/>
            </w:tcBorders>
            <w:tcMar>
              <w:top w:w="100" w:type="dxa"/>
              <w:left w:w="100" w:type="dxa"/>
              <w:bottom w:w="100" w:type="dxa"/>
              <w:right w:w="100" w:type="dxa"/>
            </w:tcMar>
          </w:tcPr>
          <w:p w14:paraId="18705E4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Brutas</w:t>
            </w:r>
            <w:proofErr w:type="spellEnd"/>
            <w:r w:rsidRPr="00EF492E">
              <w:rPr>
                <w:rFonts w:ascii="Times New Roman" w:eastAsia="Times New Roman" w:hAnsi="Times New Roman" w:cs="Times New Roman"/>
                <w:sz w:val="24"/>
                <w:szCs w:val="24"/>
              </w:rPr>
              <w:t xml:space="preserve"> et al. (2024)</w:t>
            </w:r>
          </w:p>
        </w:tc>
        <w:tc>
          <w:tcPr>
            <w:tcW w:w="1605" w:type="dxa"/>
            <w:tcBorders>
              <w:top w:val="nil"/>
              <w:left w:val="nil"/>
              <w:bottom w:val="nil"/>
              <w:right w:val="nil"/>
            </w:tcBorders>
            <w:tcMar>
              <w:top w:w="100" w:type="dxa"/>
              <w:left w:w="100" w:type="dxa"/>
              <w:bottom w:w="100" w:type="dxa"/>
              <w:right w:w="100" w:type="dxa"/>
            </w:tcMar>
          </w:tcPr>
          <w:p w14:paraId="29DD5B2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2BFFAC9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RTs in Quezon City hospitals</w:t>
            </w:r>
          </w:p>
        </w:tc>
        <w:tc>
          <w:tcPr>
            <w:tcW w:w="2460" w:type="dxa"/>
            <w:tcBorders>
              <w:top w:val="nil"/>
              <w:left w:val="nil"/>
              <w:bottom w:val="nil"/>
              <w:right w:val="nil"/>
            </w:tcBorders>
            <w:tcMar>
              <w:top w:w="100" w:type="dxa"/>
              <w:left w:w="100" w:type="dxa"/>
              <w:bottom w:w="100" w:type="dxa"/>
              <w:right w:w="100" w:type="dxa"/>
            </w:tcMar>
          </w:tcPr>
          <w:p w14:paraId="0A8CA4C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Job satisfaction</w:t>
            </w:r>
          </w:p>
        </w:tc>
        <w:tc>
          <w:tcPr>
            <w:tcW w:w="2520" w:type="dxa"/>
            <w:tcBorders>
              <w:top w:val="nil"/>
              <w:left w:val="nil"/>
              <w:bottom w:val="nil"/>
              <w:right w:val="nil"/>
            </w:tcBorders>
            <w:tcMar>
              <w:top w:w="100" w:type="dxa"/>
              <w:left w:w="100" w:type="dxa"/>
              <w:bottom w:w="100" w:type="dxa"/>
              <w:right w:w="100" w:type="dxa"/>
            </w:tcMar>
          </w:tcPr>
          <w:p w14:paraId="509B09B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Compensation and workplace conditions significantly affected satisfaction</w:t>
            </w:r>
          </w:p>
        </w:tc>
        <w:tc>
          <w:tcPr>
            <w:tcW w:w="2340" w:type="dxa"/>
            <w:tcBorders>
              <w:top w:val="nil"/>
              <w:left w:val="nil"/>
              <w:bottom w:val="nil"/>
              <w:right w:val="nil"/>
            </w:tcBorders>
            <w:tcMar>
              <w:top w:w="100" w:type="dxa"/>
              <w:left w:w="100" w:type="dxa"/>
              <w:bottom w:w="100" w:type="dxa"/>
              <w:right w:w="100" w:type="dxa"/>
            </w:tcMar>
          </w:tcPr>
          <w:p w14:paraId="66CF8E2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retention challenges</w:t>
            </w:r>
          </w:p>
        </w:tc>
      </w:tr>
      <w:tr w:rsidR="00EF492E" w:rsidRPr="00EF492E" w14:paraId="58146C21" w14:textId="77777777" w:rsidTr="00516F66">
        <w:trPr>
          <w:trHeight w:val="488"/>
        </w:trPr>
        <w:tc>
          <w:tcPr>
            <w:tcW w:w="1830" w:type="dxa"/>
            <w:tcBorders>
              <w:top w:val="nil"/>
              <w:left w:val="nil"/>
              <w:bottom w:val="nil"/>
              <w:right w:val="nil"/>
            </w:tcBorders>
            <w:tcMar>
              <w:top w:w="100" w:type="dxa"/>
              <w:left w:w="100" w:type="dxa"/>
              <w:bottom w:w="100" w:type="dxa"/>
              <w:right w:w="100" w:type="dxa"/>
            </w:tcMar>
          </w:tcPr>
          <w:p w14:paraId="0733CDB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Partoza</w:t>
            </w:r>
            <w:proofErr w:type="spellEnd"/>
            <w:r w:rsidRPr="00EF492E">
              <w:rPr>
                <w:rFonts w:ascii="Times New Roman" w:eastAsia="Times New Roman" w:hAnsi="Times New Roman" w:cs="Times New Roman"/>
                <w:sz w:val="24"/>
                <w:szCs w:val="24"/>
              </w:rPr>
              <w:t xml:space="preserve"> &amp; Urbina (2025)</w:t>
            </w:r>
          </w:p>
        </w:tc>
        <w:tc>
          <w:tcPr>
            <w:tcW w:w="1605" w:type="dxa"/>
            <w:tcBorders>
              <w:top w:val="nil"/>
              <w:left w:val="nil"/>
              <w:bottom w:val="nil"/>
              <w:right w:val="nil"/>
            </w:tcBorders>
            <w:tcMar>
              <w:top w:w="100" w:type="dxa"/>
              <w:left w:w="100" w:type="dxa"/>
              <w:bottom w:w="100" w:type="dxa"/>
              <w:right w:w="100" w:type="dxa"/>
            </w:tcMar>
          </w:tcPr>
          <w:p w14:paraId="6967670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2400" w:type="dxa"/>
            <w:tcBorders>
              <w:top w:val="nil"/>
              <w:left w:val="nil"/>
              <w:bottom w:val="nil"/>
              <w:right w:val="nil"/>
            </w:tcBorders>
            <w:tcMar>
              <w:top w:w="100" w:type="dxa"/>
              <w:left w:w="100" w:type="dxa"/>
              <w:bottom w:w="100" w:type="dxa"/>
              <w:right w:w="100" w:type="dxa"/>
            </w:tcMar>
          </w:tcPr>
          <w:p w14:paraId="3EE956C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Clinic-based RTs in Laguna</w:t>
            </w:r>
          </w:p>
        </w:tc>
        <w:tc>
          <w:tcPr>
            <w:tcW w:w="2460" w:type="dxa"/>
            <w:tcBorders>
              <w:top w:val="nil"/>
              <w:left w:val="nil"/>
              <w:bottom w:val="nil"/>
              <w:right w:val="nil"/>
            </w:tcBorders>
            <w:tcMar>
              <w:top w:w="100" w:type="dxa"/>
              <w:left w:w="100" w:type="dxa"/>
              <w:bottom w:w="100" w:type="dxa"/>
              <w:right w:w="100" w:type="dxa"/>
            </w:tcMar>
          </w:tcPr>
          <w:p w14:paraId="18B40B0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Stress, work attitude, and job satisfaction</w:t>
            </w:r>
          </w:p>
        </w:tc>
        <w:tc>
          <w:tcPr>
            <w:tcW w:w="2520" w:type="dxa"/>
            <w:tcBorders>
              <w:top w:val="nil"/>
              <w:left w:val="nil"/>
              <w:bottom w:val="nil"/>
              <w:right w:val="nil"/>
            </w:tcBorders>
            <w:tcMar>
              <w:top w:w="100" w:type="dxa"/>
              <w:left w:w="100" w:type="dxa"/>
              <w:bottom w:w="100" w:type="dxa"/>
              <w:right w:w="100" w:type="dxa"/>
            </w:tcMar>
          </w:tcPr>
          <w:p w14:paraId="4E18F95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Workplace stress and environment influenced job satisfaction</w:t>
            </w:r>
          </w:p>
        </w:tc>
        <w:tc>
          <w:tcPr>
            <w:tcW w:w="2340" w:type="dxa"/>
            <w:tcBorders>
              <w:top w:val="nil"/>
              <w:left w:val="nil"/>
              <w:bottom w:val="nil"/>
              <w:right w:val="nil"/>
            </w:tcBorders>
            <w:tcMar>
              <w:top w:w="100" w:type="dxa"/>
              <w:left w:w="100" w:type="dxa"/>
              <w:bottom w:w="100" w:type="dxa"/>
              <w:right w:w="100" w:type="dxa"/>
            </w:tcMar>
          </w:tcPr>
          <w:p w14:paraId="2F2275F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occupational sustainability concerns</w:t>
            </w:r>
          </w:p>
        </w:tc>
      </w:tr>
      <w:tr w:rsidR="00EF492E" w:rsidRPr="00EF492E" w14:paraId="19E04077" w14:textId="77777777" w:rsidTr="00516F66">
        <w:trPr>
          <w:trHeight w:val="960"/>
        </w:trPr>
        <w:tc>
          <w:tcPr>
            <w:tcW w:w="1830" w:type="dxa"/>
            <w:tcBorders>
              <w:top w:val="nil"/>
              <w:left w:val="nil"/>
              <w:bottom w:val="nil"/>
              <w:right w:val="nil"/>
            </w:tcBorders>
            <w:tcMar>
              <w:top w:w="100" w:type="dxa"/>
              <w:left w:w="100" w:type="dxa"/>
              <w:bottom w:w="100" w:type="dxa"/>
              <w:right w:w="100" w:type="dxa"/>
            </w:tcMar>
          </w:tcPr>
          <w:p w14:paraId="2285214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Sedillo Jr. (2021)</w:t>
            </w:r>
          </w:p>
        </w:tc>
        <w:tc>
          <w:tcPr>
            <w:tcW w:w="1605" w:type="dxa"/>
            <w:tcBorders>
              <w:top w:val="nil"/>
              <w:left w:val="nil"/>
              <w:bottom w:val="nil"/>
              <w:right w:val="nil"/>
            </w:tcBorders>
            <w:tcMar>
              <w:top w:w="100" w:type="dxa"/>
              <w:left w:w="100" w:type="dxa"/>
              <w:bottom w:w="100" w:type="dxa"/>
              <w:right w:w="100" w:type="dxa"/>
            </w:tcMar>
          </w:tcPr>
          <w:p w14:paraId="685B75B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Predictive correlational study</w:t>
            </w:r>
          </w:p>
        </w:tc>
        <w:tc>
          <w:tcPr>
            <w:tcW w:w="2400" w:type="dxa"/>
            <w:tcBorders>
              <w:top w:val="nil"/>
              <w:left w:val="nil"/>
              <w:bottom w:val="nil"/>
              <w:right w:val="nil"/>
            </w:tcBorders>
            <w:tcMar>
              <w:top w:w="100" w:type="dxa"/>
              <w:left w:w="100" w:type="dxa"/>
              <w:bottom w:w="100" w:type="dxa"/>
              <w:right w:w="100" w:type="dxa"/>
            </w:tcMar>
          </w:tcPr>
          <w:p w14:paraId="17BFD92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RTs in academic institutions</w:t>
            </w:r>
          </w:p>
        </w:tc>
        <w:tc>
          <w:tcPr>
            <w:tcW w:w="2460" w:type="dxa"/>
            <w:tcBorders>
              <w:top w:val="nil"/>
              <w:left w:val="nil"/>
              <w:bottom w:val="nil"/>
              <w:right w:val="nil"/>
            </w:tcBorders>
            <w:tcMar>
              <w:top w:w="100" w:type="dxa"/>
              <w:left w:w="100" w:type="dxa"/>
              <w:bottom w:w="100" w:type="dxa"/>
              <w:right w:w="100" w:type="dxa"/>
            </w:tcMar>
          </w:tcPr>
          <w:p w14:paraId="35FA87A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Leadership behavior and turnover intention</w:t>
            </w:r>
          </w:p>
        </w:tc>
        <w:tc>
          <w:tcPr>
            <w:tcW w:w="2520" w:type="dxa"/>
            <w:tcBorders>
              <w:top w:val="nil"/>
              <w:left w:val="nil"/>
              <w:bottom w:val="nil"/>
              <w:right w:val="nil"/>
            </w:tcBorders>
            <w:tcMar>
              <w:top w:w="100" w:type="dxa"/>
              <w:left w:w="100" w:type="dxa"/>
              <w:bottom w:w="100" w:type="dxa"/>
              <w:right w:w="100" w:type="dxa"/>
            </w:tcMar>
          </w:tcPr>
          <w:p w14:paraId="6734083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Positive leadership reduced turnover intention</w:t>
            </w:r>
          </w:p>
        </w:tc>
        <w:tc>
          <w:tcPr>
            <w:tcW w:w="2340" w:type="dxa"/>
            <w:tcBorders>
              <w:top w:val="nil"/>
              <w:left w:val="nil"/>
              <w:bottom w:val="nil"/>
              <w:right w:val="nil"/>
            </w:tcBorders>
            <w:tcMar>
              <w:top w:w="100" w:type="dxa"/>
              <w:left w:w="100" w:type="dxa"/>
              <w:bottom w:w="100" w:type="dxa"/>
              <w:right w:w="100" w:type="dxa"/>
            </w:tcMar>
          </w:tcPr>
          <w:p w14:paraId="522CC07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workforce retention strategies</w:t>
            </w:r>
          </w:p>
        </w:tc>
      </w:tr>
      <w:tr w:rsidR="00EF492E" w:rsidRPr="00EF492E" w14:paraId="4689B1B6" w14:textId="77777777" w:rsidTr="00516F66">
        <w:trPr>
          <w:trHeight w:val="617"/>
        </w:trPr>
        <w:tc>
          <w:tcPr>
            <w:tcW w:w="1830" w:type="dxa"/>
            <w:tcBorders>
              <w:top w:val="nil"/>
              <w:left w:val="nil"/>
              <w:bottom w:val="nil"/>
              <w:right w:val="nil"/>
            </w:tcBorders>
            <w:tcMar>
              <w:top w:w="100" w:type="dxa"/>
              <w:left w:w="100" w:type="dxa"/>
              <w:bottom w:w="100" w:type="dxa"/>
              <w:right w:w="100" w:type="dxa"/>
            </w:tcMar>
          </w:tcPr>
          <w:p w14:paraId="4B15E7A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Andres (2023)</w:t>
            </w:r>
          </w:p>
        </w:tc>
        <w:tc>
          <w:tcPr>
            <w:tcW w:w="1605" w:type="dxa"/>
            <w:tcBorders>
              <w:top w:val="nil"/>
              <w:left w:val="nil"/>
              <w:bottom w:val="nil"/>
              <w:right w:val="nil"/>
            </w:tcBorders>
            <w:tcMar>
              <w:top w:w="100" w:type="dxa"/>
              <w:left w:w="100" w:type="dxa"/>
              <w:bottom w:w="100" w:type="dxa"/>
              <w:right w:w="100" w:type="dxa"/>
            </w:tcMar>
          </w:tcPr>
          <w:p w14:paraId="2264C40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0EC098D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RTs in government hospital</w:t>
            </w:r>
          </w:p>
        </w:tc>
        <w:tc>
          <w:tcPr>
            <w:tcW w:w="2460" w:type="dxa"/>
            <w:tcBorders>
              <w:top w:val="nil"/>
              <w:left w:val="nil"/>
              <w:bottom w:val="nil"/>
              <w:right w:val="nil"/>
            </w:tcBorders>
            <w:tcMar>
              <w:top w:w="100" w:type="dxa"/>
              <w:left w:w="100" w:type="dxa"/>
              <w:bottom w:w="100" w:type="dxa"/>
              <w:right w:w="100" w:type="dxa"/>
            </w:tcMar>
          </w:tcPr>
          <w:p w14:paraId="0DB3F2E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COVID-19 guideline compliance</w:t>
            </w:r>
          </w:p>
        </w:tc>
        <w:tc>
          <w:tcPr>
            <w:tcW w:w="2520" w:type="dxa"/>
            <w:tcBorders>
              <w:top w:val="nil"/>
              <w:left w:val="nil"/>
              <w:bottom w:val="nil"/>
              <w:right w:val="nil"/>
            </w:tcBorders>
            <w:tcMar>
              <w:top w:w="100" w:type="dxa"/>
              <w:left w:w="100" w:type="dxa"/>
              <w:bottom w:w="100" w:type="dxa"/>
              <w:right w:w="100" w:type="dxa"/>
            </w:tcMar>
          </w:tcPr>
          <w:p w14:paraId="4B7970D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 compliance with infection prevention measures observed</w:t>
            </w:r>
          </w:p>
        </w:tc>
        <w:tc>
          <w:tcPr>
            <w:tcW w:w="2340" w:type="dxa"/>
            <w:tcBorders>
              <w:top w:val="nil"/>
              <w:left w:val="nil"/>
              <w:bottom w:val="nil"/>
              <w:right w:val="nil"/>
            </w:tcBorders>
            <w:tcMar>
              <w:top w:w="100" w:type="dxa"/>
              <w:left w:w="100" w:type="dxa"/>
              <w:bottom w:w="100" w:type="dxa"/>
              <w:right w:w="100" w:type="dxa"/>
            </w:tcMar>
          </w:tcPr>
          <w:p w14:paraId="0CEBA0E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occupational preparedness</w:t>
            </w:r>
          </w:p>
        </w:tc>
      </w:tr>
      <w:tr w:rsidR="00EF492E" w:rsidRPr="00EF492E" w14:paraId="146453F6" w14:textId="77777777" w:rsidTr="00516F66">
        <w:trPr>
          <w:trHeight w:val="915"/>
        </w:trPr>
        <w:tc>
          <w:tcPr>
            <w:tcW w:w="1830" w:type="dxa"/>
            <w:tcBorders>
              <w:top w:val="nil"/>
              <w:left w:val="nil"/>
              <w:bottom w:val="nil"/>
              <w:right w:val="nil"/>
            </w:tcBorders>
            <w:tcMar>
              <w:top w:w="100" w:type="dxa"/>
              <w:left w:w="100" w:type="dxa"/>
              <w:bottom w:w="100" w:type="dxa"/>
              <w:right w:w="100" w:type="dxa"/>
            </w:tcMar>
          </w:tcPr>
          <w:p w14:paraId="2B73787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Torio et al. (2022)</w:t>
            </w:r>
          </w:p>
        </w:tc>
        <w:tc>
          <w:tcPr>
            <w:tcW w:w="1605" w:type="dxa"/>
            <w:tcBorders>
              <w:top w:val="nil"/>
              <w:left w:val="nil"/>
              <w:bottom w:val="nil"/>
              <w:right w:val="nil"/>
            </w:tcBorders>
            <w:tcMar>
              <w:top w:w="100" w:type="dxa"/>
              <w:left w:w="100" w:type="dxa"/>
              <w:bottom w:w="100" w:type="dxa"/>
              <w:right w:w="100" w:type="dxa"/>
            </w:tcMar>
          </w:tcPr>
          <w:p w14:paraId="07E270C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2400" w:type="dxa"/>
            <w:tcBorders>
              <w:top w:val="nil"/>
              <w:left w:val="nil"/>
              <w:bottom w:val="nil"/>
              <w:right w:val="nil"/>
            </w:tcBorders>
            <w:tcMar>
              <w:top w:w="100" w:type="dxa"/>
              <w:left w:w="100" w:type="dxa"/>
              <w:bottom w:w="100" w:type="dxa"/>
              <w:right w:w="100" w:type="dxa"/>
            </w:tcMar>
          </w:tcPr>
          <w:p w14:paraId="150CAD6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Radiologic technologists</w:t>
            </w:r>
          </w:p>
        </w:tc>
        <w:tc>
          <w:tcPr>
            <w:tcW w:w="2460" w:type="dxa"/>
            <w:tcBorders>
              <w:top w:val="nil"/>
              <w:left w:val="nil"/>
              <w:bottom w:val="nil"/>
              <w:right w:val="nil"/>
            </w:tcBorders>
            <w:tcMar>
              <w:top w:w="100" w:type="dxa"/>
              <w:left w:w="100" w:type="dxa"/>
              <w:bottom w:w="100" w:type="dxa"/>
              <w:right w:w="100" w:type="dxa"/>
            </w:tcMar>
          </w:tcPr>
          <w:p w14:paraId="2265039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Standard precaution practices during COVID-19</w:t>
            </w:r>
          </w:p>
        </w:tc>
        <w:tc>
          <w:tcPr>
            <w:tcW w:w="2520" w:type="dxa"/>
            <w:tcBorders>
              <w:top w:val="nil"/>
              <w:left w:val="nil"/>
              <w:bottom w:val="nil"/>
              <w:right w:val="nil"/>
            </w:tcBorders>
            <w:tcMar>
              <w:top w:w="100" w:type="dxa"/>
              <w:left w:w="100" w:type="dxa"/>
              <w:bottom w:w="100" w:type="dxa"/>
              <w:right w:w="100" w:type="dxa"/>
            </w:tcMar>
          </w:tcPr>
          <w:p w14:paraId="1848648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Positive attitudes associated with compliance in handling COVID-19 patients</w:t>
            </w:r>
          </w:p>
        </w:tc>
        <w:tc>
          <w:tcPr>
            <w:tcW w:w="2340" w:type="dxa"/>
            <w:tcBorders>
              <w:top w:val="nil"/>
              <w:left w:val="nil"/>
              <w:bottom w:val="nil"/>
              <w:right w:val="nil"/>
            </w:tcBorders>
            <w:tcMar>
              <w:top w:w="100" w:type="dxa"/>
              <w:left w:w="100" w:type="dxa"/>
              <w:bottom w:w="100" w:type="dxa"/>
              <w:right w:w="100" w:type="dxa"/>
            </w:tcMar>
          </w:tcPr>
          <w:p w14:paraId="2C45FF6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professional preparedness</w:t>
            </w:r>
          </w:p>
        </w:tc>
      </w:tr>
      <w:tr w:rsidR="00EF492E" w:rsidRPr="00EF492E" w14:paraId="4A103449" w14:textId="77777777" w:rsidTr="00516F66">
        <w:trPr>
          <w:trHeight w:val="1125"/>
        </w:trPr>
        <w:tc>
          <w:tcPr>
            <w:tcW w:w="1830" w:type="dxa"/>
            <w:tcBorders>
              <w:top w:val="nil"/>
              <w:left w:val="nil"/>
              <w:bottom w:val="nil"/>
              <w:right w:val="nil"/>
            </w:tcBorders>
            <w:tcMar>
              <w:top w:w="100" w:type="dxa"/>
              <w:left w:w="100" w:type="dxa"/>
              <w:bottom w:w="100" w:type="dxa"/>
              <w:right w:w="100" w:type="dxa"/>
            </w:tcMar>
          </w:tcPr>
          <w:p w14:paraId="67F5BEA9"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Macabangon</w:t>
            </w:r>
            <w:proofErr w:type="spellEnd"/>
            <w:r w:rsidRPr="00EF492E">
              <w:rPr>
                <w:rFonts w:ascii="Times New Roman" w:eastAsia="Times New Roman" w:hAnsi="Times New Roman" w:cs="Times New Roman"/>
                <w:sz w:val="24"/>
                <w:szCs w:val="24"/>
              </w:rPr>
              <w:t xml:space="preserve"> et al. (2026)</w:t>
            </w:r>
          </w:p>
        </w:tc>
        <w:tc>
          <w:tcPr>
            <w:tcW w:w="1605" w:type="dxa"/>
            <w:tcBorders>
              <w:top w:val="nil"/>
              <w:left w:val="nil"/>
              <w:bottom w:val="nil"/>
              <w:right w:val="nil"/>
            </w:tcBorders>
            <w:tcMar>
              <w:top w:w="100" w:type="dxa"/>
              <w:left w:w="100" w:type="dxa"/>
              <w:bottom w:w="100" w:type="dxa"/>
              <w:right w:w="100" w:type="dxa"/>
            </w:tcMar>
          </w:tcPr>
          <w:p w14:paraId="59A03F5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Observational study</w:t>
            </w:r>
          </w:p>
        </w:tc>
        <w:tc>
          <w:tcPr>
            <w:tcW w:w="2400" w:type="dxa"/>
            <w:tcBorders>
              <w:top w:val="nil"/>
              <w:left w:val="nil"/>
              <w:bottom w:val="nil"/>
              <w:right w:val="nil"/>
            </w:tcBorders>
            <w:tcMar>
              <w:top w:w="100" w:type="dxa"/>
              <w:left w:w="100" w:type="dxa"/>
              <w:bottom w:w="100" w:type="dxa"/>
              <w:right w:w="100" w:type="dxa"/>
            </w:tcMar>
          </w:tcPr>
          <w:p w14:paraId="73AC018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Healthcare workers in Philippine private hospital</w:t>
            </w:r>
          </w:p>
        </w:tc>
        <w:tc>
          <w:tcPr>
            <w:tcW w:w="2460" w:type="dxa"/>
            <w:tcBorders>
              <w:top w:val="nil"/>
              <w:left w:val="nil"/>
              <w:bottom w:val="nil"/>
              <w:right w:val="nil"/>
            </w:tcBorders>
            <w:tcMar>
              <w:top w:w="100" w:type="dxa"/>
              <w:left w:w="100" w:type="dxa"/>
              <w:bottom w:w="100" w:type="dxa"/>
              <w:right w:w="100" w:type="dxa"/>
            </w:tcMar>
          </w:tcPr>
          <w:p w14:paraId="28C3154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Nosocomial infection prevention</w:t>
            </w:r>
          </w:p>
        </w:tc>
        <w:tc>
          <w:tcPr>
            <w:tcW w:w="2520" w:type="dxa"/>
            <w:tcBorders>
              <w:top w:val="nil"/>
              <w:left w:val="nil"/>
              <w:bottom w:val="nil"/>
              <w:right w:val="nil"/>
            </w:tcBorders>
            <w:tcMar>
              <w:top w:w="100" w:type="dxa"/>
              <w:left w:w="100" w:type="dxa"/>
              <w:bottom w:w="100" w:type="dxa"/>
              <w:right w:w="100" w:type="dxa"/>
            </w:tcMar>
          </w:tcPr>
          <w:p w14:paraId="5F13DCB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Strong occupational preparedness and infection prevention competency observed</w:t>
            </w:r>
          </w:p>
        </w:tc>
        <w:tc>
          <w:tcPr>
            <w:tcW w:w="2340" w:type="dxa"/>
            <w:tcBorders>
              <w:top w:val="nil"/>
              <w:left w:val="nil"/>
              <w:bottom w:val="nil"/>
              <w:right w:val="nil"/>
            </w:tcBorders>
            <w:tcMar>
              <w:top w:w="100" w:type="dxa"/>
              <w:left w:w="100" w:type="dxa"/>
              <w:bottom w:w="100" w:type="dxa"/>
              <w:right w:w="100" w:type="dxa"/>
            </w:tcMar>
          </w:tcPr>
          <w:p w14:paraId="1806705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workforce resilience</w:t>
            </w:r>
          </w:p>
        </w:tc>
      </w:tr>
      <w:tr w:rsidR="00EF492E" w:rsidRPr="00EF492E" w14:paraId="2608976B" w14:textId="77777777" w:rsidTr="00516F66">
        <w:trPr>
          <w:trHeight w:val="1170"/>
        </w:trPr>
        <w:tc>
          <w:tcPr>
            <w:tcW w:w="1830" w:type="dxa"/>
            <w:tcBorders>
              <w:top w:val="nil"/>
              <w:left w:val="nil"/>
              <w:bottom w:val="nil"/>
              <w:right w:val="nil"/>
            </w:tcBorders>
            <w:tcMar>
              <w:top w:w="100" w:type="dxa"/>
              <w:left w:w="100" w:type="dxa"/>
              <w:bottom w:w="100" w:type="dxa"/>
              <w:right w:w="100" w:type="dxa"/>
            </w:tcMar>
          </w:tcPr>
          <w:p w14:paraId="6AB2B25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 xml:space="preserve">de Guzman &amp; </w:t>
            </w:r>
            <w:proofErr w:type="spellStart"/>
            <w:r w:rsidRPr="00EF492E">
              <w:rPr>
                <w:rFonts w:ascii="Times New Roman" w:eastAsia="Times New Roman" w:hAnsi="Times New Roman" w:cs="Times New Roman"/>
                <w:sz w:val="24"/>
                <w:szCs w:val="24"/>
              </w:rPr>
              <w:t>Angcahan</w:t>
            </w:r>
            <w:proofErr w:type="spellEnd"/>
            <w:r w:rsidRPr="00EF492E">
              <w:rPr>
                <w:rFonts w:ascii="Times New Roman" w:eastAsia="Times New Roman" w:hAnsi="Times New Roman" w:cs="Times New Roman"/>
                <w:sz w:val="24"/>
                <w:szCs w:val="24"/>
              </w:rPr>
              <w:t xml:space="preserve"> (2020)</w:t>
            </w:r>
          </w:p>
        </w:tc>
        <w:tc>
          <w:tcPr>
            <w:tcW w:w="1605" w:type="dxa"/>
            <w:tcBorders>
              <w:top w:val="nil"/>
              <w:left w:val="nil"/>
              <w:bottom w:val="nil"/>
              <w:right w:val="nil"/>
            </w:tcBorders>
            <w:tcMar>
              <w:top w:w="100" w:type="dxa"/>
              <w:left w:w="100" w:type="dxa"/>
              <w:bottom w:w="100" w:type="dxa"/>
              <w:right w:w="100" w:type="dxa"/>
            </w:tcMar>
          </w:tcPr>
          <w:p w14:paraId="64702A3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Qualitative reflection</w:t>
            </w:r>
          </w:p>
        </w:tc>
        <w:tc>
          <w:tcPr>
            <w:tcW w:w="2400" w:type="dxa"/>
            <w:tcBorders>
              <w:top w:val="nil"/>
              <w:left w:val="nil"/>
              <w:bottom w:val="nil"/>
              <w:right w:val="nil"/>
            </w:tcBorders>
            <w:tcMar>
              <w:top w:w="100" w:type="dxa"/>
              <w:left w:w="100" w:type="dxa"/>
              <w:bottom w:w="100" w:type="dxa"/>
              <w:right w:w="100" w:type="dxa"/>
            </w:tcMar>
          </w:tcPr>
          <w:p w14:paraId="3E114B5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Filipino radiologic technologists</w:t>
            </w:r>
          </w:p>
        </w:tc>
        <w:tc>
          <w:tcPr>
            <w:tcW w:w="2460" w:type="dxa"/>
            <w:tcBorders>
              <w:top w:val="nil"/>
              <w:left w:val="nil"/>
              <w:bottom w:val="nil"/>
              <w:right w:val="nil"/>
            </w:tcBorders>
            <w:tcMar>
              <w:top w:w="100" w:type="dxa"/>
              <w:left w:w="100" w:type="dxa"/>
              <w:bottom w:w="100" w:type="dxa"/>
              <w:right w:w="100" w:type="dxa"/>
            </w:tcMar>
          </w:tcPr>
          <w:p w14:paraId="38831E2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Professional identity during COVID-19</w:t>
            </w:r>
          </w:p>
        </w:tc>
        <w:tc>
          <w:tcPr>
            <w:tcW w:w="2520" w:type="dxa"/>
            <w:tcBorders>
              <w:top w:val="nil"/>
              <w:left w:val="nil"/>
              <w:bottom w:val="nil"/>
              <w:right w:val="nil"/>
            </w:tcBorders>
            <w:tcMar>
              <w:top w:w="100" w:type="dxa"/>
              <w:left w:w="100" w:type="dxa"/>
              <w:bottom w:w="100" w:type="dxa"/>
              <w:right w:w="100" w:type="dxa"/>
            </w:tcMar>
          </w:tcPr>
          <w:p w14:paraId="1928425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RTs remained underrecognized despite critical healthcare contributions</w:t>
            </w:r>
          </w:p>
        </w:tc>
        <w:tc>
          <w:tcPr>
            <w:tcW w:w="2340" w:type="dxa"/>
            <w:tcBorders>
              <w:top w:val="nil"/>
              <w:left w:val="nil"/>
              <w:bottom w:val="nil"/>
              <w:right w:val="nil"/>
            </w:tcBorders>
            <w:tcMar>
              <w:top w:w="100" w:type="dxa"/>
              <w:left w:w="100" w:type="dxa"/>
              <w:bottom w:w="100" w:type="dxa"/>
              <w:right w:w="100" w:type="dxa"/>
            </w:tcMar>
          </w:tcPr>
          <w:p w14:paraId="3886CA3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Emphasizes professional identity and institutional recognition</w:t>
            </w:r>
          </w:p>
        </w:tc>
      </w:tr>
      <w:tr w:rsidR="00EF492E" w:rsidRPr="00EF492E" w14:paraId="7269CA41" w14:textId="77777777" w:rsidTr="00516F66">
        <w:trPr>
          <w:trHeight w:val="1080"/>
        </w:trPr>
        <w:tc>
          <w:tcPr>
            <w:tcW w:w="1830" w:type="dxa"/>
            <w:tcBorders>
              <w:top w:val="nil"/>
              <w:left w:val="nil"/>
              <w:bottom w:val="nil"/>
              <w:right w:val="nil"/>
            </w:tcBorders>
            <w:tcMar>
              <w:top w:w="100" w:type="dxa"/>
              <w:left w:w="100" w:type="dxa"/>
              <w:bottom w:w="100" w:type="dxa"/>
              <w:right w:w="100" w:type="dxa"/>
            </w:tcMar>
          </w:tcPr>
          <w:p w14:paraId="32A5ABE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Gutierrez et al. (2021)</w:t>
            </w:r>
          </w:p>
        </w:tc>
        <w:tc>
          <w:tcPr>
            <w:tcW w:w="1605" w:type="dxa"/>
            <w:tcBorders>
              <w:top w:val="nil"/>
              <w:left w:val="nil"/>
              <w:bottom w:val="nil"/>
              <w:right w:val="nil"/>
            </w:tcBorders>
            <w:tcMar>
              <w:top w:w="100" w:type="dxa"/>
              <w:left w:w="100" w:type="dxa"/>
              <w:bottom w:w="100" w:type="dxa"/>
              <w:right w:w="100" w:type="dxa"/>
            </w:tcMar>
          </w:tcPr>
          <w:p w14:paraId="18BF9F9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2400" w:type="dxa"/>
            <w:tcBorders>
              <w:top w:val="nil"/>
              <w:left w:val="nil"/>
              <w:bottom w:val="nil"/>
              <w:right w:val="nil"/>
            </w:tcBorders>
            <w:tcMar>
              <w:top w:w="100" w:type="dxa"/>
              <w:left w:w="100" w:type="dxa"/>
              <w:bottom w:w="100" w:type="dxa"/>
              <w:right w:w="100" w:type="dxa"/>
            </w:tcMar>
          </w:tcPr>
          <w:p w14:paraId="0A596CC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schools in Metro Manila</w:t>
            </w:r>
          </w:p>
        </w:tc>
        <w:tc>
          <w:tcPr>
            <w:tcW w:w="2460" w:type="dxa"/>
            <w:tcBorders>
              <w:top w:val="nil"/>
              <w:left w:val="nil"/>
              <w:bottom w:val="nil"/>
              <w:right w:val="nil"/>
            </w:tcBorders>
            <w:tcMar>
              <w:top w:w="100" w:type="dxa"/>
              <w:left w:w="100" w:type="dxa"/>
              <w:bottom w:w="100" w:type="dxa"/>
              <w:right w:w="100" w:type="dxa"/>
            </w:tcMar>
          </w:tcPr>
          <w:p w14:paraId="23AF8FE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Teaching effectiveness</w:t>
            </w:r>
          </w:p>
        </w:tc>
        <w:tc>
          <w:tcPr>
            <w:tcW w:w="2520" w:type="dxa"/>
            <w:tcBorders>
              <w:top w:val="nil"/>
              <w:left w:val="nil"/>
              <w:bottom w:val="nil"/>
              <w:right w:val="nil"/>
            </w:tcBorders>
            <w:tcMar>
              <w:top w:w="100" w:type="dxa"/>
              <w:left w:w="100" w:type="dxa"/>
              <w:bottom w:w="100" w:type="dxa"/>
              <w:right w:w="100" w:type="dxa"/>
            </w:tcMar>
          </w:tcPr>
          <w:p w14:paraId="2130307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Effective instruction and communication improved student learning outcomes</w:t>
            </w:r>
          </w:p>
        </w:tc>
        <w:tc>
          <w:tcPr>
            <w:tcW w:w="2340" w:type="dxa"/>
            <w:tcBorders>
              <w:top w:val="nil"/>
              <w:left w:val="nil"/>
              <w:bottom w:val="nil"/>
              <w:right w:val="nil"/>
            </w:tcBorders>
            <w:tcMar>
              <w:top w:w="100" w:type="dxa"/>
              <w:left w:w="100" w:type="dxa"/>
              <w:bottom w:w="100" w:type="dxa"/>
              <w:right w:w="100" w:type="dxa"/>
            </w:tcMar>
          </w:tcPr>
          <w:p w14:paraId="50C00AC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role of faculty competence</w:t>
            </w:r>
          </w:p>
        </w:tc>
      </w:tr>
      <w:tr w:rsidR="00EF492E" w:rsidRPr="00EF492E" w14:paraId="07ABCBA5" w14:textId="77777777" w:rsidTr="00516F66">
        <w:trPr>
          <w:trHeight w:val="1245"/>
        </w:trPr>
        <w:tc>
          <w:tcPr>
            <w:tcW w:w="1830" w:type="dxa"/>
            <w:tcBorders>
              <w:top w:val="nil"/>
              <w:left w:val="nil"/>
              <w:bottom w:val="nil"/>
              <w:right w:val="nil"/>
            </w:tcBorders>
            <w:tcMar>
              <w:top w:w="100" w:type="dxa"/>
              <w:left w:w="100" w:type="dxa"/>
              <w:bottom w:w="100" w:type="dxa"/>
              <w:right w:w="100" w:type="dxa"/>
            </w:tcMar>
          </w:tcPr>
          <w:p w14:paraId="5F8123A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Francisco et al. (2025)</w:t>
            </w:r>
          </w:p>
        </w:tc>
        <w:tc>
          <w:tcPr>
            <w:tcW w:w="1605" w:type="dxa"/>
            <w:tcBorders>
              <w:top w:val="nil"/>
              <w:left w:val="nil"/>
              <w:bottom w:val="nil"/>
              <w:right w:val="nil"/>
            </w:tcBorders>
            <w:tcMar>
              <w:top w:w="100" w:type="dxa"/>
              <w:left w:w="100" w:type="dxa"/>
              <w:bottom w:w="100" w:type="dxa"/>
              <w:right w:w="100" w:type="dxa"/>
            </w:tcMar>
          </w:tcPr>
          <w:p w14:paraId="7841002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2400" w:type="dxa"/>
            <w:tcBorders>
              <w:top w:val="nil"/>
              <w:left w:val="nil"/>
              <w:bottom w:val="nil"/>
              <w:right w:val="nil"/>
            </w:tcBorders>
            <w:tcMar>
              <w:top w:w="100" w:type="dxa"/>
              <w:left w:w="100" w:type="dxa"/>
              <w:bottom w:w="100" w:type="dxa"/>
              <w:right w:w="100" w:type="dxa"/>
            </w:tcMar>
          </w:tcPr>
          <w:p w14:paraId="70AFAD2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students</w:t>
            </w:r>
          </w:p>
        </w:tc>
        <w:tc>
          <w:tcPr>
            <w:tcW w:w="2460" w:type="dxa"/>
            <w:tcBorders>
              <w:top w:val="nil"/>
              <w:left w:val="nil"/>
              <w:bottom w:val="nil"/>
              <w:right w:val="nil"/>
            </w:tcBorders>
            <w:tcMar>
              <w:top w:w="100" w:type="dxa"/>
              <w:left w:w="100" w:type="dxa"/>
              <w:bottom w:w="100" w:type="dxa"/>
              <w:right w:w="100" w:type="dxa"/>
            </w:tcMar>
          </w:tcPr>
          <w:p w14:paraId="1E91F0F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Learning styles and academic performance</w:t>
            </w:r>
          </w:p>
        </w:tc>
        <w:tc>
          <w:tcPr>
            <w:tcW w:w="2520" w:type="dxa"/>
            <w:tcBorders>
              <w:top w:val="nil"/>
              <w:left w:val="nil"/>
              <w:bottom w:val="nil"/>
              <w:right w:val="nil"/>
            </w:tcBorders>
            <w:tcMar>
              <w:top w:w="100" w:type="dxa"/>
              <w:left w:w="100" w:type="dxa"/>
              <w:bottom w:w="100" w:type="dxa"/>
              <w:right w:w="100" w:type="dxa"/>
            </w:tcMar>
          </w:tcPr>
          <w:p w14:paraId="5FD5A75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Educational approaches influenced competency acquisition and academic outcomes</w:t>
            </w:r>
          </w:p>
        </w:tc>
        <w:tc>
          <w:tcPr>
            <w:tcW w:w="2340" w:type="dxa"/>
            <w:tcBorders>
              <w:top w:val="nil"/>
              <w:left w:val="nil"/>
              <w:bottom w:val="nil"/>
              <w:right w:val="nil"/>
            </w:tcBorders>
            <w:tcMar>
              <w:top w:w="100" w:type="dxa"/>
              <w:left w:w="100" w:type="dxa"/>
              <w:bottom w:w="100" w:type="dxa"/>
              <w:right w:w="100" w:type="dxa"/>
            </w:tcMar>
          </w:tcPr>
          <w:p w14:paraId="22829C1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educational strategy relevance</w:t>
            </w:r>
          </w:p>
        </w:tc>
      </w:tr>
      <w:tr w:rsidR="00EF492E" w:rsidRPr="00EF492E" w14:paraId="475A2C82" w14:textId="77777777" w:rsidTr="00516F66">
        <w:trPr>
          <w:trHeight w:val="1058"/>
        </w:trPr>
        <w:tc>
          <w:tcPr>
            <w:tcW w:w="1830" w:type="dxa"/>
            <w:tcBorders>
              <w:top w:val="nil"/>
              <w:left w:val="nil"/>
              <w:bottom w:val="nil"/>
              <w:right w:val="nil"/>
            </w:tcBorders>
            <w:tcMar>
              <w:top w:w="100" w:type="dxa"/>
              <w:left w:w="100" w:type="dxa"/>
              <w:bottom w:w="100" w:type="dxa"/>
              <w:right w:w="100" w:type="dxa"/>
            </w:tcMar>
          </w:tcPr>
          <w:p w14:paraId="64B03AE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Cabatingan &amp; Salinas (2024)</w:t>
            </w:r>
          </w:p>
        </w:tc>
        <w:tc>
          <w:tcPr>
            <w:tcW w:w="1605" w:type="dxa"/>
            <w:tcBorders>
              <w:top w:val="nil"/>
              <w:left w:val="nil"/>
              <w:bottom w:val="nil"/>
              <w:right w:val="nil"/>
            </w:tcBorders>
            <w:tcMar>
              <w:top w:w="100" w:type="dxa"/>
              <w:left w:w="100" w:type="dxa"/>
              <w:bottom w:w="100" w:type="dxa"/>
              <w:right w:w="100" w:type="dxa"/>
            </w:tcMar>
          </w:tcPr>
          <w:p w14:paraId="57CF9D9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2400" w:type="dxa"/>
            <w:tcBorders>
              <w:top w:val="nil"/>
              <w:left w:val="nil"/>
              <w:bottom w:val="nil"/>
              <w:right w:val="nil"/>
            </w:tcBorders>
            <w:tcMar>
              <w:top w:w="100" w:type="dxa"/>
              <w:left w:w="100" w:type="dxa"/>
              <w:bottom w:w="100" w:type="dxa"/>
              <w:right w:w="100" w:type="dxa"/>
            </w:tcMar>
          </w:tcPr>
          <w:p w14:paraId="52DD40C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BSRT students in South Cotabato</w:t>
            </w:r>
          </w:p>
        </w:tc>
        <w:tc>
          <w:tcPr>
            <w:tcW w:w="2460" w:type="dxa"/>
            <w:tcBorders>
              <w:top w:val="nil"/>
              <w:left w:val="nil"/>
              <w:bottom w:val="nil"/>
              <w:right w:val="nil"/>
            </w:tcBorders>
            <w:tcMar>
              <w:top w:w="100" w:type="dxa"/>
              <w:left w:w="100" w:type="dxa"/>
              <w:bottom w:w="100" w:type="dxa"/>
              <w:right w:w="100" w:type="dxa"/>
            </w:tcMar>
          </w:tcPr>
          <w:p w14:paraId="0D0B28D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Admission tests and licensure performance</w:t>
            </w:r>
          </w:p>
        </w:tc>
        <w:tc>
          <w:tcPr>
            <w:tcW w:w="2520" w:type="dxa"/>
            <w:tcBorders>
              <w:top w:val="nil"/>
              <w:left w:val="nil"/>
              <w:bottom w:val="nil"/>
              <w:right w:val="nil"/>
            </w:tcBorders>
            <w:tcMar>
              <w:top w:w="100" w:type="dxa"/>
              <w:left w:w="100" w:type="dxa"/>
              <w:bottom w:w="100" w:type="dxa"/>
              <w:right w:w="100" w:type="dxa"/>
            </w:tcMar>
          </w:tcPr>
          <w:p w14:paraId="0029FD4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Weak correlations between admission scores and licensure outcomes identified</w:t>
            </w:r>
          </w:p>
        </w:tc>
        <w:tc>
          <w:tcPr>
            <w:tcW w:w="2340" w:type="dxa"/>
            <w:tcBorders>
              <w:top w:val="nil"/>
              <w:left w:val="nil"/>
              <w:bottom w:val="nil"/>
              <w:right w:val="nil"/>
            </w:tcBorders>
            <w:tcMar>
              <w:top w:w="100" w:type="dxa"/>
              <w:left w:w="100" w:type="dxa"/>
              <w:bottom w:w="100" w:type="dxa"/>
              <w:right w:w="100" w:type="dxa"/>
            </w:tcMar>
          </w:tcPr>
          <w:p w14:paraId="65E6190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Indicates multiple factors affect licensure success</w:t>
            </w:r>
          </w:p>
        </w:tc>
      </w:tr>
      <w:tr w:rsidR="00EF492E" w:rsidRPr="00EF492E" w14:paraId="6E7A2769" w14:textId="77777777" w:rsidTr="00516F66">
        <w:trPr>
          <w:trHeight w:val="495"/>
        </w:trPr>
        <w:tc>
          <w:tcPr>
            <w:tcW w:w="1830" w:type="dxa"/>
            <w:tcBorders>
              <w:top w:val="nil"/>
              <w:left w:val="nil"/>
              <w:bottom w:val="nil"/>
              <w:right w:val="nil"/>
            </w:tcBorders>
            <w:tcMar>
              <w:top w:w="100" w:type="dxa"/>
              <w:left w:w="100" w:type="dxa"/>
              <w:bottom w:w="100" w:type="dxa"/>
              <w:right w:w="100" w:type="dxa"/>
            </w:tcMar>
          </w:tcPr>
          <w:p w14:paraId="696A43B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Vidal et al. (2016)</w:t>
            </w:r>
          </w:p>
        </w:tc>
        <w:tc>
          <w:tcPr>
            <w:tcW w:w="1605" w:type="dxa"/>
            <w:tcBorders>
              <w:top w:val="nil"/>
              <w:left w:val="nil"/>
              <w:bottom w:val="nil"/>
              <w:right w:val="nil"/>
            </w:tcBorders>
            <w:tcMar>
              <w:top w:w="100" w:type="dxa"/>
              <w:left w:w="100" w:type="dxa"/>
              <w:bottom w:w="100" w:type="dxa"/>
              <w:right w:w="100" w:type="dxa"/>
            </w:tcMar>
          </w:tcPr>
          <w:p w14:paraId="2CB521D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evaluation study</w:t>
            </w:r>
          </w:p>
        </w:tc>
        <w:tc>
          <w:tcPr>
            <w:tcW w:w="2400" w:type="dxa"/>
            <w:tcBorders>
              <w:top w:val="nil"/>
              <w:left w:val="nil"/>
              <w:bottom w:val="nil"/>
              <w:right w:val="nil"/>
            </w:tcBorders>
            <w:tcMar>
              <w:top w:w="100" w:type="dxa"/>
              <w:left w:w="100" w:type="dxa"/>
              <w:bottom w:w="100" w:type="dxa"/>
              <w:right w:w="100" w:type="dxa"/>
            </w:tcMar>
          </w:tcPr>
          <w:p w14:paraId="3BE11FA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faculty members</w:t>
            </w:r>
          </w:p>
        </w:tc>
        <w:tc>
          <w:tcPr>
            <w:tcW w:w="2460" w:type="dxa"/>
            <w:tcBorders>
              <w:top w:val="nil"/>
              <w:left w:val="nil"/>
              <w:bottom w:val="nil"/>
              <w:right w:val="nil"/>
            </w:tcBorders>
            <w:tcMar>
              <w:top w:w="100" w:type="dxa"/>
              <w:left w:w="100" w:type="dxa"/>
              <w:bottom w:w="100" w:type="dxa"/>
              <w:right w:w="100" w:type="dxa"/>
            </w:tcMar>
          </w:tcPr>
          <w:p w14:paraId="468954D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Teaching performance</w:t>
            </w:r>
          </w:p>
        </w:tc>
        <w:tc>
          <w:tcPr>
            <w:tcW w:w="2520" w:type="dxa"/>
            <w:tcBorders>
              <w:top w:val="nil"/>
              <w:left w:val="nil"/>
              <w:bottom w:val="nil"/>
              <w:right w:val="nil"/>
            </w:tcBorders>
            <w:tcMar>
              <w:top w:w="100" w:type="dxa"/>
              <w:left w:w="100" w:type="dxa"/>
              <w:bottom w:w="100" w:type="dxa"/>
              <w:right w:w="100" w:type="dxa"/>
            </w:tcMar>
          </w:tcPr>
          <w:p w14:paraId="1D8894E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Faculty performance positively evaluated by students</w:t>
            </w:r>
          </w:p>
        </w:tc>
        <w:tc>
          <w:tcPr>
            <w:tcW w:w="2340" w:type="dxa"/>
            <w:tcBorders>
              <w:top w:val="nil"/>
              <w:left w:val="nil"/>
              <w:bottom w:val="nil"/>
              <w:right w:val="nil"/>
            </w:tcBorders>
            <w:tcMar>
              <w:top w:w="100" w:type="dxa"/>
              <w:left w:w="100" w:type="dxa"/>
              <w:bottom w:w="100" w:type="dxa"/>
              <w:right w:w="100" w:type="dxa"/>
            </w:tcMar>
          </w:tcPr>
          <w:p w14:paraId="1BC4F86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instructional effectiveness</w:t>
            </w:r>
          </w:p>
        </w:tc>
      </w:tr>
      <w:tr w:rsidR="00EF492E" w:rsidRPr="00EF492E" w14:paraId="16849300" w14:textId="77777777" w:rsidTr="00516F66">
        <w:trPr>
          <w:trHeight w:val="1005"/>
        </w:trPr>
        <w:tc>
          <w:tcPr>
            <w:tcW w:w="1830" w:type="dxa"/>
            <w:tcBorders>
              <w:top w:val="nil"/>
              <w:left w:val="nil"/>
              <w:bottom w:val="nil"/>
              <w:right w:val="nil"/>
            </w:tcBorders>
            <w:tcMar>
              <w:top w:w="100" w:type="dxa"/>
              <w:left w:w="100" w:type="dxa"/>
              <w:bottom w:w="100" w:type="dxa"/>
              <w:right w:w="100" w:type="dxa"/>
            </w:tcMar>
          </w:tcPr>
          <w:p w14:paraId="5F46D67D"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Perong</w:t>
            </w:r>
            <w:proofErr w:type="spellEnd"/>
            <w:r w:rsidRPr="00EF492E">
              <w:rPr>
                <w:rFonts w:ascii="Times New Roman" w:eastAsia="Times New Roman" w:hAnsi="Times New Roman" w:cs="Times New Roman"/>
                <w:sz w:val="24"/>
                <w:szCs w:val="24"/>
              </w:rPr>
              <w:t xml:space="preserve"> &amp; </w:t>
            </w:r>
            <w:proofErr w:type="spellStart"/>
            <w:r w:rsidRPr="00EF492E">
              <w:rPr>
                <w:rFonts w:ascii="Times New Roman" w:eastAsia="Times New Roman" w:hAnsi="Times New Roman" w:cs="Times New Roman"/>
                <w:sz w:val="24"/>
                <w:szCs w:val="24"/>
              </w:rPr>
              <w:t>Dumpac</w:t>
            </w:r>
            <w:proofErr w:type="spellEnd"/>
            <w:r w:rsidRPr="00EF492E">
              <w:rPr>
                <w:rFonts w:ascii="Times New Roman" w:eastAsia="Times New Roman" w:hAnsi="Times New Roman" w:cs="Times New Roman"/>
                <w:sz w:val="24"/>
                <w:szCs w:val="24"/>
              </w:rPr>
              <w:t xml:space="preserve"> (2023)</w:t>
            </w:r>
          </w:p>
        </w:tc>
        <w:tc>
          <w:tcPr>
            <w:tcW w:w="1605" w:type="dxa"/>
            <w:tcBorders>
              <w:top w:val="nil"/>
              <w:left w:val="nil"/>
              <w:bottom w:val="nil"/>
              <w:right w:val="nil"/>
            </w:tcBorders>
            <w:tcMar>
              <w:top w:w="100" w:type="dxa"/>
              <w:left w:w="100" w:type="dxa"/>
              <w:bottom w:w="100" w:type="dxa"/>
              <w:right w:w="100" w:type="dxa"/>
            </w:tcMar>
          </w:tcPr>
          <w:p w14:paraId="3B9F504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2400" w:type="dxa"/>
            <w:tcBorders>
              <w:top w:val="nil"/>
              <w:left w:val="nil"/>
              <w:bottom w:val="nil"/>
              <w:right w:val="nil"/>
            </w:tcBorders>
            <w:tcMar>
              <w:top w:w="100" w:type="dxa"/>
              <w:left w:w="100" w:type="dxa"/>
              <w:bottom w:w="100" w:type="dxa"/>
              <w:right w:w="100" w:type="dxa"/>
            </w:tcMar>
          </w:tcPr>
          <w:p w14:paraId="69D6951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 graduates, Universidad de Zamboanga</w:t>
            </w:r>
          </w:p>
        </w:tc>
        <w:tc>
          <w:tcPr>
            <w:tcW w:w="2460" w:type="dxa"/>
            <w:tcBorders>
              <w:top w:val="nil"/>
              <w:left w:val="nil"/>
              <w:bottom w:val="nil"/>
              <w:right w:val="nil"/>
            </w:tcBorders>
            <w:tcMar>
              <w:top w:w="100" w:type="dxa"/>
              <w:left w:w="100" w:type="dxa"/>
              <w:bottom w:w="100" w:type="dxa"/>
              <w:right w:w="100" w:type="dxa"/>
            </w:tcMar>
          </w:tcPr>
          <w:p w14:paraId="68229E7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status</w:t>
            </w:r>
          </w:p>
        </w:tc>
        <w:tc>
          <w:tcPr>
            <w:tcW w:w="2520" w:type="dxa"/>
            <w:tcBorders>
              <w:top w:val="nil"/>
              <w:left w:val="nil"/>
              <w:bottom w:val="nil"/>
              <w:right w:val="nil"/>
            </w:tcBorders>
            <w:tcMar>
              <w:top w:w="100" w:type="dxa"/>
              <w:left w:w="100" w:type="dxa"/>
              <w:bottom w:w="100" w:type="dxa"/>
              <w:right w:w="100" w:type="dxa"/>
            </w:tcMar>
          </w:tcPr>
          <w:p w14:paraId="132753B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Majority of graduates employed in healthcare-related positions</w:t>
            </w:r>
          </w:p>
        </w:tc>
        <w:tc>
          <w:tcPr>
            <w:tcW w:w="2340" w:type="dxa"/>
            <w:tcBorders>
              <w:top w:val="nil"/>
              <w:left w:val="nil"/>
              <w:bottom w:val="nil"/>
              <w:right w:val="nil"/>
            </w:tcBorders>
            <w:tcMar>
              <w:top w:w="100" w:type="dxa"/>
              <w:left w:w="100" w:type="dxa"/>
              <w:bottom w:w="100" w:type="dxa"/>
              <w:right w:w="100" w:type="dxa"/>
            </w:tcMar>
          </w:tcPr>
          <w:p w14:paraId="66C45F3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employability outcomes</w:t>
            </w:r>
          </w:p>
        </w:tc>
      </w:tr>
      <w:tr w:rsidR="00EF492E" w:rsidRPr="00EF492E" w14:paraId="16135063" w14:textId="77777777" w:rsidTr="00516F66">
        <w:trPr>
          <w:trHeight w:val="1199"/>
        </w:trPr>
        <w:tc>
          <w:tcPr>
            <w:tcW w:w="1830" w:type="dxa"/>
            <w:tcBorders>
              <w:top w:val="nil"/>
              <w:left w:val="nil"/>
              <w:bottom w:val="nil"/>
              <w:right w:val="nil"/>
            </w:tcBorders>
            <w:tcMar>
              <w:top w:w="100" w:type="dxa"/>
              <w:left w:w="100" w:type="dxa"/>
              <w:bottom w:w="100" w:type="dxa"/>
              <w:right w:w="100" w:type="dxa"/>
            </w:tcMar>
          </w:tcPr>
          <w:p w14:paraId="7708235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Coronica &amp; Prado (2025)</w:t>
            </w:r>
          </w:p>
        </w:tc>
        <w:tc>
          <w:tcPr>
            <w:tcW w:w="1605" w:type="dxa"/>
            <w:tcBorders>
              <w:top w:val="nil"/>
              <w:left w:val="nil"/>
              <w:bottom w:val="nil"/>
              <w:right w:val="nil"/>
            </w:tcBorders>
            <w:tcMar>
              <w:top w:w="100" w:type="dxa"/>
              <w:left w:w="100" w:type="dxa"/>
              <w:bottom w:w="100" w:type="dxa"/>
              <w:right w:w="100" w:type="dxa"/>
            </w:tcMar>
          </w:tcPr>
          <w:p w14:paraId="0E3FBCB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Factorial analysis</w:t>
            </w:r>
          </w:p>
        </w:tc>
        <w:tc>
          <w:tcPr>
            <w:tcW w:w="2400" w:type="dxa"/>
            <w:tcBorders>
              <w:top w:val="nil"/>
              <w:left w:val="nil"/>
              <w:bottom w:val="nil"/>
              <w:right w:val="nil"/>
            </w:tcBorders>
            <w:tcMar>
              <w:top w:w="100" w:type="dxa"/>
              <w:left w:w="100" w:type="dxa"/>
              <w:bottom w:w="100" w:type="dxa"/>
              <w:right w:w="100" w:type="dxa"/>
            </w:tcMar>
          </w:tcPr>
          <w:p w14:paraId="3E3837C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RTs in Davao Region</w:t>
            </w:r>
          </w:p>
        </w:tc>
        <w:tc>
          <w:tcPr>
            <w:tcW w:w="2460" w:type="dxa"/>
            <w:tcBorders>
              <w:top w:val="nil"/>
              <w:left w:val="nil"/>
              <w:bottom w:val="nil"/>
              <w:right w:val="nil"/>
            </w:tcBorders>
            <w:tcMar>
              <w:top w:w="100" w:type="dxa"/>
              <w:left w:w="100" w:type="dxa"/>
              <w:bottom w:w="100" w:type="dxa"/>
              <w:right w:w="100" w:type="dxa"/>
            </w:tcMar>
          </w:tcPr>
          <w:p w14:paraId="0DC007E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Managerial readiness</w:t>
            </w:r>
          </w:p>
        </w:tc>
        <w:tc>
          <w:tcPr>
            <w:tcW w:w="2520" w:type="dxa"/>
            <w:tcBorders>
              <w:top w:val="nil"/>
              <w:left w:val="nil"/>
              <w:bottom w:val="nil"/>
              <w:right w:val="nil"/>
            </w:tcBorders>
            <w:tcMar>
              <w:top w:w="100" w:type="dxa"/>
              <w:left w:w="100" w:type="dxa"/>
              <w:bottom w:w="100" w:type="dxa"/>
              <w:right w:w="100" w:type="dxa"/>
            </w:tcMar>
          </w:tcPr>
          <w:p w14:paraId="1AFC47D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Leadership and managerial competencies identified as important professional skills</w:t>
            </w:r>
          </w:p>
        </w:tc>
        <w:tc>
          <w:tcPr>
            <w:tcW w:w="2340" w:type="dxa"/>
            <w:tcBorders>
              <w:top w:val="nil"/>
              <w:left w:val="nil"/>
              <w:bottom w:val="nil"/>
              <w:right w:val="nil"/>
            </w:tcBorders>
            <w:tcMar>
              <w:top w:w="100" w:type="dxa"/>
              <w:left w:w="100" w:type="dxa"/>
              <w:bottom w:w="100" w:type="dxa"/>
              <w:right w:w="100" w:type="dxa"/>
            </w:tcMar>
          </w:tcPr>
          <w:p w14:paraId="5B5CE6E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leadership development needs</w:t>
            </w:r>
          </w:p>
        </w:tc>
      </w:tr>
      <w:tr w:rsidR="00EF492E" w:rsidRPr="00EF492E" w14:paraId="0AE4231A" w14:textId="77777777" w:rsidTr="00516F66">
        <w:trPr>
          <w:trHeight w:val="930"/>
        </w:trPr>
        <w:tc>
          <w:tcPr>
            <w:tcW w:w="1830" w:type="dxa"/>
            <w:tcBorders>
              <w:top w:val="nil"/>
              <w:left w:val="nil"/>
              <w:bottom w:val="nil"/>
              <w:right w:val="nil"/>
            </w:tcBorders>
            <w:tcMar>
              <w:top w:w="100" w:type="dxa"/>
              <w:left w:w="100" w:type="dxa"/>
              <w:bottom w:w="100" w:type="dxa"/>
              <w:right w:w="100" w:type="dxa"/>
            </w:tcMar>
          </w:tcPr>
          <w:p w14:paraId="7DFFB45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lastRenderedPageBreak/>
              <w:t>Leadbeatter</w:t>
            </w:r>
            <w:proofErr w:type="spellEnd"/>
            <w:r w:rsidRPr="00EF492E">
              <w:rPr>
                <w:rFonts w:ascii="Times New Roman" w:eastAsia="Times New Roman" w:hAnsi="Times New Roman" w:cs="Times New Roman"/>
                <w:sz w:val="24"/>
                <w:szCs w:val="24"/>
              </w:rPr>
              <w:t xml:space="preserve"> et al. (2023)</w:t>
            </w:r>
          </w:p>
        </w:tc>
        <w:tc>
          <w:tcPr>
            <w:tcW w:w="1605" w:type="dxa"/>
            <w:tcBorders>
              <w:top w:val="nil"/>
              <w:left w:val="nil"/>
              <w:bottom w:val="nil"/>
              <w:right w:val="nil"/>
            </w:tcBorders>
            <w:tcMar>
              <w:top w:w="100" w:type="dxa"/>
              <w:left w:w="100" w:type="dxa"/>
              <w:bottom w:w="100" w:type="dxa"/>
              <w:right w:w="100" w:type="dxa"/>
            </w:tcMar>
          </w:tcPr>
          <w:p w14:paraId="55B6474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Scoping review</w:t>
            </w:r>
          </w:p>
        </w:tc>
        <w:tc>
          <w:tcPr>
            <w:tcW w:w="2400" w:type="dxa"/>
            <w:tcBorders>
              <w:top w:val="nil"/>
              <w:left w:val="nil"/>
              <w:bottom w:val="nil"/>
              <w:right w:val="nil"/>
            </w:tcBorders>
            <w:tcMar>
              <w:top w:w="100" w:type="dxa"/>
              <w:left w:w="100" w:type="dxa"/>
              <w:bottom w:w="100" w:type="dxa"/>
              <w:right w:w="100" w:type="dxa"/>
            </w:tcMar>
          </w:tcPr>
          <w:p w14:paraId="4CD9F26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Health professional education</w:t>
            </w:r>
          </w:p>
        </w:tc>
        <w:tc>
          <w:tcPr>
            <w:tcW w:w="2460" w:type="dxa"/>
            <w:tcBorders>
              <w:top w:val="nil"/>
              <w:left w:val="nil"/>
              <w:bottom w:val="nil"/>
              <w:right w:val="nil"/>
            </w:tcBorders>
            <w:tcMar>
              <w:top w:w="100" w:type="dxa"/>
              <w:left w:w="100" w:type="dxa"/>
              <w:bottom w:w="100" w:type="dxa"/>
              <w:right w:w="100" w:type="dxa"/>
            </w:tcMar>
          </w:tcPr>
          <w:p w14:paraId="6035DB7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concepts</w:t>
            </w:r>
          </w:p>
        </w:tc>
        <w:tc>
          <w:tcPr>
            <w:tcW w:w="2520" w:type="dxa"/>
            <w:tcBorders>
              <w:top w:val="nil"/>
              <w:left w:val="nil"/>
              <w:bottom w:val="nil"/>
              <w:right w:val="nil"/>
            </w:tcBorders>
            <w:tcMar>
              <w:top w:w="100" w:type="dxa"/>
              <w:left w:w="100" w:type="dxa"/>
              <w:bottom w:w="100" w:type="dxa"/>
              <w:right w:w="100" w:type="dxa"/>
            </w:tcMar>
          </w:tcPr>
          <w:p w14:paraId="0D317A5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includes adaptability, readiness, and sustained workforce mobility</w:t>
            </w:r>
          </w:p>
        </w:tc>
        <w:tc>
          <w:tcPr>
            <w:tcW w:w="2340" w:type="dxa"/>
            <w:tcBorders>
              <w:top w:val="nil"/>
              <w:left w:val="nil"/>
              <w:bottom w:val="nil"/>
              <w:right w:val="nil"/>
            </w:tcBorders>
            <w:tcMar>
              <w:top w:w="100" w:type="dxa"/>
              <w:left w:w="100" w:type="dxa"/>
              <w:bottom w:w="100" w:type="dxa"/>
              <w:right w:w="100" w:type="dxa"/>
            </w:tcMar>
          </w:tcPr>
          <w:p w14:paraId="3E2E223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Provides conceptual framework for employability</w:t>
            </w:r>
          </w:p>
        </w:tc>
      </w:tr>
      <w:tr w:rsidR="00EF492E" w:rsidRPr="00EF492E" w14:paraId="79AA557F" w14:textId="77777777" w:rsidTr="00516F66">
        <w:trPr>
          <w:trHeight w:val="1005"/>
        </w:trPr>
        <w:tc>
          <w:tcPr>
            <w:tcW w:w="1830" w:type="dxa"/>
            <w:tcBorders>
              <w:top w:val="nil"/>
              <w:left w:val="nil"/>
              <w:bottom w:val="nil"/>
              <w:right w:val="nil"/>
            </w:tcBorders>
            <w:tcMar>
              <w:top w:w="100" w:type="dxa"/>
              <w:left w:w="100" w:type="dxa"/>
              <w:bottom w:w="100" w:type="dxa"/>
              <w:right w:w="100" w:type="dxa"/>
            </w:tcMar>
          </w:tcPr>
          <w:p w14:paraId="6D2364F9"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Ortiga</w:t>
            </w:r>
            <w:proofErr w:type="spellEnd"/>
            <w:r w:rsidRPr="00EF492E">
              <w:rPr>
                <w:rFonts w:ascii="Times New Roman" w:eastAsia="Times New Roman" w:hAnsi="Times New Roman" w:cs="Times New Roman"/>
                <w:sz w:val="24"/>
                <w:szCs w:val="24"/>
              </w:rPr>
              <w:t xml:space="preserve"> (2018)</w:t>
            </w:r>
          </w:p>
        </w:tc>
        <w:tc>
          <w:tcPr>
            <w:tcW w:w="1605" w:type="dxa"/>
            <w:tcBorders>
              <w:top w:val="nil"/>
              <w:left w:val="nil"/>
              <w:bottom w:val="nil"/>
              <w:right w:val="nil"/>
            </w:tcBorders>
            <w:tcMar>
              <w:top w:w="100" w:type="dxa"/>
              <w:left w:w="100" w:type="dxa"/>
              <w:bottom w:w="100" w:type="dxa"/>
              <w:right w:w="100" w:type="dxa"/>
            </w:tcMar>
          </w:tcPr>
          <w:p w14:paraId="01E59E1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Policy and sociological analysis</w:t>
            </w:r>
          </w:p>
        </w:tc>
        <w:tc>
          <w:tcPr>
            <w:tcW w:w="2400" w:type="dxa"/>
            <w:tcBorders>
              <w:top w:val="nil"/>
              <w:left w:val="nil"/>
              <w:bottom w:val="nil"/>
              <w:right w:val="nil"/>
            </w:tcBorders>
            <w:tcMar>
              <w:top w:w="100" w:type="dxa"/>
              <w:left w:w="100" w:type="dxa"/>
              <w:bottom w:w="100" w:type="dxa"/>
              <w:right w:w="100" w:type="dxa"/>
            </w:tcMar>
          </w:tcPr>
          <w:p w14:paraId="60EDC48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higher education and migration</w:t>
            </w:r>
          </w:p>
        </w:tc>
        <w:tc>
          <w:tcPr>
            <w:tcW w:w="2460" w:type="dxa"/>
            <w:tcBorders>
              <w:top w:val="nil"/>
              <w:left w:val="nil"/>
              <w:bottom w:val="nil"/>
              <w:right w:val="nil"/>
            </w:tcBorders>
            <w:tcMar>
              <w:top w:w="100" w:type="dxa"/>
              <w:left w:w="100" w:type="dxa"/>
              <w:bottom w:w="100" w:type="dxa"/>
              <w:right w:w="100" w:type="dxa"/>
            </w:tcMar>
          </w:tcPr>
          <w:p w14:paraId="1C99141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and emigration</w:t>
            </w:r>
          </w:p>
        </w:tc>
        <w:tc>
          <w:tcPr>
            <w:tcW w:w="2520" w:type="dxa"/>
            <w:tcBorders>
              <w:top w:val="nil"/>
              <w:left w:val="nil"/>
              <w:bottom w:val="nil"/>
              <w:right w:val="nil"/>
            </w:tcBorders>
            <w:tcMar>
              <w:top w:w="100" w:type="dxa"/>
              <w:left w:w="100" w:type="dxa"/>
              <w:bottom w:w="100" w:type="dxa"/>
              <w:right w:w="100" w:type="dxa"/>
            </w:tcMar>
          </w:tcPr>
          <w:p w14:paraId="37A369F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education aligned with overseas labor demands</w:t>
            </w:r>
          </w:p>
        </w:tc>
        <w:tc>
          <w:tcPr>
            <w:tcW w:w="2340" w:type="dxa"/>
            <w:tcBorders>
              <w:top w:val="nil"/>
              <w:left w:val="nil"/>
              <w:bottom w:val="nil"/>
              <w:right w:val="nil"/>
            </w:tcBorders>
            <w:tcMar>
              <w:top w:w="100" w:type="dxa"/>
              <w:left w:w="100" w:type="dxa"/>
              <w:bottom w:w="100" w:type="dxa"/>
              <w:right w:w="100" w:type="dxa"/>
            </w:tcMar>
          </w:tcPr>
          <w:p w14:paraId="13247BB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migration and employability context</w:t>
            </w:r>
          </w:p>
        </w:tc>
      </w:tr>
      <w:tr w:rsidR="00EF492E" w:rsidRPr="00EF492E" w14:paraId="407AD0CD" w14:textId="77777777" w:rsidTr="00516F66">
        <w:trPr>
          <w:trHeight w:val="878"/>
        </w:trPr>
        <w:tc>
          <w:tcPr>
            <w:tcW w:w="1830" w:type="dxa"/>
            <w:tcBorders>
              <w:top w:val="nil"/>
              <w:left w:val="nil"/>
              <w:bottom w:val="nil"/>
              <w:right w:val="nil"/>
            </w:tcBorders>
            <w:tcMar>
              <w:top w:w="100" w:type="dxa"/>
              <w:left w:w="100" w:type="dxa"/>
              <w:bottom w:w="100" w:type="dxa"/>
              <w:right w:w="100" w:type="dxa"/>
            </w:tcMar>
          </w:tcPr>
          <w:p w14:paraId="169ED05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Maca (2019)</w:t>
            </w:r>
          </w:p>
        </w:tc>
        <w:tc>
          <w:tcPr>
            <w:tcW w:w="1605" w:type="dxa"/>
            <w:tcBorders>
              <w:top w:val="nil"/>
              <w:left w:val="nil"/>
              <w:bottom w:val="nil"/>
              <w:right w:val="nil"/>
            </w:tcBorders>
            <w:tcMar>
              <w:top w:w="100" w:type="dxa"/>
              <w:left w:w="100" w:type="dxa"/>
              <w:bottom w:w="100" w:type="dxa"/>
              <w:right w:w="100" w:type="dxa"/>
            </w:tcMar>
          </w:tcPr>
          <w:p w14:paraId="65AA6B8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Commentary/review</w:t>
            </w:r>
          </w:p>
        </w:tc>
        <w:tc>
          <w:tcPr>
            <w:tcW w:w="2400" w:type="dxa"/>
            <w:tcBorders>
              <w:top w:val="nil"/>
              <w:left w:val="nil"/>
              <w:bottom w:val="nil"/>
              <w:right w:val="nil"/>
            </w:tcBorders>
            <w:tcMar>
              <w:top w:w="100" w:type="dxa"/>
              <w:left w:w="100" w:type="dxa"/>
              <w:bottom w:w="100" w:type="dxa"/>
              <w:right w:w="100" w:type="dxa"/>
            </w:tcMar>
          </w:tcPr>
          <w:p w14:paraId="55ECB59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Filipino healthcare workforce</w:t>
            </w:r>
          </w:p>
        </w:tc>
        <w:tc>
          <w:tcPr>
            <w:tcW w:w="2460" w:type="dxa"/>
            <w:tcBorders>
              <w:top w:val="nil"/>
              <w:left w:val="nil"/>
              <w:bottom w:val="nil"/>
              <w:right w:val="nil"/>
            </w:tcBorders>
            <w:tcMar>
              <w:top w:w="100" w:type="dxa"/>
              <w:left w:w="100" w:type="dxa"/>
              <w:bottom w:w="100" w:type="dxa"/>
              <w:right w:w="100" w:type="dxa"/>
            </w:tcMar>
          </w:tcPr>
          <w:p w14:paraId="74FE887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Emigration and employability</w:t>
            </w:r>
          </w:p>
        </w:tc>
        <w:tc>
          <w:tcPr>
            <w:tcW w:w="2520" w:type="dxa"/>
            <w:tcBorders>
              <w:top w:val="nil"/>
              <w:left w:val="nil"/>
              <w:bottom w:val="nil"/>
              <w:right w:val="nil"/>
            </w:tcBorders>
            <w:tcMar>
              <w:top w:w="100" w:type="dxa"/>
              <w:left w:w="100" w:type="dxa"/>
              <w:bottom w:w="100" w:type="dxa"/>
              <w:right w:w="100" w:type="dxa"/>
            </w:tcMar>
          </w:tcPr>
          <w:p w14:paraId="63C622A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Migration linked with global competitiveness and workforce exportation</w:t>
            </w:r>
          </w:p>
        </w:tc>
        <w:tc>
          <w:tcPr>
            <w:tcW w:w="2340" w:type="dxa"/>
            <w:tcBorders>
              <w:top w:val="nil"/>
              <w:left w:val="nil"/>
              <w:bottom w:val="nil"/>
              <w:right w:val="nil"/>
            </w:tcBorders>
            <w:tcMar>
              <w:top w:w="100" w:type="dxa"/>
              <w:left w:w="100" w:type="dxa"/>
              <w:bottom w:w="100" w:type="dxa"/>
              <w:right w:w="100" w:type="dxa"/>
            </w:tcMar>
          </w:tcPr>
          <w:p w14:paraId="432D6B5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Contextualizes global RT employability</w:t>
            </w:r>
          </w:p>
        </w:tc>
      </w:tr>
      <w:tr w:rsidR="00EF492E" w:rsidRPr="00EF492E" w14:paraId="3AEB3207" w14:textId="77777777" w:rsidTr="00516F66">
        <w:trPr>
          <w:trHeight w:val="206"/>
        </w:trPr>
        <w:tc>
          <w:tcPr>
            <w:tcW w:w="1830" w:type="dxa"/>
            <w:tcBorders>
              <w:top w:val="nil"/>
              <w:left w:val="nil"/>
              <w:bottom w:val="nil"/>
              <w:right w:val="nil"/>
            </w:tcBorders>
            <w:tcMar>
              <w:top w:w="100" w:type="dxa"/>
              <w:left w:w="100" w:type="dxa"/>
              <w:bottom w:w="100" w:type="dxa"/>
              <w:right w:w="100" w:type="dxa"/>
            </w:tcMar>
          </w:tcPr>
          <w:p w14:paraId="42A9222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Finch (2013)</w:t>
            </w:r>
          </w:p>
        </w:tc>
        <w:tc>
          <w:tcPr>
            <w:tcW w:w="1605" w:type="dxa"/>
            <w:tcBorders>
              <w:top w:val="nil"/>
              <w:left w:val="nil"/>
              <w:bottom w:val="nil"/>
              <w:right w:val="nil"/>
            </w:tcBorders>
            <w:tcMar>
              <w:top w:w="100" w:type="dxa"/>
              <w:left w:w="100" w:type="dxa"/>
              <w:bottom w:w="100" w:type="dxa"/>
              <w:right w:w="100" w:type="dxa"/>
            </w:tcMar>
          </w:tcPr>
          <w:p w14:paraId="6D9068F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Commentary</w:t>
            </w:r>
          </w:p>
        </w:tc>
        <w:tc>
          <w:tcPr>
            <w:tcW w:w="2400" w:type="dxa"/>
            <w:tcBorders>
              <w:top w:val="nil"/>
              <w:left w:val="nil"/>
              <w:bottom w:val="nil"/>
              <w:right w:val="nil"/>
            </w:tcBorders>
            <w:tcMar>
              <w:top w:w="100" w:type="dxa"/>
              <w:left w:w="100" w:type="dxa"/>
              <w:bottom w:w="100" w:type="dxa"/>
              <w:right w:w="100" w:type="dxa"/>
            </w:tcMar>
          </w:tcPr>
          <w:p w14:paraId="5818B9E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healthcare workforce</w:t>
            </w:r>
          </w:p>
        </w:tc>
        <w:tc>
          <w:tcPr>
            <w:tcW w:w="2460" w:type="dxa"/>
            <w:tcBorders>
              <w:top w:val="nil"/>
              <w:left w:val="nil"/>
              <w:bottom w:val="nil"/>
              <w:right w:val="nil"/>
            </w:tcBorders>
            <w:tcMar>
              <w:top w:w="100" w:type="dxa"/>
              <w:left w:w="100" w:type="dxa"/>
              <w:bottom w:w="100" w:type="dxa"/>
              <w:right w:w="100" w:type="dxa"/>
            </w:tcMar>
          </w:tcPr>
          <w:p w14:paraId="47A0C6D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Brain </w:t>
            </w:r>
            <w:proofErr w:type="gramStart"/>
            <w:r w:rsidRPr="00EF492E">
              <w:rPr>
                <w:rFonts w:ascii="Times New Roman" w:eastAsia="Times New Roman" w:hAnsi="Times New Roman" w:cs="Times New Roman"/>
                <w:sz w:val="24"/>
                <w:szCs w:val="24"/>
              </w:rPr>
              <w:t>drain</w:t>
            </w:r>
            <w:proofErr w:type="gramEnd"/>
          </w:p>
        </w:tc>
        <w:tc>
          <w:tcPr>
            <w:tcW w:w="2520" w:type="dxa"/>
            <w:tcBorders>
              <w:top w:val="nil"/>
              <w:left w:val="nil"/>
              <w:bottom w:val="nil"/>
              <w:right w:val="nil"/>
            </w:tcBorders>
            <w:tcMar>
              <w:top w:w="100" w:type="dxa"/>
              <w:left w:w="100" w:type="dxa"/>
              <w:bottom w:w="100" w:type="dxa"/>
              <w:right w:w="100" w:type="dxa"/>
            </w:tcMar>
          </w:tcPr>
          <w:p w14:paraId="7DF8B32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Migration contributes to workforce shortages</w:t>
            </w:r>
          </w:p>
        </w:tc>
        <w:tc>
          <w:tcPr>
            <w:tcW w:w="2340" w:type="dxa"/>
            <w:tcBorders>
              <w:top w:val="nil"/>
              <w:left w:val="nil"/>
              <w:bottom w:val="nil"/>
              <w:right w:val="nil"/>
            </w:tcBorders>
            <w:tcMar>
              <w:top w:w="100" w:type="dxa"/>
              <w:left w:w="100" w:type="dxa"/>
              <w:bottom w:w="100" w:type="dxa"/>
              <w:right w:w="100" w:type="dxa"/>
            </w:tcMar>
          </w:tcPr>
          <w:p w14:paraId="48FD5D2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Highlights retention concerns</w:t>
            </w:r>
          </w:p>
        </w:tc>
      </w:tr>
      <w:tr w:rsidR="00EF492E" w:rsidRPr="00EF492E" w14:paraId="1E33CED7" w14:textId="77777777" w:rsidTr="00516F66">
        <w:trPr>
          <w:trHeight w:val="767"/>
        </w:trPr>
        <w:tc>
          <w:tcPr>
            <w:tcW w:w="1830" w:type="dxa"/>
            <w:tcBorders>
              <w:top w:val="nil"/>
              <w:left w:val="nil"/>
              <w:bottom w:val="nil"/>
              <w:right w:val="nil"/>
            </w:tcBorders>
            <w:tcMar>
              <w:top w:w="100" w:type="dxa"/>
              <w:left w:w="100" w:type="dxa"/>
              <w:bottom w:w="100" w:type="dxa"/>
              <w:right w:w="100" w:type="dxa"/>
            </w:tcMar>
          </w:tcPr>
          <w:p w14:paraId="6BEB0B5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UNESCO (2023)</w:t>
            </w:r>
          </w:p>
        </w:tc>
        <w:tc>
          <w:tcPr>
            <w:tcW w:w="1605" w:type="dxa"/>
            <w:tcBorders>
              <w:top w:val="nil"/>
              <w:left w:val="nil"/>
              <w:bottom w:val="nil"/>
              <w:right w:val="nil"/>
            </w:tcBorders>
            <w:tcMar>
              <w:top w:w="100" w:type="dxa"/>
              <w:left w:w="100" w:type="dxa"/>
              <w:bottom w:w="100" w:type="dxa"/>
              <w:right w:w="100" w:type="dxa"/>
            </w:tcMar>
          </w:tcPr>
          <w:p w14:paraId="331FB9F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International policy report</w:t>
            </w:r>
          </w:p>
        </w:tc>
        <w:tc>
          <w:tcPr>
            <w:tcW w:w="2400" w:type="dxa"/>
            <w:tcBorders>
              <w:top w:val="nil"/>
              <w:left w:val="nil"/>
              <w:bottom w:val="nil"/>
              <w:right w:val="nil"/>
            </w:tcBorders>
            <w:tcMar>
              <w:top w:w="100" w:type="dxa"/>
              <w:left w:w="100" w:type="dxa"/>
              <w:bottom w:w="100" w:type="dxa"/>
              <w:right w:w="100" w:type="dxa"/>
            </w:tcMar>
          </w:tcPr>
          <w:p w14:paraId="632D0D3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Global workforce mobility</w:t>
            </w:r>
          </w:p>
        </w:tc>
        <w:tc>
          <w:tcPr>
            <w:tcW w:w="2460" w:type="dxa"/>
            <w:tcBorders>
              <w:top w:val="nil"/>
              <w:left w:val="nil"/>
              <w:bottom w:val="nil"/>
              <w:right w:val="nil"/>
            </w:tcBorders>
            <w:tcMar>
              <w:top w:w="100" w:type="dxa"/>
              <w:left w:w="100" w:type="dxa"/>
              <w:bottom w:w="100" w:type="dxa"/>
              <w:right w:w="100" w:type="dxa"/>
            </w:tcMar>
          </w:tcPr>
          <w:p w14:paraId="5260FFC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Qualifications recognition</w:t>
            </w:r>
          </w:p>
        </w:tc>
        <w:tc>
          <w:tcPr>
            <w:tcW w:w="2520" w:type="dxa"/>
            <w:tcBorders>
              <w:top w:val="nil"/>
              <w:left w:val="nil"/>
              <w:bottom w:val="nil"/>
              <w:right w:val="nil"/>
            </w:tcBorders>
            <w:tcMar>
              <w:top w:w="100" w:type="dxa"/>
              <w:left w:w="100" w:type="dxa"/>
              <w:bottom w:w="100" w:type="dxa"/>
              <w:right w:w="100" w:type="dxa"/>
            </w:tcMar>
          </w:tcPr>
          <w:p w14:paraId="6E4228D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International credential recognition supports workforce mobility</w:t>
            </w:r>
          </w:p>
        </w:tc>
        <w:tc>
          <w:tcPr>
            <w:tcW w:w="2340" w:type="dxa"/>
            <w:tcBorders>
              <w:top w:val="nil"/>
              <w:left w:val="nil"/>
              <w:bottom w:val="nil"/>
              <w:right w:val="nil"/>
            </w:tcBorders>
            <w:tcMar>
              <w:top w:w="100" w:type="dxa"/>
              <w:left w:w="100" w:type="dxa"/>
              <w:bottom w:w="100" w:type="dxa"/>
              <w:right w:w="100" w:type="dxa"/>
            </w:tcMar>
          </w:tcPr>
          <w:p w14:paraId="7B26E53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international employability framework</w:t>
            </w:r>
          </w:p>
        </w:tc>
      </w:tr>
      <w:tr w:rsidR="00EF492E" w:rsidRPr="00EF492E" w14:paraId="251805FA" w14:textId="77777777" w:rsidTr="00516F66">
        <w:trPr>
          <w:trHeight w:val="1170"/>
        </w:trPr>
        <w:tc>
          <w:tcPr>
            <w:tcW w:w="1830" w:type="dxa"/>
            <w:tcBorders>
              <w:top w:val="nil"/>
              <w:left w:val="nil"/>
              <w:bottom w:val="nil"/>
              <w:right w:val="nil"/>
            </w:tcBorders>
            <w:tcMar>
              <w:top w:w="100" w:type="dxa"/>
              <w:left w:w="100" w:type="dxa"/>
              <w:bottom w:w="100" w:type="dxa"/>
              <w:right w:w="100" w:type="dxa"/>
            </w:tcMar>
          </w:tcPr>
          <w:p w14:paraId="4492C49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WHO (2026)</w:t>
            </w:r>
          </w:p>
        </w:tc>
        <w:tc>
          <w:tcPr>
            <w:tcW w:w="1605" w:type="dxa"/>
            <w:tcBorders>
              <w:top w:val="nil"/>
              <w:left w:val="nil"/>
              <w:bottom w:val="nil"/>
              <w:right w:val="nil"/>
            </w:tcBorders>
            <w:tcMar>
              <w:top w:w="100" w:type="dxa"/>
              <w:left w:w="100" w:type="dxa"/>
              <w:bottom w:w="100" w:type="dxa"/>
              <w:right w:w="100" w:type="dxa"/>
            </w:tcMar>
          </w:tcPr>
          <w:p w14:paraId="4D8C3DA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Global policy resolution</w:t>
            </w:r>
          </w:p>
        </w:tc>
        <w:tc>
          <w:tcPr>
            <w:tcW w:w="2400" w:type="dxa"/>
            <w:tcBorders>
              <w:top w:val="nil"/>
              <w:left w:val="nil"/>
              <w:bottom w:val="nil"/>
              <w:right w:val="nil"/>
            </w:tcBorders>
            <w:tcMar>
              <w:top w:w="100" w:type="dxa"/>
              <w:left w:w="100" w:type="dxa"/>
              <w:bottom w:w="100" w:type="dxa"/>
              <w:right w:w="100" w:type="dxa"/>
            </w:tcMar>
          </w:tcPr>
          <w:p w14:paraId="1825177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Diagnostic imaging systems</w:t>
            </w:r>
          </w:p>
        </w:tc>
        <w:tc>
          <w:tcPr>
            <w:tcW w:w="2460" w:type="dxa"/>
            <w:tcBorders>
              <w:top w:val="nil"/>
              <w:left w:val="nil"/>
              <w:bottom w:val="nil"/>
              <w:right w:val="nil"/>
            </w:tcBorders>
            <w:tcMar>
              <w:top w:w="100" w:type="dxa"/>
              <w:left w:w="100" w:type="dxa"/>
              <w:bottom w:w="100" w:type="dxa"/>
              <w:right w:w="100" w:type="dxa"/>
            </w:tcMar>
          </w:tcPr>
          <w:p w14:paraId="6202F39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Equitable imaging access and teleradiology</w:t>
            </w:r>
          </w:p>
        </w:tc>
        <w:tc>
          <w:tcPr>
            <w:tcW w:w="2520" w:type="dxa"/>
            <w:tcBorders>
              <w:top w:val="nil"/>
              <w:left w:val="nil"/>
              <w:bottom w:val="nil"/>
              <w:right w:val="nil"/>
            </w:tcBorders>
            <w:tcMar>
              <w:top w:w="100" w:type="dxa"/>
              <w:left w:w="100" w:type="dxa"/>
              <w:bottom w:w="100" w:type="dxa"/>
              <w:right w:w="100" w:type="dxa"/>
            </w:tcMar>
          </w:tcPr>
          <w:p w14:paraId="2648F31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Strengthening imaging systems increases demand for imaging professionals</w:t>
            </w:r>
          </w:p>
        </w:tc>
        <w:tc>
          <w:tcPr>
            <w:tcW w:w="2340" w:type="dxa"/>
            <w:tcBorders>
              <w:top w:val="nil"/>
              <w:left w:val="nil"/>
              <w:bottom w:val="nil"/>
              <w:right w:val="nil"/>
            </w:tcBorders>
            <w:tcMar>
              <w:top w:w="100" w:type="dxa"/>
              <w:left w:w="100" w:type="dxa"/>
              <w:bottom w:w="100" w:type="dxa"/>
              <w:right w:w="100" w:type="dxa"/>
            </w:tcMar>
          </w:tcPr>
          <w:p w14:paraId="57A30C3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growing global workforce demand</w:t>
            </w:r>
          </w:p>
        </w:tc>
      </w:tr>
      <w:tr w:rsidR="00EF492E" w:rsidRPr="00EF492E" w14:paraId="23EB3A5D" w14:textId="77777777" w:rsidTr="00516F66">
        <w:trPr>
          <w:trHeight w:val="450"/>
        </w:trPr>
        <w:tc>
          <w:tcPr>
            <w:tcW w:w="1830" w:type="dxa"/>
            <w:tcBorders>
              <w:top w:val="nil"/>
              <w:left w:val="nil"/>
              <w:bottom w:val="nil"/>
              <w:right w:val="nil"/>
            </w:tcBorders>
            <w:tcMar>
              <w:top w:w="100" w:type="dxa"/>
              <w:left w:w="100" w:type="dxa"/>
              <w:bottom w:w="100" w:type="dxa"/>
              <w:right w:w="100" w:type="dxa"/>
            </w:tcMar>
          </w:tcPr>
          <w:p w14:paraId="25AA0E8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ISRRT (2004)</w:t>
            </w:r>
          </w:p>
        </w:tc>
        <w:tc>
          <w:tcPr>
            <w:tcW w:w="1605" w:type="dxa"/>
            <w:tcBorders>
              <w:top w:val="nil"/>
              <w:left w:val="nil"/>
              <w:bottom w:val="nil"/>
              <w:right w:val="nil"/>
            </w:tcBorders>
            <w:tcMar>
              <w:top w:w="100" w:type="dxa"/>
              <w:left w:w="100" w:type="dxa"/>
              <w:bottom w:w="100" w:type="dxa"/>
              <w:right w:w="100" w:type="dxa"/>
            </w:tcMar>
          </w:tcPr>
          <w:p w14:paraId="07FD230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Educational guideline</w:t>
            </w:r>
          </w:p>
        </w:tc>
        <w:tc>
          <w:tcPr>
            <w:tcW w:w="2400" w:type="dxa"/>
            <w:tcBorders>
              <w:top w:val="nil"/>
              <w:left w:val="nil"/>
              <w:bottom w:val="nil"/>
              <w:right w:val="nil"/>
            </w:tcBorders>
            <w:tcMar>
              <w:top w:w="100" w:type="dxa"/>
              <w:left w:w="100" w:type="dxa"/>
              <w:bottom w:w="100" w:type="dxa"/>
              <w:right w:w="100" w:type="dxa"/>
            </w:tcMar>
          </w:tcPr>
          <w:p w14:paraId="1536457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Medical radiation sciences education</w:t>
            </w:r>
          </w:p>
        </w:tc>
        <w:tc>
          <w:tcPr>
            <w:tcW w:w="2460" w:type="dxa"/>
            <w:tcBorders>
              <w:top w:val="nil"/>
              <w:left w:val="nil"/>
              <w:bottom w:val="nil"/>
              <w:right w:val="nil"/>
            </w:tcBorders>
            <w:tcMar>
              <w:top w:w="100" w:type="dxa"/>
              <w:left w:w="100" w:type="dxa"/>
              <w:bottom w:w="100" w:type="dxa"/>
              <w:right w:w="100" w:type="dxa"/>
            </w:tcMar>
          </w:tcPr>
          <w:p w14:paraId="5E13083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Entry-level professional standards</w:t>
            </w:r>
          </w:p>
        </w:tc>
        <w:tc>
          <w:tcPr>
            <w:tcW w:w="2520" w:type="dxa"/>
            <w:tcBorders>
              <w:top w:val="nil"/>
              <w:left w:val="nil"/>
              <w:bottom w:val="nil"/>
              <w:right w:val="nil"/>
            </w:tcBorders>
            <w:tcMar>
              <w:top w:w="100" w:type="dxa"/>
              <w:left w:w="100" w:type="dxa"/>
              <w:bottom w:w="100" w:type="dxa"/>
              <w:right w:w="100" w:type="dxa"/>
            </w:tcMar>
          </w:tcPr>
          <w:p w14:paraId="1B2E419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Competency-based standards guide RT educational preparation</w:t>
            </w:r>
          </w:p>
        </w:tc>
        <w:tc>
          <w:tcPr>
            <w:tcW w:w="2340" w:type="dxa"/>
            <w:tcBorders>
              <w:top w:val="nil"/>
              <w:left w:val="nil"/>
              <w:bottom w:val="nil"/>
              <w:right w:val="nil"/>
            </w:tcBorders>
            <w:tcMar>
              <w:top w:w="100" w:type="dxa"/>
              <w:left w:w="100" w:type="dxa"/>
              <w:bottom w:w="100" w:type="dxa"/>
              <w:right w:w="100" w:type="dxa"/>
            </w:tcMar>
          </w:tcPr>
          <w:p w14:paraId="5896955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educational framework</w:t>
            </w:r>
          </w:p>
        </w:tc>
      </w:tr>
      <w:tr w:rsidR="00EF492E" w:rsidRPr="00EF492E" w14:paraId="5486F326" w14:textId="77777777" w:rsidTr="00516F66">
        <w:trPr>
          <w:trHeight w:val="578"/>
        </w:trPr>
        <w:tc>
          <w:tcPr>
            <w:tcW w:w="1830" w:type="dxa"/>
            <w:tcBorders>
              <w:top w:val="nil"/>
              <w:left w:val="nil"/>
              <w:bottom w:val="nil"/>
              <w:right w:val="nil"/>
            </w:tcBorders>
            <w:tcMar>
              <w:top w:w="100" w:type="dxa"/>
              <w:left w:w="100" w:type="dxa"/>
              <w:bottom w:w="100" w:type="dxa"/>
              <w:right w:w="100" w:type="dxa"/>
            </w:tcMar>
          </w:tcPr>
          <w:p w14:paraId="122AD7E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CHED (2006)</w:t>
            </w:r>
          </w:p>
        </w:tc>
        <w:tc>
          <w:tcPr>
            <w:tcW w:w="1605" w:type="dxa"/>
            <w:tcBorders>
              <w:top w:val="nil"/>
              <w:left w:val="nil"/>
              <w:bottom w:val="nil"/>
              <w:right w:val="nil"/>
            </w:tcBorders>
            <w:tcMar>
              <w:top w:w="100" w:type="dxa"/>
              <w:left w:w="100" w:type="dxa"/>
              <w:bottom w:w="100" w:type="dxa"/>
              <w:right w:w="100" w:type="dxa"/>
            </w:tcMar>
          </w:tcPr>
          <w:p w14:paraId="10A8A14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Policy guideline</w:t>
            </w:r>
          </w:p>
        </w:tc>
        <w:tc>
          <w:tcPr>
            <w:tcW w:w="2400" w:type="dxa"/>
            <w:tcBorders>
              <w:top w:val="nil"/>
              <w:left w:val="nil"/>
              <w:bottom w:val="nil"/>
              <w:right w:val="nil"/>
            </w:tcBorders>
            <w:tcMar>
              <w:top w:w="100" w:type="dxa"/>
              <w:left w:w="100" w:type="dxa"/>
              <w:bottom w:w="100" w:type="dxa"/>
              <w:right w:w="100" w:type="dxa"/>
            </w:tcMar>
          </w:tcPr>
          <w:p w14:paraId="303F6EF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RT education</w:t>
            </w:r>
          </w:p>
        </w:tc>
        <w:tc>
          <w:tcPr>
            <w:tcW w:w="2460" w:type="dxa"/>
            <w:tcBorders>
              <w:top w:val="nil"/>
              <w:left w:val="nil"/>
              <w:bottom w:val="nil"/>
              <w:right w:val="nil"/>
            </w:tcBorders>
            <w:tcMar>
              <w:top w:w="100" w:type="dxa"/>
              <w:left w:w="100" w:type="dxa"/>
              <w:bottom w:w="100" w:type="dxa"/>
              <w:right w:w="100" w:type="dxa"/>
            </w:tcMar>
          </w:tcPr>
          <w:p w14:paraId="0C90DB9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Curriculum standards</w:t>
            </w:r>
          </w:p>
        </w:tc>
        <w:tc>
          <w:tcPr>
            <w:tcW w:w="2520" w:type="dxa"/>
            <w:tcBorders>
              <w:top w:val="nil"/>
              <w:left w:val="nil"/>
              <w:bottom w:val="nil"/>
              <w:right w:val="nil"/>
            </w:tcBorders>
            <w:tcMar>
              <w:top w:w="100" w:type="dxa"/>
              <w:left w:w="100" w:type="dxa"/>
              <w:bottom w:w="100" w:type="dxa"/>
              <w:right w:w="100" w:type="dxa"/>
            </w:tcMar>
          </w:tcPr>
          <w:p w14:paraId="2C44EBE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Established competency-based policies and standards for RT programs</w:t>
            </w:r>
          </w:p>
        </w:tc>
        <w:tc>
          <w:tcPr>
            <w:tcW w:w="2340" w:type="dxa"/>
            <w:tcBorders>
              <w:top w:val="nil"/>
              <w:left w:val="nil"/>
              <w:bottom w:val="nil"/>
              <w:right w:val="nil"/>
            </w:tcBorders>
            <w:tcMar>
              <w:top w:w="100" w:type="dxa"/>
              <w:left w:w="100" w:type="dxa"/>
              <w:bottom w:w="100" w:type="dxa"/>
              <w:right w:w="100" w:type="dxa"/>
            </w:tcMar>
          </w:tcPr>
          <w:p w14:paraId="6B19B6C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Demonstrates national educational regulation</w:t>
            </w:r>
          </w:p>
        </w:tc>
      </w:tr>
      <w:tr w:rsidR="00EF492E" w:rsidRPr="00EF492E" w14:paraId="5A64EBCF" w14:textId="77777777" w:rsidTr="00516F66">
        <w:trPr>
          <w:trHeight w:val="1640"/>
        </w:trPr>
        <w:tc>
          <w:tcPr>
            <w:tcW w:w="1830" w:type="dxa"/>
            <w:tcBorders>
              <w:top w:val="nil"/>
              <w:left w:val="nil"/>
              <w:bottom w:val="nil"/>
              <w:right w:val="nil"/>
            </w:tcBorders>
            <w:tcMar>
              <w:top w:w="100" w:type="dxa"/>
              <w:left w:w="100" w:type="dxa"/>
              <w:bottom w:w="100" w:type="dxa"/>
              <w:right w:w="100" w:type="dxa"/>
            </w:tcMar>
          </w:tcPr>
          <w:p w14:paraId="582ACB7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PRC (2018)</w:t>
            </w:r>
          </w:p>
        </w:tc>
        <w:tc>
          <w:tcPr>
            <w:tcW w:w="1605" w:type="dxa"/>
            <w:tcBorders>
              <w:top w:val="nil"/>
              <w:left w:val="nil"/>
              <w:bottom w:val="nil"/>
              <w:right w:val="nil"/>
            </w:tcBorders>
            <w:tcMar>
              <w:top w:w="100" w:type="dxa"/>
              <w:left w:w="100" w:type="dxa"/>
              <w:bottom w:w="100" w:type="dxa"/>
              <w:right w:w="100" w:type="dxa"/>
            </w:tcMar>
          </w:tcPr>
          <w:p w14:paraId="7CCBE20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Professional regulation document</w:t>
            </w:r>
          </w:p>
        </w:tc>
        <w:tc>
          <w:tcPr>
            <w:tcW w:w="2400" w:type="dxa"/>
            <w:tcBorders>
              <w:top w:val="nil"/>
              <w:left w:val="nil"/>
              <w:bottom w:val="nil"/>
              <w:right w:val="nil"/>
            </w:tcBorders>
            <w:tcMar>
              <w:top w:w="100" w:type="dxa"/>
              <w:left w:w="100" w:type="dxa"/>
              <w:bottom w:w="100" w:type="dxa"/>
              <w:right w:w="100" w:type="dxa"/>
            </w:tcMar>
          </w:tcPr>
          <w:p w14:paraId="34AB0BE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Philippine RT profession</w:t>
            </w:r>
          </w:p>
        </w:tc>
        <w:tc>
          <w:tcPr>
            <w:tcW w:w="2460" w:type="dxa"/>
            <w:tcBorders>
              <w:top w:val="nil"/>
              <w:left w:val="nil"/>
              <w:bottom w:val="nil"/>
              <w:right w:val="nil"/>
            </w:tcBorders>
            <w:tcMar>
              <w:top w:w="100" w:type="dxa"/>
              <w:left w:w="100" w:type="dxa"/>
              <w:bottom w:w="100" w:type="dxa"/>
              <w:right w:w="100" w:type="dxa"/>
            </w:tcMar>
          </w:tcPr>
          <w:p w14:paraId="20F52D6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Licensure requirements</w:t>
            </w:r>
          </w:p>
        </w:tc>
        <w:tc>
          <w:tcPr>
            <w:tcW w:w="2520" w:type="dxa"/>
            <w:tcBorders>
              <w:top w:val="nil"/>
              <w:left w:val="nil"/>
              <w:bottom w:val="nil"/>
              <w:right w:val="nil"/>
            </w:tcBorders>
            <w:tcMar>
              <w:top w:w="100" w:type="dxa"/>
              <w:left w:w="100" w:type="dxa"/>
              <w:bottom w:w="100" w:type="dxa"/>
              <w:right w:w="100" w:type="dxa"/>
            </w:tcMar>
          </w:tcPr>
          <w:p w14:paraId="78DCC6D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Licensure examinations required for professional practice</w:t>
            </w:r>
          </w:p>
        </w:tc>
        <w:tc>
          <w:tcPr>
            <w:tcW w:w="2340" w:type="dxa"/>
            <w:tcBorders>
              <w:top w:val="nil"/>
              <w:left w:val="nil"/>
              <w:bottom w:val="nil"/>
              <w:right w:val="nil"/>
            </w:tcBorders>
            <w:tcMar>
              <w:top w:w="100" w:type="dxa"/>
              <w:left w:w="100" w:type="dxa"/>
              <w:bottom w:w="100" w:type="dxa"/>
              <w:right w:w="100" w:type="dxa"/>
            </w:tcMar>
          </w:tcPr>
          <w:p w14:paraId="48C576A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licensure preparedness findings</w:t>
            </w:r>
          </w:p>
        </w:tc>
      </w:tr>
      <w:tr w:rsidR="00EF492E" w:rsidRPr="00EF492E" w14:paraId="43844FD3" w14:textId="77777777" w:rsidTr="00516F66">
        <w:trPr>
          <w:trHeight w:val="1395"/>
        </w:trPr>
        <w:tc>
          <w:tcPr>
            <w:tcW w:w="1830" w:type="dxa"/>
            <w:tcBorders>
              <w:top w:val="nil"/>
              <w:left w:val="nil"/>
              <w:bottom w:val="nil"/>
              <w:right w:val="nil"/>
            </w:tcBorders>
            <w:tcMar>
              <w:top w:w="100" w:type="dxa"/>
              <w:left w:w="100" w:type="dxa"/>
              <w:bottom w:w="100" w:type="dxa"/>
              <w:right w:w="100" w:type="dxa"/>
            </w:tcMar>
          </w:tcPr>
          <w:p w14:paraId="6CB73E8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Yorke (2006)</w:t>
            </w:r>
          </w:p>
        </w:tc>
        <w:tc>
          <w:tcPr>
            <w:tcW w:w="1605" w:type="dxa"/>
            <w:tcBorders>
              <w:top w:val="nil"/>
              <w:left w:val="nil"/>
              <w:bottom w:val="nil"/>
              <w:right w:val="nil"/>
            </w:tcBorders>
            <w:tcMar>
              <w:top w:w="100" w:type="dxa"/>
              <w:left w:w="100" w:type="dxa"/>
              <w:bottom w:w="100" w:type="dxa"/>
              <w:right w:w="100" w:type="dxa"/>
            </w:tcMar>
          </w:tcPr>
          <w:p w14:paraId="4CE7F66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Educational framework</w:t>
            </w:r>
          </w:p>
        </w:tc>
        <w:tc>
          <w:tcPr>
            <w:tcW w:w="2400" w:type="dxa"/>
            <w:tcBorders>
              <w:top w:val="nil"/>
              <w:left w:val="nil"/>
              <w:bottom w:val="nil"/>
              <w:right w:val="nil"/>
            </w:tcBorders>
            <w:tcMar>
              <w:top w:w="100" w:type="dxa"/>
              <w:left w:w="100" w:type="dxa"/>
              <w:bottom w:w="100" w:type="dxa"/>
              <w:right w:w="100" w:type="dxa"/>
            </w:tcMar>
          </w:tcPr>
          <w:p w14:paraId="79E48A0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Higher education employability</w:t>
            </w:r>
          </w:p>
        </w:tc>
        <w:tc>
          <w:tcPr>
            <w:tcW w:w="2460" w:type="dxa"/>
            <w:tcBorders>
              <w:top w:val="nil"/>
              <w:left w:val="nil"/>
              <w:bottom w:val="nil"/>
              <w:right w:val="nil"/>
            </w:tcBorders>
            <w:tcMar>
              <w:top w:w="100" w:type="dxa"/>
              <w:left w:w="100" w:type="dxa"/>
              <w:bottom w:w="100" w:type="dxa"/>
              <w:right w:w="100" w:type="dxa"/>
            </w:tcMar>
          </w:tcPr>
          <w:p w14:paraId="4F90531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Definition of employability</w:t>
            </w:r>
          </w:p>
        </w:tc>
        <w:tc>
          <w:tcPr>
            <w:tcW w:w="2520" w:type="dxa"/>
            <w:tcBorders>
              <w:top w:val="nil"/>
              <w:left w:val="nil"/>
              <w:bottom w:val="nil"/>
              <w:right w:val="nil"/>
            </w:tcBorders>
            <w:tcMar>
              <w:top w:w="100" w:type="dxa"/>
              <w:left w:w="100" w:type="dxa"/>
              <w:bottom w:w="100" w:type="dxa"/>
              <w:right w:w="100" w:type="dxa"/>
            </w:tcMar>
          </w:tcPr>
          <w:p w14:paraId="6ED0485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includes obtaining and sustaining employment and adapting to workforce demands</w:t>
            </w:r>
          </w:p>
        </w:tc>
        <w:tc>
          <w:tcPr>
            <w:tcW w:w="2340" w:type="dxa"/>
            <w:tcBorders>
              <w:top w:val="nil"/>
              <w:left w:val="nil"/>
              <w:bottom w:val="nil"/>
              <w:right w:val="nil"/>
            </w:tcBorders>
            <w:tcMar>
              <w:top w:w="100" w:type="dxa"/>
              <w:left w:w="100" w:type="dxa"/>
              <w:bottom w:w="100" w:type="dxa"/>
              <w:right w:w="100" w:type="dxa"/>
            </w:tcMar>
          </w:tcPr>
          <w:p w14:paraId="4773E0C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Provides theoretical framework</w:t>
            </w:r>
          </w:p>
        </w:tc>
      </w:tr>
      <w:tr w:rsidR="00EF492E" w:rsidRPr="00EF492E" w14:paraId="77500196" w14:textId="77777777" w:rsidTr="00516F66">
        <w:trPr>
          <w:trHeight w:val="1925"/>
        </w:trPr>
        <w:tc>
          <w:tcPr>
            <w:tcW w:w="1830" w:type="dxa"/>
            <w:tcBorders>
              <w:top w:val="nil"/>
              <w:left w:val="nil"/>
              <w:bottom w:val="nil"/>
              <w:right w:val="nil"/>
            </w:tcBorders>
            <w:tcMar>
              <w:top w:w="100" w:type="dxa"/>
              <w:left w:w="100" w:type="dxa"/>
              <w:bottom w:w="100" w:type="dxa"/>
              <w:right w:w="100" w:type="dxa"/>
            </w:tcMar>
          </w:tcPr>
          <w:p w14:paraId="45F7175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Page et al. (2021)</w:t>
            </w:r>
          </w:p>
        </w:tc>
        <w:tc>
          <w:tcPr>
            <w:tcW w:w="1605" w:type="dxa"/>
            <w:tcBorders>
              <w:top w:val="nil"/>
              <w:left w:val="nil"/>
              <w:bottom w:val="nil"/>
              <w:right w:val="nil"/>
            </w:tcBorders>
            <w:tcMar>
              <w:top w:w="100" w:type="dxa"/>
              <w:left w:w="100" w:type="dxa"/>
              <w:bottom w:w="100" w:type="dxa"/>
              <w:right w:w="100" w:type="dxa"/>
            </w:tcMar>
          </w:tcPr>
          <w:p w14:paraId="3347153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Methodological guideline</w:t>
            </w:r>
          </w:p>
        </w:tc>
        <w:tc>
          <w:tcPr>
            <w:tcW w:w="2400" w:type="dxa"/>
            <w:tcBorders>
              <w:top w:val="nil"/>
              <w:left w:val="nil"/>
              <w:bottom w:val="nil"/>
              <w:right w:val="nil"/>
            </w:tcBorders>
            <w:tcMar>
              <w:top w:w="100" w:type="dxa"/>
              <w:left w:w="100" w:type="dxa"/>
              <w:bottom w:w="100" w:type="dxa"/>
              <w:right w:w="100" w:type="dxa"/>
            </w:tcMar>
          </w:tcPr>
          <w:p w14:paraId="4906743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Systematic review methodology</w:t>
            </w:r>
          </w:p>
        </w:tc>
        <w:tc>
          <w:tcPr>
            <w:tcW w:w="2460" w:type="dxa"/>
            <w:tcBorders>
              <w:top w:val="nil"/>
              <w:left w:val="nil"/>
              <w:bottom w:val="nil"/>
              <w:right w:val="nil"/>
            </w:tcBorders>
            <w:tcMar>
              <w:top w:w="100" w:type="dxa"/>
              <w:left w:w="100" w:type="dxa"/>
              <w:bottom w:w="100" w:type="dxa"/>
              <w:right w:w="100" w:type="dxa"/>
            </w:tcMar>
          </w:tcPr>
          <w:p w14:paraId="17A53E8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PRISMA 2020</w:t>
            </w:r>
          </w:p>
        </w:tc>
        <w:tc>
          <w:tcPr>
            <w:tcW w:w="2520" w:type="dxa"/>
            <w:tcBorders>
              <w:top w:val="nil"/>
              <w:left w:val="nil"/>
              <w:bottom w:val="nil"/>
              <w:right w:val="nil"/>
            </w:tcBorders>
            <w:tcMar>
              <w:top w:w="100" w:type="dxa"/>
              <w:left w:w="100" w:type="dxa"/>
              <w:bottom w:w="100" w:type="dxa"/>
              <w:right w:w="100" w:type="dxa"/>
            </w:tcMar>
          </w:tcPr>
          <w:p w14:paraId="395C344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PRISMA enhances transparency and rigor in systematic reviews</w:t>
            </w:r>
          </w:p>
        </w:tc>
        <w:tc>
          <w:tcPr>
            <w:tcW w:w="2340" w:type="dxa"/>
            <w:tcBorders>
              <w:top w:val="nil"/>
              <w:left w:val="nil"/>
              <w:bottom w:val="nil"/>
              <w:right w:val="nil"/>
            </w:tcBorders>
            <w:tcMar>
              <w:top w:w="100" w:type="dxa"/>
              <w:left w:w="100" w:type="dxa"/>
              <w:bottom w:w="100" w:type="dxa"/>
              <w:right w:w="100" w:type="dxa"/>
            </w:tcMar>
          </w:tcPr>
          <w:p w14:paraId="214F72D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Supports methodological framework</w:t>
            </w:r>
          </w:p>
          <w:p w14:paraId="7FF4BDFF" w14:textId="77777777" w:rsidR="00EF492E" w:rsidRPr="00EF492E" w:rsidRDefault="00EF492E" w:rsidP="00EF492E">
            <w:pPr>
              <w:spacing w:line="240" w:lineRule="auto"/>
              <w:rPr>
                <w:rFonts w:ascii="Times New Roman" w:eastAsia="Times New Roman" w:hAnsi="Times New Roman" w:cs="Times New Roman"/>
                <w:sz w:val="24"/>
                <w:szCs w:val="24"/>
              </w:rPr>
            </w:pPr>
          </w:p>
          <w:p w14:paraId="6B29EC6D" w14:textId="77777777" w:rsidR="00EF492E" w:rsidRPr="00EF492E" w:rsidRDefault="00EF492E" w:rsidP="00EF492E">
            <w:pPr>
              <w:spacing w:line="240" w:lineRule="auto"/>
              <w:rPr>
                <w:rFonts w:ascii="Times New Roman" w:eastAsia="Times New Roman" w:hAnsi="Times New Roman" w:cs="Times New Roman"/>
                <w:sz w:val="24"/>
                <w:szCs w:val="24"/>
              </w:rPr>
            </w:pPr>
          </w:p>
          <w:p w14:paraId="425FF720" w14:textId="77777777" w:rsidR="00EF492E" w:rsidRPr="00EF492E" w:rsidRDefault="00EF492E" w:rsidP="00EF492E">
            <w:pPr>
              <w:spacing w:line="240" w:lineRule="auto"/>
              <w:rPr>
                <w:rFonts w:ascii="Times New Roman" w:eastAsia="Times New Roman" w:hAnsi="Times New Roman" w:cs="Times New Roman"/>
                <w:sz w:val="24"/>
                <w:szCs w:val="24"/>
              </w:rPr>
            </w:pPr>
          </w:p>
          <w:p w14:paraId="76986542" w14:textId="77777777" w:rsidR="00EF492E" w:rsidRPr="00EF492E" w:rsidRDefault="00EF492E" w:rsidP="00EF492E">
            <w:pPr>
              <w:spacing w:line="240" w:lineRule="auto"/>
              <w:rPr>
                <w:rFonts w:ascii="Times New Roman" w:eastAsia="Times New Roman" w:hAnsi="Times New Roman" w:cs="Times New Roman"/>
                <w:sz w:val="24"/>
                <w:szCs w:val="24"/>
              </w:rPr>
            </w:pPr>
          </w:p>
          <w:p w14:paraId="4F717EA0" w14:textId="77777777" w:rsidR="00EF492E" w:rsidRPr="00EF492E" w:rsidRDefault="00EF492E" w:rsidP="00EF492E">
            <w:pPr>
              <w:spacing w:line="240" w:lineRule="auto"/>
              <w:rPr>
                <w:rFonts w:ascii="Times New Roman" w:eastAsia="Times New Roman" w:hAnsi="Times New Roman" w:cs="Times New Roman"/>
                <w:sz w:val="24"/>
                <w:szCs w:val="24"/>
              </w:rPr>
            </w:pPr>
          </w:p>
          <w:p w14:paraId="50139E76" w14:textId="77777777" w:rsidR="00EF492E" w:rsidRPr="00EF492E" w:rsidRDefault="00EF492E" w:rsidP="00EF492E">
            <w:pPr>
              <w:spacing w:line="240" w:lineRule="auto"/>
              <w:rPr>
                <w:rFonts w:ascii="Times New Roman" w:eastAsia="Times New Roman" w:hAnsi="Times New Roman" w:cs="Times New Roman"/>
                <w:sz w:val="24"/>
                <w:szCs w:val="24"/>
              </w:rPr>
            </w:pPr>
          </w:p>
          <w:p w14:paraId="1BB2E2A5" w14:textId="77777777" w:rsidR="00EF492E" w:rsidRPr="00EF492E" w:rsidRDefault="00EF492E" w:rsidP="00EF492E">
            <w:pPr>
              <w:spacing w:line="240" w:lineRule="auto"/>
              <w:rPr>
                <w:rFonts w:ascii="Times New Roman" w:eastAsia="Times New Roman" w:hAnsi="Times New Roman" w:cs="Times New Roman"/>
                <w:sz w:val="24"/>
                <w:szCs w:val="24"/>
              </w:rPr>
            </w:pPr>
          </w:p>
          <w:p w14:paraId="38AD9C3F" w14:textId="77777777" w:rsidR="00EF492E" w:rsidRPr="00EF492E" w:rsidRDefault="00EF492E" w:rsidP="00EF492E">
            <w:pPr>
              <w:spacing w:line="240" w:lineRule="auto"/>
              <w:rPr>
                <w:rFonts w:ascii="Times New Roman" w:eastAsia="Times New Roman" w:hAnsi="Times New Roman" w:cs="Times New Roman"/>
                <w:sz w:val="24"/>
                <w:szCs w:val="24"/>
              </w:rPr>
            </w:pPr>
          </w:p>
        </w:tc>
      </w:tr>
    </w:tbl>
    <w:p w14:paraId="5359DC7D" w14:textId="77777777" w:rsidR="00EF492E" w:rsidRPr="00EF492E" w:rsidRDefault="00EF492E" w:rsidP="00EF492E">
      <w:pPr>
        <w:spacing w:before="360" w:after="80" w:line="240" w:lineRule="auto"/>
        <w:outlineLvl w:val="1"/>
        <w:rPr>
          <w:rFonts w:ascii="Times New Roman" w:eastAsia="Times New Roman" w:hAnsi="Times New Roman" w:cs="Times New Roman"/>
          <w:b/>
          <w:bCs/>
          <w:sz w:val="24"/>
          <w:szCs w:val="24"/>
        </w:rPr>
      </w:pPr>
      <w:bookmarkStart w:id="20" w:name="_a5y884n2pbc9" w:colFirst="0" w:colLast="0"/>
      <w:bookmarkEnd w:id="20"/>
      <w:r w:rsidRPr="00EF492E">
        <w:rPr>
          <w:rFonts w:ascii="Times New Roman" w:eastAsia="Times New Roman" w:hAnsi="Times New Roman" w:cs="Times New Roman"/>
          <w:b/>
          <w:bCs/>
          <w:sz w:val="24"/>
          <w:szCs w:val="24"/>
        </w:rPr>
        <w:t>Table 2. Methodological Quality Appraisal of Included Studies Using JBI Critical Appraisal Tools</w:t>
      </w:r>
    </w:p>
    <w:tbl>
      <w:tblPr>
        <w:tblW w:w="13080" w:type="dxa"/>
        <w:tblBorders>
          <w:top w:val="nil"/>
          <w:left w:val="nil"/>
          <w:bottom w:val="nil"/>
          <w:right w:val="nil"/>
          <w:insideH w:val="nil"/>
          <w:insideV w:val="nil"/>
        </w:tblBorders>
        <w:tblLayout w:type="fixed"/>
        <w:tblLook w:val="0600" w:firstRow="0" w:lastRow="0" w:firstColumn="0" w:lastColumn="0" w:noHBand="1" w:noVBand="1"/>
      </w:tblPr>
      <w:tblGrid>
        <w:gridCol w:w="2595"/>
        <w:gridCol w:w="2340"/>
        <w:gridCol w:w="3045"/>
        <w:gridCol w:w="2115"/>
        <w:gridCol w:w="2985"/>
      </w:tblGrid>
      <w:tr w:rsidR="00EF492E" w:rsidRPr="00EF492E" w14:paraId="43EA057F" w14:textId="77777777" w:rsidTr="00516F66">
        <w:trPr>
          <w:trHeight w:val="600"/>
        </w:trPr>
        <w:tc>
          <w:tcPr>
            <w:tcW w:w="2595" w:type="dxa"/>
            <w:tcBorders>
              <w:top w:val="nil"/>
              <w:left w:val="nil"/>
              <w:bottom w:val="nil"/>
              <w:right w:val="nil"/>
            </w:tcBorders>
            <w:tcMar>
              <w:top w:w="100" w:type="dxa"/>
              <w:left w:w="100" w:type="dxa"/>
              <w:bottom w:w="100" w:type="dxa"/>
              <w:right w:w="100" w:type="dxa"/>
            </w:tcMar>
          </w:tcPr>
          <w:p w14:paraId="396C912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Author/Year</w:t>
            </w:r>
          </w:p>
        </w:tc>
        <w:tc>
          <w:tcPr>
            <w:tcW w:w="2340" w:type="dxa"/>
            <w:tcBorders>
              <w:top w:val="nil"/>
              <w:left w:val="nil"/>
              <w:bottom w:val="nil"/>
              <w:right w:val="nil"/>
            </w:tcBorders>
            <w:tcMar>
              <w:top w:w="100" w:type="dxa"/>
              <w:left w:w="100" w:type="dxa"/>
              <w:bottom w:w="100" w:type="dxa"/>
              <w:right w:w="100" w:type="dxa"/>
            </w:tcMar>
          </w:tcPr>
          <w:p w14:paraId="1508AA8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Study Design</w:t>
            </w:r>
          </w:p>
        </w:tc>
        <w:tc>
          <w:tcPr>
            <w:tcW w:w="3045" w:type="dxa"/>
            <w:tcBorders>
              <w:top w:val="nil"/>
              <w:left w:val="nil"/>
              <w:bottom w:val="nil"/>
              <w:right w:val="nil"/>
            </w:tcBorders>
            <w:tcMar>
              <w:top w:w="100" w:type="dxa"/>
              <w:left w:w="100" w:type="dxa"/>
              <w:bottom w:w="100" w:type="dxa"/>
              <w:right w:w="100" w:type="dxa"/>
            </w:tcMar>
          </w:tcPr>
          <w:p w14:paraId="0881F8F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Appraisal Tool Used</w:t>
            </w:r>
          </w:p>
        </w:tc>
        <w:tc>
          <w:tcPr>
            <w:tcW w:w="2115" w:type="dxa"/>
            <w:tcBorders>
              <w:top w:val="nil"/>
              <w:left w:val="nil"/>
              <w:bottom w:val="nil"/>
              <w:right w:val="nil"/>
            </w:tcBorders>
            <w:tcMar>
              <w:top w:w="100" w:type="dxa"/>
              <w:left w:w="100" w:type="dxa"/>
              <w:bottom w:w="100" w:type="dxa"/>
              <w:right w:w="100" w:type="dxa"/>
            </w:tcMar>
          </w:tcPr>
          <w:p w14:paraId="7D382CD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Overall Quality Rating</w:t>
            </w:r>
          </w:p>
        </w:tc>
        <w:tc>
          <w:tcPr>
            <w:tcW w:w="2985" w:type="dxa"/>
            <w:tcBorders>
              <w:top w:val="nil"/>
              <w:left w:val="nil"/>
              <w:bottom w:val="nil"/>
              <w:right w:val="nil"/>
            </w:tcBorders>
            <w:tcMar>
              <w:top w:w="100" w:type="dxa"/>
              <w:left w:w="100" w:type="dxa"/>
              <w:bottom w:w="100" w:type="dxa"/>
              <w:right w:w="100" w:type="dxa"/>
            </w:tcMar>
          </w:tcPr>
          <w:p w14:paraId="6F1CEE2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Major Limitation Identified</w:t>
            </w:r>
          </w:p>
        </w:tc>
      </w:tr>
      <w:tr w:rsidR="00EF492E" w:rsidRPr="00EF492E" w14:paraId="1E971439" w14:textId="77777777" w:rsidTr="00516F66">
        <w:trPr>
          <w:trHeight w:val="450"/>
        </w:trPr>
        <w:tc>
          <w:tcPr>
            <w:tcW w:w="2595" w:type="dxa"/>
            <w:tcBorders>
              <w:top w:val="nil"/>
              <w:left w:val="nil"/>
              <w:bottom w:val="nil"/>
              <w:right w:val="nil"/>
            </w:tcBorders>
            <w:tcMar>
              <w:top w:w="100" w:type="dxa"/>
              <w:left w:w="100" w:type="dxa"/>
              <w:bottom w:w="100" w:type="dxa"/>
              <w:right w:w="100" w:type="dxa"/>
            </w:tcMar>
          </w:tcPr>
          <w:p w14:paraId="03E1A83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Pambid &amp; </w:t>
            </w:r>
            <w:proofErr w:type="spellStart"/>
            <w:r w:rsidRPr="00EF492E">
              <w:rPr>
                <w:rFonts w:ascii="Times New Roman" w:eastAsia="Times New Roman" w:hAnsi="Times New Roman" w:cs="Times New Roman"/>
                <w:sz w:val="24"/>
                <w:szCs w:val="24"/>
              </w:rPr>
              <w:t>Agawin</w:t>
            </w:r>
            <w:proofErr w:type="spellEnd"/>
            <w:r w:rsidRPr="00EF492E">
              <w:rPr>
                <w:rFonts w:ascii="Times New Roman" w:eastAsia="Times New Roman" w:hAnsi="Times New Roman" w:cs="Times New Roman"/>
                <w:sz w:val="24"/>
                <w:szCs w:val="24"/>
              </w:rPr>
              <w:t xml:space="preserve"> (2020)</w:t>
            </w:r>
          </w:p>
        </w:tc>
        <w:tc>
          <w:tcPr>
            <w:tcW w:w="2340" w:type="dxa"/>
            <w:tcBorders>
              <w:top w:val="nil"/>
              <w:left w:val="nil"/>
              <w:bottom w:val="nil"/>
              <w:right w:val="nil"/>
            </w:tcBorders>
            <w:tcMar>
              <w:top w:w="100" w:type="dxa"/>
              <w:left w:w="100" w:type="dxa"/>
              <w:bottom w:w="100" w:type="dxa"/>
              <w:right w:w="100" w:type="dxa"/>
            </w:tcMar>
          </w:tcPr>
          <w:p w14:paraId="02FE051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3045" w:type="dxa"/>
            <w:tcBorders>
              <w:top w:val="nil"/>
              <w:left w:val="nil"/>
              <w:bottom w:val="nil"/>
              <w:right w:val="nil"/>
            </w:tcBorders>
            <w:tcMar>
              <w:top w:w="100" w:type="dxa"/>
              <w:left w:w="100" w:type="dxa"/>
              <w:bottom w:w="100" w:type="dxa"/>
              <w:right w:w="100" w:type="dxa"/>
            </w:tcMar>
          </w:tcPr>
          <w:p w14:paraId="661714E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1E89ED4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2C60F4A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Limited institutional sample</w:t>
            </w:r>
          </w:p>
        </w:tc>
      </w:tr>
      <w:tr w:rsidR="00EF492E" w:rsidRPr="00EF492E" w14:paraId="09314131" w14:textId="77777777" w:rsidTr="00516F66">
        <w:trPr>
          <w:trHeight w:val="146"/>
        </w:trPr>
        <w:tc>
          <w:tcPr>
            <w:tcW w:w="2595" w:type="dxa"/>
            <w:tcBorders>
              <w:top w:val="nil"/>
              <w:left w:val="nil"/>
              <w:bottom w:val="nil"/>
              <w:right w:val="nil"/>
            </w:tcBorders>
            <w:tcMar>
              <w:top w:w="100" w:type="dxa"/>
              <w:left w:w="100" w:type="dxa"/>
              <w:bottom w:w="100" w:type="dxa"/>
              <w:right w:w="100" w:type="dxa"/>
            </w:tcMar>
          </w:tcPr>
          <w:p w14:paraId="24EF88D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Daquis et al. (2016)</w:t>
            </w:r>
          </w:p>
        </w:tc>
        <w:tc>
          <w:tcPr>
            <w:tcW w:w="2340" w:type="dxa"/>
            <w:tcBorders>
              <w:top w:val="nil"/>
              <w:left w:val="nil"/>
              <w:bottom w:val="nil"/>
              <w:right w:val="nil"/>
            </w:tcBorders>
            <w:tcMar>
              <w:top w:w="100" w:type="dxa"/>
              <w:left w:w="100" w:type="dxa"/>
              <w:bottom w:w="100" w:type="dxa"/>
              <w:right w:w="100" w:type="dxa"/>
            </w:tcMar>
          </w:tcPr>
          <w:p w14:paraId="1461EB3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tracer study</w:t>
            </w:r>
          </w:p>
        </w:tc>
        <w:tc>
          <w:tcPr>
            <w:tcW w:w="3045" w:type="dxa"/>
            <w:tcBorders>
              <w:top w:val="nil"/>
              <w:left w:val="nil"/>
              <w:bottom w:val="nil"/>
              <w:right w:val="nil"/>
            </w:tcBorders>
            <w:tcMar>
              <w:top w:w="100" w:type="dxa"/>
              <w:left w:w="100" w:type="dxa"/>
              <w:bottom w:w="100" w:type="dxa"/>
              <w:right w:w="100" w:type="dxa"/>
            </w:tcMar>
          </w:tcPr>
          <w:p w14:paraId="0B8A470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52D4609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38895FE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Self-reported employability outcomes</w:t>
            </w:r>
          </w:p>
        </w:tc>
      </w:tr>
      <w:tr w:rsidR="00EF492E" w:rsidRPr="00EF492E" w14:paraId="2FC72EAE" w14:textId="77777777" w:rsidTr="00516F66">
        <w:trPr>
          <w:trHeight w:val="161"/>
        </w:trPr>
        <w:tc>
          <w:tcPr>
            <w:tcW w:w="2595" w:type="dxa"/>
            <w:tcBorders>
              <w:top w:val="nil"/>
              <w:left w:val="nil"/>
              <w:bottom w:val="nil"/>
              <w:right w:val="nil"/>
            </w:tcBorders>
            <w:tcMar>
              <w:top w:w="100" w:type="dxa"/>
              <w:left w:w="100" w:type="dxa"/>
              <w:bottom w:w="100" w:type="dxa"/>
              <w:right w:w="100" w:type="dxa"/>
            </w:tcMar>
          </w:tcPr>
          <w:p w14:paraId="419EBC9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Valdez (2012)</w:t>
            </w:r>
          </w:p>
        </w:tc>
        <w:tc>
          <w:tcPr>
            <w:tcW w:w="2340" w:type="dxa"/>
            <w:tcBorders>
              <w:top w:val="nil"/>
              <w:left w:val="nil"/>
              <w:bottom w:val="nil"/>
              <w:right w:val="nil"/>
            </w:tcBorders>
            <w:tcMar>
              <w:top w:w="100" w:type="dxa"/>
              <w:left w:w="100" w:type="dxa"/>
              <w:bottom w:w="100" w:type="dxa"/>
              <w:right w:w="100" w:type="dxa"/>
            </w:tcMar>
          </w:tcPr>
          <w:p w14:paraId="01B57A6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3045" w:type="dxa"/>
            <w:tcBorders>
              <w:top w:val="nil"/>
              <w:left w:val="nil"/>
              <w:bottom w:val="nil"/>
              <w:right w:val="nil"/>
            </w:tcBorders>
            <w:tcMar>
              <w:top w:w="100" w:type="dxa"/>
              <w:left w:w="100" w:type="dxa"/>
              <w:bottom w:w="100" w:type="dxa"/>
              <w:right w:w="100" w:type="dxa"/>
            </w:tcMar>
          </w:tcPr>
          <w:p w14:paraId="2A262FF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160BE3F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613455A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Single-institution population</w:t>
            </w:r>
          </w:p>
        </w:tc>
      </w:tr>
      <w:tr w:rsidR="00EF492E" w:rsidRPr="00EF492E" w14:paraId="75192F0F" w14:textId="77777777" w:rsidTr="00516F66">
        <w:trPr>
          <w:trHeight w:val="165"/>
        </w:trPr>
        <w:tc>
          <w:tcPr>
            <w:tcW w:w="2595" w:type="dxa"/>
            <w:tcBorders>
              <w:top w:val="nil"/>
              <w:left w:val="nil"/>
              <w:bottom w:val="nil"/>
              <w:right w:val="nil"/>
            </w:tcBorders>
            <w:tcMar>
              <w:top w:w="100" w:type="dxa"/>
              <w:left w:w="100" w:type="dxa"/>
              <w:bottom w:w="100" w:type="dxa"/>
              <w:right w:w="100" w:type="dxa"/>
            </w:tcMar>
          </w:tcPr>
          <w:p w14:paraId="07568D7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Araneta (2021)</w:t>
            </w:r>
          </w:p>
        </w:tc>
        <w:tc>
          <w:tcPr>
            <w:tcW w:w="2340" w:type="dxa"/>
            <w:tcBorders>
              <w:top w:val="nil"/>
              <w:left w:val="nil"/>
              <w:bottom w:val="nil"/>
              <w:right w:val="nil"/>
            </w:tcBorders>
            <w:tcMar>
              <w:top w:w="100" w:type="dxa"/>
              <w:left w:w="100" w:type="dxa"/>
              <w:bottom w:w="100" w:type="dxa"/>
              <w:right w:w="100" w:type="dxa"/>
            </w:tcMar>
          </w:tcPr>
          <w:p w14:paraId="1E7E20A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Tracer study</w:t>
            </w:r>
          </w:p>
        </w:tc>
        <w:tc>
          <w:tcPr>
            <w:tcW w:w="3045" w:type="dxa"/>
            <w:tcBorders>
              <w:top w:val="nil"/>
              <w:left w:val="nil"/>
              <w:bottom w:val="nil"/>
              <w:right w:val="nil"/>
            </w:tcBorders>
            <w:tcMar>
              <w:top w:w="100" w:type="dxa"/>
              <w:left w:w="100" w:type="dxa"/>
              <w:bottom w:w="100" w:type="dxa"/>
              <w:right w:w="100" w:type="dxa"/>
            </w:tcMar>
          </w:tcPr>
          <w:p w14:paraId="67B70A9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741D587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24D75D0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Limited long-term follow-up</w:t>
            </w:r>
          </w:p>
        </w:tc>
      </w:tr>
      <w:tr w:rsidR="00EF492E" w:rsidRPr="00EF492E" w14:paraId="2F0695D4" w14:textId="77777777" w:rsidTr="00516F66">
        <w:trPr>
          <w:trHeight w:val="15"/>
        </w:trPr>
        <w:tc>
          <w:tcPr>
            <w:tcW w:w="2595" w:type="dxa"/>
            <w:tcBorders>
              <w:top w:val="nil"/>
              <w:left w:val="nil"/>
              <w:bottom w:val="nil"/>
              <w:right w:val="nil"/>
            </w:tcBorders>
            <w:tcMar>
              <w:top w:w="100" w:type="dxa"/>
              <w:left w:w="100" w:type="dxa"/>
              <w:bottom w:w="100" w:type="dxa"/>
              <w:right w:w="100" w:type="dxa"/>
            </w:tcMar>
          </w:tcPr>
          <w:p w14:paraId="622F37E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Mendoza (2021)</w:t>
            </w:r>
          </w:p>
        </w:tc>
        <w:tc>
          <w:tcPr>
            <w:tcW w:w="2340" w:type="dxa"/>
            <w:tcBorders>
              <w:top w:val="nil"/>
              <w:left w:val="nil"/>
              <w:bottom w:val="nil"/>
              <w:right w:val="nil"/>
            </w:tcBorders>
            <w:tcMar>
              <w:top w:w="100" w:type="dxa"/>
              <w:left w:w="100" w:type="dxa"/>
              <w:bottom w:w="100" w:type="dxa"/>
              <w:right w:w="100" w:type="dxa"/>
            </w:tcMar>
          </w:tcPr>
          <w:p w14:paraId="488070A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026ED1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70724C4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6BE443B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Institution-specific findings</w:t>
            </w:r>
          </w:p>
        </w:tc>
      </w:tr>
      <w:tr w:rsidR="00EF492E" w:rsidRPr="00EF492E" w14:paraId="6B3038B6" w14:textId="77777777" w:rsidTr="00516F66">
        <w:trPr>
          <w:trHeight w:val="41"/>
        </w:trPr>
        <w:tc>
          <w:tcPr>
            <w:tcW w:w="2595" w:type="dxa"/>
            <w:tcBorders>
              <w:top w:val="nil"/>
              <w:left w:val="nil"/>
              <w:bottom w:val="nil"/>
              <w:right w:val="nil"/>
            </w:tcBorders>
            <w:tcMar>
              <w:top w:w="100" w:type="dxa"/>
              <w:left w:w="100" w:type="dxa"/>
              <w:bottom w:w="100" w:type="dxa"/>
              <w:right w:w="100" w:type="dxa"/>
            </w:tcMar>
          </w:tcPr>
          <w:p w14:paraId="2AAEB17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Samaniego-</w:t>
            </w:r>
            <w:proofErr w:type="spellStart"/>
            <w:r w:rsidRPr="00EF492E">
              <w:rPr>
                <w:rFonts w:ascii="Times New Roman" w:eastAsia="Times New Roman" w:hAnsi="Times New Roman" w:cs="Times New Roman"/>
                <w:sz w:val="24"/>
                <w:szCs w:val="24"/>
              </w:rPr>
              <w:t>Mananghaya</w:t>
            </w:r>
            <w:proofErr w:type="spellEnd"/>
            <w:r w:rsidRPr="00EF492E">
              <w:rPr>
                <w:rFonts w:ascii="Times New Roman" w:eastAsia="Times New Roman" w:hAnsi="Times New Roman" w:cs="Times New Roman"/>
                <w:sz w:val="24"/>
                <w:szCs w:val="24"/>
              </w:rPr>
              <w:t xml:space="preserve"> (2025)</w:t>
            </w:r>
          </w:p>
        </w:tc>
        <w:tc>
          <w:tcPr>
            <w:tcW w:w="2340" w:type="dxa"/>
            <w:tcBorders>
              <w:top w:val="nil"/>
              <w:left w:val="nil"/>
              <w:bottom w:val="nil"/>
              <w:right w:val="nil"/>
            </w:tcBorders>
            <w:tcMar>
              <w:top w:w="100" w:type="dxa"/>
              <w:left w:w="100" w:type="dxa"/>
              <w:bottom w:w="100" w:type="dxa"/>
              <w:right w:w="100" w:type="dxa"/>
            </w:tcMar>
          </w:tcPr>
          <w:p w14:paraId="0ADB1F1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134373D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1DBEEBF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406E86A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Reliance on perception-based measures</w:t>
            </w:r>
          </w:p>
        </w:tc>
      </w:tr>
      <w:tr w:rsidR="00EF492E" w:rsidRPr="00EF492E" w14:paraId="3FB5F975" w14:textId="77777777" w:rsidTr="00516F66">
        <w:trPr>
          <w:trHeight w:val="60"/>
        </w:trPr>
        <w:tc>
          <w:tcPr>
            <w:tcW w:w="2595" w:type="dxa"/>
            <w:tcBorders>
              <w:top w:val="nil"/>
              <w:left w:val="nil"/>
              <w:bottom w:val="nil"/>
              <w:right w:val="nil"/>
            </w:tcBorders>
            <w:tcMar>
              <w:top w:w="100" w:type="dxa"/>
              <w:left w:w="100" w:type="dxa"/>
              <w:bottom w:w="100" w:type="dxa"/>
              <w:right w:w="100" w:type="dxa"/>
            </w:tcMar>
          </w:tcPr>
          <w:p w14:paraId="33FC96FA"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Cerbito</w:t>
            </w:r>
            <w:proofErr w:type="spellEnd"/>
            <w:r w:rsidRPr="00EF492E">
              <w:rPr>
                <w:rFonts w:ascii="Times New Roman" w:eastAsia="Times New Roman" w:hAnsi="Times New Roman" w:cs="Times New Roman"/>
                <w:sz w:val="24"/>
                <w:szCs w:val="24"/>
              </w:rPr>
              <w:t xml:space="preserve"> et al. (2020)</w:t>
            </w:r>
          </w:p>
        </w:tc>
        <w:tc>
          <w:tcPr>
            <w:tcW w:w="2340" w:type="dxa"/>
            <w:tcBorders>
              <w:top w:val="nil"/>
              <w:left w:val="nil"/>
              <w:bottom w:val="nil"/>
              <w:right w:val="nil"/>
            </w:tcBorders>
            <w:tcMar>
              <w:top w:w="100" w:type="dxa"/>
              <w:left w:w="100" w:type="dxa"/>
              <w:bottom w:w="100" w:type="dxa"/>
              <w:right w:w="100" w:type="dxa"/>
            </w:tcMar>
          </w:tcPr>
          <w:p w14:paraId="7C38CE3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3045" w:type="dxa"/>
            <w:tcBorders>
              <w:top w:val="nil"/>
              <w:left w:val="nil"/>
              <w:bottom w:val="nil"/>
              <w:right w:val="nil"/>
            </w:tcBorders>
            <w:tcMar>
              <w:top w:w="100" w:type="dxa"/>
              <w:left w:w="100" w:type="dxa"/>
              <w:bottom w:w="100" w:type="dxa"/>
              <w:right w:w="100" w:type="dxa"/>
            </w:tcMar>
          </w:tcPr>
          <w:p w14:paraId="2A4BBBD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3672193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523E6BA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Small sample size</w:t>
            </w:r>
          </w:p>
        </w:tc>
      </w:tr>
      <w:tr w:rsidR="00EF492E" w:rsidRPr="00EF492E" w14:paraId="543E631D" w14:textId="77777777" w:rsidTr="00516F66">
        <w:tc>
          <w:tcPr>
            <w:tcW w:w="2595" w:type="dxa"/>
            <w:tcBorders>
              <w:top w:val="nil"/>
              <w:left w:val="nil"/>
              <w:bottom w:val="nil"/>
              <w:right w:val="nil"/>
            </w:tcBorders>
            <w:tcMar>
              <w:top w:w="100" w:type="dxa"/>
              <w:left w:w="100" w:type="dxa"/>
              <w:bottom w:w="100" w:type="dxa"/>
              <w:right w:w="100" w:type="dxa"/>
            </w:tcMar>
          </w:tcPr>
          <w:p w14:paraId="432FD20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Bulauitan</w:t>
            </w:r>
            <w:proofErr w:type="spellEnd"/>
            <w:r w:rsidRPr="00EF492E">
              <w:rPr>
                <w:rFonts w:ascii="Times New Roman" w:eastAsia="Times New Roman" w:hAnsi="Times New Roman" w:cs="Times New Roman"/>
                <w:sz w:val="24"/>
                <w:szCs w:val="24"/>
              </w:rPr>
              <w:t xml:space="preserve"> et al. (2024)</w:t>
            </w:r>
          </w:p>
        </w:tc>
        <w:tc>
          <w:tcPr>
            <w:tcW w:w="2340" w:type="dxa"/>
            <w:tcBorders>
              <w:top w:val="nil"/>
              <w:left w:val="nil"/>
              <w:bottom w:val="nil"/>
              <w:right w:val="nil"/>
            </w:tcBorders>
            <w:tcMar>
              <w:top w:w="100" w:type="dxa"/>
              <w:left w:w="100" w:type="dxa"/>
              <w:bottom w:w="100" w:type="dxa"/>
              <w:right w:w="100" w:type="dxa"/>
            </w:tcMar>
          </w:tcPr>
          <w:p w14:paraId="1C9905D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35813AB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39B6F1E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3A6BCA5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Regional limitation</w:t>
            </w:r>
          </w:p>
        </w:tc>
      </w:tr>
      <w:tr w:rsidR="00EF492E" w:rsidRPr="00EF492E" w14:paraId="51F3FDBF"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786D44DF"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Umpar</w:t>
            </w:r>
            <w:proofErr w:type="spellEnd"/>
            <w:r w:rsidRPr="00EF492E">
              <w:rPr>
                <w:rFonts w:ascii="Times New Roman" w:eastAsia="Times New Roman" w:hAnsi="Times New Roman" w:cs="Times New Roman"/>
                <w:sz w:val="24"/>
                <w:szCs w:val="24"/>
              </w:rPr>
              <w:t xml:space="preserve"> &amp; Sison (2025)</w:t>
            </w:r>
          </w:p>
        </w:tc>
        <w:tc>
          <w:tcPr>
            <w:tcW w:w="2340" w:type="dxa"/>
            <w:tcBorders>
              <w:top w:val="nil"/>
              <w:left w:val="nil"/>
              <w:bottom w:val="nil"/>
              <w:right w:val="nil"/>
            </w:tcBorders>
            <w:tcMar>
              <w:top w:w="100" w:type="dxa"/>
              <w:left w:w="100" w:type="dxa"/>
              <w:bottom w:w="100" w:type="dxa"/>
              <w:right w:w="100" w:type="dxa"/>
            </w:tcMar>
          </w:tcPr>
          <w:p w14:paraId="12F80A1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50A7B73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4D2BE4C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27F3E06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Self-assessment bias</w:t>
            </w:r>
          </w:p>
        </w:tc>
      </w:tr>
      <w:tr w:rsidR="00EF492E" w:rsidRPr="00EF492E" w14:paraId="78FD0E23" w14:textId="77777777" w:rsidTr="00516F66">
        <w:trPr>
          <w:trHeight w:val="557"/>
        </w:trPr>
        <w:tc>
          <w:tcPr>
            <w:tcW w:w="2595" w:type="dxa"/>
            <w:tcBorders>
              <w:top w:val="nil"/>
              <w:left w:val="nil"/>
              <w:bottom w:val="nil"/>
              <w:right w:val="nil"/>
            </w:tcBorders>
            <w:tcMar>
              <w:top w:w="100" w:type="dxa"/>
              <w:left w:w="100" w:type="dxa"/>
              <w:bottom w:w="100" w:type="dxa"/>
              <w:right w:w="100" w:type="dxa"/>
            </w:tcMar>
          </w:tcPr>
          <w:p w14:paraId="185A62AE"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Felizarte</w:t>
            </w:r>
            <w:proofErr w:type="spellEnd"/>
            <w:r w:rsidRPr="00EF492E">
              <w:rPr>
                <w:rFonts w:ascii="Times New Roman" w:eastAsia="Times New Roman" w:hAnsi="Times New Roman" w:cs="Times New Roman"/>
                <w:sz w:val="24"/>
                <w:szCs w:val="24"/>
              </w:rPr>
              <w:t xml:space="preserve"> (2018)</w:t>
            </w:r>
          </w:p>
        </w:tc>
        <w:tc>
          <w:tcPr>
            <w:tcW w:w="2340" w:type="dxa"/>
            <w:tcBorders>
              <w:top w:val="nil"/>
              <w:left w:val="nil"/>
              <w:bottom w:val="nil"/>
              <w:right w:val="nil"/>
            </w:tcBorders>
            <w:tcMar>
              <w:top w:w="100" w:type="dxa"/>
              <w:left w:w="100" w:type="dxa"/>
              <w:bottom w:w="100" w:type="dxa"/>
              <w:right w:w="100" w:type="dxa"/>
            </w:tcMar>
          </w:tcPr>
          <w:p w14:paraId="5E885BF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303CF9C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2E4657F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5BA8E24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Specialized competency assessment limited to one setting</w:t>
            </w:r>
          </w:p>
        </w:tc>
      </w:tr>
      <w:tr w:rsidR="00EF492E" w:rsidRPr="00EF492E" w14:paraId="2FD7F302" w14:textId="77777777" w:rsidTr="00516F66">
        <w:tc>
          <w:tcPr>
            <w:tcW w:w="2595" w:type="dxa"/>
            <w:tcBorders>
              <w:top w:val="nil"/>
              <w:left w:val="nil"/>
              <w:bottom w:val="nil"/>
              <w:right w:val="nil"/>
            </w:tcBorders>
            <w:tcMar>
              <w:top w:w="100" w:type="dxa"/>
              <w:left w:w="100" w:type="dxa"/>
              <w:bottom w:w="100" w:type="dxa"/>
              <w:right w:w="100" w:type="dxa"/>
            </w:tcMar>
          </w:tcPr>
          <w:p w14:paraId="1F1440D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Cañete et al. (2024)</w:t>
            </w:r>
          </w:p>
        </w:tc>
        <w:tc>
          <w:tcPr>
            <w:tcW w:w="2340" w:type="dxa"/>
            <w:tcBorders>
              <w:top w:val="nil"/>
              <w:left w:val="nil"/>
              <w:bottom w:val="nil"/>
              <w:right w:val="nil"/>
            </w:tcBorders>
            <w:tcMar>
              <w:top w:w="100" w:type="dxa"/>
              <w:left w:w="100" w:type="dxa"/>
              <w:bottom w:w="100" w:type="dxa"/>
              <w:right w:w="100" w:type="dxa"/>
            </w:tcMar>
          </w:tcPr>
          <w:p w14:paraId="67082F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Qualitative study</w:t>
            </w:r>
          </w:p>
        </w:tc>
        <w:tc>
          <w:tcPr>
            <w:tcW w:w="3045" w:type="dxa"/>
            <w:tcBorders>
              <w:top w:val="nil"/>
              <w:left w:val="nil"/>
              <w:bottom w:val="nil"/>
              <w:right w:val="nil"/>
            </w:tcBorders>
            <w:tcMar>
              <w:top w:w="100" w:type="dxa"/>
              <w:left w:w="100" w:type="dxa"/>
              <w:bottom w:w="100" w:type="dxa"/>
              <w:right w:w="100" w:type="dxa"/>
            </w:tcMar>
          </w:tcPr>
          <w:p w14:paraId="401DBD8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Qualitative Checklist</w:t>
            </w:r>
          </w:p>
        </w:tc>
        <w:tc>
          <w:tcPr>
            <w:tcW w:w="2115" w:type="dxa"/>
            <w:tcBorders>
              <w:top w:val="nil"/>
              <w:left w:val="nil"/>
              <w:bottom w:val="nil"/>
              <w:right w:val="nil"/>
            </w:tcBorders>
            <w:tcMar>
              <w:top w:w="100" w:type="dxa"/>
              <w:left w:w="100" w:type="dxa"/>
              <w:bottom w:w="100" w:type="dxa"/>
              <w:right w:w="100" w:type="dxa"/>
            </w:tcMar>
          </w:tcPr>
          <w:p w14:paraId="4FFDEFB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5BE308D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Limited generalizability</w:t>
            </w:r>
          </w:p>
        </w:tc>
      </w:tr>
      <w:tr w:rsidR="00EF492E" w:rsidRPr="00EF492E" w14:paraId="570F124B" w14:textId="77777777" w:rsidTr="00516F66">
        <w:tc>
          <w:tcPr>
            <w:tcW w:w="2595" w:type="dxa"/>
            <w:tcBorders>
              <w:top w:val="nil"/>
              <w:left w:val="nil"/>
              <w:bottom w:val="nil"/>
              <w:right w:val="nil"/>
            </w:tcBorders>
            <w:tcMar>
              <w:top w:w="100" w:type="dxa"/>
              <w:left w:w="100" w:type="dxa"/>
              <w:bottom w:w="100" w:type="dxa"/>
              <w:right w:w="100" w:type="dxa"/>
            </w:tcMar>
          </w:tcPr>
          <w:p w14:paraId="0A925CB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Datinguinoo</w:t>
            </w:r>
            <w:proofErr w:type="spellEnd"/>
            <w:r w:rsidRPr="00EF492E">
              <w:rPr>
                <w:rFonts w:ascii="Times New Roman" w:eastAsia="Times New Roman" w:hAnsi="Times New Roman" w:cs="Times New Roman"/>
                <w:sz w:val="24"/>
                <w:szCs w:val="24"/>
              </w:rPr>
              <w:t xml:space="preserve"> et al. (2022)</w:t>
            </w:r>
          </w:p>
        </w:tc>
        <w:tc>
          <w:tcPr>
            <w:tcW w:w="2340" w:type="dxa"/>
            <w:tcBorders>
              <w:top w:val="nil"/>
              <w:left w:val="nil"/>
              <w:bottom w:val="nil"/>
              <w:right w:val="nil"/>
            </w:tcBorders>
            <w:tcMar>
              <w:top w:w="100" w:type="dxa"/>
              <w:left w:w="100" w:type="dxa"/>
              <w:bottom w:w="100" w:type="dxa"/>
              <w:right w:w="100" w:type="dxa"/>
            </w:tcMar>
          </w:tcPr>
          <w:p w14:paraId="2BFB627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Cross-sectional study</w:t>
            </w:r>
          </w:p>
        </w:tc>
        <w:tc>
          <w:tcPr>
            <w:tcW w:w="3045" w:type="dxa"/>
            <w:tcBorders>
              <w:top w:val="nil"/>
              <w:left w:val="nil"/>
              <w:bottom w:val="nil"/>
              <w:right w:val="nil"/>
            </w:tcBorders>
            <w:tcMar>
              <w:top w:w="100" w:type="dxa"/>
              <w:left w:w="100" w:type="dxa"/>
              <w:bottom w:w="100" w:type="dxa"/>
              <w:right w:w="100" w:type="dxa"/>
            </w:tcMar>
          </w:tcPr>
          <w:p w14:paraId="65FC8F5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251329D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6B37CF0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Knowledge assessment restricted to selected schools</w:t>
            </w:r>
          </w:p>
        </w:tc>
      </w:tr>
      <w:tr w:rsidR="00EF492E" w:rsidRPr="00EF492E" w14:paraId="4AAF50DE" w14:textId="77777777" w:rsidTr="00516F66">
        <w:trPr>
          <w:trHeight w:val="45"/>
        </w:trPr>
        <w:tc>
          <w:tcPr>
            <w:tcW w:w="2595" w:type="dxa"/>
            <w:tcBorders>
              <w:top w:val="nil"/>
              <w:left w:val="nil"/>
              <w:bottom w:val="nil"/>
              <w:right w:val="nil"/>
            </w:tcBorders>
            <w:tcMar>
              <w:top w:w="100" w:type="dxa"/>
              <w:left w:w="100" w:type="dxa"/>
              <w:bottom w:w="100" w:type="dxa"/>
              <w:right w:w="100" w:type="dxa"/>
            </w:tcMar>
          </w:tcPr>
          <w:p w14:paraId="783DA8BA"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Elegado</w:t>
            </w:r>
            <w:proofErr w:type="spellEnd"/>
            <w:r w:rsidRPr="00EF492E">
              <w:rPr>
                <w:rFonts w:ascii="Times New Roman" w:eastAsia="Times New Roman" w:hAnsi="Times New Roman" w:cs="Times New Roman"/>
                <w:sz w:val="24"/>
                <w:szCs w:val="24"/>
              </w:rPr>
              <w:t xml:space="preserve"> et al. (2015)</w:t>
            </w:r>
          </w:p>
        </w:tc>
        <w:tc>
          <w:tcPr>
            <w:tcW w:w="2340" w:type="dxa"/>
            <w:tcBorders>
              <w:top w:val="nil"/>
              <w:left w:val="nil"/>
              <w:bottom w:val="nil"/>
              <w:right w:val="nil"/>
            </w:tcBorders>
            <w:tcMar>
              <w:top w:w="100" w:type="dxa"/>
              <w:left w:w="100" w:type="dxa"/>
              <w:bottom w:w="100" w:type="dxa"/>
              <w:right w:w="100" w:type="dxa"/>
            </w:tcMar>
          </w:tcPr>
          <w:p w14:paraId="707ECD7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4B9D75F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72C485C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784D5B2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Technical skill variability</w:t>
            </w:r>
          </w:p>
        </w:tc>
      </w:tr>
      <w:tr w:rsidR="00EF492E" w:rsidRPr="00EF492E" w14:paraId="35C6ECFB" w14:textId="77777777" w:rsidTr="00516F66">
        <w:trPr>
          <w:trHeight w:val="15"/>
        </w:trPr>
        <w:tc>
          <w:tcPr>
            <w:tcW w:w="2595" w:type="dxa"/>
            <w:tcBorders>
              <w:top w:val="nil"/>
              <w:left w:val="nil"/>
              <w:bottom w:val="nil"/>
              <w:right w:val="nil"/>
            </w:tcBorders>
            <w:tcMar>
              <w:top w:w="100" w:type="dxa"/>
              <w:left w:w="100" w:type="dxa"/>
              <w:bottom w:w="100" w:type="dxa"/>
              <w:right w:w="100" w:type="dxa"/>
            </w:tcMar>
          </w:tcPr>
          <w:p w14:paraId="42BE432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Gallardo &amp; Sison (2025)</w:t>
            </w:r>
          </w:p>
        </w:tc>
        <w:tc>
          <w:tcPr>
            <w:tcW w:w="2340" w:type="dxa"/>
            <w:tcBorders>
              <w:top w:val="nil"/>
              <w:left w:val="nil"/>
              <w:bottom w:val="nil"/>
              <w:right w:val="nil"/>
            </w:tcBorders>
            <w:tcMar>
              <w:top w:w="100" w:type="dxa"/>
              <w:left w:w="100" w:type="dxa"/>
              <w:bottom w:w="100" w:type="dxa"/>
              <w:right w:w="100" w:type="dxa"/>
            </w:tcMar>
          </w:tcPr>
          <w:p w14:paraId="18239F6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3045" w:type="dxa"/>
            <w:tcBorders>
              <w:top w:val="nil"/>
              <w:left w:val="nil"/>
              <w:bottom w:val="nil"/>
              <w:right w:val="nil"/>
            </w:tcBorders>
            <w:tcMar>
              <w:top w:w="100" w:type="dxa"/>
              <w:left w:w="100" w:type="dxa"/>
              <w:bottom w:w="100" w:type="dxa"/>
              <w:right w:w="100" w:type="dxa"/>
            </w:tcMar>
          </w:tcPr>
          <w:p w14:paraId="29A67FD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7383440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0DD4BF9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Limited external validity</w:t>
            </w:r>
          </w:p>
        </w:tc>
      </w:tr>
      <w:tr w:rsidR="00EF492E" w:rsidRPr="00EF492E" w14:paraId="1A654E03" w14:textId="77777777" w:rsidTr="00516F66">
        <w:tc>
          <w:tcPr>
            <w:tcW w:w="2595" w:type="dxa"/>
            <w:tcBorders>
              <w:top w:val="nil"/>
              <w:left w:val="nil"/>
              <w:bottom w:val="nil"/>
              <w:right w:val="nil"/>
            </w:tcBorders>
            <w:tcMar>
              <w:top w:w="100" w:type="dxa"/>
              <w:left w:w="100" w:type="dxa"/>
              <w:bottom w:w="100" w:type="dxa"/>
              <w:right w:w="100" w:type="dxa"/>
            </w:tcMar>
          </w:tcPr>
          <w:p w14:paraId="2B7E2CF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Ibañez (2025)</w:t>
            </w:r>
          </w:p>
        </w:tc>
        <w:tc>
          <w:tcPr>
            <w:tcW w:w="2340" w:type="dxa"/>
            <w:tcBorders>
              <w:top w:val="nil"/>
              <w:left w:val="nil"/>
              <w:bottom w:val="nil"/>
              <w:right w:val="nil"/>
            </w:tcBorders>
            <w:tcMar>
              <w:top w:w="100" w:type="dxa"/>
              <w:left w:w="100" w:type="dxa"/>
              <w:bottom w:w="100" w:type="dxa"/>
              <w:right w:w="100" w:type="dxa"/>
            </w:tcMar>
          </w:tcPr>
          <w:p w14:paraId="228F695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Retrospective longitudinal study</w:t>
            </w:r>
          </w:p>
        </w:tc>
        <w:tc>
          <w:tcPr>
            <w:tcW w:w="3045" w:type="dxa"/>
            <w:tcBorders>
              <w:top w:val="nil"/>
              <w:left w:val="nil"/>
              <w:bottom w:val="nil"/>
              <w:right w:val="nil"/>
            </w:tcBorders>
            <w:tcMar>
              <w:top w:w="100" w:type="dxa"/>
              <w:left w:w="100" w:type="dxa"/>
              <w:bottom w:w="100" w:type="dxa"/>
              <w:right w:w="100" w:type="dxa"/>
            </w:tcMar>
          </w:tcPr>
          <w:p w14:paraId="72C8897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Cohort Checklist</w:t>
            </w:r>
          </w:p>
        </w:tc>
        <w:tc>
          <w:tcPr>
            <w:tcW w:w="2115" w:type="dxa"/>
            <w:tcBorders>
              <w:top w:val="nil"/>
              <w:left w:val="nil"/>
              <w:bottom w:val="nil"/>
              <w:right w:val="nil"/>
            </w:tcBorders>
            <w:tcMar>
              <w:top w:w="100" w:type="dxa"/>
              <w:left w:w="100" w:type="dxa"/>
              <w:bottom w:w="100" w:type="dxa"/>
              <w:right w:w="100" w:type="dxa"/>
            </w:tcMar>
          </w:tcPr>
          <w:p w14:paraId="124D8A4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w:t>
            </w:r>
          </w:p>
        </w:tc>
        <w:tc>
          <w:tcPr>
            <w:tcW w:w="2985" w:type="dxa"/>
            <w:tcBorders>
              <w:top w:val="nil"/>
              <w:left w:val="nil"/>
              <w:bottom w:val="nil"/>
              <w:right w:val="nil"/>
            </w:tcBorders>
            <w:tcMar>
              <w:top w:w="100" w:type="dxa"/>
              <w:left w:w="100" w:type="dxa"/>
              <w:bottom w:w="100" w:type="dxa"/>
              <w:right w:w="100" w:type="dxa"/>
            </w:tcMar>
          </w:tcPr>
          <w:p w14:paraId="43BF3BC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Institutional heterogeneity</w:t>
            </w:r>
          </w:p>
        </w:tc>
      </w:tr>
      <w:tr w:rsidR="00EF492E" w:rsidRPr="00EF492E" w14:paraId="0A71F772" w14:textId="77777777" w:rsidTr="00516F66">
        <w:trPr>
          <w:trHeight w:val="285"/>
        </w:trPr>
        <w:tc>
          <w:tcPr>
            <w:tcW w:w="2595" w:type="dxa"/>
            <w:tcBorders>
              <w:top w:val="nil"/>
              <w:left w:val="nil"/>
              <w:bottom w:val="nil"/>
              <w:right w:val="nil"/>
            </w:tcBorders>
            <w:tcMar>
              <w:top w:w="100" w:type="dxa"/>
              <w:left w:w="100" w:type="dxa"/>
              <w:bottom w:w="100" w:type="dxa"/>
              <w:right w:w="100" w:type="dxa"/>
            </w:tcMar>
          </w:tcPr>
          <w:p w14:paraId="3B6E813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Bagtasos</w:t>
            </w:r>
            <w:proofErr w:type="spellEnd"/>
            <w:r w:rsidRPr="00EF492E">
              <w:rPr>
                <w:rFonts w:ascii="Times New Roman" w:eastAsia="Times New Roman" w:hAnsi="Times New Roman" w:cs="Times New Roman"/>
                <w:sz w:val="24"/>
                <w:szCs w:val="24"/>
              </w:rPr>
              <w:t xml:space="preserve"> et al. (2023)</w:t>
            </w:r>
          </w:p>
        </w:tc>
        <w:tc>
          <w:tcPr>
            <w:tcW w:w="2340" w:type="dxa"/>
            <w:tcBorders>
              <w:top w:val="nil"/>
              <w:left w:val="nil"/>
              <w:bottom w:val="nil"/>
              <w:right w:val="nil"/>
            </w:tcBorders>
            <w:tcMar>
              <w:top w:w="100" w:type="dxa"/>
              <w:left w:w="100" w:type="dxa"/>
              <w:bottom w:w="100" w:type="dxa"/>
              <w:right w:w="100" w:type="dxa"/>
            </w:tcMar>
          </w:tcPr>
          <w:p w14:paraId="195FD05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0BC80CF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14A55F0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273A80F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Migration intentions may not reflect actual migration</w:t>
            </w:r>
          </w:p>
        </w:tc>
      </w:tr>
      <w:tr w:rsidR="00EF492E" w:rsidRPr="00EF492E" w14:paraId="45D63146"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512E8BFB"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Paciente</w:t>
            </w:r>
            <w:proofErr w:type="spellEnd"/>
            <w:r w:rsidRPr="00EF492E">
              <w:rPr>
                <w:rFonts w:ascii="Times New Roman" w:eastAsia="Times New Roman" w:hAnsi="Times New Roman" w:cs="Times New Roman"/>
                <w:sz w:val="24"/>
                <w:szCs w:val="24"/>
              </w:rPr>
              <w:t xml:space="preserve"> (2023)</w:t>
            </w:r>
          </w:p>
        </w:tc>
        <w:tc>
          <w:tcPr>
            <w:tcW w:w="2340" w:type="dxa"/>
            <w:tcBorders>
              <w:top w:val="nil"/>
              <w:left w:val="nil"/>
              <w:bottom w:val="nil"/>
              <w:right w:val="nil"/>
            </w:tcBorders>
            <w:tcMar>
              <w:top w:w="100" w:type="dxa"/>
              <w:left w:w="100" w:type="dxa"/>
              <w:bottom w:w="100" w:type="dxa"/>
              <w:right w:w="100" w:type="dxa"/>
            </w:tcMar>
          </w:tcPr>
          <w:p w14:paraId="01BD058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Regression analysis</w:t>
            </w:r>
          </w:p>
        </w:tc>
        <w:tc>
          <w:tcPr>
            <w:tcW w:w="3045" w:type="dxa"/>
            <w:tcBorders>
              <w:top w:val="nil"/>
              <w:left w:val="nil"/>
              <w:bottom w:val="nil"/>
              <w:right w:val="nil"/>
            </w:tcBorders>
            <w:tcMar>
              <w:top w:w="100" w:type="dxa"/>
              <w:left w:w="100" w:type="dxa"/>
              <w:bottom w:w="100" w:type="dxa"/>
              <w:right w:w="100" w:type="dxa"/>
            </w:tcMar>
          </w:tcPr>
          <w:p w14:paraId="4B8A1B1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0C3DC4F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w:t>
            </w:r>
          </w:p>
        </w:tc>
        <w:tc>
          <w:tcPr>
            <w:tcW w:w="2985" w:type="dxa"/>
            <w:tcBorders>
              <w:top w:val="nil"/>
              <w:left w:val="nil"/>
              <w:bottom w:val="nil"/>
              <w:right w:val="nil"/>
            </w:tcBorders>
            <w:tcMar>
              <w:top w:w="100" w:type="dxa"/>
              <w:left w:w="100" w:type="dxa"/>
              <w:bottom w:w="100" w:type="dxa"/>
              <w:right w:w="100" w:type="dxa"/>
            </w:tcMar>
          </w:tcPr>
          <w:p w14:paraId="38B9AAB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Limited geographic coverage</w:t>
            </w:r>
          </w:p>
        </w:tc>
      </w:tr>
      <w:tr w:rsidR="00EF492E" w:rsidRPr="00EF492E" w14:paraId="611CF09D" w14:textId="77777777" w:rsidTr="00516F66">
        <w:trPr>
          <w:trHeight w:val="1085"/>
        </w:trPr>
        <w:tc>
          <w:tcPr>
            <w:tcW w:w="2595" w:type="dxa"/>
            <w:tcBorders>
              <w:top w:val="nil"/>
              <w:left w:val="nil"/>
              <w:bottom w:val="nil"/>
              <w:right w:val="nil"/>
            </w:tcBorders>
            <w:tcMar>
              <w:top w:w="100" w:type="dxa"/>
              <w:left w:w="100" w:type="dxa"/>
              <w:bottom w:w="100" w:type="dxa"/>
              <w:right w:w="100" w:type="dxa"/>
            </w:tcMar>
          </w:tcPr>
          <w:p w14:paraId="452D36A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Zaragoza (2025)</w:t>
            </w:r>
          </w:p>
        </w:tc>
        <w:tc>
          <w:tcPr>
            <w:tcW w:w="2340" w:type="dxa"/>
            <w:tcBorders>
              <w:top w:val="nil"/>
              <w:left w:val="nil"/>
              <w:bottom w:val="nil"/>
              <w:right w:val="nil"/>
            </w:tcBorders>
            <w:tcMar>
              <w:top w:w="100" w:type="dxa"/>
              <w:left w:w="100" w:type="dxa"/>
              <w:bottom w:w="100" w:type="dxa"/>
              <w:right w:w="100" w:type="dxa"/>
            </w:tcMar>
          </w:tcPr>
          <w:p w14:paraId="72957D0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Public health thesis</w:t>
            </w:r>
          </w:p>
        </w:tc>
        <w:tc>
          <w:tcPr>
            <w:tcW w:w="3045" w:type="dxa"/>
            <w:tcBorders>
              <w:top w:val="nil"/>
              <w:left w:val="nil"/>
              <w:bottom w:val="nil"/>
              <w:right w:val="nil"/>
            </w:tcBorders>
            <w:tcMar>
              <w:top w:w="100" w:type="dxa"/>
              <w:left w:w="100" w:type="dxa"/>
              <w:bottom w:w="100" w:type="dxa"/>
              <w:right w:w="100" w:type="dxa"/>
            </w:tcMar>
          </w:tcPr>
          <w:p w14:paraId="6BEB4F4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Qualitative/Cross-Sectional Checklist</w:t>
            </w:r>
          </w:p>
        </w:tc>
        <w:tc>
          <w:tcPr>
            <w:tcW w:w="2115" w:type="dxa"/>
            <w:tcBorders>
              <w:top w:val="nil"/>
              <w:left w:val="nil"/>
              <w:bottom w:val="nil"/>
              <w:right w:val="nil"/>
            </w:tcBorders>
            <w:tcMar>
              <w:top w:w="100" w:type="dxa"/>
              <w:left w:w="100" w:type="dxa"/>
              <w:bottom w:w="100" w:type="dxa"/>
              <w:right w:w="100" w:type="dxa"/>
            </w:tcMar>
          </w:tcPr>
          <w:p w14:paraId="3D4C9AC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3EDA8B4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Unpublished thesis limitations</w:t>
            </w:r>
          </w:p>
        </w:tc>
      </w:tr>
      <w:tr w:rsidR="00EF492E" w:rsidRPr="00EF492E" w14:paraId="183D6BA7"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2E479320"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Codomiz</w:t>
            </w:r>
            <w:proofErr w:type="spellEnd"/>
            <w:r w:rsidRPr="00EF492E">
              <w:rPr>
                <w:rFonts w:ascii="Times New Roman" w:eastAsia="Times New Roman" w:hAnsi="Times New Roman" w:cs="Times New Roman"/>
                <w:sz w:val="24"/>
                <w:szCs w:val="24"/>
              </w:rPr>
              <w:t xml:space="preserve"> et al. (2017)</w:t>
            </w:r>
          </w:p>
        </w:tc>
        <w:tc>
          <w:tcPr>
            <w:tcW w:w="2340" w:type="dxa"/>
            <w:tcBorders>
              <w:top w:val="nil"/>
              <w:left w:val="nil"/>
              <w:bottom w:val="nil"/>
              <w:right w:val="nil"/>
            </w:tcBorders>
            <w:tcMar>
              <w:top w:w="100" w:type="dxa"/>
              <w:left w:w="100" w:type="dxa"/>
              <w:bottom w:w="100" w:type="dxa"/>
              <w:right w:w="100" w:type="dxa"/>
            </w:tcMar>
          </w:tcPr>
          <w:p w14:paraId="0AE3EF2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655B157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7253760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06E4F2A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Hospital-specific data</w:t>
            </w:r>
          </w:p>
        </w:tc>
      </w:tr>
      <w:tr w:rsidR="00EF492E" w:rsidRPr="00EF492E" w14:paraId="5F512B66" w14:textId="77777777" w:rsidTr="00516F66">
        <w:trPr>
          <w:trHeight w:val="345"/>
        </w:trPr>
        <w:tc>
          <w:tcPr>
            <w:tcW w:w="2595" w:type="dxa"/>
            <w:tcBorders>
              <w:top w:val="nil"/>
              <w:left w:val="nil"/>
              <w:bottom w:val="nil"/>
              <w:right w:val="nil"/>
            </w:tcBorders>
            <w:tcMar>
              <w:top w:w="100" w:type="dxa"/>
              <w:left w:w="100" w:type="dxa"/>
              <w:bottom w:w="100" w:type="dxa"/>
              <w:right w:w="100" w:type="dxa"/>
            </w:tcMar>
          </w:tcPr>
          <w:p w14:paraId="075792A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Cardoso et al. (2025)</w:t>
            </w:r>
          </w:p>
        </w:tc>
        <w:tc>
          <w:tcPr>
            <w:tcW w:w="2340" w:type="dxa"/>
            <w:tcBorders>
              <w:top w:val="nil"/>
              <w:left w:val="nil"/>
              <w:bottom w:val="nil"/>
              <w:right w:val="nil"/>
            </w:tcBorders>
            <w:tcMar>
              <w:top w:w="100" w:type="dxa"/>
              <w:left w:w="100" w:type="dxa"/>
              <w:bottom w:w="100" w:type="dxa"/>
              <w:right w:w="100" w:type="dxa"/>
            </w:tcMar>
          </w:tcPr>
          <w:p w14:paraId="45A0DD5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47591F7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4117DFA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4BED07C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Short-term technological assessment</w:t>
            </w:r>
          </w:p>
        </w:tc>
      </w:tr>
      <w:tr w:rsidR="00EF492E" w:rsidRPr="00EF492E" w14:paraId="405D0219" w14:textId="77777777" w:rsidTr="00516F66">
        <w:trPr>
          <w:trHeight w:val="495"/>
        </w:trPr>
        <w:tc>
          <w:tcPr>
            <w:tcW w:w="2595" w:type="dxa"/>
            <w:tcBorders>
              <w:top w:val="nil"/>
              <w:left w:val="nil"/>
              <w:bottom w:val="nil"/>
              <w:right w:val="nil"/>
            </w:tcBorders>
            <w:tcMar>
              <w:top w:w="100" w:type="dxa"/>
              <w:left w:w="100" w:type="dxa"/>
              <w:bottom w:w="100" w:type="dxa"/>
              <w:right w:w="100" w:type="dxa"/>
            </w:tcMar>
          </w:tcPr>
          <w:p w14:paraId="47FABF6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Susiku et al. (2024)</w:t>
            </w:r>
          </w:p>
        </w:tc>
        <w:tc>
          <w:tcPr>
            <w:tcW w:w="2340" w:type="dxa"/>
            <w:tcBorders>
              <w:top w:val="nil"/>
              <w:left w:val="nil"/>
              <w:bottom w:val="nil"/>
              <w:right w:val="nil"/>
            </w:tcBorders>
            <w:tcMar>
              <w:top w:w="100" w:type="dxa"/>
              <w:left w:w="100" w:type="dxa"/>
              <w:bottom w:w="100" w:type="dxa"/>
              <w:right w:w="100" w:type="dxa"/>
            </w:tcMar>
          </w:tcPr>
          <w:p w14:paraId="798E642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Systematic review</w:t>
            </w:r>
          </w:p>
        </w:tc>
        <w:tc>
          <w:tcPr>
            <w:tcW w:w="3045" w:type="dxa"/>
            <w:tcBorders>
              <w:top w:val="nil"/>
              <w:left w:val="nil"/>
              <w:bottom w:val="nil"/>
              <w:right w:val="nil"/>
            </w:tcBorders>
            <w:tcMar>
              <w:top w:w="100" w:type="dxa"/>
              <w:left w:w="100" w:type="dxa"/>
              <w:bottom w:w="100" w:type="dxa"/>
              <w:right w:w="100" w:type="dxa"/>
            </w:tcMar>
          </w:tcPr>
          <w:p w14:paraId="66A43448"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AMSTAR/JBI Review Appraisal</w:t>
            </w:r>
          </w:p>
        </w:tc>
        <w:tc>
          <w:tcPr>
            <w:tcW w:w="2115" w:type="dxa"/>
            <w:tcBorders>
              <w:top w:val="nil"/>
              <w:left w:val="nil"/>
              <w:bottom w:val="nil"/>
              <w:right w:val="nil"/>
            </w:tcBorders>
            <w:tcMar>
              <w:top w:w="100" w:type="dxa"/>
              <w:left w:w="100" w:type="dxa"/>
              <w:bottom w:w="100" w:type="dxa"/>
              <w:right w:w="100" w:type="dxa"/>
            </w:tcMar>
          </w:tcPr>
          <w:p w14:paraId="4476966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High</w:t>
            </w:r>
          </w:p>
        </w:tc>
        <w:tc>
          <w:tcPr>
            <w:tcW w:w="2985" w:type="dxa"/>
            <w:tcBorders>
              <w:top w:val="nil"/>
              <w:left w:val="nil"/>
              <w:bottom w:val="nil"/>
              <w:right w:val="nil"/>
            </w:tcBorders>
            <w:tcMar>
              <w:top w:w="100" w:type="dxa"/>
              <w:left w:w="100" w:type="dxa"/>
              <w:bottom w:w="100" w:type="dxa"/>
              <w:right w:w="100" w:type="dxa"/>
            </w:tcMar>
          </w:tcPr>
          <w:p w14:paraId="1473FA7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International variability in educational models</w:t>
            </w:r>
          </w:p>
        </w:tc>
      </w:tr>
      <w:tr w:rsidR="00EF492E" w:rsidRPr="00EF492E" w14:paraId="6DA8CCFA" w14:textId="77777777" w:rsidTr="00516F66">
        <w:tc>
          <w:tcPr>
            <w:tcW w:w="2595" w:type="dxa"/>
            <w:tcBorders>
              <w:top w:val="nil"/>
              <w:left w:val="nil"/>
              <w:bottom w:val="nil"/>
              <w:right w:val="nil"/>
            </w:tcBorders>
            <w:tcMar>
              <w:top w:w="100" w:type="dxa"/>
              <w:left w:w="100" w:type="dxa"/>
              <w:bottom w:w="100" w:type="dxa"/>
              <w:right w:w="100" w:type="dxa"/>
            </w:tcMar>
          </w:tcPr>
          <w:p w14:paraId="4B264283"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Brutas</w:t>
            </w:r>
            <w:proofErr w:type="spellEnd"/>
            <w:r w:rsidRPr="00EF492E">
              <w:rPr>
                <w:rFonts w:ascii="Times New Roman" w:eastAsia="Times New Roman" w:hAnsi="Times New Roman" w:cs="Times New Roman"/>
                <w:sz w:val="24"/>
                <w:szCs w:val="24"/>
              </w:rPr>
              <w:t xml:space="preserve"> et al. (2024)</w:t>
            </w:r>
          </w:p>
        </w:tc>
        <w:tc>
          <w:tcPr>
            <w:tcW w:w="2340" w:type="dxa"/>
            <w:tcBorders>
              <w:top w:val="nil"/>
              <w:left w:val="nil"/>
              <w:bottom w:val="nil"/>
              <w:right w:val="nil"/>
            </w:tcBorders>
            <w:tcMar>
              <w:top w:w="100" w:type="dxa"/>
              <w:left w:w="100" w:type="dxa"/>
              <w:bottom w:w="100" w:type="dxa"/>
              <w:right w:w="100" w:type="dxa"/>
            </w:tcMar>
          </w:tcPr>
          <w:p w14:paraId="15D275BB"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45FB4E1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54F09DCD"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2DE2B79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Localized hospital sampling</w:t>
            </w:r>
          </w:p>
        </w:tc>
      </w:tr>
      <w:tr w:rsidR="00EF492E" w:rsidRPr="00EF492E" w14:paraId="1E1841EC"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7FCC7F76"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Partoza</w:t>
            </w:r>
            <w:proofErr w:type="spellEnd"/>
            <w:r w:rsidRPr="00EF492E">
              <w:rPr>
                <w:rFonts w:ascii="Times New Roman" w:eastAsia="Times New Roman" w:hAnsi="Times New Roman" w:cs="Times New Roman"/>
                <w:sz w:val="24"/>
                <w:szCs w:val="24"/>
              </w:rPr>
              <w:t xml:space="preserve"> &amp; Urbina (2025)</w:t>
            </w:r>
          </w:p>
        </w:tc>
        <w:tc>
          <w:tcPr>
            <w:tcW w:w="2340" w:type="dxa"/>
            <w:tcBorders>
              <w:top w:val="nil"/>
              <w:left w:val="nil"/>
              <w:bottom w:val="nil"/>
              <w:right w:val="nil"/>
            </w:tcBorders>
            <w:tcMar>
              <w:top w:w="100" w:type="dxa"/>
              <w:left w:w="100" w:type="dxa"/>
              <w:bottom w:w="100" w:type="dxa"/>
              <w:right w:w="100" w:type="dxa"/>
            </w:tcMar>
          </w:tcPr>
          <w:p w14:paraId="6342E0C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3045" w:type="dxa"/>
            <w:tcBorders>
              <w:top w:val="nil"/>
              <w:left w:val="nil"/>
              <w:bottom w:val="nil"/>
              <w:right w:val="nil"/>
            </w:tcBorders>
            <w:tcMar>
              <w:top w:w="100" w:type="dxa"/>
              <w:left w:w="100" w:type="dxa"/>
              <w:bottom w:w="100" w:type="dxa"/>
              <w:right w:w="100" w:type="dxa"/>
            </w:tcMar>
          </w:tcPr>
          <w:p w14:paraId="17B534F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1DBCB973"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6C23379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Workplace stress self-reporting bias</w:t>
            </w:r>
          </w:p>
        </w:tc>
      </w:tr>
      <w:tr w:rsidR="00EF492E" w:rsidRPr="00EF492E" w14:paraId="404E7BE6" w14:textId="77777777" w:rsidTr="00516F66">
        <w:trPr>
          <w:trHeight w:val="210"/>
        </w:trPr>
        <w:tc>
          <w:tcPr>
            <w:tcW w:w="2595" w:type="dxa"/>
            <w:tcBorders>
              <w:top w:val="nil"/>
              <w:left w:val="nil"/>
              <w:bottom w:val="nil"/>
              <w:right w:val="nil"/>
            </w:tcBorders>
            <w:tcMar>
              <w:top w:w="100" w:type="dxa"/>
              <w:left w:w="100" w:type="dxa"/>
              <w:bottom w:w="100" w:type="dxa"/>
              <w:right w:w="100" w:type="dxa"/>
            </w:tcMar>
          </w:tcPr>
          <w:p w14:paraId="23A5B8B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Sedillo Jr. (2021)</w:t>
            </w:r>
          </w:p>
        </w:tc>
        <w:tc>
          <w:tcPr>
            <w:tcW w:w="2340" w:type="dxa"/>
            <w:tcBorders>
              <w:top w:val="nil"/>
              <w:left w:val="nil"/>
              <w:bottom w:val="nil"/>
              <w:right w:val="nil"/>
            </w:tcBorders>
            <w:tcMar>
              <w:top w:w="100" w:type="dxa"/>
              <w:left w:w="100" w:type="dxa"/>
              <w:bottom w:w="100" w:type="dxa"/>
              <w:right w:w="100" w:type="dxa"/>
            </w:tcMar>
          </w:tcPr>
          <w:p w14:paraId="27AB8D2F"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Predictive correlational study</w:t>
            </w:r>
          </w:p>
        </w:tc>
        <w:tc>
          <w:tcPr>
            <w:tcW w:w="3045" w:type="dxa"/>
            <w:tcBorders>
              <w:top w:val="nil"/>
              <w:left w:val="nil"/>
              <w:bottom w:val="nil"/>
              <w:right w:val="nil"/>
            </w:tcBorders>
            <w:tcMar>
              <w:top w:w="100" w:type="dxa"/>
              <w:left w:w="100" w:type="dxa"/>
              <w:bottom w:w="100" w:type="dxa"/>
              <w:right w:w="100" w:type="dxa"/>
            </w:tcMar>
          </w:tcPr>
          <w:p w14:paraId="7B541BF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64C1AF0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75650A7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Academic-setting limitation</w:t>
            </w:r>
          </w:p>
        </w:tc>
      </w:tr>
      <w:tr w:rsidR="00EF492E" w:rsidRPr="00EF492E" w14:paraId="16FBA163"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1DF4014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Andres (2023)</w:t>
            </w:r>
          </w:p>
        </w:tc>
        <w:tc>
          <w:tcPr>
            <w:tcW w:w="2340" w:type="dxa"/>
            <w:tcBorders>
              <w:top w:val="nil"/>
              <w:left w:val="nil"/>
              <w:bottom w:val="nil"/>
              <w:right w:val="nil"/>
            </w:tcBorders>
            <w:tcMar>
              <w:top w:w="100" w:type="dxa"/>
              <w:left w:w="100" w:type="dxa"/>
              <w:bottom w:w="100" w:type="dxa"/>
              <w:right w:w="100" w:type="dxa"/>
            </w:tcMar>
          </w:tcPr>
          <w:p w14:paraId="34E272D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Descriptive study</w:t>
            </w:r>
          </w:p>
        </w:tc>
        <w:tc>
          <w:tcPr>
            <w:tcW w:w="3045" w:type="dxa"/>
            <w:tcBorders>
              <w:top w:val="nil"/>
              <w:left w:val="nil"/>
              <w:bottom w:val="nil"/>
              <w:right w:val="nil"/>
            </w:tcBorders>
            <w:tcMar>
              <w:top w:w="100" w:type="dxa"/>
              <w:left w:w="100" w:type="dxa"/>
              <w:bottom w:w="100" w:type="dxa"/>
              <w:right w:w="100" w:type="dxa"/>
            </w:tcMar>
          </w:tcPr>
          <w:p w14:paraId="6E5B63DC"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Cross-Sectional Checklist</w:t>
            </w:r>
          </w:p>
        </w:tc>
        <w:tc>
          <w:tcPr>
            <w:tcW w:w="2115" w:type="dxa"/>
            <w:tcBorders>
              <w:top w:val="nil"/>
              <w:left w:val="nil"/>
              <w:bottom w:val="nil"/>
              <w:right w:val="nil"/>
            </w:tcBorders>
            <w:tcMar>
              <w:top w:w="100" w:type="dxa"/>
              <w:left w:w="100" w:type="dxa"/>
              <w:bottom w:w="100" w:type="dxa"/>
              <w:right w:w="100" w:type="dxa"/>
            </w:tcMar>
          </w:tcPr>
          <w:p w14:paraId="4312E802"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475B5C9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Pandemic-context specificity</w:t>
            </w:r>
          </w:p>
        </w:tc>
      </w:tr>
      <w:tr w:rsidR="00EF492E" w:rsidRPr="00EF492E" w14:paraId="7CA34AA5" w14:textId="77777777" w:rsidTr="00516F66">
        <w:trPr>
          <w:trHeight w:val="800"/>
        </w:trPr>
        <w:tc>
          <w:tcPr>
            <w:tcW w:w="2595" w:type="dxa"/>
            <w:tcBorders>
              <w:top w:val="nil"/>
              <w:left w:val="nil"/>
              <w:bottom w:val="nil"/>
              <w:right w:val="nil"/>
            </w:tcBorders>
            <w:tcMar>
              <w:top w:w="100" w:type="dxa"/>
              <w:left w:w="100" w:type="dxa"/>
              <w:bottom w:w="100" w:type="dxa"/>
              <w:right w:w="100" w:type="dxa"/>
            </w:tcMar>
          </w:tcPr>
          <w:p w14:paraId="4E6B23F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Torio et al. (2022)</w:t>
            </w:r>
          </w:p>
        </w:tc>
        <w:tc>
          <w:tcPr>
            <w:tcW w:w="2340" w:type="dxa"/>
            <w:tcBorders>
              <w:top w:val="nil"/>
              <w:left w:val="nil"/>
              <w:bottom w:val="nil"/>
              <w:right w:val="nil"/>
            </w:tcBorders>
            <w:tcMar>
              <w:top w:w="100" w:type="dxa"/>
              <w:left w:w="100" w:type="dxa"/>
              <w:bottom w:w="100" w:type="dxa"/>
              <w:right w:w="100" w:type="dxa"/>
            </w:tcMar>
          </w:tcPr>
          <w:p w14:paraId="7F4F7BC4"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Correlational study</w:t>
            </w:r>
          </w:p>
        </w:tc>
        <w:tc>
          <w:tcPr>
            <w:tcW w:w="3045" w:type="dxa"/>
            <w:tcBorders>
              <w:top w:val="nil"/>
              <w:left w:val="nil"/>
              <w:bottom w:val="nil"/>
              <w:right w:val="nil"/>
            </w:tcBorders>
            <w:tcMar>
              <w:top w:w="100" w:type="dxa"/>
              <w:left w:w="100" w:type="dxa"/>
              <w:bottom w:w="100" w:type="dxa"/>
              <w:right w:w="100" w:type="dxa"/>
            </w:tcMar>
          </w:tcPr>
          <w:p w14:paraId="274C018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Analytical Cross-Sectional Checklist</w:t>
            </w:r>
          </w:p>
        </w:tc>
        <w:tc>
          <w:tcPr>
            <w:tcW w:w="2115" w:type="dxa"/>
            <w:tcBorders>
              <w:top w:val="nil"/>
              <w:left w:val="nil"/>
              <w:bottom w:val="nil"/>
              <w:right w:val="nil"/>
            </w:tcBorders>
            <w:tcMar>
              <w:top w:w="100" w:type="dxa"/>
              <w:left w:w="100" w:type="dxa"/>
              <w:bottom w:w="100" w:type="dxa"/>
              <w:right w:w="100" w:type="dxa"/>
            </w:tcMar>
          </w:tcPr>
          <w:p w14:paraId="29E313C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077A5F3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COVID-19-specific setting</w:t>
            </w:r>
          </w:p>
        </w:tc>
      </w:tr>
      <w:tr w:rsidR="00EF492E" w:rsidRPr="00EF492E" w14:paraId="1BF6A17D" w14:textId="77777777" w:rsidTr="00516F66">
        <w:trPr>
          <w:trHeight w:val="176"/>
        </w:trPr>
        <w:tc>
          <w:tcPr>
            <w:tcW w:w="2595" w:type="dxa"/>
            <w:tcBorders>
              <w:top w:val="nil"/>
              <w:left w:val="nil"/>
              <w:bottom w:val="nil"/>
              <w:right w:val="nil"/>
            </w:tcBorders>
            <w:tcMar>
              <w:top w:w="100" w:type="dxa"/>
              <w:left w:w="100" w:type="dxa"/>
              <w:bottom w:w="100" w:type="dxa"/>
              <w:right w:w="100" w:type="dxa"/>
            </w:tcMar>
          </w:tcPr>
          <w:p w14:paraId="1F738658" w14:textId="77777777" w:rsidR="00EF492E" w:rsidRPr="00EF492E" w:rsidRDefault="00EF492E" w:rsidP="00EF492E">
            <w:pPr>
              <w:spacing w:line="240" w:lineRule="auto"/>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Macabangon</w:t>
            </w:r>
            <w:proofErr w:type="spellEnd"/>
            <w:r w:rsidRPr="00EF492E">
              <w:rPr>
                <w:rFonts w:ascii="Times New Roman" w:eastAsia="Times New Roman" w:hAnsi="Times New Roman" w:cs="Times New Roman"/>
                <w:sz w:val="24"/>
                <w:szCs w:val="24"/>
              </w:rPr>
              <w:t xml:space="preserve"> et al. (2026)</w:t>
            </w:r>
          </w:p>
        </w:tc>
        <w:tc>
          <w:tcPr>
            <w:tcW w:w="2340" w:type="dxa"/>
            <w:tcBorders>
              <w:top w:val="nil"/>
              <w:left w:val="nil"/>
              <w:bottom w:val="nil"/>
              <w:right w:val="nil"/>
            </w:tcBorders>
            <w:tcMar>
              <w:top w:w="100" w:type="dxa"/>
              <w:left w:w="100" w:type="dxa"/>
              <w:bottom w:w="100" w:type="dxa"/>
              <w:right w:w="100" w:type="dxa"/>
            </w:tcMar>
          </w:tcPr>
          <w:p w14:paraId="2DF58EC0"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Observational study</w:t>
            </w:r>
          </w:p>
        </w:tc>
        <w:tc>
          <w:tcPr>
            <w:tcW w:w="3045" w:type="dxa"/>
            <w:tcBorders>
              <w:top w:val="nil"/>
              <w:left w:val="nil"/>
              <w:bottom w:val="nil"/>
              <w:right w:val="nil"/>
            </w:tcBorders>
            <w:tcMar>
              <w:top w:w="100" w:type="dxa"/>
              <w:left w:w="100" w:type="dxa"/>
              <w:bottom w:w="100" w:type="dxa"/>
              <w:right w:w="100" w:type="dxa"/>
            </w:tcMar>
          </w:tcPr>
          <w:p w14:paraId="407218BE"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Cohort Checklist</w:t>
            </w:r>
          </w:p>
        </w:tc>
        <w:tc>
          <w:tcPr>
            <w:tcW w:w="2115" w:type="dxa"/>
            <w:tcBorders>
              <w:top w:val="nil"/>
              <w:left w:val="nil"/>
              <w:bottom w:val="nil"/>
              <w:right w:val="nil"/>
            </w:tcBorders>
            <w:tcMar>
              <w:top w:w="100" w:type="dxa"/>
              <w:left w:w="100" w:type="dxa"/>
              <w:bottom w:w="100" w:type="dxa"/>
              <w:right w:w="100" w:type="dxa"/>
            </w:tcMar>
          </w:tcPr>
          <w:p w14:paraId="742C055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 to High</w:t>
            </w:r>
          </w:p>
        </w:tc>
        <w:tc>
          <w:tcPr>
            <w:tcW w:w="2985" w:type="dxa"/>
            <w:tcBorders>
              <w:top w:val="nil"/>
              <w:left w:val="nil"/>
              <w:bottom w:val="nil"/>
              <w:right w:val="nil"/>
            </w:tcBorders>
            <w:tcMar>
              <w:top w:w="100" w:type="dxa"/>
              <w:left w:w="100" w:type="dxa"/>
              <w:bottom w:w="100" w:type="dxa"/>
              <w:right w:w="100" w:type="dxa"/>
            </w:tcMar>
          </w:tcPr>
          <w:p w14:paraId="57D4DB87"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Single private hospital setting</w:t>
            </w:r>
          </w:p>
        </w:tc>
      </w:tr>
      <w:tr w:rsidR="00EF492E" w:rsidRPr="00EF492E" w14:paraId="25E2A486" w14:textId="77777777" w:rsidTr="00516F66">
        <w:trPr>
          <w:trHeight w:val="1085"/>
        </w:trPr>
        <w:tc>
          <w:tcPr>
            <w:tcW w:w="2595" w:type="dxa"/>
            <w:tcBorders>
              <w:top w:val="nil"/>
              <w:left w:val="nil"/>
              <w:bottom w:val="nil"/>
              <w:right w:val="nil"/>
            </w:tcBorders>
            <w:tcMar>
              <w:top w:w="100" w:type="dxa"/>
              <w:left w:w="100" w:type="dxa"/>
              <w:bottom w:w="100" w:type="dxa"/>
              <w:right w:w="100" w:type="dxa"/>
            </w:tcMar>
          </w:tcPr>
          <w:p w14:paraId="5F9DEAE9"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de Guzman &amp; </w:t>
            </w:r>
            <w:proofErr w:type="spellStart"/>
            <w:r w:rsidRPr="00EF492E">
              <w:rPr>
                <w:rFonts w:ascii="Times New Roman" w:eastAsia="Times New Roman" w:hAnsi="Times New Roman" w:cs="Times New Roman"/>
                <w:sz w:val="24"/>
                <w:szCs w:val="24"/>
              </w:rPr>
              <w:t>Angcahan</w:t>
            </w:r>
            <w:proofErr w:type="spellEnd"/>
            <w:r w:rsidRPr="00EF492E">
              <w:rPr>
                <w:rFonts w:ascii="Times New Roman" w:eastAsia="Times New Roman" w:hAnsi="Times New Roman" w:cs="Times New Roman"/>
                <w:sz w:val="24"/>
                <w:szCs w:val="24"/>
              </w:rPr>
              <w:t xml:space="preserve"> (2020)</w:t>
            </w:r>
          </w:p>
        </w:tc>
        <w:tc>
          <w:tcPr>
            <w:tcW w:w="2340" w:type="dxa"/>
            <w:tcBorders>
              <w:top w:val="nil"/>
              <w:left w:val="nil"/>
              <w:bottom w:val="nil"/>
              <w:right w:val="nil"/>
            </w:tcBorders>
            <w:tcMar>
              <w:top w:w="100" w:type="dxa"/>
              <w:left w:w="100" w:type="dxa"/>
              <w:bottom w:w="100" w:type="dxa"/>
              <w:right w:w="100" w:type="dxa"/>
            </w:tcMar>
          </w:tcPr>
          <w:p w14:paraId="4849D6D1"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Qualitative reflection</w:t>
            </w:r>
          </w:p>
        </w:tc>
        <w:tc>
          <w:tcPr>
            <w:tcW w:w="3045" w:type="dxa"/>
            <w:tcBorders>
              <w:top w:val="nil"/>
              <w:left w:val="nil"/>
              <w:bottom w:val="nil"/>
              <w:right w:val="nil"/>
            </w:tcBorders>
            <w:tcMar>
              <w:top w:w="100" w:type="dxa"/>
              <w:left w:w="100" w:type="dxa"/>
              <w:bottom w:w="100" w:type="dxa"/>
              <w:right w:w="100" w:type="dxa"/>
            </w:tcMar>
          </w:tcPr>
          <w:p w14:paraId="53C2F886"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JBI Qualitative Checklist</w:t>
            </w:r>
          </w:p>
        </w:tc>
        <w:tc>
          <w:tcPr>
            <w:tcW w:w="2115" w:type="dxa"/>
            <w:tcBorders>
              <w:top w:val="nil"/>
              <w:left w:val="nil"/>
              <w:bottom w:val="nil"/>
              <w:right w:val="nil"/>
            </w:tcBorders>
            <w:tcMar>
              <w:top w:w="100" w:type="dxa"/>
              <w:left w:w="100" w:type="dxa"/>
              <w:bottom w:w="100" w:type="dxa"/>
              <w:right w:w="100" w:type="dxa"/>
            </w:tcMar>
          </w:tcPr>
          <w:p w14:paraId="79C51C65"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Moderate</w:t>
            </w:r>
          </w:p>
        </w:tc>
        <w:tc>
          <w:tcPr>
            <w:tcW w:w="2985" w:type="dxa"/>
            <w:tcBorders>
              <w:top w:val="nil"/>
              <w:left w:val="nil"/>
              <w:bottom w:val="nil"/>
              <w:right w:val="nil"/>
            </w:tcBorders>
            <w:tcMar>
              <w:top w:w="100" w:type="dxa"/>
              <w:left w:w="100" w:type="dxa"/>
              <w:bottom w:w="100" w:type="dxa"/>
              <w:right w:w="100" w:type="dxa"/>
            </w:tcMar>
          </w:tcPr>
          <w:p w14:paraId="19DF483A" w14:textId="77777777" w:rsidR="00EF492E" w:rsidRPr="00EF492E" w:rsidRDefault="00EF492E" w:rsidP="00EF492E">
            <w:pPr>
              <w:spacing w:line="240" w:lineRule="auto"/>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Reflective perspective-based design</w:t>
            </w:r>
          </w:p>
        </w:tc>
      </w:tr>
    </w:tbl>
    <w:p w14:paraId="02CE7F27" w14:textId="77777777" w:rsidR="00EF492E" w:rsidRPr="00EF492E" w:rsidRDefault="00EF492E" w:rsidP="00EF492E">
      <w:pPr>
        <w:rPr>
          <w:sz w:val="24"/>
          <w:szCs w:val="24"/>
        </w:rPr>
      </w:pPr>
    </w:p>
    <w:p w14:paraId="46F09FCF" w14:textId="77777777" w:rsidR="00EF492E" w:rsidRPr="00EF492E" w:rsidRDefault="00EF492E" w:rsidP="00EF492E">
      <w:pPr>
        <w:spacing w:before="480" w:after="120" w:line="240" w:lineRule="auto"/>
        <w:jc w:val="both"/>
        <w:outlineLvl w:val="0"/>
        <w:rPr>
          <w:rFonts w:ascii="Times New Roman" w:eastAsia="Times New Roman" w:hAnsi="Times New Roman" w:cs="Times New Roman"/>
          <w:b/>
          <w:bCs/>
          <w:sz w:val="24"/>
          <w:szCs w:val="24"/>
        </w:rPr>
      </w:pPr>
      <w:bookmarkStart w:id="21" w:name="_8udhadnuvcb6" w:colFirst="0" w:colLast="0"/>
      <w:bookmarkEnd w:id="21"/>
      <w:r w:rsidRPr="00EF492E">
        <w:rPr>
          <w:rFonts w:ascii="Times New Roman" w:eastAsia="Times New Roman" w:hAnsi="Times New Roman" w:cs="Times New Roman"/>
          <w:b/>
          <w:bCs/>
          <w:sz w:val="24"/>
          <w:szCs w:val="24"/>
        </w:rPr>
        <w:t>Quality Appraisal</w:t>
      </w:r>
    </w:p>
    <w:p w14:paraId="182F9B3A" w14:textId="77777777" w:rsidR="00EF492E" w:rsidRPr="00EF492E" w:rsidRDefault="00EF492E" w:rsidP="00EF492E">
      <w:pPr>
        <w:spacing w:before="240" w:after="240" w:line="240" w:lineRule="auto"/>
        <w:jc w:val="both"/>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The methodological quality of the included studies was assessed using the Joanna Briggs Institute (JBI) Critical Appraisal Tools according to the appropriate study designs. Most of the included studies demonstrated moderate methodological quality, as many employed descriptive, tracer, correlational, and cross-sectional research designs involving institution-specific populations and self-reported outcomes. Several studies were rated as moderate-to-high quality due to clearly defined objectives, appropriate data collection procedures, relevant analytical methods, and adequate alignment between study aims and outcome measures. However, common methodological limitations identified across studies included relatively small sample sizes, limited geographic representation, reliance on self-reported employability and competency measures, absence of longitudinal follow-up, and restricted generalizability beyond specific institutions or regions. Despite these limitations, the included studies were considered sufficiently credible, methodologically appropriate, and relevant to support the narrative synthesis concerning radiologic technology education, workforce readiness, and global employability among Filipino radiologic technologists. </w:t>
      </w:r>
    </w:p>
    <w:p w14:paraId="7562AE13" w14:textId="77777777" w:rsidR="00EF492E" w:rsidRPr="00EF492E" w:rsidRDefault="00EF492E" w:rsidP="00EF492E">
      <w:pPr>
        <w:spacing w:before="360" w:after="80" w:line="240" w:lineRule="auto"/>
        <w:jc w:val="both"/>
        <w:outlineLvl w:val="1"/>
        <w:rPr>
          <w:rFonts w:ascii="Times New Roman" w:eastAsia="Times New Roman" w:hAnsi="Times New Roman" w:cs="Times New Roman"/>
          <w:b/>
          <w:bCs/>
          <w:sz w:val="24"/>
          <w:szCs w:val="24"/>
        </w:rPr>
      </w:pPr>
      <w:bookmarkStart w:id="22" w:name="_qd5kgwk25jvo" w:colFirst="0" w:colLast="0"/>
      <w:bookmarkEnd w:id="22"/>
    </w:p>
    <w:p w14:paraId="65BCFCF8" w14:textId="77777777" w:rsidR="00EF492E" w:rsidRPr="00EF492E" w:rsidRDefault="00EF492E" w:rsidP="00EF492E">
      <w:pPr>
        <w:spacing w:line="240" w:lineRule="auto"/>
        <w:outlineLvl w:val="1"/>
        <w:rPr>
          <w:rFonts w:ascii="Times New Roman" w:eastAsia="Times New Roman" w:hAnsi="Times New Roman" w:cs="Times New Roman"/>
          <w:b/>
          <w:bCs/>
          <w:sz w:val="24"/>
          <w:szCs w:val="24"/>
        </w:rPr>
      </w:pPr>
      <w:bookmarkStart w:id="23" w:name="_5ngz7rjk6f54" w:colFirst="0" w:colLast="0"/>
      <w:bookmarkEnd w:id="23"/>
      <w:r w:rsidRPr="00EF492E">
        <w:rPr>
          <w:rFonts w:ascii="Times New Roman" w:eastAsia="Times New Roman" w:hAnsi="Times New Roman" w:cs="Times New Roman"/>
          <w:b/>
          <w:bCs/>
          <w:sz w:val="24"/>
          <w:szCs w:val="24"/>
        </w:rPr>
        <w:t>Table 3. Thematic Synthesis of Findings from Included Studies</w:t>
      </w:r>
    </w:p>
    <w:tbl>
      <w:tblPr>
        <w:tblW w:w="12900" w:type="dxa"/>
        <w:tblBorders>
          <w:top w:val="nil"/>
          <w:left w:val="nil"/>
          <w:bottom w:val="nil"/>
          <w:right w:val="nil"/>
          <w:insideH w:val="nil"/>
          <w:insideV w:val="nil"/>
        </w:tblBorders>
        <w:tblLayout w:type="fixed"/>
        <w:tblLook w:val="0600" w:firstRow="0" w:lastRow="0" w:firstColumn="0" w:lastColumn="0" w:noHBand="1" w:noVBand="1"/>
      </w:tblPr>
      <w:tblGrid>
        <w:gridCol w:w="3195"/>
        <w:gridCol w:w="4455"/>
        <w:gridCol w:w="5250"/>
      </w:tblGrid>
      <w:tr w:rsidR="00EF492E" w:rsidRPr="00EF492E" w14:paraId="78E239A5" w14:textId="77777777" w:rsidTr="00516F66">
        <w:trPr>
          <w:trHeight w:val="515"/>
        </w:trPr>
        <w:tc>
          <w:tcPr>
            <w:tcW w:w="3195" w:type="dxa"/>
            <w:tcBorders>
              <w:top w:val="nil"/>
              <w:left w:val="nil"/>
              <w:bottom w:val="nil"/>
              <w:right w:val="nil"/>
            </w:tcBorders>
            <w:tcMar>
              <w:top w:w="100" w:type="dxa"/>
              <w:left w:w="100" w:type="dxa"/>
              <w:bottom w:w="100" w:type="dxa"/>
              <w:right w:w="100" w:type="dxa"/>
            </w:tcMar>
          </w:tcPr>
          <w:p w14:paraId="1E41AFDB" w14:textId="77777777" w:rsidR="00EF492E" w:rsidRPr="00EF492E" w:rsidRDefault="00EF492E" w:rsidP="00EF492E">
            <w:pPr>
              <w:spacing w:line="240" w:lineRule="auto"/>
              <w:outlineLvl w:val="1"/>
              <w:rPr>
                <w:rFonts w:ascii="Times New Roman" w:eastAsia="Times New Roman" w:hAnsi="Times New Roman" w:cs="Times New Roman"/>
                <w:b/>
                <w:bCs/>
                <w:sz w:val="24"/>
                <w:szCs w:val="24"/>
              </w:rPr>
            </w:pPr>
            <w:r w:rsidRPr="00EF492E">
              <w:rPr>
                <w:rFonts w:ascii="Times New Roman" w:eastAsia="Times New Roman" w:hAnsi="Times New Roman" w:cs="Times New Roman"/>
                <w:b/>
                <w:bCs/>
                <w:sz w:val="24"/>
                <w:szCs w:val="24"/>
              </w:rPr>
              <w:t>Major Theme</w:t>
            </w:r>
          </w:p>
        </w:tc>
        <w:tc>
          <w:tcPr>
            <w:tcW w:w="4455" w:type="dxa"/>
            <w:tcBorders>
              <w:top w:val="nil"/>
              <w:left w:val="nil"/>
              <w:bottom w:val="nil"/>
              <w:right w:val="nil"/>
            </w:tcBorders>
            <w:tcMar>
              <w:top w:w="100" w:type="dxa"/>
              <w:left w:w="100" w:type="dxa"/>
              <w:bottom w:w="100" w:type="dxa"/>
              <w:right w:w="100" w:type="dxa"/>
            </w:tcMar>
          </w:tcPr>
          <w:p w14:paraId="59041E67" w14:textId="77777777" w:rsidR="00EF492E" w:rsidRPr="00EF492E" w:rsidRDefault="00EF492E" w:rsidP="00EF492E">
            <w:pPr>
              <w:spacing w:line="240" w:lineRule="auto"/>
              <w:outlineLvl w:val="1"/>
              <w:rPr>
                <w:rFonts w:ascii="Times New Roman" w:eastAsia="Times New Roman" w:hAnsi="Times New Roman" w:cs="Times New Roman"/>
                <w:b/>
                <w:bCs/>
                <w:sz w:val="24"/>
                <w:szCs w:val="24"/>
              </w:rPr>
            </w:pPr>
            <w:r w:rsidRPr="00EF492E">
              <w:rPr>
                <w:rFonts w:ascii="Times New Roman" w:eastAsia="Times New Roman" w:hAnsi="Times New Roman" w:cs="Times New Roman"/>
                <w:b/>
                <w:bCs/>
                <w:sz w:val="24"/>
                <w:szCs w:val="24"/>
              </w:rPr>
              <w:t>Supporting Studies</w:t>
            </w:r>
          </w:p>
        </w:tc>
        <w:tc>
          <w:tcPr>
            <w:tcW w:w="5250" w:type="dxa"/>
            <w:tcBorders>
              <w:top w:val="nil"/>
              <w:left w:val="nil"/>
              <w:bottom w:val="nil"/>
              <w:right w:val="nil"/>
            </w:tcBorders>
            <w:tcMar>
              <w:top w:w="100" w:type="dxa"/>
              <w:left w:w="100" w:type="dxa"/>
              <w:bottom w:w="100" w:type="dxa"/>
              <w:right w:w="100" w:type="dxa"/>
            </w:tcMar>
          </w:tcPr>
          <w:p w14:paraId="0E0F37F4" w14:textId="77777777" w:rsidR="00EF492E" w:rsidRPr="00EF492E" w:rsidRDefault="00EF492E" w:rsidP="00EF492E">
            <w:pPr>
              <w:spacing w:line="240" w:lineRule="auto"/>
              <w:outlineLvl w:val="1"/>
              <w:rPr>
                <w:rFonts w:ascii="Times New Roman" w:eastAsia="Times New Roman" w:hAnsi="Times New Roman" w:cs="Times New Roman"/>
                <w:b/>
                <w:bCs/>
                <w:sz w:val="24"/>
                <w:szCs w:val="24"/>
              </w:rPr>
            </w:pPr>
            <w:r w:rsidRPr="00EF492E">
              <w:rPr>
                <w:rFonts w:ascii="Times New Roman" w:eastAsia="Times New Roman" w:hAnsi="Times New Roman" w:cs="Times New Roman"/>
                <w:b/>
                <w:bCs/>
                <w:sz w:val="24"/>
                <w:szCs w:val="24"/>
              </w:rPr>
              <w:t>Key Synthesized Findings</w:t>
            </w:r>
          </w:p>
        </w:tc>
      </w:tr>
      <w:tr w:rsidR="00EF492E" w:rsidRPr="00EF492E" w14:paraId="2597E825" w14:textId="77777777" w:rsidTr="00516F66">
        <w:trPr>
          <w:trHeight w:val="758"/>
        </w:trPr>
        <w:tc>
          <w:tcPr>
            <w:tcW w:w="3195" w:type="dxa"/>
            <w:tcBorders>
              <w:top w:val="nil"/>
              <w:left w:val="nil"/>
              <w:bottom w:val="nil"/>
              <w:right w:val="nil"/>
            </w:tcBorders>
            <w:tcMar>
              <w:top w:w="100" w:type="dxa"/>
              <w:left w:w="100" w:type="dxa"/>
              <w:bottom w:w="100" w:type="dxa"/>
              <w:right w:w="100" w:type="dxa"/>
            </w:tcMar>
          </w:tcPr>
          <w:p w14:paraId="19CA5D04"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Employability Outcomes</w:t>
            </w:r>
          </w:p>
        </w:tc>
        <w:tc>
          <w:tcPr>
            <w:tcW w:w="4455" w:type="dxa"/>
            <w:tcBorders>
              <w:top w:val="nil"/>
              <w:left w:val="nil"/>
              <w:bottom w:val="nil"/>
              <w:right w:val="nil"/>
            </w:tcBorders>
            <w:tcMar>
              <w:top w:w="100" w:type="dxa"/>
              <w:left w:w="100" w:type="dxa"/>
              <w:bottom w:w="100" w:type="dxa"/>
              <w:right w:w="100" w:type="dxa"/>
            </w:tcMar>
          </w:tcPr>
          <w:p w14:paraId="035F0F7D"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Pambid &amp; </w:t>
            </w:r>
            <w:proofErr w:type="spellStart"/>
            <w:r w:rsidRPr="00EF492E">
              <w:rPr>
                <w:rFonts w:ascii="Times New Roman" w:eastAsia="Times New Roman" w:hAnsi="Times New Roman" w:cs="Times New Roman"/>
                <w:sz w:val="24"/>
                <w:szCs w:val="24"/>
              </w:rPr>
              <w:t>Agawin</w:t>
            </w:r>
            <w:proofErr w:type="spellEnd"/>
            <w:r w:rsidRPr="00EF492E">
              <w:rPr>
                <w:rFonts w:ascii="Times New Roman" w:eastAsia="Times New Roman" w:hAnsi="Times New Roman" w:cs="Times New Roman"/>
                <w:sz w:val="24"/>
                <w:szCs w:val="24"/>
              </w:rPr>
              <w:t xml:space="preserve"> (2020); Daquis et al. (2016); Valdez (2012); </w:t>
            </w:r>
            <w:proofErr w:type="spellStart"/>
            <w:r w:rsidRPr="00EF492E">
              <w:rPr>
                <w:rFonts w:ascii="Times New Roman" w:eastAsia="Times New Roman" w:hAnsi="Times New Roman" w:cs="Times New Roman"/>
                <w:sz w:val="24"/>
                <w:szCs w:val="24"/>
              </w:rPr>
              <w:t>Perong</w:t>
            </w:r>
            <w:proofErr w:type="spellEnd"/>
            <w:r w:rsidRPr="00EF492E">
              <w:rPr>
                <w:rFonts w:ascii="Times New Roman" w:eastAsia="Times New Roman" w:hAnsi="Times New Roman" w:cs="Times New Roman"/>
                <w:sz w:val="24"/>
                <w:szCs w:val="24"/>
              </w:rPr>
              <w:t xml:space="preserve"> &amp; </w:t>
            </w:r>
            <w:proofErr w:type="spellStart"/>
            <w:r w:rsidRPr="00EF492E">
              <w:rPr>
                <w:rFonts w:ascii="Times New Roman" w:eastAsia="Times New Roman" w:hAnsi="Times New Roman" w:cs="Times New Roman"/>
                <w:sz w:val="24"/>
                <w:szCs w:val="24"/>
              </w:rPr>
              <w:t>Dumpac</w:t>
            </w:r>
            <w:proofErr w:type="spellEnd"/>
            <w:r w:rsidRPr="00EF492E">
              <w:rPr>
                <w:rFonts w:ascii="Times New Roman" w:eastAsia="Times New Roman" w:hAnsi="Times New Roman" w:cs="Times New Roman"/>
                <w:sz w:val="24"/>
                <w:szCs w:val="24"/>
              </w:rPr>
              <w:t xml:space="preserve"> (2023); Araneta (2021)</w:t>
            </w:r>
          </w:p>
        </w:tc>
        <w:tc>
          <w:tcPr>
            <w:tcW w:w="5250" w:type="dxa"/>
            <w:tcBorders>
              <w:top w:val="nil"/>
              <w:left w:val="nil"/>
              <w:bottom w:val="nil"/>
              <w:right w:val="nil"/>
            </w:tcBorders>
            <w:tcMar>
              <w:top w:w="100" w:type="dxa"/>
              <w:left w:w="100" w:type="dxa"/>
              <w:bottom w:w="100" w:type="dxa"/>
              <w:right w:w="100" w:type="dxa"/>
            </w:tcMar>
          </w:tcPr>
          <w:p w14:paraId="70E1E841"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Most radiologic technology graduates obtained employment shortly after graduation and demonstrated successful workforce integration in RT-related professions.</w:t>
            </w:r>
          </w:p>
        </w:tc>
      </w:tr>
      <w:tr w:rsidR="00EF492E" w:rsidRPr="00EF492E" w14:paraId="78E74F7B" w14:textId="77777777" w:rsidTr="00516F66">
        <w:trPr>
          <w:trHeight w:val="900"/>
        </w:trPr>
        <w:tc>
          <w:tcPr>
            <w:tcW w:w="3195" w:type="dxa"/>
            <w:tcBorders>
              <w:top w:val="nil"/>
              <w:left w:val="nil"/>
              <w:bottom w:val="nil"/>
              <w:right w:val="nil"/>
            </w:tcBorders>
            <w:tcMar>
              <w:top w:w="100" w:type="dxa"/>
              <w:left w:w="100" w:type="dxa"/>
              <w:bottom w:w="100" w:type="dxa"/>
              <w:right w:w="100" w:type="dxa"/>
            </w:tcMar>
          </w:tcPr>
          <w:p w14:paraId="4FB1A7E3"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Clinical Competency and Workforce Readiness</w:t>
            </w:r>
          </w:p>
        </w:tc>
        <w:tc>
          <w:tcPr>
            <w:tcW w:w="4455" w:type="dxa"/>
            <w:tcBorders>
              <w:top w:val="nil"/>
              <w:left w:val="nil"/>
              <w:bottom w:val="nil"/>
              <w:right w:val="nil"/>
            </w:tcBorders>
            <w:tcMar>
              <w:top w:w="100" w:type="dxa"/>
              <w:left w:w="100" w:type="dxa"/>
              <w:bottom w:w="100" w:type="dxa"/>
              <w:right w:w="100" w:type="dxa"/>
            </w:tcMar>
          </w:tcPr>
          <w:p w14:paraId="6D827E23"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Samaniego-</w:t>
            </w:r>
            <w:proofErr w:type="spellStart"/>
            <w:r w:rsidRPr="00EF492E">
              <w:rPr>
                <w:rFonts w:ascii="Times New Roman" w:eastAsia="Times New Roman" w:hAnsi="Times New Roman" w:cs="Times New Roman"/>
                <w:sz w:val="24"/>
                <w:szCs w:val="24"/>
              </w:rPr>
              <w:t>Mananghaya</w:t>
            </w:r>
            <w:proofErr w:type="spellEnd"/>
            <w:r w:rsidRPr="00EF492E">
              <w:rPr>
                <w:rFonts w:ascii="Times New Roman" w:eastAsia="Times New Roman" w:hAnsi="Times New Roman" w:cs="Times New Roman"/>
                <w:sz w:val="24"/>
                <w:szCs w:val="24"/>
              </w:rPr>
              <w:t xml:space="preserve"> (2025); </w:t>
            </w:r>
            <w:proofErr w:type="spellStart"/>
            <w:r w:rsidRPr="00EF492E">
              <w:rPr>
                <w:rFonts w:ascii="Times New Roman" w:eastAsia="Times New Roman" w:hAnsi="Times New Roman" w:cs="Times New Roman"/>
                <w:sz w:val="24"/>
                <w:szCs w:val="24"/>
              </w:rPr>
              <w:t>Cerbito</w:t>
            </w:r>
            <w:proofErr w:type="spellEnd"/>
            <w:r w:rsidRPr="00EF492E">
              <w:rPr>
                <w:rFonts w:ascii="Times New Roman" w:eastAsia="Times New Roman" w:hAnsi="Times New Roman" w:cs="Times New Roman"/>
                <w:sz w:val="24"/>
                <w:szCs w:val="24"/>
              </w:rPr>
              <w:t xml:space="preserve"> et al. (2020); </w:t>
            </w:r>
            <w:proofErr w:type="spellStart"/>
            <w:r w:rsidRPr="00EF492E">
              <w:rPr>
                <w:rFonts w:ascii="Times New Roman" w:eastAsia="Times New Roman" w:hAnsi="Times New Roman" w:cs="Times New Roman"/>
                <w:sz w:val="24"/>
                <w:szCs w:val="24"/>
              </w:rPr>
              <w:t>Bulauitan</w:t>
            </w:r>
            <w:proofErr w:type="spellEnd"/>
            <w:r w:rsidRPr="00EF492E">
              <w:rPr>
                <w:rFonts w:ascii="Times New Roman" w:eastAsia="Times New Roman" w:hAnsi="Times New Roman" w:cs="Times New Roman"/>
                <w:sz w:val="24"/>
                <w:szCs w:val="24"/>
              </w:rPr>
              <w:t xml:space="preserve"> et al. (2024); </w:t>
            </w:r>
            <w:proofErr w:type="spellStart"/>
            <w:r w:rsidRPr="00EF492E">
              <w:rPr>
                <w:rFonts w:ascii="Times New Roman" w:eastAsia="Times New Roman" w:hAnsi="Times New Roman" w:cs="Times New Roman"/>
                <w:sz w:val="24"/>
                <w:szCs w:val="24"/>
              </w:rPr>
              <w:t>Umpar</w:t>
            </w:r>
            <w:proofErr w:type="spellEnd"/>
            <w:r w:rsidRPr="00EF492E">
              <w:rPr>
                <w:rFonts w:ascii="Times New Roman" w:eastAsia="Times New Roman" w:hAnsi="Times New Roman" w:cs="Times New Roman"/>
                <w:sz w:val="24"/>
                <w:szCs w:val="24"/>
              </w:rPr>
              <w:t xml:space="preserve"> &amp; Sison (2025)</w:t>
            </w:r>
          </w:p>
        </w:tc>
        <w:tc>
          <w:tcPr>
            <w:tcW w:w="5250" w:type="dxa"/>
            <w:tcBorders>
              <w:top w:val="nil"/>
              <w:left w:val="nil"/>
              <w:bottom w:val="nil"/>
              <w:right w:val="nil"/>
            </w:tcBorders>
            <w:tcMar>
              <w:top w:w="100" w:type="dxa"/>
              <w:left w:w="100" w:type="dxa"/>
              <w:bottom w:w="100" w:type="dxa"/>
              <w:right w:w="100" w:type="dxa"/>
            </w:tcMar>
          </w:tcPr>
          <w:p w14:paraId="422DFA47"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Clinical exposure, internship experiences, and competency-based education improved technical skills, patient care, and professional preparedness.</w:t>
            </w:r>
          </w:p>
        </w:tc>
      </w:tr>
      <w:tr w:rsidR="00EF492E" w:rsidRPr="00EF492E" w14:paraId="4E34D138" w14:textId="77777777" w:rsidTr="00516F66">
        <w:trPr>
          <w:trHeight w:val="512"/>
        </w:trPr>
        <w:tc>
          <w:tcPr>
            <w:tcW w:w="3195" w:type="dxa"/>
            <w:tcBorders>
              <w:top w:val="nil"/>
              <w:left w:val="nil"/>
              <w:bottom w:val="nil"/>
              <w:right w:val="nil"/>
            </w:tcBorders>
            <w:tcMar>
              <w:top w:w="100" w:type="dxa"/>
              <w:left w:w="100" w:type="dxa"/>
              <w:bottom w:w="100" w:type="dxa"/>
              <w:right w:w="100" w:type="dxa"/>
            </w:tcMar>
          </w:tcPr>
          <w:p w14:paraId="5CE10BC8"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Specialized Imaging Competency Gaps</w:t>
            </w:r>
          </w:p>
        </w:tc>
        <w:tc>
          <w:tcPr>
            <w:tcW w:w="4455" w:type="dxa"/>
            <w:tcBorders>
              <w:top w:val="nil"/>
              <w:left w:val="nil"/>
              <w:bottom w:val="nil"/>
              <w:right w:val="nil"/>
            </w:tcBorders>
            <w:tcMar>
              <w:top w:w="100" w:type="dxa"/>
              <w:left w:w="100" w:type="dxa"/>
              <w:bottom w:w="100" w:type="dxa"/>
              <w:right w:w="100" w:type="dxa"/>
            </w:tcMar>
          </w:tcPr>
          <w:p w14:paraId="408DD94A" w14:textId="77777777" w:rsidR="00EF492E" w:rsidRPr="00EF492E" w:rsidRDefault="00EF492E" w:rsidP="00EF492E">
            <w:pPr>
              <w:spacing w:line="240" w:lineRule="auto"/>
              <w:outlineLvl w:val="1"/>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Felizarte</w:t>
            </w:r>
            <w:proofErr w:type="spellEnd"/>
            <w:r w:rsidRPr="00EF492E">
              <w:rPr>
                <w:rFonts w:ascii="Times New Roman" w:eastAsia="Times New Roman" w:hAnsi="Times New Roman" w:cs="Times New Roman"/>
                <w:sz w:val="24"/>
                <w:szCs w:val="24"/>
              </w:rPr>
              <w:t xml:space="preserve"> (2018); Cañete et al. (2024); </w:t>
            </w:r>
            <w:proofErr w:type="spellStart"/>
            <w:r w:rsidRPr="00EF492E">
              <w:rPr>
                <w:rFonts w:ascii="Times New Roman" w:eastAsia="Times New Roman" w:hAnsi="Times New Roman" w:cs="Times New Roman"/>
                <w:sz w:val="24"/>
                <w:szCs w:val="24"/>
              </w:rPr>
              <w:t>Elegado</w:t>
            </w:r>
            <w:proofErr w:type="spellEnd"/>
            <w:r w:rsidRPr="00EF492E">
              <w:rPr>
                <w:rFonts w:ascii="Times New Roman" w:eastAsia="Times New Roman" w:hAnsi="Times New Roman" w:cs="Times New Roman"/>
                <w:sz w:val="24"/>
                <w:szCs w:val="24"/>
              </w:rPr>
              <w:t xml:space="preserve"> et al. (2015)</w:t>
            </w:r>
          </w:p>
        </w:tc>
        <w:tc>
          <w:tcPr>
            <w:tcW w:w="5250" w:type="dxa"/>
            <w:tcBorders>
              <w:top w:val="nil"/>
              <w:left w:val="nil"/>
              <w:bottom w:val="nil"/>
              <w:right w:val="nil"/>
            </w:tcBorders>
            <w:tcMar>
              <w:top w:w="100" w:type="dxa"/>
              <w:left w:w="100" w:type="dxa"/>
              <w:bottom w:w="100" w:type="dxa"/>
              <w:right w:w="100" w:type="dxa"/>
            </w:tcMar>
          </w:tcPr>
          <w:p w14:paraId="1CD5B95C"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Deficiencies were identified in CT, ultrasound, radiation therapy, internship supervision, and theory-practice integration.</w:t>
            </w:r>
          </w:p>
        </w:tc>
      </w:tr>
      <w:tr w:rsidR="00EF492E" w:rsidRPr="00EF492E" w14:paraId="3F4CBDDD" w14:textId="77777777" w:rsidTr="00516F66">
        <w:trPr>
          <w:trHeight w:val="810"/>
        </w:trPr>
        <w:tc>
          <w:tcPr>
            <w:tcW w:w="3195" w:type="dxa"/>
            <w:tcBorders>
              <w:top w:val="nil"/>
              <w:left w:val="nil"/>
              <w:bottom w:val="nil"/>
              <w:right w:val="nil"/>
            </w:tcBorders>
            <w:tcMar>
              <w:top w:w="100" w:type="dxa"/>
              <w:left w:w="100" w:type="dxa"/>
              <w:bottom w:w="100" w:type="dxa"/>
              <w:right w:w="100" w:type="dxa"/>
            </w:tcMar>
          </w:tcPr>
          <w:p w14:paraId="5B4B202B"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Curriculum Effectiveness and Educational Preparation</w:t>
            </w:r>
          </w:p>
        </w:tc>
        <w:tc>
          <w:tcPr>
            <w:tcW w:w="4455" w:type="dxa"/>
            <w:tcBorders>
              <w:top w:val="nil"/>
              <w:left w:val="nil"/>
              <w:bottom w:val="nil"/>
              <w:right w:val="nil"/>
            </w:tcBorders>
            <w:tcMar>
              <w:top w:w="100" w:type="dxa"/>
              <w:left w:w="100" w:type="dxa"/>
              <w:bottom w:w="100" w:type="dxa"/>
              <w:right w:w="100" w:type="dxa"/>
            </w:tcMar>
          </w:tcPr>
          <w:p w14:paraId="6C1DEEC1"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Mendoza (2021); Gutierrez et al. (2021); Francisco et al. (2025); Vidal et al. (2016)</w:t>
            </w:r>
          </w:p>
        </w:tc>
        <w:tc>
          <w:tcPr>
            <w:tcW w:w="5250" w:type="dxa"/>
            <w:tcBorders>
              <w:top w:val="nil"/>
              <w:left w:val="nil"/>
              <w:bottom w:val="nil"/>
              <w:right w:val="nil"/>
            </w:tcBorders>
            <w:tcMar>
              <w:top w:w="100" w:type="dxa"/>
              <w:left w:w="100" w:type="dxa"/>
              <w:bottom w:w="100" w:type="dxa"/>
              <w:right w:w="100" w:type="dxa"/>
            </w:tcMar>
          </w:tcPr>
          <w:p w14:paraId="535D59D9"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Curriculum relevance, instructional effectiveness, and educational strategies significantly influenced competency development and academic performance.</w:t>
            </w:r>
          </w:p>
        </w:tc>
      </w:tr>
      <w:tr w:rsidR="00EF492E" w:rsidRPr="00EF492E" w14:paraId="1B327C2D" w14:textId="77777777" w:rsidTr="00516F66">
        <w:trPr>
          <w:trHeight w:val="473"/>
        </w:trPr>
        <w:tc>
          <w:tcPr>
            <w:tcW w:w="3195" w:type="dxa"/>
            <w:tcBorders>
              <w:top w:val="nil"/>
              <w:left w:val="nil"/>
              <w:bottom w:val="nil"/>
              <w:right w:val="nil"/>
            </w:tcBorders>
            <w:tcMar>
              <w:top w:w="100" w:type="dxa"/>
              <w:left w:w="100" w:type="dxa"/>
              <w:bottom w:w="100" w:type="dxa"/>
              <w:right w:w="100" w:type="dxa"/>
            </w:tcMar>
          </w:tcPr>
          <w:p w14:paraId="7E1C8D90"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Radiation Safety and Professional Preparedness</w:t>
            </w:r>
          </w:p>
        </w:tc>
        <w:tc>
          <w:tcPr>
            <w:tcW w:w="4455" w:type="dxa"/>
            <w:tcBorders>
              <w:top w:val="nil"/>
              <w:left w:val="nil"/>
              <w:bottom w:val="nil"/>
              <w:right w:val="nil"/>
            </w:tcBorders>
            <w:tcMar>
              <w:top w:w="100" w:type="dxa"/>
              <w:left w:w="100" w:type="dxa"/>
              <w:bottom w:w="100" w:type="dxa"/>
              <w:right w:w="100" w:type="dxa"/>
            </w:tcMar>
          </w:tcPr>
          <w:p w14:paraId="286FDC0D" w14:textId="77777777" w:rsidR="00EF492E" w:rsidRPr="00EF492E" w:rsidRDefault="00EF492E" w:rsidP="00EF492E">
            <w:pPr>
              <w:spacing w:line="240" w:lineRule="auto"/>
              <w:outlineLvl w:val="1"/>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Datinguinoo</w:t>
            </w:r>
            <w:proofErr w:type="spellEnd"/>
            <w:r w:rsidRPr="00EF492E">
              <w:rPr>
                <w:rFonts w:ascii="Times New Roman" w:eastAsia="Times New Roman" w:hAnsi="Times New Roman" w:cs="Times New Roman"/>
                <w:sz w:val="24"/>
                <w:szCs w:val="24"/>
              </w:rPr>
              <w:t xml:space="preserve"> et al. (2022); Andres (2023); Torio et al. (2022)</w:t>
            </w:r>
          </w:p>
        </w:tc>
        <w:tc>
          <w:tcPr>
            <w:tcW w:w="5250" w:type="dxa"/>
            <w:tcBorders>
              <w:top w:val="nil"/>
              <w:left w:val="nil"/>
              <w:bottom w:val="nil"/>
              <w:right w:val="nil"/>
            </w:tcBorders>
            <w:tcMar>
              <w:top w:w="100" w:type="dxa"/>
              <w:left w:w="100" w:type="dxa"/>
              <w:bottom w:w="100" w:type="dxa"/>
              <w:right w:w="100" w:type="dxa"/>
            </w:tcMar>
          </w:tcPr>
          <w:p w14:paraId="6659B99C"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Radiation safety knowledge and infection prevention competencies were important components of workforce readiness and occupational preparedness.</w:t>
            </w:r>
          </w:p>
        </w:tc>
      </w:tr>
      <w:tr w:rsidR="00EF492E" w:rsidRPr="00EF492E" w14:paraId="7972FAD2" w14:textId="77777777" w:rsidTr="00516F66">
        <w:trPr>
          <w:trHeight w:val="338"/>
        </w:trPr>
        <w:tc>
          <w:tcPr>
            <w:tcW w:w="3195" w:type="dxa"/>
            <w:tcBorders>
              <w:top w:val="nil"/>
              <w:left w:val="nil"/>
              <w:bottom w:val="nil"/>
              <w:right w:val="nil"/>
            </w:tcBorders>
            <w:tcMar>
              <w:top w:w="100" w:type="dxa"/>
              <w:left w:w="100" w:type="dxa"/>
              <w:bottom w:w="100" w:type="dxa"/>
              <w:right w:w="100" w:type="dxa"/>
            </w:tcMar>
          </w:tcPr>
          <w:p w14:paraId="7AD29067"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Licensure Examination Preparedness</w:t>
            </w:r>
          </w:p>
        </w:tc>
        <w:tc>
          <w:tcPr>
            <w:tcW w:w="4455" w:type="dxa"/>
            <w:tcBorders>
              <w:top w:val="nil"/>
              <w:left w:val="nil"/>
              <w:bottom w:val="nil"/>
              <w:right w:val="nil"/>
            </w:tcBorders>
            <w:tcMar>
              <w:top w:w="100" w:type="dxa"/>
              <w:left w:w="100" w:type="dxa"/>
              <w:bottom w:w="100" w:type="dxa"/>
              <w:right w:w="100" w:type="dxa"/>
            </w:tcMar>
          </w:tcPr>
          <w:p w14:paraId="7AFAB940"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Gallardo &amp; Sison (2025); Ibañez (2025); Cabatingan &amp; Salinas (2024)</w:t>
            </w:r>
          </w:p>
        </w:tc>
        <w:tc>
          <w:tcPr>
            <w:tcW w:w="5250" w:type="dxa"/>
            <w:tcBorders>
              <w:top w:val="nil"/>
              <w:left w:val="nil"/>
              <w:bottom w:val="nil"/>
              <w:right w:val="nil"/>
            </w:tcBorders>
            <w:tcMar>
              <w:top w:w="100" w:type="dxa"/>
              <w:left w:w="100" w:type="dxa"/>
              <w:bottom w:w="100" w:type="dxa"/>
              <w:right w:w="100" w:type="dxa"/>
            </w:tcMar>
          </w:tcPr>
          <w:p w14:paraId="7FA1B393"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Effective review programs and institutional support improved licensure preparedness, although institutional disparities influenced examination outcomes.</w:t>
            </w:r>
          </w:p>
        </w:tc>
      </w:tr>
      <w:tr w:rsidR="00EF492E" w:rsidRPr="00EF492E" w14:paraId="56B838EB" w14:textId="77777777" w:rsidTr="00516F66">
        <w:trPr>
          <w:trHeight w:val="945"/>
        </w:trPr>
        <w:tc>
          <w:tcPr>
            <w:tcW w:w="3195" w:type="dxa"/>
            <w:tcBorders>
              <w:top w:val="nil"/>
              <w:left w:val="nil"/>
              <w:bottom w:val="nil"/>
              <w:right w:val="nil"/>
            </w:tcBorders>
            <w:tcMar>
              <w:top w:w="100" w:type="dxa"/>
              <w:left w:w="100" w:type="dxa"/>
              <w:bottom w:w="100" w:type="dxa"/>
              <w:right w:w="100" w:type="dxa"/>
            </w:tcMar>
          </w:tcPr>
          <w:p w14:paraId="4B0D4432"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lastRenderedPageBreak/>
              <w:t>Global Employability and Migration Intentions</w:t>
            </w:r>
          </w:p>
        </w:tc>
        <w:tc>
          <w:tcPr>
            <w:tcW w:w="4455" w:type="dxa"/>
            <w:tcBorders>
              <w:top w:val="nil"/>
              <w:left w:val="nil"/>
              <w:bottom w:val="nil"/>
              <w:right w:val="nil"/>
            </w:tcBorders>
            <w:tcMar>
              <w:top w:w="100" w:type="dxa"/>
              <w:left w:w="100" w:type="dxa"/>
              <w:bottom w:w="100" w:type="dxa"/>
              <w:right w:w="100" w:type="dxa"/>
            </w:tcMar>
          </w:tcPr>
          <w:p w14:paraId="56FE2062" w14:textId="77777777" w:rsidR="00EF492E" w:rsidRPr="00EF492E" w:rsidRDefault="00EF492E" w:rsidP="00EF492E">
            <w:pPr>
              <w:spacing w:line="240" w:lineRule="auto"/>
              <w:outlineLvl w:val="1"/>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Bagtasos</w:t>
            </w:r>
            <w:proofErr w:type="spellEnd"/>
            <w:r w:rsidRPr="00EF492E">
              <w:rPr>
                <w:rFonts w:ascii="Times New Roman" w:eastAsia="Times New Roman" w:hAnsi="Times New Roman" w:cs="Times New Roman"/>
                <w:sz w:val="24"/>
                <w:szCs w:val="24"/>
              </w:rPr>
              <w:t xml:space="preserve"> et al. (2023); </w:t>
            </w:r>
            <w:proofErr w:type="spellStart"/>
            <w:r w:rsidRPr="00EF492E">
              <w:rPr>
                <w:rFonts w:ascii="Times New Roman" w:eastAsia="Times New Roman" w:hAnsi="Times New Roman" w:cs="Times New Roman"/>
                <w:sz w:val="24"/>
                <w:szCs w:val="24"/>
              </w:rPr>
              <w:t>Paciente</w:t>
            </w:r>
            <w:proofErr w:type="spellEnd"/>
            <w:r w:rsidRPr="00EF492E">
              <w:rPr>
                <w:rFonts w:ascii="Times New Roman" w:eastAsia="Times New Roman" w:hAnsi="Times New Roman" w:cs="Times New Roman"/>
                <w:sz w:val="24"/>
                <w:szCs w:val="24"/>
              </w:rPr>
              <w:t xml:space="preserve"> (2023); Zaragoza (2025); </w:t>
            </w:r>
            <w:proofErr w:type="spellStart"/>
            <w:r w:rsidRPr="00EF492E">
              <w:rPr>
                <w:rFonts w:ascii="Times New Roman" w:eastAsia="Times New Roman" w:hAnsi="Times New Roman" w:cs="Times New Roman"/>
                <w:sz w:val="24"/>
                <w:szCs w:val="24"/>
              </w:rPr>
              <w:t>Ortiga</w:t>
            </w:r>
            <w:proofErr w:type="spellEnd"/>
            <w:r w:rsidRPr="00EF492E">
              <w:rPr>
                <w:rFonts w:ascii="Times New Roman" w:eastAsia="Times New Roman" w:hAnsi="Times New Roman" w:cs="Times New Roman"/>
                <w:sz w:val="24"/>
                <w:szCs w:val="24"/>
              </w:rPr>
              <w:t xml:space="preserve"> (2018); Maca (2019)</w:t>
            </w:r>
          </w:p>
        </w:tc>
        <w:tc>
          <w:tcPr>
            <w:tcW w:w="5250" w:type="dxa"/>
            <w:tcBorders>
              <w:top w:val="nil"/>
              <w:left w:val="nil"/>
              <w:bottom w:val="nil"/>
              <w:right w:val="nil"/>
            </w:tcBorders>
            <w:tcMar>
              <w:top w:w="100" w:type="dxa"/>
              <w:left w:w="100" w:type="dxa"/>
              <w:bottom w:w="100" w:type="dxa"/>
              <w:right w:w="100" w:type="dxa"/>
            </w:tcMar>
          </w:tcPr>
          <w:p w14:paraId="6E2D30DB"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Filipino radiologic technologists demonstrated strong migration intentions due to low compensation, better overseas opportunities, and career advancement prospects.</w:t>
            </w:r>
          </w:p>
        </w:tc>
      </w:tr>
      <w:tr w:rsidR="00EF492E" w:rsidRPr="00EF492E" w14:paraId="66407E8F" w14:textId="77777777" w:rsidTr="00516F66">
        <w:trPr>
          <w:trHeight w:val="795"/>
        </w:trPr>
        <w:tc>
          <w:tcPr>
            <w:tcW w:w="3195" w:type="dxa"/>
            <w:tcBorders>
              <w:top w:val="nil"/>
              <w:left w:val="nil"/>
              <w:bottom w:val="nil"/>
              <w:right w:val="nil"/>
            </w:tcBorders>
            <w:tcMar>
              <w:top w:w="100" w:type="dxa"/>
              <w:left w:w="100" w:type="dxa"/>
              <w:bottom w:w="100" w:type="dxa"/>
              <w:right w:w="100" w:type="dxa"/>
            </w:tcMar>
          </w:tcPr>
          <w:p w14:paraId="746C76D8"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Workforce Retention and Job Satisfaction</w:t>
            </w:r>
          </w:p>
        </w:tc>
        <w:tc>
          <w:tcPr>
            <w:tcW w:w="4455" w:type="dxa"/>
            <w:tcBorders>
              <w:top w:val="nil"/>
              <w:left w:val="nil"/>
              <w:bottom w:val="nil"/>
              <w:right w:val="nil"/>
            </w:tcBorders>
            <w:tcMar>
              <w:top w:w="100" w:type="dxa"/>
              <w:left w:w="100" w:type="dxa"/>
              <w:bottom w:w="100" w:type="dxa"/>
              <w:right w:w="100" w:type="dxa"/>
            </w:tcMar>
          </w:tcPr>
          <w:p w14:paraId="001836C2" w14:textId="77777777" w:rsidR="00EF492E" w:rsidRPr="00EF492E" w:rsidRDefault="00EF492E" w:rsidP="00EF492E">
            <w:pPr>
              <w:spacing w:line="240" w:lineRule="auto"/>
              <w:outlineLvl w:val="1"/>
              <w:rPr>
                <w:rFonts w:ascii="Times New Roman" w:eastAsia="Times New Roman" w:hAnsi="Times New Roman" w:cs="Times New Roman"/>
                <w:sz w:val="24"/>
                <w:szCs w:val="24"/>
              </w:rPr>
            </w:pPr>
            <w:proofErr w:type="spellStart"/>
            <w:r w:rsidRPr="00EF492E">
              <w:rPr>
                <w:rFonts w:ascii="Times New Roman" w:eastAsia="Times New Roman" w:hAnsi="Times New Roman" w:cs="Times New Roman"/>
                <w:sz w:val="24"/>
                <w:szCs w:val="24"/>
              </w:rPr>
              <w:t>Codomiz</w:t>
            </w:r>
            <w:proofErr w:type="spellEnd"/>
            <w:r w:rsidRPr="00EF492E">
              <w:rPr>
                <w:rFonts w:ascii="Times New Roman" w:eastAsia="Times New Roman" w:hAnsi="Times New Roman" w:cs="Times New Roman"/>
                <w:sz w:val="24"/>
                <w:szCs w:val="24"/>
              </w:rPr>
              <w:t xml:space="preserve"> et al. (2017); </w:t>
            </w:r>
            <w:proofErr w:type="spellStart"/>
            <w:r w:rsidRPr="00EF492E">
              <w:rPr>
                <w:rFonts w:ascii="Times New Roman" w:eastAsia="Times New Roman" w:hAnsi="Times New Roman" w:cs="Times New Roman"/>
                <w:sz w:val="24"/>
                <w:szCs w:val="24"/>
              </w:rPr>
              <w:t>Brutas</w:t>
            </w:r>
            <w:proofErr w:type="spellEnd"/>
            <w:r w:rsidRPr="00EF492E">
              <w:rPr>
                <w:rFonts w:ascii="Times New Roman" w:eastAsia="Times New Roman" w:hAnsi="Times New Roman" w:cs="Times New Roman"/>
                <w:sz w:val="24"/>
                <w:szCs w:val="24"/>
              </w:rPr>
              <w:t xml:space="preserve"> et al. (2024); </w:t>
            </w:r>
            <w:proofErr w:type="spellStart"/>
            <w:r w:rsidRPr="00EF492E">
              <w:rPr>
                <w:rFonts w:ascii="Times New Roman" w:eastAsia="Times New Roman" w:hAnsi="Times New Roman" w:cs="Times New Roman"/>
                <w:sz w:val="24"/>
                <w:szCs w:val="24"/>
              </w:rPr>
              <w:t>Partoza</w:t>
            </w:r>
            <w:proofErr w:type="spellEnd"/>
            <w:r w:rsidRPr="00EF492E">
              <w:rPr>
                <w:rFonts w:ascii="Times New Roman" w:eastAsia="Times New Roman" w:hAnsi="Times New Roman" w:cs="Times New Roman"/>
                <w:sz w:val="24"/>
                <w:szCs w:val="24"/>
              </w:rPr>
              <w:t xml:space="preserve"> &amp; Urbina (2025); Sedillo Jr. (2021)</w:t>
            </w:r>
          </w:p>
        </w:tc>
        <w:tc>
          <w:tcPr>
            <w:tcW w:w="5250" w:type="dxa"/>
            <w:tcBorders>
              <w:top w:val="nil"/>
              <w:left w:val="nil"/>
              <w:bottom w:val="nil"/>
              <w:right w:val="nil"/>
            </w:tcBorders>
            <w:tcMar>
              <w:top w:w="100" w:type="dxa"/>
              <w:left w:w="100" w:type="dxa"/>
              <w:bottom w:w="100" w:type="dxa"/>
              <w:right w:w="100" w:type="dxa"/>
            </w:tcMar>
          </w:tcPr>
          <w:p w14:paraId="3BF94E60"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Workforce shortages, workplace stress, compensation concerns, and leadership quality significantly affected job satisfaction and retention.</w:t>
            </w:r>
          </w:p>
        </w:tc>
      </w:tr>
      <w:tr w:rsidR="00EF492E" w:rsidRPr="00EF492E" w14:paraId="51B26DD1" w14:textId="77777777" w:rsidTr="00516F66">
        <w:trPr>
          <w:trHeight w:val="1125"/>
        </w:trPr>
        <w:tc>
          <w:tcPr>
            <w:tcW w:w="3195" w:type="dxa"/>
            <w:tcBorders>
              <w:top w:val="nil"/>
              <w:left w:val="nil"/>
              <w:bottom w:val="nil"/>
              <w:right w:val="nil"/>
            </w:tcBorders>
            <w:tcMar>
              <w:top w:w="100" w:type="dxa"/>
              <w:left w:w="100" w:type="dxa"/>
              <w:bottom w:w="100" w:type="dxa"/>
              <w:right w:w="100" w:type="dxa"/>
            </w:tcMar>
          </w:tcPr>
          <w:p w14:paraId="53441894"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Technological Adaptation and Continuing Professional Development</w:t>
            </w:r>
          </w:p>
        </w:tc>
        <w:tc>
          <w:tcPr>
            <w:tcW w:w="4455" w:type="dxa"/>
            <w:tcBorders>
              <w:top w:val="nil"/>
              <w:left w:val="nil"/>
              <w:bottom w:val="nil"/>
              <w:right w:val="nil"/>
            </w:tcBorders>
            <w:tcMar>
              <w:top w:w="100" w:type="dxa"/>
              <w:left w:w="100" w:type="dxa"/>
              <w:bottom w:w="100" w:type="dxa"/>
              <w:right w:w="100" w:type="dxa"/>
            </w:tcMar>
          </w:tcPr>
          <w:p w14:paraId="766FBD6E"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 xml:space="preserve">Cardoso et al. (2025); </w:t>
            </w:r>
            <w:proofErr w:type="spellStart"/>
            <w:r w:rsidRPr="00EF492E">
              <w:rPr>
                <w:rFonts w:ascii="Times New Roman" w:eastAsia="Times New Roman" w:hAnsi="Times New Roman" w:cs="Times New Roman"/>
                <w:sz w:val="24"/>
                <w:szCs w:val="24"/>
              </w:rPr>
              <w:t>Dadios</w:t>
            </w:r>
            <w:proofErr w:type="spellEnd"/>
            <w:r w:rsidRPr="00EF492E">
              <w:rPr>
                <w:rFonts w:ascii="Times New Roman" w:eastAsia="Times New Roman" w:hAnsi="Times New Roman" w:cs="Times New Roman"/>
                <w:sz w:val="24"/>
                <w:szCs w:val="24"/>
              </w:rPr>
              <w:t xml:space="preserve"> et al. (2018); Susiku et al. (2024); Crispino &amp; Rocha (2021)</w:t>
            </w:r>
          </w:p>
        </w:tc>
        <w:tc>
          <w:tcPr>
            <w:tcW w:w="5250" w:type="dxa"/>
            <w:tcBorders>
              <w:top w:val="nil"/>
              <w:left w:val="nil"/>
              <w:bottom w:val="nil"/>
              <w:right w:val="nil"/>
            </w:tcBorders>
            <w:tcMar>
              <w:top w:w="100" w:type="dxa"/>
              <w:left w:w="100" w:type="dxa"/>
              <w:bottom w:w="100" w:type="dxa"/>
              <w:right w:w="100" w:type="dxa"/>
            </w:tcMar>
          </w:tcPr>
          <w:p w14:paraId="37C312BB"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Technological advancement, AI integration, digital imaging systems, and continuing professional development were essential for global workforce competitiveness.</w:t>
            </w:r>
          </w:p>
        </w:tc>
      </w:tr>
      <w:tr w:rsidR="00EF492E" w:rsidRPr="00EF492E" w14:paraId="2D38C146" w14:textId="77777777" w:rsidTr="00516F66">
        <w:trPr>
          <w:trHeight w:val="1640"/>
        </w:trPr>
        <w:tc>
          <w:tcPr>
            <w:tcW w:w="3195" w:type="dxa"/>
            <w:tcBorders>
              <w:top w:val="nil"/>
              <w:left w:val="nil"/>
              <w:bottom w:val="nil"/>
              <w:right w:val="nil"/>
            </w:tcBorders>
            <w:tcMar>
              <w:top w:w="100" w:type="dxa"/>
              <w:left w:w="100" w:type="dxa"/>
              <w:bottom w:w="100" w:type="dxa"/>
              <w:right w:w="100" w:type="dxa"/>
            </w:tcMar>
          </w:tcPr>
          <w:p w14:paraId="452BDB9E" w14:textId="77777777" w:rsidR="00EF492E" w:rsidRPr="00EF492E" w:rsidRDefault="00EF492E" w:rsidP="00EF492E">
            <w:pPr>
              <w:spacing w:line="240" w:lineRule="auto"/>
              <w:outlineLvl w:val="1"/>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Professional Identity and Workforce Sustainability</w:t>
            </w:r>
          </w:p>
        </w:tc>
        <w:tc>
          <w:tcPr>
            <w:tcW w:w="4455" w:type="dxa"/>
            <w:tcBorders>
              <w:top w:val="nil"/>
              <w:left w:val="nil"/>
              <w:bottom w:val="nil"/>
              <w:right w:val="nil"/>
            </w:tcBorders>
            <w:tcMar>
              <w:top w:w="100" w:type="dxa"/>
              <w:left w:w="100" w:type="dxa"/>
              <w:bottom w:w="100" w:type="dxa"/>
              <w:right w:w="100" w:type="dxa"/>
            </w:tcMar>
          </w:tcPr>
          <w:p w14:paraId="3E951D6E" w14:textId="77777777" w:rsidR="00EF492E" w:rsidRPr="00EF492E" w:rsidRDefault="00EF492E" w:rsidP="00EF492E">
            <w:pPr>
              <w:spacing w:line="240" w:lineRule="auto"/>
              <w:outlineLvl w:val="1"/>
              <w:rPr>
                <w:rFonts w:ascii="Times New Roman" w:eastAsia="Times New Roman" w:hAnsi="Times New Roman" w:cs="Times New Roman"/>
                <w:sz w:val="24"/>
                <w:szCs w:val="24"/>
              </w:rPr>
            </w:pPr>
            <w:bookmarkStart w:id="24" w:name="_ofp6l1rw8aem" w:colFirst="0" w:colLast="0"/>
            <w:bookmarkEnd w:id="24"/>
            <w:r w:rsidRPr="00EF492E">
              <w:rPr>
                <w:rFonts w:ascii="Times New Roman" w:eastAsia="Times New Roman" w:hAnsi="Times New Roman" w:cs="Times New Roman"/>
                <w:sz w:val="24"/>
                <w:szCs w:val="24"/>
              </w:rPr>
              <w:t xml:space="preserve">de Guzman &amp; </w:t>
            </w:r>
            <w:proofErr w:type="spellStart"/>
            <w:r w:rsidRPr="00EF492E">
              <w:rPr>
                <w:rFonts w:ascii="Times New Roman" w:eastAsia="Times New Roman" w:hAnsi="Times New Roman" w:cs="Times New Roman"/>
                <w:sz w:val="24"/>
                <w:szCs w:val="24"/>
              </w:rPr>
              <w:t>Angcahan</w:t>
            </w:r>
            <w:proofErr w:type="spellEnd"/>
            <w:r w:rsidRPr="00EF492E">
              <w:rPr>
                <w:rFonts w:ascii="Times New Roman" w:eastAsia="Times New Roman" w:hAnsi="Times New Roman" w:cs="Times New Roman"/>
                <w:sz w:val="24"/>
                <w:szCs w:val="24"/>
              </w:rPr>
              <w:t xml:space="preserve"> (2020); Finch (2013); UNESCO (2023); WHO (2026)</w:t>
            </w:r>
          </w:p>
        </w:tc>
        <w:tc>
          <w:tcPr>
            <w:tcW w:w="5250" w:type="dxa"/>
            <w:tcBorders>
              <w:top w:val="nil"/>
              <w:left w:val="nil"/>
              <w:bottom w:val="nil"/>
              <w:right w:val="nil"/>
            </w:tcBorders>
            <w:tcMar>
              <w:top w:w="100" w:type="dxa"/>
              <w:left w:w="100" w:type="dxa"/>
              <w:bottom w:w="100" w:type="dxa"/>
              <w:right w:w="100" w:type="dxa"/>
            </w:tcMar>
          </w:tcPr>
          <w:p w14:paraId="7996E76A" w14:textId="77777777" w:rsidR="00EF492E" w:rsidRPr="00EF492E" w:rsidRDefault="00EF492E" w:rsidP="00EF492E">
            <w:pPr>
              <w:spacing w:line="240" w:lineRule="auto"/>
              <w:outlineLvl w:val="1"/>
              <w:rPr>
                <w:rFonts w:ascii="Times New Roman" w:eastAsia="Times New Roman" w:hAnsi="Times New Roman" w:cs="Times New Roman"/>
                <w:sz w:val="24"/>
                <w:szCs w:val="24"/>
              </w:rPr>
            </w:pPr>
            <w:bookmarkStart w:id="25" w:name="_a0ypepol8fx8" w:colFirst="0" w:colLast="0"/>
            <w:bookmarkEnd w:id="25"/>
            <w:r w:rsidRPr="00EF492E">
              <w:rPr>
                <w:rFonts w:ascii="Times New Roman" w:eastAsia="Times New Roman" w:hAnsi="Times New Roman" w:cs="Times New Roman"/>
                <w:sz w:val="24"/>
                <w:szCs w:val="24"/>
              </w:rPr>
              <w:t>Professional recognition, workforce sustainability, healthcare mobility, and international credential recognition influenced long-term global employability and workforce stability.</w:t>
            </w:r>
          </w:p>
        </w:tc>
      </w:tr>
    </w:tbl>
    <w:p w14:paraId="755B6654" w14:textId="77777777" w:rsidR="00EF492E" w:rsidRPr="00EF492E" w:rsidRDefault="00EF492E" w:rsidP="00EF492E">
      <w:pPr>
        <w:spacing w:before="360" w:after="80" w:line="240" w:lineRule="auto"/>
        <w:outlineLvl w:val="1"/>
        <w:rPr>
          <w:rFonts w:ascii="Times New Roman" w:eastAsia="Times New Roman" w:hAnsi="Times New Roman" w:cs="Times New Roman"/>
          <w:sz w:val="24"/>
          <w:szCs w:val="24"/>
        </w:rPr>
        <w:sectPr w:rsidR="00EF492E" w:rsidRPr="00EF492E">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1440" w:left="1440" w:header="720" w:footer="720" w:gutter="0"/>
          <w:cols w:space="720"/>
        </w:sectPr>
      </w:pPr>
      <w:bookmarkStart w:id="26" w:name="_ykbn6ii4zw5y" w:colFirst="0" w:colLast="0"/>
      <w:bookmarkEnd w:id="26"/>
    </w:p>
    <w:p w14:paraId="4E71A4CB" w14:textId="77777777" w:rsidR="00EF492E" w:rsidRPr="00EF492E" w:rsidRDefault="00EF492E" w:rsidP="00EF492E">
      <w:pPr>
        <w:spacing w:before="360" w:after="80" w:line="240" w:lineRule="auto"/>
        <w:jc w:val="both"/>
        <w:outlineLvl w:val="1"/>
        <w:rPr>
          <w:rFonts w:ascii="Times New Roman" w:eastAsia="Times New Roman" w:hAnsi="Times New Roman" w:cs="Times New Roman"/>
          <w:b/>
          <w:bCs/>
          <w:color w:val="000000"/>
          <w:sz w:val="24"/>
          <w:szCs w:val="24"/>
        </w:rPr>
      </w:pPr>
      <w:bookmarkStart w:id="27" w:name="_qsoqhkmpw24w" w:colFirst="0" w:colLast="0"/>
      <w:bookmarkEnd w:id="27"/>
      <w:r w:rsidRPr="00EF492E">
        <w:rPr>
          <w:rFonts w:ascii="Times New Roman" w:eastAsia="Times New Roman" w:hAnsi="Times New Roman" w:cs="Times New Roman"/>
          <w:b/>
          <w:bCs/>
          <w:sz w:val="24"/>
          <w:szCs w:val="24"/>
        </w:rPr>
        <w:lastRenderedPageBreak/>
        <w:t>Figure 2. Conceptual Framework on the Relationship Between Radiologic Technology Education and Global Employability of Filipino Radiologic Technologists</w:t>
      </w:r>
      <w:r w:rsidRPr="00EF492E">
        <w:rPr>
          <w:rFonts w:ascii="Times New Roman" w:eastAsia="Times New Roman" w:hAnsi="Times New Roman" w:cs="Times New Roman"/>
          <w:b/>
          <w:bCs/>
          <w:sz w:val="24"/>
          <w:szCs w:val="24"/>
        </w:rPr>
        <w:br/>
      </w:r>
      <w:r w:rsidRPr="00EF492E">
        <w:rPr>
          <w:rFonts w:ascii="Times New Roman" w:eastAsia="Times New Roman" w:hAnsi="Times New Roman" w:cs="Times New Roman"/>
          <w:b/>
          <w:bCs/>
          <w:sz w:val="24"/>
          <w:szCs w:val="24"/>
        </w:rPr>
        <w:br/>
      </w:r>
      <w:r w:rsidRPr="00EF492E">
        <w:rPr>
          <w:rFonts w:ascii="Times New Roman" w:eastAsia="Times New Roman" w:hAnsi="Times New Roman" w:cs="Times New Roman"/>
          <w:b/>
          <w:bCs/>
          <w:noProof/>
          <w:sz w:val="24"/>
          <w:szCs w:val="24"/>
        </w:rPr>
        <w:drawing>
          <wp:inline distT="114300" distB="114300" distL="114300" distR="114300" wp14:anchorId="5505F41A" wp14:editId="6072733E">
            <wp:extent cx="5943600" cy="445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78CBD862" w14:textId="77777777" w:rsidR="00EF492E" w:rsidRPr="00EF492E" w:rsidRDefault="00EF492E" w:rsidP="00EF492E">
      <w:pPr>
        <w:spacing w:before="240" w:after="240" w:line="240" w:lineRule="auto"/>
        <w:jc w:val="both"/>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The conceptual framework illustrates the relationship between radiologic technology education in the Philippines and the global employability of Filipino radiologic technologists. The framework proposes that curriculum quality, clinical internship exposure, licensure preparation, and faculty competence contribute significantly to the development of professional competencies among radiologic technology students. These competencies include clinical skills, radiation safety knowledge, communication abilities, ethical practice, and technological adaptability, which collectively strengthen workforce readiness and professional preparedness.</w:t>
      </w:r>
    </w:p>
    <w:p w14:paraId="3F39233C" w14:textId="77777777" w:rsidR="00EF492E" w:rsidRPr="00EF492E" w:rsidRDefault="00EF492E" w:rsidP="00EF492E">
      <w:pPr>
        <w:spacing w:before="240" w:after="240" w:line="240" w:lineRule="auto"/>
        <w:jc w:val="both"/>
        <w:rPr>
          <w:rFonts w:ascii="Times New Roman" w:eastAsia="Times New Roman" w:hAnsi="Times New Roman" w:cs="Times New Roman"/>
          <w:sz w:val="24"/>
          <w:szCs w:val="24"/>
        </w:rPr>
      </w:pPr>
      <w:r w:rsidRPr="00EF492E">
        <w:rPr>
          <w:rFonts w:ascii="Times New Roman" w:eastAsia="Times New Roman" w:hAnsi="Times New Roman" w:cs="Times New Roman"/>
          <w:sz w:val="24"/>
          <w:szCs w:val="24"/>
        </w:rPr>
        <w:t>The framework further suggests that improved workforce readiness leads to favorable employability outcomes, including successful workforce integration, licensure examination performance, and local employment opportunities. Enhanced competencies and workforce preparedness subsequently contribute to global employability, international competitiveness, workforce mobility, and overseas career advancement among Filipino radiologic technologists. However, the framework also recognizes the influence of sustainability challenges such as migration, workforce retention difficulties, low compensation, and increasing technological demands, which may affect long-term workforce stability within the Philippine healthcare system.</w:t>
      </w:r>
    </w:p>
    <w:p w14:paraId="0E09838D" w14:textId="77777777" w:rsidR="00EF492E" w:rsidRDefault="00EF492E">
      <w:pPr>
        <w:spacing w:before="240" w:after="240"/>
        <w:jc w:val="both"/>
        <w:rPr>
          <w:rFonts w:ascii="Times New Roman" w:eastAsia="Times New Roman" w:hAnsi="Times New Roman" w:cs="Times New Roman"/>
          <w:sz w:val="24"/>
          <w:szCs w:val="24"/>
        </w:rPr>
      </w:pPr>
    </w:p>
    <w:p w14:paraId="1E086808" w14:textId="77777777" w:rsidR="00AF1070" w:rsidRDefault="00AF1070">
      <w:pPr>
        <w:spacing w:before="240" w:after="240"/>
        <w:jc w:val="both"/>
        <w:rPr>
          <w:rFonts w:ascii="Times New Roman" w:eastAsia="Times New Roman" w:hAnsi="Times New Roman" w:cs="Times New Roman"/>
          <w:sz w:val="24"/>
          <w:szCs w:val="24"/>
        </w:rPr>
      </w:pPr>
    </w:p>
    <w:p w14:paraId="438BAA09"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28" w:name="_l6ogcmnzlbwk" w:colFirst="0" w:colLast="0"/>
      <w:bookmarkEnd w:id="28"/>
      <w:r>
        <w:rPr>
          <w:rFonts w:ascii="Times New Roman" w:eastAsia="Times New Roman" w:hAnsi="Times New Roman" w:cs="Times New Roman"/>
          <w:b/>
          <w:bCs/>
          <w:sz w:val="24"/>
          <w:szCs w:val="24"/>
        </w:rPr>
        <w:t>Summary of Findings</w:t>
      </w:r>
    </w:p>
    <w:p w14:paraId="6006FEC6"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demonstrated that radiologic technology education in the Philippines generally produces clinically competent and employable graduates capable of meeting both local and international workforce demands. Strong employability outcomes, competency-based clinical training, effective internship exposure, and favorable licensure preparedness were consistently identified across studies. However, important challenges remain, including workforce migration, limited compensation, retention difficulties, educational inconsistencies, technological adaptation demands, and competency gaps in specialized imaging modalities.</w:t>
      </w:r>
    </w:p>
    <w:p w14:paraId="0768D42A"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strengthening curriculum modernization, specialized imaging training, radiation safety education, continuing professional development, leadership preparation, and workforce retention strategies may further enhance the global employability and long-term sustainability of Filipino radiologic technologists.</w:t>
      </w:r>
    </w:p>
    <w:p w14:paraId="5BA007C1" w14:textId="77777777" w:rsidR="00AF1070" w:rsidRDefault="004B6D4A">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DISCUSSION</w:t>
      </w:r>
    </w:p>
    <w:p w14:paraId="25564F4E"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examined the effectiveness of radiologic technology education in the Philippines and its contribution to the global employability of Filipino radiologic technologists. The findings demonstrated that radiologic technology programs in the Philippines generally produce competent, employable, and adaptable healthcare professionals capable of integrating into both local and international healthcare systems. Across the included studies, employability outcomes were consistently favorable, with many </w:t>
      </w:r>
      <w:proofErr w:type="gramStart"/>
      <w:r>
        <w:rPr>
          <w:rFonts w:ascii="Times New Roman" w:eastAsia="Times New Roman" w:hAnsi="Times New Roman" w:cs="Times New Roman"/>
          <w:sz w:val="24"/>
          <w:szCs w:val="24"/>
        </w:rPr>
        <w:t>graduates</w:t>
      </w:r>
      <w:proofErr w:type="gramEnd"/>
      <w:r>
        <w:rPr>
          <w:rFonts w:ascii="Times New Roman" w:eastAsia="Times New Roman" w:hAnsi="Times New Roman" w:cs="Times New Roman"/>
          <w:sz w:val="24"/>
          <w:szCs w:val="24"/>
        </w:rPr>
        <w:t xml:space="preserve"> obtaining employment shortly after graduation and successfully transitioning into professional radiologic practice (Pambid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2020; Valdez, 2012; Daquis et al., 2016; Araneta, 2021). These findings suggest that radiologic technology education in the Philippines has been relatively effective in equipping graduates with the foundational competencies necessary for workforce participation and professional integration.</w:t>
      </w:r>
    </w:p>
    <w:p w14:paraId="7B2D3528"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major finding of this review was the significant role of competency-based education and clinical internship training in strengthening workforce readiness among radiologic technology graduates. Studies consistently emphasized that hands-on learning, clinical exposure, patient interaction, and practical radiographic experience substantially improved students’ technical competencies, confidence, and preparedness for professional practice (Samaniego-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&amp; Sison, 2025). Effective clinical learning environments, mentorship, and experiential learning opportunities were identified as essential contributors to competency acquisition, particularly in patient care, image acquisition, radiation safety, and radiographic positioning procedures. These findings support international evidence suggesting that </w:t>
      </w:r>
      <w:r>
        <w:rPr>
          <w:rFonts w:ascii="Times New Roman" w:eastAsia="Times New Roman" w:hAnsi="Times New Roman" w:cs="Times New Roman"/>
          <w:sz w:val="24"/>
          <w:szCs w:val="24"/>
        </w:rPr>
        <w:lastRenderedPageBreak/>
        <w:t>strong clinical education systems are critical in developing practice-ready healthcare professionals capable of adapting to increasingly complex healthcare environments (Susiku et al., 2024).</w:t>
      </w:r>
    </w:p>
    <w:p w14:paraId="105D26DC"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generally positive outcomes, the review also identified important educational and professional gaps that may affect long-term workforce competitiveness and global employability. Several studies revealed inconsistencies between theoretical instruction and practical competency, particularly in specialized imaging modalities such as computed tomography, nuclear medicine, ultrasound, and radiation therapy (</w:t>
      </w: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2018). Radiation safety knowledge deficiencies among students were also reported in some institutions (</w:t>
      </w: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et al., 2022), while discrepancies between theoretical learning and clinical practice were highlighted during internship experiences (Cañete et al., 2024). These findings suggest that although foundational competencies are generally achieved, further curriculum enhancement and stronger competency standardization may be necessary to ensure that graduates remain globally competitive amid rapid technological advancement in radiologic sciences.</w:t>
      </w:r>
    </w:p>
    <w:p w14:paraId="60A88BFA"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adaptability emerged as another major theme influencing employability and workforce preparedness. The increasing integration of digital imaging systems, artificial intelligence, automation, and advanced imaging technologies within healthcare systems requires radiologic technologists to continuously develop technological competencies beyond conventional radiographic procedures (</w:t>
      </w: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et al., 2018). The reviewed literature demonstrated that students and interns generally benefited from exposure to evolving technologies; however, concerns were raised regarding reduced proficiency in manual radiographic techniques due to increased dependence on digital systems (Cardoso et al., 2025). International evidence further emphasized the importance of multi-modality competencies, technological proficiency, and adaptable clinical skills in improving workforce mobility and employability within radiologic sciences (Susiku et al., 2024; Alamoudi et al., 2025). These findings highlight the need for radiologic technology education programs in the Philippines to continuously modernize curricula and strengthen digital competency development to align with global healthcare trends.</w:t>
      </w:r>
    </w:p>
    <w:p w14:paraId="3D0EEFA7"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finding of this review involved the strong migration intention among Filipino radiologic technologists. Multiple studies demonstrated that many radiologic technologists aspire to pursue overseas employment because of higher salaries, better working conditions, career advancement opportunities, and improved quality of life abroad (</w:t>
      </w: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et al., 2023; Zaragoza, 2025; </w:t>
      </w: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2023). Conversely, low compensation, limited career progression, workforce instability, and poor workplace conditions within the Philippine healthcare system were identified as major push factors driving migration (</w:t>
      </w: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et al., 2017; Padilla et al., 2025; Tiu et al., 2025). These findings are consistent with broader healthcare workforce migration trends in the Philippines, where healthcare professionals frequently seek international employment because of socioeconomic and occupational challenges within the local healthcare sector (</w:t>
      </w:r>
      <w:proofErr w:type="spellStart"/>
      <w:r>
        <w:rPr>
          <w:rFonts w:ascii="Times New Roman" w:eastAsia="Times New Roman" w:hAnsi="Times New Roman" w:cs="Times New Roman"/>
          <w:sz w:val="24"/>
          <w:szCs w:val="24"/>
        </w:rPr>
        <w:t>Guanzing</w:t>
      </w:r>
      <w:proofErr w:type="spellEnd"/>
      <w:r>
        <w:rPr>
          <w:rFonts w:ascii="Times New Roman" w:eastAsia="Times New Roman" w:hAnsi="Times New Roman" w:cs="Times New Roman"/>
          <w:sz w:val="24"/>
          <w:szCs w:val="24"/>
        </w:rPr>
        <w:t xml:space="preserve"> et al., 2021). While the global employability of Filipino radiologic technologists reflects the strength and competitiveness of Philippine radiologic technology education, persistent migration may also </w:t>
      </w:r>
      <w:r>
        <w:rPr>
          <w:rFonts w:ascii="Times New Roman" w:eastAsia="Times New Roman" w:hAnsi="Times New Roman" w:cs="Times New Roman"/>
          <w:sz w:val="24"/>
          <w:szCs w:val="24"/>
        </w:rPr>
        <w:lastRenderedPageBreak/>
        <w:t>contribute to workforce shortages, retention difficulties, and instability within local healthcare institutions.</w:t>
      </w:r>
    </w:p>
    <w:p w14:paraId="010CC0D9"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additionally highlighted the importance of continuing professional development, leadership training, and professional identity formation in sustaining workforce competitiveness and long-term career growth. Several studies emphasized that communication skills, leadership competencies, interpersonal abilities, and professional attitudes significantly influence employability, job satisfaction, and workplace retention among radiologic technologists (Valdez, 2012; Coronica &amp; Prado, 2025; Sedillo Jr., 2021). Continuing professional development programs were also identified as important mechanisms for maintaining competency, adapting to technological advancement, and promoting international workforce mobility within ASEAN and global labor markets (Crispino &amp; Rocha, 2021). These findings suggest that radiologic technology education should extend beyond technical competency development and incorporate broader professional, managerial, and leadership training to strengthen long-term workforce sustainability and career advancement opportunities.</w:t>
      </w:r>
    </w:p>
    <w:p w14:paraId="614EFCE0"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further demonstrated the importance of supportive institutional environments in promoting workforce retention and professional satisfaction. Workplace culture, managerial support, compensation systems, and opportunities for professional growth significantly influenced job satisfaction and turnover intention among radiologic technologists (</w:t>
      </w: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&amp; Urbina, 2025). Sedillo Jr. (2021) further demonstrated that positive leadership behaviors and supportive institutional environments reduced turnover intention among radiologic technologists employed in academic settings. During the COVID-19 pandemic, radiologic technologists also demonstrated strong occupational preparedness, infection prevention competencies, and professional resilience despite increased workplace risks and psychological stressors (Andres, 2023; Torio et al., 2022; </w:t>
      </w: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et al., 2026). However, the literature also emphasized the underrecognized role of radiologic technologists within the healthcare system and highlighted the importance of professional identity formation, institutional recognition, and interprofessional collaboration in improving workforce morale and sustainability (de Guzman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2020).</w:t>
      </w:r>
    </w:p>
    <w:p w14:paraId="2E48187C" w14:textId="77777777" w:rsidR="00AF1070" w:rsidRDefault="004B6D4A">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systematic review demonstrated that radiologic technology education in the Philippines effectively contributes to the development of clinically competent and globally employable radiologic technologists. Nevertheless, important challenges remain involving educational standardization, technological preparedness, workforce retention, migration, specialized imaging competency, and continuing professional development. Addressing these concerns through curriculum modernization, enhanced clinical training, competency-based standardization, leadership development, technological integration, and workforce retention strategies may further strengthen the global competitiveness and long-term sustainability of Filipino radiologic technologists within both local and international healthcare systems.</w:t>
      </w:r>
    </w:p>
    <w:p w14:paraId="1EE01CB3" w14:textId="77777777" w:rsidR="00AF1070" w:rsidRDefault="00AF1070">
      <w:pPr>
        <w:pStyle w:val="Heading1"/>
        <w:keepNext w:val="0"/>
        <w:keepLines w:val="0"/>
        <w:spacing w:before="480"/>
        <w:jc w:val="both"/>
        <w:rPr>
          <w:rFonts w:ascii="Times New Roman" w:eastAsia="Times New Roman" w:hAnsi="Times New Roman" w:cs="Times New Roman"/>
          <w:b/>
          <w:bCs/>
          <w:sz w:val="24"/>
          <w:szCs w:val="24"/>
        </w:rPr>
      </w:pPr>
      <w:bookmarkStart w:id="29" w:name="_qqpm922h6k14" w:colFirst="0" w:colLast="0"/>
      <w:bookmarkEnd w:id="29"/>
    </w:p>
    <w:p w14:paraId="16B9B5BA" w14:textId="77777777" w:rsidR="00AF1070" w:rsidRDefault="004B6D4A">
      <w:pPr>
        <w:pStyle w:val="Heading1"/>
        <w:keepNext w:val="0"/>
        <w:keepLines w:val="0"/>
        <w:spacing w:before="480"/>
        <w:jc w:val="both"/>
        <w:rPr>
          <w:rFonts w:ascii="Times New Roman" w:eastAsia="Times New Roman" w:hAnsi="Times New Roman" w:cs="Times New Roman"/>
          <w:b/>
          <w:bCs/>
          <w:sz w:val="24"/>
          <w:szCs w:val="24"/>
        </w:rPr>
      </w:pPr>
      <w:bookmarkStart w:id="30" w:name="_s6ulgo7fkfz4" w:colFirst="0" w:colLast="0"/>
      <w:bookmarkEnd w:id="30"/>
      <w:r>
        <w:rPr>
          <w:rFonts w:ascii="Times New Roman" w:eastAsia="Times New Roman" w:hAnsi="Times New Roman" w:cs="Times New Roman"/>
          <w:b/>
          <w:bCs/>
          <w:sz w:val="24"/>
          <w:szCs w:val="24"/>
        </w:rPr>
        <w:br/>
        <w:t>CONCLUSION</w:t>
      </w:r>
    </w:p>
    <w:p w14:paraId="6D7D6AF9"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demonstrated that radiologic technology education in the Philippines generally produces competent, employable, and globally adaptable radiologic technologists capable of integrating into diverse healthcare environments. The reviewed studies consistently showed favorable employability outcomes among graduates, with many securing </w:t>
      </w:r>
      <w:proofErr w:type="gramStart"/>
      <w:r>
        <w:rPr>
          <w:rFonts w:ascii="Times New Roman" w:eastAsia="Times New Roman" w:hAnsi="Times New Roman" w:cs="Times New Roman"/>
          <w:sz w:val="24"/>
          <w:szCs w:val="24"/>
        </w:rPr>
        <w:t>employment</w:t>
      </w:r>
      <w:proofErr w:type="gramEnd"/>
      <w:r>
        <w:rPr>
          <w:rFonts w:ascii="Times New Roman" w:eastAsia="Times New Roman" w:hAnsi="Times New Roman" w:cs="Times New Roman"/>
          <w:sz w:val="24"/>
          <w:szCs w:val="24"/>
        </w:rPr>
        <w:t xml:space="preserve"> shortly after graduation and demonstrating strong competencies in clinical practice, patient care, communication, and professional responsibilities. Competency-based education, effective clinical internship exposure, curriculum relevance, and licensure examination preparedness emerged as major contributors to workforce readiness and professional integration among Filipino radiologic technologists.</w:t>
      </w:r>
    </w:p>
    <w:p w14:paraId="7F7DBA74"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further revealed that Filipino radiologic technologists possess qualities that support international employability, including adaptability, technical proficiency, interpersonal competence, and willingness to pursue continuing professional development. However, several challenges remain that may affect long-term workforce sustainability and global competitiveness. These include workforce migration, low local compensation, limited career advancement opportunities, inconsistencies in specialized imaging competencies, gaps in radiation safety knowledge, technological adaptation demands, and workforce retention difficulties within the Philippine healthcare system.</w:t>
      </w:r>
    </w:p>
    <w:p w14:paraId="1566F8D7"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also highlighted the growing importance of technological preparedness, leadership development, continuing professional education, and competency standardization in modern radiologic technology practice. As healthcare systems continue to evolve with increasing digitalization, artificial intelligence integration, and advanced imaging technologies, radiologic technology education programs in the Philippines must continuously modernize curricula and strengthen competency-based training to remain aligned with international workforce demands and professional standards.</w:t>
      </w:r>
    </w:p>
    <w:p w14:paraId="2A651DF5"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concludes that radiologic technology education in the Philippines has substantial strengths in preparing graduates for professional practice and global employability. Nevertheless, sustained improvements in curriculum enhancement, specialized clinical training, radiation safety education, technological competency development, workforce retention strategies, and continuing professional development are necessary to further strengthen the international competitiveness and long-term sustainability of Filipino radiologic technologists within the global healthcare workforce.</w:t>
      </w:r>
    </w:p>
    <w:p w14:paraId="043B0F48" w14:textId="77777777" w:rsidR="00AF1070" w:rsidRDefault="00AF1070">
      <w:pPr>
        <w:jc w:val="both"/>
        <w:rPr>
          <w:rFonts w:ascii="Times New Roman" w:eastAsia="Times New Roman" w:hAnsi="Times New Roman" w:cs="Times New Roman"/>
          <w:b/>
          <w:bCs/>
          <w:sz w:val="24"/>
          <w:szCs w:val="24"/>
        </w:rPr>
      </w:pPr>
    </w:p>
    <w:p w14:paraId="68C5F760" w14:textId="77777777" w:rsidR="00AF1070" w:rsidRDefault="00AF1070">
      <w:pPr>
        <w:jc w:val="both"/>
        <w:rPr>
          <w:rFonts w:ascii="Times New Roman" w:eastAsia="Times New Roman" w:hAnsi="Times New Roman" w:cs="Times New Roman"/>
          <w:b/>
          <w:bCs/>
          <w:sz w:val="24"/>
          <w:szCs w:val="24"/>
        </w:rPr>
      </w:pPr>
    </w:p>
    <w:p w14:paraId="0DAFFCE3" w14:textId="77777777" w:rsidR="00AF1070" w:rsidRDefault="00AF1070">
      <w:pPr>
        <w:jc w:val="both"/>
        <w:rPr>
          <w:rFonts w:ascii="Times New Roman" w:eastAsia="Times New Roman" w:hAnsi="Times New Roman" w:cs="Times New Roman"/>
          <w:b/>
          <w:bCs/>
          <w:sz w:val="24"/>
          <w:szCs w:val="24"/>
        </w:rPr>
      </w:pPr>
    </w:p>
    <w:p w14:paraId="3385503B" w14:textId="77777777" w:rsidR="00AF1070" w:rsidRDefault="00AF1070">
      <w:pPr>
        <w:jc w:val="both"/>
        <w:rPr>
          <w:rFonts w:ascii="Times New Roman" w:eastAsia="Times New Roman" w:hAnsi="Times New Roman" w:cs="Times New Roman"/>
          <w:b/>
          <w:bCs/>
          <w:sz w:val="24"/>
          <w:szCs w:val="24"/>
        </w:rPr>
      </w:pPr>
    </w:p>
    <w:p w14:paraId="1C63B104" w14:textId="77777777" w:rsidR="00AF1070" w:rsidRDefault="004B6D4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378AA82B" w14:textId="77777777" w:rsidR="00AF1070" w:rsidRDefault="004B6D4A">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systematic review has several limitations that should be considered when interpreting the findings. First, the review relied primarily on published studies, institutional reports, theses, and accessible grey literature, which may have resulted in publication bias due to the exclusion of unpublished studies and non-accessible data sources. Although multiple databases and manual searches were conducted, some relevant studies may not have been identified or included.</w:t>
      </w:r>
    </w:p>
    <w:p w14:paraId="5D62388F" w14:textId="77777777" w:rsidR="00AF1070" w:rsidRDefault="004B6D4A">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the included studies demonstrated considerable heterogeneity in research designs, methodologies, participant populations, outcome measures, and institutional settings. Variations in study objectives, sample sizes, and assessment tools limited the ability to conduct a quantitative meta-analysis and restricted the review to a narrative synthesis approach. Consequently, direct comparison and statistical generalization of findings across studies were limited.</w:t>
      </w:r>
    </w:p>
    <w:p w14:paraId="1C20B5F8" w14:textId="77777777" w:rsidR="00AF1070" w:rsidRDefault="004B6D4A">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many of the included studies utilized descriptive, correlational, or tracer study designs, which may be subject to self-report bias, recall bias, and limited causal interpretation. Several studies also involved relatively small sample sizes or institution-specific populations, potentially affecting the generalizability of findings to all radiologic technology programs and healthcare institutions in the Philippines.</w:t>
      </w:r>
    </w:p>
    <w:p w14:paraId="2DF1B3C7" w14:textId="77777777" w:rsidR="00AF1070" w:rsidRDefault="004B6D4A">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1" w:name="_zhsou3btknj6" w:colFirst="0" w:colLast="0"/>
      <w:bookmarkEnd w:id="31"/>
      <w:r>
        <w:rPr>
          <w:rFonts w:ascii="Times New Roman" w:eastAsia="Times New Roman" w:hAnsi="Times New Roman" w:cs="Times New Roman"/>
          <w:color w:val="000000"/>
          <w:sz w:val="24"/>
          <w:szCs w:val="24"/>
        </w:rPr>
        <w:t>Additionally, the review focused primarily on studies conducted within the Philippine setting, which may limit broader international comparison regarding radiologic technology education and global workforce integration. While some international literature was included to provide contextual support, evidence specifically examining Filipino radiologic technologists in overseas healthcare environments remained limited.</w:t>
      </w:r>
    </w:p>
    <w:p w14:paraId="2C8A941D" w14:textId="77777777" w:rsidR="00AF1070" w:rsidRDefault="004B6D4A">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2" w:name="_b58q9qkbi4ld" w:colFirst="0" w:colLast="0"/>
      <w:bookmarkEnd w:id="32"/>
      <w:r>
        <w:rPr>
          <w:rFonts w:ascii="Times New Roman" w:eastAsia="Times New Roman" w:hAnsi="Times New Roman" w:cs="Times New Roman"/>
          <w:color w:val="000000"/>
          <w:sz w:val="24"/>
          <w:szCs w:val="24"/>
        </w:rPr>
        <w:t>Finally, rapid advancements in healthcare technology, artificial intelligence, digital imaging systems, and workforce migration trends may continue to influence radiologic technology education and employability beyond the timeframe covered in this review. Therefore, future studies involving longitudinal analyses, multicenter investigations, and quantitative workforce outcome assessments are recommended to further strengthen evidence regarding the global employability and workforce competitiveness of Filipino radiologic technologists.</w:t>
      </w:r>
    </w:p>
    <w:p w14:paraId="5B60E690" w14:textId="77777777" w:rsidR="00AF1070" w:rsidRDefault="00AF107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33" w:name="_oxr7ghqu76x1" w:colFirst="0" w:colLast="0"/>
      <w:bookmarkEnd w:id="33"/>
    </w:p>
    <w:p w14:paraId="2F7A0DD6" w14:textId="77777777" w:rsidR="00AF1070" w:rsidRDefault="004B6D4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For the Commission on Higher Education (CHED)</w:t>
      </w:r>
    </w:p>
    <w:p w14:paraId="78719751"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Higher Education should continuously review and strengthen the Bachelor of Science in Radiologic Technology curriculum to ensure alignment with international competency standards, emerging healthcare technologies, and global workforce demands. Greater emphasis should be placed on competency-based education, radiation safety, digital imaging systems, </w:t>
      </w:r>
      <w:r>
        <w:rPr>
          <w:rFonts w:ascii="Times New Roman" w:eastAsia="Times New Roman" w:hAnsi="Times New Roman" w:cs="Times New Roman"/>
          <w:sz w:val="24"/>
          <w:szCs w:val="24"/>
        </w:rPr>
        <w:lastRenderedPageBreak/>
        <w:t>artificial intelligence integration, specialized imaging modalities, leadership development, and evidence-based practice. CHED should also encourage regular curriculum monitoring, accreditation strengthening, and standardization of clinical internship programs across higher education institutions to reduce variability in educational quality and competency outcomes.</w:t>
      </w:r>
    </w:p>
    <w:p w14:paraId="38C6F0B1"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34" w:name="_gblv32yzc7ka" w:colFirst="0" w:colLast="0"/>
      <w:bookmarkEnd w:id="34"/>
      <w:r>
        <w:rPr>
          <w:rFonts w:ascii="Times New Roman" w:eastAsia="Times New Roman" w:hAnsi="Times New Roman" w:cs="Times New Roman"/>
          <w:b/>
          <w:bCs/>
          <w:sz w:val="24"/>
          <w:szCs w:val="24"/>
        </w:rPr>
        <w:t>For the Professional Regulation Commission (PRC)</w:t>
      </w:r>
    </w:p>
    <w:p w14:paraId="430C904A"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Professional Regulation Commission should strengthen licensure examination review frameworks and competency monitoring systems to ensure that graduates possess the necessary theoretical knowledge and clinical competencies required for safe and globally competitive professional practice. The PRC may also collaborate with academic institutions and professional organizations in developing enhanced continuing professional development (CPD) programs focused on technological advancement, radiation protection, specialized imaging competencies, leadership training, and global practice standards.</w:t>
      </w:r>
    </w:p>
    <w:p w14:paraId="5408467E"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35" w:name="_nimznh8hkvy" w:colFirst="0" w:colLast="0"/>
      <w:bookmarkEnd w:id="35"/>
      <w:r>
        <w:rPr>
          <w:rFonts w:ascii="Times New Roman" w:eastAsia="Times New Roman" w:hAnsi="Times New Roman" w:cs="Times New Roman"/>
          <w:b/>
          <w:bCs/>
          <w:sz w:val="24"/>
          <w:szCs w:val="24"/>
        </w:rPr>
        <w:t>For Higher Education Institutions Offering Radiologic Technology Programs</w:t>
      </w:r>
    </w:p>
    <w:p w14:paraId="5C8520EB"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institutions should strengthen clinical training partnerships with hospitals and imaging centers to improve students’ hands-on learning experiences and exposure to advanced imaging modalities such as computed tomography, magnetic resonance imaging, nuclear medicine, radiation therapy, and interventional radiology. Institutions should also enhance simulation-based learning, radiation safety instruction, mentorship systems, and technological training to better prepare students for evolving healthcare environments. Faculty development initiatives, instructional quality improvement, and student support programs should likewise be prioritized to strengthen educational outcomes and licensure preparedness.</w:t>
      </w:r>
    </w:p>
    <w:p w14:paraId="7A4CCCB5"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36" w:name="_v0ea6d60i15s" w:colFirst="0" w:colLast="0"/>
      <w:bookmarkEnd w:id="36"/>
      <w:r>
        <w:rPr>
          <w:rFonts w:ascii="Times New Roman" w:eastAsia="Times New Roman" w:hAnsi="Times New Roman" w:cs="Times New Roman"/>
          <w:b/>
          <w:bCs/>
          <w:sz w:val="24"/>
          <w:szCs w:val="24"/>
        </w:rPr>
        <w:t>For Healthcare Institutions and Employers</w:t>
      </w:r>
    </w:p>
    <w:p w14:paraId="6F5626D3"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 institutions should implement workforce retention strategies aimed at improving compensation, workplace conditions, career advancement opportunities, and professional recognition for radiologic technologists. Hospitals and imaging centers should also promote supportive leadership, continuing education opportunities, occupational safety programs, and positive workplace environments to improve job satisfaction and reduce workforce attrition. Investment in updated imaging technologies and continuous competency training may further enhance professional growth and service quality among radiologic technologists.</w:t>
      </w:r>
    </w:p>
    <w:p w14:paraId="571C5C38"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37" w:name="_s0quu011b5m" w:colFirst="0" w:colLast="0"/>
      <w:bookmarkEnd w:id="37"/>
      <w:r>
        <w:rPr>
          <w:rFonts w:ascii="Times New Roman" w:eastAsia="Times New Roman" w:hAnsi="Times New Roman" w:cs="Times New Roman"/>
          <w:b/>
          <w:bCs/>
          <w:sz w:val="24"/>
          <w:szCs w:val="24"/>
        </w:rPr>
        <w:t>For the Department of Health (DOH) and Healthcare Policymakers</w:t>
      </w:r>
    </w:p>
    <w:p w14:paraId="760ABC03"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Health and national healthcare policymakers should strengthen healthcare workforce planning and retention programs for allied health professionals, including radiologic technologists. Policies addressing workforce migration, equitable compensation, rural workforce </w:t>
      </w:r>
      <w:r>
        <w:rPr>
          <w:rFonts w:ascii="Times New Roman" w:eastAsia="Times New Roman" w:hAnsi="Times New Roman" w:cs="Times New Roman"/>
          <w:sz w:val="24"/>
          <w:szCs w:val="24"/>
        </w:rPr>
        <w:lastRenderedPageBreak/>
        <w:t>deployment, career progression systems, and continuing professional development support should be prioritized to sustain the local radiologic technology workforce. National initiatives promoting technological modernization, healthcare infrastructure development, and regional training opportunities may also help improve workforce distribution and healthcare accessibility across the Philippines.</w:t>
      </w:r>
    </w:p>
    <w:p w14:paraId="14DBBFF8" w14:textId="77777777" w:rsidR="00AF1070" w:rsidRDefault="004B6D4A">
      <w:pPr>
        <w:pStyle w:val="Heading2"/>
        <w:keepNext w:val="0"/>
        <w:keepLines w:val="0"/>
        <w:spacing w:after="80"/>
        <w:jc w:val="both"/>
        <w:rPr>
          <w:rFonts w:ascii="Times New Roman" w:eastAsia="Times New Roman" w:hAnsi="Times New Roman" w:cs="Times New Roman"/>
          <w:b/>
          <w:bCs/>
          <w:sz w:val="24"/>
          <w:szCs w:val="24"/>
        </w:rPr>
      </w:pPr>
      <w:bookmarkStart w:id="38" w:name="_6x0pr460mux" w:colFirst="0" w:colLast="0"/>
      <w:bookmarkEnd w:id="38"/>
      <w:r>
        <w:rPr>
          <w:rFonts w:ascii="Times New Roman" w:eastAsia="Times New Roman" w:hAnsi="Times New Roman" w:cs="Times New Roman"/>
          <w:b/>
          <w:bCs/>
          <w:sz w:val="24"/>
          <w:szCs w:val="24"/>
        </w:rPr>
        <w:t>For Future Researchers</w:t>
      </w:r>
    </w:p>
    <w:p w14:paraId="4D6050C1" w14:textId="77777777" w:rsidR="00AF1070" w:rsidRDefault="004B6D4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studies should conduct multicenter and longitudinal investigations examining the long-term employability, migration outcomes, professional competencies, and career progression of Filipino radiologic technologists in both local and international healthcare settings. Researchers are also encouraged to explore the impact of artificial intelligence, digital imaging technologies, leadership competencies, and continuing professional development on workforce competitiveness and global employability. Quantitative meta-analytic studies and comparative international research may further strengthen evidence regarding radiologic technology education and workforce sustainability in the Philippines.</w:t>
      </w:r>
    </w:p>
    <w:p w14:paraId="0306D6C8" w14:textId="77777777" w:rsidR="00AF1070" w:rsidRDefault="00AF107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39" w:name="_7illvtf53ft4" w:colFirst="0" w:colLast="0"/>
      <w:bookmarkEnd w:id="39"/>
    </w:p>
    <w:p w14:paraId="386A61E4" w14:textId="77777777" w:rsidR="00AF1070" w:rsidRDefault="004B6D4A">
      <w:pPr>
        <w:pStyle w:val="Heading3"/>
        <w:keepNext w:val="0"/>
        <w:keepLines w:val="0"/>
        <w:spacing w:before="280" w:line="240" w:lineRule="auto"/>
        <w:jc w:val="both"/>
        <w:rPr>
          <w:rFonts w:ascii="Times New Roman" w:eastAsia="Times New Roman" w:hAnsi="Times New Roman" w:cs="Times New Roman"/>
          <w:sz w:val="24"/>
          <w:szCs w:val="24"/>
        </w:rPr>
      </w:pPr>
      <w:bookmarkStart w:id="40" w:name="_vns581wk29t7" w:colFirst="0" w:colLast="0"/>
      <w:bookmarkEnd w:id="40"/>
      <w:r>
        <w:rPr>
          <w:rFonts w:ascii="Times New Roman" w:eastAsia="Times New Roman" w:hAnsi="Times New Roman" w:cs="Times New Roman"/>
          <w:b/>
          <w:bCs/>
          <w:color w:val="000000"/>
          <w:sz w:val="24"/>
          <w:szCs w:val="24"/>
        </w:rPr>
        <w:t>REFERENCES</w:t>
      </w:r>
    </w:p>
    <w:p w14:paraId="643A3A4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Alamoudi, D., Ahmed, M. E., </w:t>
      </w:r>
      <w:proofErr w:type="spellStart"/>
      <w:r>
        <w:rPr>
          <w:rFonts w:ascii="Times New Roman" w:eastAsia="Times New Roman" w:hAnsi="Times New Roman" w:cs="Times New Roman"/>
          <w:sz w:val="24"/>
          <w:szCs w:val="24"/>
        </w:rPr>
        <w:t>Alhalwani</w:t>
      </w:r>
      <w:proofErr w:type="spellEnd"/>
      <w:r>
        <w:rPr>
          <w:rFonts w:ascii="Times New Roman" w:eastAsia="Times New Roman" w:hAnsi="Times New Roman" w:cs="Times New Roman"/>
          <w:sz w:val="24"/>
          <w:szCs w:val="24"/>
        </w:rPr>
        <w:t xml:space="preserve">, A. Y., </w:t>
      </w:r>
      <w:proofErr w:type="spellStart"/>
      <w:r>
        <w:rPr>
          <w:rFonts w:ascii="Times New Roman" w:eastAsia="Times New Roman" w:hAnsi="Times New Roman" w:cs="Times New Roman"/>
          <w:sz w:val="24"/>
          <w:szCs w:val="24"/>
        </w:rPr>
        <w:t>Alnakhli</w:t>
      </w:r>
      <w:proofErr w:type="spellEnd"/>
      <w:r>
        <w:rPr>
          <w:rFonts w:ascii="Times New Roman" w:eastAsia="Times New Roman" w:hAnsi="Times New Roman" w:cs="Times New Roman"/>
          <w:sz w:val="24"/>
          <w:szCs w:val="24"/>
        </w:rPr>
        <w:t xml:space="preserve">, A. T., </w:t>
      </w:r>
      <w:proofErr w:type="spellStart"/>
      <w:r>
        <w:rPr>
          <w:rFonts w:ascii="Times New Roman" w:eastAsia="Times New Roman" w:hAnsi="Times New Roman" w:cs="Times New Roman"/>
          <w:sz w:val="24"/>
          <w:szCs w:val="24"/>
        </w:rPr>
        <w:t>Qahaf</w:t>
      </w:r>
      <w:proofErr w:type="spellEnd"/>
      <w:r>
        <w:rPr>
          <w:rFonts w:ascii="Times New Roman" w:eastAsia="Times New Roman" w:hAnsi="Times New Roman" w:cs="Times New Roman"/>
          <w:sz w:val="24"/>
          <w:szCs w:val="24"/>
        </w:rPr>
        <w:t xml:space="preserve">, R. M., </w:t>
      </w:r>
      <w:proofErr w:type="spellStart"/>
      <w:r>
        <w:rPr>
          <w:rFonts w:ascii="Times New Roman" w:eastAsia="Times New Roman" w:hAnsi="Times New Roman" w:cs="Times New Roman"/>
          <w:sz w:val="24"/>
          <w:szCs w:val="24"/>
        </w:rPr>
        <w:t>Bazuhayr</w:t>
      </w:r>
      <w:proofErr w:type="spellEnd"/>
      <w:r>
        <w:rPr>
          <w:rFonts w:ascii="Times New Roman" w:eastAsia="Times New Roman" w:hAnsi="Times New Roman" w:cs="Times New Roman"/>
          <w:sz w:val="24"/>
          <w:szCs w:val="24"/>
        </w:rPr>
        <w:t xml:space="preserve">, L. F., &amp; Yamani, B. H. (2025). Assessing knowledge of radiation protection and safety among undergraduate and intern radiologic technologists: A pre- and post-educational course survey. </w:t>
      </w:r>
      <w:r>
        <w:rPr>
          <w:rFonts w:ascii="Times New Roman" w:eastAsia="Times New Roman" w:hAnsi="Times New Roman" w:cs="Times New Roman"/>
          <w:i/>
          <w:iCs/>
          <w:sz w:val="24"/>
          <w:szCs w:val="24"/>
        </w:rPr>
        <w:t>Advances in Medical Education and Practice, 16</w:t>
      </w:r>
      <w:r>
        <w:rPr>
          <w:rFonts w:ascii="Times New Roman" w:eastAsia="Times New Roman" w:hAnsi="Times New Roman" w:cs="Times New Roman"/>
          <w:sz w:val="24"/>
          <w:szCs w:val="24"/>
        </w:rPr>
        <w:t>, 1151–1158.</w:t>
      </w:r>
      <w:hyperlink r:id="rId14">
        <w:r>
          <w:rPr>
            <w:rFonts w:ascii="Times New Roman" w:eastAsia="Times New Roman" w:hAnsi="Times New Roman" w:cs="Times New Roman"/>
            <w:sz w:val="24"/>
            <w:szCs w:val="24"/>
            <w:u w:val="single"/>
          </w:rPr>
          <w:t xml:space="preserve"> </w:t>
        </w:r>
      </w:hyperlink>
      <w:hyperlink r:id="rId15">
        <w:r>
          <w:rPr>
            <w:rFonts w:ascii="Times New Roman" w:eastAsia="Times New Roman" w:hAnsi="Times New Roman" w:cs="Times New Roman"/>
            <w:sz w:val="24"/>
            <w:szCs w:val="24"/>
            <w:u w:val="single"/>
          </w:rPr>
          <w:t>https://doi.org/10.2147/AMEP.S521381</w:t>
        </w:r>
      </w:hyperlink>
      <w:r>
        <w:rPr>
          <w:rFonts w:ascii="Times New Roman" w:eastAsia="Times New Roman" w:hAnsi="Times New Roman" w:cs="Times New Roman"/>
          <w:sz w:val="24"/>
          <w:szCs w:val="24"/>
        </w:rPr>
        <w:t xml:space="preserve">  </w:t>
      </w:r>
    </w:p>
    <w:p w14:paraId="28D9929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Aldahery</w:t>
      </w:r>
      <w:proofErr w:type="spellEnd"/>
      <w:r>
        <w:rPr>
          <w:rFonts w:ascii="Times New Roman" w:eastAsia="Times New Roman" w:hAnsi="Times New Roman" w:cs="Times New Roman"/>
          <w:sz w:val="24"/>
          <w:szCs w:val="24"/>
        </w:rPr>
        <w:t xml:space="preserve">, S. T. (2023). Assessment of radiographers' knowledge about radiation doses and DRLs in computed tomography departments in Jeddah, Saudi Arabia: A cross-sectional study. </w:t>
      </w:r>
      <w:r>
        <w:rPr>
          <w:rFonts w:ascii="Times New Roman" w:eastAsia="Times New Roman" w:hAnsi="Times New Roman" w:cs="Times New Roman"/>
          <w:i/>
          <w:iCs/>
          <w:sz w:val="24"/>
          <w:szCs w:val="24"/>
        </w:rPr>
        <w:t>Saudi Pharmaceutical Journal, 31</w:t>
      </w:r>
      <w:r>
        <w:rPr>
          <w:rFonts w:ascii="Times New Roman" w:eastAsia="Times New Roman" w:hAnsi="Times New Roman" w:cs="Times New Roman"/>
          <w:sz w:val="24"/>
          <w:szCs w:val="24"/>
        </w:rPr>
        <w:t>(11), 101820.</w:t>
      </w:r>
      <w:hyperlink r:id="rId16">
        <w:r>
          <w:rPr>
            <w:rFonts w:ascii="Times New Roman" w:eastAsia="Times New Roman" w:hAnsi="Times New Roman" w:cs="Times New Roman"/>
            <w:sz w:val="24"/>
            <w:szCs w:val="24"/>
            <w:u w:val="single"/>
          </w:rPr>
          <w:t xml:space="preserve"> https://doi.org/10.1016/j.jsps.2023.101820</w:t>
        </w:r>
      </w:hyperlink>
      <w:r>
        <w:rPr>
          <w:rFonts w:ascii="Times New Roman" w:eastAsia="Times New Roman" w:hAnsi="Times New Roman" w:cs="Times New Roman"/>
          <w:sz w:val="24"/>
          <w:szCs w:val="24"/>
        </w:rPr>
        <w:t xml:space="preserve"> </w:t>
      </w:r>
    </w:p>
    <w:p w14:paraId="3DD9E042"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Alipio, Mark. (2025). Modern radiography education: Clinical competence, simulation, and AI. </w:t>
      </w:r>
      <w:r>
        <w:rPr>
          <w:rFonts w:ascii="Times New Roman" w:eastAsia="Times New Roman" w:hAnsi="Times New Roman" w:cs="Times New Roman"/>
          <w:i/>
          <w:iCs/>
          <w:sz w:val="24"/>
          <w:szCs w:val="24"/>
        </w:rPr>
        <w:t>International Journal of Transformative Multidisciplinary Studies</w:t>
      </w:r>
      <w:r>
        <w:rPr>
          <w:rFonts w:ascii="Times New Roman" w:eastAsia="Times New Roman" w:hAnsi="Times New Roman" w:cs="Times New Roman"/>
          <w:sz w:val="24"/>
          <w:szCs w:val="24"/>
        </w:rPr>
        <w:t>.</w:t>
      </w:r>
      <w:hyperlink r:id="rId17">
        <w:r>
          <w:rPr>
            <w:rFonts w:ascii="Times New Roman" w:eastAsia="Times New Roman" w:hAnsi="Times New Roman" w:cs="Times New Roman"/>
            <w:sz w:val="24"/>
            <w:szCs w:val="24"/>
            <w:u w:val="single"/>
          </w:rPr>
          <w:t xml:space="preserve"> https://doi.org/10.65931/w9z4k2r7</w:t>
        </w:r>
      </w:hyperlink>
      <w:r>
        <w:rPr>
          <w:rFonts w:ascii="Times New Roman" w:eastAsia="Times New Roman" w:hAnsi="Times New Roman" w:cs="Times New Roman"/>
          <w:sz w:val="24"/>
          <w:szCs w:val="24"/>
        </w:rPr>
        <w:t xml:space="preserve"> </w:t>
      </w:r>
    </w:p>
    <w:p w14:paraId="6A7D144C"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Society of Radiologic Technologists. (2025). </w:t>
      </w:r>
      <w:r>
        <w:rPr>
          <w:rFonts w:ascii="Times New Roman" w:eastAsia="Times New Roman" w:hAnsi="Times New Roman" w:cs="Times New Roman"/>
          <w:i/>
          <w:iCs/>
          <w:sz w:val="24"/>
          <w:szCs w:val="24"/>
        </w:rPr>
        <w:t>ASRT practice standards for medical imaging and radiation therapy</w:t>
      </w:r>
      <w:r>
        <w:rPr>
          <w:rFonts w:ascii="Times New Roman" w:eastAsia="Times New Roman" w:hAnsi="Times New Roman" w:cs="Times New Roman"/>
          <w:sz w:val="24"/>
          <w:szCs w:val="24"/>
        </w:rPr>
        <w:t>.</w:t>
      </w:r>
      <w:hyperlink r:id="rId18">
        <w:r>
          <w:rPr>
            <w:rFonts w:ascii="Times New Roman" w:eastAsia="Times New Roman" w:hAnsi="Times New Roman" w:cs="Times New Roman"/>
            <w:sz w:val="24"/>
            <w:szCs w:val="24"/>
            <w:u w:val="single"/>
          </w:rPr>
          <w:t xml:space="preserve"> https://www.asrt.org/main/standards-and-regulations/professional-practice/practice-standards-online</w:t>
        </w:r>
      </w:hyperlink>
      <w:r>
        <w:rPr>
          <w:rFonts w:ascii="Times New Roman" w:eastAsia="Times New Roman" w:hAnsi="Times New Roman" w:cs="Times New Roman"/>
          <w:sz w:val="24"/>
          <w:szCs w:val="24"/>
        </w:rPr>
        <w:t xml:space="preserve"> </w:t>
      </w:r>
    </w:p>
    <w:p w14:paraId="5B809D05"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Andres, J. S. (2023). Knowledge and compliance of radiologic technologists on the IATF guidelines for COVID-19 in a government hospital in a city in Isabela. </w:t>
      </w:r>
      <w:r>
        <w:rPr>
          <w:rFonts w:ascii="Times New Roman" w:eastAsia="Times New Roman" w:hAnsi="Times New Roman" w:cs="Times New Roman"/>
          <w:i/>
          <w:iCs/>
          <w:sz w:val="24"/>
          <w:szCs w:val="24"/>
        </w:rPr>
        <w:t>International Journal of Open-Access, Interdisciplinary &amp; New Educational Discoveries of ETCOR Educational Research Center (</w:t>
      </w:r>
      <w:proofErr w:type="spellStart"/>
      <w:r>
        <w:rPr>
          <w:rFonts w:ascii="Times New Roman" w:eastAsia="Times New Roman" w:hAnsi="Times New Roman" w:cs="Times New Roman"/>
          <w:i/>
          <w:iCs/>
          <w:sz w:val="24"/>
          <w:szCs w:val="24"/>
        </w:rPr>
        <w:t>iJOINED</w:t>
      </w:r>
      <w:proofErr w:type="spellEnd"/>
      <w:r>
        <w:rPr>
          <w:rFonts w:ascii="Times New Roman" w:eastAsia="Times New Roman" w:hAnsi="Times New Roman" w:cs="Times New Roman"/>
          <w:i/>
          <w:iCs/>
          <w:sz w:val="24"/>
          <w:szCs w:val="24"/>
        </w:rPr>
        <w:t xml:space="preserve"> ETCOR), 2</w:t>
      </w:r>
      <w:r>
        <w:rPr>
          <w:rFonts w:ascii="Times New Roman" w:eastAsia="Times New Roman" w:hAnsi="Times New Roman" w:cs="Times New Roman"/>
          <w:sz w:val="24"/>
          <w:szCs w:val="24"/>
        </w:rPr>
        <w:t xml:space="preserve">(3), 576–584. </w:t>
      </w:r>
    </w:p>
    <w:p w14:paraId="7014BADB"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Araneta, Erica. R. C. (2021). </w:t>
      </w:r>
      <w:r>
        <w:rPr>
          <w:rFonts w:ascii="Times New Roman" w:eastAsia="Times New Roman" w:hAnsi="Times New Roman" w:cs="Times New Roman"/>
          <w:i/>
          <w:iCs/>
          <w:sz w:val="24"/>
          <w:szCs w:val="24"/>
        </w:rPr>
        <w:t>A tracer study of Bachelor of Science in Radiologic Technology students from Batch 2018 to 2021</w:t>
      </w:r>
      <w:r>
        <w:rPr>
          <w:rFonts w:ascii="Times New Roman" w:eastAsia="Times New Roman" w:hAnsi="Times New Roman" w:cs="Times New Roman"/>
          <w:sz w:val="24"/>
          <w:szCs w:val="24"/>
        </w:rPr>
        <w:t>. SDCA Journal of Radiologic Technology, 2, 1–4.</w:t>
      </w:r>
      <w:hyperlink r:id="rId19">
        <w:r>
          <w:rPr>
            <w:rFonts w:ascii="Times New Roman" w:eastAsia="Times New Roman" w:hAnsi="Times New Roman" w:cs="Times New Roman"/>
            <w:sz w:val="24"/>
            <w:szCs w:val="24"/>
            <w:u w:val="single"/>
          </w:rPr>
          <w:t xml:space="preserve"> https://zenodo.org/records/14874488</w:t>
        </w:r>
      </w:hyperlink>
      <w:r>
        <w:rPr>
          <w:rFonts w:ascii="Times New Roman" w:eastAsia="Times New Roman" w:hAnsi="Times New Roman" w:cs="Times New Roman"/>
          <w:sz w:val="24"/>
          <w:szCs w:val="24"/>
        </w:rPr>
        <w:t xml:space="preserve"> </w:t>
      </w:r>
    </w:p>
    <w:p w14:paraId="66514EEE"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Bagtasos</w:t>
      </w:r>
      <w:proofErr w:type="spellEnd"/>
      <w:r>
        <w:rPr>
          <w:rFonts w:ascii="Times New Roman" w:eastAsia="Times New Roman" w:hAnsi="Times New Roman" w:cs="Times New Roman"/>
          <w:sz w:val="24"/>
          <w:szCs w:val="24"/>
        </w:rPr>
        <w:t xml:space="preserve">, V. C., Distor, J. C., Lopez, V. H., Manas, L. E., Set, C. M., &amp; </w:t>
      </w:r>
      <w:proofErr w:type="spellStart"/>
      <w:r>
        <w:rPr>
          <w:rFonts w:ascii="Times New Roman" w:eastAsia="Times New Roman" w:hAnsi="Times New Roman" w:cs="Times New Roman"/>
          <w:sz w:val="24"/>
          <w:szCs w:val="24"/>
        </w:rPr>
        <w:t>Tatlongmaria</w:t>
      </w:r>
      <w:proofErr w:type="spellEnd"/>
      <w:r>
        <w:rPr>
          <w:rFonts w:ascii="Times New Roman" w:eastAsia="Times New Roman" w:hAnsi="Times New Roman" w:cs="Times New Roman"/>
          <w:sz w:val="24"/>
          <w:szCs w:val="24"/>
        </w:rPr>
        <w:t xml:space="preserve">, H. A. (2023). Intentions to work abroad of radiologic technologists in Cavite. [Bachelor's thesis, De La Salle Medical and Health Sciences Institute]. </w:t>
      </w:r>
      <w:proofErr w:type="spellStart"/>
      <w:r>
        <w:rPr>
          <w:rFonts w:ascii="Times New Roman" w:eastAsia="Times New Roman" w:hAnsi="Times New Roman" w:cs="Times New Roman"/>
          <w:sz w:val="24"/>
          <w:szCs w:val="24"/>
        </w:rPr>
        <w:t>GreenPrints</w:t>
      </w:r>
      <w:proofErr w:type="spellEnd"/>
      <w:r>
        <w:rPr>
          <w:rFonts w:ascii="Times New Roman" w:eastAsia="Times New Roman" w:hAnsi="Times New Roman" w:cs="Times New Roman"/>
          <w:sz w:val="24"/>
          <w:szCs w:val="24"/>
        </w:rPr>
        <w:t xml:space="preserve">. https://greenprints.dlshsi.edu.ph/bsrt/683  </w:t>
      </w:r>
    </w:p>
    <w:p w14:paraId="584DE58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Barnett, K., Kirtley, C. W., Halstead, E. J., Anderson, N., Smith, S., Taylor, B., Statler, A., &amp; Eads, L. (2025). </w:t>
      </w:r>
      <w:r>
        <w:rPr>
          <w:rFonts w:ascii="Times New Roman" w:eastAsia="Times New Roman" w:hAnsi="Times New Roman" w:cs="Times New Roman"/>
          <w:i/>
          <w:iCs/>
          <w:sz w:val="24"/>
          <w:szCs w:val="24"/>
        </w:rPr>
        <w:t>Radiologic science student handbook: Fall 2025</w:t>
      </w:r>
      <w:r>
        <w:rPr>
          <w:rFonts w:ascii="Times New Roman" w:eastAsia="Times New Roman" w:hAnsi="Times New Roman" w:cs="Times New Roman"/>
          <w:sz w:val="24"/>
          <w:szCs w:val="24"/>
        </w:rPr>
        <w:t>. University of Charleston.</w:t>
      </w:r>
      <w:hyperlink r:id="rId20">
        <w:r>
          <w:rPr>
            <w:rFonts w:ascii="Times New Roman" w:eastAsia="Times New Roman" w:hAnsi="Times New Roman" w:cs="Times New Roman"/>
            <w:sz w:val="24"/>
            <w:szCs w:val="24"/>
            <w:u w:val="single"/>
          </w:rPr>
          <w:t xml:space="preserve"> https://www.ucwv.edu/wp-content/uploads/2025/09/Radiologic-Student-Handbook.pdf</w:t>
        </w:r>
      </w:hyperlink>
    </w:p>
    <w:p w14:paraId="3F6BBA3F"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Brutas</w:t>
      </w:r>
      <w:proofErr w:type="spellEnd"/>
      <w:r>
        <w:rPr>
          <w:rFonts w:ascii="Times New Roman" w:eastAsia="Times New Roman" w:hAnsi="Times New Roman" w:cs="Times New Roman"/>
          <w:sz w:val="24"/>
          <w:szCs w:val="24"/>
        </w:rPr>
        <w:t xml:space="preserve">, G. M. D., </w:t>
      </w:r>
      <w:proofErr w:type="spellStart"/>
      <w:r>
        <w:rPr>
          <w:rFonts w:ascii="Times New Roman" w:eastAsia="Times New Roman" w:hAnsi="Times New Roman" w:cs="Times New Roman"/>
          <w:sz w:val="24"/>
          <w:szCs w:val="24"/>
        </w:rPr>
        <w:t>Gatbalayan</w:t>
      </w:r>
      <w:proofErr w:type="spellEnd"/>
      <w:r>
        <w:rPr>
          <w:rFonts w:ascii="Times New Roman" w:eastAsia="Times New Roman" w:hAnsi="Times New Roman" w:cs="Times New Roman"/>
          <w:sz w:val="24"/>
          <w:szCs w:val="24"/>
        </w:rPr>
        <w:t xml:space="preserve">, P. J. G., Lejano, F. O. A., &amp; </w:t>
      </w:r>
      <w:proofErr w:type="spellStart"/>
      <w:r>
        <w:rPr>
          <w:rFonts w:ascii="Times New Roman" w:eastAsia="Times New Roman" w:hAnsi="Times New Roman" w:cs="Times New Roman"/>
          <w:sz w:val="24"/>
          <w:szCs w:val="24"/>
        </w:rPr>
        <w:t>Mondres</w:t>
      </w:r>
      <w:proofErr w:type="spellEnd"/>
      <w:r>
        <w:rPr>
          <w:rFonts w:ascii="Times New Roman" w:eastAsia="Times New Roman" w:hAnsi="Times New Roman" w:cs="Times New Roman"/>
          <w:sz w:val="24"/>
          <w:szCs w:val="24"/>
        </w:rPr>
        <w:t xml:space="preserve">, M. C. N. D. (2024). </w:t>
      </w:r>
      <w:r>
        <w:rPr>
          <w:rFonts w:ascii="Times New Roman" w:eastAsia="Times New Roman" w:hAnsi="Times New Roman" w:cs="Times New Roman"/>
          <w:i/>
          <w:iCs/>
          <w:sz w:val="24"/>
          <w:szCs w:val="24"/>
        </w:rPr>
        <w:t>Job satisfaction among radiologic technologists in selected private and government hospitals in Quezon City</w:t>
      </w:r>
      <w:r>
        <w:rPr>
          <w:rFonts w:ascii="Times New Roman" w:eastAsia="Times New Roman" w:hAnsi="Times New Roman" w:cs="Times New Roman"/>
          <w:sz w:val="24"/>
          <w:szCs w:val="24"/>
        </w:rPr>
        <w:t xml:space="preserve"> (Undergraduate thesis, BS Radiologic Technology). HERDIN Plus.</w:t>
      </w:r>
      <w:hyperlink r:id="rId21">
        <w:r>
          <w:rPr>
            <w:rFonts w:ascii="Times New Roman" w:eastAsia="Times New Roman" w:hAnsi="Times New Roman" w:cs="Times New Roman"/>
            <w:sz w:val="24"/>
            <w:szCs w:val="24"/>
            <w:u w:val="single"/>
          </w:rPr>
          <w:t xml:space="preserve"> </w:t>
        </w:r>
      </w:hyperlink>
      <w:hyperlink r:id="rId22">
        <w:r>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22D4D7EF"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Bulauitan</w:t>
      </w:r>
      <w:proofErr w:type="spellEnd"/>
      <w:r>
        <w:rPr>
          <w:rFonts w:ascii="Times New Roman" w:eastAsia="Times New Roman" w:hAnsi="Times New Roman" w:cs="Times New Roman"/>
          <w:sz w:val="24"/>
          <w:szCs w:val="24"/>
        </w:rPr>
        <w:t xml:space="preserve">, Z., Penaflor, K. J., Romero, K. J., Ubina, B. G., &amp; Agustin, R. J. R. (2024). </w:t>
      </w:r>
      <w:r>
        <w:rPr>
          <w:rFonts w:ascii="Times New Roman" w:eastAsia="Times New Roman" w:hAnsi="Times New Roman" w:cs="Times New Roman"/>
          <w:i/>
          <w:iCs/>
          <w:sz w:val="24"/>
          <w:szCs w:val="24"/>
        </w:rPr>
        <w:t>Work performance of the radiologic technology interns in medical colleges of the Northern Philippines based on the Commission on Higher Education Memorandum Order.</w:t>
      </w:r>
      <w:r>
        <w:rPr>
          <w:rFonts w:ascii="Times New Roman" w:eastAsia="Times New Roman" w:hAnsi="Times New Roman" w:cs="Times New Roman"/>
          <w:sz w:val="24"/>
          <w:szCs w:val="24"/>
        </w:rPr>
        <w:t xml:space="preserve"> </w:t>
      </w:r>
    </w:p>
    <w:p w14:paraId="5A6CA585"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Cabatingan, A. M., &amp; Salinas, G. O. (2024). </w:t>
      </w:r>
      <w:r>
        <w:rPr>
          <w:rFonts w:ascii="Times New Roman" w:eastAsia="Times New Roman" w:hAnsi="Times New Roman" w:cs="Times New Roman"/>
          <w:i/>
          <w:iCs/>
          <w:sz w:val="24"/>
          <w:szCs w:val="24"/>
        </w:rPr>
        <w:t>Admission test and professional licensure examination results of Bachelor of Science in Radiologic Technology students at General Santos Doctors’ Medical School Foundation, Incorporated, South Cotabato,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for Multidisciplinary Research, 6</w:t>
      </w:r>
      <w:r>
        <w:rPr>
          <w:rFonts w:ascii="Times New Roman" w:eastAsia="Times New Roman" w:hAnsi="Times New Roman" w:cs="Times New Roman"/>
          <w:sz w:val="24"/>
          <w:szCs w:val="24"/>
        </w:rPr>
        <w:t>(5).</w:t>
      </w:r>
    </w:p>
    <w:p w14:paraId="1516B3E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Cañete, J.-A. P. M., De Jesus, J. A. L., Gutierrez, M. S. C. V., &amp; </w:t>
      </w:r>
      <w:proofErr w:type="spellStart"/>
      <w:r>
        <w:rPr>
          <w:rFonts w:ascii="Times New Roman" w:eastAsia="Times New Roman" w:hAnsi="Times New Roman" w:cs="Times New Roman"/>
          <w:sz w:val="24"/>
          <w:szCs w:val="24"/>
        </w:rPr>
        <w:t>Lucagan</w:t>
      </w:r>
      <w:proofErr w:type="spellEnd"/>
      <w:r>
        <w:rPr>
          <w:rFonts w:ascii="Times New Roman" w:eastAsia="Times New Roman" w:hAnsi="Times New Roman" w:cs="Times New Roman"/>
          <w:sz w:val="24"/>
          <w:szCs w:val="24"/>
        </w:rPr>
        <w:t xml:space="preserve">, C. L. P. (2024). </w:t>
      </w:r>
      <w:r>
        <w:rPr>
          <w:rFonts w:ascii="Times New Roman" w:eastAsia="Times New Roman" w:hAnsi="Times New Roman" w:cs="Times New Roman"/>
          <w:i/>
          <w:iCs/>
          <w:sz w:val="24"/>
          <w:szCs w:val="24"/>
        </w:rPr>
        <w:t>Exploration on the challenges of radiologic technology graduates during their internship in affiliated hospitals of Trinity University of Asia</w:t>
      </w:r>
      <w:r>
        <w:rPr>
          <w:rFonts w:ascii="Times New Roman" w:eastAsia="Times New Roman" w:hAnsi="Times New Roman" w:cs="Times New Roman"/>
          <w:sz w:val="24"/>
          <w:szCs w:val="24"/>
        </w:rPr>
        <w:t xml:space="preserve"> (Undergraduate thesis, BS Radiologic Technology). HERDIN Plus.</w:t>
      </w:r>
      <w:hyperlink r:id="rId23">
        <w:r>
          <w:rPr>
            <w:rFonts w:ascii="Times New Roman" w:eastAsia="Times New Roman" w:hAnsi="Times New Roman" w:cs="Times New Roman"/>
            <w:sz w:val="24"/>
            <w:szCs w:val="24"/>
            <w:u w:val="single"/>
          </w:rPr>
          <w:t xml:space="preserve"> </w:t>
        </w:r>
      </w:hyperlink>
      <w:hyperlink r:id="rId24">
        <w:r>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2300CE42"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Cardoso, C. J., Acosta, N. J., Cayanan, E. C., </w:t>
      </w:r>
      <w:proofErr w:type="spellStart"/>
      <w:r>
        <w:rPr>
          <w:rFonts w:ascii="Times New Roman" w:eastAsia="Times New Roman" w:hAnsi="Times New Roman" w:cs="Times New Roman"/>
          <w:sz w:val="24"/>
          <w:szCs w:val="24"/>
        </w:rPr>
        <w:t>Calimpon</w:t>
      </w:r>
      <w:proofErr w:type="spellEnd"/>
      <w:r>
        <w:rPr>
          <w:rFonts w:ascii="Times New Roman" w:eastAsia="Times New Roman" w:hAnsi="Times New Roman" w:cs="Times New Roman"/>
          <w:sz w:val="24"/>
          <w:szCs w:val="24"/>
        </w:rPr>
        <w:t xml:space="preserve">, J. M. A., Co, A. L. L., Cristobal, K. B. P., Cruz, A. B. V., Nazareno, T. J. C., &amp; </w:t>
      </w:r>
      <w:proofErr w:type="spellStart"/>
      <w:r>
        <w:rPr>
          <w:rFonts w:ascii="Times New Roman" w:eastAsia="Times New Roman" w:hAnsi="Times New Roman" w:cs="Times New Roman"/>
          <w:sz w:val="24"/>
          <w:szCs w:val="24"/>
        </w:rPr>
        <w:t>Penetrante</w:t>
      </w:r>
      <w:proofErr w:type="spellEnd"/>
      <w:r>
        <w:rPr>
          <w:rFonts w:ascii="Times New Roman" w:eastAsia="Times New Roman" w:hAnsi="Times New Roman" w:cs="Times New Roman"/>
          <w:sz w:val="24"/>
          <w:szCs w:val="24"/>
        </w:rPr>
        <w:t xml:space="preserve">, R. C. A. (2025). Effects of rapid technological advancements: An assessment on the radiologic technology student internship performance.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25">
        <w:r>
          <w:rPr>
            <w:rFonts w:ascii="Times New Roman" w:eastAsia="Times New Roman" w:hAnsi="Times New Roman" w:cs="Times New Roman"/>
            <w:sz w:val="24"/>
            <w:szCs w:val="24"/>
            <w:u w:val="single"/>
          </w:rPr>
          <w:t xml:space="preserve"> </w:t>
        </w:r>
      </w:hyperlink>
      <w:hyperlink r:id="rId26">
        <w:r>
          <w:rPr>
            <w:rFonts w:ascii="Times New Roman" w:eastAsia="Times New Roman" w:hAnsi="Times New Roman" w:cs="Times New Roman"/>
            <w:sz w:val="24"/>
            <w:szCs w:val="24"/>
            <w:u w:val="single"/>
          </w:rPr>
          <w:t>https://doi.org/10.54922/IJEHSS.2025.1002</w:t>
        </w:r>
      </w:hyperlink>
      <w:r>
        <w:rPr>
          <w:rFonts w:ascii="Times New Roman" w:eastAsia="Times New Roman" w:hAnsi="Times New Roman" w:cs="Times New Roman"/>
          <w:sz w:val="24"/>
          <w:szCs w:val="24"/>
        </w:rPr>
        <w:t xml:space="preserve"> </w:t>
      </w:r>
    </w:p>
    <w:p w14:paraId="70F580EE"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Cerbito</w:t>
      </w:r>
      <w:proofErr w:type="spellEnd"/>
      <w:r>
        <w:rPr>
          <w:rFonts w:ascii="Times New Roman" w:eastAsia="Times New Roman" w:hAnsi="Times New Roman" w:cs="Times New Roman"/>
          <w:sz w:val="24"/>
          <w:szCs w:val="24"/>
        </w:rPr>
        <w:t xml:space="preserve">, A. F., Gonzales, K. P. J., &amp; </w:t>
      </w:r>
      <w:proofErr w:type="spellStart"/>
      <w:r>
        <w:rPr>
          <w:rFonts w:ascii="Times New Roman" w:eastAsia="Times New Roman" w:hAnsi="Times New Roman" w:cs="Times New Roman"/>
          <w:sz w:val="24"/>
          <w:szCs w:val="24"/>
        </w:rPr>
        <w:t>Lapastora</w:t>
      </w:r>
      <w:proofErr w:type="spellEnd"/>
      <w:r>
        <w:rPr>
          <w:rFonts w:ascii="Times New Roman" w:eastAsia="Times New Roman" w:hAnsi="Times New Roman" w:cs="Times New Roman"/>
          <w:sz w:val="24"/>
          <w:szCs w:val="24"/>
        </w:rPr>
        <w:t xml:space="preserve">, E. (2020). Learning preferences and competencies of radiologic technology interns on general radiography. </w:t>
      </w:r>
      <w:r>
        <w:rPr>
          <w:rFonts w:ascii="Times New Roman" w:eastAsia="Times New Roman" w:hAnsi="Times New Roman" w:cs="Times New Roman"/>
          <w:i/>
          <w:iCs/>
          <w:sz w:val="24"/>
          <w:szCs w:val="24"/>
        </w:rPr>
        <w:t>IOER International Multidisciplinary Research Journal, 2</w:t>
      </w:r>
      <w:r>
        <w:rPr>
          <w:rFonts w:ascii="Times New Roman" w:eastAsia="Times New Roman" w:hAnsi="Times New Roman" w:cs="Times New Roman"/>
          <w:sz w:val="24"/>
          <w:szCs w:val="24"/>
        </w:rPr>
        <w:t>(4), 186–198.</w:t>
      </w:r>
      <w:hyperlink r:id="rId27">
        <w:r>
          <w:rPr>
            <w:rFonts w:ascii="Times New Roman" w:eastAsia="Times New Roman" w:hAnsi="Times New Roman" w:cs="Times New Roman"/>
            <w:sz w:val="24"/>
            <w:szCs w:val="24"/>
            <w:u w:val="single"/>
          </w:rPr>
          <w:t xml:space="preserve"> </w:t>
        </w:r>
      </w:hyperlink>
      <w:hyperlink r:id="rId28">
        <w:r>
          <w:rPr>
            <w:rFonts w:ascii="Times New Roman" w:eastAsia="Times New Roman" w:hAnsi="Times New Roman" w:cs="Times New Roman"/>
            <w:sz w:val="24"/>
            <w:szCs w:val="24"/>
            <w:u w:val="single"/>
          </w:rPr>
          <w:t>https://doi.org/10.54476/iimrj327</w:t>
        </w:r>
      </w:hyperlink>
      <w:r>
        <w:rPr>
          <w:rFonts w:ascii="Times New Roman" w:eastAsia="Times New Roman" w:hAnsi="Times New Roman" w:cs="Times New Roman"/>
          <w:sz w:val="24"/>
          <w:szCs w:val="24"/>
        </w:rPr>
        <w:t xml:space="preserve"> </w:t>
      </w:r>
    </w:p>
    <w:p w14:paraId="15602B31"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J., Zheng, J., Zhang, Q., Zhang, J., Dai, Q., &amp; Zhang, D. (2025). Radiation exposure in recurrent medical imaging: Identifying drivers and high-risk populations. </w:t>
      </w:r>
      <w:r>
        <w:rPr>
          <w:rFonts w:ascii="Times New Roman" w:eastAsia="Times New Roman" w:hAnsi="Times New Roman" w:cs="Times New Roman"/>
          <w:i/>
          <w:iCs/>
          <w:sz w:val="24"/>
          <w:szCs w:val="24"/>
        </w:rPr>
        <w:t>Frontiers in Public Health, 13</w:t>
      </w:r>
      <w:r>
        <w:rPr>
          <w:rFonts w:ascii="Times New Roman" w:eastAsia="Times New Roman" w:hAnsi="Times New Roman" w:cs="Times New Roman"/>
          <w:sz w:val="24"/>
          <w:szCs w:val="24"/>
        </w:rPr>
        <w:t xml:space="preserve">, 1626906. https://doi.org/10.3389/fpubh.2025.1626906 </w:t>
      </w:r>
    </w:p>
    <w:p w14:paraId="2565ACAD" w14:textId="77777777" w:rsidR="00AF1070" w:rsidRDefault="004B6D4A">
      <w:pPr>
        <w:spacing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Codomiz</w:t>
      </w:r>
      <w:proofErr w:type="spellEnd"/>
      <w:r>
        <w:rPr>
          <w:rFonts w:ascii="Times New Roman" w:eastAsia="Times New Roman" w:hAnsi="Times New Roman" w:cs="Times New Roman"/>
          <w:sz w:val="24"/>
          <w:szCs w:val="24"/>
        </w:rPr>
        <w:t xml:space="preserve">, L. M., Garcia, J., Lachica, H., </w:t>
      </w:r>
      <w:proofErr w:type="spellStart"/>
      <w:r>
        <w:rPr>
          <w:rFonts w:ascii="Times New Roman" w:eastAsia="Times New Roman" w:hAnsi="Times New Roman" w:cs="Times New Roman"/>
          <w:sz w:val="24"/>
          <w:szCs w:val="24"/>
        </w:rPr>
        <w:t>Lepardo</w:t>
      </w:r>
      <w:proofErr w:type="spellEnd"/>
      <w:r>
        <w:rPr>
          <w:rFonts w:ascii="Times New Roman" w:eastAsia="Times New Roman" w:hAnsi="Times New Roman" w:cs="Times New Roman"/>
          <w:sz w:val="24"/>
          <w:szCs w:val="24"/>
        </w:rPr>
        <w:t xml:space="preserve">, T. M., Lumagui, T. J., &amp; Vidal, B. (2017). Problems encountered in hiring and retention of radiologic technologists in selected </w:t>
      </w:r>
      <w:r>
        <w:rPr>
          <w:rFonts w:ascii="Times New Roman" w:eastAsia="Times New Roman" w:hAnsi="Times New Roman" w:cs="Times New Roman"/>
          <w:sz w:val="24"/>
          <w:szCs w:val="24"/>
        </w:rPr>
        <w:lastRenderedPageBreak/>
        <w:t xml:space="preserve">hospitals in the National Capital Region. [Bachelor's thesis, De La Salle Medical and Health Sciences Institute]. </w:t>
      </w:r>
      <w:proofErr w:type="spellStart"/>
      <w:r>
        <w:rPr>
          <w:rFonts w:ascii="Times New Roman" w:eastAsia="Times New Roman" w:hAnsi="Times New Roman" w:cs="Times New Roman"/>
          <w:sz w:val="24"/>
          <w:szCs w:val="24"/>
        </w:rPr>
        <w:t>GreenPrints</w:t>
      </w:r>
      <w:proofErr w:type="spellEnd"/>
      <w:r>
        <w:rPr>
          <w:rFonts w:ascii="Times New Roman" w:eastAsia="Times New Roman" w:hAnsi="Times New Roman" w:cs="Times New Roman"/>
          <w:sz w:val="24"/>
          <w:szCs w:val="24"/>
        </w:rPr>
        <w:t xml:space="preserve">. https://greenprints.dlshsi.edu.ph/bsrt/268/ </w:t>
      </w:r>
    </w:p>
    <w:p w14:paraId="489E3354"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 on Higher Education. (2006). </w:t>
      </w:r>
      <w:r>
        <w:rPr>
          <w:rFonts w:ascii="Times New Roman" w:eastAsia="Times New Roman" w:hAnsi="Times New Roman" w:cs="Times New Roman"/>
          <w:i/>
          <w:iCs/>
          <w:sz w:val="24"/>
          <w:szCs w:val="24"/>
        </w:rPr>
        <w:t>CHED Memorandum Order No. 18, series of 2006: Policies, standards and guidelines for radiologic technology education</w:t>
      </w:r>
      <w:r>
        <w:rPr>
          <w:rFonts w:ascii="Times New Roman" w:eastAsia="Times New Roman" w:hAnsi="Times New Roman" w:cs="Times New Roman"/>
          <w:sz w:val="24"/>
          <w:szCs w:val="24"/>
        </w:rPr>
        <w:t>.</w:t>
      </w:r>
      <w:hyperlink r:id="rId29">
        <w:r>
          <w:rPr>
            <w:rFonts w:ascii="Times New Roman" w:eastAsia="Times New Roman" w:hAnsi="Times New Roman" w:cs="Times New Roman"/>
            <w:sz w:val="24"/>
            <w:szCs w:val="24"/>
            <w:u w:val="single"/>
          </w:rPr>
          <w:t xml:space="preserve"> https://legacy.ched.gov.ph/wp-content/uploads/2017/10/CMO-No.18-s2006.pdf</w:t>
        </w:r>
      </w:hyperlink>
      <w:r>
        <w:rPr>
          <w:rFonts w:ascii="Times New Roman" w:eastAsia="Times New Roman" w:hAnsi="Times New Roman" w:cs="Times New Roman"/>
          <w:sz w:val="24"/>
          <w:szCs w:val="24"/>
        </w:rPr>
        <w:t xml:space="preserve"> </w:t>
      </w:r>
    </w:p>
    <w:p w14:paraId="7823E61E"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Coronica, J. M. P., &amp; Prado, N. I. (2025). On the dimensions of managerial readiness among radiologic technologists in Davao Region, Philippines: A factorial analysis approach. </w:t>
      </w:r>
      <w:r>
        <w:rPr>
          <w:rFonts w:ascii="Times New Roman" w:eastAsia="Times New Roman" w:hAnsi="Times New Roman" w:cs="Times New Roman"/>
          <w:i/>
          <w:iCs/>
          <w:sz w:val="24"/>
          <w:szCs w:val="24"/>
        </w:rPr>
        <w:t>Journal of Integrative Practice, 3</w:t>
      </w:r>
      <w:r>
        <w:rPr>
          <w:rFonts w:ascii="Times New Roman" w:eastAsia="Times New Roman" w:hAnsi="Times New Roman" w:cs="Times New Roman"/>
          <w:sz w:val="24"/>
          <w:szCs w:val="24"/>
        </w:rPr>
        <w:t>(8).</w:t>
      </w:r>
      <w:hyperlink r:id="rId30">
        <w:r>
          <w:rPr>
            <w:rFonts w:ascii="Times New Roman" w:eastAsia="Times New Roman" w:hAnsi="Times New Roman" w:cs="Times New Roman"/>
            <w:sz w:val="24"/>
            <w:szCs w:val="24"/>
            <w:u w:val="single"/>
          </w:rPr>
          <w:t xml:space="preserve"> </w:t>
        </w:r>
      </w:hyperlink>
      <w:hyperlink r:id="rId31">
        <w:r>
          <w:rPr>
            <w:rFonts w:ascii="Times New Roman" w:eastAsia="Times New Roman" w:hAnsi="Times New Roman" w:cs="Times New Roman"/>
            <w:sz w:val="24"/>
            <w:szCs w:val="24"/>
            <w:u w:val="single"/>
          </w:rPr>
          <w:t>https://doi.org/10.69569/jip.2025.298</w:t>
        </w:r>
      </w:hyperlink>
      <w:r>
        <w:rPr>
          <w:rFonts w:ascii="Times New Roman" w:eastAsia="Times New Roman" w:hAnsi="Times New Roman" w:cs="Times New Roman"/>
          <w:sz w:val="24"/>
          <w:szCs w:val="24"/>
        </w:rPr>
        <w:t xml:space="preserve"> </w:t>
      </w:r>
    </w:p>
    <w:p w14:paraId="14400D7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Crispino, K. T., &amp; Rocha, I. C. N. (2021). Enhancing healthcare professional practice in the Philippines toward ASEAN integration through the Continuing Professional Development Law. </w:t>
      </w:r>
      <w:r>
        <w:rPr>
          <w:rFonts w:ascii="Times New Roman" w:eastAsia="Times New Roman" w:hAnsi="Times New Roman" w:cs="Times New Roman"/>
          <w:i/>
          <w:iCs/>
          <w:sz w:val="24"/>
          <w:szCs w:val="24"/>
        </w:rPr>
        <w:t>ASEAN Journal of Community Engagement, 5</w:t>
      </w:r>
      <w:r>
        <w:rPr>
          <w:rFonts w:ascii="Times New Roman" w:eastAsia="Times New Roman" w:hAnsi="Times New Roman" w:cs="Times New Roman"/>
          <w:sz w:val="24"/>
          <w:szCs w:val="24"/>
        </w:rPr>
        <w:t>(2), 376–395.</w:t>
      </w:r>
      <w:hyperlink r:id="rId32">
        <w:r>
          <w:rPr>
            <w:rFonts w:ascii="Times New Roman" w:eastAsia="Times New Roman" w:hAnsi="Times New Roman" w:cs="Times New Roman"/>
            <w:sz w:val="24"/>
            <w:szCs w:val="24"/>
            <w:u w:val="single"/>
          </w:rPr>
          <w:t xml:space="preserve"> </w:t>
        </w:r>
      </w:hyperlink>
      <w:hyperlink r:id="rId33">
        <w:r>
          <w:rPr>
            <w:rFonts w:ascii="Times New Roman" w:eastAsia="Times New Roman" w:hAnsi="Times New Roman" w:cs="Times New Roman"/>
            <w:sz w:val="24"/>
            <w:szCs w:val="24"/>
            <w:u w:val="single"/>
          </w:rPr>
          <w:t>https://doi.org/10.7454/ajce.v5i2.1141</w:t>
        </w:r>
      </w:hyperlink>
      <w:r>
        <w:rPr>
          <w:rFonts w:ascii="Times New Roman" w:eastAsia="Times New Roman" w:hAnsi="Times New Roman" w:cs="Times New Roman"/>
          <w:sz w:val="24"/>
          <w:szCs w:val="24"/>
        </w:rPr>
        <w:t xml:space="preserve"> </w:t>
      </w:r>
    </w:p>
    <w:p w14:paraId="7851CF78"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Dadios</w:t>
      </w:r>
      <w:proofErr w:type="spellEnd"/>
      <w:r>
        <w:rPr>
          <w:rFonts w:ascii="Times New Roman" w:eastAsia="Times New Roman" w:hAnsi="Times New Roman" w:cs="Times New Roman"/>
          <w:sz w:val="24"/>
          <w:szCs w:val="24"/>
        </w:rPr>
        <w:t xml:space="preserve">, E. P., </w:t>
      </w:r>
      <w:proofErr w:type="spellStart"/>
      <w:r>
        <w:rPr>
          <w:rFonts w:ascii="Times New Roman" w:eastAsia="Times New Roman" w:hAnsi="Times New Roman" w:cs="Times New Roman"/>
          <w:sz w:val="24"/>
          <w:szCs w:val="24"/>
        </w:rPr>
        <w:t>Culaba</w:t>
      </w:r>
      <w:proofErr w:type="spellEnd"/>
      <w:r>
        <w:rPr>
          <w:rFonts w:ascii="Times New Roman" w:eastAsia="Times New Roman" w:hAnsi="Times New Roman" w:cs="Times New Roman"/>
          <w:sz w:val="24"/>
          <w:szCs w:val="24"/>
        </w:rPr>
        <w:t xml:space="preserve">, A. B., Albert, J. R. G., </w:t>
      </w:r>
      <w:proofErr w:type="spellStart"/>
      <w:r>
        <w:rPr>
          <w:rFonts w:ascii="Times New Roman" w:eastAsia="Times New Roman" w:hAnsi="Times New Roman" w:cs="Times New Roman"/>
          <w:sz w:val="24"/>
          <w:szCs w:val="24"/>
        </w:rPr>
        <w:t>Paqueo</w:t>
      </w:r>
      <w:proofErr w:type="spellEnd"/>
      <w:r>
        <w:rPr>
          <w:rFonts w:ascii="Times New Roman" w:eastAsia="Times New Roman" w:hAnsi="Times New Roman" w:cs="Times New Roman"/>
          <w:sz w:val="24"/>
          <w:szCs w:val="24"/>
        </w:rPr>
        <w:t xml:space="preserve">, V. B., Orbeta, A. C., Jr., Serafica, R. B., Bandala, A. A., &amp; </w:t>
      </w:r>
      <w:proofErr w:type="spellStart"/>
      <w:r>
        <w:rPr>
          <w:rFonts w:ascii="Times New Roman" w:eastAsia="Times New Roman" w:hAnsi="Times New Roman" w:cs="Times New Roman"/>
          <w:sz w:val="24"/>
          <w:szCs w:val="24"/>
        </w:rPr>
        <w:t>Bairan</w:t>
      </w:r>
      <w:proofErr w:type="spellEnd"/>
      <w:r>
        <w:rPr>
          <w:rFonts w:ascii="Times New Roman" w:eastAsia="Times New Roman" w:hAnsi="Times New Roman" w:cs="Times New Roman"/>
          <w:sz w:val="24"/>
          <w:szCs w:val="24"/>
        </w:rPr>
        <w:t xml:space="preserve">, J. C. A. C. (2018). </w:t>
      </w:r>
      <w:r>
        <w:rPr>
          <w:rFonts w:ascii="Times New Roman" w:eastAsia="Times New Roman" w:hAnsi="Times New Roman" w:cs="Times New Roman"/>
          <w:i/>
          <w:iCs/>
          <w:sz w:val="24"/>
          <w:szCs w:val="24"/>
        </w:rPr>
        <w:t>Preparing the Philippines for the Fourth Industrial Revolution: A scoping study</w:t>
      </w:r>
      <w:r>
        <w:rPr>
          <w:rFonts w:ascii="Times New Roman" w:eastAsia="Times New Roman" w:hAnsi="Times New Roman" w:cs="Times New Roman"/>
          <w:sz w:val="24"/>
          <w:szCs w:val="24"/>
        </w:rPr>
        <w:t xml:space="preserve"> (PIDS Discussion Paper Series No. 2018-11). Philippine Institute for Development Studies.</w:t>
      </w:r>
      <w:hyperlink r:id="rId34">
        <w:r>
          <w:rPr>
            <w:rFonts w:ascii="Times New Roman" w:eastAsia="Times New Roman" w:hAnsi="Times New Roman" w:cs="Times New Roman"/>
            <w:sz w:val="24"/>
            <w:szCs w:val="24"/>
            <w:u w:val="single"/>
          </w:rPr>
          <w:t xml:space="preserve"> </w:t>
        </w:r>
      </w:hyperlink>
      <w:hyperlink r:id="rId35">
        <w:r>
          <w:rPr>
            <w:rFonts w:ascii="Times New Roman" w:eastAsia="Times New Roman" w:hAnsi="Times New Roman" w:cs="Times New Roman"/>
            <w:sz w:val="24"/>
            <w:szCs w:val="24"/>
            <w:u w:val="single"/>
          </w:rPr>
          <w:t>Full Text PDF</w:t>
        </w:r>
      </w:hyperlink>
    </w:p>
    <w:p w14:paraId="759119BD" w14:textId="77777777" w:rsidR="00AF1070" w:rsidRDefault="004B6D4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Daquis, M. A., Caparas, A. M., </w:t>
      </w:r>
      <w:proofErr w:type="spellStart"/>
      <w:r>
        <w:rPr>
          <w:rFonts w:ascii="Times New Roman" w:eastAsia="Times New Roman" w:hAnsi="Times New Roman" w:cs="Times New Roman"/>
          <w:sz w:val="24"/>
          <w:szCs w:val="24"/>
        </w:rPr>
        <w:t>Zerrudo</w:t>
      </w:r>
      <w:proofErr w:type="spellEnd"/>
      <w:r>
        <w:rPr>
          <w:rFonts w:ascii="Times New Roman" w:eastAsia="Times New Roman" w:hAnsi="Times New Roman" w:cs="Times New Roman"/>
          <w:sz w:val="24"/>
          <w:szCs w:val="24"/>
        </w:rPr>
        <w:t xml:space="preserve">, J. I., &amp; Mercado, L. M. (2016). Employability of BS Radiologic Technology graduates from 2013 to 2015 as input to student development program.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91–99.</w:t>
      </w:r>
    </w:p>
    <w:p w14:paraId="5A955E45"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Datinguinoo</w:t>
      </w:r>
      <w:proofErr w:type="spellEnd"/>
      <w:r>
        <w:rPr>
          <w:rFonts w:ascii="Times New Roman" w:eastAsia="Times New Roman" w:hAnsi="Times New Roman" w:cs="Times New Roman"/>
          <w:sz w:val="24"/>
          <w:szCs w:val="24"/>
        </w:rPr>
        <w:t xml:space="preserve">, S. A. C., De Leon, A. M., Cruz, B. A. C., Cruz, C. A. E., &amp; Dela Cruz, K. F. (2022). </w:t>
      </w:r>
      <w:r>
        <w:rPr>
          <w:rFonts w:ascii="Times New Roman" w:eastAsia="Times New Roman" w:hAnsi="Times New Roman" w:cs="Times New Roman"/>
          <w:i/>
          <w:iCs/>
          <w:sz w:val="24"/>
          <w:szCs w:val="24"/>
        </w:rPr>
        <w:t xml:space="preserve">An assessment of the levels of knowledge in radiation safety among 4th year </w:t>
      </w:r>
      <w:proofErr w:type="spellStart"/>
      <w:r>
        <w:rPr>
          <w:rFonts w:ascii="Times New Roman" w:eastAsia="Times New Roman" w:hAnsi="Times New Roman" w:cs="Times New Roman"/>
          <w:i/>
          <w:iCs/>
          <w:sz w:val="24"/>
          <w:szCs w:val="24"/>
        </w:rPr>
        <w:t>radtech</w:t>
      </w:r>
      <w:proofErr w:type="spellEnd"/>
      <w:r>
        <w:rPr>
          <w:rFonts w:ascii="Times New Roman" w:eastAsia="Times New Roman" w:hAnsi="Times New Roman" w:cs="Times New Roman"/>
          <w:i/>
          <w:iCs/>
          <w:sz w:val="24"/>
          <w:szCs w:val="24"/>
        </w:rPr>
        <w:t xml:space="preserve"> students in selected schools of radiologic technology in Metro Manila: Bases in developing a review framework for the licensure examination</w:t>
      </w:r>
      <w:r>
        <w:rPr>
          <w:rFonts w:ascii="Times New Roman" w:eastAsia="Times New Roman" w:hAnsi="Times New Roman" w:cs="Times New Roman"/>
          <w:sz w:val="24"/>
          <w:szCs w:val="24"/>
        </w:rPr>
        <w:t xml:space="preserve"> (Undergraduate thesis, BS Radiologic Technology). </w:t>
      </w:r>
    </w:p>
    <w:p w14:paraId="2F4E6B96"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Guzman, A. B., &amp; </w:t>
      </w:r>
      <w:proofErr w:type="spellStart"/>
      <w:r>
        <w:rPr>
          <w:rFonts w:ascii="Times New Roman" w:eastAsia="Times New Roman" w:hAnsi="Times New Roman" w:cs="Times New Roman"/>
          <w:sz w:val="24"/>
          <w:szCs w:val="24"/>
        </w:rPr>
        <w:t>Angcahan</w:t>
      </w:r>
      <w:proofErr w:type="spellEnd"/>
      <w:r>
        <w:rPr>
          <w:rFonts w:ascii="Times New Roman" w:eastAsia="Times New Roman" w:hAnsi="Times New Roman" w:cs="Times New Roman"/>
          <w:sz w:val="24"/>
          <w:szCs w:val="24"/>
        </w:rPr>
        <w:t xml:space="preserve">, D. Z. (2020). </w:t>
      </w:r>
      <w:r>
        <w:rPr>
          <w:rFonts w:ascii="Times New Roman" w:eastAsia="Times New Roman" w:hAnsi="Times New Roman" w:cs="Times New Roman"/>
          <w:i/>
          <w:iCs/>
          <w:sz w:val="24"/>
          <w:szCs w:val="24"/>
        </w:rPr>
        <w:t>Caeteris paribus: In search of the “silent professional identity” of Filipino radiologic technologists during the COVID-19 pandemic</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Medical Imaging and Radiation Sciences, 51</w:t>
      </w:r>
      <w:r>
        <w:rPr>
          <w:rFonts w:ascii="Times New Roman" w:eastAsia="Times New Roman" w:hAnsi="Times New Roman" w:cs="Times New Roman"/>
          <w:sz w:val="24"/>
          <w:szCs w:val="24"/>
        </w:rPr>
        <w:t xml:space="preserve">(4), 528–530. https://doi.org/10.1016/j.jmir.2020.09.006 </w:t>
      </w:r>
    </w:p>
    <w:p w14:paraId="6E823042"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N. E. L., Andal, C. M., </w:t>
      </w:r>
      <w:proofErr w:type="spellStart"/>
      <w:r>
        <w:rPr>
          <w:rFonts w:ascii="Times New Roman" w:eastAsia="Times New Roman" w:hAnsi="Times New Roman" w:cs="Times New Roman"/>
          <w:sz w:val="24"/>
          <w:szCs w:val="24"/>
        </w:rPr>
        <w:t>Aseron</w:t>
      </w:r>
      <w:proofErr w:type="spellEnd"/>
      <w:r>
        <w:rPr>
          <w:rFonts w:ascii="Times New Roman" w:eastAsia="Times New Roman" w:hAnsi="Times New Roman" w:cs="Times New Roman"/>
          <w:sz w:val="24"/>
          <w:szCs w:val="24"/>
        </w:rPr>
        <w:t xml:space="preserve">, E. P. B., Balbuena, D. G., De Jesus, U. S., Lastimoso, C. J. C., &amp; </w:t>
      </w:r>
      <w:proofErr w:type="spellStart"/>
      <w:r>
        <w:rPr>
          <w:rFonts w:ascii="Times New Roman" w:eastAsia="Times New Roman" w:hAnsi="Times New Roman" w:cs="Times New Roman"/>
          <w:sz w:val="24"/>
          <w:szCs w:val="24"/>
        </w:rPr>
        <w:t>Dumaoal</w:t>
      </w:r>
      <w:proofErr w:type="spellEnd"/>
      <w:r>
        <w:rPr>
          <w:rFonts w:ascii="Times New Roman" w:eastAsia="Times New Roman" w:hAnsi="Times New Roman" w:cs="Times New Roman"/>
          <w:sz w:val="24"/>
          <w:szCs w:val="24"/>
        </w:rPr>
        <w:t xml:space="preserve">, O. S. R. (2015). Aligning the knowledge and technical skills of radiologic technologists in hospitals in Batangas City on proper chest PA positioning. </w:t>
      </w:r>
      <w:r>
        <w:rPr>
          <w:rFonts w:ascii="Times New Roman" w:eastAsia="Times New Roman" w:hAnsi="Times New Roman" w:cs="Times New Roman"/>
          <w:i/>
          <w:iCs/>
          <w:sz w:val="24"/>
          <w:szCs w:val="24"/>
        </w:rPr>
        <w:t>The Steth, 9</w:t>
      </w:r>
      <w:r>
        <w:rPr>
          <w:rFonts w:ascii="Times New Roman" w:eastAsia="Times New Roman" w:hAnsi="Times New Roman" w:cs="Times New Roman"/>
          <w:sz w:val="24"/>
          <w:szCs w:val="24"/>
        </w:rPr>
        <w:t xml:space="preserve">, 114–124. </w:t>
      </w:r>
    </w:p>
    <w:p w14:paraId="13823ADB"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Felizarte</w:t>
      </w:r>
      <w:proofErr w:type="spellEnd"/>
      <w:r>
        <w:rPr>
          <w:rFonts w:ascii="Times New Roman" w:eastAsia="Times New Roman" w:hAnsi="Times New Roman" w:cs="Times New Roman"/>
          <w:sz w:val="24"/>
          <w:szCs w:val="24"/>
        </w:rPr>
        <w:t xml:space="preserve">, L. P. (2018). The Competencies of Radiologic Technology Interns: Basis for a Proposed Clinical Instruction Evaluation Tool. </w:t>
      </w:r>
      <w:r>
        <w:rPr>
          <w:rFonts w:ascii="Times New Roman" w:eastAsia="Times New Roman" w:hAnsi="Times New Roman" w:cs="Times New Roman"/>
          <w:i/>
          <w:iCs/>
          <w:sz w:val="24"/>
          <w:szCs w:val="24"/>
        </w:rPr>
        <w:t>DDC Professional Journal, 1</w:t>
      </w:r>
      <w:r>
        <w:rPr>
          <w:rFonts w:ascii="Times New Roman" w:eastAsia="Times New Roman" w:hAnsi="Times New Roman" w:cs="Times New Roman"/>
          <w:sz w:val="24"/>
          <w:szCs w:val="24"/>
        </w:rPr>
        <w:t>(1), 0.</w:t>
      </w:r>
    </w:p>
    <w:p w14:paraId="0618A62C"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Francisco, E. A., </w:t>
      </w:r>
      <w:proofErr w:type="spellStart"/>
      <w:r>
        <w:rPr>
          <w:rFonts w:ascii="Times New Roman" w:eastAsia="Times New Roman" w:hAnsi="Times New Roman" w:cs="Times New Roman"/>
          <w:sz w:val="24"/>
          <w:szCs w:val="24"/>
        </w:rPr>
        <w:t>Bairulla</w:t>
      </w:r>
      <w:proofErr w:type="spellEnd"/>
      <w:r>
        <w:rPr>
          <w:rFonts w:ascii="Times New Roman" w:eastAsia="Times New Roman" w:hAnsi="Times New Roman" w:cs="Times New Roman"/>
          <w:sz w:val="24"/>
          <w:szCs w:val="24"/>
        </w:rPr>
        <w:t xml:space="preserve">, F. D.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A. (2025). Learning Styles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Academic Performance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Radiologic Technology Students. </w:t>
      </w:r>
      <w:r>
        <w:rPr>
          <w:rFonts w:ascii="Times New Roman" w:eastAsia="Times New Roman" w:hAnsi="Times New Roman" w:cs="Times New Roman"/>
          <w:i/>
          <w:iCs/>
          <w:sz w:val="24"/>
          <w:szCs w:val="24"/>
        </w:rPr>
        <w:t>Science Asia Review, 12</w:t>
      </w:r>
      <w:r>
        <w:rPr>
          <w:rFonts w:ascii="Times New Roman" w:eastAsia="Times New Roman" w:hAnsi="Times New Roman" w:cs="Times New Roman"/>
          <w:sz w:val="24"/>
          <w:szCs w:val="24"/>
        </w:rPr>
        <w:t xml:space="preserve">(1), 122-132. </w:t>
      </w:r>
    </w:p>
    <w:p w14:paraId="7AABABD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Finch, S. (2013). Philippines brain </w:t>
      </w:r>
      <w:proofErr w:type="gramStart"/>
      <w:r>
        <w:rPr>
          <w:rFonts w:ascii="Times New Roman" w:eastAsia="Times New Roman" w:hAnsi="Times New Roman" w:cs="Times New Roman"/>
          <w:sz w:val="24"/>
          <w:szCs w:val="24"/>
        </w:rPr>
        <w:t>drain</w:t>
      </w:r>
      <w:proofErr w:type="gramEnd"/>
      <w:r>
        <w:rPr>
          <w:rFonts w:ascii="Times New Roman" w:eastAsia="Times New Roman" w:hAnsi="Times New Roman" w:cs="Times New Roman"/>
          <w:sz w:val="24"/>
          <w:szCs w:val="24"/>
        </w:rPr>
        <w:t xml:space="preserve">: Fact or fiction? </w:t>
      </w:r>
      <w:r>
        <w:rPr>
          <w:rFonts w:ascii="Times New Roman" w:eastAsia="Times New Roman" w:hAnsi="Times New Roman" w:cs="Times New Roman"/>
          <w:i/>
          <w:iCs/>
          <w:sz w:val="24"/>
          <w:szCs w:val="24"/>
        </w:rPr>
        <w:t>CMAJ (Canadian Medical Association Journal), 185</w:t>
      </w:r>
      <w:r>
        <w:rPr>
          <w:rFonts w:ascii="Times New Roman" w:eastAsia="Times New Roman" w:hAnsi="Times New Roman" w:cs="Times New Roman"/>
          <w:sz w:val="24"/>
          <w:szCs w:val="24"/>
        </w:rPr>
        <w:t>(12), E557–E558.</w:t>
      </w:r>
      <w:hyperlink r:id="rId36">
        <w:r>
          <w:rPr>
            <w:rFonts w:ascii="Times New Roman" w:eastAsia="Times New Roman" w:hAnsi="Times New Roman" w:cs="Times New Roman"/>
            <w:sz w:val="24"/>
            <w:szCs w:val="24"/>
            <w:u w:val="single"/>
          </w:rPr>
          <w:t xml:space="preserve"> https://doi.org/10.1503/cmaj.109-4459</w:t>
        </w:r>
      </w:hyperlink>
      <w:r>
        <w:rPr>
          <w:rFonts w:ascii="Times New Roman" w:eastAsia="Times New Roman" w:hAnsi="Times New Roman" w:cs="Times New Roman"/>
          <w:sz w:val="24"/>
          <w:szCs w:val="24"/>
        </w:rPr>
        <w:t xml:space="preserve">  </w:t>
      </w:r>
    </w:p>
    <w:p w14:paraId="26EB55DB"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Gallardo, C. &amp; Sison, M. (2025). Attitude, Preparedness, and Challenges of the Radiologic Technology Graduates towards the Licensure Examination. </w:t>
      </w:r>
      <w:r>
        <w:rPr>
          <w:rFonts w:ascii="Times New Roman" w:eastAsia="Times New Roman" w:hAnsi="Times New Roman" w:cs="Times New Roman"/>
          <w:i/>
          <w:iCs/>
          <w:sz w:val="24"/>
          <w:szCs w:val="24"/>
        </w:rPr>
        <w:t>Psychology and Education: A Multidisciplinary Journal, 35</w:t>
      </w:r>
      <w:r>
        <w:rPr>
          <w:rFonts w:ascii="Times New Roman" w:eastAsia="Times New Roman" w:hAnsi="Times New Roman" w:cs="Times New Roman"/>
          <w:sz w:val="24"/>
          <w:szCs w:val="24"/>
        </w:rPr>
        <w:t xml:space="preserve">(3), 288-295. https://doi.org/10.70838/pemj.350306 </w:t>
      </w:r>
    </w:p>
    <w:p w14:paraId="2D497FD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Guanzing</w:t>
      </w:r>
      <w:proofErr w:type="spellEnd"/>
      <w:r>
        <w:rPr>
          <w:rFonts w:ascii="Times New Roman" w:eastAsia="Times New Roman" w:hAnsi="Times New Roman" w:cs="Times New Roman"/>
          <w:sz w:val="24"/>
          <w:szCs w:val="24"/>
        </w:rPr>
        <w:t xml:space="preserve">, J. E. S., Lajara, K. B. P., Manalo, R. A. S., Marcelo, J. A. C. M., Marquez, D. P. C., Martinez, A. B. S., &amp; </w:t>
      </w:r>
      <w:proofErr w:type="spellStart"/>
      <w:r>
        <w:rPr>
          <w:rFonts w:ascii="Times New Roman" w:eastAsia="Times New Roman" w:hAnsi="Times New Roman" w:cs="Times New Roman"/>
          <w:sz w:val="24"/>
          <w:szCs w:val="24"/>
        </w:rPr>
        <w:t>Gloriani</w:t>
      </w:r>
      <w:proofErr w:type="spellEnd"/>
      <w:r>
        <w:rPr>
          <w:rFonts w:ascii="Times New Roman" w:eastAsia="Times New Roman" w:hAnsi="Times New Roman" w:cs="Times New Roman"/>
          <w:sz w:val="24"/>
          <w:szCs w:val="24"/>
        </w:rPr>
        <w:t xml:space="preserve">, L. E. (2021). Exploring the factors that influence the intentions of Filipino 4th year Medical Technology students to work abroad. </w:t>
      </w:r>
      <w:r>
        <w:rPr>
          <w:rFonts w:ascii="Times New Roman" w:eastAsia="Times New Roman" w:hAnsi="Times New Roman" w:cs="Times New Roman"/>
          <w:i/>
          <w:iCs/>
          <w:sz w:val="24"/>
          <w:szCs w:val="24"/>
        </w:rPr>
        <w:t>International Journal of Innovative Science and Research Technology, 6</w:t>
      </w:r>
      <w:r>
        <w:rPr>
          <w:rFonts w:ascii="Times New Roman" w:eastAsia="Times New Roman" w:hAnsi="Times New Roman" w:cs="Times New Roman"/>
          <w:sz w:val="24"/>
          <w:szCs w:val="24"/>
        </w:rPr>
        <w:t xml:space="preserve">(5), 108–116. </w:t>
      </w:r>
    </w:p>
    <w:p w14:paraId="77B90C73"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Gutierrez, M. J. P., Orpilla, V. G., Villaverde, K. J., &amp; Baquiran, P. (2021). </w:t>
      </w:r>
      <w:r>
        <w:rPr>
          <w:rFonts w:ascii="Times New Roman" w:eastAsia="Times New Roman" w:hAnsi="Times New Roman" w:cs="Times New Roman"/>
          <w:i/>
          <w:iCs/>
          <w:sz w:val="24"/>
          <w:szCs w:val="24"/>
        </w:rPr>
        <w:t>Teaching effectiveness of radiologic technology instructors in selected schools in Metro Manila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SDCA Journal of Radiologic Technology</w:t>
      </w:r>
      <w:r>
        <w:rPr>
          <w:rFonts w:ascii="Times New Roman" w:eastAsia="Times New Roman" w:hAnsi="Times New Roman" w:cs="Times New Roman"/>
          <w:sz w:val="24"/>
          <w:szCs w:val="24"/>
        </w:rPr>
        <w:t xml:space="preserve">. </w:t>
      </w:r>
    </w:p>
    <w:p w14:paraId="111F9955"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Ibañez, D. D. (2025). </w:t>
      </w:r>
      <w:r>
        <w:rPr>
          <w:rFonts w:ascii="Times New Roman" w:eastAsia="Times New Roman" w:hAnsi="Times New Roman" w:cs="Times New Roman"/>
          <w:i/>
          <w:iCs/>
          <w:sz w:val="24"/>
          <w:szCs w:val="24"/>
        </w:rPr>
        <w:t>A retrospective longitudinal and predictive analysis of the number of failed examinees among radiologic technology schools in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Research Publication and Reviews, 6</w:t>
      </w:r>
      <w:r>
        <w:rPr>
          <w:rFonts w:ascii="Times New Roman" w:eastAsia="Times New Roman" w:hAnsi="Times New Roman" w:cs="Times New Roman"/>
          <w:sz w:val="24"/>
          <w:szCs w:val="24"/>
        </w:rPr>
        <w:t>(6), 920–927.</w:t>
      </w:r>
      <w:hyperlink r:id="rId37">
        <w:r>
          <w:rPr>
            <w:rFonts w:ascii="Times New Roman" w:eastAsia="Times New Roman" w:hAnsi="Times New Roman" w:cs="Times New Roman"/>
            <w:sz w:val="24"/>
            <w:szCs w:val="24"/>
            <w:u w:val="single"/>
          </w:rPr>
          <w:t xml:space="preserve"> </w:t>
        </w:r>
      </w:hyperlink>
      <w:hyperlink r:id="rId38">
        <w:r>
          <w:rPr>
            <w:rFonts w:ascii="Times New Roman" w:eastAsia="Times New Roman" w:hAnsi="Times New Roman" w:cs="Times New Roman"/>
            <w:sz w:val="24"/>
            <w:szCs w:val="24"/>
            <w:u w:val="single"/>
          </w:rPr>
          <w:t>https://doi.org/10.55248/gengpi.6.0625.2033</w:t>
        </w:r>
      </w:hyperlink>
      <w:r>
        <w:rPr>
          <w:rFonts w:ascii="Times New Roman" w:eastAsia="Times New Roman" w:hAnsi="Times New Roman" w:cs="Times New Roman"/>
          <w:sz w:val="24"/>
          <w:szCs w:val="24"/>
        </w:rPr>
        <w:t xml:space="preserve"> </w:t>
      </w:r>
    </w:p>
    <w:p w14:paraId="044A079B"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Ingrassia, J. M. (2020). </w:t>
      </w:r>
      <w:r>
        <w:rPr>
          <w:rFonts w:ascii="Times New Roman" w:eastAsia="Times New Roman" w:hAnsi="Times New Roman" w:cs="Times New Roman"/>
          <w:i/>
          <w:iCs/>
          <w:sz w:val="24"/>
          <w:szCs w:val="24"/>
        </w:rPr>
        <w:t>Radiologic technology students’ perceptions of an effective clinical learning environment</w:t>
      </w:r>
      <w:r>
        <w:rPr>
          <w:rFonts w:ascii="Times New Roman" w:eastAsia="Times New Roman" w:hAnsi="Times New Roman" w:cs="Times New Roman"/>
          <w:sz w:val="24"/>
          <w:szCs w:val="24"/>
        </w:rPr>
        <w:t xml:space="preserve"> (Doctoral dissertation, Grand Canyon University).</w:t>
      </w:r>
      <w:hyperlink r:id="rId39">
        <w:r>
          <w:rPr>
            <w:rFonts w:ascii="Times New Roman" w:eastAsia="Times New Roman" w:hAnsi="Times New Roman" w:cs="Times New Roman"/>
            <w:sz w:val="24"/>
            <w:szCs w:val="24"/>
            <w:u w:val="single"/>
          </w:rPr>
          <w:t xml:space="preserve"> https://www.asrt.org/docs/librariesprovider3/pdfs/dissertations/radiologic-technology-students-perceptions-of-an-effective-clinical-learning-environment.pdf</w:t>
        </w:r>
      </w:hyperlink>
    </w:p>
    <w:p w14:paraId="271281D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International Commission on Radiological Protection. (2025). </w:t>
      </w:r>
      <w:r>
        <w:rPr>
          <w:rFonts w:ascii="Times New Roman" w:eastAsia="Times New Roman" w:hAnsi="Times New Roman" w:cs="Times New Roman"/>
          <w:i/>
          <w:iCs/>
          <w:sz w:val="24"/>
          <w:szCs w:val="24"/>
        </w:rPr>
        <w:t>Ethics in radiological protection for medical diagnosis and treatment (ICRP Publication 157)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the ICRP, 53</w:t>
      </w:r>
      <w:r>
        <w:rPr>
          <w:rFonts w:ascii="Times New Roman" w:eastAsia="Times New Roman" w:hAnsi="Times New Roman" w:cs="Times New Roman"/>
          <w:sz w:val="24"/>
          <w:szCs w:val="24"/>
        </w:rPr>
        <w:t>(3).</w:t>
      </w:r>
      <w:hyperlink r:id="rId40">
        <w:r>
          <w:rPr>
            <w:rFonts w:ascii="Times New Roman" w:eastAsia="Times New Roman" w:hAnsi="Times New Roman" w:cs="Times New Roman"/>
            <w:sz w:val="24"/>
            <w:szCs w:val="24"/>
            <w:u w:val="single"/>
          </w:rPr>
          <w:t xml:space="preserve"> https://doi.org/10.1177/01466453231220518</w:t>
        </w:r>
      </w:hyperlink>
    </w:p>
    <w:p w14:paraId="0C0C590C" w14:textId="77777777" w:rsidR="00AF1070" w:rsidRDefault="004B6D4A">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Joanna Briggs Institute. (2023). </w:t>
      </w:r>
      <w:r>
        <w:rPr>
          <w:rFonts w:ascii="Times New Roman" w:eastAsia="Times New Roman" w:hAnsi="Times New Roman" w:cs="Times New Roman"/>
          <w:i/>
          <w:iCs/>
          <w:sz w:val="24"/>
          <w:szCs w:val="24"/>
        </w:rPr>
        <w:t>JBI Critical Appraisal Tools</w:t>
      </w:r>
      <w:r>
        <w:rPr>
          <w:rFonts w:ascii="Times New Roman" w:eastAsia="Times New Roman" w:hAnsi="Times New Roman" w:cs="Times New Roman"/>
          <w:sz w:val="24"/>
          <w:szCs w:val="24"/>
        </w:rPr>
        <w:t>. The University of Adelaide.</w:t>
      </w:r>
    </w:p>
    <w:p w14:paraId="50C0D476"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Leadbeatter</w:t>
      </w:r>
      <w:proofErr w:type="spellEnd"/>
      <w:r>
        <w:rPr>
          <w:rFonts w:ascii="Times New Roman" w:eastAsia="Times New Roman" w:hAnsi="Times New Roman" w:cs="Times New Roman"/>
          <w:sz w:val="24"/>
          <w:szCs w:val="24"/>
        </w:rPr>
        <w:t xml:space="preserve">, D., Nanayakkara, S., Zhou, X., Byrne, E., Cartmill, C., &amp; Roberts, C. (2023). Employability in health professional education: A scoping review. </w:t>
      </w:r>
      <w:r>
        <w:rPr>
          <w:rFonts w:ascii="Times New Roman" w:eastAsia="Times New Roman" w:hAnsi="Times New Roman" w:cs="Times New Roman"/>
          <w:i/>
          <w:iCs/>
          <w:sz w:val="24"/>
          <w:szCs w:val="24"/>
        </w:rPr>
        <w:t>BMC Medical Education, 23</w:t>
      </w:r>
      <w:r>
        <w:rPr>
          <w:rFonts w:ascii="Times New Roman" w:eastAsia="Times New Roman" w:hAnsi="Times New Roman" w:cs="Times New Roman"/>
          <w:sz w:val="24"/>
          <w:szCs w:val="24"/>
        </w:rPr>
        <w:t>, 33.</w:t>
      </w:r>
      <w:hyperlink r:id="rId41">
        <w:r>
          <w:rPr>
            <w:rFonts w:ascii="Times New Roman" w:eastAsia="Times New Roman" w:hAnsi="Times New Roman" w:cs="Times New Roman"/>
            <w:sz w:val="24"/>
            <w:szCs w:val="24"/>
            <w:u w:val="single"/>
          </w:rPr>
          <w:t xml:space="preserve"> https://doi.org/10.1186/s12909-022-03913-7</w:t>
        </w:r>
      </w:hyperlink>
    </w:p>
    <w:p w14:paraId="10A3881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Lindo, M. R., &amp; Panes, R. (2024). The hallucination effect: Correlating generative AI usage frequency with source verification habits among Grade 12 STEM researchers. </w:t>
      </w:r>
      <w:r>
        <w:rPr>
          <w:rFonts w:ascii="Times New Roman" w:eastAsia="Times New Roman" w:hAnsi="Times New Roman" w:cs="Times New Roman"/>
          <w:i/>
          <w:iCs/>
          <w:sz w:val="24"/>
          <w:szCs w:val="24"/>
        </w:rPr>
        <w:t>IMCC Journal of Science, 4</w:t>
      </w:r>
      <w:r>
        <w:rPr>
          <w:rFonts w:ascii="Times New Roman" w:eastAsia="Times New Roman" w:hAnsi="Times New Roman" w:cs="Times New Roman"/>
          <w:sz w:val="24"/>
          <w:szCs w:val="24"/>
        </w:rPr>
        <w:t>(2), 9–11.</w:t>
      </w:r>
      <w:hyperlink r:id="rId42">
        <w:r>
          <w:rPr>
            <w:rFonts w:ascii="Times New Roman" w:eastAsia="Times New Roman" w:hAnsi="Times New Roman" w:cs="Times New Roman"/>
            <w:sz w:val="24"/>
            <w:szCs w:val="24"/>
            <w:u w:val="single"/>
          </w:rPr>
          <w:t xml:space="preserve"> https://doi.org/10.65931/d4n7x2h9</w:t>
        </w:r>
      </w:hyperlink>
    </w:p>
    <w:p w14:paraId="6CA79571"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Macabangon</w:t>
      </w:r>
      <w:proofErr w:type="spellEnd"/>
      <w:r>
        <w:rPr>
          <w:rFonts w:ascii="Times New Roman" w:eastAsia="Times New Roman" w:hAnsi="Times New Roman" w:cs="Times New Roman"/>
          <w:sz w:val="24"/>
          <w:szCs w:val="24"/>
        </w:rPr>
        <w:t xml:space="preserve">, R., Abarquez, V. M., Usman, N., &amp; Alipio, M. (2026). Occupational nosocomial infections among healthcare workers in a Philippine private hospital: Incidence and infection-prevention risk factors. </w:t>
      </w:r>
      <w:r>
        <w:rPr>
          <w:rFonts w:ascii="Times New Roman" w:eastAsia="Times New Roman" w:hAnsi="Times New Roman" w:cs="Times New Roman"/>
          <w:i/>
          <w:iCs/>
          <w:sz w:val="24"/>
          <w:szCs w:val="24"/>
        </w:rPr>
        <w:t>International Journal of Transformative Multidisciplinary Studies, 2</w:t>
      </w:r>
      <w:r>
        <w:rPr>
          <w:rFonts w:ascii="Times New Roman" w:eastAsia="Times New Roman" w:hAnsi="Times New Roman" w:cs="Times New Roman"/>
          <w:sz w:val="24"/>
          <w:szCs w:val="24"/>
        </w:rPr>
        <w:t xml:space="preserve">(1), 9–19. </w:t>
      </w:r>
    </w:p>
    <w:p w14:paraId="741D02C3"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Maca, M. N. A. (2019). Emigration, Employability and Higher Education in the Philippines by Yasmin Y </w:t>
      </w: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Asian and Pacific Migration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 115-117.</w:t>
      </w:r>
    </w:p>
    <w:p w14:paraId="17FFF6A4"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Mendoza, A. (2021). Program learning outcomes of the BS in Radiologic Technology at the University of Makati. </w:t>
      </w:r>
      <w:r>
        <w:rPr>
          <w:rFonts w:ascii="Times New Roman" w:eastAsia="Times New Roman" w:hAnsi="Times New Roman" w:cs="Times New Roman"/>
          <w:i/>
          <w:iCs/>
          <w:sz w:val="24"/>
          <w:szCs w:val="24"/>
        </w:rPr>
        <w:t>Universitas: The Official Journal of University of Makati, 9</w:t>
      </w:r>
      <w:r>
        <w:rPr>
          <w:rFonts w:ascii="Times New Roman" w:eastAsia="Times New Roman" w:hAnsi="Times New Roman" w:cs="Times New Roman"/>
          <w:sz w:val="24"/>
          <w:szCs w:val="24"/>
        </w:rPr>
        <w:t>(2).</w:t>
      </w:r>
      <w:hyperlink r:id="rId43">
        <w:r>
          <w:rPr>
            <w:rFonts w:ascii="Times New Roman" w:eastAsia="Times New Roman" w:hAnsi="Times New Roman" w:cs="Times New Roman"/>
            <w:sz w:val="24"/>
            <w:szCs w:val="24"/>
            <w:u w:val="single"/>
          </w:rPr>
          <w:t>https://journals.umak.edu.ph/universitas/article/view/24</w:t>
        </w:r>
      </w:hyperlink>
      <w:r>
        <w:rPr>
          <w:rFonts w:ascii="Times New Roman" w:eastAsia="Times New Roman" w:hAnsi="Times New Roman" w:cs="Times New Roman"/>
          <w:sz w:val="24"/>
          <w:szCs w:val="24"/>
        </w:rPr>
        <w:t xml:space="preserve">  </w:t>
      </w:r>
    </w:p>
    <w:p w14:paraId="51A5B889"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Ortiga</w:t>
      </w:r>
      <w:proofErr w:type="spellEnd"/>
      <w:r>
        <w:rPr>
          <w:rFonts w:ascii="Times New Roman" w:eastAsia="Times New Roman" w:hAnsi="Times New Roman" w:cs="Times New Roman"/>
          <w:sz w:val="24"/>
          <w:szCs w:val="24"/>
        </w:rPr>
        <w:t xml:space="preserve">, Yasmin </w:t>
      </w: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(2018). Emigration, employability, and higher education in the Philippines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Routledge. ORTIGA, Yasmin Y., "Emigration, employability, and higher education in the Philippines" (2018). Research Collection School of Social Sciences. Paper 2678.</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sz w:val="24"/>
            <w:szCs w:val="24"/>
            <w:u w:val="single"/>
          </w:rPr>
          <w:t>https://ink.library.smu.edu.sg/soss_research/2678</w:t>
        </w:r>
      </w:hyperlink>
    </w:p>
    <w:p w14:paraId="5DA53A22"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Paciente</w:t>
      </w:r>
      <w:proofErr w:type="spellEnd"/>
      <w:r>
        <w:rPr>
          <w:rFonts w:ascii="Times New Roman" w:eastAsia="Times New Roman" w:hAnsi="Times New Roman" w:cs="Times New Roman"/>
          <w:sz w:val="24"/>
          <w:szCs w:val="24"/>
        </w:rPr>
        <w:t xml:space="preserve">, Y. R. (2023). </w:t>
      </w:r>
      <w:r>
        <w:rPr>
          <w:rFonts w:ascii="Times New Roman" w:eastAsia="Times New Roman" w:hAnsi="Times New Roman" w:cs="Times New Roman"/>
          <w:i/>
          <w:iCs/>
          <w:sz w:val="24"/>
          <w:szCs w:val="24"/>
        </w:rPr>
        <w:t>Intent to migrate overseas among registered radiologic technologists in Davao City: A binary logistic regression analysis</w:t>
      </w:r>
      <w:r>
        <w:rPr>
          <w:rFonts w:ascii="Times New Roman" w:eastAsia="Times New Roman" w:hAnsi="Times New Roman" w:cs="Times New Roman"/>
          <w:sz w:val="24"/>
          <w:szCs w:val="24"/>
        </w:rPr>
        <w:t xml:space="preserve"> (Master’s thesis, Davao Doctors College</w:t>
      </w:r>
      <w:proofErr w:type="gramStart"/>
      <w:r>
        <w:rPr>
          <w:rFonts w:ascii="Times New Roman" w:eastAsia="Times New Roman" w:hAnsi="Times New Roman" w:cs="Times New Roman"/>
          <w:sz w:val="24"/>
          <w:szCs w:val="24"/>
        </w:rPr>
        <w:t>).https://www.coursehero.com/file/235730086/razothesisfinaldocx/</w:t>
      </w:r>
      <w:proofErr w:type="gramEnd"/>
      <w:r>
        <w:rPr>
          <w:rFonts w:ascii="Times New Roman" w:eastAsia="Times New Roman" w:hAnsi="Times New Roman" w:cs="Times New Roman"/>
          <w:sz w:val="24"/>
          <w:szCs w:val="24"/>
        </w:rPr>
        <w:t xml:space="preserve"> </w:t>
      </w:r>
    </w:p>
    <w:p w14:paraId="26B40671"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Padilla, C. D., Banzon, J. S., Cueto, J. Y., Jr., &amp; Lorenzo, F. M. E. (2025). Leveraging higher education to resolve healthcare constraints. </w:t>
      </w:r>
      <w:r>
        <w:rPr>
          <w:rFonts w:ascii="Times New Roman" w:eastAsia="Times New Roman" w:hAnsi="Times New Roman" w:cs="Times New Roman"/>
          <w:i/>
          <w:iCs/>
          <w:sz w:val="24"/>
          <w:szCs w:val="24"/>
        </w:rPr>
        <w:t>Philippine Journal of Public Policy: Interdisciplinary Development Perspectives</w:t>
      </w:r>
      <w:r>
        <w:rPr>
          <w:rFonts w:ascii="Times New Roman" w:eastAsia="Times New Roman" w:hAnsi="Times New Roman" w:cs="Times New Roman"/>
          <w:sz w:val="24"/>
          <w:szCs w:val="24"/>
        </w:rPr>
        <w:t xml:space="preserve">. </w:t>
      </w:r>
    </w:p>
    <w:p w14:paraId="6367D997"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Page, M. J., McKenzie, J. E., Bossuyt,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et al. (2021). The PRISMA 2020 statement: An updated guideline for reporting systematic reviews. </w:t>
      </w:r>
      <w:r>
        <w:rPr>
          <w:rFonts w:ascii="Times New Roman" w:eastAsia="Times New Roman" w:hAnsi="Times New Roman" w:cs="Times New Roman"/>
          <w:i/>
          <w:iCs/>
          <w:sz w:val="24"/>
          <w:szCs w:val="24"/>
        </w:rPr>
        <w:t>BMJ</w:t>
      </w:r>
      <w:r>
        <w:rPr>
          <w:rFonts w:ascii="Times New Roman" w:eastAsia="Times New Roman" w:hAnsi="Times New Roman" w:cs="Times New Roman"/>
          <w:sz w:val="24"/>
          <w:szCs w:val="24"/>
        </w:rPr>
        <w:t>, 372, n71.</w:t>
      </w:r>
      <w:hyperlink r:id="rId46">
        <w:r>
          <w:rPr>
            <w:rFonts w:ascii="Times New Roman" w:eastAsia="Times New Roman" w:hAnsi="Times New Roman" w:cs="Times New Roman"/>
            <w:sz w:val="24"/>
            <w:szCs w:val="24"/>
            <w:u w:val="single"/>
          </w:rPr>
          <w:t xml:space="preserve"> https://doi.org/10.1136/bmj.n71</w:t>
        </w:r>
      </w:hyperlink>
    </w:p>
    <w:p w14:paraId="22136D12"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Pambid, D. &amp; </w:t>
      </w:r>
      <w:proofErr w:type="spellStart"/>
      <w:r>
        <w:rPr>
          <w:rFonts w:ascii="Times New Roman" w:eastAsia="Times New Roman" w:hAnsi="Times New Roman" w:cs="Times New Roman"/>
          <w:sz w:val="24"/>
          <w:szCs w:val="24"/>
        </w:rPr>
        <w:t>Agawin</w:t>
      </w:r>
      <w:proofErr w:type="spellEnd"/>
      <w:r>
        <w:rPr>
          <w:rFonts w:ascii="Times New Roman" w:eastAsia="Times New Roman" w:hAnsi="Times New Roman" w:cs="Times New Roman"/>
          <w:sz w:val="24"/>
          <w:szCs w:val="24"/>
        </w:rPr>
        <w:t xml:space="preserve">, M. (2020). A Tracer Study of Radiologic Technology Graduates of LPU-ST. Cabrini College of Allied Medicine from 2016-2018. </w:t>
      </w:r>
      <w:r>
        <w:rPr>
          <w:rFonts w:ascii="Times New Roman" w:eastAsia="Times New Roman" w:hAnsi="Times New Roman" w:cs="Times New Roman"/>
          <w:i/>
          <w:iCs/>
          <w:sz w:val="24"/>
          <w:szCs w:val="24"/>
        </w:rPr>
        <w:t>LPU - Laguna Journal of Multidisciplinary Research, 4</w:t>
      </w:r>
      <w:r>
        <w:rPr>
          <w:rFonts w:ascii="Times New Roman" w:eastAsia="Times New Roman" w:hAnsi="Times New Roman" w:cs="Times New Roman"/>
          <w:sz w:val="24"/>
          <w:szCs w:val="24"/>
        </w:rPr>
        <w:t xml:space="preserve">(1). </w:t>
      </w:r>
    </w:p>
    <w:p w14:paraId="5E4BFEA3"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Partoza</w:t>
      </w:r>
      <w:proofErr w:type="spellEnd"/>
      <w:r>
        <w:rPr>
          <w:rFonts w:ascii="Times New Roman" w:eastAsia="Times New Roman" w:hAnsi="Times New Roman" w:cs="Times New Roman"/>
          <w:sz w:val="24"/>
          <w:szCs w:val="24"/>
        </w:rPr>
        <w:t xml:space="preserve">, A. F., &amp; Urbina, M. C. (2025). Workplace stress, work attitude and job satisfaction of clinic-based radiologic technologists in the province of Laguna. </w:t>
      </w:r>
      <w:r>
        <w:rPr>
          <w:rFonts w:ascii="Times New Roman" w:eastAsia="Times New Roman" w:hAnsi="Times New Roman" w:cs="Times New Roman"/>
          <w:i/>
          <w:iCs/>
          <w:sz w:val="24"/>
          <w:szCs w:val="24"/>
        </w:rPr>
        <w:t>International Journal of Academic Research in Progressive Education and Development</w:t>
      </w:r>
      <w:r>
        <w:rPr>
          <w:rFonts w:ascii="Times New Roman" w:eastAsia="Times New Roman" w:hAnsi="Times New Roman" w:cs="Times New Roman"/>
          <w:sz w:val="24"/>
          <w:szCs w:val="24"/>
        </w:rPr>
        <w:t>.</w:t>
      </w:r>
      <w:hyperlink r:id="rId47">
        <w:r>
          <w:rPr>
            <w:rFonts w:ascii="Times New Roman" w:eastAsia="Times New Roman" w:hAnsi="Times New Roman" w:cs="Times New Roman"/>
            <w:sz w:val="24"/>
            <w:szCs w:val="24"/>
            <w:u w:val="single"/>
          </w:rPr>
          <w:t xml:space="preserve"> </w:t>
        </w:r>
      </w:hyperlink>
      <w:hyperlink r:id="rId48">
        <w:r>
          <w:rPr>
            <w:rFonts w:ascii="Times New Roman" w:eastAsia="Times New Roman" w:hAnsi="Times New Roman" w:cs="Times New Roman"/>
            <w:sz w:val="24"/>
            <w:szCs w:val="24"/>
            <w:u w:val="single"/>
          </w:rPr>
          <w:t>https://doi.org/10.6007/IJARPED/v14-i2/25237</w:t>
        </w:r>
      </w:hyperlink>
    </w:p>
    <w:p w14:paraId="2474AEC6"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Perong</w:t>
      </w:r>
      <w:proofErr w:type="spellEnd"/>
      <w:r>
        <w:rPr>
          <w:rFonts w:ascii="Times New Roman" w:eastAsia="Times New Roman" w:hAnsi="Times New Roman" w:cs="Times New Roman"/>
          <w:sz w:val="24"/>
          <w:szCs w:val="24"/>
        </w:rPr>
        <w:t xml:space="preserve">, A. M. &amp; </w:t>
      </w:r>
      <w:proofErr w:type="spellStart"/>
      <w:r>
        <w:rPr>
          <w:rFonts w:ascii="Times New Roman" w:eastAsia="Times New Roman" w:hAnsi="Times New Roman" w:cs="Times New Roman"/>
          <w:sz w:val="24"/>
          <w:szCs w:val="24"/>
        </w:rPr>
        <w:t>Dumpac</w:t>
      </w:r>
      <w:proofErr w:type="spellEnd"/>
      <w:r>
        <w:rPr>
          <w:rFonts w:ascii="Times New Roman" w:eastAsia="Times New Roman" w:hAnsi="Times New Roman" w:cs="Times New Roman"/>
          <w:sz w:val="24"/>
          <w:szCs w:val="24"/>
        </w:rPr>
        <w:t xml:space="preserve">, A. (2023). Employability Status of Radiologic Technology Graduates of Universidad de Zamboanga (2015–2019). </w:t>
      </w:r>
      <w:r>
        <w:rPr>
          <w:rFonts w:ascii="Times New Roman" w:eastAsia="Times New Roman" w:hAnsi="Times New Roman" w:cs="Times New Roman"/>
          <w:i/>
          <w:iCs/>
          <w:sz w:val="24"/>
          <w:szCs w:val="24"/>
        </w:rPr>
        <w:t>Science Asia Review, 7</w:t>
      </w:r>
      <w:r>
        <w:rPr>
          <w:rFonts w:ascii="Times New Roman" w:eastAsia="Times New Roman" w:hAnsi="Times New Roman" w:cs="Times New Roman"/>
          <w:sz w:val="24"/>
          <w:szCs w:val="24"/>
        </w:rPr>
        <w:t xml:space="preserve">(1), 77-104.   </w:t>
      </w:r>
    </w:p>
    <w:p w14:paraId="2B61A99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Regulation Commission. (2018, January 10). </w:t>
      </w:r>
      <w:r>
        <w:rPr>
          <w:rFonts w:ascii="Times New Roman" w:eastAsia="Times New Roman" w:hAnsi="Times New Roman" w:cs="Times New Roman"/>
          <w:i/>
          <w:iCs/>
          <w:sz w:val="24"/>
          <w:szCs w:val="24"/>
        </w:rPr>
        <w:t>Radiologic technology</w:t>
      </w:r>
      <w:r>
        <w:rPr>
          <w:rFonts w:ascii="Times New Roman" w:eastAsia="Times New Roman" w:hAnsi="Times New Roman" w:cs="Times New Roman"/>
          <w:sz w:val="24"/>
          <w:szCs w:val="24"/>
        </w:rPr>
        <w:t>.</w:t>
      </w:r>
      <w:hyperlink r:id="rId49">
        <w:r>
          <w:rPr>
            <w:rFonts w:ascii="Times New Roman" w:eastAsia="Times New Roman" w:hAnsi="Times New Roman" w:cs="Times New Roman"/>
            <w:sz w:val="24"/>
            <w:szCs w:val="24"/>
            <w:u w:val="single"/>
          </w:rPr>
          <w:t xml:space="preserve"> https://prc.gov.ph/radiologic-technology</w:t>
        </w:r>
      </w:hyperlink>
      <w:r>
        <w:rPr>
          <w:rFonts w:ascii="Times New Roman" w:eastAsia="Times New Roman" w:hAnsi="Times New Roman" w:cs="Times New Roman"/>
          <w:sz w:val="24"/>
          <w:szCs w:val="24"/>
        </w:rPr>
        <w:t xml:space="preserve"> </w:t>
      </w:r>
    </w:p>
    <w:p w14:paraId="5CB2C5A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Samaniego-</w:t>
      </w:r>
      <w:proofErr w:type="spellStart"/>
      <w:r>
        <w:rPr>
          <w:rFonts w:ascii="Times New Roman" w:eastAsia="Times New Roman" w:hAnsi="Times New Roman" w:cs="Times New Roman"/>
          <w:sz w:val="24"/>
          <w:szCs w:val="24"/>
        </w:rPr>
        <w:t>Mananghaya</w:t>
      </w:r>
      <w:proofErr w:type="spellEnd"/>
      <w:r>
        <w:rPr>
          <w:rFonts w:ascii="Times New Roman" w:eastAsia="Times New Roman" w:hAnsi="Times New Roman" w:cs="Times New Roman"/>
          <w:sz w:val="24"/>
          <w:szCs w:val="24"/>
        </w:rPr>
        <w:t xml:space="preserve">, C. (2025). Clinical learning environment of radiologic technology students: A cornerstone to professional readiness.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50">
        <w:r>
          <w:rPr>
            <w:rFonts w:ascii="Times New Roman" w:eastAsia="Times New Roman" w:hAnsi="Times New Roman" w:cs="Times New Roman"/>
            <w:sz w:val="24"/>
            <w:szCs w:val="24"/>
            <w:u w:val="single"/>
          </w:rPr>
          <w:t xml:space="preserve"> </w:t>
        </w:r>
      </w:hyperlink>
      <w:hyperlink r:id="rId51">
        <w:r>
          <w:rPr>
            <w:rFonts w:ascii="Times New Roman" w:eastAsia="Times New Roman" w:hAnsi="Times New Roman" w:cs="Times New Roman"/>
            <w:sz w:val="24"/>
            <w:szCs w:val="24"/>
            <w:u w:val="single"/>
          </w:rPr>
          <w:t>https://doi.org/10.54922/IJEHSS.2025.1022</w:t>
        </w:r>
      </w:hyperlink>
      <w:r>
        <w:rPr>
          <w:rFonts w:ascii="Times New Roman" w:eastAsia="Times New Roman" w:hAnsi="Times New Roman" w:cs="Times New Roman"/>
          <w:sz w:val="24"/>
          <w:szCs w:val="24"/>
        </w:rPr>
        <w:t xml:space="preserve"> </w:t>
      </w:r>
    </w:p>
    <w:p w14:paraId="5155E81E"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Sedillo, F. J., Jr. (2021). Leadership behavior and job satisfaction as predictors of turnover intention of radiologic technologists working in academic institutions in Region XI, Philippines. Retrieved from</w:t>
      </w:r>
      <w:hyperlink r:id="rId52">
        <w:r>
          <w:rPr>
            <w:rFonts w:ascii="Times New Roman" w:eastAsia="Times New Roman" w:hAnsi="Times New Roman" w:cs="Times New Roman"/>
            <w:sz w:val="24"/>
            <w:szCs w:val="24"/>
            <w:u w:val="single"/>
          </w:rPr>
          <w:t xml:space="preserve"> </w:t>
        </w:r>
      </w:hyperlink>
      <w:hyperlink r:id="rId53">
        <w:r>
          <w:rPr>
            <w:rFonts w:ascii="Times New Roman" w:eastAsia="Times New Roman" w:hAnsi="Times New Roman" w:cs="Times New Roman"/>
            <w:sz w:val="24"/>
            <w:szCs w:val="24"/>
            <w:u w:val="single"/>
          </w:rPr>
          <w:t>ResearchGate PDF Link</w:t>
        </w:r>
      </w:hyperlink>
      <w:r>
        <w:rPr>
          <w:rFonts w:ascii="Times New Roman" w:eastAsia="Times New Roman" w:hAnsi="Times New Roman" w:cs="Times New Roman"/>
          <w:sz w:val="24"/>
          <w:szCs w:val="24"/>
        </w:rPr>
        <w:t xml:space="preserve"> </w:t>
      </w:r>
    </w:p>
    <w:p w14:paraId="67B6AD2C"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Susiku, E., Hewitt-Taylor, J., &amp; </w:t>
      </w:r>
      <w:proofErr w:type="spellStart"/>
      <w:r>
        <w:rPr>
          <w:rFonts w:ascii="Times New Roman" w:eastAsia="Times New Roman" w:hAnsi="Times New Roman" w:cs="Times New Roman"/>
          <w:sz w:val="24"/>
          <w:szCs w:val="24"/>
        </w:rPr>
        <w:t>Akudjedu</w:t>
      </w:r>
      <w:proofErr w:type="spellEnd"/>
      <w:r>
        <w:rPr>
          <w:rFonts w:ascii="Times New Roman" w:eastAsia="Times New Roman" w:hAnsi="Times New Roman" w:cs="Times New Roman"/>
          <w:sz w:val="24"/>
          <w:szCs w:val="24"/>
        </w:rPr>
        <w:t xml:space="preserve">, T. N. (2024). Graduate competencies, employability and the transnational radiography workforce shortage: A systematic literature review of current pre-registration radiography education and training models. </w:t>
      </w:r>
      <w:r>
        <w:rPr>
          <w:rFonts w:ascii="Times New Roman" w:eastAsia="Times New Roman" w:hAnsi="Times New Roman" w:cs="Times New Roman"/>
          <w:i/>
          <w:iCs/>
          <w:sz w:val="24"/>
          <w:szCs w:val="24"/>
        </w:rPr>
        <w:t>Radiography, 30</w:t>
      </w:r>
      <w:r>
        <w:rPr>
          <w:rFonts w:ascii="Times New Roman" w:eastAsia="Times New Roman" w:hAnsi="Times New Roman" w:cs="Times New Roman"/>
          <w:sz w:val="24"/>
          <w:szCs w:val="24"/>
        </w:rPr>
        <w:t>(2), 457–467.</w:t>
      </w:r>
      <w:hyperlink r:id="rId54">
        <w:r>
          <w:rPr>
            <w:rFonts w:ascii="Times New Roman" w:eastAsia="Times New Roman" w:hAnsi="Times New Roman" w:cs="Times New Roman"/>
            <w:sz w:val="24"/>
            <w:szCs w:val="24"/>
            <w:u w:val="single"/>
          </w:rPr>
          <w:t xml:space="preserve"> https://doi.org/10.1016/j.radi.2024.01.001</w:t>
        </w:r>
      </w:hyperlink>
      <w:r>
        <w:rPr>
          <w:rFonts w:ascii="Times New Roman" w:eastAsia="Times New Roman" w:hAnsi="Times New Roman" w:cs="Times New Roman"/>
          <w:sz w:val="24"/>
          <w:szCs w:val="24"/>
        </w:rPr>
        <w:t xml:space="preserve"> </w:t>
      </w:r>
    </w:p>
    <w:p w14:paraId="661E6EDD"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The International Society of Radiographers and Radiological Technologists. (ISRRT, 2004, November). </w:t>
      </w:r>
      <w:r>
        <w:rPr>
          <w:rFonts w:ascii="Times New Roman" w:eastAsia="Times New Roman" w:hAnsi="Times New Roman" w:cs="Times New Roman"/>
          <w:i/>
          <w:iCs/>
          <w:sz w:val="24"/>
          <w:szCs w:val="24"/>
        </w:rPr>
        <w:t>Guidelines for the education of entry-level professional practice in medical radiation sciences</w:t>
      </w:r>
      <w:r>
        <w:rPr>
          <w:rFonts w:ascii="Times New Roman" w:eastAsia="Times New Roman" w:hAnsi="Times New Roman" w:cs="Times New Roman"/>
          <w:sz w:val="24"/>
          <w:szCs w:val="24"/>
        </w:rPr>
        <w:t>.</w:t>
      </w:r>
      <w:hyperlink r:id="rId55">
        <w:r>
          <w:rPr>
            <w:rFonts w:ascii="Times New Roman" w:eastAsia="Times New Roman" w:hAnsi="Times New Roman" w:cs="Times New Roman"/>
            <w:sz w:val="24"/>
            <w:szCs w:val="24"/>
            <w:u w:val="single"/>
          </w:rPr>
          <w:t xml:space="preserve"> https://www.isrrt.org/wp-content/uploads/2023/07/Document_6_Standards_of_Education.pdf</w:t>
        </w:r>
      </w:hyperlink>
    </w:p>
    <w:p w14:paraId="388FF41F"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Tiu, C. J. S., Alberto, N. R. I., Baron, M. B. C., Mercado, M. V. V., &amp; </w:t>
      </w:r>
      <w:proofErr w:type="spellStart"/>
      <w:r>
        <w:rPr>
          <w:rFonts w:ascii="Times New Roman" w:eastAsia="Times New Roman" w:hAnsi="Times New Roman" w:cs="Times New Roman"/>
          <w:sz w:val="24"/>
          <w:szCs w:val="24"/>
        </w:rPr>
        <w:t>Baticulon</w:t>
      </w:r>
      <w:proofErr w:type="spellEnd"/>
      <w:r>
        <w:rPr>
          <w:rFonts w:ascii="Times New Roman" w:eastAsia="Times New Roman" w:hAnsi="Times New Roman" w:cs="Times New Roman"/>
          <w:sz w:val="24"/>
          <w:szCs w:val="24"/>
        </w:rPr>
        <w:t xml:space="preserve">, R. E. (2025). Leaving the health workforce during the COVID-19 pandemic: A cross-sectional study among Filipino healthcare workers. </w:t>
      </w:r>
      <w:r>
        <w:rPr>
          <w:rFonts w:ascii="Times New Roman" w:eastAsia="Times New Roman" w:hAnsi="Times New Roman" w:cs="Times New Roman"/>
          <w:i/>
          <w:iCs/>
          <w:sz w:val="24"/>
          <w:szCs w:val="24"/>
        </w:rPr>
        <w:t>PLOS Global Public Health</w:t>
      </w:r>
      <w:r>
        <w:rPr>
          <w:rFonts w:ascii="Times New Roman" w:eastAsia="Times New Roman" w:hAnsi="Times New Roman" w:cs="Times New Roman"/>
          <w:sz w:val="24"/>
          <w:szCs w:val="24"/>
        </w:rPr>
        <w:t>.</w:t>
      </w:r>
      <w:hyperlink r:id="rId56">
        <w:r>
          <w:rPr>
            <w:rFonts w:ascii="Times New Roman" w:eastAsia="Times New Roman" w:hAnsi="Times New Roman" w:cs="Times New Roman"/>
            <w:sz w:val="24"/>
            <w:szCs w:val="24"/>
            <w:u w:val="single"/>
          </w:rPr>
          <w:t xml:space="preserve"> </w:t>
        </w:r>
      </w:hyperlink>
      <w:hyperlink r:id="rId57">
        <w:r>
          <w:rPr>
            <w:rFonts w:ascii="Times New Roman" w:eastAsia="Times New Roman" w:hAnsi="Times New Roman" w:cs="Times New Roman"/>
            <w:sz w:val="24"/>
            <w:szCs w:val="24"/>
            <w:u w:val="single"/>
          </w:rPr>
          <w:t>https://doi.org/10.1371/journal.pgph.0004861</w:t>
        </w:r>
      </w:hyperlink>
      <w:r>
        <w:rPr>
          <w:rFonts w:ascii="Times New Roman" w:eastAsia="Times New Roman" w:hAnsi="Times New Roman" w:cs="Times New Roman"/>
          <w:sz w:val="24"/>
          <w:szCs w:val="24"/>
        </w:rPr>
        <w:t xml:space="preserve"> </w:t>
      </w:r>
    </w:p>
    <w:p w14:paraId="059508F4"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Torio, M. A. G., Rillera, A. D., &amp; </w:t>
      </w:r>
      <w:proofErr w:type="spellStart"/>
      <w:r>
        <w:rPr>
          <w:rFonts w:ascii="Times New Roman" w:eastAsia="Times New Roman" w:hAnsi="Times New Roman" w:cs="Times New Roman"/>
          <w:sz w:val="24"/>
          <w:szCs w:val="24"/>
        </w:rPr>
        <w:t>Codizal</w:t>
      </w:r>
      <w:proofErr w:type="spellEnd"/>
      <w:r>
        <w:rPr>
          <w:rFonts w:ascii="Times New Roman" w:eastAsia="Times New Roman" w:hAnsi="Times New Roman" w:cs="Times New Roman"/>
          <w:sz w:val="24"/>
          <w:szCs w:val="24"/>
        </w:rPr>
        <w:t xml:space="preserve">, E. L. (2022). Ascertaining the relationship between the radiologic technologists’ standard precaution practices and attitudes in handling COVID-19 patients. </w:t>
      </w:r>
      <w:r>
        <w:rPr>
          <w:rFonts w:ascii="Times New Roman" w:eastAsia="Times New Roman" w:hAnsi="Times New Roman" w:cs="Times New Roman"/>
          <w:i/>
          <w:iCs/>
          <w:sz w:val="24"/>
          <w:szCs w:val="24"/>
        </w:rPr>
        <w:t>Journal of Medical Imaging and Radiation Sciences, 53</w:t>
      </w:r>
      <w:r>
        <w:rPr>
          <w:rFonts w:ascii="Times New Roman" w:eastAsia="Times New Roman" w:hAnsi="Times New Roman" w:cs="Times New Roman"/>
          <w:sz w:val="24"/>
          <w:szCs w:val="24"/>
        </w:rPr>
        <w:t>(4, Supplement 1), S49.</w:t>
      </w:r>
      <w:hyperlink r:id="rId58">
        <w:r>
          <w:rPr>
            <w:rFonts w:ascii="Times New Roman" w:eastAsia="Times New Roman" w:hAnsi="Times New Roman" w:cs="Times New Roman"/>
            <w:sz w:val="24"/>
            <w:szCs w:val="24"/>
            <w:u w:val="single"/>
          </w:rPr>
          <w:t xml:space="preserve"> </w:t>
        </w:r>
      </w:hyperlink>
      <w:hyperlink r:id="rId59">
        <w:r>
          <w:rPr>
            <w:rFonts w:ascii="Times New Roman" w:eastAsia="Times New Roman" w:hAnsi="Times New Roman" w:cs="Times New Roman"/>
            <w:sz w:val="24"/>
            <w:szCs w:val="24"/>
            <w:u w:val="single"/>
          </w:rPr>
          <w:t>https://doi.org/10.1016/j.jmir.2022.10.160</w:t>
        </w:r>
      </w:hyperlink>
      <w:r>
        <w:rPr>
          <w:rFonts w:ascii="Times New Roman" w:eastAsia="Times New Roman" w:hAnsi="Times New Roman" w:cs="Times New Roman"/>
          <w:sz w:val="24"/>
          <w:szCs w:val="24"/>
        </w:rPr>
        <w:t xml:space="preserve"> </w:t>
      </w:r>
    </w:p>
    <w:p w14:paraId="41853B41"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Umpar</w:t>
      </w:r>
      <w:proofErr w:type="spellEnd"/>
      <w:r>
        <w:rPr>
          <w:rFonts w:ascii="Times New Roman" w:eastAsia="Times New Roman" w:hAnsi="Times New Roman" w:cs="Times New Roman"/>
          <w:sz w:val="24"/>
          <w:szCs w:val="24"/>
        </w:rPr>
        <w:t xml:space="preserve">, S. &amp; Sison, M. (2025). Attitude, Skills and Clinical Competency of Radiologic Technology Interns on General Radiography. </w:t>
      </w:r>
      <w:r>
        <w:rPr>
          <w:rFonts w:ascii="Times New Roman" w:eastAsia="Times New Roman" w:hAnsi="Times New Roman" w:cs="Times New Roman"/>
          <w:i/>
          <w:iCs/>
          <w:sz w:val="24"/>
          <w:szCs w:val="24"/>
        </w:rPr>
        <w:t>Psychology and Education: A Multidisciplinary Journal, 34</w:t>
      </w:r>
      <w:r>
        <w:rPr>
          <w:rFonts w:ascii="Times New Roman" w:eastAsia="Times New Roman" w:hAnsi="Times New Roman" w:cs="Times New Roman"/>
          <w:sz w:val="24"/>
          <w:szCs w:val="24"/>
        </w:rPr>
        <w:t xml:space="preserve">(9), 1077-1087. https://doi.org/10.70838/pemj.340902 </w:t>
      </w:r>
    </w:p>
    <w:p w14:paraId="2F3EF273"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(2023, September 4). </w:t>
      </w:r>
      <w:r>
        <w:rPr>
          <w:rFonts w:ascii="Times New Roman" w:eastAsia="Times New Roman" w:hAnsi="Times New Roman" w:cs="Times New Roman"/>
          <w:i/>
          <w:iCs/>
          <w:sz w:val="24"/>
          <w:szCs w:val="24"/>
        </w:rPr>
        <w:t>Qualifications recognition: A door to collective progress</w:t>
      </w:r>
      <w:r>
        <w:rPr>
          <w:rFonts w:ascii="Times New Roman" w:eastAsia="Times New Roman" w:hAnsi="Times New Roman" w:cs="Times New Roman"/>
          <w:sz w:val="24"/>
          <w:szCs w:val="24"/>
        </w:rPr>
        <w:t>.</w:t>
      </w:r>
      <w:hyperlink r:id="rId60">
        <w:r>
          <w:rPr>
            <w:rFonts w:ascii="Times New Roman" w:eastAsia="Times New Roman" w:hAnsi="Times New Roman" w:cs="Times New Roman"/>
            <w:sz w:val="24"/>
            <w:szCs w:val="24"/>
            <w:u w:val="single"/>
          </w:rPr>
          <w:t xml:space="preserve"> https://www.unesco.org/en/articles/qualifications-recognition-door-collective-progress</w:t>
        </w:r>
      </w:hyperlink>
    </w:p>
    <w:p w14:paraId="1CE7E458"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Valdez, A. P. (2012). Graduates’ Transition from Study to Employment of Radiologic Technology Graduates of the Lyceum University of the Philippines – Batangas. </w:t>
      </w:r>
      <w:r>
        <w:rPr>
          <w:rFonts w:ascii="Times New Roman" w:eastAsia="Times New Roman" w:hAnsi="Times New Roman" w:cs="Times New Roman"/>
          <w:i/>
          <w:iCs/>
          <w:sz w:val="24"/>
          <w:szCs w:val="24"/>
        </w:rPr>
        <w:t>IAMURE International Journal of Multidisciplinary Research, 3</w:t>
      </w:r>
      <w:r>
        <w:rPr>
          <w:rFonts w:ascii="Times New Roman" w:eastAsia="Times New Roman" w:hAnsi="Times New Roman" w:cs="Times New Roman"/>
          <w:sz w:val="24"/>
          <w:szCs w:val="24"/>
        </w:rPr>
        <w:t xml:space="preserve">(1). </w:t>
      </w:r>
    </w:p>
    <w:p w14:paraId="072FD126"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Vidal, E. A., </w:t>
      </w:r>
      <w:proofErr w:type="spellStart"/>
      <w:r>
        <w:rPr>
          <w:rFonts w:ascii="Times New Roman" w:eastAsia="Times New Roman" w:hAnsi="Times New Roman" w:cs="Times New Roman"/>
          <w:sz w:val="24"/>
          <w:szCs w:val="24"/>
        </w:rPr>
        <w:t>Elegado</w:t>
      </w:r>
      <w:proofErr w:type="spellEnd"/>
      <w:r>
        <w:rPr>
          <w:rFonts w:ascii="Times New Roman" w:eastAsia="Times New Roman" w:hAnsi="Times New Roman" w:cs="Times New Roman"/>
          <w:sz w:val="24"/>
          <w:szCs w:val="24"/>
        </w:rPr>
        <w:t xml:space="preserve">, N. E. L., Caparas, A. M., Daquis, M. A., Mercado, L. M., &amp; </w:t>
      </w:r>
      <w:proofErr w:type="spellStart"/>
      <w:r>
        <w:rPr>
          <w:rFonts w:ascii="Times New Roman" w:eastAsia="Times New Roman" w:hAnsi="Times New Roman" w:cs="Times New Roman"/>
          <w:sz w:val="24"/>
          <w:szCs w:val="24"/>
        </w:rPr>
        <w:t>Laguador</w:t>
      </w:r>
      <w:proofErr w:type="spellEnd"/>
      <w:r>
        <w:rPr>
          <w:rFonts w:ascii="Times New Roman" w:eastAsia="Times New Roman" w:hAnsi="Times New Roman" w:cs="Times New Roman"/>
          <w:sz w:val="24"/>
          <w:szCs w:val="24"/>
        </w:rPr>
        <w:t xml:space="preserve">, J. M. (2016). Teaching performance of radiologic technology faculty members based on students’ evaluation from 2013 to 2016.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46–52.</w:t>
      </w:r>
      <w:hyperlink r:id="rId61">
        <w:r>
          <w:rPr>
            <w:rFonts w:ascii="Times New Roman" w:eastAsia="Times New Roman" w:hAnsi="Times New Roman" w:cs="Times New Roman"/>
            <w:sz w:val="24"/>
            <w:szCs w:val="24"/>
            <w:u w:val="single"/>
          </w:rPr>
          <w:t xml:space="preserve"> https://oaji.net/articles/2017/1710-1485756531.pdf</w:t>
        </w:r>
      </w:hyperlink>
    </w:p>
    <w:p w14:paraId="507755BA" w14:textId="77777777" w:rsidR="00AF1070" w:rsidRDefault="004B6D4A">
      <w:pPr>
        <w:spacing w:before="240" w:after="240"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(2026, February 3). </w:t>
      </w:r>
      <w:r>
        <w:rPr>
          <w:rFonts w:ascii="Times New Roman" w:eastAsia="Times New Roman" w:hAnsi="Times New Roman" w:cs="Times New Roman"/>
          <w:i/>
          <w:iCs/>
          <w:sz w:val="24"/>
          <w:szCs w:val="24"/>
        </w:rPr>
        <w:t>Strengthening equitable access to diagnostic imaging through teleradiology</w:t>
      </w:r>
      <w:r>
        <w:rPr>
          <w:rFonts w:ascii="Times New Roman" w:eastAsia="Times New Roman" w:hAnsi="Times New Roman" w:cs="Times New Roman"/>
          <w:sz w:val="24"/>
          <w:szCs w:val="24"/>
        </w:rPr>
        <w:t xml:space="preserve"> (EB158.R3).</w:t>
      </w:r>
      <w:hyperlink r:id="rId62">
        <w:r>
          <w:rPr>
            <w:rFonts w:ascii="Times New Roman" w:eastAsia="Times New Roman" w:hAnsi="Times New Roman" w:cs="Times New Roman"/>
            <w:sz w:val="24"/>
            <w:szCs w:val="24"/>
            <w:u w:val="single"/>
          </w:rPr>
          <w:t xml:space="preserve"> https://apps.who.int/gb/ebwha/pdf_files/EB158/B158_R3-en.pdf</w:t>
        </w:r>
      </w:hyperlink>
    </w:p>
    <w:p w14:paraId="0D209FE2" w14:textId="77777777" w:rsidR="00AF1070" w:rsidRDefault="004B6D4A">
      <w:pPr>
        <w:spacing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Yorke, M. (2006). </w:t>
      </w:r>
      <w:r>
        <w:rPr>
          <w:rFonts w:ascii="Times New Roman" w:eastAsia="Times New Roman" w:hAnsi="Times New Roman" w:cs="Times New Roman"/>
          <w:i/>
          <w:iCs/>
          <w:sz w:val="24"/>
          <w:szCs w:val="24"/>
        </w:rPr>
        <w:t>Employability in Higher Education: What It Is – What It Is Not.</w:t>
      </w:r>
      <w:r>
        <w:rPr>
          <w:rFonts w:ascii="Times New Roman" w:eastAsia="Times New Roman" w:hAnsi="Times New Roman" w:cs="Times New Roman"/>
          <w:sz w:val="24"/>
          <w:szCs w:val="24"/>
        </w:rPr>
        <w:t xml:space="preserve"> York: The Higher Education Academy (Learning and Employability Series).</w:t>
      </w:r>
    </w:p>
    <w:p w14:paraId="37A25660" w14:textId="77777777" w:rsidR="00AF1070" w:rsidRDefault="004B6D4A">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Zaragoza, S. B. (2025). Factors affecting the prospective employment and migration behavior of radiologic technology graduates of De La Salle Medical and Health Sciences Institute. </w:t>
      </w:r>
      <w:r>
        <w:rPr>
          <w:rFonts w:ascii="Times New Roman" w:eastAsia="Times New Roman" w:hAnsi="Times New Roman" w:cs="Times New Roman"/>
          <w:i/>
          <w:iCs/>
          <w:sz w:val="24"/>
          <w:szCs w:val="24"/>
        </w:rPr>
        <w:t xml:space="preserve">Master in Public </w:t>
      </w:r>
      <w:proofErr w:type="spellStart"/>
      <w:r>
        <w:rPr>
          <w:rFonts w:ascii="Times New Roman" w:eastAsia="Times New Roman" w:hAnsi="Times New Roman" w:cs="Times New Roman"/>
          <w:i/>
          <w:iCs/>
          <w:sz w:val="24"/>
          <w:szCs w:val="24"/>
        </w:rPr>
        <w:t>Health.</w:t>
      </w:r>
      <w:r>
        <w:rPr>
          <w:rFonts w:ascii="Times New Roman" w:eastAsia="Times New Roman" w:hAnsi="Times New Roman" w:cs="Times New Roman"/>
          <w:sz w:val="24"/>
          <w:szCs w:val="24"/>
        </w:rPr>
        <w:t>Retrieved</w:t>
      </w:r>
      <w:proofErr w:type="spellEnd"/>
      <w:r>
        <w:rPr>
          <w:rFonts w:ascii="Times New Roman" w:eastAsia="Times New Roman" w:hAnsi="Times New Roman" w:cs="Times New Roman"/>
          <w:sz w:val="24"/>
          <w:szCs w:val="24"/>
        </w:rPr>
        <w:t xml:space="preserve"> from https://greenprints.dlshsi.edu.ph/mpubh/19 </w:t>
      </w:r>
    </w:p>
    <w:p w14:paraId="69D88055" w14:textId="77777777" w:rsidR="00AF1070" w:rsidRDefault="004B6D4A">
      <w:pPr>
        <w:spacing w:before="240" w:after="240" w:line="240" w:lineRule="auto"/>
        <w:ind w:left="720" w:hanging="720"/>
        <w:jc w:val="both"/>
        <w:rPr>
          <w:rFonts w:ascii="Times New Roman" w:eastAsia="Times New Roman" w:hAnsi="Times New Roman" w:cs="Times New Roman"/>
          <w:b/>
          <w:bCs/>
          <w:sz w:val="24"/>
          <w:szCs w:val="24"/>
        </w:rPr>
        <w:sectPr w:rsidR="00AF107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Zubair, M., Hussain, M., </w:t>
      </w:r>
      <w:proofErr w:type="spellStart"/>
      <w:r>
        <w:rPr>
          <w:rFonts w:ascii="Times New Roman" w:eastAsia="Times New Roman" w:hAnsi="Times New Roman" w:cs="Times New Roman"/>
          <w:sz w:val="24"/>
          <w:szCs w:val="24"/>
        </w:rPr>
        <w:t>Albashrawi</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Bendechache</w:t>
      </w:r>
      <w:proofErr w:type="spellEnd"/>
      <w:r>
        <w:rPr>
          <w:rFonts w:ascii="Times New Roman" w:eastAsia="Times New Roman" w:hAnsi="Times New Roman" w:cs="Times New Roman"/>
          <w:sz w:val="24"/>
          <w:szCs w:val="24"/>
        </w:rPr>
        <w:t xml:space="preserve">, M., &amp; Owais, M. (2025). A comprehensive review of techniques, algorithms, advancements, challenges, and clinical applications of multi-modal medical image fusion for improved diagnosis. Computer Methods and Programs in Biomedicine, 272, 109014. https://doi.org/10.1016/j.cmpb.2025.109014 </w:t>
      </w:r>
    </w:p>
    <w:p w14:paraId="31C02674" w14:textId="77777777" w:rsidR="00EF492E" w:rsidRDefault="00EF492E">
      <w:pPr>
        <w:spacing w:before="240" w:after="240" w:line="240" w:lineRule="auto"/>
        <w:jc w:val="both"/>
        <w:rPr>
          <w:rFonts w:ascii="Times New Roman" w:eastAsia="Times New Roman" w:hAnsi="Times New Roman" w:cs="Times New Roman"/>
          <w:sz w:val="24"/>
          <w:szCs w:val="24"/>
        </w:rPr>
      </w:pPr>
      <w:bookmarkStart w:id="41" w:name="_f3kmadefkmf9" w:colFirst="0" w:colLast="0"/>
      <w:bookmarkEnd w:id="41"/>
    </w:p>
    <w:p w14:paraId="3390075C" w14:textId="77777777" w:rsidR="00AF1070" w:rsidRDefault="00AF1070">
      <w:pPr>
        <w:spacing w:before="240" w:after="240" w:line="240" w:lineRule="auto"/>
        <w:jc w:val="both"/>
        <w:rPr>
          <w:rFonts w:ascii="Times New Roman" w:eastAsia="Times New Roman" w:hAnsi="Times New Roman" w:cs="Times New Roman"/>
          <w:sz w:val="24"/>
          <w:szCs w:val="24"/>
        </w:rPr>
      </w:pPr>
    </w:p>
    <w:p w14:paraId="37771862" w14:textId="77777777" w:rsidR="00AF1070" w:rsidRDefault="00AF1070">
      <w:pPr>
        <w:spacing w:before="240" w:after="240" w:line="240" w:lineRule="auto"/>
        <w:jc w:val="both"/>
        <w:rPr>
          <w:rFonts w:ascii="Times New Roman" w:eastAsia="Times New Roman" w:hAnsi="Times New Roman" w:cs="Times New Roman"/>
          <w:sz w:val="24"/>
          <w:szCs w:val="24"/>
        </w:rPr>
      </w:pPr>
    </w:p>
    <w:p w14:paraId="6EEF37C6" w14:textId="77777777" w:rsidR="00AF1070" w:rsidRDefault="00AF1070">
      <w:pPr>
        <w:spacing w:line="240" w:lineRule="auto"/>
        <w:jc w:val="both"/>
        <w:rPr>
          <w:rFonts w:ascii="Times New Roman" w:eastAsia="Times New Roman" w:hAnsi="Times New Roman" w:cs="Times New Roman"/>
          <w:sz w:val="24"/>
          <w:szCs w:val="24"/>
        </w:rPr>
      </w:pPr>
    </w:p>
    <w:sectPr w:rsidR="00AF107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4BD16" w14:textId="77777777" w:rsidR="00E42F42" w:rsidRDefault="00E42F42" w:rsidP="00127861">
      <w:pPr>
        <w:spacing w:line="240" w:lineRule="auto"/>
      </w:pPr>
      <w:r>
        <w:separator/>
      </w:r>
    </w:p>
  </w:endnote>
  <w:endnote w:type="continuationSeparator" w:id="0">
    <w:p w14:paraId="67B036BE" w14:textId="77777777" w:rsidR="00E42F42" w:rsidRDefault="00E42F42" w:rsidP="00127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B1C81F-771A-45B4-BA5C-2124EE3FEB4E}"/>
  </w:font>
  <w:font w:name="Cambria">
    <w:panose1 w:val="02040503050406030204"/>
    <w:charset w:val="00"/>
    <w:family w:val="roman"/>
    <w:pitch w:val="variable"/>
    <w:sig w:usb0="E00006FF" w:usb1="420024FF" w:usb2="02000000" w:usb3="00000000" w:csb0="0000019F" w:csb1="00000000"/>
    <w:embedRegular r:id="rId2" w:fontKey="{8C29CE11-5821-4A36-B43F-DB2A13C1E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76C7D" w14:textId="77777777" w:rsidR="00127861" w:rsidRDefault="001278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58F7" w14:textId="77777777" w:rsidR="00127861" w:rsidRDefault="001278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AD65" w14:textId="77777777" w:rsidR="00127861" w:rsidRDefault="00127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D5D05" w14:textId="77777777" w:rsidR="00E42F42" w:rsidRDefault="00E42F42" w:rsidP="00127861">
      <w:pPr>
        <w:spacing w:line="240" w:lineRule="auto"/>
      </w:pPr>
      <w:r>
        <w:separator/>
      </w:r>
    </w:p>
  </w:footnote>
  <w:footnote w:type="continuationSeparator" w:id="0">
    <w:p w14:paraId="14A6B4A4" w14:textId="77777777" w:rsidR="00E42F42" w:rsidRDefault="00E42F42" w:rsidP="001278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0F07" w14:textId="540CB06D" w:rsidR="00127861" w:rsidRDefault="00127861">
    <w:pPr>
      <w:pStyle w:val="Header"/>
    </w:pPr>
    <w:r>
      <w:rPr>
        <w:noProof/>
      </w:rPr>
      <w:pict w14:anchorId="4DB28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1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53A2" w14:textId="4508C30D" w:rsidR="00127861" w:rsidRDefault="00127861">
    <w:pPr>
      <w:pStyle w:val="Header"/>
    </w:pPr>
    <w:r>
      <w:rPr>
        <w:noProof/>
      </w:rPr>
      <w:pict w14:anchorId="35D84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2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6B0D" w14:textId="3F4EB205" w:rsidR="00127861" w:rsidRDefault="00127861">
    <w:pPr>
      <w:pStyle w:val="Header"/>
    </w:pPr>
    <w:r>
      <w:rPr>
        <w:noProof/>
      </w:rPr>
      <w:pict w14:anchorId="54B50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1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70"/>
    <w:rsid w:val="00011D94"/>
    <w:rsid w:val="000756BD"/>
    <w:rsid w:val="000E24D9"/>
    <w:rsid w:val="00127861"/>
    <w:rsid w:val="004B6D4A"/>
    <w:rsid w:val="007616A4"/>
    <w:rsid w:val="00AF1070"/>
    <w:rsid w:val="00E42F42"/>
    <w:rsid w:val="00EF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01F98"/>
  <w15:docId w15:val="{6FAD24E9-7AC9-42AB-BE76-FB1F8DBB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0756BD"/>
    <w:rPr>
      <w:color w:val="0000FF" w:themeColor="hyperlink"/>
      <w:u w:val="single"/>
    </w:rPr>
  </w:style>
  <w:style w:type="character" w:styleId="UnresolvedMention">
    <w:name w:val="Unresolved Mention"/>
    <w:basedOn w:val="DefaultParagraphFont"/>
    <w:uiPriority w:val="99"/>
    <w:semiHidden/>
    <w:unhideWhenUsed/>
    <w:rsid w:val="000756BD"/>
    <w:rPr>
      <w:color w:val="605E5C"/>
      <w:shd w:val="clear" w:color="auto" w:fill="E1DFDD"/>
    </w:rPr>
  </w:style>
  <w:style w:type="paragraph" w:styleId="Header">
    <w:name w:val="header"/>
    <w:basedOn w:val="Normal"/>
    <w:link w:val="HeaderChar"/>
    <w:uiPriority w:val="99"/>
    <w:unhideWhenUsed/>
    <w:rsid w:val="00127861"/>
    <w:pPr>
      <w:tabs>
        <w:tab w:val="center" w:pos="4680"/>
        <w:tab w:val="right" w:pos="9360"/>
      </w:tabs>
      <w:spacing w:line="240" w:lineRule="auto"/>
    </w:pPr>
  </w:style>
  <w:style w:type="character" w:customStyle="1" w:styleId="HeaderChar">
    <w:name w:val="Header Char"/>
    <w:basedOn w:val="DefaultParagraphFont"/>
    <w:link w:val="Header"/>
    <w:uiPriority w:val="99"/>
    <w:rsid w:val="00127861"/>
  </w:style>
  <w:style w:type="paragraph" w:styleId="Footer">
    <w:name w:val="footer"/>
    <w:basedOn w:val="Normal"/>
    <w:link w:val="FooterChar"/>
    <w:uiPriority w:val="99"/>
    <w:unhideWhenUsed/>
    <w:rsid w:val="00127861"/>
    <w:pPr>
      <w:tabs>
        <w:tab w:val="center" w:pos="4680"/>
        <w:tab w:val="right" w:pos="9360"/>
      </w:tabs>
      <w:spacing w:line="240" w:lineRule="auto"/>
    </w:pPr>
  </w:style>
  <w:style w:type="character" w:customStyle="1" w:styleId="FooterChar">
    <w:name w:val="Footer Char"/>
    <w:basedOn w:val="DefaultParagraphFont"/>
    <w:link w:val="Footer"/>
    <w:uiPriority w:val="99"/>
    <w:rsid w:val="00127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srt.org/main/standards-and-regulations/professional-practice/practice-standards-online" TargetMode="External"/><Relationship Id="rId26" Type="http://schemas.openxmlformats.org/officeDocument/2006/relationships/hyperlink" Target="https://doi.org/10.54922/IJEHSS.2025.1002" TargetMode="External"/><Relationship Id="rId39" Type="http://schemas.openxmlformats.org/officeDocument/2006/relationships/hyperlink" Target="https://www.asrt.org/docs/librariesprovider3/pdfs/dissertations/radiologic-technology-students-perceptions-of-an-effective-clinical-learning-environment.pdf" TargetMode="External"/><Relationship Id="rId21" Type="http://schemas.openxmlformats.org/officeDocument/2006/relationships/hyperlink" Target="https://www.herdin.ph/?utm_source=chatgpt.com" TargetMode="External"/><Relationship Id="rId34" Type="http://schemas.openxmlformats.org/officeDocument/2006/relationships/hyperlink" Target="https://pidswebs.pids.gov.ph/CDN/PUBLICATIONS/pidsdps1811.pdf?utm_source=chatgpt.com" TargetMode="External"/><Relationship Id="rId42" Type="http://schemas.openxmlformats.org/officeDocument/2006/relationships/hyperlink" Target="https://doi.org/10.65931/d4n7x2h9" TargetMode="External"/><Relationship Id="rId47" Type="http://schemas.openxmlformats.org/officeDocument/2006/relationships/hyperlink" Target="https://doi.org/10.6007/IJARPED/v14-i2/25237" TargetMode="External"/><Relationship Id="rId50" Type="http://schemas.openxmlformats.org/officeDocument/2006/relationships/hyperlink" Target="https://doi.org/10.54922/IJEHSS.2025.1022" TargetMode="External"/><Relationship Id="rId55" Type="http://schemas.openxmlformats.org/officeDocument/2006/relationships/hyperlink" Target="https://www.isrrt.org/wp-content/uploads/2023/07/Document_6_Standards_of_Education.pdf"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016/j.jsps.2023.101820" TargetMode="External"/><Relationship Id="rId29" Type="http://schemas.openxmlformats.org/officeDocument/2006/relationships/hyperlink" Target="https://legacy.ched.gov.ph/wp-content/uploads/2017/10/CMO-No.18-s2006.pdf" TargetMode="External"/><Relationship Id="rId11" Type="http://schemas.openxmlformats.org/officeDocument/2006/relationships/header" Target="header3.xml"/><Relationship Id="rId24" Type="http://schemas.openxmlformats.org/officeDocument/2006/relationships/hyperlink" Target="https://www.herdin.ph/?utm_source=chatgpt.com" TargetMode="External"/><Relationship Id="rId32" Type="http://schemas.openxmlformats.org/officeDocument/2006/relationships/hyperlink" Target="https://doi.org/10.7454/ajce.v5i2.1141" TargetMode="External"/><Relationship Id="rId37" Type="http://schemas.openxmlformats.org/officeDocument/2006/relationships/hyperlink" Target="https://doi.org/10.55248/gengpi.6.0625.2033" TargetMode="External"/><Relationship Id="rId40" Type="http://schemas.openxmlformats.org/officeDocument/2006/relationships/hyperlink" Target="https://doi.org/10.1177/01466453231220518" TargetMode="External"/><Relationship Id="rId45" Type="http://schemas.openxmlformats.org/officeDocument/2006/relationships/hyperlink" Target="https://ink.library.smu.edu.sg/soss_research/2678" TargetMode="External"/><Relationship Id="rId53"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58" Type="http://schemas.openxmlformats.org/officeDocument/2006/relationships/hyperlink" Target="https://doi.org/10.1016/j.jmir.2022.10.160" TargetMode="External"/><Relationship Id="rId5" Type="http://schemas.openxmlformats.org/officeDocument/2006/relationships/endnotes" Target="endnotes.xml"/><Relationship Id="rId61" Type="http://schemas.openxmlformats.org/officeDocument/2006/relationships/hyperlink" Target="https://oaji.net/articles/2017/1710-1485756531.pdf" TargetMode="External"/><Relationship Id="rId19" Type="http://schemas.openxmlformats.org/officeDocument/2006/relationships/hyperlink" Target="https://zenodo.org/records/14874488" TargetMode="External"/><Relationship Id="rId14" Type="http://schemas.openxmlformats.org/officeDocument/2006/relationships/hyperlink" Target="https://doi.org/10.2147/AMEP.S521381" TargetMode="External"/><Relationship Id="rId22" Type="http://schemas.openxmlformats.org/officeDocument/2006/relationships/hyperlink" Target="https://www.herdin.ph/?utm_source=chatgpt.com" TargetMode="External"/><Relationship Id="rId27" Type="http://schemas.openxmlformats.org/officeDocument/2006/relationships/hyperlink" Target="https://doi.org/10.54476/iimrj327" TargetMode="External"/><Relationship Id="rId30" Type="http://schemas.openxmlformats.org/officeDocument/2006/relationships/hyperlink" Target="https://doi.org/10.69569/jip.2025.298" TargetMode="External"/><Relationship Id="rId35" Type="http://schemas.openxmlformats.org/officeDocument/2006/relationships/hyperlink" Target="https://pidswebs.pids.gov.ph/CDN/PUBLICATIONS/pidsdps1811.pdf?utm_source=chatgpt.com" TargetMode="External"/><Relationship Id="rId43" Type="http://schemas.openxmlformats.org/officeDocument/2006/relationships/hyperlink" Target="https://journals.umak.edu.ph/universitas/article/view/24" TargetMode="External"/><Relationship Id="rId48" Type="http://schemas.openxmlformats.org/officeDocument/2006/relationships/hyperlink" Target="https://doi.org/10.6007/IJARPED/v14-i2/25237" TargetMode="External"/><Relationship Id="rId56" Type="http://schemas.openxmlformats.org/officeDocument/2006/relationships/hyperlink" Target="https://doi.org/10.1371/journal.pgph.0004861" TargetMode="Externa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doi.org/10.54922/IJEHSS.2025.1022" TargetMode="Externa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s://doi.org/10.65931/w9z4k2r7" TargetMode="External"/><Relationship Id="rId25" Type="http://schemas.openxmlformats.org/officeDocument/2006/relationships/hyperlink" Target="https://doi.org/10.54922/IJEHSS.2025.1002" TargetMode="External"/><Relationship Id="rId33" Type="http://schemas.openxmlformats.org/officeDocument/2006/relationships/hyperlink" Target="https://doi.org/10.7454/ajce.v5i2.1141" TargetMode="External"/><Relationship Id="rId38" Type="http://schemas.openxmlformats.org/officeDocument/2006/relationships/hyperlink" Target="https://doi.org/10.55248/gengpi.6.0625.2033" TargetMode="External"/><Relationship Id="rId46" Type="http://schemas.openxmlformats.org/officeDocument/2006/relationships/hyperlink" Target="https://doi.org/10.1136/bmj.n71" TargetMode="External"/><Relationship Id="rId59" Type="http://schemas.openxmlformats.org/officeDocument/2006/relationships/hyperlink" Target="https://doi.org/10.1016/j.jmir.2022.10.160" TargetMode="External"/><Relationship Id="rId20" Type="http://schemas.openxmlformats.org/officeDocument/2006/relationships/hyperlink" Target="https://www.ucwv.edu/wp-content/uploads/2025/09/Radiologic-Student-Handbook.pdf" TargetMode="External"/><Relationship Id="rId41" Type="http://schemas.openxmlformats.org/officeDocument/2006/relationships/hyperlink" Target="https://doi.org/10.1186/s12909-022-03913-7" TargetMode="External"/><Relationship Id="rId54" Type="http://schemas.openxmlformats.org/officeDocument/2006/relationships/hyperlink" Target="https://doi.org/10.1016/j.radi.2024.01.001" TargetMode="External"/><Relationship Id="rId62" Type="http://schemas.openxmlformats.org/officeDocument/2006/relationships/hyperlink" Target="https://apps.who.int/gb/ebwha/pdf_files/EB158/B158_R3-en.pdf"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2147/AMEP.S521381" TargetMode="External"/><Relationship Id="rId23" Type="http://schemas.openxmlformats.org/officeDocument/2006/relationships/hyperlink" Target="https://www.herdin.ph/?utm_source=chatgpt.com" TargetMode="External"/><Relationship Id="rId28" Type="http://schemas.openxmlformats.org/officeDocument/2006/relationships/hyperlink" Target="https://doi.org/10.54476/iimrj327" TargetMode="External"/><Relationship Id="rId36" Type="http://schemas.openxmlformats.org/officeDocument/2006/relationships/hyperlink" Target="https://doi.org/10.1503/cmaj.109-4459" TargetMode="External"/><Relationship Id="rId49" Type="http://schemas.openxmlformats.org/officeDocument/2006/relationships/hyperlink" Target="https://prc.gov.ph/radiologic-technology" TargetMode="External"/><Relationship Id="rId57" Type="http://schemas.openxmlformats.org/officeDocument/2006/relationships/hyperlink" Target="https://doi.org/10.1371/journal.pgph.0004861" TargetMode="External"/><Relationship Id="rId10" Type="http://schemas.openxmlformats.org/officeDocument/2006/relationships/footer" Target="footer2.xml"/><Relationship Id="rId31" Type="http://schemas.openxmlformats.org/officeDocument/2006/relationships/hyperlink" Target="https://doi.org/10.69569/jip.2025.298" TargetMode="External"/><Relationship Id="rId44" Type="http://schemas.openxmlformats.org/officeDocument/2006/relationships/hyperlink" Target="https://ink.library.smu.edu.sg/soss_research/2678" TargetMode="External"/><Relationship Id="rId52"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60" Type="http://schemas.openxmlformats.org/officeDocument/2006/relationships/hyperlink" Target="https://www.unesco.org/en/articles/qualifications-recognition-door-collective-progress" TargetMode="Externa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13356</Words>
  <Characters>76135</Characters>
  <Application>Microsoft Office Word</Application>
  <DocSecurity>0</DocSecurity>
  <Lines>634</Lines>
  <Paragraphs>178</Paragraphs>
  <ScaleCrop>false</ScaleCrop>
  <Company/>
  <LinksUpToDate>false</LinksUpToDate>
  <CharactersWithSpaces>89313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7</cp:revision>
  <dcterms:created xsi:type="dcterms:W3CDTF">2026-05-18T11:42:00Z</dcterms:created>
  <dcterms:modified xsi:type="dcterms:W3CDTF">2026-05-19T09:16:00Z</dcterms:modified>
</cp:coreProperties>
</file>