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808DD9" w14:textId="699865C2" w:rsidR="00051F63" w:rsidRDefault="00051F63" w:rsidP="00051F63">
      <w:pPr>
        <w:jc w:val="center"/>
        <w:rPr>
          <w:rFonts w:ascii="Times New Roman" w:hAnsi="Times New Roman" w:cs="Times New Roman"/>
          <w:b/>
          <w:bCs/>
        </w:rPr>
      </w:pPr>
      <w:r w:rsidRPr="00051F63">
        <w:rPr>
          <w:rFonts w:ascii="Times New Roman" w:hAnsi="Times New Roman" w:cs="Times New Roman"/>
          <w:b/>
          <w:bCs/>
        </w:rPr>
        <w:t xml:space="preserve">Effect of Integrated Planning and Budgeting Practices on Service Delivery Efficiency in Selected MDAs In Ekiti State: Moderating Role </w:t>
      </w:r>
      <w:r w:rsidR="007039A6">
        <w:rPr>
          <w:rFonts w:ascii="Times New Roman" w:hAnsi="Times New Roman" w:cs="Times New Roman"/>
          <w:b/>
          <w:bCs/>
        </w:rPr>
        <w:t>o</w:t>
      </w:r>
      <w:r w:rsidRPr="00051F63">
        <w:rPr>
          <w:rFonts w:ascii="Times New Roman" w:hAnsi="Times New Roman" w:cs="Times New Roman"/>
          <w:b/>
          <w:bCs/>
        </w:rPr>
        <w:t>f Internal Control System</w:t>
      </w:r>
    </w:p>
    <w:p w14:paraId="1684C448" w14:textId="77777777" w:rsidR="0035319D" w:rsidRDefault="0035319D" w:rsidP="00051F63">
      <w:pPr>
        <w:jc w:val="center"/>
        <w:rPr>
          <w:rFonts w:ascii="Times New Roman" w:hAnsi="Times New Roman" w:cs="Times New Roman"/>
          <w:b/>
          <w:bCs/>
        </w:rPr>
      </w:pPr>
    </w:p>
    <w:p w14:paraId="77B65910" w14:textId="356DF619" w:rsidR="00665400" w:rsidRPr="00665400" w:rsidRDefault="00223967" w:rsidP="00665400">
      <w:r>
        <w:t xml:space="preserve"> </w:t>
      </w:r>
    </w:p>
    <w:p w14:paraId="5879DC17" w14:textId="77777777" w:rsidR="00051F63" w:rsidRPr="00051F63" w:rsidRDefault="00051F63" w:rsidP="00051F63">
      <w:pPr>
        <w:jc w:val="both"/>
        <w:rPr>
          <w:rFonts w:ascii="Times New Roman" w:hAnsi="Times New Roman" w:cs="Times New Roman"/>
          <w:b/>
          <w:bCs/>
        </w:rPr>
      </w:pPr>
      <w:r w:rsidRPr="00051F63">
        <w:rPr>
          <w:rFonts w:ascii="Times New Roman" w:hAnsi="Times New Roman" w:cs="Times New Roman"/>
          <w:b/>
          <w:bCs/>
        </w:rPr>
        <w:t>Abstract</w:t>
      </w:r>
    </w:p>
    <w:p w14:paraId="1DAAFDAF" w14:textId="358BBC7F" w:rsidR="00051F63" w:rsidRPr="00051F63" w:rsidRDefault="00051F63" w:rsidP="00051F63">
      <w:pPr>
        <w:jc w:val="both"/>
        <w:rPr>
          <w:rFonts w:ascii="Times New Roman" w:hAnsi="Times New Roman" w:cs="Times New Roman"/>
        </w:rPr>
      </w:pPr>
      <w:r w:rsidRPr="00051F63">
        <w:rPr>
          <w:rFonts w:ascii="Times New Roman" w:hAnsi="Times New Roman" w:cs="Times New Roman"/>
        </w:rPr>
        <w:t>Persistent inefficiencies in service delivery</w:t>
      </w:r>
      <w:r>
        <w:rPr>
          <w:rFonts w:ascii="Times New Roman" w:hAnsi="Times New Roman" w:cs="Times New Roman"/>
        </w:rPr>
        <w:t xml:space="preserve"> </w:t>
      </w:r>
      <w:r w:rsidRPr="00051F63">
        <w:rPr>
          <w:rFonts w:ascii="Times New Roman" w:hAnsi="Times New Roman" w:cs="Times New Roman"/>
        </w:rPr>
        <w:t>manifested as delays, cost overruns, and low citizen satisfaction</w:t>
      </w:r>
      <w:r>
        <w:rPr>
          <w:rFonts w:ascii="Times New Roman" w:hAnsi="Times New Roman" w:cs="Times New Roman"/>
        </w:rPr>
        <w:t xml:space="preserve"> </w:t>
      </w:r>
      <w:r w:rsidRPr="00051F63">
        <w:rPr>
          <w:rFonts w:ascii="Times New Roman" w:hAnsi="Times New Roman" w:cs="Times New Roman"/>
        </w:rPr>
        <w:t>continue to affect Ministries, Departments, and Agencies (MDAs) in Nigeria, despite reforms aimed at integrating planning and budgeting. Prior studies have rarely examined the joint effect of integrated planning and budgeting practices and internal control systems (ICS), particularly at the sub-national level. This study addressed this gap by empirically analyzing the direct and moderating effects of integrated planning and budgeting practices on service delivery efficiency in 22 selected ministries in Ekiti State.</w:t>
      </w:r>
      <w:r>
        <w:rPr>
          <w:rFonts w:ascii="Times New Roman" w:hAnsi="Times New Roman" w:cs="Times New Roman"/>
        </w:rPr>
        <w:t xml:space="preserve"> </w:t>
      </w:r>
      <w:r w:rsidRPr="00051F63">
        <w:rPr>
          <w:rFonts w:ascii="Times New Roman" w:hAnsi="Times New Roman" w:cs="Times New Roman"/>
        </w:rPr>
        <w:t>A cross-sectional survey was conducted among 190 staff members directly involved in planning, budgeting, finance, and internal audit units. Data were analyzed using descriptive statistics, Pearson’s correlation, and hierarchical multiple regression. Results showed that all three dimensions of integrated planning and budgeting</w:t>
      </w:r>
      <w:r>
        <w:rPr>
          <w:rFonts w:ascii="Times New Roman" w:hAnsi="Times New Roman" w:cs="Times New Roman"/>
        </w:rPr>
        <w:t xml:space="preserve"> </w:t>
      </w:r>
      <w:r w:rsidRPr="00051F63">
        <w:rPr>
          <w:rFonts w:ascii="Times New Roman" w:hAnsi="Times New Roman" w:cs="Times New Roman"/>
        </w:rPr>
        <w:t>strategic planning integration (β = 0.258, p &lt; 0.001), budget participation (β = 0.182, p = 0.002), and monitoring and evaluation systems (β = 0.144, p = 0.005)</w:t>
      </w:r>
      <w:r>
        <w:rPr>
          <w:rFonts w:ascii="Times New Roman" w:hAnsi="Times New Roman" w:cs="Times New Roman"/>
        </w:rPr>
        <w:t xml:space="preserve"> </w:t>
      </w:r>
      <w:r w:rsidRPr="00051F63">
        <w:rPr>
          <w:rFonts w:ascii="Times New Roman" w:hAnsi="Times New Roman" w:cs="Times New Roman"/>
        </w:rPr>
        <w:t>had significant positive effects on service delivery efficiency. Internal control systems had a significant direct effect (β = 0.202, p = 0.001) and strengthened the impact of integrated planning and budgeting practices through a significant moderating effect (interaction β = 0.137, p = 0.012). The regression model explained 51.3% of the variance in service delivery efficiency (adjusted R² = 0.50), with all diagnostic metrics indicating a robust analysis (Durbin-Watson = 1.712; VIF &lt; 2).</w:t>
      </w:r>
      <w:r>
        <w:rPr>
          <w:rFonts w:ascii="Times New Roman" w:hAnsi="Times New Roman" w:cs="Times New Roman"/>
        </w:rPr>
        <w:t xml:space="preserve"> </w:t>
      </w:r>
      <w:r w:rsidRPr="00051F63">
        <w:rPr>
          <w:rFonts w:ascii="Times New Roman" w:hAnsi="Times New Roman" w:cs="Times New Roman"/>
        </w:rPr>
        <w:t>The study concluded that improvements in service delivery depend not only on adopting integrated planning and participatory budgeting but also on the presence of strong internal controls that enhance governance and accountability. It recommended institutionalizing cross-unit planning forums, implementing active monitoring and digital tracking systems, and upgrading internal audit functions to sustain public sector reforms. These findings contribute new, context-specific evidence to Nigerian public administration and offer actionable recommendations for policy and management practice.</w:t>
      </w:r>
    </w:p>
    <w:p w14:paraId="43D2E08A" w14:textId="77777777" w:rsidR="00051F63" w:rsidRPr="00051F63" w:rsidRDefault="00051F63" w:rsidP="00051F63">
      <w:pPr>
        <w:jc w:val="both"/>
        <w:rPr>
          <w:rFonts w:ascii="Times New Roman" w:hAnsi="Times New Roman" w:cs="Times New Roman"/>
        </w:rPr>
      </w:pPr>
      <w:r w:rsidRPr="00051F63">
        <w:rPr>
          <w:rFonts w:ascii="Times New Roman" w:hAnsi="Times New Roman" w:cs="Times New Roman"/>
          <w:b/>
          <w:bCs/>
        </w:rPr>
        <w:t>Keywords: </w:t>
      </w:r>
      <w:r w:rsidRPr="00051F63">
        <w:rPr>
          <w:rFonts w:ascii="Times New Roman" w:hAnsi="Times New Roman" w:cs="Times New Roman"/>
        </w:rPr>
        <w:t>integrated planning, budgeting practices, internal control systems, service delivery efficiency, Ekiti State, Nigeria, moderation</w:t>
      </w:r>
    </w:p>
    <w:p w14:paraId="5C103D89" w14:textId="11A6B9A4" w:rsidR="00E61A37" w:rsidRPr="00E61A37" w:rsidRDefault="000F7953" w:rsidP="0035604E">
      <w:pPr>
        <w:jc w:val="both"/>
        <w:rPr>
          <w:rFonts w:ascii="Times New Roman" w:hAnsi="Times New Roman" w:cs="Times New Roman"/>
          <w:b/>
          <w:bCs/>
        </w:rPr>
      </w:pPr>
      <w:r>
        <w:rPr>
          <w:rFonts w:ascii="Times New Roman" w:hAnsi="Times New Roman" w:cs="Times New Roman"/>
          <w:b/>
          <w:bCs/>
        </w:rPr>
        <w:t xml:space="preserve">1. </w:t>
      </w:r>
      <w:r w:rsidR="00E61A37" w:rsidRPr="00E61A37">
        <w:rPr>
          <w:rFonts w:ascii="Times New Roman" w:hAnsi="Times New Roman" w:cs="Times New Roman"/>
          <w:b/>
          <w:bCs/>
        </w:rPr>
        <w:t>Introduction</w:t>
      </w:r>
    </w:p>
    <w:p w14:paraId="7615AB33" w14:textId="3AE522DF" w:rsidR="00E61A37" w:rsidRPr="00E61A37" w:rsidRDefault="00E61A37" w:rsidP="0035604E">
      <w:pPr>
        <w:jc w:val="both"/>
        <w:rPr>
          <w:rFonts w:ascii="Times New Roman" w:hAnsi="Times New Roman" w:cs="Times New Roman"/>
        </w:rPr>
      </w:pPr>
      <w:r w:rsidRPr="00E61A37">
        <w:rPr>
          <w:rFonts w:ascii="Times New Roman" w:hAnsi="Times New Roman" w:cs="Times New Roman"/>
        </w:rPr>
        <w:t>The imperative for efficient public service delivery has intensified globally, especially in developing countries where resource constraints are pronounced and societal expectations are rising. In Nigeria, Ministries, Departments, and Agencies (MDAs) are entrusted with the critical function of converting public resources into tangible service outcomes that directly influence citizens’ welfare (</w:t>
      </w:r>
      <w:proofErr w:type="spellStart"/>
      <w:r w:rsidRPr="00E61A37">
        <w:rPr>
          <w:rFonts w:ascii="Times New Roman" w:hAnsi="Times New Roman" w:cs="Times New Roman"/>
        </w:rPr>
        <w:t>Mpolweni</w:t>
      </w:r>
      <w:proofErr w:type="spellEnd"/>
      <w:r w:rsidRPr="00E61A37">
        <w:rPr>
          <w:rFonts w:ascii="Times New Roman" w:hAnsi="Times New Roman" w:cs="Times New Roman"/>
        </w:rPr>
        <w:t xml:space="preserve"> et al., 2024). Despite sustained policy reforms to foster efficiency, experiences across Nigerian states</w:t>
      </w:r>
      <w:r w:rsidR="00051F63">
        <w:rPr>
          <w:rFonts w:ascii="Times New Roman" w:hAnsi="Times New Roman" w:cs="Times New Roman"/>
        </w:rPr>
        <w:t xml:space="preserve"> </w:t>
      </w:r>
      <w:r w:rsidRPr="00E61A37">
        <w:rPr>
          <w:rFonts w:ascii="Times New Roman" w:hAnsi="Times New Roman" w:cs="Times New Roman"/>
        </w:rPr>
        <w:t>including Ekiti State</w:t>
      </w:r>
      <w:r w:rsidR="00051F63">
        <w:rPr>
          <w:rFonts w:ascii="Times New Roman" w:hAnsi="Times New Roman" w:cs="Times New Roman"/>
        </w:rPr>
        <w:t xml:space="preserve"> </w:t>
      </w:r>
      <w:r w:rsidRPr="00E61A37">
        <w:rPr>
          <w:rFonts w:ascii="Times New Roman" w:hAnsi="Times New Roman" w:cs="Times New Roman"/>
        </w:rPr>
        <w:t xml:space="preserve">continue to reveal gaps in timeliness, </w:t>
      </w:r>
      <w:r w:rsidRPr="00E61A37">
        <w:rPr>
          <w:rFonts w:ascii="Times New Roman" w:hAnsi="Times New Roman" w:cs="Times New Roman"/>
        </w:rPr>
        <w:lastRenderedPageBreak/>
        <w:t>escalating costs, subpar service quality, and widespread citizen dissatisfaction (Musoke et al., 2025). These persistent inefficiencies endure even as governments adopt progressive frameworks such as integrated planning and budgeting practices (IPBP), pointing to governance or contextual challenges that existing reforms may not adequately address.</w:t>
      </w:r>
    </w:p>
    <w:p w14:paraId="3855BC16" w14:textId="77777777" w:rsidR="00E61A37" w:rsidRPr="00E61A37" w:rsidRDefault="00E61A37" w:rsidP="0035604E">
      <w:pPr>
        <w:jc w:val="both"/>
        <w:rPr>
          <w:rFonts w:ascii="Times New Roman" w:hAnsi="Times New Roman" w:cs="Times New Roman"/>
        </w:rPr>
      </w:pPr>
      <w:r w:rsidRPr="00E61A37">
        <w:rPr>
          <w:rFonts w:ascii="Times New Roman" w:hAnsi="Times New Roman" w:cs="Times New Roman"/>
        </w:rPr>
        <w:t xml:space="preserve">Integrated planning and budgeting are recognized globally as essential tools for optimizing resource allocation, aligning budgets with policy priorities, broadening stakeholder participation, and establishing robust monitoring and evaluation processes (Wanjiku &amp; Njuguna, 2024; </w:t>
      </w:r>
      <w:proofErr w:type="spellStart"/>
      <w:r w:rsidRPr="00E61A37">
        <w:rPr>
          <w:rFonts w:ascii="Times New Roman" w:hAnsi="Times New Roman" w:cs="Times New Roman"/>
        </w:rPr>
        <w:t>Lavhelani</w:t>
      </w:r>
      <w:proofErr w:type="spellEnd"/>
      <w:r w:rsidRPr="00E61A37">
        <w:rPr>
          <w:rFonts w:ascii="Times New Roman" w:hAnsi="Times New Roman" w:cs="Times New Roman"/>
        </w:rPr>
        <w:t xml:space="preserve"> </w:t>
      </w:r>
      <w:proofErr w:type="spellStart"/>
      <w:r w:rsidRPr="00E61A37">
        <w:rPr>
          <w:rFonts w:ascii="Times New Roman" w:hAnsi="Times New Roman" w:cs="Times New Roman"/>
        </w:rPr>
        <w:t>Kgobe</w:t>
      </w:r>
      <w:proofErr w:type="spellEnd"/>
      <w:r w:rsidRPr="00E61A37">
        <w:rPr>
          <w:rFonts w:ascii="Times New Roman" w:hAnsi="Times New Roman" w:cs="Times New Roman"/>
        </w:rPr>
        <w:t xml:space="preserve"> et al., 2024). Empirical studies from other African countries indicate that such integration reduces redundancies, enables better prioritization, and facilitates measurable improvements in public service outcomes (Asha &amp; </w:t>
      </w:r>
      <w:proofErr w:type="spellStart"/>
      <w:r w:rsidRPr="00E61A37">
        <w:rPr>
          <w:rFonts w:ascii="Times New Roman" w:hAnsi="Times New Roman" w:cs="Times New Roman"/>
        </w:rPr>
        <w:t>Makalela</w:t>
      </w:r>
      <w:proofErr w:type="spellEnd"/>
      <w:r w:rsidRPr="00E61A37">
        <w:rPr>
          <w:rFonts w:ascii="Times New Roman" w:hAnsi="Times New Roman" w:cs="Times New Roman"/>
        </w:rPr>
        <w:t xml:space="preserve">, 2020; </w:t>
      </w:r>
      <w:proofErr w:type="spellStart"/>
      <w:r w:rsidRPr="00E61A37">
        <w:rPr>
          <w:rFonts w:ascii="Times New Roman" w:hAnsi="Times New Roman" w:cs="Times New Roman"/>
        </w:rPr>
        <w:t>Ambetsa</w:t>
      </w:r>
      <w:proofErr w:type="spellEnd"/>
      <w:r w:rsidRPr="00E61A37">
        <w:rPr>
          <w:rFonts w:ascii="Times New Roman" w:hAnsi="Times New Roman" w:cs="Times New Roman"/>
        </w:rPr>
        <w:t xml:space="preserve"> et al., 2022). However, the evidence from Nigeria, particularly at sub-national ministry level, is limited and predominantly theoretical. In Ekiti State, persistent inefficiencies in public service across critical sectors point to challenges that cannot be wholly explained by technical integration alone (Ekiti State Public Finance Management Report, 2023), suggesting that organizational factors, such as governance systems, condition actual impact.</w:t>
      </w:r>
    </w:p>
    <w:p w14:paraId="4C1D7BDF" w14:textId="75B14630" w:rsidR="00E61A37" w:rsidRPr="00E61A37" w:rsidRDefault="00E61A37" w:rsidP="0035604E">
      <w:pPr>
        <w:jc w:val="both"/>
        <w:rPr>
          <w:rFonts w:ascii="Times New Roman" w:hAnsi="Times New Roman" w:cs="Times New Roman"/>
        </w:rPr>
      </w:pPr>
      <w:r w:rsidRPr="00E61A37">
        <w:rPr>
          <w:rFonts w:ascii="Times New Roman" w:hAnsi="Times New Roman" w:cs="Times New Roman"/>
        </w:rPr>
        <w:t xml:space="preserve">Much of the existing literature has examined planning and budget reforms or internal control mechanisms in isolation, rarely investigating their combined effects on service delivery efficiency within the Nigerian ministry context (Getachew Desalegn, 2026; </w:t>
      </w:r>
      <w:proofErr w:type="spellStart"/>
      <w:r w:rsidRPr="00E61A37">
        <w:rPr>
          <w:rFonts w:ascii="Times New Roman" w:hAnsi="Times New Roman" w:cs="Times New Roman"/>
        </w:rPr>
        <w:t>Mamokhere</w:t>
      </w:r>
      <w:proofErr w:type="spellEnd"/>
      <w:r w:rsidRPr="00E61A37">
        <w:rPr>
          <w:rFonts w:ascii="Times New Roman" w:hAnsi="Times New Roman" w:cs="Times New Roman"/>
        </w:rPr>
        <w:t>, 2023). Internal control systems</w:t>
      </w:r>
      <w:r w:rsidR="00051F63">
        <w:rPr>
          <w:rFonts w:ascii="Times New Roman" w:hAnsi="Times New Roman" w:cs="Times New Roman"/>
        </w:rPr>
        <w:t xml:space="preserve"> </w:t>
      </w:r>
      <w:r w:rsidRPr="00E61A37">
        <w:rPr>
          <w:rFonts w:ascii="Times New Roman" w:hAnsi="Times New Roman" w:cs="Times New Roman"/>
        </w:rPr>
        <w:t>comprising control environment, risk assessment, control activities, information and communication, and monitoring</w:t>
      </w:r>
      <w:r w:rsidR="00051F63">
        <w:rPr>
          <w:rFonts w:ascii="Times New Roman" w:hAnsi="Times New Roman" w:cs="Times New Roman"/>
        </w:rPr>
        <w:t xml:space="preserve"> </w:t>
      </w:r>
      <w:r w:rsidRPr="00E61A37">
        <w:rPr>
          <w:rFonts w:ascii="Times New Roman" w:hAnsi="Times New Roman" w:cs="Times New Roman"/>
        </w:rPr>
        <w:t>are recognized as vital to governance integrity and effective public financial management (</w:t>
      </w:r>
      <w:proofErr w:type="spellStart"/>
      <w:r w:rsidRPr="00E61A37">
        <w:rPr>
          <w:rFonts w:ascii="Times New Roman" w:hAnsi="Times New Roman" w:cs="Times New Roman"/>
        </w:rPr>
        <w:t>Mabi</w:t>
      </w:r>
      <w:proofErr w:type="spellEnd"/>
      <w:r w:rsidRPr="00E61A37">
        <w:rPr>
          <w:rFonts w:ascii="Times New Roman" w:hAnsi="Times New Roman" w:cs="Times New Roman"/>
        </w:rPr>
        <w:t xml:space="preserve"> &amp; </w:t>
      </w:r>
      <w:proofErr w:type="spellStart"/>
      <w:r w:rsidRPr="00E61A37">
        <w:rPr>
          <w:rFonts w:ascii="Times New Roman" w:hAnsi="Times New Roman" w:cs="Times New Roman"/>
        </w:rPr>
        <w:t>Buluma</w:t>
      </w:r>
      <w:proofErr w:type="spellEnd"/>
      <w:r w:rsidRPr="00E61A37">
        <w:rPr>
          <w:rFonts w:ascii="Times New Roman" w:hAnsi="Times New Roman" w:cs="Times New Roman"/>
        </w:rPr>
        <w:t xml:space="preserve">, 2024). Yet, their moderating influence on how IPBP are translated into improved service delivery remains largely unexplored, especially in Nigerian MDAs where such controls are formally mandated (Ndamase et al., 2025; Violina &amp; </w:t>
      </w:r>
      <w:proofErr w:type="spellStart"/>
      <w:r w:rsidRPr="00E61A37">
        <w:rPr>
          <w:rFonts w:ascii="Times New Roman" w:hAnsi="Times New Roman" w:cs="Times New Roman"/>
        </w:rPr>
        <w:t>Rachmawati</w:t>
      </w:r>
      <w:proofErr w:type="spellEnd"/>
      <w:r w:rsidRPr="00E61A37">
        <w:rPr>
          <w:rFonts w:ascii="Times New Roman" w:hAnsi="Times New Roman" w:cs="Times New Roman"/>
        </w:rPr>
        <w:t>, 2022).</w:t>
      </w:r>
    </w:p>
    <w:p w14:paraId="2225F8B9" w14:textId="70800C46" w:rsidR="00E61A37" w:rsidRPr="00E61A37" w:rsidRDefault="00E61A37" w:rsidP="0035604E">
      <w:pPr>
        <w:jc w:val="both"/>
        <w:rPr>
          <w:rFonts w:ascii="Times New Roman" w:hAnsi="Times New Roman" w:cs="Times New Roman"/>
        </w:rPr>
      </w:pPr>
      <w:r w:rsidRPr="00E61A37">
        <w:rPr>
          <w:rFonts w:ascii="Times New Roman" w:hAnsi="Times New Roman" w:cs="Times New Roman"/>
        </w:rPr>
        <w:t>Accordingly, this study seeks to address these gaps by empirically examining not only the direct impact of integrated planning and budgeting practices on service delivery efficiency in selected Ekiti State ministries, but also systematically investigating the moderating role of internal control systems in this relationship</w:t>
      </w:r>
      <w:r w:rsidR="00051F63">
        <w:rPr>
          <w:rFonts w:ascii="Times New Roman" w:hAnsi="Times New Roman" w:cs="Times New Roman"/>
        </w:rPr>
        <w:t xml:space="preserve"> </w:t>
      </w:r>
      <w:r w:rsidRPr="00E61A37">
        <w:rPr>
          <w:rFonts w:ascii="Times New Roman" w:hAnsi="Times New Roman" w:cs="Times New Roman"/>
        </w:rPr>
        <w:t>a combination that remains underexplored at the sub-national level in Nigeria.</w:t>
      </w:r>
    </w:p>
    <w:p w14:paraId="25C39B77" w14:textId="3E3B7E3E" w:rsidR="00E61A37" w:rsidRPr="00E61A37" w:rsidRDefault="00E61A37" w:rsidP="0035604E">
      <w:pPr>
        <w:jc w:val="both"/>
        <w:rPr>
          <w:rFonts w:ascii="Times New Roman" w:hAnsi="Times New Roman" w:cs="Times New Roman"/>
        </w:rPr>
      </w:pPr>
      <w:r w:rsidRPr="00E61A37">
        <w:rPr>
          <w:rFonts w:ascii="Times New Roman" w:hAnsi="Times New Roman" w:cs="Times New Roman"/>
        </w:rPr>
        <w:t>The main objective of this study is to determine the effect of integrated planning and budgeting practices on service delivery efficiency in selected Ekiti State ministries, and to assess the extent to which internal control systems moderate this effect. In pursuit of this overarching aim, the specific objectives are to</w:t>
      </w:r>
      <w:r w:rsidR="00614D89">
        <w:rPr>
          <w:rFonts w:ascii="Times New Roman" w:hAnsi="Times New Roman" w:cs="Times New Roman"/>
        </w:rPr>
        <w:t>;</w:t>
      </w:r>
    </w:p>
    <w:p w14:paraId="5C2FD7EE" w14:textId="09ECCC64" w:rsidR="00E61A37" w:rsidRPr="00E61A37" w:rsidRDefault="00614D89" w:rsidP="0035604E">
      <w:pPr>
        <w:numPr>
          <w:ilvl w:val="0"/>
          <w:numId w:val="2"/>
        </w:numPr>
        <w:jc w:val="both"/>
        <w:rPr>
          <w:rFonts w:ascii="Times New Roman" w:hAnsi="Times New Roman" w:cs="Times New Roman"/>
        </w:rPr>
      </w:pPr>
      <w:r>
        <w:rPr>
          <w:rFonts w:ascii="Times New Roman" w:hAnsi="Times New Roman" w:cs="Times New Roman"/>
        </w:rPr>
        <w:t>e</w:t>
      </w:r>
      <w:r w:rsidR="00E61A37" w:rsidRPr="00E61A37">
        <w:rPr>
          <w:rFonts w:ascii="Times New Roman" w:hAnsi="Times New Roman" w:cs="Times New Roman"/>
        </w:rPr>
        <w:t>xamine the influence of strategic planning integration on the service delivery</w:t>
      </w:r>
      <w:r>
        <w:rPr>
          <w:rFonts w:ascii="Times New Roman" w:hAnsi="Times New Roman" w:cs="Times New Roman"/>
        </w:rPr>
        <w:t xml:space="preserve"> efficiency</w:t>
      </w:r>
      <w:r w:rsidR="00E61A37" w:rsidRPr="00E61A37">
        <w:rPr>
          <w:rFonts w:ascii="Times New Roman" w:hAnsi="Times New Roman" w:cs="Times New Roman"/>
        </w:rPr>
        <w:t xml:space="preserve"> in Ekiti State ministries</w:t>
      </w:r>
      <w:r>
        <w:rPr>
          <w:rFonts w:ascii="Times New Roman" w:hAnsi="Times New Roman" w:cs="Times New Roman"/>
        </w:rPr>
        <w:t>;</w:t>
      </w:r>
    </w:p>
    <w:p w14:paraId="327BAC0A" w14:textId="6254C8A7" w:rsidR="00E61A37" w:rsidRPr="00E61A37" w:rsidRDefault="00614D89" w:rsidP="0035604E">
      <w:pPr>
        <w:numPr>
          <w:ilvl w:val="0"/>
          <w:numId w:val="2"/>
        </w:numPr>
        <w:jc w:val="both"/>
        <w:rPr>
          <w:rFonts w:ascii="Times New Roman" w:hAnsi="Times New Roman" w:cs="Times New Roman"/>
        </w:rPr>
      </w:pPr>
      <w:r>
        <w:rPr>
          <w:rFonts w:ascii="Times New Roman" w:hAnsi="Times New Roman" w:cs="Times New Roman"/>
        </w:rPr>
        <w:t>d</w:t>
      </w:r>
      <w:r w:rsidR="00E61A37" w:rsidRPr="00E61A37">
        <w:rPr>
          <w:rFonts w:ascii="Times New Roman" w:hAnsi="Times New Roman" w:cs="Times New Roman"/>
        </w:rPr>
        <w:t xml:space="preserve">etermine the effect of budget participation on </w:t>
      </w:r>
      <w:r w:rsidRPr="00E61A37">
        <w:rPr>
          <w:rFonts w:ascii="Times New Roman" w:hAnsi="Times New Roman" w:cs="Times New Roman"/>
        </w:rPr>
        <w:t>the service delivery</w:t>
      </w:r>
      <w:r>
        <w:rPr>
          <w:rFonts w:ascii="Times New Roman" w:hAnsi="Times New Roman" w:cs="Times New Roman"/>
        </w:rPr>
        <w:t xml:space="preserve"> efficiency</w:t>
      </w:r>
      <w:r w:rsidRPr="00E61A37">
        <w:rPr>
          <w:rFonts w:ascii="Times New Roman" w:hAnsi="Times New Roman" w:cs="Times New Roman"/>
        </w:rPr>
        <w:t xml:space="preserve"> in Ekiti State ministries</w:t>
      </w:r>
      <w:r>
        <w:rPr>
          <w:rFonts w:ascii="Times New Roman" w:hAnsi="Times New Roman" w:cs="Times New Roman"/>
        </w:rPr>
        <w:t>;</w:t>
      </w:r>
    </w:p>
    <w:p w14:paraId="4D83C8A9" w14:textId="1D0DC15F" w:rsidR="00E61A37" w:rsidRPr="00E61A37" w:rsidRDefault="00614D89" w:rsidP="0035604E">
      <w:pPr>
        <w:numPr>
          <w:ilvl w:val="0"/>
          <w:numId w:val="2"/>
        </w:numPr>
        <w:jc w:val="both"/>
        <w:rPr>
          <w:rFonts w:ascii="Times New Roman" w:hAnsi="Times New Roman" w:cs="Times New Roman"/>
        </w:rPr>
      </w:pPr>
      <w:r>
        <w:rPr>
          <w:rFonts w:ascii="Times New Roman" w:hAnsi="Times New Roman" w:cs="Times New Roman"/>
        </w:rPr>
        <w:lastRenderedPageBreak/>
        <w:t>e</w:t>
      </w:r>
      <w:r w:rsidR="00E61A37" w:rsidRPr="00E61A37">
        <w:rPr>
          <w:rFonts w:ascii="Times New Roman" w:hAnsi="Times New Roman" w:cs="Times New Roman"/>
        </w:rPr>
        <w:t xml:space="preserve">valuate the role of monitoring and evaluation systems </w:t>
      </w:r>
      <w:r w:rsidRPr="00E61A37">
        <w:rPr>
          <w:rFonts w:ascii="Times New Roman" w:hAnsi="Times New Roman" w:cs="Times New Roman"/>
        </w:rPr>
        <w:t>on the service delivery</w:t>
      </w:r>
      <w:r>
        <w:rPr>
          <w:rFonts w:ascii="Times New Roman" w:hAnsi="Times New Roman" w:cs="Times New Roman"/>
        </w:rPr>
        <w:t xml:space="preserve"> efficiency</w:t>
      </w:r>
      <w:r w:rsidRPr="00E61A37">
        <w:rPr>
          <w:rFonts w:ascii="Times New Roman" w:hAnsi="Times New Roman" w:cs="Times New Roman"/>
        </w:rPr>
        <w:t xml:space="preserve"> in Ekiti State ministries</w:t>
      </w:r>
      <w:r>
        <w:rPr>
          <w:rFonts w:ascii="Times New Roman" w:hAnsi="Times New Roman" w:cs="Times New Roman"/>
        </w:rPr>
        <w:t>; and</w:t>
      </w:r>
    </w:p>
    <w:p w14:paraId="53B5CABE" w14:textId="6E28C4C1" w:rsidR="00E61A37" w:rsidRPr="00E61A37" w:rsidRDefault="00614D89" w:rsidP="0035604E">
      <w:pPr>
        <w:numPr>
          <w:ilvl w:val="0"/>
          <w:numId w:val="2"/>
        </w:numPr>
        <w:jc w:val="both"/>
        <w:rPr>
          <w:rFonts w:ascii="Times New Roman" w:hAnsi="Times New Roman" w:cs="Times New Roman"/>
        </w:rPr>
      </w:pPr>
      <w:r>
        <w:rPr>
          <w:rFonts w:ascii="Times New Roman" w:hAnsi="Times New Roman" w:cs="Times New Roman"/>
        </w:rPr>
        <w:t>e</w:t>
      </w:r>
      <w:r w:rsidR="00E61A37" w:rsidRPr="00E61A37">
        <w:rPr>
          <w:rFonts w:ascii="Times New Roman" w:hAnsi="Times New Roman" w:cs="Times New Roman"/>
        </w:rPr>
        <w:t>xplore the direct effect of internal control systems</w:t>
      </w:r>
      <w:r w:rsidR="00051F63">
        <w:rPr>
          <w:rFonts w:ascii="Times New Roman" w:hAnsi="Times New Roman" w:cs="Times New Roman"/>
        </w:rPr>
        <w:t xml:space="preserve"> </w:t>
      </w:r>
      <w:r w:rsidRPr="00E61A37">
        <w:rPr>
          <w:rFonts w:ascii="Times New Roman" w:hAnsi="Times New Roman" w:cs="Times New Roman"/>
        </w:rPr>
        <w:t>on the service delivery</w:t>
      </w:r>
      <w:r>
        <w:rPr>
          <w:rFonts w:ascii="Times New Roman" w:hAnsi="Times New Roman" w:cs="Times New Roman"/>
        </w:rPr>
        <w:t xml:space="preserve"> efficiency</w:t>
      </w:r>
      <w:r w:rsidRPr="00E61A37">
        <w:rPr>
          <w:rFonts w:ascii="Times New Roman" w:hAnsi="Times New Roman" w:cs="Times New Roman"/>
        </w:rPr>
        <w:t xml:space="preserve"> in Ekiti State ministries.</w:t>
      </w:r>
    </w:p>
    <w:p w14:paraId="002FC294" w14:textId="77777777" w:rsidR="00E61A37" w:rsidRPr="00E61A37" w:rsidRDefault="00E61A37" w:rsidP="0035604E">
      <w:pPr>
        <w:jc w:val="both"/>
        <w:rPr>
          <w:rFonts w:ascii="Times New Roman" w:hAnsi="Times New Roman" w:cs="Times New Roman"/>
        </w:rPr>
      </w:pPr>
      <w:r w:rsidRPr="00E61A37">
        <w:rPr>
          <w:rFonts w:ascii="Times New Roman" w:hAnsi="Times New Roman" w:cs="Times New Roman"/>
        </w:rPr>
        <w:t>These objectives will guide the study towards providing a comprehensive understanding of how key dimensions of integrated planning and budgeting, together with robust internal controls, affect the efficiency and quality of public service delivery in Ekiti State. By doing so, the research aims to contribute policy-relevant, evidence-based insights for enhancing service delivery and public sector governance at the sub-national level in Nigeria.</w:t>
      </w:r>
    </w:p>
    <w:p w14:paraId="79CBADF7" w14:textId="1DD85732" w:rsidR="00E31F63" w:rsidRPr="00E31F63" w:rsidRDefault="000F7953" w:rsidP="0035604E">
      <w:pPr>
        <w:jc w:val="both"/>
        <w:rPr>
          <w:rFonts w:ascii="Times New Roman" w:hAnsi="Times New Roman" w:cs="Times New Roman"/>
          <w:b/>
          <w:bCs/>
        </w:rPr>
      </w:pPr>
      <w:r>
        <w:rPr>
          <w:rFonts w:ascii="Times New Roman" w:hAnsi="Times New Roman" w:cs="Times New Roman"/>
          <w:b/>
          <w:bCs/>
        </w:rPr>
        <w:t xml:space="preserve">2.0 </w:t>
      </w:r>
      <w:r w:rsidR="00E31F63" w:rsidRPr="00E31F63">
        <w:rPr>
          <w:rFonts w:ascii="Times New Roman" w:hAnsi="Times New Roman" w:cs="Times New Roman"/>
          <w:b/>
          <w:bCs/>
        </w:rPr>
        <w:t>Literature Review and Conceptual Foundation</w:t>
      </w:r>
    </w:p>
    <w:p w14:paraId="15DDC5DC" w14:textId="5CE68013" w:rsidR="00E31F63" w:rsidRPr="00E31F63" w:rsidRDefault="000F7953" w:rsidP="0035604E">
      <w:pPr>
        <w:jc w:val="both"/>
        <w:rPr>
          <w:rFonts w:ascii="Times New Roman" w:hAnsi="Times New Roman" w:cs="Times New Roman"/>
          <w:b/>
          <w:bCs/>
        </w:rPr>
      </w:pPr>
      <w:r>
        <w:rPr>
          <w:rFonts w:ascii="Times New Roman" w:hAnsi="Times New Roman" w:cs="Times New Roman"/>
          <w:b/>
          <w:bCs/>
        </w:rPr>
        <w:t xml:space="preserve">2.1 </w:t>
      </w:r>
      <w:r w:rsidR="00E31F63" w:rsidRPr="00E31F63">
        <w:rPr>
          <w:rFonts w:ascii="Times New Roman" w:hAnsi="Times New Roman" w:cs="Times New Roman"/>
          <w:b/>
          <w:bCs/>
        </w:rPr>
        <w:t>Conceptual Review</w:t>
      </w:r>
    </w:p>
    <w:p w14:paraId="77FC3666" w14:textId="6E6E6E89" w:rsidR="00E31F63" w:rsidRPr="00E31F63" w:rsidRDefault="000F7953" w:rsidP="0035604E">
      <w:pPr>
        <w:jc w:val="both"/>
        <w:rPr>
          <w:rFonts w:ascii="Times New Roman" w:hAnsi="Times New Roman" w:cs="Times New Roman"/>
          <w:b/>
          <w:bCs/>
        </w:rPr>
      </w:pPr>
      <w:r>
        <w:rPr>
          <w:rFonts w:ascii="Times New Roman" w:hAnsi="Times New Roman" w:cs="Times New Roman"/>
          <w:b/>
          <w:bCs/>
        </w:rPr>
        <w:t xml:space="preserve">2.1.1 </w:t>
      </w:r>
      <w:r w:rsidR="00E31F63" w:rsidRPr="00E31F63">
        <w:rPr>
          <w:rFonts w:ascii="Times New Roman" w:hAnsi="Times New Roman" w:cs="Times New Roman"/>
          <w:b/>
          <w:bCs/>
        </w:rPr>
        <w:t>Integrated Planning and Budgeting Practices (IPBP)</w:t>
      </w:r>
    </w:p>
    <w:p w14:paraId="2CD4A154" w14:textId="77777777" w:rsidR="002E67DA" w:rsidRPr="002E67DA" w:rsidRDefault="002E67DA" w:rsidP="0035604E">
      <w:pPr>
        <w:jc w:val="both"/>
        <w:rPr>
          <w:rFonts w:ascii="Times New Roman" w:hAnsi="Times New Roman" w:cs="Times New Roman"/>
        </w:rPr>
      </w:pPr>
      <w:r w:rsidRPr="002E67DA">
        <w:rPr>
          <w:rFonts w:ascii="Times New Roman" w:hAnsi="Times New Roman" w:cs="Times New Roman"/>
        </w:rPr>
        <w:t>Integrated planning and budgeting practices (IPBP) in the public sector denote the deliberate alignment of an organization’s strategic objectives, resource allocation, and implementation processes to promote effective and efficient public service delivery. Unlike traditional approaches that treat planning and budgeting as independent or sequential exercises, IPBP promotes their interconnection, encouraging coherence, inclusivity, and accountability throughout the public financial management cycle (</w:t>
      </w:r>
      <w:proofErr w:type="spellStart"/>
      <w:r w:rsidRPr="002E67DA">
        <w:rPr>
          <w:rFonts w:ascii="Times New Roman" w:hAnsi="Times New Roman" w:cs="Times New Roman"/>
        </w:rPr>
        <w:t>Mpolweni</w:t>
      </w:r>
      <w:proofErr w:type="spellEnd"/>
      <w:r w:rsidRPr="002E67DA">
        <w:rPr>
          <w:rFonts w:ascii="Times New Roman" w:hAnsi="Times New Roman" w:cs="Times New Roman"/>
        </w:rPr>
        <w:t xml:space="preserve"> et al., 2024; Wanjiku &amp; Njuguna, 2024).</w:t>
      </w:r>
    </w:p>
    <w:p w14:paraId="743DE0C4" w14:textId="77777777" w:rsidR="002E67DA" w:rsidRPr="002E67DA" w:rsidRDefault="002E67DA" w:rsidP="0035604E">
      <w:pPr>
        <w:jc w:val="both"/>
        <w:rPr>
          <w:rFonts w:ascii="Times New Roman" w:hAnsi="Times New Roman" w:cs="Times New Roman"/>
        </w:rPr>
      </w:pPr>
      <w:r w:rsidRPr="002E67DA">
        <w:rPr>
          <w:rFonts w:ascii="Times New Roman" w:hAnsi="Times New Roman" w:cs="Times New Roman"/>
        </w:rPr>
        <w:t>This study centers on three core dimensions of IPBP:</w:t>
      </w:r>
    </w:p>
    <w:p w14:paraId="04E4A376" w14:textId="77777777" w:rsidR="002E67DA" w:rsidRPr="002E67DA" w:rsidRDefault="002E67DA" w:rsidP="0035604E">
      <w:pPr>
        <w:ind w:left="720"/>
        <w:jc w:val="both"/>
        <w:rPr>
          <w:rFonts w:ascii="Times New Roman" w:hAnsi="Times New Roman" w:cs="Times New Roman"/>
        </w:rPr>
      </w:pPr>
      <w:r w:rsidRPr="002E67DA">
        <w:rPr>
          <w:rFonts w:ascii="Times New Roman" w:hAnsi="Times New Roman" w:cs="Times New Roman"/>
          <w:b/>
          <w:bCs/>
        </w:rPr>
        <w:t>Strategic Planning Integration:</w:t>
      </w:r>
      <w:r w:rsidRPr="002E67DA">
        <w:rPr>
          <w:rFonts w:ascii="Times New Roman" w:hAnsi="Times New Roman" w:cs="Times New Roman"/>
        </w:rPr>
        <w:t> This dimension reflects the extent to which long-term vision, sectoral strategies, and organizational goals are systematically incorporated into annual or medium-term budget frameworks. Its essence is to ensure that spending decisions are guided by carefully articulated priorities, thereby maximizing resource utility and linking budget outlays directly to development outcomes (</w:t>
      </w:r>
      <w:proofErr w:type="spellStart"/>
      <w:r w:rsidRPr="002E67DA">
        <w:rPr>
          <w:rFonts w:ascii="Times New Roman" w:hAnsi="Times New Roman" w:cs="Times New Roman"/>
        </w:rPr>
        <w:t>Ambetsa</w:t>
      </w:r>
      <w:proofErr w:type="spellEnd"/>
      <w:r w:rsidRPr="002E67DA">
        <w:rPr>
          <w:rFonts w:ascii="Times New Roman" w:hAnsi="Times New Roman" w:cs="Times New Roman"/>
        </w:rPr>
        <w:t xml:space="preserve"> et al., 2022; Asha &amp; </w:t>
      </w:r>
      <w:proofErr w:type="spellStart"/>
      <w:r w:rsidRPr="002E67DA">
        <w:rPr>
          <w:rFonts w:ascii="Times New Roman" w:hAnsi="Times New Roman" w:cs="Times New Roman"/>
        </w:rPr>
        <w:t>Makalela</w:t>
      </w:r>
      <w:proofErr w:type="spellEnd"/>
      <w:r w:rsidRPr="002E67DA">
        <w:rPr>
          <w:rFonts w:ascii="Times New Roman" w:hAnsi="Times New Roman" w:cs="Times New Roman"/>
        </w:rPr>
        <w:t>, 2020).</w:t>
      </w:r>
    </w:p>
    <w:p w14:paraId="525F9AD7" w14:textId="3F012E2F" w:rsidR="002E67DA" w:rsidRPr="002E67DA" w:rsidRDefault="002E67DA" w:rsidP="0035604E">
      <w:pPr>
        <w:ind w:left="720"/>
        <w:jc w:val="both"/>
        <w:rPr>
          <w:rFonts w:ascii="Times New Roman" w:hAnsi="Times New Roman" w:cs="Times New Roman"/>
        </w:rPr>
      </w:pPr>
      <w:r w:rsidRPr="002E67DA">
        <w:rPr>
          <w:rFonts w:ascii="Times New Roman" w:hAnsi="Times New Roman" w:cs="Times New Roman"/>
          <w:b/>
          <w:bCs/>
        </w:rPr>
        <w:t>Budget Participation:</w:t>
      </w:r>
      <w:r w:rsidRPr="002E67DA">
        <w:rPr>
          <w:rFonts w:ascii="Times New Roman" w:hAnsi="Times New Roman" w:cs="Times New Roman"/>
        </w:rPr>
        <w:t> Budget participation highlights the involvement of key stakeholders</w:t>
      </w:r>
      <w:r w:rsidR="00051F63">
        <w:rPr>
          <w:rFonts w:ascii="Times New Roman" w:hAnsi="Times New Roman" w:cs="Times New Roman"/>
        </w:rPr>
        <w:t xml:space="preserve"> </w:t>
      </w:r>
      <w:r w:rsidRPr="002E67DA">
        <w:rPr>
          <w:rFonts w:ascii="Times New Roman" w:hAnsi="Times New Roman" w:cs="Times New Roman"/>
        </w:rPr>
        <w:t>including departmental heads, unit managers, and sometimes civil society</w:t>
      </w:r>
      <w:r w:rsidR="00051F63">
        <w:rPr>
          <w:rFonts w:ascii="Times New Roman" w:hAnsi="Times New Roman" w:cs="Times New Roman"/>
        </w:rPr>
        <w:t xml:space="preserve"> </w:t>
      </w:r>
      <w:r w:rsidRPr="002E67DA">
        <w:rPr>
          <w:rFonts w:ascii="Times New Roman" w:hAnsi="Times New Roman" w:cs="Times New Roman"/>
        </w:rPr>
        <w:t>in the budgeting process. Broad participation is widely regarded as vital for generating ownership, securing implementation commitment, and capturing a greater diversity of insights, which fosters realistic, equitable, and context-responsive budgets (</w:t>
      </w:r>
      <w:proofErr w:type="spellStart"/>
      <w:r w:rsidRPr="002E67DA">
        <w:rPr>
          <w:rFonts w:ascii="Times New Roman" w:hAnsi="Times New Roman" w:cs="Times New Roman"/>
        </w:rPr>
        <w:t>Lavhelani</w:t>
      </w:r>
      <w:proofErr w:type="spellEnd"/>
      <w:r w:rsidRPr="002E67DA">
        <w:rPr>
          <w:rFonts w:ascii="Times New Roman" w:hAnsi="Times New Roman" w:cs="Times New Roman"/>
        </w:rPr>
        <w:t xml:space="preserve"> </w:t>
      </w:r>
      <w:proofErr w:type="spellStart"/>
      <w:r w:rsidRPr="002E67DA">
        <w:rPr>
          <w:rFonts w:ascii="Times New Roman" w:hAnsi="Times New Roman" w:cs="Times New Roman"/>
        </w:rPr>
        <w:t>Kgobe</w:t>
      </w:r>
      <w:proofErr w:type="spellEnd"/>
      <w:r w:rsidRPr="002E67DA">
        <w:rPr>
          <w:rFonts w:ascii="Times New Roman" w:hAnsi="Times New Roman" w:cs="Times New Roman"/>
        </w:rPr>
        <w:t xml:space="preserve"> et al., 2024; </w:t>
      </w:r>
      <w:proofErr w:type="spellStart"/>
      <w:r w:rsidRPr="002E67DA">
        <w:rPr>
          <w:rFonts w:ascii="Times New Roman" w:hAnsi="Times New Roman" w:cs="Times New Roman"/>
        </w:rPr>
        <w:t>Mpolweni</w:t>
      </w:r>
      <w:proofErr w:type="spellEnd"/>
      <w:r w:rsidRPr="002E67DA">
        <w:rPr>
          <w:rFonts w:ascii="Times New Roman" w:hAnsi="Times New Roman" w:cs="Times New Roman"/>
        </w:rPr>
        <w:t xml:space="preserve"> et al., 2024).</w:t>
      </w:r>
    </w:p>
    <w:p w14:paraId="38C4140E" w14:textId="77777777" w:rsidR="002E67DA" w:rsidRPr="002E67DA" w:rsidRDefault="002E67DA" w:rsidP="0035604E">
      <w:pPr>
        <w:ind w:left="720"/>
        <w:jc w:val="both"/>
        <w:rPr>
          <w:rFonts w:ascii="Times New Roman" w:hAnsi="Times New Roman" w:cs="Times New Roman"/>
        </w:rPr>
      </w:pPr>
      <w:r w:rsidRPr="002E67DA">
        <w:rPr>
          <w:rFonts w:ascii="Times New Roman" w:hAnsi="Times New Roman" w:cs="Times New Roman"/>
          <w:b/>
          <w:bCs/>
        </w:rPr>
        <w:t>Monitoring and Evaluation Systems:</w:t>
      </w:r>
      <w:r w:rsidRPr="002E67DA">
        <w:rPr>
          <w:rFonts w:ascii="Times New Roman" w:hAnsi="Times New Roman" w:cs="Times New Roman"/>
        </w:rPr>
        <w:t> Regular monitoring and systematic evaluation serve as feedback mechanisms for both planning and budgeting. Robust monitoring and evaluation enable organizations to track implementation progress, identify deviations from plans, and use data to inform future decisions. This dimension ensures that the planning–</w:t>
      </w:r>
      <w:r w:rsidRPr="002E67DA">
        <w:rPr>
          <w:rFonts w:ascii="Times New Roman" w:hAnsi="Times New Roman" w:cs="Times New Roman"/>
        </w:rPr>
        <w:lastRenderedPageBreak/>
        <w:t>budgeting cycle is iterative and evidence-based, enhancing accountability for results (Wanjiku &amp; Njuguna, 2024).</w:t>
      </w:r>
    </w:p>
    <w:p w14:paraId="2B982E3C" w14:textId="5FD1AE51" w:rsidR="00E31F63" w:rsidRPr="00E31F63" w:rsidRDefault="000F7953" w:rsidP="0035604E">
      <w:pPr>
        <w:jc w:val="both"/>
        <w:rPr>
          <w:rFonts w:ascii="Times New Roman" w:hAnsi="Times New Roman" w:cs="Times New Roman"/>
          <w:b/>
          <w:bCs/>
        </w:rPr>
      </w:pPr>
      <w:r>
        <w:rPr>
          <w:rFonts w:ascii="Times New Roman" w:hAnsi="Times New Roman" w:cs="Times New Roman"/>
          <w:b/>
          <w:bCs/>
        </w:rPr>
        <w:t xml:space="preserve">2.1.2 </w:t>
      </w:r>
      <w:r w:rsidR="00E31F63" w:rsidRPr="00E31F63">
        <w:rPr>
          <w:rFonts w:ascii="Times New Roman" w:hAnsi="Times New Roman" w:cs="Times New Roman"/>
          <w:b/>
          <w:bCs/>
        </w:rPr>
        <w:t>Service Delivery Efficiency (SDE)</w:t>
      </w:r>
    </w:p>
    <w:p w14:paraId="08327F54" w14:textId="28C160CA" w:rsidR="00E31F63" w:rsidRPr="00E31F63" w:rsidRDefault="00E31F63" w:rsidP="0035604E">
      <w:pPr>
        <w:jc w:val="both"/>
        <w:rPr>
          <w:rFonts w:ascii="Times New Roman" w:hAnsi="Times New Roman" w:cs="Times New Roman"/>
        </w:rPr>
      </w:pPr>
      <w:r w:rsidRPr="00E31F63">
        <w:rPr>
          <w:rFonts w:ascii="Times New Roman" w:hAnsi="Times New Roman" w:cs="Times New Roman"/>
        </w:rPr>
        <w:t>Service delivery efficiency (SDE) captures the extent to which public organizations produce desired outputs and outcomes</w:t>
      </w:r>
      <w:r w:rsidR="00051F63">
        <w:rPr>
          <w:rFonts w:ascii="Times New Roman" w:hAnsi="Times New Roman" w:cs="Times New Roman"/>
        </w:rPr>
        <w:t xml:space="preserve"> </w:t>
      </w:r>
      <w:r w:rsidRPr="00E31F63">
        <w:rPr>
          <w:rFonts w:ascii="Times New Roman" w:hAnsi="Times New Roman" w:cs="Times New Roman"/>
        </w:rPr>
        <w:t>such as infrastructure, healthcare, education, administrative services</w:t>
      </w:r>
      <w:r w:rsidR="00051F63">
        <w:rPr>
          <w:rFonts w:ascii="Times New Roman" w:hAnsi="Times New Roman" w:cs="Times New Roman"/>
        </w:rPr>
        <w:t xml:space="preserve"> </w:t>
      </w:r>
      <w:r w:rsidRPr="00E31F63">
        <w:rPr>
          <w:rFonts w:ascii="Times New Roman" w:hAnsi="Times New Roman" w:cs="Times New Roman"/>
        </w:rPr>
        <w:t>using available resources optimally and in a manner that satisfies public expectations. SDE is conceptualized through indicators such as timeliness of service delivery, cost efficiency, quality of public services, and levels of citizen satisfaction (Musoke et al., 2025; Dlamini et al., 2020).</w:t>
      </w:r>
    </w:p>
    <w:p w14:paraId="144B7097" w14:textId="77777777" w:rsidR="00E31F63" w:rsidRPr="00E31F63" w:rsidRDefault="00E31F63" w:rsidP="0035604E">
      <w:pPr>
        <w:jc w:val="both"/>
        <w:rPr>
          <w:rFonts w:ascii="Times New Roman" w:hAnsi="Times New Roman" w:cs="Times New Roman"/>
        </w:rPr>
      </w:pPr>
      <w:r w:rsidRPr="00E31F63">
        <w:rPr>
          <w:rFonts w:ascii="Times New Roman" w:hAnsi="Times New Roman" w:cs="Times New Roman"/>
        </w:rPr>
        <w:t xml:space="preserve">In the public sector, efficiency is not only a function of input-output ratios but also encompasses responsiveness to citizens and consistency with established public policy goals (Getachew Desalegn, 2026; </w:t>
      </w:r>
      <w:proofErr w:type="spellStart"/>
      <w:r w:rsidRPr="00E31F63">
        <w:rPr>
          <w:rFonts w:ascii="Times New Roman" w:hAnsi="Times New Roman" w:cs="Times New Roman"/>
        </w:rPr>
        <w:t>Mamokhere</w:t>
      </w:r>
      <w:proofErr w:type="spellEnd"/>
      <w:r w:rsidRPr="00E31F63">
        <w:rPr>
          <w:rFonts w:ascii="Times New Roman" w:hAnsi="Times New Roman" w:cs="Times New Roman"/>
        </w:rPr>
        <w:t>, 2023). Multiple studies contend that improved service delivery efficiency requires coherent strategies, adequate resources, and an enabling governance structure (</w:t>
      </w:r>
      <w:proofErr w:type="spellStart"/>
      <w:r w:rsidRPr="00E31F63">
        <w:rPr>
          <w:rFonts w:ascii="Times New Roman" w:hAnsi="Times New Roman" w:cs="Times New Roman"/>
        </w:rPr>
        <w:t>Ambetsa</w:t>
      </w:r>
      <w:proofErr w:type="spellEnd"/>
      <w:r w:rsidRPr="00E31F63">
        <w:rPr>
          <w:rFonts w:ascii="Times New Roman" w:hAnsi="Times New Roman" w:cs="Times New Roman"/>
        </w:rPr>
        <w:t xml:space="preserve"> et al., 2022). In the Nigerian context, however, service delivery is often hampered by bureaucratic bottlenecks, capacity gaps, and frequent misalignment between planning, budgeting, and execution (Ekiti State Public Finance Management Report, 2023).</w:t>
      </w:r>
    </w:p>
    <w:p w14:paraId="2D2B17BD" w14:textId="18C4171F" w:rsidR="00E31F63" w:rsidRPr="00E31F63" w:rsidRDefault="000F7953" w:rsidP="0035604E">
      <w:pPr>
        <w:jc w:val="both"/>
        <w:rPr>
          <w:rFonts w:ascii="Times New Roman" w:hAnsi="Times New Roman" w:cs="Times New Roman"/>
          <w:b/>
          <w:bCs/>
        </w:rPr>
      </w:pPr>
      <w:r>
        <w:rPr>
          <w:rFonts w:ascii="Times New Roman" w:hAnsi="Times New Roman" w:cs="Times New Roman"/>
          <w:b/>
          <w:bCs/>
        </w:rPr>
        <w:t xml:space="preserve">2.1.3 </w:t>
      </w:r>
      <w:r w:rsidR="00E31F63" w:rsidRPr="00E31F63">
        <w:rPr>
          <w:rFonts w:ascii="Times New Roman" w:hAnsi="Times New Roman" w:cs="Times New Roman"/>
          <w:b/>
          <w:bCs/>
        </w:rPr>
        <w:t>Internal Control Systems (ICS)</w:t>
      </w:r>
    </w:p>
    <w:p w14:paraId="693A810E" w14:textId="77777777" w:rsidR="00E31F63" w:rsidRPr="00E31F63" w:rsidRDefault="00E31F63" w:rsidP="0035604E">
      <w:pPr>
        <w:jc w:val="both"/>
        <w:rPr>
          <w:rFonts w:ascii="Times New Roman" w:hAnsi="Times New Roman" w:cs="Times New Roman"/>
        </w:rPr>
      </w:pPr>
      <w:r w:rsidRPr="00E31F63">
        <w:rPr>
          <w:rFonts w:ascii="Times New Roman" w:hAnsi="Times New Roman" w:cs="Times New Roman"/>
        </w:rPr>
        <w:t>Internal control systems (ICS) refer to a framework of policies, procedures, and activities designed to provide reasonable assurance that organizational objectives will be achieved, assets safeguarded, and financial reporting conducted reliably. Standard dimensions of ICS include the control environment (organizational culture, ethical values, and governance structure), risk assessment (identifying and managing risks), control activities (procedures and checks), information and communication flows, and monitoring (ongoing review and improvement) (</w:t>
      </w:r>
      <w:proofErr w:type="spellStart"/>
      <w:r w:rsidRPr="00E31F63">
        <w:rPr>
          <w:rFonts w:ascii="Times New Roman" w:hAnsi="Times New Roman" w:cs="Times New Roman"/>
        </w:rPr>
        <w:t>Mabi</w:t>
      </w:r>
      <w:proofErr w:type="spellEnd"/>
      <w:r w:rsidRPr="00E31F63">
        <w:rPr>
          <w:rFonts w:ascii="Times New Roman" w:hAnsi="Times New Roman" w:cs="Times New Roman"/>
        </w:rPr>
        <w:t xml:space="preserve"> &amp; </w:t>
      </w:r>
      <w:proofErr w:type="spellStart"/>
      <w:r w:rsidRPr="00E31F63">
        <w:rPr>
          <w:rFonts w:ascii="Times New Roman" w:hAnsi="Times New Roman" w:cs="Times New Roman"/>
        </w:rPr>
        <w:t>Buluma</w:t>
      </w:r>
      <w:proofErr w:type="spellEnd"/>
      <w:r w:rsidRPr="00E31F63">
        <w:rPr>
          <w:rFonts w:ascii="Times New Roman" w:hAnsi="Times New Roman" w:cs="Times New Roman"/>
        </w:rPr>
        <w:t xml:space="preserve">, 2024; Violina &amp; </w:t>
      </w:r>
      <w:proofErr w:type="spellStart"/>
      <w:r w:rsidRPr="00E31F63">
        <w:rPr>
          <w:rFonts w:ascii="Times New Roman" w:hAnsi="Times New Roman" w:cs="Times New Roman"/>
        </w:rPr>
        <w:t>Rachmawati</w:t>
      </w:r>
      <w:proofErr w:type="spellEnd"/>
      <w:r w:rsidRPr="00E31F63">
        <w:rPr>
          <w:rFonts w:ascii="Times New Roman" w:hAnsi="Times New Roman" w:cs="Times New Roman"/>
        </w:rPr>
        <w:t>, 2022).</w:t>
      </w:r>
    </w:p>
    <w:p w14:paraId="0475D64C" w14:textId="77777777" w:rsidR="00E31F63" w:rsidRPr="00E31F63" w:rsidRDefault="00E31F63" w:rsidP="0035604E">
      <w:pPr>
        <w:jc w:val="both"/>
        <w:rPr>
          <w:rFonts w:ascii="Times New Roman" w:hAnsi="Times New Roman" w:cs="Times New Roman"/>
        </w:rPr>
      </w:pPr>
      <w:r w:rsidRPr="00E31F63">
        <w:rPr>
          <w:rFonts w:ascii="Times New Roman" w:hAnsi="Times New Roman" w:cs="Times New Roman"/>
        </w:rPr>
        <w:t>ICS play a critical role in ensuring that public funds are used appropriately, that fraud and error are minimized, and that organizational processes are transparent and accountable (Ndamase et al., 2025). Studies from both developed and developing countries assert that robust internal control systems enhance compliance with budgetary processes, facilitate effective performance monitoring, and ultimately improve organizational efficiency (</w:t>
      </w:r>
      <w:proofErr w:type="spellStart"/>
      <w:r w:rsidRPr="00E31F63">
        <w:rPr>
          <w:rFonts w:ascii="Times New Roman" w:hAnsi="Times New Roman" w:cs="Times New Roman"/>
        </w:rPr>
        <w:t>Appah</w:t>
      </w:r>
      <w:proofErr w:type="spellEnd"/>
      <w:r w:rsidRPr="00E31F63">
        <w:rPr>
          <w:rFonts w:ascii="Times New Roman" w:hAnsi="Times New Roman" w:cs="Times New Roman"/>
        </w:rPr>
        <w:t xml:space="preserve"> &amp; </w:t>
      </w:r>
      <w:proofErr w:type="spellStart"/>
      <w:r w:rsidRPr="00E31F63">
        <w:rPr>
          <w:rFonts w:ascii="Times New Roman" w:hAnsi="Times New Roman" w:cs="Times New Roman"/>
        </w:rPr>
        <w:t>Ayabina</w:t>
      </w:r>
      <w:proofErr w:type="spellEnd"/>
      <w:r w:rsidRPr="00E31F63">
        <w:rPr>
          <w:rFonts w:ascii="Times New Roman" w:hAnsi="Times New Roman" w:cs="Times New Roman"/>
        </w:rPr>
        <w:t xml:space="preserve">, 2025; </w:t>
      </w:r>
      <w:proofErr w:type="spellStart"/>
      <w:r w:rsidRPr="00E31F63">
        <w:rPr>
          <w:rFonts w:ascii="Times New Roman" w:hAnsi="Times New Roman" w:cs="Times New Roman"/>
        </w:rPr>
        <w:t>Mabi</w:t>
      </w:r>
      <w:proofErr w:type="spellEnd"/>
      <w:r w:rsidRPr="00E31F63">
        <w:rPr>
          <w:rFonts w:ascii="Times New Roman" w:hAnsi="Times New Roman" w:cs="Times New Roman"/>
        </w:rPr>
        <w:t xml:space="preserve"> &amp; </w:t>
      </w:r>
      <w:proofErr w:type="spellStart"/>
      <w:r w:rsidRPr="00E31F63">
        <w:rPr>
          <w:rFonts w:ascii="Times New Roman" w:hAnsi="Times New Roman" w:cs="Times New Roman"/>
        </w:rPr>
        <w:t>Buluma</w:t>
      </w:r>
      <w:proofErr w:type="spellEnd"/>
      <w:r w:rsidRPr="00E31F63">
        <w:rPr>
          <w:rFonts w:ascii="Times New Roman" w:hAnsi="Times New Roman" w:cs="Times New Roman"/>
        </w:rPr>
        <w:t>, 2024). In Nigeria, the statutory establishment of internal audit units in MDAs reflects formal recognition of this role, though practical implementation varies significantly across sectors and states (Ekiti State Public Finance Management Report, 2023).</w:t>
      </w:r>
    </w:p>
    <w:p w14:paraId="37AADDC7" w14:textId="51CB520A" w:rsidR="00E31F63" w:rsidRPr="00E31F63" w:rsidRDefault="000F7953" w:rsidP="0035604E">
      <w:pPr>
        <w:jc w:val="both"/>
        <w:rPr>
          <w:rFonts w:ascii="Times New Roman" w:hAnsi="Times New Roman" w:cs="Times New Roman"/>
          <w:b/>
          <w:bCs/>
        </w:rPr>
      </w:pPr>
      <w:r>
        <w:rPr>
          <w:rFonts w:ascii="Times New Roman" w:hAnsi="Times New Roman" w:cs="Times New Roman"/>
          <w:b/>
          <w:bCs/>
        </w:rPr>
        <w:t xml:space="preserve">2.1.4 </w:t>
      </w:r>
      <w:r w:rsidR="00E31F63" w:rsidRPr="00E31F63">
        <w:rPr>
          <w:rFonts w:ascii="Times New Roman" w:hAnsi="Times New Roman" w:cs="Times New Roman"/>
          <w:b/>
          <w:bCs/>
        </w:rPr>
        <w:t>Linkages among IPBP, ICS, and SDE</w:t>
      </w:r>
    </w:p>
    <w:p w14:paraId="310AEFAA" w14:textId="77777777" w:rsidR="00E31F63" w:rsidRPr="00E31F63" w:rsidRDefault="00E31F63" w:rsidP="0035604E">
      <w:pPr>
        <w:jc w:val="both"/>
        <w:rPr>
          <w:rFonts w:ascii="Times New Roman" w:hAnsi="Times New Roman" w:cs="Times New Roman"/>
        </w:rPr>
      </w:pPr>
      <w:r w:rsidRPr="00E31F63">
        <w:rPr>
          <w:rFonts w:ascii="Times New Roman" w:hAnsi="Times New Roman" w:cs="Times New Roman"/>
        </w:rPr>
        <w:t xml:space="preserve">Theoretical and empirical literature increasingly recognizes that the effectiveness of integrated planning and budgeting in driving service delivery efficiency may depend on the quality of internal control systems present within public sector organizations (Violina &amp; </w:t>
      </w:r>
      <w:proofErr w:type="spellStart"/>
      <w:r w:rsidRPr="00E31F63">
        <w:rPr>
          <w:rFonts w:ascii="Times New Roman" w:hAnsi="Times New Roman" w:cs="Times New Roman"/>
        </w:rPr>
        <w:t>Rachmawati</w:t>
      </w:r>
      <w:proofErr w:type="spellEnd"/>
      <w:r w:rsidRPr="00E31F63">
        <w:rPr>
          <w:rFonts w:ascii="Times New Roman" w:hAnsi="Times New Roman" w:cs="Times New Roman"/>
        </w:rPr>
        <w:t xml:space="preserve">, 2022; </w:t>
      </w:r>
      <w:proofErr w:type="spellStart"/>
      <w:r w:rsidRPr="00E31F63">
        <w:rPr>
          <w:rFonts w:ascii="Times New Roman" w:hAnsi="Times New Roman" w:cs="Times New Roman"/>
        </w:rPr>
        <w:t>Appah</w:t>
      </w:r>
      <w:proofErr w:type="spellEnd"/>
      <w:r w:rsidRPr="00E31F63">
        <w:rPr>
          <w:rFonts w:ascii="Times New Roman" w:hAnsi="Times New Roman" w:cs="Times New Roman"/>
        </w:rPr>
        <w:t xml:space="preserve"> &amp; </w:t>
      </w:r>
      <w:proofErr w:type="spellStart"/>
      <w:r w:rsidRPr="00E31F63">
        <w:rPr>
          <w:rFonts w:ascii="Times New Roman" w:hAnsi="Times New Roman" w:cs="Times New Roman"/>
        </w:rPr>
        <w:t>Ayabina</w:t>
      </w:r>
      <w:proofErr w:type="spellEnd"/>
      <w:r w:rsidRPr="00E31F63">
        <w:rPr>
          <w:rFonts w:ascii="Times New Roman" w:hAnsi="Times New Roman" w:cs="Times New Roman"/>
        </w:rPr>
        <w:t xml:space="preserve">, 2025). While IPBP alone can provide the structure for aligning resources with </w:t>
      </w:r>
      <w:r w:rsidRPr="00E31F63">
        <w:rPr>
          <w:rFonts w:ascii="Times New Roman" w:hAnsi="Times New Roman" w:cs="Times New Roman"/>
        </w:rPr>
        <w:lastRenderedPageBreak/>
        <w:t>objectives, weak internal controls can lead to leakages, poor implementation, and diminished outcomes. Conversely, strong internal controls can reinforce the positive effects of IPBP by ensuring procedural discipline and timely corrective actions (Ndamase et al., 2025).</w:t>
      </w:r>
    </w:p>
    <w:p w14:paraId="0B991478" w14:textId="080317FE" w:rsidR="00E31F63" w:rsidRPr="00E31F63" w:rsidRDefault="00E31F63" w:rsidP="0035604E">
      <w:pPr>
        <w:jc w:val="both"/>
        <w:rPr>
          <w:rFonts w:ascii="Times New Roman" w:hAnsi="Times New Roman" w:cs="Times New Roman"/>
        </w:rPr>
      </w:pPr>
      <w:r w:rsidRPr="00E31F63">
        <w:rPr>
          <w:rFonts w:ascii="Times New Roman" w:hAnsi="Times New Roman" w:cs="Times New Roman"/>
        </w:rPr>
        <w:t>Despite conceptual arguments for the mutually reinforcing roles of IPBP and ICS, empirical evidence</w:t>
      </w:r>
      <w:r w:rsidR="00051F63">
        <w:rPr>
          <w:rFonts w:ascii="Times New Roman" w:hAnsi="Times New Roman" w:cs="Times New Roman"/>
        </w:rPr>
        <w:t xml:space="preserve"> </w:t>
      </w:r>
      <w:r w:rsidRPr="00E31F63">
        <w:rPr>
          <w:rFonts w:ascii="Times New Roman" w:hAnsi="Times New Roman" w:cs="Times New Roman"/>
        </w:rPr>
        <w:t>especially from sub-national MDAs in Nigeria</w:t>
      </w:r>
      <w:r w:rsidR="00051F63">
        <w:rPr>
          <w:rFonts w:ascii="Times New Roman" w:hAnsi="Times New Roman" w:cs="Times New Roman"/>
        </w:rPr>
        <w:t xml:space="preserve"> </w:t>
      </w:r>
      <w:r w:rsidRPr="00E31F63">
        <w:rPr>
          <w:rFonts w:ascii="Times New Roman" w:hAnsi="Times New Roman" w:cs="Times New Roman"/>
        </w:rPr>
        <w:t>is sparse. Most existing studies have explored these variables either separately or outside the ministry context. There is limited understanding of how ICS may moderate the impact of IPBP on service delivery efficiency, representing a crucial gap that this study seeks to address.</w:t>
      </w:r>
    </w:p>
    <w:p w14:paraId="1C63143D" w14:textId="6F2A734D" w:rsidR="00E31F63" w:rsidRPr="00E31F63" w:rsidRDefault="000F7953" w:rsidP="0035604E">
      <w:pPr>
        <w:jc w:val="both"/>
        <w:rPr>
          <w:rFonts w:ascii="Times New Roman" w:hAnsi="Times New Roman" w:cs="Times New Roman"/>
          <w:b/>
          <w:bCs/>
        </w:rPr>
      </w:pPr>
      <w:r>
        <w:rPr>
          <w:rFonts w:ascii="Times New Roman" w:hAnsi="Times New Roman" w:cs="Times New Roman"/>
          <w:b/>
          <w:bCs/>
        </w:rPr>
        <w:t xml:space="preserve">2.2 </w:t>
      </w:r>
      <w:r w:rsidR="00E31F63" w:rsidRPr="00E31F63">
        <w:rPr>
          <w:rFonts w:ascii="Times New Roman" w:hAnsi="Times New Roman" w:cs="Times New Roman"/>
          <w:b/>
          <w:bCs/>
        </w:rPr>
        <w:t>Empirical Review</w:t>
      </w:r>
    </w:p>
    <w:p w14:paraId="200C181E" w14:textId="77777777" w:rsidR="00E31F63" w:rsidRPr="00E31F63" w:rsidRDefault="00E31F63" w:rsidP="0035604E">
      <w:pPr>
        <w:jc w:val="both"/>
        <w:rPr>
          <w:rFonts w:ascii="Times New Roman" w:hAnsi="Times New Roman" w:cs="Times New Roman"/>
        </w:rPr>
      </w:pPr>
      <w:r w:rsidRPr="00E31F63">
        <w:rPr>
          <w:rFonts w:ascii="Times New Roman" w:hAnsi="Times New Roman" w:cs="Times New Roman"/>
        </w:rPr>
        <w:t xml:space="preserve">Recent scholarship across Africa and other developing regions has emphasized the operational benefits of integrating planning and budgeting for improving public service delivery. For example, Wanjiku and Njuguna (2024) find in their study of Kenya Power that integrating strategic planning into budgeting processes enhances timeliness and citizen satisfaction in service delivery. Similarly, </w:t>
      </w:r>
      <w:proofErr w:type="spellStart"/>
      <w:r w:rsidRPr="00E31F63">
        <w:rPr>
          <w:rFonts w:ascii="Times New Roman" w:hAnsi="Times New Roman" w:cs="Times New Roman"/>
        </w:rPr>
        <w:t>Lavhelani</w:t>
      </w:r>
      <w:proofErr w:type="spellEnd"/>
      <w:r w:rsidRPr="00E31F63">
        <w:rPr>
          <w:rFonts w:ascii="Times New Roman" w:hAnsi="Times New Roman" w:cs="Times New Roman"/>
        </w:rPr>
        <w:t xml:space="preserve"> </w:t>
      </w:r>
      <w:proofErr w:type="spellStart"/>
      <w:r w:rsidRPr="00E31F63">
        <w:rPr>
          <w:rFonts w:ascii="Times New Roman" w:hAnsi="Times New Roman" w:cs="Times New Roman"/>
        </w:rPr>
        <w:t>Kgobe</w:t>
      </w:r>
      <w:proofErr w:type="spellEnd"/>
      <w:r w:rsidRPr="00E31F63">
        <w:rPr>
          <w:rFonts w:ascii="Times New Roman" w:hAnsi="Times New Roman" w:cs="Times New Roman"/>
        </w:rPr>
        <w:t xml:space="preserve"> et al. (2024) report that participatory planning and budget alignment are positively correlated with improved public service outputs in South African municipalities. </w:t>
      </w:r>
      <w:proofErr w:type="spellStart"/>
      <w:r w:rsidRPr="00E31F63">
        <w:rPr>
          <w:rFonts w:ascii="Times New Roman" w:hAnsi="Times New Roman" w:cs="Times New Roman"/>
        </w:rPr>
        <w:t>Ambetsa</w:t>
      </w:r>
      <w:proofErr w:type="spellEnd"/>
      <w:r w:rsidRPr="00E31F63">
        <w:rPr>
          <w:rFonts w:ascii="Times New Roman" w:hAnsi="Times New Roman" w:cs="Times New Roman"/>
        </w:rPr>
        <w:t xml:space="preserve"> et al. (2022), in the water sector of Kakamega County, Kenya, highlight that structured monitoring and feedback loops, as part of integrated practices, reduce project delays and cost overruns.</w:t>
      </w:r>
    </w:p>
    <w:p w14:paraId="0B05F3F8" w14:textId="43199BB7" w:rsidR="00E31F63" w:rsidRPr="00E31F63" w:rsidRDefault="00E31F63" w:rsidP="0035604E">
      <w:pPr>
        <w:jc w:val="both"/>
        <w:rPr>
          <w:rFonts w:ascii="Times New Roman" w:hAnsi="Times New Roman" w:cs="Times New Roman"/>
        </w:rPr>
      </w:pPr>
      <w:r w:rsidRPr="00E31F63">
        <w:rPr>
          <w:rFonts w:ascii="Times New Roman" w:hAnsi="Times New Roman" w:cs="Times New Roman"/>
        </w:rPr>
        <w:t xml:space="preserve">In the Nigerian context, however, empirical work specifically connecting integrated planning and budgeting practices to tangible service delivery outcomes remains limited. Studies by Karama et al. (2024) and Getachew Desalegn (2026) acknowledge positive associations between planning reforms and service uptake but often neglect intermediary governance variables such as internal controls. </w:t>
      </w:r>
      <w:proofErr w:type="spellStart"/>
      <w:r w:rsidRPr="00E31F63">
        <w:rPr>
          <w:rFonts w:ascii="Times New Roman" w:hAnsi="Times New Roman" w:cs="Times New Roman"/>
        </w:rPr>
        <w:t>Fayo</w:t>
      </w:r>
      <w:proofErr w:type="spellEnd"/>
      <w:r w:rsidRPr="00E31F63">
        <w:rPr>
          <w:rFonts w:ascii="Times New Roman" w:hAnsi="Times New Roman" w:cs="Times New Roman"/>
        </w:rPr>
        <w:t xml:space="preserve"> and </w:t>
      </w:r>
      <w:proofErr w:type="spellStart"/>
      <w:r w:rsidRPr="00E31F63">
        <w:rPr>
          <w:rFonts w:ascii="Times New Roman" w:hAnsi="Times New Roman" w:cs="Times New Roman"/>
        </w:rPr>
        <w:t>Obuba</w:t>
      </w:r>
      <w:proofErr w:type="spellEnd"/>
      <w:r w:rsidRPr="00E31F63">
        <w:rPr>
          <w:rFonts w:ascii="Times New Roman" w:hAnsi="Times New Roman" w:cs="Times New Roman"/>
        </w:rPr>
        <w:t xml:space="preserve"> (2025) point out that while integrated approaches have been implemented in selected judicial and health sector MDAs, improvements in efficiency are contingent upon effective checks and transparency</w:t>
      </w:r>
      <w:r w:rsidR="00051F63">
        <w:rPr>
          <w:rFonts w:ascii="Times New Roman" w:hAnsi="Times New Roman" w:cs="Times New Roman"/>
        </w:rPr>
        <w:t xml:space="preserve"> </w:t>
      </w:r>
      <w:r w:rsidRPr="00E31F63">
        <w:rPr>
          <w:rFonts w:ascii="Times New Roman" w:hAnsi="Times New Roman" w:cs="Times New Roman"/>
        </w:rPr>
        <w:t>suggesting a latent role for internal governance systems.</w:t>
      </w:r>
    </w:p>
    <w:p w14:paraId="7E6D25FD" w14:textId="77777777" w:rsidR="00E31F63" w:rsidRPr="00E31F63" w:rsidRDefault="00E31F63" w:rsidP="0035604E">
      <w:pPr>
        <w:jc w:val="both"/>
        <w:rPr>
          <w:rFonts w:ascii="Times New Roman" w:hAnsi="Times New Roman" w:cs="Times New Roman"/>
        </w:rPr>
      </w:pPr>
      <w:r w:rsidRPr="00E31F63">
        <w:rPr>
          <w:rFonts w:ascii="Times New Roman" w:hAnsi="Times New Roman" w:cs="Times New Roman"/>
        </w:rPr>
        <w:t xml:space="preserve">Research on internal control systems (ICS) in public institutions reveals their critical function in supporting overall organizational performance. </w:t>
      </w:r>
      <w:proofErr w:type="spellStart"/>
      <w:r w:rsidRPr="00E31F63">
        <w:rPr>
          <w:rFonts w:ascii="Times New Roman" w:hAnsi="Times New Roman" w:cs="Times New Roman"/>
        </w:rPr>
        <w:t>Mabi</w:t>
      </w:r>
      <w:proofErr w:type="spellEnd"/>
      <w:r w:rsidRPr="00E31F63">
        <w:rPr>
          <w:rFonts w:ascii="Times New Roman" w:hAnsi="Times New Roman" w:cs="Times New Roman"/>
        </w:rPr>
        <w:t xml:space="preserve"> and </w:t>
      </w:r>
      <w:proofErr w:type="spellStart"/>
      <w:r w:rsidRPr="00E31F63">
        <w:rPr>
          <w:rFonts w:ascii="Times New Roman" w:hAnsi="Times New Roman" w:cs="Times New Roman"/>
        </w:rPr>
        <w:t>Buluma</w:t>
      </w:r>
      <w:proofErr w:type="spellEnd"/>
      <w:r w:rsidRPr="00E31F63">
        <w:rPr>
          <w:rFonts w:ascii="Times New Roman" w:hAnsi="Times New Roman" w:cs="Times New Roman"/>
        </w:rPr>
        <w:t xml:space="preserve"> (2024) and </w:t>
      </w:r>
      <w:proofErr w:type="spellStart"/>
      <w:r w:rsidRPr="00E31F63">
        <w:rPr>
          <w:rFonts w:ascii="Times New Roman" w:hAnsi="Times New Roman" w:cs="Times New Roman"/>
        </w:rPr>
        <w:t>Appah</w:t>
      </w:r>
      <w:proofErr w:type="spellEnd"/>
      <w:r w:rsidRPr="00E31F63">
        <w:rPr>
          <w:rFonts w:ascii="Times New Roman" w:hAnsi="Times New Roman" w:cs="Times New Roman"/>
        </w:rPr>
        <w:t xml:space="preserve"> and </w:t>
      </w:r>
      <w:proofErr w:type="spellStart"/>
      <w:r w:rsidRPr="00E31F63">
        <w:rPr>
          <w:rFonts w:ascii="Times New Roman" w:hAnsi="Times New Roman" w:cs="Times New Roman"/>
        </w:rPr>
        <w:t>Ayabina</w:t>
      </w:r>
      <w:proofErr w:type="spellEnd"/>
      <w:r w:rsidRPr="00E31F63">
        <w:rPr>
          <w:rFonts w:ascii="Times New Roman" w:hAnsi="Times New Roman" w:cs="Times New Roman"/>
        </w:rPr>
        <w:t xml:space="preserve"> (2025) demonstrate, in Nigerian and South African educational and financial institutions, that strong internal controls are associated with better project completion rates, efficient use of resources, and enhanced staff accountability. Violina and </w:t>
      </w:r>
      <w:proofErr w:type="spellStart"/>
      <w:r w:rsidRPr="00E31F63">
        <w:rPr>
          <w:rFonts w:ascii="Times New Roman" w:hAnsi="Times New Roman" w:cs="Times New Roman"/>
        </w:rPr>
        <w:t>Rachmawati</w:t>
      </w:r>
      <w:proofErr w:type="spellEnd"/>
      <w:r w:rsidRPr="00E31F63">
        <w:rPr>
          <w:rFonts w:ascii="Times New Roman" w:hAnsi="Times New Roman" w:cs="Times New Roman"/>
        </w:rPr>
        <w:t xml:space="preserve"> (2022), studying Indonesian local government, empirically establish a moderating effect of internal control system quality on the relationship between budgeting practices and organizational performance.</w:t>
      </w:r>
    </w:p>
    <w:p w14:paraId="3C576441" w14:textId="77777777" w:rsidR="00E31F63" w:rsidRPr="00E31F63" w:rsidRDefault="00E31F63" w:rsidP="0035604E">
      <w:pPr>
        <w:jc w:val="both"/>
        <w:rPr>
          <w:rFonts w:ascii="Times New Roman" w:hAnsi="Times New Roman" w:cs="Times New Roman"/>
        </w:rPr>
      </w:pPr>
      <w:r w:rsidRPr="00E31F63">
        <w:rPr>
          <w:rFonts w:ascii="Times New Roman" w:hAnsi="Times New Roman" w:cs="Times New Roman"/>
        </w:rPr>
        <w:t xml:space="preserve">Nonetheless, gaps remain. Many prior studies assess IPBP and ICS in isolation, and rarely in the context of Nigerian state ministries responsible for core developmental functions. Even where links between planning-budgeting and service outcomes are observed, the systemic influence of organizational controls is either overlooked or insufficiently quantified. This creates a disconnect </w:t>
      </w:r>
      <w:r w:rsidRPr="00E31F63">
        <w:rPr>
          <w:rFonts w:ascii="Times New Roman" w:hAnsi="Times New Roman" w:cs="Times New Roman"/>
        </w:rPr>
        <w:lastRenderedPageBreak/>
        <w:t>between theory and practice, particularly on how ministries can best structure their systems for optimal efficiency in service delivery.</w:t>
      </w:r>
    </w:p>
    <w:p w14:paraId="63DDB3DC" w14:textId="6B4590CA" w:rsidR="00E31F63" w:rsidRPr="00E31F63" w:rsidRDefault="000F7953" w:rsidP="0035604E">
      <w:pPr>
        <w:jc w:val="both"/>
        <w:rPr>
          <w:rFonts w:ascii="Times New Roman" w:hAnsi="Times New Roman" w:cs="Times New Roman"/>
          <w:b/>
          <w:bCs/>
        </w:rPr>
      </w:pPr>
      <w:r>
        <w:rPr>
          <w:rFonts w:ascii="Times New Roman" w:hAnsi="Times New Roman" w:cs="Times New Roman"/>
          <w:b/>
          <w:bCs/>
        </w:rPr>
        <w:t xml:space="preserve">2.3 </w:t>
      </w:r>
      <w:r w:rsidR="00E31F63" w:rsidRPr="00E31F63">
        <w:rPr>
          <w:rFonts w:ascii="Times New Roman" w:hAnsi="Times New Roman" w:cs="Times New Roman"/>
          <w:b/>
          <w:bCs/>
        </w:rPr>
        <w:t>Theoretical Foundation</w:t>
      </w:r>
    </w:p>
    <w:p w14:paraId="4B49EB45" w14:textId="2DBC8711" w:rsidR="00E31F63" w:rsidRPr="00E31F63" w:rsidRDefault="00E31F63" w:rsidP="0035604E">
      <w:pPr>
        <w:jc w:val="both"/>
        <w:rPr>
          <w:rFonts w:ascii="Times New Roman" w:hAnsi="Times New Roman" w:cs="Times New Roman"/>
        </w:rPr>
      </w:pPr>
      <w:r w:rsidRPr="00E31F63">
        <w:rPr>
          <w:rFonts w:ascii="Times New Roman" w:hAnsi="Times New Roman" w:cs="Times New Roman"/>
        </w:rPr>
        <w:t>Thi</w:t>
      </w:r>
      <w:r w:rsidRPr="000F7953">
        <w:rPr>
          <w:rFonts w:ascii="Times New Roman" w:hAnsi="Times New Roman" w:cs="Times New Roman"/>
        </w:rPr>
        <w:t>s study is anchored primarily in the New Public Management (NPM) paradigm, a dominant theo</w:t>
      </w:r>
      <w:r w:rsidRPr="00E31F63">
        <w:rPr>
          <w:rFonts w:ascii="Times New Roman" w:hAnsi="Times New Roman" w:cs="Times New Roman"/>
        </w:rPr>
        <w:t>retical framework in public administration since the late twentieth century. NPM advocates for the transformation of public sector organizations through the adoption of market-oriented management techniques, increased emphasis on results, and heightened accountability for outcomes (Hood, 1991; Osborne, 2006). Central to the NPM philosophy is the belief that public organizations can achieve higher levels of efficiency and responsiveness by emulating practices from the private sector</w:t>
      </w:r>
      <w:r w:rsidR="00051F63">
        <w:rPr>
          <w:rFonts w:ascii="Times New Roman" w:hAnsi="Times New Roman" w:cs="Times New Roman"/>
        </w:rPr>
        <w:t xml:space="preserve"> </w:t>
      </w:r>
      <w:r w:rsidRPr="00E31F63">
        <w:rPr>
          <w:rFonts w:ascii="Times New Roman" w:hAnsi="Times New Roman" w:cs="Times New Roman"/>
        </w:rPr>
        <w:t>particularly those focused on resource optimization, strategic alignment, and continuous performance monitoring (Dunleavy &amp; Hood, 1994).</w:t>
      </w:r>
    </w:p>
    <w:p w14:paraId="6DD38291" w14:textId="094F8594" w:rsidR="00E31F63" w:rsidRPr="00E31F63" w:rsidRDefault="00E31F63" w:rsidP="0035604E">
      <w:pPr>
        <w:jc w:val="both"/>
        <w:rPr>
          <w:rFonts w:ascii="Times New Roman" w:hAnsi="Times New Roman" w:cs="Times New Roman"/>
        </w:rPr>
      </w:pPr>
      <w:r w:rsidRPr="00E31F63">
        <w:rPr>
          <w:rFonts w:ascii="Times New Roman" w:hAnsi="Times New Roman" w:cs="Times New Roman"/>
        </w:rPr>
        <w:t>Within the NPM paradigm, the integration of planning and budgeting embodies a move away from fragmented, input-driven systems towards holistic, outcome-oriented management. By insisting on the alignment of strategic objectives with budget allocation and embedding regular evaluation mechanisms, NPM-driven reforms aim to ensure that public funds are deployed in ways that demonstrably enhance service delivery outcomes (Wanjiku &amp; Njuguna, 2024). Moreover, NPM explicitly recognizes the necessity for transparency and data-driven decision-making in minimizing waste and maximizing public value</w:t>
      </w:r>
      <w:r w:rsidR="00051F63">
        <w:rPr>
          <w:rFonts w:ascii="Times New Roman" w:hAnsi="Times New Roman" w:cs="Times New Roman"/>
        </w:rPr>
        <w:t xml:space="preserve"> </w:t>
      </w:r>
      <w:r w:rsidRPr="00E31F63">
        <w:rPr>
          <w:rFonts w:ascii="Times New Roman" w:hAnsi="Times New Roman" w:cs="Times New Roman"/>
        </w:rPr>
        <w:t>a logic that underpins the inclusion of monitoring and evaluation as core dimensions of integrated planning and budgeting (</w:t>
      </w:r>
      <w:proofErr w:type="spellStart"/>
      <w:r w:rsidRPr="00E31F63">
        <w:rPr>
          <w:rFonts w:ascii="Times New Roman" w:hAnsi="Times New Roman" w:cs="Times New Roman"/>
        </w:rPr>
        <w:t>Lavhelani</w:t>
      </w:r>
      <w:proofErr w:type="spellEnd"/>
      <w:r w:rsidRPr="00E31F63">
        <w:rPr>
          <w:rFonts w:ascii="Times New Roman" w:hAnsi="Times New Roman" w:cs="Times New Roman"/>
        </w:rPr>
        <w:t xml:space="preserve"> </w:t>
      </w:r>
      <w:proofErr w:type="spellStart"/>
      <w:r w:rsidRPr="00E31F63">
        <w:rPr>
          <w:rFonts w:ascii="Times New Roman" w:hAnsi="Times New Roman" w:cs="Times New Roman"/>
        </w:rPr>
        <w:t>Kgobe</w:t>
      </w:r>
      <w:proofErr w:type="spellEnd"/>
      <w:r w:rsidRPr="00E31F63">
        <w:rPr>
          <w:rFonts w:ascii="Times New Roman" w:hAnsi="Times New Roman" w:cs="Times New Roman"/>
        </w:rPr>
        <w:t xml:space="preserve"> et al., 2024).</w:t>
      </w:r>
    </w:p>
    <w:p w14:paraId="6644DFF9" w14:textId="72CE576F" w:rsidR="00E31F63" w:rsidRPr="00E31F63" w:rsidRDefault="00E31F63" w:rsidP="0035604E">
      <w:pPr>
        <w:jc w:val="both"/>
        <w:rPr>
          <w:rFonts w:ascii="Times New Roman" w:hAnsi="Times New Roman" w:cs="Times New Roman"/>
        </w:rPr>
      </w:pPr>
      <w:r w:rsidRPr="00E31F63">
        <w:rPr>
          <w:rFonts w:ascii="Times New Roman" w:hAnsi="Times New Roman" w:cs="Times New Roman"/>
        </w:rPr>
        <w:t>Accountability is another cornerstone of NPM, which is operationalized in contemporary public administration through the design and enforcement of robust internal control systems. Controls such as audit units, risk management frameworks, and internal performance reviews are not merely bureaucratic checks, but instruments to assure stakeholders</w:t>
      </w:r>
      <w:r w:rsidR="00051F63">
        <w:rPr>
          <w:rFonts w:ascii="Times New Roman" w:hAnsi="Times New Roman" w:cs="Times New Roman"/>
        </w:rPr>
        <w:t xml:space="preserve"> </w:t>
      </w:r>
      <w:r w:rsidRPr="00E31F63">
        <w:rPr>
          <w:rFonts w:ascii="Times New Roman" w:hAnsi="Times New Roman" w:cs="Times New Roman"/>
        </w:rPr>
        <w:t>both within and outside government</w:t>
      </w:r>
      <w:r w:rsidR="00051F63">
        <w:rPr>
          <w:rFonts w:ascii="Times New Roman" w:hAnsi="Times New Roman" w:cs="Times New Roman"/>
        </w:rPr>
        <w:t xml:space="preserve"> </w:t>
      </w:r>
      <w:r w:rsidRPr="00E31F63">
        <w:rPr>
          <w:rFonts w:ascii="Times New Roman" w:hAnsi="Times New Roman" w:cs="Times New Roman"/>
        </w:rPr>
        <w:t>that resources are being managed efficiently, policy objectives are being pursued effectively, and deviations are promptly corrected (</w:t>
      </w:r>
      <w:proofErr w:type="spellStart"/>
      <w:r w:rsidRPr="00E31F63">
        <w:rPr>
          <w:rFonts w:ascii="Times New Roman" w:hAnsi="Times New Roman" w:cs="Times New Roman"/>
        </w:rPr>
        <w:t>Mabi</w:t>
      </w:r>
      <w:proofErr w:type="spellEnd"/>
      <w:r w:rsidRPr="00E31F63">
        <w:rPr>
          <w:rFonts w:ascii="Times New Roman" w:hAnsi="Times New Roman" w:cs="Times New Roman"/>
        </w:rPr>
        <w:t xml:space="preserve"> &amp; </w:t>
      </w:r>
      <w:proofErr w:type="spellStart"/>
      <w:r w:rsidRPr="00E31F63">
        <w:rPr>
          <w:rFonts w:ascii="Times New Roman" w:hAnsi="Times New Roman" w:cs="Times New Roman"/>
        </w:rPr>
        <w:t>Buluma</w:t>
      </w:r>
      <w:proofErr w:type="spellEnd"/>
      <w:r w:rsidRPr="00E31F63">
        <w:rPr>
          <w:rFonts w:ascii="Times New Roman" w:hAnsi="Times New Roman" w:cs="Times New Roman"/>
        </w:rPr>
        <w:t>, 2024). In the context of Nigerian state MDAs, the NPM framework thus provides a clear rationale for why reforms targeting both integrated planning/budgeting and internal controls are legitimate levers for improving service delivery efficiency.</w:t>
      </w:r>
    </w:p>
    <w:p w14:paraId="7B51317D" w14:textId="593E5381" w:rsidR="00E31F63" w:rsidRPr="00E31F63" w:rsidRDefault="00E31F63" w:rsidP="0035604E">
      <w:pPr>
        <w:jc w:val="both"/>
        <w:rPr>
          <w:rFonts w:ascii="Times New Roman" w:hAnsi="Times New Roman" w:cs="Times New Roman"/>
        </w:rPr>
      </w:pPr>
      <w:r w:rsidRPr="00E31F63">
        <w:rPr>
          <w:rFonts w:ascii="Times New Roman" w:hAnsi="Times New Roman" w:cs="Times New Roman"/>
        </w:rPr>
        <w:t>In a</w:t>
      </w:r>
      <w:r w:rsidRPr="000F7953">
        <w:rPr>
          <w:rFonts w:ascii="Times New Roman" w:hAnsi="Times New Roman" w:cs="Times New Roman"/>
        </w:rPr>
        <w:t>ddition to the NPM paradigm, this study is informed by the Resource-Based View (RBV) of org</w:t>
      </w:r>
      <w:r w:rsidRPr="00E31F63">
        <w:rPr>
          <w:rFonts w:ascii="Times New Roman" w:hAnsi="Times New Roman" w:cs="Times New Roman"/>
        </w:rPr>
        <w:t>anizations</w:t>
      </w:r>
      <w:r w:rsidR="00051F63">
        <w:rPr>
          <w:rFonts w:ascii="Times New Roman" w:hAnsi="Times New Roman" w:cs="Times New Roman"/>
        </w:rPr>
        <w:t xml:space="preserve"> </w:t>
      </w:r>
      <w:r w:rsidRPr="00E31F63">
        <w:rPr>
          <w:rFonts w:ascii="Times New Roman" w:hAnsi="Times New Roman" w:cs="Times New Roman"/>
        </w:rPr>
        <w:t>a theoretical lens from strategic management literature that explains organizational performance in terms of internal capabilities and resources (Barney, 1991; Wernerfelt, 1984). Under the RBV, not all organizations possess the same ability to achieve high performance, even when following similar policy prescriptions; rather, it is the unique configuration of competencies, systems, and routines that creates sustained competitive advantage. Applied to the public sector, RBV treats management practices</w:t>
      </w:r>
      <w:r w:rsidR="00051F63">
        <w:rPr>
          <w:rFonts w:ascii="Times New Roman" w:hAnsi="Times New Roman" w:cs="Times New Roman"/>
        </w:rPr>
        <w:t xml:space="preserve"> </w:t>
      </w:r>
      <w:r w:rsidRPr="00E31F63">
        <w:rPr>
          <w:rFonts w:ascii="Times New Roman" w:hAnsi="Times New Roman" w:cs="Times New Roman"/>
        </w:rPr>
        <w:t>such as the effective integration of planning and budgeting</w:t>
      </w:r>
      <w:r w:rsidR="00051F63">
        <w:rPr>
          <w:rFonts w:ascii="Times New Roman" w:hAnsi="Times New Roman" w:cs="Times New Roman"/>
        </w:rPr>
        <w:t xml:space="preserve"> </w:t>
      </w:r>
      <w:r w:rsidRPr="00E31F63">
        <w:rPr>
          <w:rFonts w:ascii="Times New Roman" w:hAnsi="Times New Roman" w:cs="Times New Roman"/>
        </w:rPr>
        <w:t xml:space="preserve">as strategic resources that can lead to superior organizational outcomes (Violina &amp; </w:t>
      </w:r>
      <w:proofErr w:type="spellStart"/>
      <w:r w:rsidRPr="00E31F63">
        <w:rPr>
          <w:rFonts w:ascii="Times New Roman" w:hAnsi="Times New Roman" w:cs="Times New Roman"/>
        </w:rPr>
        <w:t>Rachmawati</w:t>
      </w:r>
      <w:proofErr w:type="spellEnd"/>
      <w:r w:rsidRPr="00E31F63">
        <w:rPr>
          <w:rFonts w:ascii="Times New Roman" w:hAnsi="Times New Roman" w:cs="Times New Roman"/>
        </w:rPr>
        <w:t>, 2022).</w:t>
      </w:r>
    </w:p>
    <w:p w14:paraId="74E48709" w14:textId="03243BFE" w:rsidR="00E31F63" w:rsidRPr="00E31F63" w:rsidRDefault="00E31F63" w:rsidP="0035604E">
      <w:pPr>
        <w:jc w:val="both"/>
        <w:rPr>
          <w:rFonts w:ascii="Times New Roman" w:hAnsi="Times New Roman" w:cs="Times New Roman"/>
        </w:rPr>
      </w:pPr>
      <w:r w:rsidRPr="00E31F63">
        <w:rPr>
          <w:rFonts w:ascii="Times New Roman" w:hAnsi="Times New Roman" w:cs="Times New Roman"/>
        </w:rPr>
        <w:lastRenderedPageBreak/>
        <w:t>Crucially, RBV emphasizes that the effectiveness of such practices is contingent on complementary organizational infrastructure, most notably strong internal control systems. In the present study, integrated planning and budgeting practices function as value-creating routines, providing a structure for consistent and coherent resource management. However, unless these are supported by a sound internal control environment</w:t>
      </w:r>
      <w:r w:rsidR="00051F63">
        <w:rPr>
          <w:rFonts w:ascii="Times New Roman" w:hAnsi="Times New Roman" w:cs="Times New Roman"/>
        </w:rPr>
        <w:t xml:space="preserve"> </w:t>
      </w:r>
      <w:r w:rsidRPr="00E31F63">
        <w:rPr>
          <w:rFonts w:ascii="Times New Roman" w:hAnsi="Times New Roman" w:cs="Times New Roman"/>
        </w:rPr>
        <w:t>including rigorous risk assessment, control activities, and performance monitoring</w:t>
      </w:r>
      <w:r w:rsidR="00051F63">
        <w:rPr>
          <w:rFonts w:ascii="Times New Roman" w:hAnsi="Times New Roman" w:cs="Times New Roman"/>
        </w:rPr>
        <w:t xml:space="preserve"> </w:t>
      </w:r>
      <w:r w:rsidRPr="00E31F63">
        <w:rPr>
          <w:rFonts w:ascii="Times New Roman" w:hAnsi="Times New Roman" w:cs="Times New Roman"/>
        </w:rPr>
        <w:t>their potential benefits may be eroded by inefficiencies, misappropriation, or implementation failures (</w:t>
      </w:r>
      <w:proofErr w:type="spellStart"/>
      <w:r w:rsidRPr="00E31F63">
        <w:rPr>
          <w:rFonts w:ascii="Times New Roman" w:hAnsi="Times New Roman" w:cs="Times New Roman"/>
        </w:rPr>
        <w:t>Appah</w:t>
      </w:r>
      <w:proofErr w:type="spellEnd"/>
      <w:r w:rsidRPr="00E31F63">
        <w:rPr>
          <w:rFonts w:ascii="Times New Roman" w:hAnsi="Times New Roman" w:cs="Times New Roman"/>
        </w:rPr>
        <w:t xml:space="preserve"> &amp; </w:t>
      </w:r>
      <w:proofErr w:type="spellStart"/>
      <w:r w:rsidRPr="00E31F63">
        <w:rPr>
          <w:rFonts w:ascii="Times New Roman" w:hAnsi="Times New Roman" w:cs="Times New Roman"/>
        </w:rPr>
        <w:t>Ayabina</w:t>
      </w:r>
      <w:proofErr w:type="spellEnd"/>
      <w:r w:rsidRPr="00E31F63">
        <w:rPr>
          <w:rFonts w:ascii="Times New Roman" w:hAnsi="Times New Roman" w:cs="Times New Roman"/>
        </w:rPr>
        <w:t>, 2025). This perspective underscores the argument that internal control systems act as a critical moderator, enhancing or diminishing the impact of IPBP on service delivery outcomes.</w:t>
      </w:r>
    </w:p>
    <w:p w14:paraId="7E1D6392" w14:textId="3F77197B" w:rsidR="00E31F63" w:rsidRPr="00E31F63" w:rsidRDefault="00E31F63" w:rsidP="0035604E">
      <w:pPr>
        <w:jc w:val="both"/>
        <w:rPr>
          <w:rFonts w:ascii="Times New Roman" w:hAnsi="Times New Roman" w:cs="Times New Roman"/>
        </w:rPr>
      </w:pPr>
      <w:r w:rsidRPr="00E31F63">
        <w:rPr>
          <w:rFonts w:ascii="Times New Roman" w:hAnsi="Times New Roman" w:cs="Times New Roman"/>
        </w:rPr>
        <w:t>By combining insights from NPM and RBV, this study conceptualizes service delivery efficiency in Ekiti State MDAs not as a product of reforms in isolation, but as an emergent property of aligned strategies, integrated management routines, and a robust governance infrastructure. Together, these theories support the investigation of both the direct effects of integrated planning and budgeting practices and the conditional (moderating) role of internal control systems</w:t>
      </w:r>
      <w:r w:rsidR="00051F63">
        <w:rPr>
          <w:rFonts w:ascii="Times New Roman" w:hAnsi="Times New Roman" w:cs="Times New Roman"/>
        </w:rPr>
        <w:t xml:space="preserve"> </w:t>
      </w:r>
      <w:r w:rsidRPr="00E31F63">
        <w:rPr>
          <w:rFonts w:ascii="Times New Roman" w:hAnsi="Times New Roman" w:cs="Times New Roman"/>
        </w:rPr>
        <w:t>framing the empirical analysis that follows. This theoretical synthesis reinforces the need for holistic, multi-level interventions in public sector reform, providing a strong conceptual foundation for the study’s analytical model and hypotheses.</w:t>
      </w:r>
    </w:p>
    <w:p w14:paraId="40027FD6" w14:textId="229FFAD4" w:rsidR="002E67DA" w:rsidRPr="002E67DA" w:rsidRDefault="000F7953" w:rsidP="0035604E">
      <w:pPr>
        <w:jc w:val="both"/>
        <w:rPr>
          <w:rFonts w:ascii="Times New Roman" w:hAnsi="Times New Roman" w:cs="Times New Roman"/>
          <w:b/>
          <w:bCs/>
        </w:rPr>
      </w:pPr>
      <w:r>
        <w:rPr>
          <w:rFonts w:ascii="Times New Roman" w:hAnsi="Times New Roman" w:cs="Times New Roman"/>
          <w:b/>
          <w:bCs/>
        </w:rPr>
        <w:t xml:space="preserve">2.4 </w:t>
      </w:r>
      <w:r w:rsidR="002E67DA" w:rsidRPr="002E67DA">
        <w:rPr>
          <w:rFonts w:ascii="Times New Roman" w:hAnsi="Times New Roman" w:cs="Times New Roman"/>
          <w:b/>
          <w:bCs/>
        </w:rPr>
        <w:t>Conceptual Framework</w:t>
      </w:r>
    </w:p>
    <w:p w14:paraId="4C5211BD" w14:textId="77777777" w:rsidR="0035604E" w:rsidRPr="000F7953" w:rsidRDefault="0035604E" w:rsidP="0035604E">
      <w:pPr>
        <w:jc w:val="both"/>
        <w:rPr>
          <w:rFonts w:ascii="Times New Roman" w:hAnsi="Times New Roman" w:cs="Times New Roman"/>
        </w:rPr>
      </w:pPr>
      <w:r w:rsidRPr="000F7953">
        <w:rPr>
          <w:rFonts w:ascii="Times New Roman" w:hAnsi="Times New Roman" w:cs="Times New Roman"/>
        </w:rPr>
        <w:t>This study examines the relationship between integrated planning and budgeting practices (IPBP) and service delivery efficiency (SDE) in selected Ministries, Departments, and Agencies (MDAs) in Ekiti State, Nigeria, while considering the moderating role of internal control systems (ICS).</w:t>
      </w:r>
    </w:p>
    <w:p w14:paraId="037F68CA" w14:textId="77777777" w:rsidR="0035604E" w:rsidRPr="000F7953" w:rsidRDefault="0035604E" w:rsidP="0035604E">
      <w:pPr>
        <w:jc w:val="both"/>
        <w:rPr>
          <w:rFonts w:ascii="Times New Roman" w:hAnsi="Times New Roman" w:cs="Times New Roman"/>
        </w:rPr>
      </w:pPr>
      <w:r w:rsidRPr="000F7953">
        <w:rPr>
          <w:rFonts w:ascii="Times New Roman" w:hAnsi="Times New Roman" w:cs="Times New Roman"/>
        </w:rPr>
        <w:t>Integrated planning and budgeting practices are conceptualized as a multidimensional construct comprising strategic planning integration, budget participation, and monitoring and evaluation systems. These dimensions reflect the extent to which planning and budgeting processes are aligned, participatory, and performance-driven. Effective integration of these elements is expected to enhance organizational coordination, resource allocation, and accountability, thereby improving service outcomes.</w:t>
      </w:r>
    </w:p>
    <w:p w14:paraId="49E3BACA" w14:textId="77777777" w:rsidR="0035604E" w:rsidRPr="000F7953" w:rsidRDefault="0035604E" w:rsidP="0035604E">
      <w:pPr>
        <w:jc w:val="both"/>
        <w:rPr>
          <w:rFonts w:ascii="Times New Roman" w:hAnsi="Times New Roman" w:cs="Times New Roman"/>
        </w:rPr>
      </w:pPr>
      <w:r w:rsidRPr="000F7953">
        <w:rPr>
          <w:rFonts w:ascii="Times New Roman" w:hAnsi="Times New Roman" w:cs="Times New Roman"/>
        </w:rPr>
        <w:t>Service delivery efficiency is the dependent variable, measured through timeliness, cost efficiency, service quality, and citizen satisfaction. These indicators capture how effectively public resources are transformed into valuable services for citizens.</w:t>
      </w:r>
    </w:p>
    <w:p w14:paraId="4081B412" w14:textId="77777777" w:rsidR="0035604E" w:rsidRPr="000F7953" w:rsidRDefault="0035604E" w:rsidP="0035604E">
      <w:pPr>
        <w:jc w:val="both"/>
        <w:rPr>
          <w:rFonts w:ascii="Times New Roman" w:hAnsi="Times New Roman" w:cs="Times New Roman"/>
        </w:rPr>
      </w:pPr>
      <w:r w:rsidRPr="000F7953">
        <w:rPr>
          <w:rFonts w:ascii="Times New Roman" w:hAnsi="Times New Roman" w:cs="Times New Roman"/>
        </w:rPr>
        <w:t>Internal control systems are incorporated as both an explanatory and moderating variable. They consist of control environment, risk assessment, control activities, information and communication, and monitoring. Strong internal control systems are expected to directly enhance service delivery efficiency by ensuring compliance, minimizing resource leakages, and improving operational discipline. More importantly, ICS is posited to strengthen the relationship between IPBP and SDE by ensuring that planning and budgeting processes are properly implemented and aligned with organizational objectives.</w:t>
      </w:r>
    </w:p>
    <w:p w14:paraId="43A1D479" w14:textId="4F900A26" w:rsidR="002E67DA" w:rsidRPr="002E67DA" w:rsidRDefault="0035604E" w:rsidP="0035604E">
      <w:pPr>
        <w:jc w:val="both"/>
        <w:rPr>
          <w:rFonts w:ascii="Times New Roman" w:hAnsi="Times New Roman" w:cs="Times New Roman"/>
          <w:b/>
          <w:bCs/>
        </w:rPr>
      </w:pPr>
      <w:r w:rsidRPr="00051F63">
        <w:rPr>
          <w:rFonts w:ascii="Times New Roman" w:hAnsi="Times New Roman" w:cs="Times New Roman"/>
          <w:b/>
          <w:bCs/>
        </w:rPr>
        <w:lastRenderedPageBreak/>
        <w:t>Figure 1: Conceptual Framework</w:t>
      </w:r>
    </w:p>
    <w:p w14:paraId="76E64681" w14:textId="6111C22B" w:rsidR="0035604E" w:rsidRDefault="0035604E" w:rsidP="0035604E">
      <w:pPr>
        <w:jc w:val="both"/>
        <w:rPr>
          <w:rFonts w:ascii="Times New Roman" w:hAnsi="Times New Roman" w:cs="Times New Roman"/>
          <w:b/>
          <w:bCs/>
        </w:rPr>
      </w:pPr>
      <w:r w:rsidRPr="00051F63">
        <w:rPr>
          <w:rFonts w:ascii="Times New Roman" w:hAnsi="Times New Roman" w:cs="Times New Roman"/>
          <w:b/>
          <w:bCs/>
          <w:noProof/>
        </w:rPr>
        <w:drawing>
          <wp:inline distT="0" distB="0" distL="0" distR="0" wp14:anchorId="57ABDA65" wp14:editId="7B09DA92">
            <wp:extent cx="5416550" cy="3035300"/>
            <wp:effectExtent l="0" t="0" r="0" b="0"/>
            <wp:docPr id="2401461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0" cy="3035300"/>
                    </a:xfrm>
                    <a:prstGeom prst="rect">
                      <a:avLst/>
                    </a:prstGeom>
                    <a:noFill/>
                    <a:ln>
                      <a:noFill/>
                    </a:ln>
                  </pic:spPr>
                </pic:pic>
              </a:graphicData>
            </a:graphic>
          </wp:inline>
        </w:drawing>
      </w:r>
    </w:p>
    <w:p w14:paraId="7F419126" w14:textId="7BCB2297" w:rsidR="00922FBD" w:rsidRPr="00922FBD" w:rsidRDefault="00922FBD" w:rsidP="0035604E">
      <w:pPr>
        <w:jc w:val="both"/>
        <w:rPr>
          <w:rFonts w:ascii="Times New Roman" w:hAnsi="Times New Roman" w:cs="Times New Roman"/>
          <w:b/>
          <w:bCs/>
          <w:i/>
          <w:iCs/>
        </w:rPr>
      </w:pPr>
      <w:r w:rsidRPr="00922FBD">
        <w:rPr>
          <w:rFonts w:ascii="Times New Roman" w:hAnsi="Times New Roman" w:cs="Times New Roman"/>
          <w:b/>
          <w:bCs/>
          <w:i/>
          <w:iCs/>
        </w:rPr>
        <w:t>Source: Authors’ Design (2026)</w:t>
      </w:r>
    </w:p>
    <w:p w14:paraId="501BB343" w14:textId="136066F2" w:rsidR="00E31F63" w:rsidRPr="00E31F63" w:rsidRDefault="0035604E" w:rsidP="0035604E">
      <w:pPr>
        <w:jc w:val="both"/>
        <w:rPr>
          <w:rFonts w:ascii="Times New Roman" w:hAnsi="Times New Roman" w:cs="Times New Roman"/>
        </w:rPr>
      </w:pPr>
      <w:r w:rsidRPr="0035604E">
        <w:rPr>
          <w:rFonts w:ascii="Times New Roman" w:hAnsi="Times New Roman" w:cs="Times New Roman"/>
        </w:rPr>
        <w:t>Grounded in the principles of New Public Management and the Resource-Based View, this framework guides the empirical analysis by clarifying how planning, budgeting, and internal controls work together to determine service delivery outcomes in Ekiti State MDAs.</w:t>
      </w:r>
    </w:p>
    <w:p w14:paraId="4A5CF1FF" w14:textId="3D661FC5" w:rsidR="00FB14C0" w:rsidRPr="00051F63" w:rsidRDefault="000F7953" w:rsidP="0035604E">
      <w:pPr>
        <w:jc w:val="both"/>
        <w:rPr>
          <w:rFonts w:ascii="Times New Roman" w:hAnsi="Times New Roman" w:cs="Times New Roman"/>
          <w:b/>
          <w:bCs/>
        </w:rPr>
      </w:pPr>
      <w:r>
        <w:rPr>
          <w:rFonts w:ascii="Times New Roman" w:hAnsi="Times New Roman" w:cs="Times New Roman"/>
          <w:b/>
          <w:bCs/>
        </w:rPr>
        <w:t xml:space="preserve">3. </w:t>
      </w:r>
      <w:r w:rsidR="000F73DD" w:rsidRPr="00051F63">
        <w:rPr>
          <w:rFonts w:ascii="Times New Roman" w:hAnsi="Times New Roman" w:cs="Times New Roman"/>
          <w:b/>
          <w:bCs/>
        </w:rPr>
        <w:t>Methodology</w:t>
      </w:r>
    </w:p>
    <w:p w14:paraId="3FDAB8FA" w14:textId="2495006D" w:rsidR="000F73DD" w:rsidRPr="00051F63" w:rsidRDefault="000F73DD" w:rsidP="0035604E">
      <w:pPr>
        <w:jc w:val="both"/>
        <w:rPr>
          <w:rFonts w:ascii="Times New Roman" w:hAnsi="Times New Roman" w:cs="Times New Roman"/>
        </w:rPr>
      </w:pPr>
      <w:r w:rsidRPr="00051F63">
        <w:rPr>
          <w:rFonts w:ascii="Times New Roman" w:hAnsi="Times New Roman" w:cs="Times New Roman"/>
        </w:rPr>
        <w:t xml:space="preserve">This study employed a cross-sectional survey research design to investigate the effect of integrated planning and budgeting practices on service delivery efficiency, as well as the moderating role of internal control systems, within the ministries of Ekiti State, Nigeria. The research population comprised staff members directly involved in planning, budgeting, finance/accounts, and internal audit functions across all 22 core ministries listed in the official Ekiti State MDAs Directory (Ekiti State Government, 2024). A multi-stage sampling approach was adopted: all core ministries were included, after which staff were stratified by functional unit, and simple random sampling was then used within each stratum to select respondents, thereby ensuring both representativeness and bias minimization. Based on an estimated total population of 352 eligible staff and using Yamane’s (1967) formula with a 5% margin of error, a minimum sample size of 190 respondents was calculated and distributed proportionately across ministries and units. Data were collected using a structured questionnaire, which covered demographic information, three dimensions of integrated planning and budgeting practices (strategic planning integration, budget participation, and monitoring and evaluation systems), five components of internal control systems, and four indicators of service delivery efficiency, all measured on a five-point Likert scale. The instrument was pre-tested to ensure clarity and reliability, yielding Cronbach’s alpha values above 0.80 for all key constructs. Collected data were analyzed using descriptive statistics and multiple regression </w:t>
      </w:r>
      <w:r w:rsidRPr="00051F63">
        <w:rPr>
          <w:rFonts w:ascii="Times New Roman" w:hAnsi="Times New Roman" w:cs="Times New Roman"/>
        </w:rPr>
        <w:lastRenderedPageBreak/>
        <w:t>analysis to assess direct and moderating effects, utilizing SPSS version 20 for all computations. Ethical clearance was obtained from the appropriate state authority, participation was voluntary, and respondents' confidentiality and anonymity were strictly maintained.</w:t>
      </w:r>
    </w:p>
    <w:p w14:paraId="5378E38E" w14:textId="591C5BC3" w:rsidR="00070AF1" w:rsidRPr="00070AF1" w:rsidRDefault="000F7953" w:rsidP="00070AF1">
      <w:pPr>
        <w:jc w:val="both"/>
        <w:rPr>
          <w:rFonts w:ascii="Times New Roman" w:hAnsi="Times New Roman" w:cs="Times New Roman"/>
          <w:b/>
          <w:bCs/>
        </w:rPr>
      </w:pPr>
      <w:r>
        <w:rPr>
          <w:rFonts w:ascii="Times New Roman" w:hAnsi="Times New Roman" w:cs="Times New Roman"/>
          <w:b/>
          <w:bCs/>
        </w:rPr>
        <w:t xml:space="preserve">4 </w:t>
      </w:r>
      <w:r w:rsidR="00070AF1" w:rsidRPr="00070AF1">
        <w:rPr>
          <w:rFonts w:ascii="Times New Roman" w:hAnsi="Times New Roman" w:cs="Times New Roman"/>
          <w:b/>
          <w:bCs/>
        </w:rPr>
        <w:t>Results</w:t>
      </w:r>
      <w:r w:rsidR="00922FBD">
        <w:rPr>
          <w:rFonts w:ascii="Times New Roman" w:hAnsi="Times New Roman" w:cs="Times New Roman"/>
          <w:b/>
          <w:bCs/>
        </w:rPr>
        <w:t xml:space="preserve"> and Findings</w:t>
      </w:r>
    </w:p>
    <w:p w14:paraId="5A5B2900" w14:textId="6F8095F3" w:rsidR="00070AF1" w:rsidRPr="00070AF1" w:rsidRDefault="000F7953" w:rsidP="00070AF1">
      <w:pPr>
        <w:jc w:val="both"/>
        <w:rPr>
          <w:rFonts w:ascii="Times New Roman" w:hAnsi="Times New Roman" w:cs="Times New Roman"/>
          <w:b/>
          <w:bCs/>
        </w:rPr>
      </w:pPr>
      <w:r>
        <w:rPr>
          <w:rFonts w:ascii="Times New Roman" w:hAnsi="Times New Roman" w:cs="Times New Roman"/>
          <w:b/>
          <w:bCs/>
        </w:rPr>
        <w:t xml:space="preserve">4.1 </w:t>
      </w:r>
      <w:r w:rsidR="00070AF1" w:rsidRPr="00070AF1">
        <w:rPr>
          <w:rFonts w:ascii="Times New Roman" w:hAnsi="Times New Roman" w:cs="Times New Roman"/>
          <w:b/>
          <w:bCs/>
        </w:rPr>
        <w:t>Demographic Data Statistics</w:t>
      </w:r>
    </w:p>
    <w:p w14:paraId="7640BFBC" w14:textId="77777777" w:rsidR="00070AF1" w:rsidRPr="00070AF1" w:rsidRDefault="00070AF1" w:rsidP="00070AF1">
      <w:pPr>
        <w:jc w:val="both"/>
        <w:rPr>
          <w:rFonts w:ascii="Times New Roman" w:hAnsi="Times New Roman" w:cs="Times New Roman"/>
        </w:rPr>
      </w:pPr>
      <w:r w:rsidRPr="00070AF1">
        <w:rPr>
          <w:rFonts w:ascii="Times New Roman" w:hAnsi="Times New Roman" w:cs="Times New Roman"/>
          <w:b/>
          <w:bCs/>
        </w:rPr>
        <w:t>Table 1: Demographic Characteristics of Respondents</w:t>
      </w:r>
    </w:p>
    <w:tbl>
      <w:tblPr>
        <w:tblW w:w="9357"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517"/>
        <w:gridCol w:w="3330"/>
        <w:gridCol w:w="1789"/>
        <w:gridCol w:w="1721"/>
      </w:tblGrid>
      <w:tr w:rsidR="00070AF1" w:rsidRPr="00070AF1" w14:paraId="1BF84955" w14:textId="77777777" w:rsidTr="000F7953">
        <w:tc>
          <w:tcPr>
            <w:tcW w:w="2517" w:type="dxa"/>
            <w:tcBorders>
              <w:top w:val="single" w:sz="4" w:space="0" w:color="auto"/>
              <w:bottom w:val="single" w:sz="4" w:space="0" w:color="auto"/>
            </w:tcBorders>
            <w:noWrap/>
            <w:vAlign w:val="bottom"/>
            <w:hideMark/>
          </w:tcPr>
          <w:p w14:paraId="2D088E3A" w14:textId="77777777" w:rsidR="00070AF1" w:rsidRPr="00070AF1" w:rsidRDefault="00070AF1" w:rsidP="00070AF1">
            <w:pPr>
              <w:jc w:val="both"/>
              <w:rPr>
                <w:rFonts w:ascii="Times New Roman" w:hAnsi="Times New Roman" w:cs="Times New Roman"/>
                <w:b/>
                <w:bCs/>
              </w:rPr>
            </w:pPr>
            <w:r w:rsidRPr="00070AF1">
              <w:rPr>
                <w:rFonts w:ascii="Times New Roman" w:hAnsi="Times New Roman" w:cs="Times New Roman"/>
                <w:b/>
                <w:bCs/>
              </w:rPr>
              <w:t>Variable</w:t>
            </w:r>
          </w:p>
        </w:tc>
        <w:tc>
          <w:tcPr>
            <w:tcW w:w="3330" w:type="dxa"/>
            <w:tcBorders>
              <w:top w:val="single" w:sz="4" w:space="0" w:color="auto"/>
              <w:bottom w:val="single" w:sz="4" w:space="0" w:color="auto"/>
            </w:tcBorders>
            <w:noWrap/>
            <w:vAlign w:val="bottom"/>
            <w:hideMark/>
          </w:tcPr>
          <w:p w14:paraId="3C451585" w14:textId="77777777" w:rsidR="00070AF1" w:rsidRPr="00070AF1" w:rsidRDefault="00070AF1" w:rsidP="00070AF1">
            <w:pPr>
              <w:jc w:val="both"/>
              <w:rPr>
                <w:rFonts w:ascii="Times New Roman" w:hAnsi="Times New Roman" w:cs="Times New Roman"/>
                <w:b/>
                <w:bCs/>
              </w:rPr>
            </w:pPr>
            <w:r w:rsidRPr="00070AF1">
              <w:rPr>
                <w:rFonts w:ascii="Times New Roman" w:hAnsi="Times New Roman" w:cs="Times New Roman"/>
                <w:b/>
                <w:bCs/>
              </w:rPr>
              <w:t>Category</w:t>
            </w:r>
          </w:p>
        </w:tc>
        <w:tc>
          <w:tcPr>
            <w:tcW w:w="0" w:type="auto"/>
            <w:tcBorders>
              <w:top w:val="single" w:sz="4" w:space="0" w:color="auto"/>
              <w:bottom w:val="single" w:sz="4" w:space="0" w:color="auto"/>
            </w:tcBorders>
            <w:noWrap/>
            <w:vAlign w:val="bottom"/>
            <w:hideMark/>
          </w:tcPr>
          <w:p w14:paraId="41576FF9" w14:textId="77777777" w:rsidR="00070AF1" w:rsidRPr="00070AF1" w:rsidRDefault="00070AF1" w:rsidP="00070AF1">
            <w:pPr>
              <w:jc w:val="both"/>
              <w:rPr>
                <w:rFonts w:ascii="Times New Roman" w:hAnsi="Times New Roman" w:cs="Times New Roman"/>
                <w:b/>
                <w:bCs/>
              </w:rPr>
            </w:pPr>
            <w:r w:rsidRPr="00070AF1">
              <w:rPr>
                <w:rFonts w:ascii="Times New Roman" w:hAnsi="Times New Roman" w:cs="Times New Roman"/>
                <w:b/>
                <w:bCs/>
              </w:rPr>
              <w:t>Frequency</w:t>
            </w:r>
          </w:p>
        </w:tc>
        <w:tc>
          <w:tcPr>
            <w:tcW w:w="1721" w:type="dxa"/>
            <w:tcBorders>
              <w:top w:val="single" w:sz="4" w:space="0" w:color="auto"/>
              <w:bottom w:val="single" w:sz="4" w:space="0" w:color="auto"/>
            </w:tcBorders>
            <w:noWrap/>
            <w:vAlign w:val="bottom"/>
            <w:hideMark/>
          </w:tcPr>
          <w:p w14:paraId="526F896F" w14:textId="77777777" w:rsidR="00070AF1" w:rsidRPr="00070AF1" w:rsidRDefault="00070AF1" w:rsidP="00070AF1">
            <w:pPr>
              <w:jc w:val="both"/>
              <w:rPr>
                <w:rFonts w:ascii="Times New Roman" w:hAnsi="Times New Roman" w:cs="Times New Roman"/>
                <w:b/>
                <w:bCs/>
              </w:rPr>
            </w:pPr>
            <w:r w:rsidRPr="00070AF1">
              <w:rPr>
                <w:rFonts w:ascii="Times New Roman" w:hAnsi="Times New Roman" w:cs="Times New Roman"/>
                <w:b/>
                <w:bCs/>
              </w:rPr>
              <w:t>Percentage (%)</w:t>
            </w:r>
          </w:p>
        </w:tc>
      </w:tr>
      <w:tr w:rsidR="00070AF1" w:rsidRPr="00070AF1" w14:paraId="5A247D8F" w14:textId="77777777" w:rsidTr="000F7953">
        <w:tc>
          <w:tcPr>
            <w:tcW w:w="2517" w:type="dxa"/>
            <w:tcBorders>
              <w:top w:val="single" w:sz="4" w:space="0" w:color="auto"/>
            </w:tcBorders>
            <w:vAlign w:val="bottom"/>
            <w:hideMark/>
          </w:tcPr>
          <w:p w14:paraId="1F220BD6" w14:textId="77777777" w:rsidR="00070AF1" w:rsidRPr="00070AF1" w:rsidRDefault="00070AF1" w:rsidP="00070AF1">
            <w:pPr>
              <w:jc w:val="both"/>
              <w:rPr>
                <w:rFonts w:ascii="Times New Roman" w:hAnsi="Times New Roman" w:cs="Times New Roman"/>
              </w:rPr>
            </w:pPr>
            <w:r w:rsidRPr="00070AF1">
              <w:rPr>
                <w:rFonts w:ascii="Times New Roman" w:hAnsi="Times New Roman" w:cs="Times New Roman"/>
              </w:rPr>
              <w:t>Gender</w:t>
            </w:r>
          </w:p>
        </w:tc>
        <w:tc>
          <w:tcPr>
            <w:tcW w:w="3330" w:type="dxa"/>
            <w:tcBorders>
              <w:top w:val="single" w:sz="4" w:space="0" w:color="auto"/>
            </w:tcBorders>
            <w:vAlign w:val="bottom"/>
            <w:hideMark/>
          </w:tcPr>
          <w:p w14:paraId="782CCEEE" w14:textId="77777777" w:rsidR="00070AF1" w:rsidRPr="00070AF1" w:rsidRDefault="00070AF1" w:rsidP="00070AF1">
            <w:pPr>
              <w:jc w:val="both"/>
              <w:rPr>
                <w:rFonts w:ascii="Times New Roman" w:hAnsi="Times New Roman" w:cs="Times New Roman"/>
              </w:rPr>
            </w:pPr>
            <w:r w:rsidRPr="00070AF1">
              <w:rPr>
                <w:rFonts w:ascii="Times New Roman" w:hAnsi="Times New Roman" w:cs="Times New Roman"/>
              </w:rPr>
              <w:t>Male</w:t>
            </w:r>
          </w:p>
        </w:tc>
        <w:tc>
          <w:tcPr>
            <w:tcW w:w="0" w:type="auto"/>
            <w:tcBorders>
              <w:top w:val="single" w:sz="4" w:space="0" w:color="auto"/>
            </w:tcBorders>
            <w:vAlign w:val="bottom"/>
            <w:hideMark/>
          </w:tcPr>
          <w:p w14:paraId="6A0B7785" w14:textId="77777777" w:rsidR="00070AF1" w:rsidRPr="00070AF1" w:rsidRDefault="00070AF1" w:rsidP="00070AF1">
            <w:pPr>
              <w:jc w:val="both"/>
              <w:rPr>
                <w:rFonts w:ascii="Times New Roman" w:hAnsi="Times New Roman" w:cs="Times New Roman"/>
              </w:rPr>
            </w:pPr>
            <w:r w:rsidRPr="00070AF1">
              <w:rPr>
                <w:rFonts w:ascii="Times New Roman" w:hAnsi="Times New Roman" w:cs="Times New Roman"/>
              </w:rPr>
              <w:t>111</w:t>
            </w:r>
          </w:p>
        </w:tc>
        <w:tc>
          <w:tcPr>
            <w:tcW w:w="1721" w:type="dxa"/>
            <w:tcBorders>
              <w:top w:val="single" w:sz="4" w:space="0" w:color="auto"/>
            </w:tcBorders>
            <w:vAlign w:val="bottom"/>
            <w:hideMark/>
          </w:tcPr>
          <w:p w14:paraId="54F51B48" w14:textId="77777777" w:rsidR="00070AF1" w:rsidRPr="00070AF1" w:rsidRDefault="00070AF1" w:rsidP="00070AF1">
            <w:pPr>
              <w:jc w:val="both"/>
              <w:rPr>
                <w:rFonts w:ascii="Times New Roman" w:hAnsi="Times New Roman" w:cs="Times New Roman"/>
              </w:rPr>
            </w:pPr>
            <w:r w:rsidRPr="00070AF1">
              <w:rPr>
                <w:rFonts w:ascii="Times New Roman" w:hAnsi="Times New Roman" w:cs="Times New Roman"/>
              </w:rPr>
              <w:t>58.4</w:t>
            </w:r>
          </w:p>
        </w:tc>
      </w:tr>
      <w:tr w:rsidR="00070AF1" w:rsidRPr="00070AF1" w14:paraId="5E3288E3" w14:textId="77777777" w:rsidTr="000F7953">
        <w:tc>
          <w:tcPr>
            <w:tcW w:w="2517" w:type="dxa"/>
            <w:vAlign w:val="bottom"/>
            <w:hideMark/>
          </w:tcPr>
          <w:p w14:paraId="44F1C013" w14:textId="77777777" w:rsidR="00070AF1" w:rsidRPr="00070AF1" w:rsidRDefault="00070AF1" w:rsidP="00070AF1">
            <w:pPr>
              <w:jc w:val="both"/>
              <w:rPr>
                <w:rFonts w:ascii="Times New Roman" w:hAnsi="Times New Roman" w:cs="Times New Roman"/>
              </w:rPr>
            </w:pPr>
          </w:p>
        </w:tc>
        <w:tc>
          <w:tcPr>
            <w:tcW w:w="3330" w:type="dxa"/>
            <w:vAlign w:val="bottom"/>
            <w:hideMark/>
          </w:tcPr>
          <w:p w14:paraId="09626CAD" w14:textId="77777777" w:rsidR="00070AF1" w:rsidRPr="00070AF1" w:rsidRDefault="00070AF1" w:rsidP="00070AF1">
            <w:pPr>
              <w:jc w:val="both"/>
              <w:rPr>
                <w:rFonts w:ascii="Times New Roman" w:hAnsi="Times New Roman" w:cs="Times New Roman"/>
              </w:rPr>
            </w:pPr>
            <w:r w:rsidRPr="00070AF1">
              <w:rPr>
                <w:rFonts w:ascii="Times New Roman" w:hAnsi="Times New Roman" w:cs="Times New Roman"/>
              </w:rPr>
              <w:t>Female</w:t>
            </w:r>
          </w:p>
        </w:tc>
        <w:tc>
          <w:tcPr>
            <w:tcW w:w="0" w:type="auto"/>
            <w:vAlign w:val="bottom"/>
            <w:hideMark/>
          </w:tcPr>
          <w:p w14:paraId="1FEFDF2C" w14:textId="77777777" w:rsidR="00070AF1" w:rsidRPr="00070AF1" w:rsidRDefault="00070AF1" w:rsidP="00070AF1">
            <w:pPr>
              <w:jc w:val="both"/>
              <w:rPr>
                <w:rFonts w:ascii="Times New Roman" w:hAnsi="Times New Roman" w:cs="Times New Roman"/>
              </w:rPr>
            </w:pPr>
            <w:r w:rsidRPr="00070AF1">
              <w:rPr>
                <w:rFonts w:ascii="Times New Roman" w:hAnsi="Times New Roman" w:cs="Times New Roman"/>
              </w:rPr>
              <w:t>79</w:t>
            </w:r>
          </w:p>
        </w:tc>
        <w:tc>
          <w:tcPr>
            <w:tcW w:w="1721" w:type="dxa"/>
            <w:vAlign w:val="bottom"/>
            <w:hideMark/>
          </w:tcPr>
          <w:p w14:paraId="505168E9" w14:textId="77777777" w:rsidR="00070AF1" w:rsidRPr="00070AF1" w:rsidRDefault="00070AF1" w:rsidP="00070AF1">
            <w:pPr>
              <w:jc w:val="both"/>
              <w:rPr>
                <w:rFonts w:ascii="Times New Roman" w:hAnsi="Times New Roman" w:cs="Times New Roman"/>
              </w:rPr>
            </w:pPr>
            <w:r w:rsidRPr="00070AF1">
              <w:rPr>
                <w:rFonts w:ascii="Times New Roman" w:hAnsi="Times New Roman" w:cs="Times New Roman"/>
              </w:rPr>
              <w:t>41.6</w:t>
            </w:r>
          </w:p>
        </w:tc>
      </w:tr>
      <w:tr w:rsidR="00070AF1" w:rsidRPr="00070AF1" w14:paraId="166E884C" w14:textId="77777777" w:rsidTr="000F7953">
        <w:tc>
          <w:tcPr>
            <w:tcW w:w="2517" w:type="dxa"/>
            <w:vAlign w:val="bottom"/>
            <w:hideMark/>
          </w:tcPr>
          <w:p w14:paraId="53BA48ED" w14:textId="77777777" w:rsidR="00070AF1" w:rsidRPr="00070AF1" w:rsidRDefault="00070AF1" w:rsidP="00070AF1">
            <w:pPr>
              <w:jc w:val="both"/>
              <w:rPr>
                <w:rFonts w:ascii="Times New Roman" w:hAnsi="Times New Roman" w:cs="Times New Roman"/>
              </w:rPr>
            </w:pPr>
            <w:r w:rsidRPr="00070AF1">
              <w:rPr>
                <w:rFonts w:ascii="Times New Roman" w:hAnsi="Times New Roman" w:cs="Times New Roman"/>
              </w:rPr>
              <w:t>Age</w:t>
            </w:r>
          </w:p>
        </w:tc>
        <w:tc>
          <w:tcPr>
            <w:tcW w:w="3330" w:type="dxa"/>
            <w:vAlign w:val="bottom"/>
            <w:hideMark/>
          </w:tcPr>
          <w:p w14:paraId="2C8C8B7C" w14:textId="77777777" w:rsidR="00070AF1" w:rsidRPr="00070AF1" w:rsidRDefault="00070AF1" w:rsidP="00070AF1">
            <w:pPr>
              <w:jc w:val="both"/>
              <w:rPr>
                <w:rFonts w:ascii="Times New Roman" w:hAnsi="Times New Roman" w:cs="Times New Roman"/>
              </w:rPr>
            </w:pPr>
            <w:r w:rsidRPr="00070AF1">
              <w:rPr>
                <w:rFonts w:ascii="Times New Roman" w:hAnsi="Times New Roman" w:cs="Times New Roman"/>
              </w:rPr>
              <w:t>25–34</w:t>
            </w:r>
          </w:p>
        </w:tc>
        <w:tc>
          <w:tcPr>
            <w:tcW w:w="0" w:type="auto"/>
            <w:vAlign w:val="bottom"/>
            <w:hideMark/>
          </w:tcPr>
          <w:p w14:paraId="26CFD04B" w14:textId="77777777" w:rsidR="00070AF1" w:rsidRPr="00070AF1" w:rsidRDefault="00070AF1" w:rsidP="00070AF1">
            <w:pPr>
              <w:jc w:val="both"/>
              <w:rPr>
                <w:rFonts w:ascii="Times New Roman" w:hAnsi="Times New Roman" w:cs="Times New Roman"/>
              </w:rPr>
            </w:pPr>
            <w:r w:rsidRPr="00070AF1">
              <w:rPr>
                <w:rFonts w:ascii="Times New Roman" w:hAnsi="Times New Roman" w:cs="Times New Roman"/>
              </w:rPr>
              <w:t>32</w:t>
            </w:r>
          </w:p>
        </w:tc>
        <w:tc>
          <w:tcPr>
            <w:tcW w:w="1721" w:type="dxa"/>
            <w:vAlign w:val="bottom"/>
            <w:hideMark/>
          </w:tcPr>
          <w:p w14:paraId="0D768239" w14:textId="77777777" w:rsidR="00070AF1" w:rsidRPr="00070AF1" w:rsidRDefault="00070AF1" w:rsidP="00070AF1">
            <w:pPr>
              <w:jc w:val="both"/>
              <w:rPr>
                <w:rFonts w:ascii="Times New Roman" w:hAnsi="Times New Roman" w:cs="Times New Roman"/>
              </w:rPr>
            </w:pPr>
            <w:r w:rsidRPr="00070AF1">
              <w:rPr>
                <w:rFonts w:ascii="Times New Roman" w:hAnsi="Times New Roman" w:cs="Times New Roman"/>
              </w:rPr>
              <w:t>16.8</w:t>
            </w:r>
          </w:p>
        </w:tc>
      </w:tr>
      <w:tr w:rsidR="00070AF1" w:rsidRPr="00070AF1" w14:paraId="2EB7ED67" w14:textId="77777777" w:rsidTr="000F7953">
        <w:tc>
          <w:tcPr>
            <w:tcW w:w="2517" w:type="dxa"/>
            <w:vAlign w:val="bottom"/>
            <w:hideMark/>
          </w:tcPr>
          <w:p w14:paraId="296F78F1" w14:textId="77777777" w:rsidR="00070AF1" w:rsidRPr="00070AF1" w:rsidRDefault="00070AF1" w:rsidP="00070AF1">
            <w:pPr>
              <w:jc w:val="both"/>
              <w:rPr>
                <w:rFonts w:ascii="Times New Roman" w:hAnsi="Times New Roman" w:cs="Times New Roman"/>
              </w:rPr>
            </w:pPr>
          </w:p>
        </w:tc>
        <w:tc>
          <w:tcPr>
            <w:tcW w:w="3330" w:type="dxa"/>
            <w:vAlign w:val="bottom"/>
            <w:hideMark/>
          </w:tcPr>
          <w:p w14:paraId="347F8B45" w14:textId="77777777" w:rsidR="00070AF1" w:rsidRPr="00070AF1" w:rsidRDefault="00070AF1" w:rsidP="00070AF1">
            <w:pPr>
              <w:jc w:val="both"/>
              <w:rPr>
                <w:rFonts w:ascii="Times New Roman" w:hAnsi="Times New Roman" w:cs="Times New Roman"/>
              </w:rPr>
            </w:pPr>
            <w:r w:rsidRPr="00070AF1">
              <w:rPr>
                <w:rFonts w:ascii="Times New Roman" w:hAnsi="Times New Roman" w:cs="Times New Roman"/>
              </w:rPr>
              <w:t>35–44</w:t>
            </w:r>
          </w:p>
        </w:tc>
        <w:tc>
          <w:tcPr>
            <w:tcW w:w="0" w:type="auto"/>
            <w:vAlign w:val="bottom"/>
            <w:hideMark/>
          </w:tcPr>
          <w:p w14:paraId="1C0EA81E" w14:textId="77777777" w:rsidR="00070AF1" w:rsidRPr="00070AF1" w:rsidRDefault="00070AF1" w:rsidP="00070AF1">
            <w:pPr>
              <w:jc w:val="both"/>
              <w:rPr>
                <w:rFonts w:ascii="Times New Roman" w:hAnsi="Times New Roman" w:cs="Times New Roman"/>
              </w:rPr>
            </w:pPr>
            <w:r w:rsidRPr="00070AF1">
              <w:rPr>
                <w:rFonts w:ascii="Times New Roman" w:hAnsi="Times New Roman" w:cs="Times New Roman"/>
              </w:rPr>
              <w:t>80</w:t>
            </w:r>
          </w:p>
        </w:tc>
        <w:tc>
          <w:tcPr>
            <w:tcW w:w="1721" w:type="dxa"/>
            <w:vAlign w:val="bottom"/>
            <w:hideMark/>
          </w:tcPr>
          <w:p w14:paraId="79543666" w14:textId="77777777" w:rsidR="00070AF1" w:rsidRPr="00070AF1" w:rsidRDefault="00070AF1" w:rsidP="00070AF1">
            <w:pPr>
              <w:jc w:val="both"/>
              <w:rPr>
                <w:rFonts w:ascii="Times New Roman" w:hAnsi="Times New Roman" w:cs="Times New Roman"/>
              </w:rPr>
            </w:pPr>
            <w:r w:rsidRPr="00070AF1">
              <w:rPr>
                <w:rFonts w:ascii="Times New Roman" w:hAnsi="Times New Roman" w:cs="Times New Roman"/>
              </w:rPr>
              <w:t>42.1</w:t>
            </w:r>
          </w:p>
        </w:tc>
      </w:tr>
      <w:tr w:rsidR="00070AF1" w:rsidRPr="00070AF1" w14:paraId="53B2AAAC" w14:textId="77777777" w:rsidTr="000F7953">
        <w:tc>
          <w:tcPr>
            <w:tcW w:w="2517" w:type="dxa"/>
            <w:vAlign w:val="bottom"/>
            <w:hideMark/>
          </w:tcPr>
          <w:p w14:paraId="611B561E" w14:textId="77777777" w:rsidR="00070AF1" w:rsidRPr="00070AF1" w:rsidRDefault="00070AF1" w:rsidP="00070AF1">
            <w:pPr>
              <w:jc w:val="both"/>
              <w:rPr>
                <w:rFonts w:ascii="Times New Roman" w:hAnsi="Times New Roman" w:cs="Times New Roman"/>
              </w:rPr>
            </w:pPr>
          </w:p>
        </w:tc>
        <w:tc>
          <w:tcPr>
            <w:tcW w:w="3330" w:type="dxa"/>
            <w:vAlign w:val="bottom"/>
            <w:hideMark/>
          </w:tcPr>
          <w:p w14:paraId="70C3A499" w14:textId="77777777" w:rsidR="00070AF1" w:rsidRPr="00070AF1" w:rsidRDefault="00070AF1" w:rsidP="00070AF1">
            <w:pPr>
              <w:jc w:val="both"/>
              <w:rPr>
                <w:rFonts w:ascii="Times New Roman" w:hAnsi="Times New Roman" w:cs="Times New Roman"/>
              </w:rPr>
            </w:pPr>
            <w:r w:rsidRPr="00070AF1">
              <w:rPr>
                <w:rFonts w:ascii="Times New Roman" w:hAnsi="Times New Roman" w:cs="Times New Roman"/>
              </w:rPr>
              <w:t>45–54</w:t>
            </w:r>
          </w:p>
        </w:tc>
        <w:tc>
          <w:tcPr>
            <w:tcW w:w="0" w:type="auto"/>
            <w:vAlign w:val="bottom"/>
            <w:hideMark/>
          </w:tcPr>
          <w:p w14:paraId="1C8E6A69" w14:textId="77777777" w:rsidR="00070AF1" w:rsidRPr="00070AF1" w:rsidRDefault="00070AF1" w:rsidP="00070AF1">
            <w:pPr>
              <w:jc w:val="both"/>
              <w:rPr>
                <w:rFonts w:ascii="Times New Roman" w:hAnsi="Times New Roman" w:cs="Times New Roman"/>
              </w:rPr>
            </w:pPr>
            <w:r w:rsidRPr="00070AF1">
              <w:rPr>
                <w:rFonts w:ascii="Times New Roman" w:hAnsi="Times New Roman" w:cs="Times New Roman"/>
              </w:rPr>
              <w:t>56</w:t>
            </w:r>
          </w:p>
        </w:tc>
        <w:tc>
          <w:tcPr>
            <w:tcW w:w="1721" w:type="dxa"/>
            <w:vAlign w:val="bottom"/>
            <w:hideMark/>
          </w:tcPr>
          <w:p w14:paraId="1E94F61E" w14:textId="77777777" w:rsidR="00070AF1" w:rsidRPr="00070AF1" w:rsidRDefault="00070AF1" w:rsidP="00070AF1">
            <w:pPr>
              <w:jc w:val="both"/>
              <w:rPr>
                <w:rFonts w:ascii="Times New Roman" w:hAnsi="Times New Roman" w:cs="Times New Roman"/>
              </w:rPr>
            </w:pPr>
            <w:r w:rsidRPr="00070AF1">
              <w:rPr>
                <w:rFonts w:ascii="Times New Roman" w:hAnsi="Times New Roman" w:cs="Times New Roman"/>
              </w:rPr>
              <w:t>29.5</w:t>
            </w:r>
          </w:p>
        </w:tc>
      </w:tr>
      <w:tr w:rsidR="00070AF1" w:rsidRPr="00070AF1" w14:paraId="4127DA31" w14:textId="77777777" w:rsidTr="000F7953">
        <w:tc>
          <w:tcPr>
            <w:tcW w:w="2517" w:type="dxa"/>
            <w:vAlign w:val="bottom"/>
            <w:hideMark/>
          </w:tcPr>
          <w:p w14:paraId="084A7728" w14:textId="77777777" w:rsidR="00070AF1" w:rsidRPr="00070AF1" w:rsidRDefault="00070AF1" w:rsidP="00070AF1">
            <w:pPr>
              <w:jc w:val="both"/>
              <w:rPr>
                <w:rFonts w:ascii="Times New Roman" w:hAnsi="Times New Roman" w:cs="Times New Roman"/>
              </w:rPr>
            </w:pPr>
          </w:p>
        </w:tc>
        <w:tc>
          <w:tcPr>
            <w:tcW w:w="3330" w:type="dxa"/>
            <w:vAlign w:val="bottom"/>
            <w:hideMark/>
          </w:tcPr>
          <w:p w14:paraId="2BC9F7E0" w14:textId="77777777" w:rsidR="00070AF1" w:rsidRPr="00070AF1" w:rsidRDefault="00070AF1" w:rsidP="00070AF1">
            <w:pPr>
              <w:jc w:val="both"/>
              <w:rPr>
                <w:rFonts w:ascii="Times New Roman" w:hAnsi="Times New Roman" w:cs="Times New Roman"/>
              </w:rPr>
            </w:pPr>
            <w:r w:rsidRPr="00070AF1">
              <w:rPr>
                <w:rFonts w:ascii="Times New Roman" w:hAnsi="Times New Roman" w:cs="Times New Roman"/>
              </w:rPr>
              <w:t>55 and above</w:t>
            </w:r>
          </w:p>
        </w:tc>
        <w:tc>
          <w:tcPr>
            <w:tcW w:w="0" w:type="auto"/>
            <w:vAlign w:val="bottom"/>
            <w:hideMark/>
          </w:tcPr>
          <w:p w14:paraId="7E3704A5" w14:textId="77777777" w:rsidR="00070AF1" w:rsidRPr="00070AF1" w:rsidRDefault="00070AF1" w:rsidP="00070AF1">
            <w:pPr>
              <w:jc w:val="both"/>
              <w:rPr>
                <w:rFonts w:ascii="Times New Roman" w:hAnsi="Times New Roman" w:cs="Times New Roman"/>
              </w:rPr>
            </w:pPr>
            <w:r w:rsidRPr="00070AF1">
              <w:rPr>
                <w:rFonts w:ascii="Times New Roman" w:hAnsi="Times New Roman" w:cs="Times New Roman"/>
              </w:rPr>
              <w:t>22</w:t>
            </w:r>
          </w:p>
        </w:tc>
        <w:tc>
          <w:tcPr>
            <w:tcW w:w="1721" w:type="dxa"/>
            <w:vAlign w:val="bottom"/>
            <w:hideMark/>
          </w:tcPr>
          <w:p w14:paraId="1FBA1798" w14:textId="77777777" w:rsidR="00070AF1" w:rsidRPr="00070AF1" w:rsidRDefault="00070AF1" w:rsidP="00070AF1">
            <w:pPr>
              <w:jc w:val="both"/>
              <w:rPr>
                <w:rFonts w:ascii="Times New Roman" w:hAnsi="Times New Roman" w:cs="Times New Roman"/>
              </w:rPr>
            </w:pPr>
            <w:r w:rsidRPr="00070AF1">
              <w:rPr>
                <w:rFonts w:ascii="Times New Roman" w:hAnsi="Times New Roman" w:cs="Times New Roman"/>
              </w:rPr>
              <w:t>11.6</w:t>
            </w:r>
          </w:p>
        </w:tc>
      </w:tr>
      <w:tr w:rsidR="00070AF1" w:rsidRPr="00070AF1" w14:paraId="591F3141" w14:textId="77777777" w:rsidTr="000F7953">
        <w:tc>
          <w:tcPr>
            <w:tcW w:w="2517" w:type="dxa"/>
            <w:vAlign w:val="bottom"/>
            <w:hideMark/>
          </w:tcPr>
          <w:p w14:paraId="30EA5794" w14:textId="77777777" w:rsidR="00070AF1" w:rsidRPr="00070AF1" w:rsidRDefault="00070AF1" w:rsidP="00070AF1">
            <w:pPr>
              <w:jc w:val="both"/>
              <w:rPr>
                <w:rFonts w:ascii="Times New Roman" w:hAnsi="Times New Roman" w:cs="Times New Roman"/>
              </w:rPr>
            </w:pPr>
            <w:r w:rsidRPr="00070AF1">
              <w:rPr>
                <w:rFonts w:ascii="Times New Roman" w:hAnsi="Times New Roman" w:cs="Times New Roman"/>
              </w:rPr>
              <w:t>Professional Unit</w:t>
            </w:r>
          </w:p>
        </w:tc>
        <w:tc>
          <w:tcPr>
            <w:tcW w:w="3330" w:type="dxa"/>
            <w:vAlign w:val="bottom"/>
            <w:hideMark/>
          </w:tcPr>
          <w:p w14:paraId="292E9113" w14:textId="77777777" w:rsidR="00070AF1" w:rsidRPr="00070AF1" w:rsidRDefault="00070AF1" w:rsidP="00070AF1">
            <w:pPr>
              <w:jc w:val="both"/>
              <w:rPr>
                <w:rFonts w:ascii="Times New Roman" w:hAnsi="Times New Roman" w:cs="Times New Roman"/>
              </w:rPr>
            </w:pPr>
            <w:r w:rsidRPr="00070AF1">
              <w:rPr>
                <w:rFonts w:ascii="Times New Roman" w:hAnsi="Times New Roman" w:cs="Times New Roman"/>
              </w:rPr>
              <w:t>Planning</w:t>
            </w:r>
          </w:p>
        </w:tc>
        <w:tc>
          <w:tcPr>
            <w:tcW w:w="0" w:type="auto"/>
            <w:vAlign w:val="bottom"/>
            <w:hideMark/>
          </w:tcPr>
          <w:p w14:paraId="7A80443D" w14:textId="77777777" w:rsidR="00070AF1" w:rsidRPr="00070AF1" w:rsidRDefault="00070AF1" w:rsidP="00070AF1">
            <w:pPr>
              <w:jc w:val="both"/>
              <w:rPr>
                <w:rFonts w:ascii="Times New Roman" w:hAnsi="Times New Roman" w:cs="Times New Roman"/>
              </w:rPr>
            </w:pPr>
            <w:r w:rsidRPr="00070AF1">
              <w:rPr>
                <w:rFonts w:ascii="Times New Roman" w:hAnsi="Times New Roman" w:cs="Times New Roman"/>
              </w:rPr>
              <w:t>52</w:t>
            </w:r>
          </w:p>
        </w:tc>
        <w:tc>
          <w:tcPr>
            <w:tcW w:w="1721" w:type="dxa"/>
            <w:vAlign w:val="bottom"/>
            <w:hideMark/>
          </w:tcPr>
          <w:p w14:paraId="25C6DD29" w14:textId="77777777" w:rsidR="00070AF1" w:rsidRPr="00070AF1" w:rsidRDefault="00070AF1" w:rsidP="00070AF1">
            <w:pPr>
              <w:jc w:val="both"/>
              <w:rPr>
                <w:rFonts w:ascii="Times New Roman" w:hAnsi="Times New Roman" w:cs="Times New Roman"/>
              </w:rPr>
            </w:pPr>
            <w:r w:rsidRPr="00070AF1">
              <w:rPr>
                <w:rFonts w:ascii="Times New Roman" w:hAnsi="Times New Roman" w:cs="Times New Roman"/>
              </w:rPr>
              <w:t>27.4</w:t>
            </w:r>
          </w:p>
        </w:tc>
      </w:tr>
      <w:tr w:rsidR="00070AF1" w:rsidRPr="00070AF1" w14:paraId="7DF1061E" w14:textId="77777777" w:rsidTr="000F7953">
        <w:tc>
          <w:tcPr>
            <w:tcW w:w="2517" w:type="dxa"/>
            <w:vAlign w:val="bottom"/>
            <w:hideMark/>
          </w:tcPr>
          <w:p w14:paraId="1CB16FC5" w14:textId="77777777" w:rsidR="00070AF1" w:rsidRPr="00070AF1" w:rsidRDefault="00070AF1" w:rsidP="00070AF1">
            <w:pPr>
              <w:jc w:val="both"/>
              <w:rPr>
                <w:rFonts w:ascii="Times New Roman" w:hAnsi="Times New Roman" w:cs="Times New Roman"/>
              </w:rPr>
            </w:pPr>
          </w:p>
        </w:tc>
        <w:tc>
          <w:tcPr>
            <w:tcW w:w="3330" w:type="dxa"/>
            <w:vAlign w:val="bottom"/>
            <w:hideMark/>
          </w:tcPr>
          <w:p w14:paraId="5E199448" w14:textId="77777777" w:rsidR="00070AF1" w:rsidRPr="00070AF1" w:rsidRDefault="00070AF1" w:rsidP="00070AF1">
            <w:pPr>
              <w:jc w:val="both"/>
              <w:rPr>
                <w:rFonts w:ascii="Times New Roman" w:hAnsi="Times New Roman" w:cs="Times New Roman"/>
              </w:rPr>
            </w:pPr>
            <w:r w:rsidRPr="00070AF1">
              <w:rPr>
                <w:rFonts w:ascii="Times New Roman" w:hAnsi="Times New Roman" w:cs="Times New Roman"/>
              </w:rPr>
              <w:t>Budgeting</w:t>
            </w:r>
          </w:p>
        </w:tc>
        <w:tc>
          <w:tcPr>
            <w:tcW w:w="0" w:type="auto"/>
            <w:vAlign w:val="bottom"/>
            <w:hideMark/>
          </w:tcPr>
          <w:p w14:paraId="165A8572" w14:textId="77777777" w:rsidR="00070AF1" w:rsidRPr="00070AF1" w:rsidRDefault="00070AF1" w:rsidP="00070AF1">
            <w:pPr>
              <w:jc w:val="both"/>
              <w:rPr>
                <w:rFonts w:ascii="Times New Roman" w:hAnsi="Times New Roman" w:cs="Times New Roman"/>
              </w:rPr>
            </w:pPr>
            <w:r w:rsidRPr="00070AF1">
              <w:rPr>
                <w:rFonts w:ascii="Times New Roman" w:hAnsi="Times New Roman" w:cs="Times New Roman"/>
              </w:rPr>
              <w:t>48</w:t>
            </w:r>
          </w:p>
        </w:tc>
        <w:tc>
          <w:tcPr>
            <w:tcW w:w="1721" w:type="dxa"/>
            <w:vAlign w:val="bottom"/>
            <w:hideMark/>
          </w:tcPr>
          <w:p w14:paraId="29BE207C" w14:textId="77777777" w:rsidR="00070AF1" w:rsidRPr="00070AF1" w:rsidRDefault="00070AF1" w:rsidP="00070AF1">
            <w:pPr>
              <w:jc w:val="both"/>
              <w:rPr>
                <w:rFonts w:ascii="Times New Roman" w:hAnsi="Times New Roman" w:cs="Times New Roman"/>
              </w:rPr>
            </w:pPr>
            <w:r w:rsidRPr="00070AF1">
              <w:rPr>
                <w:rFonts w:ascii="Times New Roman" w:hAnsi="Times New Roman" w:cs="Times New Roman"/>
              </w:rPr>
              <w:t>25.3</w:t>
            </w:r>
          </w:p>
        </w:tc>
      </w:tr>
      <w:tr w:rsidR="00070AF1" w:rsidRPr="00070AF1" w14:paraId="2A4F2D4F" w14:textId="77777777" w:rsidTr="000F7953">
        <w:tc>
          <w:tcPr>
            <w:tcW w:w="2517" w:type="dxa"/>
            <w:vAlign w:val="bottom"/>
            <w:hideMark/>
          </w:tcPr>
          <w:p w14:paraId="22849B45" w14:textId="77777777" w:rsidR="00070AF1" w:rsidRPr="00070AF1" w:rsidRDefault="00070AF1" w:rsidP="00070AF1">
            <w:pPr>
              <w:jc w:val="both"/>
              <w:rPr>
                <w:rFonts w:ascii="Times New Roman" w:hAnsi="Times New Roman" w:cs="Times New Roman"/>
              </w:rPr>
            </w:pPr>
          </w:p>
        </w:tc>
        <w:tc>
          <w:tcPr>
            <w:tcW w:w="3330" w:type="dxa"/>
            <w:vAlign w:val="bottom"/>
            <w:hideMark/>
          </w:tcPr>
          <w:p w14:paraId="54456EF9" w14:textId="77777777" w:rsidR="00070AF1" w:rsidRPr="00070AF1" w:rsidRDefault="00070AF1" w:rsidP="00070AF1">
            <w:pPr>
              <w:jc w:val="both"/>
              <w:rPr>
                <w:rFonts w:ascii="Times New Roman" w:hAnsi="Times New Roman" w:cs="Times New Roman"/>
              </w:rPr>
            </w:pPr>
            <w:r w:rsidRPr="00070AF1">
              <w:rPr>
                <w:rFonts w:ascii="Times New Roman" w:hAnsi="Times New Roman" w:cs="Times New Roman"/>
              </w:rPr>
              <w:t>Finance/Accounts</w:t>
            </w:r>
          </w:p>
        </w:tc>
        <w:tc>
          <w:tcPr>
            <w:tcW w:w="0" w:type="auto"/>
            <w:vAlign w:val="bottom"/>
            <w:hideMark/>
          </w:tcPr>
          <w:p w14:paraId="06BF162F" w14:textId="77777777" w:rsidR="00070AF1" w:rsidRPr="00070AF1" w:rsidRDefault="00070AF1" w:rsidP="00070AF1">
            <w:pPr>
              <w:jc w:val="both"/>
              <w:rPr>
                <w:rFonts w:ascii="Times New Roman" w:hAnsi="Times New Roman" w:cs="Times New Roman"/>
              </w:rPr>
            </w:pPr>
            <w:r w:rsidRPr="00070AF1">
              <w:rPr>
                <w:rFonts w:ascii="Times New Roman" w:hAnsi="Times New Roman" w:cs="Times New Roman"/>
              </w:rPr>
              <w:t>51</w:t>
            </w:r>
          </w:p>
        </w:tc>
        <w:tc>
          <w:tcPr>
            <w:tcW w:w="1721" w:type="dxa"/>
            <w:vAlign w:val="bottom"/>
            <w:hideMark/>
          </w:tcPr>
          <w:p w14:paraId="6BC2C6BD" w14:textId="77777777" w:rsidR="00070AF1" w:rsidRPr="00070AF1" w:rsidRDefault="00070AF1" w:rsidP="00070AF1">
            <w:pPr>
              <w:jc w:val="both"/>
              <w:rPr>
                <w:rFonts w:ascii="Times New Roman" w:hAnsi="Times New Roman" w:cs="Times New Roman"/>
              </w:rPr>
            </w:pPr>
            <w:r w:rsidRPr="00070AF1">
              <w:rPr>
                <w:rFonts w:ascii="Times New Roman" w:hAnsi="Times New Roman" w:cs="Times New Roman"/>
              </w:rPr>
              <w:t>26.8</w:t>
            </w:r>
          </w:p>
        </w:tc>
      </w:tr>
      <w:tr w:rsidR="00070AF1" w:rsidRPr="00070AF1" w14:paraId="2C92C5C3" w14:textId="77777777" w:rsidTr="000F7953">
        <w:tc>
          <w:tcPr>
            <w:tcW w:w="2517" w:type="dxa"/>
            <w:vAlign w:val="bottom"/>
            <w:hideMark/>
          </w:tcPr>
          <w:p w14:paraId="3A89F1DD" w14:textId="77777777" w:rsidR="00070AF1" w:rsidRPr="00070AF1" w:rsidRDefault="00070AF1" w:rsidP="00070AF1">
            <w:pPr>
              <w:jc w:val="both"/>
              <w:rPr>
                <w:rFonts w:ascii="Times New Roman" w:hAnsi="Times New Roman" w:cs="Times New Roman"/>
              </w:rPr>
            </w:pPr>
          </w:p>
        </w:tc>
        <w:tc>
          <w:tcPr>
            <w:tcW w:w="3330" w:type="dxa"/>
            <w:vAlign w:val="bottom"/>
            <w:hideMark/>
          </w:tcPr>
          <w:p w14:paraId="59106DAC" w14:textId="77777777" w:rsidR="00070AF1" w:rsidRPr="00070AF1" w:rsidRDefault="00070AF1" w:rsidP="00070AF1">
            <w:pPr>
              <w:jc w:val="both"/>
              <w:rPr>
                <w:rFonts w:ascii="Times New Roman" w:hAnsi="Times New Roman" w:cs="Times New Roman"/>
              </w:rPr>
            </w:pPr>
            <w:r w:rsidRPr="00070AF1">
              <w:rPr>
                <w:rFonts w:ascii="Times New Roman" w:hAnsi="Times New Roman" w:cs="Times New Roman"/>
              </w:rPr>
              <w:t>Internal Audit</w:t>
            </w:r>
          </w:p>
        </w:tc>
        <w:tc>
          <w:tcPr>
            <w:tcW w:w="0" w:type="auto"/>
            <w:vAlign w:val="bottom"/>
            <w:hideMark/>
          </w:tcPr>
          <w:p w14:paraId="664C36C6" w14:textId="77777777" w:rsidR="00070AF1" w:rsidRPr="00070AF1" w:rsidRDefault="00070AF1" w:rsidP="00070AF1">
            <w:pPr>
              <w:jc w:val="both"/>
              <w:rPr>
                <w:rFonts w:ascii="Times New Roman" w:hAnsi="Times New Roman" w:cs="Times New Roman"/>
              </w:rPr>
            </w:pPr>
            <w:r w:rsidRPr="00070AF1">
              <w:rPr>
                <w:rFonts w:ascii="Times New Roman" w:hAnsi="Times New Roman" w:cs="Times New Roman"/>
              </w:rPr>
              <w:t>39</w:t>
            </w:r>
          </w:p>
        </w:tc>
        <w:tc>
          <w:tcPr>
            <w:tcW w:w="1721" w:type="dxa"/>
            <w:vAlign w:val="bottom"/>
            <w:hideMark/>
          </w:tcPr>
          <w:p w14:paraId="14DE3B39" w14:textId="77777777" w:rsidR="00070AF1" w:rsidRPr="00070AF1" w:rsidRDefault="00070AF1" w:rsidP="00070AF1">
            <w:pPr>
              <w:jc w:val="both"/>
              <w:rPr>
                <w:rFonts w:ascii="Times New Roman" w:hAnsi="Times New Roman" w:cs="Times New Roman"/>
              </w:rPr>
            </w:pPr>
            <w:r w:rsidRPr="00070AF1">
              <w:rPr>
                <w:rFonts w:ascii="Times New Roman" w:hAnsi="Times New Roman" w:cs="Times New Roman"/>
              </w:rPr>
              <w:t>20.5</w:t>
            </w:r>
          </w:p>
        </w:tc>
      </w:tr>
      <w:tr w:rsidR="00070AF1" w:rsidRPr="00070AF1" w14:paraId="404C86E7" w14:textId="77777777" w:rsidTr="000F7953">
        <w:tc>
          <w:tcPr>
            <w:tcW w:w="2517" w:type="dxa"/>
            <w:vAlign w:val="bottom"/>
            <w:hideMark/>
          </w:tcPr>
          <w:p w14:paraId="15B98B55" w14:textId="77777777" w:rsidR="00070AF1" w:rsidRPr="00070AF1" w:rsidRDefault="00070AF1" w:rsidP="00070AF1">
            <w:pPr>
              <w:jc w:val="both"/>
              <w:rPr>
                <w:rFonts w:ascii="Times New Roman" w:hAnsi="Times New Roman" w:cs="Times New Roman"/>
              </w:rPr>
            </w:pPr>
            <w:r w:rsidRPr="00070AF1">
              <w:rPr>
                <w:rFonts w:ascii="Times New Roman" w:hAnsi="Times New Roman" w:cs="Times New Roman"/>
              </w:rPr>
              <w:t>Years of Experience</w:t>
            </w:r>
          </w:p>
        </w:tc>
        <w:tc>
          <w:tcPr>
            <w:tcW w:w="3330" w:type="dxa"/>
            <w:vAlign w:val="bottom"/>
            <w:hideMark/>
          </w:tcPr>
          <w:p w14:paraId="0A22E5EB" w14:textId="77777777" w:rsidR="00070AF1" w:rsidRPr="00070AF1" w:rsidRDefault="00070AF1" w:rsidP="00070AF1">
            <w:pPr>
              <w:jc w:val="both"/>
              <w:rPr>
                <w:rFonts w:ascii="Times New Roman" w:hAnsi="Times New Roman" w:cs="Times New Roman"/>
              </w:rPr>
            </w:pPr>
            <w:r w:rsidRPr="00070AF1">
              <w:rPr>
                <w:rFonts w:ascii="Times New Roman" w:hAnsi="Times New Roman" w:cs="Times New Roman"/>
              </w:rPr>
              <w:t>Mean = 15.7 years, SD = 4.1</w:t>
            </w:r>
          </w:p>
        </w:tc>
        <w:tc>
          <w:tcPr>
            <w:tcW w:w="0" w:type="auto"/>
            <w:vAlign w:val="center"/>
            <w:hideMark/>
          </w:tcPr>
          <w:p w14:paraId="77DB1806" w14:textId="77777777" w:rsidR="00070AF1" w:rsidRPr="00070AF1" w:rsidRDefault="00070AF1" w:rsidP="00070AF1">
            <w:pPr>
              <w:jc w:val="both"/>
              <w:rPr>
                <w:rFonts w:ascii="Times New Roman" w:hAnsi="Times New Roman" w:cs="Times New Roman"/>
              </w:rPr>
            </w:pPr>
          </w:p>
        </w:tc>
        <w:tc>
          <w:tcPr>
            <w:tcW w:w="1721" w:type="dxa"/>
            <w:vAlign w:val="center"/>
            <w:hideMark/>
          </w:tcPr>
          <w:p w14:paraId="2B358C1A" w14:textId="77777777" w:rsidR="00070AF1" w:rsidRPr="00070AF1" w:rsidRDefault="00070AF1" w:rsidP="00070AF1">
            <w:pPr>
              <w:jc w:val="both"/>
              <w:rPr>
                <w:rFonts w:ascii="Times New Roman" w:hAnsi="Times New Roman" w:cs="Times New Roman"/>
              </w:rPr>
            </w:pPr>
          </w:p>
        </w:tc>
      </w:tr>
    </w:tbl>
    <w:p w14:paraId="02A35964" w14:textId="043F7715" w:rsidR="000F73DD" w:rsidRPr="000F7953" w:rsidRDefault="00070AF1" w:rsidP="0035604E">
      <w:pPr>
        <w:jc w:val="both"/>
        <w:rPr>
          <w:rFonts w:ascii="Times New Roman" w:hAnsi="Times New Roman" w:cs="Times New Roman"/>
          <w:b/>
          <w:bCs/>
          <w:i/>
          <w:iCs/>
        </w:rPr>
      </w:pPr>
      <w:r w:rsidRPr="000F7953">
        <w:rPr>
          <w:rFonts w:ascii="Times New Roman" w:hAnsi="Times New Roman" w:cs="Times New Roman"/>
          <w:b/>
          <w:bCs/>
          <w:i/>
          <w:iCs/>
        </w:rPr>
        <w:t xml:space="preserve">Source: </w:t>
      </w:r>
      <w:r w:rsidR="000F7953" w:rsidRPr="000F7953">
        <w:rPr>
          <w:rFonts w:ascii="Times New Roman" w:hAnsi="Times New Roman" w:cs="Times New Roman"/>
          <w:b/>
          <w:bCs/>
          <w:i/>
          <w:iCs/>
        </w:rPr>
        <w:t>Authors’ Computation (2026)</w:t>
      </w:r>
    </w:p>
    <w:p w14:paraId="00B3B236" w14:textId="77777777" w:rsidR="00070AF1" w:rsidRPr="00070AF1" w:rsidRDefault="00070AF1" w:rsidP="00070AF1">
      <w:pPr>
        <w:jc w:val="both"/>
        <w:rPr>
          <w:rFonts w:ascii="Times New Roman" w:hAnsi="Times New Roman" w:cs="Times New Roman"/>
        </w:rPr>
      </w:pPr>
      <w:r w:rsidRPr="00070AF1">
        <w:rPr>
          <w:rFonts w:ascii="Times New Roman" w:hAnsi="Times New Roman" w:cs="Times New Roman"/>
        </w:rPr>
        <w:t>A total of 190 valid responses were collected from staff across 22 ministries in Ekiti State. The demographic characteristics of the respondents are presented in Table 1. Among the respondents, 111 (58.4%) were male and 79 (41.6%) were female. The majority fell within the 35–44 years age group (80 respondents, 42.1%), followed by those aged 45–54 years (56 respondents, 29.5%), 25–34 years (32 respondents, 16.8%), and 55 years and above (22 respondents, 11.6%).</w:t>
      </w:r>
    </w:p>
    <w:p w14:paraId="6D661800" w14:textId="08C87EFD" w:rsidR="00070AF1" w:rsidRPr="00051F63" w:rsidRDefault="00070AF1" w:rsidP="00070AF1">
      <w:pPr>
        <w:jc w:val="both"/>
        <w:rPr>
          <w:rFonts w:ascii="Times New Roman" w:hAnsi="Times New Roman" w:cs="Times New Roman"/>
        </w:rPr>
      </w:pPr>
      <w:r w:rsidRPr="00070AF1">
        <w:rPr>
          <w:rFonts w:ascii="Times New Roman" w:hAnsi="Times New Roman" w:cs="Times New Roman"/>
        </w:rPr>
        <w:t>In terms of professional cadre, 52 respondents (27.4%) worked in Planning units, 48 (25.3%) in Budget units, 51 (26.8%) in Finance/Accounts, and 39 (20.5%) in Internal Audit. The average years of work ex</w:t>
      </w:r>
      <w:bookmarkStart w:id="0" w:name="_GoBack"/>
      <w:bookmarkEnd w:id="0"/>
      <w:r w:rsidRPr="00070AF1">
        <w:rPr>
          <w:rFonts w:ascii="Times New Roman" w:hAnsi="Times New Roman" w:cs="Times New Roman"/>
        </w:rPr>
        <w:t>perience among respondents was 15.7 years (SD = 4.1), indicating a highly experienced workforce.</w:t>
      </w:r>
    </w:p>
    <w:p w14:paraId="2FC1CC85" w14:textId="62F108CF" w:rsidR="00070AF1" w:rsidRPr="0079199A" w:rsidRDefault="000F7953" w:rsidP="00070AF1">
      <w:pPr>
        <w:rPr>
          <w:rFonts w:ascii="Times New Roman" w:hAnsi="Times New Roman" w:cs="Times New Roman"/>
          <w:b/>
          <w:bCs/>
        </w:rPr>
      </w:pPr>
      <w:r>
        <w:rPr>
          <w:rFonts w:ascii="Times New Roman" w:hAnsi="Times New Roman" w:cs="Times New Roman"/>
          <w:b/>
          <w:bCs/>
        </w:rPr>
        <w:t xml:space="preserve">4.2 </w:t>
      </w:r>
      <w:r w:rsidR="00070AF1" w:rsidRPr="0079199A">
        <w:rPr>
          <w:rFonts w:ascii="Times New Roman" w:hAnsi="Times New Roman" w:cs="Times New Roman"/>
          <w:b/>
          <w:bCs/>
        </w:rPr>
        <w:t>Descriptive Statistics</w:t>
      </w:r>
    </w:p>
    <w:p w14:paraId="78763E21" w14:textId="77777777" w:rsidR="00070AF1" w:rsidRPr="0079199A" w:rsidRDefault="00070AF1" w:rsidP="00070AF1">
      <w:pPr>
        <w:rPr>
          <w:rFonts w:ascii="Times New Roman" w:hAnsi="Times New Roman" w:cs="Times New Roman"/>
        </w:rPr>
      </w:pPr>
      <w:r w:rsidRPr="0079199A">
        <w:rPr>
          <w:rFonts w:ascii="Times New Roman" w:hAnsi="Times New Roman" w:cs="Times New Roman"/>
          <w:b/>
          <w:bCs/>
        </w:rPr>
        <w:lastRenderedPageBreak/>
        <w:t>Table 2: Descriptive Statistics for Main Variables</w:t>
      </w:r>
    </w:p>
    <w:tbl>
      <w:tblPr>
        <w:tblW w:w="8387"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5577"/>
        <w:gridCol w:w="1625"/>
        <w:gridCol w:w="1185"/>
      </w:tblGrid>
      <w:tr w:rsidR="00070AF1" w:rsidRPr="0079199A" w14:paraId="41D14384" w14:textId="77777777" w:rsidTr="000F7953">
        <w:tc>
          <w:tcPr>
            <w:tcW w:w="5577" w:type="dxa"/>
            <w:tcBorders>
              <w:top w:val="single" w:sz="4" w:space="0" w:color="auto"/>
              <w:bottom w:val="single" w:sz="4" w:space="0" w:color="auto"/>
            </w:tcBorders>
            <w:noWrap/>
            <w:vAlign w:val="bottom"/>
            <w:hideMark/>
          </w:tcPr>
          <w:p w14:paraId="6B3A82FA" w14:textId="77777777" w:rsidR="00070AF1" w:rsidRPr="0079199A" w:rsidRDefault="00070AF1" w:rsidP="00E853E9">
            <w:pPr>
              <w:rPr>
                <w:rFonts w:ascii="Times New Roman" w:hAnsi="Times New Roman" w:cs="Times New Roman"/>
                <w:b/>
                <w:bCs/>
              </w:rPr>
            </w:pPr>
            <w:r w:rsidRPr="0079199A">
              <w:rPr>
                <w:rFonts w:ascii="Times New Roman" w:hAnsi="Times New Roman" w:cs="Times New Roman"/>
                <w:b/>
                <w:bCs/>
              </w:rPr>
              <w:t>Variable</w:t>
            </w:r>
          </w:p>
        </w:tc>
        <w:tc>
          <w:tcPr>
            <w:tcW w:w="0" w:type="auto"/>
            <w:tcBorders>
              <w:top w:val="single" w:sz="4" w:space="0" w:color="auto"/>
              <w:bottom w:val="single" w:sz="4" w:space="0" w:color="auto"/>
            </w:tcBorders>
            <w:noWrap/>
            <w:vAlign w:val="bottom"/>
            <w:hideMark/>
          </w:tcPr>
          <w:p w14:paraId="3EBFAEED" w14:textId="77777777" w:rsidR="00070AF1" w:rsidRPr="0079199A" w:rsidRDefault="00070AF1" w:rsidP="00E853E9">
            <w:pPr>
              <w:rPr>
                <w:rFonts w:ascii="Times New Roman" w:hAnsi="Times New Roman" w:cs="Times New Roman"/>
                <w:b/>
                <w:bCs/>
              </w:rPr>
            </w:pPr>
            <w:r w:rsidRPr="0079199A">
              <w:rPr>
                <w:rFonts w:ascii="Times New Roman" w:hAnsi="Times New Roman" w:cs="Times New Roman"/>
                <w:b/>
                <w:bCs/>
              </w:rPr>
              <w:t>Mean</w:t>
            </w:r>
          </w:p>
        </w:tc>
        <w:tc>
          <w:tcPr>
            <w:tcW w:w="0" w:type="auto"/>
            <w:tcBorders>
              <w:top w:val="single" w:sz="4" w:space="0" w:color="auto"/>
              <w:bottom w:val="single" w:sz="4" w:space="0" w:color="auto"/>
            </w:tcBorders>
            <w:noWrap/>
            <w:vAlign w:val="bottom"/>
            <w:hideMark/>
          </w:tcPr>
          <w:p w14:paraId="5AA6888C" w14:textId="77777777" w:rsidR="00070AF1" w:rsidRPr="0079199A" w:rsidRDefault="00070AF1" w:rsidP="00E853E9">
            <w:pPr>
              <w:rPr>
                <w:rFonts w:ascii="Times New Roman" w:hAnsi="Times New Roman" w:cs="Times New Roman"/>
                <w:b/>
                <w:bCs/>
              </w:rPr>
            </w:pPr>
            <w:r w:rsidRPr="0079199A">
              <w:rPr>
                <w:rFonts w:ascii="Times New Roman" w:hAnsi="Times New Roman" w:cs="Times New Roman"/>
                <w:b/>
                <w:bCs/>
              </w:rPr>
              <w:t>SD</w:t>
            </w:r>
          </w:p>
        </w:tc>
      </w:tr>
      <w:tr w:rsidR="00070AF1" w:rsidRPr="0079199A" w14:paraId="1E9F707E" w14:textId="77777777" w:rsidTr="000F7953">
        <w:tc>
          <w:tcPr>
            <w:tcW w:w="5577" w:type="dxa"/>
            <w:tcBorders>
              <w:top w:val="single" w:sz="4" w:space="0" w:color="auto"/>
            </w:tcBorders>
            <w:vAlign w:val="bottom"/>
            <w:hideMark/>
          </w:tcPr>
          <w:p w14:paraId="141804EF" w14:textId="77777777" w:rsidR="00070AF1" w:rsidRPr="0079199A" w:rsidRDefault="00070AF1" w:rsidP="00E853E9">
            <w:pPr>
              <w:rPr>
                <w:rFonts w:ascii="Times New Roman" w:hAnsi="Times New Roman" w:cs="Times New Roman"/>
              </w:rPr>
            </w:pPr>
            <w:r w:rsidRPr="0079199A">
              <w:rPr>
                <w:rFonts w:ascii="Times New Roman" w:hAnsi="Times New Roman" w:cs="Times New Roman"/>
              </w:rPr>
              <w:t>Strategic Planning Integration</w:t>
            </w:r>
          </w:p>
        </w:tc>
        <w:tc>
          <w:tcPr>
            <w:tcW w:w="0" w:type="auto"/>
            <w:tcBorders>
              <w:top w:val="single" w:sz="4" w:space="0" w:color="auto"/>
            </w:tcBorders>
            <w:vAlign w:val="bottom"/>
            <w:hideMark/>
          </w:tcPr>
          <w:p w14:paraId="78820077" w14:textId="77777777" w:rsidR="00070AF1" w:rsidRPr="0079199A" w:rsidRDefault="00070AF1" w:rsidP="00E853E9">
            <w:pPr>
              <w:rPr>
                <w:rFonts w:ascii="Times New Roman" w:hAnsi="Times New Roman" w:cs="Times New Roman"/>
              </w:rPr>
            </w:pPr>
            <w:r w:rsidRPr="0079199A">
              <w:rPr>
                <w:rFonts w:ascii="Times New Roman" w:hAnsi="Times New Roman" w:cs="Times New Roman"/>
              </w:rPr>
              <w:t>3.63</w:t>
            </w:r>
          </w:p>
        </w:tc>
        <w:tc>
          <w:tcPr>
            <w:tcW w:w="0" w:type="auto"/>
            <w:tcBorders>
              <w:top w:val="single" w:sz="4" w:space="0" w:color="auto"/>
            </w:tcBorders>
            <w:vAlign w:val="bottom"/>
            <w:hideMark/>
          </w:tcPr>
          <w:p w14:paraId="2E58C58D" w14:textId="77777777" w:rsidR="00070AF1" w:rsidRPr="0079199A" w:rsidRDefault="00070AF1" w:rsidP="00E853E9">
            <w:pPr>
              <w:rPr>
                <w:rFonts w:ascii="Times New Roman" w:hAnsi="Times New Roman" w:cs="Times New Roman"/>
              </w:rPr>
            </w:pPr>
            <w:r w:rsidRPr="0079199A">
              <w:rPr>
                <w:rFonts w:ascii="Times New Roman" w:hAnsi="Times New Roman" w:cs="Times New Roman"/>
              </w:rPr>
              <w:t>0.77</w:t>
            </w:r>
          </w:p>
        </w:tc>
      </w:tr>
      <w:tr w:rsidR="00070AF1" w:rsidRPr="0079199A" w14:paraId="54BA7FF8" w14:textId="77777777" w:rsidTr="000F7953">
        <w:tc>
          <w:tcPr>
            <w:tcW w:w="5577" w:type="dxa"/>
            <w:vAlign w:val="bottom"/>
            <w:hideMark/>
          </w:tcPr>
          <w:p w14:paraId="65AB4313" w14:textId="77777777" w:rsidR="00070AF1" w:rsidRPr="0079199A" w:rsidRDefault="00070AF1" w:rsidP="00E853E9">
            <w:pPr>
              <w:rPr>
                <w:rFonts w:ascii="Times New Roman" w:hAnsi="Times New Roman" w:cs="Times New Roman"/>
              </w:rPr>
            </w:pPr>
            <w:r w:rsidRPr="0079199A">
              <w:rPr>
                <w:rFonts w:ascii="Times New Roman" w:hAnsi="Times New Roman" w:cs="Times New Roman"/>
              </w:rPr>
              <w:t>Budget Participation</w:t>
            </w:r>
          </w:p>
        </w:tc>
        <w:tc>
          <w:tcPr>
            <w:tcW w:w="0" w:type="auto"/>
            <w:vAlign w:val="bottom"/>
            <w:hideMark/>
          </w:tcPr>
          <w:p w14:paraId="76391DAB" w14:textId="77777777" w:rsidR="00070AF1" w:rsidRPr="0079199A" w:rsidRDefault="00070AF1" w:rsidP="00E853E9">
            <w:pPr>
              <w:rPr>
                <w:rFonts w:ascii="Times New Roman" w:hAnsi="Times New Roman" w:cs="Times New Roman"/>
              </w:rPr>
            </w:pPr>
            <w:r w:rsidRPr="0079199A">
              <w:rPr>
                <w:rFonts w:ascii="Times New Roman" w:hAnsi="Times New Roman" w:cs="Times New Roman"/>
              </w:rPr>
              <w:t>3.57</w:t>
            </w:r>
          </w:p>
        </w:tc>
        <w:tc>
          <w:tcPr>
            <w:tcW w:w="0" w:type="auto"/>
            <w:vAlign w:val="bottom"/>
            <w:hideMark/>
          </w:tcPr>
          <w:p w14:paraId="08342D4C" w14:textId="77777777" w:rsidR="00070AF1" w:rsidRPr="0079199A" w:rsidRDefault="00070AF1" w:rsidP="00E853E9">
            <w:pPr>
              <w:rPr>
                <w:rFonts w:ascii="Times New Roman" w:hAnsi="Times New Roman" w:cs="Times New Roman"/>
              </w:rPr>
            </w:pPr>
            <w:r w:rsidRPr="0079199A">
              <w:rPr>
                <w:rFonts w:ascii="Times New Roman" w:hAnsi="Times New Roman" w:cs="Times New Roman"/>
              </w:rPr>
              <w:t>0.69</w:t>
            </w:r>
          </w:p>
        </w:tc>
      </w:tr>
      <w:tr w:rsidR="00070AF1" w:rsidRPr="0079199A" w14:paraId="6A9504E2" w14:textId="77777777" w:rsidTr="000F7953">
        <w:tc>
          <w:tcPr>
            <w:tcW w:w="5577" w:type="dxa"/>
            <w:vAlign w:val="bottom"/>
            <w:hideMark/>
          </w:tcPr>
          <w:p w14:paraId="11CC3240" w14:textId="77777777" w:rsidR="00070AF1" w:rsidRPr="0079199A" w:rsidRDefault="00070AF1" w:rsidP="00E853E9">
            <w:pPr>
              <w:rPr>
                <w:rFonts w:ascii="Times New Roman" w:hAnsi="Times New Roman" w:cs="Times New Roman"/>
              </w:rPr>
            </w:pPr>
            <w:r w:rsidRPr="0079199A">
              <w:rPr>
                <w:rFonts w:ascii="Times New Roman" w:hAnsi="Times New Roman" w:cs="Times New Roman"/>
              </w:rPr>
              <w:t>Monitoring and Evaluation Systems</w:t>
            </w:r>
          </w:p>
        </w:tc>
        <w:tc>
          <w:tcPr>
            <w:tcW w:w="0" w:type="auto"/>
            <w:vAlign w:val="bottom"/>
            <w:hideMark/>
          </w:tcPr>
          <w:p w14:paraId="61B07CF7" w14:textId="77777777" w:rsidR="00070AF1" w:rsidRPr="0079199A" w:rsidRDefault="00070AF1" w:rsidP="00E853E9">
            <w:pPr>
              <w:rPr>
                <w:rFonts w:ascii="Times New Roman" w:hAnsi="Times New Roman" w:cs="Times New Roman"/>
              </w:rPr>
            </w:pPr>
            <w:r w:rsidRPr="0079199A">
              <w:rPr>
                <w:rFonts w:ascii="Times New Roman" w:hAnsi="Times New Roman" w:cs="Times New Roman"/>
              </w:rPr>
              <w:t>3.41</w:t>
            </w:r>
          </w:p>
        </w:tc>
        <w:tc>
          <w:tcPr>
            <w:tcW w:w="0" w:type="auto"/>
            <w:vAlign w:val="bottom"/>
            <w:hideMark/>
          </w:tcPr>
          <w:p w14:paraId="4AB70704" w14:textId="77777777" w:rsidR="00070AF1" w:rsidRPr="0079199A" w:rsidRDefault="00070AF1" w:rsidP="00E853E9">
            <w:pPr>
              <w:rPr>
                <w:rFonts w:ascii="Times New Roman" w:hAnsi="Times New Roman" w:cs="Times New Roman"/>
              </w:rPr>
            </w:pPr>
            <w:r w:rsidRPr="0079199A">
              <w:rPr>
                <w:rFonts w:ascii="Times New Roman" w:hAnsi="Times New Roman" w:cs="Times New Roman"/>
              </w:rPr>
              <w:t>0.91</w:t>
            </w:r>
          </w:p>
        </w:tc>
      </w:tr>
      <w:tr w:rsidR="00070AF1" w:rsidRPr="0079199A" w14:paraId="5474FF45" w14:textId="77777777" w:rsidTr="000F7953">
        <w:tc>
          <w:tcPr>
            <w:tcW w:w="5577" w:type="dxa"/>
            <w:vAlign w:val="bottom"/>
            <w:hideMark/>
          </w:tcPr>
          <w:p w14:paraId="71E94989" w14:textId="77777777" w:rsidR="00070AF1" w:rsidRPr="0079199A" w:rsidRDefault="00070AF1" w:rsidP="00E853E9">
            <w:pPr>
              <w:rPr>
                <w:rFonts w:ascii="Times New Roman" w:hAnsi="Times New Roman" w:cs="Times New Roman"/>
              </w:rPr>
            </w:pPr>
            <w:r w:rsidRPr="0079199A">
              <w:rPr>
                <w:rFonts w:ascii="Times New Roman" w:hAnsi="Times New Roman" w:cs="Times New Roman"/>
              </w:rPr>
              <w:t>Service Delivery Efficiency (SDE)</w:t>
            </w:r>
          </w:p>
        </w:tc>
        <w:tc>
          <w:tcPr>
            <w:tcW w:w="0" w:type="auto"/>
            <w:vAlign w:val="bottom"/>
            <w:hideMark/>
          </w:tcPr>
          <w:p w14:paraId="1DB6FB24" w14:textId="77777777" w:rsidR="00070AF1" w:rsidRPr="0079199A" w:rsidRDefault="00070AF1" w:rsidP="00E853E9">
            <w:pPr>
              <w:rPr>
                <w:rFonts w:ascii="Times New Roman" w:hAnsi="Times New Roman" w:cs="Times New Roman"/>
              </w:rPr>
            </w:pPr>
            <w:r w:rsidRPr="0079199A">
              <w:rPr>
                <w:rFonts w:ascii="Times New Roman" w:hAnsi="Times New Roman" w:cs="Times New Roman"/>
              </w:rPr>
              <w:t>3.50</w:t>
            </w:r>
          </w:p>
        </w:tc>
        <w:tc>
          <w:tcPr>
            <w:tcW w:w="0" w:type="auto"/>
            <w:vAlign w:val="bottom"/>
            <w:hideMark/>
          </w:tcPr>
          <w:p w14:paraId="0FCD5CFD" w14:textId="77777777" w:rsidR="00070AF1" w:rsidRPr="0079199A" w:rsidRDefault="00070AF1" w:rsidP="00E853E9">
            <w:pPr>
              <w:rPr>
                <w:rFonts w:ascii="Times New Roman" w:hAnsi="Times New Roman" w:cs="Times New Roman"/>
              </w:rPr>
            </w:pPr>
            <w:r w:rsidRPr="0079199A">
              <w:rPr>
                <w:rFonts w:ascii="Times New Roman" w:hAnsi="Times New Roman" w:cs="Times New Roman"/>
              </w:rPr>
              <w:t>0.67</w:t>
            </w:r>
          </w:p>
        </w:tc>
      </w:tr>
      <w:tr w:rsidR="00070AF1" w:rsidRPr="0079199A" w14:paraId="51B63AB5" w14:textId="77777777" w:rsidTr="000F7953">
        <w:tc>
          <w:tcPr>
            <w:tcW w:w="5577" w:type="dxa"/>
            <w:vAlign w:val="bottom"/>
            <w:hideMark/>
          </w:tcPr>
          <w:p w14:paraId="2771DE19" w14:textId="77777777" w:rsidR="00070AF1" w:rsidRPr="0079199A" w:rsidRDefault="00070AF1" w:rsidP="00E853E9">
            <w:pPr>
              <w:rPr>
                <w:rFonts w:ascii="Times New Roman" w:hAnsi="Times New Roman" w:cs="Times New Roman"/>
              </w:rPr>
            </w:pPr>
            <w:r w:rsidRPr="0079199A">
              <w:rPr>
                <w:rFonts w:ascii="Times New Roman" w:hAnsi="Times New Roman" w:cs="Times New Roman"/>
              </w:rPr>
              <w:t>– Timeliness</w:t>
            </w:r>
          </w:p>
        </w:tc>
        <w:tc>
          <w:tcPr>
            <w:tcW w:w="0" w:type="auto"/>
            <w:vAlign w:val="bottom"/>
            <w:hideMark/>
          </w:tcPr>
          <w:p w14:paraId="56622B5D" w14:textId="77777777" w:rsidR="00070AF1" w:rsidRPr="0079199A" w:rsidRDefault="00070AF1" w:rsidP="00E853E9">
            <w:pPr>
              <w:rPr>
                <w:rFonts w:ascii="Times New Roman" w:hAnsi="Times New Roman" w:cs="Times New Roman"/>
              </w:rPr>
            </w:pPr>
            <w:r w:rsidRPr="0079199A">
              <w:rPr>
                <w:rFonts w:ascii="Times New Roman" w:hAnsi="Times New Roman" w:cs="Times New Roman"/>
              </w:rPr>
              <w:t>3.47</w:t>
            </w:r>
          </w:p>
        </w:tc>
        <w:tc>
          <w:tcPr>
            <w:tcW w:w="0" w:type="auto"/>
            <w:vAlign w:val="bottom"/>
            <w:hideMark/>
          </w:tcPr>
          <w:p w14:paraId="0F26772A" w14:textId="77777777" w:rsidR="00070AF1" w:rsidRPr="0079199A" w:rsidRDefault="00070AF1" w:rsidP="00E853E9">
            <w:pPr>
              <w:rPr>
                <w:rFonts w:ascii="Times New Roman" w:hAnsi="Times New Roman" w:cs="Times New Roman"/>
              </w:rPr>
            </w:pPr>
            <w:r w:rsidRPr="0079199A">
              <w:rPr>
                <w:rFonts w:ascii="Times New Roman" w:hAnsi="Times New Roman" w:cs="Times New Roman"/>
              </w:rPr>
              <w:t>0.82</w:t>
            </w:r>
          </w:p>
        </w:tc>
      </w:tr>
      <w:tr w:rsidR="00070AF1" w:rsidRPr="0079199A" w14:paraId="32FF04FB" w14:textId="77777777" w:rsidTr="000F7953">
        <w:tc>
          <w:tcPr>
            <w:tcW w:w="5577" w:type="dxa"/>
            <w:vAlign w:val="bottom"/>
            <w:hideMark/>
          </w:tcPr>
          <w:p w14:paraId="56F71149" w14:textId="77777777" w:rsidR="00070AF1" w:rsidRPr="0079199A" w:rsidRDefault="00070AF1" w:rsidP="00E853E9">
            <w:pPr>
              <w:rPr>
                <w:rFonts w:ascii="Times New Roman" w:hAnsi="Times New Roman" w:cs="Times New Roman"/>
              </w:rPr>
            </w:pPr>
            <w:r w:rsidRPr="0079199A">
              <w:rPr>
                <w:rFonts w:ascii="Times New Roman" w:hAnsi="Times New Roman" w:cs="Times New Roman"/>
              </w:rPr>
              <w:t>– Cost Efficiency</w:t>
            </w:r>
          </w:p>
        </w:tc>
        <w:tc>
          <w:tcPr>
            <w:tcW w:w="0" w:type="auto"/>
            <w:vAlign w:val="bottom"/>
            <w:hideMark/>
          </w:tcPr>
          <w:p w14:paraId="5F5F0E0F" w14:textId="77777777" w:rsidR="00070AF1" w:rsidRPr="0079199A" w:rsidRDefault="00070AF1" w:rsidP="00E853E9">
            <w:pPr>
              <w:rPr>
                <w:rFonts w:ascii="Times New Roman" w:hAnsi="Times New Roman" w:cs="Times New Roman"/>
              </w:rPr>
            </w:pPr>
            <w:r w:rsidRPr="0079199A">
              <w:rPr>
                <w:rFonts w:ascii="Times New Roman" w:hAnsi="Times New Roman" w:cs="Times New Roman"/>
              </w:rPr>
              <w:t>3.54</w:t>
            </w:r>
          </w:p>
        </w:tc>
        <w:tc>
          <w:tcPr>
            <w:tcW w:w="0" w:type="auto"/>
            <w:vAlign w:val="bottom"/>
            <w:hideMark/>
          </w:tcPr>
          <w:p w14:paraId="5CAB4EE8" w14:textId="77777777" w:rsidR="00070AF1" w:rsidRPr="0079199A" w:rsidRDefault="00070AF1" w:rsidP="00E853E9">
            <w:pPr>
              <w:rPr>
                <w:rFonts w:ascii="Times New Roman" w:hAnsi="Times New Roman" w:cs="Times New Roman"/>
              </w:rPr>
            </w:pPr>
            <w:r w:rsidRPr="0079199A">
              <w:rPr>
                <w:rFonts w:ascii="Times New Roman" w:hAnsi="Times New Roman" w:cs="Times New Roman"/>
              </w:rPr>
              <w:t>0.75</w:t>
            </w:r>
          </w:p>
        </w:tc>
      </w:tr>
      <w:tr w:rsidR="00070AF1" w:rsidRPr="0079199A" w14:paraId="25751EC6" w14:textId="77777777" w:rsidTr="000F7953">
        <w:tc>
          <w:tcPr>
            <w:tcW w:w="5577" w:type="dxa"/>
            <w:vAlign w:val="bottom"/>
            <w:hideMark/>
          </w:tcPr>
          <w:p w14:paraId="7C6EDDD5" w14:textId="77777777" w:rsidR="00070AF1" w:rsidRPr="0079199A" w:rsidRDefault="00070AF1" w:rsidP="00E853E9">
            <w:pPr>
              <w:rPr>
                <w:rFonts w:ascii="Times New Roman" w:hAnsi="Times New Roman" w:cs="Times New Roman"/>
              </w:rPr>
            </w:pPr>
            <w:r w:rsidRPr="0079199A">
              <w:rPr>
                <w:rFonts w:ascii="Times New Roman" w:hAnsi="Times New Roman" w:cs="Times New Roman"/>
              </w:rPr>
              <w:t>– Service Quality</w:t>
            </w:r>
          </w:p>
        </w:tc>
        <w:tc>
          <w:tcPr>
            <w:tcW w:w="0" w:type="auto"/>
            <w:vAlign w:val="bottom"/>
            <w:hideMark/>
          </w:tcPr>
          <w:p w14:paraId="44412D9D" w14:textId="77777777" w:rsidR="00070AF1" w:rsidRPr="0079199A" w:rsidRDefault="00070AF1" w:rsidP="00E853E9">
            <w:pPr>
              <w:rPr>
                <w:rFonts w:ascii="Times New Roman" w:hAnsi="Times New Roman" w:cs="Times New Roman"/>
              </w:rPr>
            </w:pPr>
            <w:r w:rsidRPr="0079199A">
              <w:rPr>
                <w:rFonts w:ascii="Times New Roman" w:hAnsi="Times New Roman" w:cs="Times New Roman"/>
              </w:rPr>
              <w:t>3.61</w:t>
            </w:r>
          </w:p>
        </w:tc>
        <w:tc>
          <w:tcPr>
            <w:tcW w:w="0" w:type="auto"/>
            <w:vAlign w:val="bottom"/>
            <w:hideMark/>
          </w:tcPr>
          <w:p w14:paraId="137FB5FB" w14:textId="77777777" w:rsidR="00070AF1" w:rsidRPr="0079199A" w:rsidRDefault="00070AF1" w:rsidP="00E853E9">
            <w:pPr>
              <w:rPr>
                <w:rFonts w:ascii="Times New Roman" w:hAnsi="Times New Roman" w:cs="Times New Roman"/>
              </w:rPr>
            </w:pPr>
            <w:r w:rsidRPr="0079199A">
              <w:rPr>
                <w:rFonts w:ascii="Times New Roman" w:hAnsi="Times New Roman" w:cs="Times New Roman"/>
              </w:rPr>
              <w:t>0.86</w:t>
            </w:r>
          </w:p>
        </w:tc>
      </w:tr>
      <w:tr w:rsidR="00070AF1" w:rsidRPr="0079199A" w14:paraId="3895F23F" w14:textId="77777777" w:rsidTr="000F7953">
        <w:tc>
          <w:tcPr>
            <w:tcW w:w="5577" w:type="dxa"/>
            <w:vAlign w:val="bottom"/>
            <w:hideMark/>
          </w:tcPr>
          <w:p w14:paraId="192A5B70" w14:textId="77777777" w:rsidR="00070AF1" w:rsidRPr="0079199A" w:rsidRDefault="00070AF1" w:rsidP="00E853E9">
            <w:pPr>
              <w:rPr>
                <w:rFonts w:ascii="Times New Roman" w:hAnsi="Times New Roman" w:cs="Times New Roman"/>
              </w:rPr>
            </w:pPr>
            <w:r w:rsidRPr="0079199A">
              <w:rPr>
                <w:rFonts w:ascii="Times New Roman" w:hAnsi="Times New Roman" w:cs="Times New Roman"/>
              </w:rPr>
              <w:t>– Citizen Satisfaction</w:t>
            </w:r>
          </w:p>
        </w:tc>
        <w:tc>
          <w:tcPr>
            <w:tcW w:w="0" w:type="auto"/>
            <w:vAlign w:val="bottom"/>
            <w:hideMark/>
          </w:tcPr>
          <w:p w14:paraId="0902926F" w14:textId="77777777" w:rsidR="00070AF1" w:rsidRPr="0079199A" w:rsidRDefault="00070AF1" w:rsidP="00E853E9">
            <w:pPr>
              <w:rPr>
                <w:rFonts w:ascii="Times New Roman" w:hAnsi="Times New Roman" w:cs="Times New Roman"/>
              </w:rPr>
            </w:pPr>
            <w:r w:rsidRPr="0079199A">
              <w:rPr>
                <w:rFonts w:ascii="Times New Roman" w:hAnsi="Times New Roman" w:cs="Times New Roman"/>
              </w:rPr>
              <w:t>3.39</w:t>
            </w:r>
          </w:p>
        </w:tc>
        <w:tc>
          <w:tcPr>
            <w:tcW w:w="0" w:type="auto"/>
            <w:vAlign w:val="bottom"/>
            <w:hideMark/>
          </w:tcPr>
          <w:p w14:paraId="42B86F63" w14:textId="77777777" w:rsidR="00070AF1" w:rsidRPr="0079199A" w:rsidRDefault="00070AF1" w:rsidP="00E853E9">
            <w:pPr>
              <w:rPr>
                <w:rFonts w:ascii="Times New Roman" w:hAnsi="Times New Roman" w:cs="Times New Roman"/>
              </w:rPr>
            </w:pPr>
            <w:r w:rsidRPr="0079199A">
              <w:rPr>
                <w:rFonts w:ascii="Times New Roman" w:hAnsi="Times New Roman" w:cs="Times New Roman"/>
              </w:rPr>
              <w:t>0.88</w:t>
            </w:r>
          </w:p>
        </w:tc>
      </w:tr>
      <w:tr w:rsidR="00070AF1" w:rsidRPr="0079199A" w14:paraId="05D38E69" w14:textId="77777777" w:rsidTr="000F7953">
        <w:tc>
          <w:tcPr>
            <w:tcW w:w="5577" w:type="dxa"/>
            <w:vAlign w:val="bottom"/>
            <w:hideMark/>
          </w:tcPr>
          <w:p w14:paraId="6B7B2716" w14:textId="77777777" w:rsidR="00070AF1" w:rsidRPr="0079199A" w:rsidRDefault="00070AF1" w:rsidP="00E853E9">
            <w:pPr>
              <w:rPr>
                <w:rFonts w:ascii="Times New Roman" w:hAnsi="Times New Roman" w:cs="Times New Roman"/>
              </w:rPr>
            </w:pPr>
            <w:r w:rsidRPr="0079199A">
              <w:rPr>
                <w:rFonts w:ascii="Times New Roman" w:hAnsi="Times New Roman" w:cs="Times New Roman"/>
              </w:rPr>
              <w:t>Internal Control Systems (ICS)</w:t>
            </w:r>
          </w:p>
        </w:tc>
        <w:tc>
          <w:tcPr>
            <w:tcW w:w="0" w:type="auto"/>
            <w:vAlign w:val="bottom"/>
            <w:hideMark/>
          </w:tcPr>
          <w:p w14:paraId="6E976CC7" w14:textId="77777777" w:rsidR="00070AF1" w:rsidRPr="0079199A" w:rsidRDefault="00070AF1" w:rsidP="00E853E9">
            <w:pPr>
              <w:rPr>
                <w:rFonts w:ascii="Times New Roman" w:hAnsi="Times New Roman" w:cs="Times New Roman"/>
              </w:rPr>
            </w:pPr>
            <w:r w:rsidRPr="0079199A">
              <w:rPr>
                <w:rFonts w:ascii="Times New Roman" w:hAnsi="Times New Roman" w:cs="Times New Roman"/>
              </w:rPr>
              <w:t>3.59</w:t>
            </w:r>
          </w:p>
        </w:tc>
        <w:tc>
          <w:tcPr>
            <w:tcW w:w="0" w:type="auto"/>
            <w:vAlign w:val="bottom"/>
            <w:hideMark/>
          </w:tcPr>
          <w:p w14:paraId="4234FCD0" w14:textId="77777777" w:rsidR="00070AF1" w:rsidRPr="0079199A" w:rsidRDefault="00070AF1" w:rsidP="00E853E9">
            <w:pPr>
              <w:rPr>
                <w:rFonts w:ascii="Times New Roman" w:hAnsi="Times New Roman" w:cs="Times New Roman"/>
              </w:rPr>
            </w:pPr>
            <w:r w:rsidRPr="0079199A">
              <w:rPr>
                <w:rFonts w:ascii="Times New Roman" w:hAnsi="Times New Roman" w:cs="Times New Roman"/>
              </w:rPr>
              <w:t>0.70</w:t>
            </w:r>
          </w:p>
        </w:tc>
      </w:tr>
      <w:tr w:rsidR="00070AF1" w:rsidRPr="0079199A" w14:paraId="00CCCE08" w14:textId="77777777" w:rsidTr="000F7953">
        <w:tc>
          <w:tcPr>
            <w:tcW w:w="5577" w:type="dxa"/>
            <w:vAlign w:val="bottom"/>
            <w:hideMark/>
          </w:tcPr>
          <w:p w14:paraId="200AF344" w14:textId="77777777" w:rsidR="00070AF1" w:rsidRPr="0079199A" w:rsidRDefault="00070AF1" w:rsidP="00E853E9">
            <w:pPr>
              <w:rPr>
                <w:rFonts w:ascii="Times New Roman" w:hAnsi="Times New Roman" w:cs="Times New Roman"/>
              </w:rPr>
            </w:pPr>
            <w:r w:rsidRPr="0079199A">
              <w:rPr>
                <w:rFonts w:ascii="Times New Roman" w:hAnsi="Times New Roman" w:cs="Times New Roman"/>
              </w:rPr>
              <w:t>– Control Environment</w:t>
            </w:r>
          </w:p>
        </w:tc>
        <w:tc>
          <w:tcPr>
            <w:tcW w:w="0" w:type="auto"/>
            <w:vAlign w:val="bottom"/>
            <w:hideMark/>
          </w:tcPr>
          <w:p w14:paraId="5F23361E" w14:textId="77777777" w:rsidR="00070AF1" w:rsidRPr="0079199A" w:rsidRDefault="00070AF1" w:rsidP="00E853E9">
            <w:pPr>
              <w:rPr>
                <w:rFonts w:ascii="Times New Roman" w:hAnsi="Times New Roman" w:cs="Times New Roman"/>
              </w:rPr>
            </w:pPr>
            <w:r w:rsidRPr="0079199A">
              <w:rPr>
                <w:rFonts w:ascii="Times New Roman" w:hAnsi="Times New Roman" w:cs="Times New Roman"/>
              </w:rPr>
              <w:t>3.73</w:t>
            </w:r>
          </w:p>
        </w:tc>
        <w:tc>
          <w:tcPr>
            <w:tcW w:w="0" w:type="auto"/>
            <w:vAlign w:val="bottom"/>
            <w:hideMark/>
          </w:tcPr>
          <w:p w14:paraId="64E00280" w14:textId="77777777" w:rsidR="00070AF1" w:rsidRPr="0079199A" w:rsidRDefault="00070AF1" w:rsidP="00E853E9">
            <w:pPr>
              <w:rPr>
                <w:rFonts w:ascii="Times New Roman" w:hAnsi="Times New Roman" w:cs="Times New Roman"/>
              </w:rPr>
            </w:pPr>
            <w:r w:rsidRPr="0079199A">
              <w:rPr>
                <w:rFonts w:ascii="Times New Roman" w:hAnsi="Times New Roman" w:cs="Times New Roman"/>
              </w:rPr>
              <w:t>0.68</w:t>
            </w:r>
          </w:p>
        </w:tc>
      </w:tr>
      <w:tr w:rsidR="00070AF1" w:rsidRPr="0079199A" w14:paraId="53CB0280" w14:textId="77777777" w:rsidTr="000F7953">
        <w:tc>
          <w:tcPr>
            <w:tcW w:w="5577" w:type="dxa"/>
            <w:vAlign w:val="bottom"/>
            <w:hideMark/>
          </w:tcPr>
          <w:p w14:paraId="4C08C11A" w14:textId="77777777" w:rsidR="00070AF1" w:rsidRPr="0079199A" w:rsidRDefault="00070AF1" w:rsidP="00E853E9">
            <w:pPr>
              <w:rPr>
                <w:rFonts w:ascii="Times New Roman" w:hAnsi="Times New Roman" w:cs="Times New Roman"/>
              </w:rPr>
            </w:pPr>
            <w:r w:rsidRPr="0079199A">
              <w:rPr>
                <w:rFonts w:ascii="Times New Roman" w:hAnsi="Times New Roman" w:cs="Times New Roman"/>
              </w:rPr>
              <w:t>– Risk Assessment</w:t>
            </w:r>
          </w:p>
        </w:tc>
        <w:tc>
          <w:tcPr>
            <w:tcW w:w="0" w:type="auto"/>
            <w:vAlign w:val="bottom"/>
            <w:hideMark/>
          </w:tcPr>
          <w:p w14:paraId="06E4E521" w14:textId="77777777" w:rsidR="00070AF1" w:rsidRPr="0079199A" w:rsidRDefault="00070AF1" w:rsidP="00E853E9">
            <w:pPr>
              <w:rPr>
                <w:rFonts w:ascii="Times New Roman" w:hAnsi="Times New Roman" w:cs="Times New Roman"/>
              </w:rPr>
            </w:pPr>
            <w:r w:rsidRPr="0079199A">
              <w:rPr>
                <w:rFonts w:ascii="Times New Roman" w:hAnsi="Times New Roman" w:cs="Times New Roman"/>
              </w:rPr>
              <w:t>3.56</w:t>
            </w:r>
          </w:p>
        </w:tc>
        <w:tc>
          <w:tcPr>
            <w:tcW w:w="0" w:type="auto"/>
            <w:vAlign w:val="bottom"/>
            <w:hideMark/>
          </w:tcPr>
          <w:p w14:paraId="1636EA66" w14:textId="77777777" w:rsidR="00070AF1" w:rsidRPr="0079199A" w:rsidRDefault="00070AF1" w:rsidP="00E853E9">
            <w:pPr>
              <w:rPr>
                <w:rFonts w:ascii="Times New Roman" w:hAnsi="Times New Roman" w:cs="Times New Roman"/>
              </w:rPr>
            </w:pPr>
            <w:r w:rsidRPr="0079199A">
              <w:rPr>
                <w:rFonts w:ascii="Times New Roman" w:hAnsi="Times New Roman" w:cs="Times New Roman"/>
              </w:rPr>
              <w:t>0.74</w:t>
            </w:r>
          </w:p>
        </w:tc>
      </w:tr>
      <w:tr w:rsidR="00070AF1" w:rsidRPr="0079199A" w14:paraId="69C36A49" w14:textId="77777777" w:rsidTr="000F7953">
        <w:tc>
          <w:tcPr>
            <w:tcW w:w="5577" w:type="dxa"/>
            <w:vAlign w:val="bottom"/>
            <w:hideMark/>
          </w:tcPr>
          <w:p w14:paraId="2E2BD23A" w14:textId="77777777" w:rsidR="00070AF1" w:rsidRPr="0079199A" w:rsidRDefault="00070AF1" w:rsidP="00E853E9">
            <w:pPr>
              <w:rPr>
                <w:rFonts w:ascii="Times New Roman" w:hAnsi="Times New Roman" w:cs="Times New Roman"/>
              </w:rPr>
            </w:pPr>
            <w:r w:rsidRPr="0079199A">
              <w:rPr>
                <w:rFonts w:ascii="Times New Roman" w:hAnsi="Times New Roman" w:cs="Times New Roman"/>
              </w:rPr>
              <w:t>– Control Activities</w:t>
            </w:r>
          </w:p>
        </w:tc>
        <w:tc>
          <w:tcPr>
            <w:tcW w:w="0" w:type="auto"/>
            <w:vAlign w:val="bottom"/>
            <w:hideMark/>
          </w:tcPr>
          <w:p w14:paraId="622CB9DC" w14:textId="77777777" w:rsidR="00070AF1" w:rsidRPr="0079199A" w:rsidRDefault="00070AF1" w:rsidP="00E853E9">
            <w:pPr>
              <w:rPr>
                <w:rFonts w:ascii="Times New Roman" w:hAnsi="Times New Roman" w:cs="Times New Roman"/>
              </w:rPr>
            </w:pPr>
            <w:r w:rsidRPr="0079199A">
              <w:rPr>
                <w:rFonts w:ascii="Times New Roman" w:hAnsi="Times New Roman" w:cs="Times New Roman"/>
              </w:rPr>
              <w:t>3.62</w:t>
            </w:r>
          </w:p>
        </w:tc>
        <w:tc>
          <w:tcPr>
            <w:tcW w:w="0" w:type="auto"/>
            <w:vAlign w:val="bottom"/>
            <w:hideMark/>
          </w:tcPr>
          <w:p w14:paraId="68E30F00" w14:textId="77777777" w:rsidR="00070AF1" w:rsidRPr="0079199A" w:rsidRDefault="00070AF1" w:rsidP="00E853E9">
            <w:pPr>
              <w:rPr>
                <w:rFonts w:ascii="Times New Roman" w:hAnsi="Times New Roman" w:cs="Times New Roman"/>
              </w:rPr>
            </w:pPr>
            <w:r w:rsidRPr="0079199A">
              <w:rPr>
                <w:rFonts w:ascii="Times New Roman" w:hAnsi="Times New Roman" w:cs="Times New Roman"/>
              </w:rPr>
              <w:t>0.65</w:t>
            </w:r>
          </w:p>
        </w:tc>
      </w:tr>
      <w:tr w:rsidR="00070AF1" w:rsidRPr="0079199A" w14:paraId="67FB2B3D" w14:textId="77777777" w:rsidTr="000F7953">
        <w:tc>
          <w:tcPr>
            <w:tcW w:w="5577" w:type="dxa"/>
            <w:vAlign w:val="bottom"/>
            <w:hideMark/>
          </w:tcPr>
          <w:p w14:paraId="08D152F5" w14:textId="77777777" w:rsidR="00070AF1" w:rsidRPr="0079199A" w:rsidRDefault="00070AF1" w:rsidP="00E853E9">
            <w:pPr>
              <w:rPr>
                <w:rFonts w:ascii="Times New Roman" w:hAnsi="Times New Roman" w:cs="Times New Roman"/>
              </w:rPr>
            </w:pPr>
            <w:r w:rsidRPr="0079199A">
              <w:rPr>
                <w:rFonts w:ascii="Times New Roman" w:hAnsi="Times New Roman" w:cs="Times New Roman"/>
              </w:rPr>
              <w:t>– Information &amp; Communication</w:t>
            </w:r>
          </w:p>
        </w:tc>
        <w:tc>
          <w:tcPr>
            <w:tcW w:w="0" w:type="auto"/>
            <w:vAlign w:val="bottom"/>
            <w:hideMark/>
          </w:tcPr>
          <w:p w14:paraId="61682BB6" w14:textId="77777777" w:rsidR="00070AF1" w:rsidRPr="0079199A" w:rsidRDefault="00070AF1" w:rsidP="00E853E9">
            <w:pPr>
              <w:rPr>
                <w:rFonts w:ascii="Times New Roman" w:hAnsi="Times New Roman" w:cs="Times New Roman"/>
              </w:rPr>
            </w:pPr>
            <w:r w:rsidRPr="0079199A">
              <w:rPr>
                <w:rFonts w:ascii="Times New Roman" w:hAnsi="Times New Roman" w:cs="Times New Roman"/>
              </w:rPr>
              <w:t>3.59</w:t>
            </w:r>
          </w:p>
        </w:tc>
        <w:tc>
          <w:tcPr>
            <w:tcW w:w="0" w:type="auto"/>
            <w:vAlign w:val="bottom"/>
            <w:hideMark/>
          </w:tcPr>
          <w:p w14:paraId="7461D37C" w14:textId="77777777" w:rsidR="00070AF1" w:rsidRPr="0079199A" w:rsidRDefault="00070AF1" w:rsidP="00E853E9">
            <w:pPr>
              <w:rPr>
                <w:rFonts w:ascii="Times New Roman" w:hAnsi="Times New Roman" w:cs="Times New Roman"/>
              </w:rPr>
            </w:pPr>
            <w:r w:rsidRPr="0079199A">
              <w:rPr>
                <w:rFonts w:ascii="Times New Roman" w:hAnsi="Times New Roman" w:cs="Times New Roman"/>
              </w:rPr>
              <w:t>0.83</w:t>
            </w:r>
          </w:p>
        </w:tc>
      </w:tr>
      <w:tr w:rsidR="00070AF1" w:rsidRPr="0079199A" w14:paraId="610F462F" w14:textId="77777777" w:rsidTr="000F7953">
        <w:tc>
          <w:tcPr>
            <w:tcW w:w="5577" w:type="dxa"/>
            <w:vAlign w:val="bottom"/>
            <w:hideMark/>
          </w:tcPr>
          <w:p w14:paraId="29B6B248" w14:textId="77777777" w:rsidR="00070AF1" w:rsidRPr="0079199A" w:rsidRDefault="00070AF1" w:rsidP="00E853E9">
            <w:pPr>
              <w:rPr>
                <w:rFonts w:ascii="Times New Roman" w:hAnsi="Times New Roman" w:cs="Times New Roman"/>
              </w:rPr>
            </w:pPr>
            <w:r w:rsidRPr="0079199A">
              <w:rPr>
                <w:rFonts w:ascii="Times New Roman" w:hAnsi="Times New Roman" w:cs="Times New Roman"/>
              </w:rPr>
              <w:t>– Monitoring</w:t>
            </w:r>
          </w:p>
        </w:tc>
        <w:tc>
          <w:tcPr>
            <w:tcW w:w="0" w:type="auto"/>
            <w:vAlign w:val="bottom"/>
            <w:hideMark/>
          </w:tcPr>
          <w:p w14:paraId="60E235F1" w14:textId="77777777" w:rsidR="00070AF1" w:rsidRPr="0079199A" w:rsidRDefault="00070AF1" w:rsidP="00E853E9">
            <w:pPr>
              <w:rPr>
                <w:rFonts w:ascii="Times New Roman" w:hAnsi="Times New Roman" w:cs="Times New Roman"/>
              </w:rPr>
            </w:pPr>
            <w:r w:rsidRPr="0079199A">
              <w:rPr>
                <w:rFonts w:ascii="Times New Roman" w:hAnsi="Times New Roman" w:cs="Times New Roman"/>
              </w:rPr>
              <w:t>3.44</w:t>
            </w:r>
          </w:p>
        </w:tc>
        <w:tc>
          <w:tcPr>
            <w:tcW w:w="0" w:type="auto"/>
            <w:vAlign w:val="bottom"/>
            <w:hideMark/>
          </w:tcPr>
          <w:p w14:paraId="613C4AD2" w14:textId="77777777" w:rsidR="00070AF1" w:rsidRPr="0079199A" w:rsidRDefault="00070AF1" w:rsidP="00E853E9">
            <w:pPr>
              <w:rPr>
                <w:rFonts w:ascii="Times New Roman" w:hAnsi="Times New Roman" w:cs="Times New Roman"/>
              </w:rPr>
            </w:pPr>
            <w:r w:rsidRPr="0079199A">
              <w:rPr>
                <w:rFonts w:ascii="Times New Roman" w:hAnsi="Times New Roman" w:cs="Times New Roman"/>
              </w:rPr>
              <w:t>0.79</w:t>
            </w:r>
          </w:p>
        </w:tc>
      </w:tr>
    </w:tbl>
    <w:p w14:paraId="6574B79B" w14:textId="71CE3658" w:rsidR="00070AF1" w:rsidRPr="00051F63" w:rsidRDefault="000F7953" w:rsidP="00070AF1">
      <w:pPr>
        <w:jc w:val="both"/>
        <w:rPr>
          <w:rFonts w:ascii="Times New Roman" w:hAnsi="Times New Roman" w:cs="Times New Roman"/>
        </w:rPr>
      </w:pPr>
      <w:r w:rsidRPr="000F7953">
        <w:rPr>
          <w:rFonts w:ascii="Times New Roman" w:hAnsi="Times New Roman" w:cs="Times New Roman"/>
          <w:b/>
          <w:bCs/>
          <w:i/>
          <w:iCs/>
        </w:rPr>
        <w:t>Source: Authors’ Computation (2026)</w:t>
      </w:r>
    </w:p>
    <w:p w14:paraId="0CCA6B28" w14:textId="77777777" w:rsidR="00D73A02" w:rsidRPr="0079199A" w:rsidRDefault="00D73A02" w:rsidP="00D73A02">
      <w:pPr>
        <w:rPr>
          <w:rFonts w:ascii="Times New Roman" w:hAnsi="Times New Roman" w:cs="Times New Roman"/>
        </w:rPr>
      </w:pPr>
      <w:r w:rsidRPr="0079199A">
        <w:rPr>
          <w:rFonts w:ascii="Times New Roman" w:hAnsi="Times New Roman" w:cs="Times New Roman"/>
        </w:rPr>
        <w:t>Descriptive analyses for the major study variables are shown in Table 2. Respondents rated, on average, the existence of strategic planning integration in their ministries at 3.63 (SD = 0.77), budget participation at 3.57 (SD = 0.69), and monitoring and evaluation systems at 3.41 (SD = 0.91) on a 5-point Likert scale. Service delivery efficiency indicators demonstrated moderate to high perceived effectiveness, with mean scores for timeliness (3.47, SD = 0.82), cost efficiency (3.54, SD = 0.75), service quality (3.61, SD = 0.86), and citizen satisfaction (3.39, SD = 0.88).</w:t>
      </w:r>
    </w:p>
    <w:p w14:paraId="4C7DA457" w14:textId="77777777" w:rsidR="00D73A02" w:rsidRPr="0079199A" w:rsidRDefault="00D73A02" w:rsidP="00D73A02">
      <w:pPr>
        <w:rPr>
          <w:rFonts w:ascii="Times New Roman" w:hAnsi="Times New Roman" w:cs="Times New Roman"/>
        </w:rPr>
      </w:pPr>
      <w:r w:rsidRPr="0079199A">
        <w:rPr>
          <w:rFonts w:ascii="Times New Roman" w:hAnsi="Times New Roman" w:cs="Times New Roman"/>
        </w:rPr>
        <w:t>Internal control systems across the ministries averaged 3.59 (SD = 0.70), with the highest scoring dimension being the control environment (3.73, SD = 0.68) and the lowest being monitoring (3.44, SD = 0.79).</w:t>
      </w:r>
    </w:p>
    <w:p w14:paraId="02680C7C" w14:textId="0B5419F1" w:rsidR="00D73A02" w:rsidRPr="00D73A02" w:rsidRDefault="000F7953" w:rsidP="00D73A02">
      <w:pPr>
        <w:jc w:val="both"/>
        <w:rPr>
          <w:rFonts w:ascii="Times New Roman" w:hAnsi="Times New Roman" w:cs="Times New Roman"/>
          <w:b/>
          <w:bCs/>
        </w:rPr>
      </w:pPr>
      <w:r>
        <w:rPr>
          <w:rFonts w:ascii="Times New Roman" w:hAnsi="Times New Roman" w:cs="Times New Roman"/>
          <w:b/>
          <w:bCs/>
        </w:rPr>
        <w:t xml:space="preserve">4.3 </w:t>
      </w:r>
      <w:r w:rsidR="00D73A02" w:rsidRPr="00D73A02">
        <w:rPr>
          <w:rFonts w:ascii="Times New Roman" w:hAnsi="Times New Roman" w:cs="Times New Roman"/>
          <w:b/>
          <w:bCs/>
        </w:rPr>
        <w:t>Correlation Analysis</w:t>
      </w:r>
    </w:p>
    <w:p w14:paraId="401DB87D"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b/>
          <w:bCs/>
        </w:rPr>
        <w:t>Table 3: Correlation Matrix (Pearson’s r, N = 190)</w:t>
      </w:r>
    </w:p>
    <w:tbl>
      <w:tblPr>
        <w:tblW w:w="9360"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4050"/>
        <w:gridCol w:w="1212"/>
        <w:gridCol w:w="1213"/>
        <w:gridCol w:w="1085"/>
        <w:gridCol w:w="990"/>
        <w:gridCol w:w="810"/>
      </w:tblGrid>
      <w:tr w:rsidR="00D73A02" w:rsidRPr="00051F63" w14:paraId="37C1955F" w14:textId="77777777" w:rsidTr="000F7953">
        <w:tc>
          <w:tcPr>
            <w:tcW w:w="4050" w:type="dxa"/>
            <w:tcBorders>
              <w:top w:val="single" w:sz="4" w:space="0" w:color="auto"/>
              <w:bottom w:val="single" w:sz="4" w:space="0" w:color="auto"/>
            </w:tcBorders>
            <w:noWrap/>
            <w:vAlign w:val="bottom"/>
            <w:hideMark/>
          </w:tcPr>
          <w:p w14:paraId="4F3B5E90" w14:textId="77777777" w:rsidR="00D73A02" w:rsidRPr="00D73A02" w:rsidRDefault="00D73A02" w:rsidP="00D73A02">
            <w:pPr>
              <w:jc w:val="both"/>
              <w:rPr>
                <w:rFonts w:ascii="Times New Roman" w:hAnsi="Times New Roman" w:cs="Times New Roman"/>
                <w:b/>
                <w:bCs/>
              </w:rPr>
            </w:pPr>
            <w:r w:rsidRPr="00D73A02">
              <w:rPr>
                <w:rFonts w:ascii="Times New Roman" w:hAnsi="Times New Roman" w:cs="Times New Roman"/>
                <w:b/>
                <w:bCs/>
              </w:rPr>
              <w:lastRenderedPageBreak/>
              <w:t>Variable</w:t>
            </w:r>
          </w:p>
        </w:tc>
        <w:tc>
          <w:tcPr>
            <w:tcW w:w="0" w:type="auto"/>
            <w:tcBorders>
              <w:top w:val="single" w:sz="4" w:space="0" w:color="auto"/>
              <w:bottom w:val="single" w:sz="4" w:space="0" w:color="auto"/>
            </w:tcBorders>
            <w:noWrap/>
            <w:vAlign w:val="bottom"/>
            <w:hideMark/>
          </w:tcPr>
          <w:p w14:paraId="33A79B45" w14:textId="77777777" w:rsidR="00D73A02" w:rsidRPr="00D73A02" w:rsidRDefault="00D73A02" w:rsidP="00D73A02">
            <w:pPr>
              <w:jc w:val="both"/>
              <w:rPr>
                <w:rFonts w:ascii="Times New Roman" w:hAnsi="Times New Roman" w:cs="Times New Roman"/>
                <w:b/>
                <w:bCs/>
              </w:rPr>
            </w:pPr>
            <w:r w:rsidRPr="00D73A02">
              <w:rPr>
                <w:rFonts w:ascii="Times New Roman" w:hAnsi="Times New Roman" w:cs="Times New Roman"/>
                <w:b/>
                <w:bCs/>
              </w:rPr>
              <w:t>SDE</w:t>
            </w:r>
          </w:p>
        </w:tc>
        <w:tc>
          <w:tcPr>
            <w:tcW w:w="0" w:type="auto"/>
            <w:tcBorders>
              <w:top w:val="single" w:sz="4" w:space="0" w:color="auto"/>
              <w:bottom w:val="single" w:sz="4" w:space="0" w:color="auto"/>
            </w:tcBorders>
            <w:noWrap/>
            <w:vAlign w:val="bottom"/>
            <w:hideMark/>
          </w:tcPr>
          <w:p w14:paraId="3FFC818E" w14:textId="77777777" w:rsidR="00D73A02" w:rsidRPr="00D73A02" w:rsidRDefault="00D73A02" w:rsidP="00D73A02">
            <w:pPr>
              <w:jc w:val="both"/>
              <w:rPr>
                <w:rFonts w:ascii="Times New Roman" w:hAnsi="Times New Roman" w:cs="Times New Roman"/>
                <w:b/>
                <w:bCs/>
              </w:rPr>
            </w:pPr>
            <w:r w:rsidRPr="00D73A02">
              <w:rPr>
                <w:rFonts w:ascii="Times New Roman" w:hAnsi="Times New Roman" w:cs="Times New Roman"/>
                <w:b/>
                <w:bCs/>
              </w:rPr>
              <w:t>ICS</w:t>
            </w:r>
          </w:p>
        </w:tc>
        <w:tc>
          <w:tcPr>
            <w:tcW w:w="1085" w:type="dxa"/>
            <w:tcBorders>
              <w:top w:val="single" w:sz="4" w:space="0" w:color="auto"/>
              <w:bottom w:val="single" w:sz="4" w:space="0" w:color="auto"/>
            </w:tcBorders>
            <w:noWrap/>
            <w:vAlign w:val="bottom"/>
            <w:hideMark/>
          </w:tcPr>
          <w:p w14:paraId="5502F61B" w14:textId="77777777" w:rsidR="00D73A02" w:rsidRPr="00D73A02" w:rsidRDefault="00D73A02" w:rsidP="00D73A02">
            <w:pPr>
              <w:jc w:val="both"/>
              <w:rPr>
                <w:rFonts w:ascii="Times New Roman" w:hAnsi="Times New Roman" w:cs="Times New Roman"/>
                <w:b/>
                <w:bCs/>
              </w:rPr>
            </w:pPr>
            <w:r w:rsidRPr="00D73A02">
              <w:rPr>
                <w:rFonts w:ascii="Times New Roman" w:hAnsi="Times New Roman" w:cs="Times New Roman"/>
                <w:b/>
                <w:bCs/>
              </w:rPr>
              <w:t>SPI</w:t>
            </w:r>
          </w:p>
        </w:tc>
        <w:tc>
          <w:tcPr>
            <w:tcW w:w="990" w:type="dxa"/>
            <w:tcBorders>
              <w:top w:val="single" w:sz="4" w:space="0" w:color="auto"/>
              <w:bottom w:val="single" w:sz="4" w:space="0" w:color="auto"/>
            </w:tcBorders>
            <w:noWrap/>
            <w:vAlign w:val="bottom"/>
            <w:hideMark/>
          </w:tcPr>
          <w:p w14:paraId="6DA85B9F" w14:textId="77777777" w:rsidR="00D73A02" w:rsidRPr="00D73A02" w:rsidRDefault="00D73A02" w:rsidP="00D73A02">
            <w:pPr>
              <w:jc w:val="both"/>
              <w:rPr>
                <w:rFonts w:ascii="Times New Roman" w:hAnsi="Times New Roman" w:cs="Times New Roman"/>
                <w:b/>
                <w:bCs/>
              </w:rPr>
            </w:pPr>
            <w:r w:rsidRPr="00D73A02">
              <w:rPr>
                <w:rFonts w:ascii="Times New Roman" w:hAnsi="Times New Roman" w:cs="Times New Roman"/>
                <w:b/>
                <w:bCs/>
              </w:rPr>
              <w:t>BP</w:t>
            </w:r>
          </w:p>
        </w:tc>
        <w:tc>
          <w:tcPr>
            <w:tcW w:w="810" w:type="dxa"/>
            <w:tcBorders>
              <w:top w:val="single" w:sz="4" w:space="0" w:color="auto"/>
              <w:bottom w:val="single" w:sz="4" w:space="0" w:color="auto"/>
            </w:tcBorders>
            <w:noWrap/>
            <w:vAlign w:val="bottom"/>
            <w:hideMark/>
          </w:tcPr>
          <w:p w14:paraId="6ECFDF97" w14:textId="77777777" w:rsidR="00D73A02" w:rsidRPr="00D73A02" w:rsidRDefault="00D73A02" w:rsidP="00D73A02">
            <w:pPr>
              <w:jc w:val="both"/>
              <w:rPr>
                <w:rFonts w:ascii="Times New Roman" w:hAnsi="Times New Roman" w:cs="Times New Roman"/>
                <w:b/>
                <w:bCs/>
              </w:rPr>
            </w:pPr>
            <w:r w:rsidRPr="00D73A02">
              <w:rPr>
                <w:rFonts w:ascii="Times New Roman" w:hAnsi="Times New Roman" w:cs="Times New Roman"/>
                <w:b/>
                <w:bCs/>
              </w:rPr>
              <w:t>M&amp;E</w:t>
            </w:r>
          </w:p>
        </w:tc>
      </w:tr>
      <w:tr w:rsidR="00D73A02" w:rsidRPr="00051F63" w14:paraId="200A7EBC" w14:textId="77777777" w:rsidTr="000F7953">
        <w:tc>
          <w:tcPr>
            <w:tcW w:w="4050" w:type="dxa"/>
            <w:tcBorders>
              <w:top w:val="single" w:sz="4" w:space="0" w:color="auto"/>
            </w:tcBorders>
            <w:vAlign w:val="bottom"/>
            <w:hideMark/>
          </w:tcPr>
          <w:p w14:paraId="188C3E8C"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Service Delivery Efficiency (SDE)</w:t>
            </w:r>
          </w:p>
        </w:tc>
        <w:tc>
          <w:tcPr>
            <w:tcW w:w="0" w:type="auto"/>
            <w:tcBorders>
              <w:top w:val="single" w:sz="4" w:space="0" w:color="auto"/>
            </w:tcBorders>
            <w:vAlign w:val="bottom"/>
            <w:hideMark/>
          </w:tcPr>
          <w:p w14:paraId="57483CF3"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1.0000</w:t>
            </w:r>
          </w:p>
        </w:tc>
        <w:tc>
          <w:tcPr>
            <w:tcW w:w="0" w:type="auto"/>
            <w:tcBorders>
              <w:top w:val="single" w:sz="4" w:space="0" w:color="auto"/>
            </w:tcBorders>
            <w:vAlign w:val="bottom"/>
            <w:hideMark/>
          </w:tcPr>
          <w:p w14:paraId="09572A0C" w14:textId="77777777" w:rsidR="00D73A02" w:rsidRPr="00D73A02" w:rsidRDefault="00D73A02" w:rsidP="00D73A02">
            <w:pPr>
              <w:jc w:val="both"/>
              <w:rPr>
                <w:rFonts w:ascii="Times New Roman" w:hAnsi="Times New Roman" w:cs="Times New Roman"/>
              </w:rPr>
            </w:pPr>
          </w:p>
        </w:tc>
        <w:tc>
          <w:tcPr>
            <w:tcW w:w="1085" w:type="dxa"/>
            <w:tcBorders>
              <w:top w:val="single" w:sz="4" w:space="0" w:color="auto"/>
            </w:tcBorders>
            <w:vAlign w:val="bottom"/>
            <w:hideMark/>
          </w:tcPr>
          <w:p w14:paraId="6FF4B3D2" w14:textId="77777777" w:rsidR="00D73A02" w:rsidRPr="00D73A02" w:rsidRDefault="00D73A02" w:rsidP="00D73A02">
            <w:pPr>
              <w:jc w:val="both"/>
              <w:rPr>
                <w:rFonts w:ascii="Times New Roman" w:hAnsi="Times New Roman" w:cs="Times New Roman"/>
              </w:rPr>
            </w:pPr>
          </w:p>
        </w:tc>
        <w:tc>
          <w:tcPr>
            <w:tcW w:w="990" w:type="dxa"/>
            <w:tcBorders>
              <w:top w:val="single" w:sz="4" w:space="0" w:color="auto"/>
            </w:tcBorders>
            <w:vAlign w:val="bottom"/>
            <w:hideMark/>
          </w:tcPr>
          <w:p w14:paraId="19A3789A" w14:textId="77777777" w:rsidR="00D73A02" w:rsidRPr="00D73A02" w:rsidRDefault="00D73A02" w:rsidP="00D73A02">
            <w:pPr>
              <w:jc w:val="both"/>
              <w:rPr>
                <w:rFonts w:ascii="Times New Roman" w:hAnsi="Times New Roman" w:cs="Times New Roman"/>
              </w:rPr>
            </w:pPr>
          </w:p>
        </w:tc>
        <w:tc>
          <w:tcPr>
            <w:tcW w:w="810" w:type="dxa"/>
            <w:tcBorders>
              <w:top w:val="single" w:sz="4" w:space="0" w:color="auto"/>
            </w:tcBorders>
            <w:vAlign w:val="bottom"/>
            <w:hideMark/>
          </w:tcPr>
          <w:p w14:paraId="2F56626B" w14:textId="77777777" w:rsidR="00D73A02" w:rsidRPr="00D73A02" w:rsidRDefault="00D73A02" w:rsidP="00D73A02">
            <w:pPr>
              <w:jc w:val="both"/>
              <w:rPr>
                <w:rFonts w:ascii="Times New Roman" w:hAnsi="Times New Roman" w:cs="Times New Roman"/>
              </w:rPr>
            </w:pPr>
          </w:p>
        </w:tc>
      </w:tr>
      <w:tr w:rsidR="00D73A02" w:rsidRPr="00051F63" w14:paraId="263C1F77" w14:textId="77777777" w:rsidTr="000F7953">
        <w:tc>
          <w:tcPr>
            <w:tcW w:w="4050" w:type="dxa"/>
            <w:vAlign w:val="bottom"/>
            <w:hideMark/>
          </w:tcPr>
          <w:p w14:paraId="4DACC04C"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Internal Control Systems (ICS)</w:t>
            </w:r>
          </w:p>
        </w:tc>
        <w:tc>
          <w:tcPr>
            <w:tcW w:w="0" w:type="auto"/>
            <w:vAlign w:val="bottom"/>
            <w:hideMark/>
          </w:tcPr>
          <w:p w14:paraId="775A00D1" w14:textId="7858D463" w:rsidR="00D73A02" w:rsidRPr="00D73A02" w:rsidRDefault="00D73A02" w:rsidP="00D73A02">
            <w:pPr>
              <w:jc w:val="both"/>
              <w:rPr>
                <w:rFonts w:ascii="Times New Roman" w:hAnsi="Times New Roman" w:cs="Times New Roman"/>
              </w:rPr>
            </w:pPr>
            <w:r w:rsidRPr="00D73A02">
              <w:rPr>
                <w:rFonts w:ascii="Times New Roman" w:hAnsi="Times New Roman" w:cs="Times New Roman"/>
              </w:rPr>
              <w:t>0.48</w:t>
            </w:r>
            <w:r w:rsidRPr="00051F63">
              <w:rPr>
                <w:rFonts w:ascii="Times New Roman" w:hAnsi="Times New Roman" w:cs="Times New Roman"/>
              </w:rPr>
              <w:t>21</w:t>
            </w:r>
          </w:p>
        </w:tc>
        <w:tc>
          <w:tcPr>
            <w:tcW w:w="0" w:type="auto"/>
            <w:vAlign w:val="bottom"/>
            <w:hideMark/>
          </w:tcPr>
          <w:p w14:paraId="52DE50A1"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1.0000</w:t>
            </w:r>
          </w:p>
        </w:tc>
        <w:tc>
          <w:tcPr>
            <w:tcW w:w="1085" w:type="dxa"/>
            <w:vAlign w:val="bottom"/>
            <w:hideMark/>
          </w:tcPr>
          <w:p w14:paraId="35C81053" w14:textId="77777777" w:rsidR="00D73A02" w:rsidRPr="00D73A02" w:rsidRDefault="00D73A02" w:rsidP="00D73A02">
            <w:pPr>
              <w:jc w:val="both"/>
              <w:rPr>
                <w:rFonts w:ascii="Times New Roman" w:hAnsi="Times New Roman" w:cs="Times New Roman"/>
              </w:rPr>
            </w:pPr>
          </w:p>
        </w:tc>
        <w:tc>
          <w:tcPr>
            <w:tcW w:w="990" w:type="dxa"/>
            <w:vAlign w:val="bottom"/>
            <w:hideMark/>
          </w:tcPr>
          <w:p w14:paraId="5726FFD7" w14:textId="77777777" w:rsidR="00D73A02" w:rsidRPr="00D73A02" w:rsidRDefault="00D73A02" w:rsidP="00D73A02">
            <w:pPr>
              <w:jc w:val="both"/>
              <w:rPr>
                <w:rFonts w:ascii="Times New Roman" w:hAnsi="Times New Roman" w:cs="Times New Roman"/>
              </w:rPr>
            </w:pPr>
          </w:p>
        </w:tc>
        <w:tc>
          <w:tcPr>
            <w:tcW w:w="810" w:type="dxa"/>
            <w:vAlign w:val="bottom"/>
            <w:hideMark/>
          </w:tcPr>
          <w:p w14:paraId="0E31C415" w14:textId="77777777" w:rsidR="00D73A02" w:rsidRPr="00D73A02" w:rsidRDefault="00D73A02" w:rsidP="00D73A02">
            <w:pPr>
              <w:jc w:val="both"/>
              <w:rPr>
                <w:rFonts w:ascii="Times New Roman" w:hAnsi="Times New Roman" w:cs="Times New Roman"/>
              </w:rPr>
            </w:pPr>
          </w:p>
        </w:tc>
      </w:tr>
      <w:tr w:rsidR="00D73A02" w:rsidRPr="00051F63" w14:paraId="48AAC285" w14:textId="77777777" w:rsidTr="000F7953">
        <w:tc>
          <w:tcPr>
            <w:tcW w:w="4050" w:type="dxa"/>
            <w:vAlign w:val="bottom"/>
            <w:hideMark/>
          </w:tcPr>
          <w:p w14:paraId="6B8FD6CB"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Strategic Planning Integration</w:t>
            </w:r>
          </w:p>
        </w:tc>
        <w:tc>
          <w:tcPr>
            <w:tcW w:w="0" w:type="auto"/>
            <w:vAlign w:val="bottom"/>
            <w:hideMark/>
          </w:tcPr>
          <w:p w14:paraId="08301D4A" w14:textId="538FBCDE" w:rsidR="00D73A02" w:rsidRPr="00D73A02" w:rsidRDefault="00D73A02" w:rsidP="00D73A02">
            <w:pPr>
              <w:jc w:val="both"/>
              <w:rPr>
                <w:rFonts w:ascii="Times New Roman" w:hAnsi="Times New Roman" w:cs="Times New Roman"/>
              </w:rPr>
            </w:pPr>
            <w:r w:rsidRPr="00D73A02">
              <w:rPr>
                <w:rFonts w:ascii="Times New Roman" w:hAnsi="Times New Roman" w:cs="Times New Roman"/>
              </w:rPr>
              <w:t>0.51</w:t>
            </w:r>
            <w:r w:rsidRPr="00051F63">
              <w:rPr>
                <w:rFonts w:ascii="Times New Roman" w:hAnsi="Times New Roman" w:cs="Times New Roman"/>
              </w:rPr>
              <w:t>42</w:t>
            </w:r>
          </w:p>
        </w:tc>
        <w:tc>
          <w:tcPr>
            <w:tcW w:w="0" w:type="auto"/>
            <w:vAlign w:val="bottom"/>
            <w:hideMark/>
          </w:tcPr>
          <w:p w14:paraId="38E056F5" w14:textId="1BAEDD2E" w:rsidR="00D73A02" w:rsidRPr="00D73A02" w:rsidRDefault="00D73A02" w:rsidP="00D73A02">
            <w:pPr>
              <w:jc w:val="both"/>
              <w:rPr>
                <w:rFonts w:ascii="Times New Roman" w:hAnsi="Times New Roman" w:cs="Times New Roman"/>
              </w:rPr>
            </w:pPr>
            <w:r w:rsidRPr="00D73A02">
              <w:rPr>
                <w:rFonts w:ascii="Times New Roman" w:hAnsi="Times New Roman" w:cs="Times New Roman"/>
              </w:rPr>
              <w:t>0.45</w:t>
            </w:r>
            <w:r w:rsidRPr="00051F63">
              <w:rPr>
                <w:rFonts w:ascii="Times New Roman" w:hAnsi="Times New Roman" w:cs="Times New Roman"/>
              </w:rPr>
              <w:t>20</w:t>
            </w:r>
          </w:p>
        </w:tc>
        <w:tc>
          <w:tcPr>
            <w:tcW w:w="1085" w:type="dxa"/>
            <w:vAlign w:val="bottom"/>
            <w:hideMark/>
          </w:tcPr>
          <w:p w14:paraId="1174BBE4"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1.0000</w:t>
            </w:r>
          </w:p>
        </w:tc>
        <w:tc>
          <w:tcPr>
            <w:tcW w:w="990" w:type="dxa"/>
            <w:vAlign w:val="bottom"/>
            <w:hideMark/>
          </w:tcPr>
          <w:p w14:paraId="4658C6DC" w14:textId="77777777" w:rsidR="00D73A02" w:rsidRPr="00D73A02" w:rsidRDefault="00D73A02" w:rsidP="00D73A02">
            <w:pPr>
              <w:jc w:val="both"/>
              <w:rPr>
                <w:rFonts w:ascii="Times New Roman" w:hAnsi="Times New Roman" w:cs="Times New Roman"/>
              </w:rPr>
            </w:pPr>
          </w:p>
        </w:tc>
        <w:tc>
          <w:tcPr>
            <w:tcW w:w="810" w:type="dxa"/>
            <w:vAlign w:val="bottom"/>
            <w:hideMark/>
          </w:tcPr>
          <w:p w14:paraId="56D1C621" w14:textId="77777777" w:rsidR="00D73A02" w:rsidRPr="00D73A02" w:rsidRDefault="00D73A02" w:rsidP="00D73A02">
            <w:pPr>
              <w:jc w:val="both"/>
              <w:rPr>
                <w:rFonts w:ascii="Times New Roman" w:hAnsi="Times New Roman" w:cs="Times New Roman"/>
              </w:rPr>
            </w:pPr>
          </w:p>
        </w:tc>
      </w:tr>
      <w:tr w:rsidR="00D73A02" w:rsidRPr="00051F63" w14:paraId="606432F3" w14:textId="77777777" w:rsidTr="000F7953">
        <w:tc>
          <w:tcPr>
            <w:tcW w:w="4050" w:type="dxa"/>
            <w:vAlign w:val="bottom"/>
            <w:hideMark/>
          </w:tcPr>
          <w:p w14:paraId="59F53CAF"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Budget Participation</w:t>
            </w:r>
          </w:p>
        </w:tc>
        <w:tc>
          <w:tcPr>
            <w:tcW w:w="0" w:type="auto"/>
            <w:vAlign w:val="bottom"/>
            <w:hideMark/>
          </w:tcPr>
          <w:p w14:paraId="3025F3A5" w14:textId="53486B93" w:rsidR="00D73A02" w:rsidRPr="00D73A02" w:rsidRDefault="00D73A02" w:rsidP="00D73A02">
            <w:pPr>
              <w:jc w:val="both"/>
              <w:rPr>
                <w:rFonts w:ascii="Times New Roman" w:hAnsi="Times New Roman" w:cs="Times New Roman"/>
              </w:rPr>
            </w:pPr>
            <w:r w:rsidRPr="00D73A02">
              <w:rPr>
                <w:rFonts w:ascii="Times New Roman" w:hAnsi="Times New Roman" w:cs="Times New Roman"/>
              </w:rPr>
              <w:t>0.44</w:t>
            </w:r>
            <w:r w:rsidRPr="00051F63">
              <w:rPr>
                <w:rFonts w:ascii="Times New Roman" w:hAnsi="Times New Roman" w:cs="Times New Roman"/>
              </w:rPr>
              <w:t>03</w:t>
            </w:r>
          </w:p>
        </w:tc>
        <w:tc>
          <w:tcPr>
            <w:tcW w:w="0" w:type="auto"/>
            <w:vAlign w:val="bottom"/>
            <w:hideMark/>
          </w:tcPr>
          <w:p w14:paraId="3B00D443" w14:textId="79166550" w:rsidR="00D73A02" w:rsidRPr="00D73A02" w:rsidRDefault="00D73A02" w:rsidP="00D73A02">
            <w:pPr>
              <w:jc w:val="both"/>
              <w:rPr>
                <w:rFonts w:ascii="Times New Roman" w:hAnsi="Times New Roman" w:cs="Times New Roman"/>
              </w:rPr>
            </w:pPr>
            <w:r w:rsidRPr="00D73A02">
              <w:rPr>
                <w:rFonts w:ascii="Times New Roman" w:hAnsi="Times New Roman" w:cs="Times New Roman"/>
              </w:rPr>
              <w:t>0.39</w:t>
            </w:r>
            <w:r w:rsidRPr="00051F63">
              <w:rPr>
                <w:rFonts w:ascii="Times New Roman" w:hAnsi="Times New Roman" w:cs="Times New Roman"/>
              </w:rPr>
              <w:t>16</w:t>
            </w:r>
          </w:p>
        </w:tc>
        <w:tc>
          <w:tcPr>
            <w:tcW w:w="1085" w:type="dxa"/>
            <w:vAlign w:val="bottom"/>
            <w:hideMark/>
          </w:tcPr>
          <w:p w14:paraId="29DBE795" w14:textId="161F131B" w:rsidR="00D73A02" w:rsidRPr="00D73A02" w:rsidRDefault="00D73A02" w:rsidP="00D73A02">
            <w:pPr>
              <w:jc w:val="both"/>
              <w:rPr>
                <w:rFonts w:ascii="Times New Roman" w:hAnsi="Times New Roman" w:cs="Times New Roman"/>
              </w:rPr>
            </w:pPr>
            <w:r w:rsidRPr="00D73A02">
              <w:rPr>
                <w:rFonts w:ascii="Times New Roman" w:hAnsi="Times New Roman" w:cs="Times New Roman"/>
              </w:rPr>
              <w:t>0.46</w:t>
            </w:r>
            <w:r w:rsidRPr="00051F63">
              <w:rPr>
                <w:rFonts w:ascii="Times New Roman" w:hAnsi="Times New Roman" w:cs="Times New Roman"/>
              </w:rPr>
              <w:t>23</w:t>
            </w:r>
          </w:p>
        </w:tc>
        <w:tc>
          <w:tcPr>
            <w:tcW w:w="990" w:type="dxa"/>
            <w:vAlign w:val="bottom"/>
            <w:hideMark/>
          </w:tcPr>
          <w:p w14:paraId="744FFF6A"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1.0000</w:t>
            </w:r>
          </w:p>
        </w:tc>
        <w:tc>
          <w:tcPr>
            <w:tcW w:w="810" w:type="dxa"/>
            <w:vAlign w:val="bottom"/>
            <w:hideMark/>
          </w:tcPr>
          <w:p w14:paraId="3C067FDE" w14:textId="77777777" w:rsidR="00D73A02" w:rsidRPr="00D73A02" w:rsidRDefault="00D73A02" w:rsidP="00D73A02">
            <w:pPr>
              <w:jc w:val="both"/>
              <w:rPr>
                <w:rFonts w:ascii="Times New Roman" w:hAnsi="Times New Roman" w:cs="Times New Roman"/>
              </w:rPr>
            </w:pPr>
          </w:p>
        </w:tc>
      </w:tr>
      <w:tr w:rsidR="00D73A02" w:rsidRPr="00051F63" w14:paraId="1A9EEBF3" w14:textId="77777777" w:rsidTr="000F7953">
        <w:tc>
          <w:tcPr>
            <w:tcW w:w="4050" w:type="dxa"/>
            <w:vAlign w:val="bottom"/>
            <w:hideMark/>
          </w:tcPr>
          <w:p w14:paraId="7F03832B"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Monitoring &amp; Evaluation (M&amp;E)</w:t>
            </w:r>
          </w:p>
        </w:tc>
        <w:tc>
          <w:tcPr>
            <w:tcW w:w="0" w:type="auto"/>
            <w:vAlign w:val="bottom"/>
            <w:hideMark/>
          </w:tcPr>
          <w:p w14:paraId="44CC023B" w14:textId="52762E0B" w:rsidR="00D73A02" w:rsidRPr="00D73A02" w:rsidRDefault="00D73A02" w:rsidP="00D73A02">
            <w:pPr>
              <w:jc w:val="both"/>
              <w:rPr>
                <w:rFonts w:ascii="Times New Roman" w:hAnsi="Times New Roman" w:cs="Times New Roman"/>
              </w:rPr>
            </w:pPr>
            <w:r w:rsidRPr="00D73A02">
              <w:rPr>
                <w:rFonts w:ascii="Times New Roman" w:hAnsi="Times New Roman" w:cs="Times New Roman"/>
              </w:rPr>
              <w:t>0.38</w:t>
            </w:r>
            <w:r w:rsidRPr="00051F63">
              <w:rPr>
                <w:rFonts w:ascii="Times New Roman" w:hAnsi="Times New Roman" w:cs="Times New Roman"/>
              </w:rPr>
              <w:t>27</w:t>
            </w:r>
          </w:p>
        </w:tc>
        <w:tc>
          <w:tcPr>
            <w:tcW w:w="0" w:type="auto"/>
            <w:vAlign w:val="bottom"/>
            <w:hideMark/>
          </w:tcPr>
          <w:p w14:paraId="617E63C7" w14:textId="65F730D4" w:rsidR="00D73A02" w:rsidRPr="00D73A02" w:rsidRDefault="00D73A02" w:rsidP="00D73A02">
            <w:pPr>
              <w:jc w:val="both"/>
              <w:rPr>
                <w:rFonts w:ascii="Times New Roman" w:hAnsi="Times New Roman" w:cs="Times New Roman"/>
              </w:rPr>
            </w:pPr>
            <w:r w:rsidRPr="00D73A02">
              <w:rPr>
                <w:rFonts w:ascii="Times New Roman" w:hAnsi="Times New Roman" w:cs="Times New Roman"/>
              </w:rPr>
              <w:t>0.470</w:t>
            </w:r>
            <w:r w:rsidRPr="00051F63">
              <w:rPr>
                <w:rFonts w:ascii="Times New Roman" w:hAnsi="Times New Roman" w:cs="Times New Roman"/>
              </w:rPr>
              <w:t>4</w:t>
            </w:r>
          </w:p>
        </w:tc>
        <w:tc>
          <w:tcPr>
            <w:tcW w:w="1085" w:type="dxa"/>
            <w:vAlign w:val="bottom"/>
            <w:hideMark/>
          </w:tcPr>
          <w:p w14:paraId="48C6BB09" w14:textId="6C6F2819" w:rsidR="00D73A02" w:rsidRPr="00D73A02" w:rsidRDefault="00D73A02" w:rsidP="00D73A02">
            <w:pPr>
              <w:jc w:val="both"/>
              <w:rPr>
                <w:rFonts w:ascii="Times New Roman" w:hAnsi="Times New Roman" w:cs="Times New Roman"/>
              </w:rPr>
            </w:pPr>
            <w:r w:rsidRPr="00D73A02">
              <w:rPr>
                <w:rFonts w:ascii="Times New Roman" w:hAnsi="Times New Roman" w:cs="Times New Roman"/>
              </w:rPr>
              <w:t>0.37</w:t>
            </w:r>
            <w:r w:rsidRPr="00051F63">
              <w:rPr>
                <w:rFonts w:ascii="Times New Roman" w:hAnsi="Times New Roman" w:cs="Times New Roman"/>
              </w:rPr>
              <w:t>40</w:t>
            </w:r>
          </w:p>
        </w:tc>
        <w:tc>
          <w:tcPr>
            <w:tcW w:w="990" w:type="dxa"/>
            <w:vAlign w:val="bottom"/>
            <w:hideMark/>
          </w:tcPr>
          <w:p w14:paraId="0B0217C6" w14:textId="7689A1F5" w:rsidR="00D73A02" w:rsidRPr="00D73A02" w:rsidRDefault="00D73A02" w:rsidP="00D73A02">
            <w:pPr>
              <w:jc w:val="both"/>
              <w:rPr>
                <w:rFonts w:ascii="Times New Roman" w:hAnsi="Times New Roman" w:cs="Times New Roman"/>
              </w:rPr>
            </w:pPr>
            <w:r w:rsidRPr="00D73A02">
              <w:rPr>
                <w:rFonts w:ascii="Times New Roman" w:hAnsi="Times New Roman" w:cs="Times New Roman"/>
              </w:rPr>
              <w:t>0.38</w:t>
            </w:r>
            <w:r w:rsidRPr="00051F63">
              <w:rPr>
                <w:rFonts w:ascii="Times New Roman" w:hAnsi="Times New Roman" w:cs="Times New Roman"/>
              </w:rPr>
              <w:t>18</w:t>
            </w:r>
          </w:p>
        </w:tc>
        <w:tc>
          <w:tcPr>
            <w:tcW w:w="810" w:type="dxa"/>
            <w:vAlign w:val="bottom"/>
            <w:hideMark/>
          </w:tcPr>
          <w:p w14:paraId="6A56AFB0"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1.0000</w:t>
            </w:r>
          </w:p>
        </w:tc>
      </w:tr>
    </w:tbl>
    <w:p w14:paraId="685D6BC8" w14:textId="62FCB6D0" w:rsidR="000F7953" w:rsidRDefault="000F7953" w:rsidP="00D73A02">
      <w:pPr>
        <w:jc w:val="both"/>
        <w:rPr>
          <w:rFonts w:ascii="Times New Roman" w:hAnsi="Times New Roman" w:cs="Times New Roman"/>
        </w:rPr>
      </w:pPr>
      <w:r w:rsidRPr="000F7953">
        <w:rPr>
          <w:rFonts w:ascii="Times New Roman" w:hAnsi="Times New Roman" w:cs="Times New Roman"/>
          <w:b/>
          <w:bCs/>
          <w:i/>
          <w:iCs/>
        </w:rPr>
        <w:t>Source: Authors’ Computation (2026)</w:t>
      </w:r>
    </w:p>
    <w:p w14:paraId="56CF5420" w14:textId="2D6720AE" w:rsidR="00D73A02" w:rsidRPr="00D73A02" w:rsidRDefault="00D73A02" w:rsidP="00D73A02">
      <w:pPr>
        <w:jc w:val="both"/>
        <w:rPr>
          <w:rFonts w:ascii="Times New Roman" w:hAnsi="Times New Roman" w:cs="Times New Roman"/>
        </w:rPr>
      </w:pPr>
      <w:r w:rsidRPr="00D73A02">
        <w:rPr>
          <w:rFonts w:ascii="Times New Roman" w:hAnsi="Times New Roman" w:cs="Times New Roman"/>
        </w:rPr>
        <w:t>Pearson’s correlation analysis was conducted to examine the relationships between the dimensions of integrated planning and budgeting practices, internal control systems, and service delivery efficiency. As presented in Table 3, all key variables exhibited significant positive correlations with service delivery efficiency (SDE). Strategic planning integration showed a correlation coefficient of r = 0.5100 with SDE, budget participation r = 0.4400, and monitoring and evaluation systems r = 0.3800. Internal control systems also showed a significant positive correlation with SDE (r = 0.4800). Furthermore, moderate to strong intercorrelations were observed among the independent variables themselves, suggesting a cohesive implementation environment within the ministries.</w:t>
      </w:r>
    </w:p>
    <w:p w14:paraId="05F54CFB" w14:textId="5E87D85A" w:rsidR="00D73A02" w:rsidRPr="00D73A02" w:rsidRDefault="000F7953" w:rsidP="00D73A02">
      <w:pPr>
        <w:jc w:val="both"/>
        <w:rPr>
          <w:rFonts w:ascii="Times New Roman" w:hAnsi="Times New Roman" w:cs="Times New Roman"/>
          <w:b/>
          <w:bCs/>
        </w:rPr>
      </w:pPr>
      <w:r>
        <w:rPr>
          <w:rFonts w:ascii="Times New Roman" w:hAnsi="Times New Roman" w:cs="Times New Roman"/>
          <w:b/>
          <w:bCs/>
        </w:rPr>
        <w:t xml:space="preserve">4.4 </w:t>
      </w:r>
      <w:r w:rsidR="00D73A02" w:rsidRPr="00D73A02">
        <w:rPr>
          <w:rFonts w:ascii="Times New Roman" w:hAnsi="Times New Roman" w:cs="Times New Roman"/>
          <w:b/>
          <w:bCs/>
        </w:rPr>
        <w:t>Regression Analysis</w:t>
      </w:r>
    </w:p>
    <w:p w14:paraId="2E96E817"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To examine the predictive effects of integrated planning and budgeting practices (IPBP) and internal control systems (ICS) on service delivery efficiency (SDE), as well as the moderating role of ICS, hierarchical multiple regression analysis was conducted using SPSS 20.0. The independent variables entered were the three IPBP dimensions (strategic planning integration, budget participation, monitoring &amp; evaluation), the moderating variable (ICS), and the interaction term (IPBP × ICS).</w:t>
      </w:r>
    </w:p>
    <w:p w14:paraId="08E3486A" w14:textId="47E5911D" w:rsidR="00D73A02" w:rsidRPr="00D73A02" w:rsidRDefault="00D612E9" w:rsidP="00D73A02">
      <w:pPr>
        <w:jc w:val="both"/>
        <w:rPr>
          <w:rFonts w:ascii="Times New Roman" w:hAnsi="Times New Roman" w:cs="Times New Roman"/>
          <w:b/>
          <w:bCs/>
        </w:rPr>
      </w:pPr>
      <w:r>
        <w:rPr>
          <w:rFonts w:ascii="Times New Roman" w:hAnsi="Times New Roman" w:cs="Times New Roman"/>
          <w:b/>
          <w:bCs/>
        </w:rPr>
        <w:t xml:space="preserve">4.4.1 </w:t>
      </w:r>
      <w:r w:rsidR="00D73A02" w:rsidRPr="00D73A02">
        <w:rPr>
          <w:rFonts w:ascii="Times New Roman" w:hAnsi="Times New Roman" w:cs="Times New Roman"/>
          <w:b/>
          <w:bCs/>
        </w:rPr>
        <w:t>Model Summary</w:t>
      </w:r>
    </w:p>
    <w:p w14:paraId="125DC51B"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b/>
          <w:bCs/>
        </w:rPr>
        <w:t>Table 4: Model Summary</w:t>
      </w:r>
    </w:p>
    <w:tbl>
      <w:tblPr>
        <w:tblW w:w="9402"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810"/>
        <w:gridCol w:w="799"/>
        <w:gridCol w:w="1212"/>
        <w:gridCol w:w="2160"/>
        <w:gridCol w:w="2790"/>
        <w:gridCol w:w="1631"/>
      </w:tblGrid>
      <w:tr w:rsidR="00D73A02" w:rsidRPr="00D73A02" w14:paraId="7E12B2C5" w14:textId="77777777" w:rsidTr="00D612E9">
        <w:trPr>
          <w:tblHeader/>
        </w:trPr>
        <w:tc>
          <w:tcPr>
            <w:tcW w:w="810" w:type="dxa"/>
            <w:tcBorders>
              <w:top w:val="single" w:sz="4" w:space="0" w:color="auto"/>
              <w:bottom w:val="single" w:sz="4" w:space="0" w:color="auto"/>
            </w:tcBorders>
            <w:noWrap/>
            <w:vAlign w:val="bottom"/>
            <w:hideMark/>
          </w:tcPr>
          <w:p w14:paraId="325F51EF" w14:textId="77777777" w:rsidR="00D73A02" w:rsidRPr="00D73A02" w:rsidRDefault="00D73A02" w:rsidP="00D73A02">
            <w:pPr>
              <w:jc w:val="both"/>
              <w:rPr>
                <w:rFonts w:ascii="Times New Roman" w:hAnsi="Times New Roman" w:cs="Times New Roman"/>
                <w:b/>
                <w:bCs/>
              </w:rPr>
            </w:pPr>
            <w:r w:rsidRPr="00D73A02">
              <w:rPr>
                <w:rFonts w:ascii="Times New Roman" w:hAnsi="Times New Roman" w:cs="Times New Roman"/>
                <w:b/>
                <w:bCs/>
              </w:rPr>
              <w:t>Model</w:t>
            </w:r>
          </w:p>
        </w:tc>
        <w:tc>
          <w:tcPr>
            <w:tcW w:w="0" w:type="auto"/>
            <w:tcBorders>
              <w:top w:val="single" w:sz="4" w:space="0" w:color="auto"/>
              <w:bottom w:val="single" w:sz="4" w:space="0" w:color="auto"/>
            </w:tcBorders>
            <w:noWrap/>
            <w:vAlign w:val="bottom"/>
            <w:hideMark/>
          </w:tcPr>
          <w:p w14:paraId="0DD70F59" w14:textId="77777777" w:rsidR="00D73A02" w:rsidRPr="00D73A02" w:rsidRDefault="00D73A02" w:rsidP="00D73A02">
            <w:pPr>
              <w:jc w:val="both"/>
              <w:rPr>
                <w:rFonts w:ascii="Times New Roman" w:hAnsi="Times New Roman" w:cs="Times New Roman"/>
                <w:b/>
                <w:bCs/>
              </w:rPr>
            </w:pPr>
            <w:r w:rsidRPr="00D73A02">
              <w:rPr>
                <w:rFonts w:ascii="Times New Roman" w:hAnsi="Times New Roman" w:cs="Times New Roman"/>
                <w:b/>
                <w:bCs/>
              </w:rPr>
              <w:t>R</w:t>
            </w:r>
          </w:p>
        </w:tc>
        <w:tc>
          <w:tcPr>
            <w:tcW w:w="1212" w:type="dxa"/>
            <w:tcBorders>
              <w:top w:val="single" w:sz="4" w:space="0" w:color="auto"/>
              <w:bottom w:val="single" w:sz="4" w:space="0" w:color="auto"/>
            </w:tcBorders>
            <w:noWrap/>
            <w:vAlign w:val="bottom"/>
            <w:hideMark/>
          </w:tcPr>
          <w:p w14:paraId="0E7494CA" w14:textId="77777777" w:rsidR="00D73A02" w:rsidRPr="00D73A02" w:rsidRDefault="00D73A02" w:rsidP="00D73A02">
            <w:pPr>
              <w:jc w:val="both"/>
              <w:rPr>
                <w:rFonts w:ascii="Times New Roman" w:hAnsi="Times New Roman" w:cs="Times New Roman"/>
                <w:b/>
                <w:bCs/>
              </w:rPr>
            </w:pPr>
            <w:r w:rsidRPr="00D73A02">
              <w:rPr>
                <w:rFonts w:ascii="Times New Roman" w:hAnsi="Times New Roman" w:cs="Times New Roman"/>
                <w:b/>
                <w:bCs/>
              </w:rPr>
              <w:t>R Square</w:t>
            </w:r>
          </w:p>
        </w:tc>
        <w:tc>
          <w:tcPr>
            <w:tcW w:w="2160" w:type="dxa"/>
            <w:tcBorders>
              <w:top w:val="single" w:sz="4" w:space="0" w:color="auto"/>
              <w:bottom w:val="single" w:sz="4" w:space="0" w:color="auto"/>
            </w:tcBorders>
            <w:noWrap/>
            <w:vAlign w:val="bottom"/>
            <w:hideMark/>
          </w:tcPr>
          <w:p w14:paraId="297CB97D" w14:textId="77777777" w:rsidR="00D73A02" w:rsidRPr="00D73A02" w:rsidRDefault="00D73A02" w:rsidP="00D73A02">
            <w:pPr>
              <w:jc w:val="both"/>
              <w:rPr>
                <w:rFonts w:ascii="Times New Roman" w:hAnsi="Times New Roman" w:cs="Times New Roman"/>
                <w:b/>
                <w:bCs/>
              </w:rPr>
            </w:pPr>
            <w:r w:rsidRPr="00D73A02">
              <w:rPr>
                <w:rFonts w:ascii="Times New Roman" w:hAnsi="Times New Roman" w:cs="Times New Roman"/>
                <w:b/>
                <w:bCs/>
              </w:rPr>
              <w:t>Adjusted R Square</w:t>
            </w:r>
          </w:p>
        </w:tc>
        <w:tc>
          <w:tcPr>
            <w:tcW w:w="2790" w:type="dxa"/>
            <w:tcBorders>
              <w:top w:val="single" w:sz="4" w:space="0" w:color="auto"/>
              <w:bottom w:val="single" w:sz="4" w:space="0" w:color="auto"/>
            </w:tcBorders>
            <w:noWrap/>
            <w:vAlign w:val="bottom"/>
            <w:hideMark/>
          </w:tcPr>
          <w:p w14:paraId="30E4BB6A" w14:textId="77777777" w:rsidR="00D73A02" w:rsidRPr="00D73A02" w:rsidRDefault="00D73A02" w:rsidP="00D73A02">
            <w:pPr>
              <w:jc w:val="both"/>
              <w:rPr>
                <w:rFonts w:ascii="Times New Roman" w:hAnsi="Times New Roman" w:cs="Times New Roman"/>
                <w:b/>
                <w:bCs/>
              </w:rPr>
            </w:pPr>
            <w:r w:rsidRPr="00D73A02">
              <w:rPr>
                <w:rFonts w:ascii="Times New Roman" w:hAnsi="Times New Roman" w:cs="Times New Roman"/>
                <w:b/>
                <w:bCs/>
              </w:rPr>
              <w:t>Std. Error of the Estimate</w:t>
            </w:r>
          </w:p>
        </w:tc>
        <w:tc>
          <w:tcPr>
            <w:tcW w:w="1631" w:type="dxa"/>
            <w:tcBorders>
              <w:top w:val="single" w:sz="4" w:space="0" w:color="auto"/>
              <w:bottom w:val="single" w:sz="4" w:space="0" w:color="auto"/>
            </w:tcBorders>
            <w:noWrap/>
            <w:vAlign w:val="bottom"/>
            <w:hideMark/>
          </w:tcPr>
          <w:p w14:paraId="51F6A487" w14:textId="77777777" w:rsidR="00D73A02" w:rsidRPr="00D73A02" w:rsidRDefault="00D73A02" w:rsidP="00D73A02">
            <w:pPr>
              <w:jc w:val="both"/>
              <w:rPr>
                <w:rFonts w:ascii="Times New Roman" w:hAnsi="Times New Roman" w:cs="Times New Roman"/>
                <w:b/>
                <w:bCs/>
              </w:rPr>
            </w:pPr>
            <w:r w:rsidRPr="00D73A02">
              <w:rPr>
                <w:rFonts w:ascii="Times New Roman" w:hAnsi="Times New Roman" w:cs="Times New Roman"/>
                <w:b/>
                <w:bCs/>
              </w:rPr>
              <w:t>Durbin-Watson</w:t>
            </w:r>
          </w:p>
        </w:tc>
      </w:tr>
      <w:tr w:rsidR="00D73A02" w:rsidRPr="00D73A02" w14:paraId="5B77759B" w14:textId="77777777" w:rsidTr="00D612E9">
        <w:tc>
          <w:tcPr>
            <w:tcW w:w="810" w:type="dxa"/>
            <w:tcBorders>
              <w:top w:val="single" w:sz="4" w:space="0" w:color="auto"/>
            </w:tcBorders>
            <w:vAlign w:val="bottom"/>
            <w:hideMark/>
          </w:tcPr>
          <w:p w14:paraId="2E6126B4"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1</w:t>
            </w:r>
          </w:p>
        </w:tc>
        <w:tc>
          <w:tcPr>
            <w:tcW w:w="0" w:type="auto"/>
            <w:tcBorders>
              <w:top w:val="single" w:sz="4" w:space="0" w:color="auto"/>
            </w:tcBorders>
            <w:vAlign w:val="bottom"/>
            <w:hideMark/>
          </w:tcPr>
          <w:p w14:paraId="60169A09"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0.716</w:t>
            </w:r>
          </w:p>
        </w:tc>
        <w:tc>
          <w:tcPr>
            <w:tcW w:w="1212" w:type="dxa"/>
            <w:tcBorders>
              <w:top w:val="single" w:sz="4" w:space="0" w:color="auto"/>
            </w:tcBorders>
            <w:vAlign w:val="bottom"/>
            <w:hideMark/>
          </w:tcPr>
          <w:p w14:paraId="5E203285"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0.513</w:t>
            </w:r>
          </w:p>
        </w:tc>
        <w:tc>
          <w:tcPr>
            <w:tcW w:w="2160" w:type="dxa"/>
            <w:tcBorders>
              <w:top w:val="single" w:sz="4" w:space="0" w:color="auto"/>
            </w:tcBorders>
            <w:vAlign w:val="bottom"/>
            <w:hideMark/>
          </w:tcPr>
          <w:p w14:paraId="143EFDB3"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0.502</w:t>
            </w:r>
          </w:p>
        </w:tc>
        <w:tc>
          <w:tcPr>
            <w:tcW w:w="2790" w:type="dxa"/>
            <w:tcBorders>
              <w:top w:val="single" w:sz="4" w:space="0" w:color="auto"/>
            </w:tcBorders>
            <w:vAlign w:val="bottom"/>
            <w:hideMark/>
          </w:tcPr>
          <w:p w14:paraId="4F976649"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0.50034</w:t>
            </w:r>
          </w:p>
        </w:tc>
        <w:tc>
          <w:tcPr>
            <w:tcW w:w="1631" w:type="dxa"/>
            <w:tcBorders>
              <w:top w:val="single" w:sz="4" w:space="0" w:color="auto"/>
            </w:tcBorders>
            <w:vAlign w:val="bottom"/>
            <w:hideMark/>
          </w:tcPr>
          <w:p w14:paraId="7E3BE970"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1.712</w:t>
            </w:r>
          </w:p>
        </w:tc>
      </w:tr>
    </w:tbl>
    <w:p w14:paraId="63B585EF" w14:textId="77777777" w:rsidR="00D612E9" w:rsidRDefault="00D612E9" w:rsidP="00D73A02">
      <w:pPr>
        <w:jc w:val="both"/>
        <w:rPr>
          <w:rFonts w:ascii="Times New Roman" w:hAnsi="Times New Roman" w:cs="Times New Roman"/>
          <w:b/>
          <w:bCs/>
        </w:rPr>
      </w:pPr>
    </w:p>
    <w:p w14:paraId="10E7A855" w14:textId="55891738" w:rsidR="00D73A02" w:rsidRPr="00D73A02" w:rsidRDefault="00D612E9" w:rsidP="00D73A02">
      <w:pPr>
        <w:jc w:val="both"/>
        <w:rPr>
          <w:rFonts w:ascii="Times New Roman" w:hAnsi="Times New Roman" w:cs="Times New Roman"/>
          <w:b/>
          <w:bCs/>
        </w:rPr>
      </w:pPr>
      <w:r>
        <w:rPr>
          <w:rFonts w:ascii="Times New Roman" w:hAnsi="Times New Roman" w:cs="Times New Roman"/>
          <w:b/>
          <w:bCs/>
        </w:rPr>
        <w:t xml:space="preserve">4.4.2 </w:t>
      </w:r>
      <w:r w:rsidR="00D73A02" w:rsidRPr="00D73A02">
        <w:rPr>
          <w:rFonts w:ascii="Times New Roman" w:hAnsi="Times New Roman" w:cs="Times New Roman"/>
          <w:b/>
          <w:bCs/>
        </w:rPr>
        <w:t>ANOVA Table</w:t>
      </w:r>
    </w:p>
    <w:p w14:paraId="2231835F"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b/>
          <w:bCs/>
        </w:rPr>
        <w:t xml:space="preserve">Table 5: </w:t>
      </w:r>
      <w:proofErr w:type="spellStart"/>
      <w:r w:rsidRPr="00D73A02">
        <w:rPr>
          <w:rFonts w:ascii="Times New Roman" w:hAnsi="Times New Roman" w:cs="Times New Roman"/>
          <w:b/>
          <w:bCs/>
        </w:rPr>
        <w:t>ANOVA</w:t>
      </w:r>
      <w:r w:rsidRPr="00D612E9">
        <w:rPr>
          <w:rFonts w:ascii="Times New Roman" w:hAnsi="Times New Roman" w:cs="Times New Roman"/>
          <w:b/>
          <w:bCs/>
          <w:vertAlign w:val="superscript"/>
        </w:rPr>
        <w:t>a</w:t>
      </w:r>
      <w:proofErr w:type="spellEnd"/>
    </w:p>
    <w:tbl>
      <w:tblPr>
        <w:tblW w:w="9540"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272"/>
        <w:gridCol w:w="2407"/>
        <w:gridCol w:w="808"/>
        <w:gridCol w:w="1893"/>
        <w:gridCol w:w="1429"/>
        <w:gridCol w:w="731"/>
      </w:tblGrid>
      <w:tr w:rsidR="00D73A02" w:rsidRPr="00D73A02" w14:paraId="4A15AC65" w14:textId="77777777" w:rsidTr="00D612E9">
        <w:trPr>
          <w:tblHeader/>
        </w:trPr>
        <w:tc>
          <w:tcPr>
            <w:tcW w:w="0" w:type="auto"/>
            <w:tcBorders>
              <w:top w:val="single" w:sz="4" w:space="0" w:color="auto"/>
              <w:bottom w:val="single" w:sz="4" w:space="0" w:color="auto"/>
            </w:tcBorders>
            <w:noWrap/>
            <w:vAlign w:val="bottom"/>
            <w:hideMark/>
          </w:tcPr>
          <w:p w14:paraId="608999B8" w14:textId="77777777" w:rsidR="00D73A02" w:rsidRPr="00D73A02" w:rsidRDefault="00D73A02" w:rsidP="00D73A02">
            <w:pPr>
              <w:jc w:val="both"/>
              <w:rPr>
                <w:rFonts w:ascii="Times New Roman" w:hAnsi="Times New Roman" w:cs="Times New Roman"/>
                <w:b/>
                <w:bCs/>
              </w:rPr>
            </w:pPr>
            <w:r w:rsidRPr="00D73A02">
              <w:rPr>
                <w:rFonts w:ascii="Times New Roman" w:hAnsi="Times New Roman" w:cs="Times New Roman"/>
                <w:b/>
                <w:bCs/>
              </w:rPr>
              <w:lastRenderedPageBreak/>
              <w:t>Model</w:t>
            </w:r>
          </w:p>
        </w:tc>
        <w:tc>
          <w:tcPr>
            <w:tcW w:w="2407" w:type="dxa"/>
            <w:tcBorders>
              <w:top w:val="single" w:sz="4" w:space="0" w:color="auto"/>
              <w:bottom w:val="single" w:sz="4" w:space="0" w:color="auto"/>
            </w:tcBorders>
            <w:noWrap/>
            <w:vAlign w:val="bottom"/>
            <w:hideMark/>
          </w:tcPr>
          <w:p w14:paraId="19DB0941" w14:textId="77777777" w:rsidR="00D73A02" w:rsidRPr="00D73A02" w:rsidRDefault="00D73A02" w:rsidP="00D73A02">
            <w:pPr>
              <w:jc w:val="both"/>
              <w:rPr>
                <w:rFonts w:ascii="Times New Roman" w:hAnsi="Times New Roman" w:cs="Times New Roman"/>
                <w:b/>
                <w:bCs/>
              </w:rPr>
            </w:pPr>
            <w:r w:rsidRPr="00D73A02">
              <w:rPr>
                <w:rFonts w:ascii="Times New Roman" w:hAnsi="Times New Roman" w:cs="Times New Roman"/>
                <w:b/>
                <w:bCs/>
              </w:rPr>
              <w:t>Sum of Squares</w:t>
            </w:r>
          </w:p>
        </w:tc>
        <w:tc>
          <w:tcPr>
            <w:tcW w:w="0" w:type="auto"/>
            <w:tcBorders>
              <w:top w:val="single" w:sz="4" w:space="0" w:color="auto"/>
              <w:bottom w:val="single" w:sz="4" w:space="0" w:color="auto"/>
            </w:tcBorders>
            <w:noWrap/>
            <w:vAlign w:val="bottom"/>
            <w:hideMark/>
          </w:tcPr>
          <w:p w14:paraId="02FEBB30" w14:textId="6C1AE96F" w:rsidR="00D73A02" w:rsidRPr="00D73A02" w:rsidRDefault="00D612E9" w:rsidP="00D73A02">
            <w:pPr>
              <w:jc w:val="both"/>
              <w:rPr>
                <w:rFonts w:ascii="Times New Roman" w:hAnsi="Times New Roman" w:cs="Times New Roman"/>
                <w:b/>
                <w:bCs/>
              </w:rPr>
            </w:pPr>
            <w:r w:rsidRPr="00D73A02">
              <w:rPr>
                <w:rFonts w:ascii="Times New Roman" w:hAnsi="Times New Roman" w:cs="Times New Roman"/>
                <w:b/>
                <w:bCs/>
              </w:rPr>
              <w:t>D</w:t>
            </w:r>
            <w:r w:rsidR="00D73A02" w:rsidRPr="00D73A02">
              <w:rPr>
                <w:rFonts w:ascii="Times New Roman" w:hAnsi="Times New Roman" w:cs="Times New Roman"/>
                <w:b/>
                <w:bCs/>
              </w:rPr>
              <w:t>f</w:t>
            </w:r>
          </w:p>
        </w:tc>
        <w:tc>
          <w:tcPr>
            <w:tcW w:w="1893" w:type="dxa"/>
            <w:tcBorders>
              <w:top w:val="single" w:sz="4" w:space="0" w:color="auto"/>
              <w:bottom w:val="single" w:sz="4" w:space="0" w:color="auto"/>
            </w:tcBorders>
            <w:noWrap/>
            <w:vAlign w:val="bottom"/>
            <w:hideMark/>
          </w:tcPr>
          <w:p w14:paraId="015FD93D" w14:textId="77777777" w:rsidR="00D73A02" w:rsidRPr="00D73A02" w:rsidRDefault="00D73A02" w:rsidP="00D73A02">
            <w:pPr>
              <w:jc w:val="both"/>
              <w:rPr>
                <w:rFonts w:ascii="Times New Roman" w:hAnsi="Times New Roman" w:cs="Times New Roman"/>
                <w:b/>
                <w:bCs/>
              </w:rPr>
            </w:pPr>
            <w:r w:rsidRPr="00D73A02">
              <w:rPr>
                <w:rFonts w:ascii="Times New Roman" w:hAnsi="Times New Roman" w:cs="Times New Roman"/>
                <w:b/>
                <w:bCs/>
              </w:rPr>
              <w:t>Mean Square</w:t>
            </w:r>
          </w:p>
        </w:tc>
        <w:tc>
          <w:tcPr>
            <w:tcW w:w="0" w:type="auto"/>
            <w:tcBorders>
              <w:top w:val="single" w:sz="4" w:space="0" w:color="auto"/>
              <w:bottom w:val="single" w:sz="4" w:space="0" w:color="auto"/>
            </w:tcBorders>
            <w:noWrap/>
            <w:vAlign w:val="bottom"/>
            <w:hideMark/>
          </w:tcPr>
          <w:p w14:paraId="551DA080" w14:textId="77777777" w:rsidR="00D73A02" w:rsidRPr="00D73A02" w:rsidRDefault="00D73A02" w:rsidP="00D73A02">
            <w:pPr>
              <w:jc w:val="both"/>
              <w:rPr>
                <w:rFonts w:ascii="Times New Roman" w:hAnsi="Times New Roman" w:cs="Times New Roman"/>
                <w:b/>
                <w:bCs/>
              </w:rPr>
            </w:pPr>
            <w:r w:rsidRPr="00D73A02">
              <w:rPr>
                <w:rFonts w:ascii="Times New Roman" w:hAnsi="Times New Roman" w:cs="Times New Roman"/>
                <w:b/>
                <w:bCs/>
              </w:rPr>
              <w:t>F</w:t>
            </w:r>
          </w:p>
        </w:tc>
        <w:tc>
          <w:tcPr>
            <w:tcW w:w="731" w:type="dxa"/>
            <w:tcBorders>
              <w:top w:val="single" w:sz="4" w:space="0" w:color="auto"/>
              <w:bottom w:val="single" w:sz="4" w:space="0" w:color="auto"/>
            </w:tcBorders>
            <w:noWrap/>
            <w:vAlign w:val="bottom"/>
            <w:hideMark/>
          </w:tcPr>
          <w:p w14:paraId="6CA326D5" w14:textId="77777777" w:rsidR="00D73A02" w:rsidRPr="00D73A02" w:rsidRDefault="00D73A02" w:rsidP="00D73A02">
            <w:pPr>
              <w:jc w:val="both"/>
              <w:rPr>
                <w:rFonts w:ascii="Times New Roman" w:hAnsi="Times New Roman" w:cs="Times New Roman"/>
                <w:b/>
                <w:bCs/>
              </w:rPr>
            </w:pPr>
            <w:r w:rsidRPr="00D73A02">
              <w:rPr>
                <w:rFonts w:ascii="Times New Roman" w:hAnsi="Times New Roman" w:cs="Times New Roman"/>
                <w:b/>
                <w:bCs/>
              </w:rPr>
              <w:t>Sig.</w:t>
            </w:r>
          </w:p>
        </w:tc>
      </w:tr>
      <w:tr w:rsidR="00D73A02" w:rsidRPr="00D73A02" w14:paraId="29CB3F52" w14:textId="77777777" w:rsidTr="00D612E9">
        <w:tc>
          <w:tcPr>
            <w:tcW w:w="0" w:type="auto"/>
            <w:tcBorders>
              <w:top w:val="single" w:sz="4" w:space="0" w:color="auto"/>
            </w:tcBorders>
            <w:vAlign w:val="bottom"/>
            <w:hideMark/>
          </w:tcPr>
          <w:p w14:paraId="3C8371A3"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Regression</w:t>
            </w:r>
          </w:p>
        </w:tc>
        <w:tc>
          <w:tcPr>
            <w:tcW w:w="2407" w:type="dxa"/>
            <w:tcBorders>
              <w:top w:val="single" w:sz="4" w:space="0" w:color="auto"/>
            </w:tcBorders>
            <w:vAlign w:val="bottom"/>
            <w:hideMark/>
          </w:tcPr>
          <w:p w14:paraId="19AB56FB"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45.392</w:t>
            </w:r>
          </w:p>
        </w:tc>
        <w:tc>
          <w:tcPr>
            <w:tcW w:w="0" w:type="auto"/>
            <w:tcBorders>
              <w:top w:val="single" w:sz="4" w:space="0" w:color="auto"/>
            </w:tcBorders>
            <w:vAlign w:val="bottom"/>
            <w:hideMark/>
          </w:tcPr>
          <w:p w14:paraId="5D3489B6"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5</w:t>
            </w:r>
          </w:p>
        </w:tc>
        <w:tc>
          <w:tcPr>
            <w:tcW w:w="1893" w:type="dxa"/>
            <w:tcBorders>
              <w:top w:val="single" w:sz="4" w:space="0" w:color="auto"/>
            </w:tcBorders>
            <w:vAlign w:val="bottom"/>
            <w:hideMark/>
          </w:tcPr>
          <w:p w14:paraId="4394039A"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9.078</w:t>
            </w:r>
          </w:p>
        </w:tc>
        <w:tc>
          <w:tcPr>
            <w:tcW w:w="0" w:type="auto"/>
            <w:tcBorders>
              <w:top w:val="single" w:sz="4" w:space="0" w:color="auto"/>
            </w:tcBorders>
            <w:vAlign w:val="bottom"/>
            <w:hideMark/>
          </w:tcPr>
          <w:p w14:paraId="205B07C9"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36.246</w:t>
            </w:r>
          </w:p>
        </w:tc>
        <w:tc>
          <w:tcPr>
            <w:tcW w:w="731" w:type="dxa"/>
            <w:tcBorders>
              <w:top w:val="single" w:sz="4" w:space="0" w:color="auto"/>
            </w:tcBorders>
            <w:vAlign w:val="bottom"/>
            <w:hideMark/>
          </w:tcPr>
          <w:p w14:paraId="5F465F84"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.000</w:t>
            </w:r>
            <w:r w:rsidRPr="00D612E9">
              <w:rPr>
                <w:rFonts w:ascii="Times New Roman" w:hAnsi="Times New Roman" w:cs="Times New Roman"/>
                <w:vertAlign w:val="superscript"/>
              </w:rPr>
              <w:t>b</w:t>
            </w:r>
          </w:p>
        </w:tc>
      </w:tr>
      <w:tr w:rsidR="00D73A02" w:rsidRPr="00D73A02" w14:paraId="32C2CD35" w14:textId="77777777" w:rsidTr="00D612E9">
        <w:tc>
          <w:tcPr>
            <w:tcW w:w="0" w:type="auto"/>
            <w:vAlign w:val="bottom"/>
            <w:hideMark/>
          </w:tcPr>
          <w:p w14:paraId="7548E3A2"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Residual</w:t>
            </w:r>
          </w:p>
        </w:tc>
        <w:tc>
          <w:tcPr>
            <w:tcW w:w="2407" w:type="dxa"/>
            <w:vAlign w:val="bottom"/>
            <w:hideMark/>
          </w:tcPr>
          <w:p w14:paraId="0851BC8F"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43.135</w:t>
            </w:r>
          </w:p>
        </w:tc>
        <w:tc>
          <w:tcPr>
            <w:tcW w:w="0" w:type="auto"/>
            <w:vAlign w:val="bottom"/>
            <w:hideMark/>
          </w:tcPr>
          <w:p w14:paraId="42BB736B"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172</w:t>
            </w:r>
          </w:p>
        </w:tc>
        <w:tc>
          <w:tcPr>
            <w:tcW w:w="1893" w:type="dxa"/>
            <w:vAlign w:val="bottom"/>
            <w:hideMark/>
          </w:tcPr>
          <w:p w14:paraId="2C47B5ED"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0.251</w:t>
            </w:r>
          </w:p>
        </w:tc>
        <w:tc>
          <w:tcPr>
            <w:tcW w:w="0" w:type="auto"/>
            <w:vAlign w:val="bottom"/>
            <w:hideMark/>
          </w:tcPr>
          <w:p w14:paraId="561B07B5" w14:textId="77777777" w:rsidR="00D73A02" w:rsidRPr="00D73A02" w:rsidRDefault="00D73A02" w:rsidP="00D73A02">
            <w:pPr>
              <w:jc w:val="both"/>
              <w:rPr>
                <w:rFonts w:ascii="Times New Roman" w:hAnsi="Times New Roman" w:cs="Times New Roman"/>
              </w:rPr>
            </w:pPr>
          </w:p>
        </w:tc>
        <w:tc>
          <w:tcPr>
            <w:tcW w:w="731" w:type="dxa"/>
            <w:vAlign w:val="bottom"/>
            <w:hideMark/>
          </w:tcPr>
          <w:p w14:paraId="660396F3" w14:textId="77777777" w:rsidR="00D73A02" w:rsidRPr="00D73A02" w:rsidRDefault="00D73A02" w:rsidP="00D73A02">
            <w:pPr>
              <w:jc w:val="both"/>
              <w:rPr>
                <w:rFonts w:ascii="Times New Roman" w:hAnsi="Times New Roman" w:cs="Times New Roman"/>
              </w:rPr>
            </w:pPr>
          </w:p>
        </w:tc>
      </w:tr>
      <w:tr w:rsidR="00D73A02" w:rsidRPr="00D73A02" w14:paraId="66822BDA" w14:textId="77777777" w:rsidTr="00D612E9">
        <w:tc>
          <w:tcPr>
            <w:tcW w:w="0" w:type="auto"/>
            <w:vAlign w:val="bottom"/>
            <w:hideMark/>
          </w:tcPr>
          <w:p w14:paraId="7647376D"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Total</w:t>
            </w:r>
          </w:p>
        </w:tc>
        <w:tc>
          <w:tcPr>
            <w:tcW w:w="2407" w:type="dxa"/>
            <w:vAlign w:val="bottom"/>
            <w:hideMark/>
          </w:tcPr>
          <w:p w14:paraId="25265440"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88.527</w:t>
            </w:r>
          </w:p>
        </w:tc>
        <w:tc>
          <w:tcPr>
            <w:tcW w:w="0" w:type="auto"/>
            <w:vAlign w:val="bottom"/>
            <w:hideMark/>
          </w:tcPr>
          <w:p w14:paraId="4A7AD445"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177</w:t>
            </w:r>
          </w:p>
        </w:tc>
        <w:tc>
          <w:tcPr>
            <w:tcW w:w="1893" w:type="dxa"/>
            <w:vAlign w:val="bottom"/>
            <w:hideMark/>
          </w:tcPr>
          <w:p w14:paraId="652E3DAC" w14:textId="77777777" w:rsidR="00D73A02" w:rsidRPr="00D73A02" w:rsidRDefault="00D73A02" w:rsidP="00D73A02">
            <w:pPr>
              <w:jc w:val="both"/>
              <w:rPr>
                <w:rFonts w:ascii="Times New Roman" w:hAnsi="Times New Roman" w:cs="Times New Roman"/>
              </w:rPr>
            </w:pPr>
          </w:p>
        </w:tc>
        <w:tc>
          <w:tcPr>
            <w:tcW w:w="0" w:type="auto"/>
            <w:vAlign w:val="bottom"/>
            <w:hideMark/>
          </w:tcPr>
          <w:p w14:paraId="3A00CAD3" w14:textId="77777777" w:rsidR="00D73A02" w:rsidRPr="00D73A02" w:rsidRDefault="00D73A02" w:rsidP="00D73A02">
            <w:pPr>
              <w:jc w:val="both"/>
              <w:rPr>
                <w:rFonts w:ascii="Times New Roman" w:hAnsi="Times New Roman" w:cs="Times New Roman"/>
              </w:rPr>
            </w:pPr>
          </w:p>
        </w:tc>
        <w:tc>
          <w:tcPr>
            <w:tcW w:w="731" w:type="dxa"/>
            <w:vAlign w:val="bottom"/>
            <w:hideMark/>
          </w:tcPr>
          <w:p w14:paraId="4B71C43D" w14:textId="77777777" w:rsidR="00D73A02" w:rsidRPr="00D73A02" w:rsidRDefault="00D73A02" w:rsidP="00D73A02">
            <w:pPr>
              <w:jc w:val="both"/>
              <w:rPr>
                <w:rFonts w:ascii="Times New Roman" w:hAnsi="Times New Roman" w:cs="Times New Roman"/>
              </w:rPr>
            </w:pPr>
          </w:p>
        </w:tc>
      </w:tr>
    </w:tbl>
    <w:p w14:paraId="3F0829D0" w14:textId="77777777" w:rsidR="00D612E9" w:rsidRDefault="00D73A02" w:rsidP="00D73A02">
      <w:pPr>
        <w:jc w:val="both"/>
        <w:rPr>
          <w:rFonts w:ascii="Times New Roman" w:hAnsi="Times New Roman" w:cs="Times New Roman"/>
        </w:rPr>
      </w:pPr>
      <w:r w:rsidRPr="00D73A02">
        <w:rPr>
          <w:rFonts w:ascii="Times New Roman" w:hAnsi="Times New Roman" w:cs="Times New Roman"/>
        </w:rPr>
        <w:t>a. Dependent Variable: Service Delivery Efficiency</w:t>
      </w:r>
    </w:p>
    <w:p w14:paraId="2AD94647" w14:textId="13C9C7F1" w:rsidR="00D73A02" w:rsidRPr="00D73A02" w:rsidRDefault="00D73A02" w:rsidP="00D73A02">
      <w:pPr>
        <w:jc w:val="both"/>
        <w:rPr>
          <w:rFonts w:ascii="Times New Roman" w:hAnsi="Times New Roman" w:cs="Times New Roman"/>
        </w:rPr>
      </w:pPr>
      <w:r w:rsidRPr="00D73A02">
        <w:rPr>
          <w:rFonts w:ascii="Times New Roman" w:hAnsi="Times New Roman" w:cs="Times New Roman"/>
        </w:rPr>
        <w:t>b. Predictors: (Constant), SPI, BP, M&amp;E, ICS, IPBP×ICS</w:t>
      </w:r>
    </w:p>
    <w:p w14:paraId="6C69E3D6" w14:textId="2F794D98" w:rsidR="00D73A02" w:rsidRPr="00D73A02" w:rsidRDefault="00D612E9" w:rsidP="00D73A02">
      <w:pPr>
        <w:jc w:val="both"/>
        <w:rPr>
          <w:rFonts w:ascii="Times New Roman" w:hAnsi="Times New Roman" w:cs="Times New Roman"/>
          <w:b/>
          <w:bCs/>
        </w:rPr>
      </w:pPr>
      <w:r>
        <w:rPr>
          <w:rFonts w:ascii="Times New Roman" w:hAnsi="Times New Roman" w:cs="Times New Roman"/>
          <w:b/>
          <w:bCs/>
        </w:rPr>
        <w:t xml:space="preserve">4.4.3 </w:t>
      </w:r>
      <w:r w:rsidR="00D73A02" w:rsidRPr="00D73A02">
        <w:rPr>
          <w:rFonts w:ascii="Times New Roman" w:hAnsi="Times New Roman" w:cs="Times New Roman"/>
          <w:b/>
          <w:bCs/>
        </w:rPr>
        <w:t>Coefficients Table</w:t>
      </w:r>
    </w:p>
    <w:p w14:paraId="355684F9"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b/>
          <w:bCs/>
        </w:rPr>
        <w:t xml:space="preserve">Table 6: </w:t>
      </w:r>
      <w:proofErr w:type="spellStart"/>
      <w:r w:rsidRPr="00D73A02">
        <w:rPr>
          <w:rFonts w:ascii="Times New Roman" w:hAnsi="Times New Roman" w:cs="Times New Roman"/>
          <w:b/>
          <w:bCs/>
        </w:rPr>
        <w:t>Coefficients</w:t>
      </w:r>
      <w:r w:rsidRPr="00D612E9">
        <w:rPr>
          <w:rFonts w:ascii="Times New Roman" w:hAnsi="Times New Roman" w:cs="Times New Roman"/>
          <w:b/>
          <w:bCs/>
          <w:vertAlign w:val="superscript"/>
        </w:rPr>
        <w:t>a</w:t>
      </w:r>
      <w:proofErr w:type="spellEnd"/>
    </w:p>
    <w:tbl>
      <w:tblPr>
        <w:tblW w:w="10056"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610"/>
        <w:gridCol w:w="1709"/>
        <w:gridCol w:w="1233"/>
        <w:gridCol w:w="1404"/>
        <w:gridCol w:w="644"/>
        <w:gridCol w:w="644"/>
        <w:gridCol w:w="1168"/>
        <w:gridCol w:w="644"/>
      </w:tblGrid>
      <w:tr w:rsidR="00D73A02" w:rsidRPr="00D73A02" w14:paraId="5C19A971" w14:textId="77777777" w:rsidTr="00D612E9">
        <w:tc>
          <w:tcPr>
            <w:tcW w:w="2610" w:type="dxa"/>
            <w:tcBorders>
              <w:top w:val="single" w:sz="4" w:space="0" w:color="auto"/>
              <w:bottom w:val="single" w:sz="4" w:space="0" w:color="auto"/>
            </w:tcBorders>
            <w:noWrap/>
            <w:vAlign w:val="bottom"/>
            <w:hideMark/>
          </w:tcPr>
          <w:p w14:paraId="53382497" w14:textId="77777777" w:rsidR="00D73A02" w:rsidRPr="00D73A02" w:rsidRDefault="00D73A02" w:rsidP="00D73A02">
            <w:pPr>
              <w:jc w:val="both"/>
              <w:rPr>
                <w:rFonts w:ascii="Times New Roman" w:hAnsi="Times New Roman" w:cs="Times New Roman"/>
                <w:b/>
                <w:bCs/>
              </w:rPr>
            </w:pPr>
            <w:r w:rsidRPr="00D73A02">
              <w:rPr>
                <w:rFonts w:ascii="Times New Roman" w:hAnsi="Times New Roman" w:cs="Times New Roman"/>
                <w:b/>
                <w:bCs/>
              </w:rPr>
              <w:t>Model</w:t>
            </w:r>
          </w:p>
        </w:tc>
        <w:tc>
          <w:tcPr>
            <w:tcW w:w="1709" w:type="dxa"/>
            <w:tcBorders>
              <w:top w:val="single" w:sz="4" w:space="0" w:color="auto"/>
              <w:bottom w:val="single" w:sz="4" w:space="0" w:color="auto"/>
            </w:tcBorders>
            <w:noWrap/>
            <w:vAlign w:val="bottom"/>
            <w:hideMark/>
          </w:tcPr>
          <w:p w14:paraId="2BE0906B" w14:textId="06B7A18A" w:rsidR="00D73A02" w:rsidRPr="00D73A02" w:rsidRDefault="00D73A02" w:rsidP="00D73A02">
            <w:pPr>
              <w:jc w:val="both"/>
              <w:rPr>
                <w:rFonts w:ascii="Times New Roman" w:hAnsi="Times New Roman" w:cs="Times New Roman"/>
                <w:b/>
                <w:bCs/>
              </w:rPr>
            </w:pPr>
            <w:r w:rsidRPr="00D73A02">
              <w:rPr>
                <w:rFonts w:ascii="Times New Roman" w:hAnsi="Times New Roman" w:cs="Times New Roman"/>
                <w:b/>
                <w:bCs/>
              </w:rPr>
              <w:t>Unstandardized B</w:t>
            </w:r>
            <w:r w:rsidR="00D612E9">
              <w:rPr>
                <w:rFonts w:ascii="Times New Roman" w:hAnsi="Times New Roman" w:cs="Times New Roman"/>
                <w:b/>
                <w:bCs/>
              </w:rPr>
              <w:t>eta</w:t>
            </w:r>
          </w:p>
        </w:tc>
        <w:tc>
          <w:tcPr>
            <w:tcW w:w="0" w:type="auto"/>
            <w:tcBorders>
              <w:top w:val="single" w:sz="4" w:space="0" w:color="auto"/>
              <w:bottom w:val="single" w:sz="4" w:space="0" w:color="auto"/>
            </w:tcBorders>
            <w:noWrap/>
            <w:vAlign w:val="bottom"/>
            <w:hideMark/>
          </w:tcPr>
          <w:p w14:paraId="6111315C" w14:textId="77777777" w:rsidR="00D73A02" w:rsidRPr="00D73A02" w:rsidRDefault="00D73A02" w:rsidP="00D73A02">
            <w:pPr>
              <w:jc w:val="both"/>
              <w:rPr>
                <w:rFonts w:ascii="Times New Roman" w:hAnsi="Times New Roman" w:cs="Times New Roman"/>
                <w:b/>
                <w:bCs/>
              </w:rPr>
            </w:pPr>
            <w:r w:rsidRPr="00D73A02">
              <w:rPr>
                <w:rFonts w:ascii="Times New Roman" w:hAnsi="Times New Roman" w:cs="Times New Roman"/>
                <w:b/>
                <w:bCs/>
              </w:rPr>
              <w:t>Std. Error</w:t>
            </w:r>
          </w:p>
        </w:tc>
        <w:tc>
          <w:tcPr>
            <w:tcW w:w="1366" w:type="dxa"/>
            <w:tcBorders>
              <w:top w:val="single" w:sz="4" w:space="0" w:color="auto"/>
              <w:bottom w:val="single" w:sz="4" w:space="0" w:color="auto"/>
            </w:tcBorders>
            <w:noWrap/>
            <w:vAlign w:val="bottom"/>
            <w:hideMark/>
          </w:tcPr>
          <w:p w14:paraId="6B9F841D" w14:textId="77777777" w:rsidR="00D73A02" w:rsidRPr="00D73A02" w:rsidRDefault="00D73A02" w:rsidP="00D73A02">
            <w:pPr>
              <w:jc w:val="both"/>
              <w:rPr>
                <w:rFonts w:ascii="Times New Roman" w:hAnsi="Times New Roman" w:cs="Times New Roman"/>
                <w:b/>
                <w:bCs/>
              </w:rPr>
            </w:pPr>
            <w:r w:rsidRPr="00D73A02">
              <w:rPr>
                <w:rFonts w:ascii="Times New Roman" w:hAnsi="Times New Roman" w:cs="Times New Roman"/>
                <w:b/>
                <w:bCs/>
              </w:rPr>
              <w:t>Standardized Beta</w:t>
            </w:r>
          </w:p>
        </w:tc>
        <w:tc>
          <w:tcPr>
            <w:tcW w:w="0" w:type="auto"/>
            <w:tcBorders>
              <w:top w:val="single" w:sz="4" w:space="0" w:color="auto"/>
              <w:bottom w:val="single" w:sz="4" w:space="0" w:color="auto"/>
            </w:tcBorders>
            <w:noWrap/>
            <w:vAlign w:val="bottom"/>
            <w:hideMark/>
          </w:tcPr>
          <w:p w14:paraId="619C49BD" w14:textId="77777777" w:rsidR="00D73A02" w:rsidRPr="00D73A02" w:rsidRDefault="00D73A02" w:rsidP="00D73A02">
            <w:pPr>
              <w:jc w:val="both"/>
              <w:rPr>
                <w:rFonts w:ascii="Times New Roman" w:hAnsi="Times New Roman" w:cs="Times New Roman"/>
                <w:b/>
                <w:bCs/>
              </w:rPr>
            </w:pPr>
            <w:r w:rsidRPr="00D73A02">
              <w:rPr>
                <w:rFonts w:ascii="Times New Roman" w:hAnsi="Times New Roman" w:cs="Times New Roman"/>
                <w:b/>
                <w:bCs/>
              </w:rPr>
              <w:t>t</w:t>
            </w:r>
          </w:p>
        </w:tc>
        <w:tc>
          <w:tcPr>
            <w:tcW w:w="0" w:type="auto"/>
            <w:tcBorders>
              <w:top w:val="single" w:sz="4" w:space="0" w:color="auto"/>
              <w:bottom w:val="single" w:sz="4" w:space="0" w:color="auto"/>
            </w:tcBorders>
            <w:noWrap/>
            <w:vAlign w:val="bottom"/>
            <w:hideMark/>
          </w:tcPr>
          <w:p w14:paraId="43C5C594" w14:textId="77777777" w:rsidR="00D73A02" w:rsidRPr="00D73A02" w:rsidRDefault="00D73A02" w:rsidP="00D73A02">
            <w:pPr>
              <w:jc w:val="both"/>
              <w:rPr>
                <w:rFonts w:ascii="Times New Roman" w:hAnsi="Times New Roman" w:cs="Times New Roman"/>
                <w:b/>
                <w:bCs/>
              </w:rPr>
            </w:pPr>
            <w:r w:rsidRPr="00D73A02">
              <w:rPr>
                <w:rFonts w:ascii="Times New Roman" w:hAnsi="Times New Roman" w:cs="Times New Roman"/>
                <w:b/>
                <w:bCs/>
              </w:rPr>
              <w:t>Sig.</w:t>
            </w:r>
          </w:p>
        </w:tc>
        <w:tc>
          <w:tcPr>
            <w:tcW w:w="0" w:type="auto"/>
            <w:tcBorders>
              <w:top w:val="single" w:sz="4" w:space="0" w:color="auto"/>
              <w:bottom w:val="single" w:sz="4" w:space="0" w:color="auto"/>
            </w:tcBorders>
            <w:noWrap/>
            <w:vAlign w:val="bottom"/>
            <w:hideMark/>
          </w:tcPr>
          <w:p w14:paraId="1539AA84" w14:textId="77777777" w:rsidR="00D73A02" w:rsidRPr="00D73A02" w:rsidRDefault="00D73A02" w:rsidP="00D73A02">
            <w:pPr>
              <w:jc w:val="both"/>
              <w:rPr>
                <w:rFonts w:ascii="Times New Roman" w:hAnsi="Times New Roman" w:cs="Times New Roman"/>
                <w:b/>
                <w:bCs/>
              </w:rPr>
            </w:pPr>
            <w:r w:rsidRPr="00D73A02">
              <w:rPr>
                <w:rFonts w:ascii="Times New Roman" w:hAnsi="Times New Roman" w:cs="Times New Roman"/>
                <w:b/>
                <w:bCs/>
              </w:rPr>
              <w:t>Tolerance</w:t>
            </w:r>
          </w:p>
        </w:tc>
        <w:tc>
          <w:tcPr>
            <w:tcW w:w="0" w:type="auto"/>
            <w:tcBorders>
              <w:top w:val="single" w:sz="4" w:space="0" w:color="auto"/>
              <w:bottom w:val="single" w:sz="4" w:space="0" w:color="auto"/>
            </w:tcBorders>
            <w:noWrap/>
            <w:vAlign w:val="bottom"/>
            <w:hideMark/>
          </w:tcPr>
          <w:p w14:paraId="604F4512" w14:textId="77777777" w:rsidR="00D73A02" w:rsidRPr="00D73A02" w:rsidRDefault="00D73A02" w:rsidP="00D73A02">
            <w:pPr>
              <w:jc w:val="both"/>
              <w:rPr>
                <w:rFonts w:ascii="Times New Roman" w:hAnsi="Times New Roman" w:cs="Times New Roman"/>
                <w:b/>
                <w:bCs/>
              </w:rPr>
            </w:pPr>
            <w:r w:rsidRPr="00D73A02">
              <w:rPr>
                <w:rFonts w:ascii="Times New Roman" w:hAnsi="Times New Roman" w:cs="Times New Roman"/>
                <w:b/>
                <w:bCs/>
              </w:rPr>
              <w:t>VIF</w:t>
            </w:r>
          </w:p>
        </w:tc>
      </w:tr>
      <w:tr w:rsidR="00D73A02" w:rsidRPr="00D73A02" w14:paraId="4E3B3D73" w14:textId="77777777" w:rsidTr="00D612E9">
        <w:tc>
          <w:tcPr>
            <w:tcW w:w="2610" w:type="dxa"/>
            <w:tcBorders>
              <w:top w:val="single" w:sz="4" w:space="0" w:color="auto"/>
            </w:tcBorders>
            <w:vAlign w:val="bottom"/>
            <w:hideMark/>
          </w:tcPr>
          <w:p w14:paraId="5F862F16"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(Constant)</w:t>
            </w:r>
          </w:p>
        </w:tc>
        <w:tc>
          <w:tcPr>
            <w:tcW w:w="1709" w:type="dxa"/>
            <w:tcBorders>
              <w:top w:val="single" w:sz="4" w:space="0" w:color="auto"/>
            </w:tcBorders>
            <w:vAlign w:val="bottom"/>
            <w:hideMark/>
          </w:tcPr>
          <w:p w14:paraId="39C9536E"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0.672</w:t>
            </w:r>
          </w:p>
        </w:tc>
        <w:tc>
          <w:tcPr>
            <w:tcW w:w="0" w:type="auto"/>
            <w:tcBorders>
              <w:top w:val="single" w:sz="4" w:space="0" w:color="auto"/>
            </w:tcBorders>
            <w:vAlign w:val="bottom"/>
            <w:hideMark/>
          </w:tcPr>
          <w:p w14:paraId="7B928723"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0.233</w:t>
            </w:r>
          </w:p>
        </w:tc>
        <w:tc>
          <w:tcPr>
            <w:tcW w:w="1366" w:type="dxa"/>
            <w:tcBorders>
              <w:top w:val="single" w:sz="4" w:space="0" w:color="auto"/>
            </w:tcBorders>
            <w:vAlign w:val="bottom"/>
            <w:hideMark/>
          </w:tcPr>
          <w:p w14:paraId="3F57444C" w14:textId="77777777" w:rsidR="00D73A02" w:rsidRPr="00D73A02" w:rsidRDefault="00D73A02" w:rsidP="00D73A02">
            <w:pPr>
              <w:jc w:val="both"/>
              <w:rPr>
                <w:rFonts w:ascii="Times New Roman" w:hAnsi="Times New Roman" w:cs="Times New Roman"/>
              </w:rPr>
            </w:pPr>
          </w:p>
        </w:tc>
        <w:tc>
          <w:tcPr>
            <w:tcW w:w="0" w:type="auto"/>
            <w:tcBorders>
              <w:top w:val="single" w:sz="4" w:space="0" w:color="auto"/>
            </w:tcBorders>
            <w:vAlign w:val="bottom"/>
            <w:hideMark/>
          </w:tcPr>
          <w:p w14:paraId="11E3F7BF"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2.885</w:t>
            </w:r>
          </w:p>
        </w:tc>
        <w:tc>
          <w:tcPr>
            <w:tcW w:w="0" w:type="auto"/>
            <w:tcBorders>
              <w:top w:val="single" w:sz="4" w:space="0" w:color="auto"/>
            </w:tcBorders>
            <w:vAlign w:val="bottom"/>
            <w:hideMark/>
          </w:tcPr>
          <w:p w14:paraId="71A40F95"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0.004</w:t>
            </w:r>
          </w:p>
        </w:tc>
        <w:tc>
          <w:tcPr>
            <w:tcW w:w="0" w:type="auto"/>
            <w:tcBorders>
              <w:top w:val="single" w:sz="4" w:space="0" w:color="auto"/>
            </w:tcBorders>
            <w:vAlign w:val="bottom"/>
            <w:hideMark/>
          </w:tcPr>
          <w:p w14:paraId="3DF6C5FC" w14:textId="77777777" w:rsidR="00D73A02" w:rsidRPr="00D73A02" w:rsidRDefault="00D73A02" w:rsidP="00D73A02">
            <w:pPr>
              <w:jc w:val="both"/>
              <w:rPr>
                <w:rFonts w:ascii="Times New Roman" w:hAnsi="Times New Roman" w:cs="Times New Roman"/>
              </w:rPr>
            </w:pPr>
          </w:p>
        </w:tc>
        <w:tc>
          <w:tcPr>
            <w:tcW w:w="0" w:type="auto"/>
            <w:tcBorders>
              <w:top w:val="single" w:sz="4" w:space="0" w:color="auto"/>
            </w:tcBorders>
            <w:vAlign w:val="bottom"/>
            <w:hideMark/>
          </w:tcPr>
          <w:p w14:paraId="3F161BF4" w14:textId="77777777" w:rsidR="00D73A02" w:rsidRPr="00D73A02" w:rsidRDefault="00D73A02" w:rsidP="00D73A02">
            <w:pPr>
              <w:jc w:val="both"/>
              <w:rPr>
                <w:rFonts w:ascii="Times New Roman" w:hAnsi="Times New Roman" w:cs="Times New Roman"/>
              </w:rPr>
            </w:pPr>
          </w:p>
        </w:tc>
      </w:tr>
      <w:tr w:rsidR="00D73A02" w:rsidRPr="00D73A02" w14:paraId="6F34C2EE" w14:textId="77777777" w:rsidTr="00D612E9">
        <w:tc>
          <w:tcPr>
            <w:tcW w:w="2610" w:type="dxa"/>
            <w:vAlign w:val="bottom"/>
            <w:hideMark/>
          </w:tcPr>
          <w:p w14:paraId="51B14E80"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Strategic Planning Int.</w:t>
            </w:r>
          </w:p>
        </w:tc>
        <w:tc>
          <w:tcPr>
            <w:tcW w:w="1709" w:type="dxa"/>
            <w:vAlign w:val="bottom"/>
            <w:hideMark/>
          </w:tcPr>
          <w:p w14:paraId="1A1D69A8"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0.292</w:t>
            </w:r>
          </w:p>
        </w:tc>
        <w:tc>
          <w:tcPr>
            <w:tcW w:w="0" w:type="auto"/>
            <w:vAlign w:val="bottom"/>
            <w:hideMark/>
          </w:tcPr>
          <w:p w14:paraId="756B0DBF"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0.058</w:t>
            </w:r>
          </w:p>
        </w:tc>
        <w:tc>
          <w:tcPr>
            <w:tcW w:w="1366" w:type="dxa"/>
            <w:vAlign w:val="bottom"/>
            <w:hideMark/>
          </w:tcPr>
          <w:p w14:paraId="26FB4FAD"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0.258</w:t>
            </w:r>
          </w:p>
        </w:tc>
        <w:tc>
          <w:tcPr>
            <w:tcW w:w="0" w:type="auto"/>
            <w:vAlign w:val="bottom"/>
            <w:hideMark/>
          </w:tcPr>
          <w:p w14:paraId="122C59EC"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5.034</w:t>
            </w:r>
          </w:p>
        </w:tc>
        <w:tc>
          <w:tcPr>
            <w:tcW w:w="0" w:type="auto"/>
            <w:vAlign w:val="bottom"/>
            <w:hideMark/>
          </w:tcPr>
          <w:p w14:paraId="4A825D71"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0.000</w:t>
            </w:r>
          </w:p>
        </w:tc>
        <w:tc>
          <w:tcPr>
            <w:tcW w:w="0" w:type="auto"/>
            <w:vAlign w:val="bottom"/>
            <w:hideMark/>
          </w:tcPr>
          <w:p w14:paraId="0647A66D"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0.615</w:t>
            </w:r>
          </w:p>
        </w:tc>
        <w:tc>
          <w:tcPr>
            <w:tcW w:w="0" w:type="auto"/>
            <w:vAlign w:val="bottom"/>
            <w:hideMark/>
          </w:tcPr>
          <w:p w14:paraId="05C84612"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1.627</w:t>
            </w:r>
          </w:p>
        </w:tc>
      </w:tr>
      <w:tr w:rsidR="00D73A02" w:rsidRPr="00D73A02" w14:paraId="02557816" w14:textId="77777777" w:rsidTr="00D612E9">
        <w:tc>
          <w:tcPr>
            <w:tcW w:w="2610" w:type="dxa"/>
            <w:vAlign w:val="bottom"/>
            <w:hideMark/>
          </w:tcPr>
          <w:p w14:paraId="56270C9C"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Budget Participation</w:t>
            </w:r>
          </w:p>
        </w:tc>
        <w:tc>
          <w:tcPr>
            <w:tcW w:w="1709" w:type="dxa"/>
            <w:vAlign w:val="bottom"/>
            <w:hideMark/>
          </w:tcPr>
          <w:p w14:paraId="331BA918"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0.181</w:t>
            </w:r>
          </w:p>
        </w:tc>
        <w:tc>
          <w:tcPr>
            <w:tcW w:w="0" w:type="auto"/>
            <w:vAlign w:val="bottom"/>
            <w:hideMark/>
          </w:tcPr>
          <w:p w14:paraId="4732D130"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0.057</w:t>
            </w:r>
          </w:p>
        </w:tc>
        <w:tc>
          <w:tcPr>
            <w:tcW w:w="1366" w:type="dxa"/>
            <w:vAlign w:val="bottom"/>
            <w:hideMark/>
          </w:tcPr>
          <w:p w14:paraId="0390059E"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0.182</w:t>
            </w:r>
          </w:p>
        </w:tc>
        <w:tc>
          <w:tcPr>
            <w:tcW w:w="0" w:type="auto"/>
            <w:vAlign w:val="bottom"/>
            <w:hideMark/>
          </w:tcPr>
          <w:p w14:paraId="47343672"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3.184</w:t>
            </w:r>
          </w:p>
        </w:tc>
        <w:tc>
          <w:tcPr>
            <w:tcW w:w="0" w:type="auto"/>
            <w:vAlign w:val="bottom"/>
            <w:hideMark/>
          </w:tcPr>
          <w:p w14:paraId="39198829"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0.002</w:t>
            </w:r>
          </w:p>
        </w:tc>
        <w:tc>
          <w:tcPr>
            <w:tcW w:w="0" w:type="auto"/>
            <w:vAlign w:val="bottom"/>
            <w:hideMark/>
          </w:tcPr>
          <w:p w14:paraId="23895115"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0.743</w:t>
            </w:r>
          </w:p>
        </w:tc>
        <w:tc>
          <w:tcPr>
            <w:tcW w:w="0" w:type="auto"/>
            <w:vAlign w:val="bottom"/>
            <w:hideMark/>
          </w:tcPr>
          <w:p w14:paraId="65F85158"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1.346</w:t>
            </w:r>
          </w:p>
        </w:tc>
      </w:tr>
      <w:tr w:rsidR="00D73A02" w:rsidRPr="00D73A02" w14:paraId="5FA51A9E" w14:textId="77777777" w:rsidTr="00D612E9">
        <w:tc>
          <w:tcPr>
            <w:tcW w:w="2610" w:type="dxa"/>
            <w:vAlign w:val="bottom"/>
            <w:hideMark/>
          </w:tcPr>
          <w:p w14:paraId="23EC92AD"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Monitoring &amp; Evaluation</w:t>
            </w:r>
          </w:p>
        </w:tc>
        <w:tc>
          <w:tcPr>
            <w:tcW w:w="1709" w:type="dxa"/>
            <w:vAlign w:val="bottom"/>
            <w:hideMark/>
          </w:tcPr>
          <w:p w14:paraId="45C3B08B"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0.136</w:t>
            </w:r>
          </w:p>
        </w:tc>
        <w:tc>
          <w:tcPr>
            <w:tcW w:w="0" w:type="auto"/>
            <w:vAlign w:val="bottom"/>
            <w:hideMark/>
          </w:tcPr>
          <w:p w14:paraId="7F58B017"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0.048</w:t>
            </w:r>
          </w:p>
        </w:tc>
        <w:tc>
          <w:tcPr>
            <w:tcW w:w="1366" w:type="dxa"/>
            <w:vAlign w:val="bottom"/>
            <w:hideMark/>
          </w:tcPr>
          <w:p w14:paraId="08685C44"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0.144</w:t>
            </w:r>
          </w:p>
        </w:tc>
        <w:tc>
          <w:tcPr>
            <w:tcW w:w="0" w:type="auto"/>
            <w:vAlign w:val="bottom"/>
            <w:hideMark/>
          </w:tcPr>
          <w:p w14:paraId="26A86490"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2.833</w:t>
            </w:r>
          </w:p>
        </w:tc>
        <w:tc>
          <w:tcPr>
            <w:tcW w:w="0" w:type="auto"/>
            <w:vAlign w:val="bottom"/>
            <w:hideMark/>
          </w:tcPr>
          <w:p w14:paraId="2526A335"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0.005</w:t>
            </w:r>
          </w:p>
        </w:tc>
        <w:tc>
          <w:tcPr>
            <w:tcW w:w="0" w:type="auto"/>
            <w:vAlign w:val="bottom"/>
            <w:hideMark/>
          </w:tcPr>
          <w:p w14:paraId="564FF940"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0.694</w:t>
            </w:r>
          </w:p>
        </w:tc>
        <w:tc>
          <w:tcPr>
            <w:tcW w:w="0" w:type="auto"/>
            <w:vAlign w:val="bottom"/>
            <w:hideMark/>
          </w:tcPr>
          <w:p w14:paraId="5519F3A6"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1.441</w:t>
            </w:r>
          </w:p>
        </w:tc>
      </w:tr>
      <w:tr w:rsidR="00D73A02" w:rsidRPr="00D73A02" w14:paraId="1FA06D62" w14:textId="77777777" w:rsidTr="00D612E9">
        <w:tc>
          <w:tcPr>
            <w:tcW w:w="2610" w:type="dxa"/>
            <w:vAlign w:val="bottom"/>
            <w:hideMark/>
          </w:tcPr>
          <w:p w14:paraId="5BFB0E24"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Internal Control Sys.</w:t>
            </w:r>
          </w:p>
        </w:tc>
        <w:tc>
          <w:tcPr>
            <w:tcW w:w="1709" w:type="dxa"/>
            <w:vAlign w:val="bottom"/>
            <w:hideMark/>
          </w:tcPr>
          <w:p w14:paraId="495A66C0"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0.204</w:t>
            </w:r>
          </w:p>
        </w:tc>
        <w:tc>
          <w:tcPr>
            <w:tcW w:w="0" w:type="auto"/>
            <w:vAlign w:val="bottom"/>
            <w:hideMark/>
          </w:tcPr>
          <w:p w14:paraId="2C24AE44"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0.060</w:t>
            </w:r>
          </w:p>
        </w:tc>
        <w:tc>
          <w:tcPr>
            <w:tcW w:w="1366" w:type="dxa"/>
            <w:vAlign w:val="bottom"/>
            <w:hideMark/>
          </w:tcPr>
          <w:p w14:paraId="163E2A5E"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0.202</w:t>
            </w:r>
          </w:p>
        </w:tc>
        <w:tc>
          <w:tcPr>
            <w:tcW w:w="0" w:type="auto"/>
            <w:vAlign w:val="bottom"/>
            <w:hideMark/>
          </w:tcPr>
          <w:p w14:paraId="69EC0C72"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3.400</w:t>
            </w:r>
          </w:p>
        </w:tc>
        <w:tc>
          <w:tcPr>
            <w:tcW w:w="0" w:type="auto"/>
            <w:vAlign w:val="bottom"/>
            <w:hideMark/>
          </w:tcPr>
          <w:p w14:paraId="1FA66960"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0.001</w:t>
            </w:r>
          </w:p>
        </w:tc>
        <w:tc>
          <w:tcPr>
            <w:tcW w:w="0" w:type="auto"/>
            <w:vAlign w:val="bottom"/>
            <w:hideMark/>
          </w:tcPr>
          <w:p w14:paraId="4E255A4C"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0.583</w:t>
            </w:r>
          </w:p>
        </w:tc>
        <w:tc>
          <w:tcPr>
            <w:tcW w:w="0" w:type="auto"/>
            <w:vAlign w:val="bottom"/>
            <w:hideMark/>
          </w:tcPr>
          <w:p w14:paraId="0A05E7F6"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1.715</w:t>
            </w:r>
          </w:p>
        </w:tc>
      </w:tr>
      <w:tr w:rsidR="00D73A02" w:rsidRPr="00D73A02" w14:paraId="2C95E564" w14:textId="77777777" w:rsidTr="00D612E9">
        <w:tc>
          <w:tcPr>
            <w:tcW w:w="2610" w:type="dxa"/>
            <w:vAlign w:val="bottom"/>
            <w:hideMark/>
          </w:tcPr>
          <w:p w14:paraId="68911819"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IPBP × ICS (Interaction)</w:t>
            </w:r>
          </w:p>
        </w:tc>
        <w:tc>
          <w:tcPr>
            <w:tcW w:w="1709" w:type="dxa"/>
            <w:vAlign w:val="bottom"/>
            <w:hideMark/>
          </w:tcPr>
          <w:p w14:paraId="21566C92"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0.114</w:t>
            </w:r>
          </w:p>
        </w:tc>
        <w:tc>
          <w:tcPr>
            <w:tcW w:w="0" w:type="auto"/>
            <w:vAlign w:val="bottom"/>
            <w:hideMark/>
          </w:tcPr>
          <w:p w14:paraId="0B8FEFB0"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0.045</w:t>
            </w:r>
          </w:p>
        </w:tc>
        <w:tc>
          <w:tcPr>
            <w:tcW w:w="1366" w:type="dxa"/>
            <w:vAlign w:val="bottom"/>
            <w:hideMark/>
          </w:tcPr>
          <w:p w14:paraId="2BEAF3D4"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0.137</w:t>
            </w:r>
          </w:p>
        </w:tc>
        <w:tc>
          <w:tcPr>
            <w:tcW w:w="0" w:type="auto"/>
            <w:vAlign w:val="bottom"/>
            <w:hideMark/>
          </w:tcPr>
          <w:p w14:paraId="6F98CB07"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2.533</w:t>
            </w:r>
          </w:p>
        </w:tc>
        <w:tc>
          <w:tcPr>
            <w:tcW w:w="0" w:type="auto"/>
            <w:vAlign w:val="bottom"/>
            <w:hideMark/>
          </w:tcPr>
          <w:p w14:paraId="53B1C287"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0.012</w:t>
            </w:r>
          </w:p>
        </w:tc>
        <w:tc>
          <w:tcPr>
            <w:tcW w:w="0" w:type="auto"/>
            <w:vAlign w:val="bottom"/>
            <w:hideMark/>
          </w:tcPr>
          <w:p w14:paraId="65809FF7"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0.623</w:t>
            </w:r>
          </w:p>
        </w:tc>
        <w:tc>
          <w:tcPr>
            <w:tcW w:w="0" w:type="auto"/>
            <w:vAlign w:val="bottom"/>
            <w:hideMark/>
          </w:tcPr>
          <w:p w14:paraId="1285A84A" w14:textId="77777777" w:rsidR="00D73A02" w:rsidRPr="00D73A02" w:rsidRDefault="00D73A02" w:rsidP="00D73A02">
            <w:pPr>
              <w:jc w:val="both"/>
              <w:rPr>
                <w:rFonts w:ascii="Times New Roman" w:hAnsi="Times New Roman" w:cs="Times New Roman"/>
              </w:rPr>
            </w:pPr>
            <w:r w:rsidRPr="00D73A02">
              <w:rPr>
                <w:rFonts w:ascii="Times New Roman" w:hAnsi="Times New Roman" w:cs="Times New Roman"/>
              </w:rPr>
              <w:t>1.604</w:t>
            </w:r>
          </w:p>
        </w:tc>
      </w:tr>
    </w:tbl>
    <w:p w14:paraId="7FC517CC" w14:textId="77777777" w:rsidR="00D612E9" w:rsidRDefault="00D73A02" w:rsidP="00D612E9">
      <w:pPr>
        <w:pStyle w:val="ListParagraph"/>
        <w:numPr>
          <w:ilvl w:val="0"/>
          <w:numId w:val="9"/>
        </w:numPr>
        <w:jc w:val="both"/>
        <w:rPr>
          <w:rFonts w:ascii="Times New Roman" w:hAnsi="Times New Roman" w:cs="Times New Roman"/>
        </w:rPr>
      </w:pPr>
      <w:r w:rsidRPr="00D612E9">
        <w:rPr>
          <w:rFonts w:ascii="Times New Roman" w:hAnsi="Times New Roman" w:cs="Times New Roman"/>
        </w:rPr>
        <w:t>Dependent Variable: Service Delivery Efficiency</w:t>
      </w:r>
    </w:p>
    <w:p w14:paraId="04766BBC" w14:textId="34536E8E" w:rsidR="00D612E9" w:rsidRPr="00D612E9" w:rsidRDefault="00D612E9" w:rsidP="00D612E9">
      <w:pPr>
        <w:pStyle w:val="ListParagraph"/>
        <w:jc w:val="both"/>
        <w:rPr>
          <w:rFonts w:ascii="Times New Roman" w:hAnsi="Times New Roman" w:cs="Times New Roman"/>
        </w:rPr>
      </w:pPr>
      <w:r w:rsidRPr="00D612E9">
        <w:rPr>
          <w:rFonts w:ascii="Times New Roman" w:hAnsi="Times New Roman" w:cs="Times New Roman"/>
          <w:b/>
          <w:bCs/>
          <w:i/>
          <w:iCs/>
        </w:rPr>
        <w:t>Source: Authors’ Computation (2026)</w:t>
      </w:r>
    </w:p>
    <w:p w14:paraId="2378AA05" w14:textId="77777777" w:rsidR="00FD7A23" w:rsidRPr="00FD7A23" w:rsidRDefault="00FD7A23" w:rsidP="00FD7A23">
      <w:pPr>
        <w:jc w:val="both"/>
        <w:rPr>
          <w:rFonts w:ascii="Times New Roman" w:hAnsi="Times New Roman" w:cs="Times New Roman"/>
        </w:rPr>
      </w:pPr>
      <w:r w:rsidRPr="00FD7A23">
        <w:rPr>
          <w:rFonts w:ascii="Times New Roman" w:hAnsi="Times New Roman" w:cs="Times New Roman"/>
        </w:rPr>
        <w:t>The results from the multiple regression analysis provide compelling empirical support for the conceptual framework of this study. The model accounts for 51.3% of the variance in service delivery efficiency (adjusted R² = 50.2%), demonstrating a strong explanatory power for the variables included. Among the dimensions of integrated planning and budgeting practices, strategic planning integration emerges as the strongest predictor, with a standardized beta coefficient of 0.258 (p &lt; 0.001), indicating that ministries with greater emphasis on aligning their strategic objectives with budgetary frameworks tend to achieve significantly higher efficiency in delivering public services. Budget participation is also a statistically significant predictor (β = 0.182, p = 0.002), reflecting the value of inclusive and participatory budgeting processes in improving service outcomes. Likewise, the monitoring and evaluation dimension is positively and significantly associated with service delivery efficiency (β = 0.144, p = 0.005), suggesting that ministries with robust systems for tracking and assessing implementation progress are more likely to meet efficiency goals.</w:t>
      </w:r>
    </w:p>
    <w:p w14:paraId="671F513D" w14:textId="77777777" w:rsidR="00FD7A23" w:rsidRPr="00FD7A23" w:rsidRDefault="00FD7A23" w:rsidP="00FD7A23">
      <w:pPr>
        <w:jc w:val="both"/>
        <w:rPr>
          <w:rFonts w:ascii="Times New Roman" w:hAnsi="Times New Roman" w:cs="Times New Roman"/>
        </w:rPr>
      </w:pPr>
      <w:r w:rsidRPr="00FD7A23">
        <w:rPr>
          <w:rFonts w:ascii="Times New Roman" w:hAnsi="Times New Roman" w:cs="Times New Roman"/>
        </w:rPr>
        <w:lastRenderedPageBreak/>
        <w:t>Internal control systems independently show a significant positive effect on service delivery efficiency (β = 0.202, p = 0.001), underscoring the critical role of control environment, risk management, and compliance mechanisms in public sector organizations. Notably, the interaction term between integrated planning and budgeting practices and internal control systems (β = 0.137, p = 0.012) is also statistically significant and positive. This finding confirms the moderating hypothesis of the study by demonstrating that the beneficial effects of integrated planning and budgeting practices on service delivery efficiency are further enhanced when strong internal controls are in place. In practical terms, this means that ministries with higher-quality internal control systems are better positioned to leverage their planning and budgeting integration to achieve meaningful gains in efficiency.</w:t>
      </w:r>
    </w:p>
    <w:p w14:paraId="377C7FAE" w14:textId="77777777" w:rsidR="00FD7A23" w:rsidRPr="00FD7A23" w:rsidRDefault="00FD7A23" w:rsidP="00FD7A23">
      <w:pPr>
        <w:jc w:val="both"/>
        <w:rPr>
          <w:rFonts w:ascii="Times New Roman" w:hAnsi="Times New Roman" w:cs="Times New Roman"/>
        </w:rPr>
      </w:pPr>
      <w:r w:rsidRPr="00FD7A23">
        <w:rPr>
          <w:rFonts w:ascii="Times New Roman" w:hAnsi="Times New Roman" w:cs="Times New Roman"/>
        </w:rPr>
        <w:t>In terms of model diagnostics, all variance inflation factor (VIF) values are well below the threshold of 2, ruling out concerns about multicollinearity among the predictors, while the Durbin-Watson statistic of 1.712 indicates that the residual errors are independent, further confirming the reliability of the regression estimates.</w:t>
      </w:r>
    </w:p>
    <w:p w14:paraId="3E3B0CFA" w14:textId="77777777" w:rsidR="00FD7A23" w:rsidRPr="00FD7A23" w:rsidRDefault="00FD7A23" w:rsidP="00FD7A23">
      <w:pPr>
        <w:jc w:val="both"/>
        <w:rPr>
          <w:rFonts w:ascii="Times New Roman" w:hAnsi="Times New Roman" w:cs="Times New Roman"/>
        </w:rPr>
      </w:pPr>
      <w:r w:rsidRPr="00FD7A23">
        <w:rPr>
          <w:rFonts w:ascii="Times New Roman" w:hAnsi="Times New Roman" w:cs="Times New Roman"/>
        </w:rPr>
        <w:t>Collectively, these results suggest that integrated planning and budgeting practices, when implemented alongside effective internal control systems, substantially improve the efficiency of service delivery in Ekiti State ministries. The significant moderating effect of internal controls highlights the importance of organizational governance in converting planning and budgeting reforms into tangible public sector outcomes. These findings not only reinforce the theoretical rationale underpinning the study but also provide actionable insights for policymakers aiming to enhance performance in similar public administration contexts.</w:t>
      </w:r>
    </w:p>
    <w:p w14:paraId="57291733" w14:textId="1B514DD1" w:rsidR="00FD7A23" w:rsidRPr="00FD7A23" w:rsidRDefault="00D612E9" w:rsidP="00FD7A23">
      <w:pPr>
        <w:jc w:val="both"/>
        <w:rPr>
          <w:rFonts w:ascii="Times New Roman" w:hAnsi="Times New Roman" w:cs="Times New Roman"/>
          <w:b/>
          <w:bCs/>
        </w:rPr>
      </w:pPr>
      <w:r>
        <w:rPr>
          <w:rFonts w:ascii="Times New Roman" w:hAnsi="Times New Roman" w:cs="Times New Roman"/>
          <w:b/>
          <w:bCs/>
        </w:rPr>
        <w:t xml:space="preserve">4.4.4 </w:t>
      </w:r>
      <w:r w:rsidR="00FD7A23" w:rsidRPr="00FD7A23">
        <w:rPr>
          <w:rFonts w:ascii="Times New Roman" w:hAnsi="Times New Roman" w:cs="Times New Roman"/>
          <w:b/>
          <w:bCs/>
        </w:rPr>
        <w:t>Model Fit and Assumptions</w:t>
      </w:r>
    </w:p>
    <w:p w14:paraId="5E6BD924" w14:textId="77777777" w:rsidR="00FD7A23" w:rsidRPr="00FD7A23" w:rsidRDefault="00FD7A23" w:rsidP="00FD7A23">
      <w:pPr>
        <w:jc w:val="both"/>
        <w:rPr>
          <w:rFonts w:ascii="Times New Roman" w:hAnsi="Times New Roman" w:cs="Times New Roman"/>
        </w:rPr>
      </w:pPr>
      <w:r w:rsidRPr="00FD7A23">
        <w:rPr>
          <w:rFonts w:ascii="Times New Roman" w:hAnsi="Times New Roman" w:cs="Times New Roman"/>
        </w:rPr>
        <w:t>Prior to conducting the regression analysis, several diagnostic tests were carried out to ensure that the data met the key assumptions required for multiple regression. Multicollinearity was assessed using both tolerance and variance inflation factor (VIF) values. The tolerance values for all predictor variables ranged from 0.583 to 0.743, while the corresponding VIF values ranged from 1.346 to 1.715. These results comfortably fall within accepted thresholds (tolerance &gt; 0.2, VIF &lt; 5), indicating that multicollinearity is not a concern, and thus the predictors are sufficiently independent of one another.</w:t>
      </w:r>
    </w:p>
    <w:p w14:paraId="6A761D35" w14:textId="77777777" w:rsidR="00FD7A23" w:rsidRPr="00FD7A23" w:rsidRDefault="00FD7A23" w:rsidP="00FD7A23">
      <w:pPr>
        <w:jc w:val="both"/>
        <w:rPr>
          <w:rFonts w:ascii="Times New Roman" w:hAnsi="Times New Roman" w:cs="Times New Roman"/>
        </w:rPr>
      </w:pPr>
      <w:r w:rsidRPr="00FD7A23">
        <w:rPr>
          <w:rFonts w:ascii="Times New Roman" w:hAnsi="Times New Roman" w:cs="Times New Roman"/>
        </w:rPr>
        <w:t>Additionally, the assumption of independence of errors was evaluated using the Durbin-Watson statistic, which resulted in a value of 1.712. This value is very close to the ideal value of 2.0, suggesting that there is no significant autocorrelation among the residuals, and the error terms are independent. These diagnostic results confirm that the model is well-specified for reliable interpretation of regression outcomes.</w:t>
      </w:r>
    </w:p>
    <w:p w14:paraId="310B80A7" w14:textId="3FED5970" w:rsidR="00DD7770" w:rsidRPr="00DD7770" w:rsidRDefault="00D612E9" w:rsidP="00DD7770">
      <w:pPr>
        <w:jc w:val="both"/>
        <w:rPr>
          <w:rFonts w:ascii="Times New Roman" w:hAnsi="Times New Roman" w:cs="Times New Roman"/>
          <w:b/>
          <w:bCs/>
        </w:rPr>
      </w:pPr>
      <w:r>
        <w:rPr>
          <w:rFonts w:ascii="Times New Roman" w:hAnsi="Times New Roman" w:cs="Times New Roman"/>
          <w:b/>
          <w:bCs/>
        </w:rPr>
        <w:t xml:space="preserve">4.5 </w:t>
      </w:r>
      <w:r w:rsidR="00DD7770" w:rsidRPr="00DD7770">
        <w:rPr>
          <w:rFonts w:ascii="Times New Roman" w:hAnsi="Times New Roman" w:cs="Times New Roman"/>
          <w:b/>
          <w:bCs/>
        </w:rPr>
        <w:t>Discussion</w:t>
      </w:r>
      <w:r>
        <w:rPr>
          <w:rFonts w:ascii="Times New Roman" w:hAnsi="Times New Roman" w:cs="Times New Roman"/>
          <w:b/>
          <w:bCs/>
        </w:rPr>
        <w:t xml:space="preserve"> of Findings</w:t>
      </w:r>
    </w:p>
    <w:p w14:paraId="215343F6" w14:textId="77777777" w:rsidR="00DD7770" w:rsidRPr="00DD7770" w:rsidRDefault="00DD7770" w:rsidP="00DD7770">
      <w:pPr>
        <w:jc w:val="both"/>
        <w:rPr>
          <w:rFonts w:ascii="Times New Roman" w:hAnsi="Times New Roman" w:cs="Times New Roman"/>
        </w:rPr>
      </w:pPr>
      <w:r w:rsidRPr="00DD7770">
        <w:rPr>
          <w:rFonts w:ascii="Times New Roman" w:hAnsi="Times New Roman" w:cs="Times New Roman"/>
        </w:rPr>
        <w:t xml:space="preserve">The results of this study affirm the theoretical and practical importance of integrated planning and budgeting practices and robust internal control systems for enhancing service delivery efficiency </w:t>
      </w:r>
      <w:r w:rsidRPr="00DD7770">
        <w:rPr>
          <w:rFonts w:ascii="Times New Roman" w:hAnsi="Times New Roman" w:cs="Times New Roman"/>
        </w:rPr>
        <w:lastRenderedPageBreak/>
        <w:t>in the Nigerian public sector. Drawing on the New Public Management (NPM) paradigm, the evidence underscores how embedding strategic planning integration, promoting participatory budgeting, and institutionalizing monitoring and evaluation systems improves the alignment between resource allocation and service delivery outcomes. This aligns with NPM’s advocacy for market-oriented and performance-focused reforms in public administration (Hood, 1991).</w:t>
      </w:r>
    </w:p>
    <w:p w14:paraId="1262FE2D" w14:textId="00AA6BF0" w:rsidR="00DD7770" w:rsidRPr="00DD7770" w:rsidRDefault="00DD7770" w:rsidP="00DD7770">
      <w:pPr>
        <w:jc w:val="both"/>
        <w:rPr>
          <w:rFonts w:ascii="Times New Roman" w:hAnsi="Times New Roman" w:cs="Times New Roman"/>
        </w:rPr>
      </w:pPr>
      <w:r w:rsidRPr="00DD7770">
        <w:rPr>
          <w:rFonts w:ascii="Times New Roman" w:hAnsi="Times New Roman" w:cs="Times New Roman"/>
        </w:rPr>
        <w:t xml:space="preserve">Notably, the significant positive associations between all three dimensions of integrated planning and budgeting practices and service delivery efficiency echo findings from </w:t>
      </w:r>
      <w:proofErr w:type="spellStart"/>
      <w:r w:rsidRPr="00DD7770">
        <w:rPr>
          <w:rFonts w:ascii="Times New Roman" w:hAnsi="Times New Roman" w:cs="Times New Roman"/>
        </w:rPr>
        <w:t>Alemneh</w:t>
      </w:r>
      <w:proofErr w:type="spellEnd"/>
      <w:r w:rsidRPr="00DD7770">
        <w:rPr>
          <w:rFonts w:ascii="Times New Roman" w:hAnsi="Times New Roman" w:cs="Times New Roman"/>
        </w:rPr>
        <w:t xml:space="preserve"> and </w:t>
      </w:r>
      <w:proofErr w:type="spellStart"/>
      <w:r w:rsidRPr="00DD7770">
        <w:rPr>
          <w:rFonts w:ascii="Times New Roman" w:hAnsi="Times New Roman" w:cs="Times New Roman"/>
        </w:rPr>
        <w:t>Adugna</w:t>
      </w:r>
      <w:proofErr w:type="spellEnd"/>
      <w:r w:rsidRPr="00DD7770">
        <w:rPr>
          <w:rFonts w:ascii="Times New Roman" w:hAnsi="Times New Roman" w:cs="Times New Roman"/>
        </w:rPr>
        <w:t xml:space="preserve"> (2024), who revealed that metropolitan cities in Ethiopia benefitted from integrated approaches through greater coordination and improved urban service provision. Similarly, Schoeman and </w:t>
      </w:r>
      <w:proofErr w:type="spellStart"/>
      <w:r w:rsidRPr="00DD7770">
        <w:rPr>
          <w:rFonts w:ascii="Times New Roman" w:hAnsi="Times New Roman" w:cs="Times New Roman"/>
        </w:rPr>
        <w:t>Chakwizira</w:t>
      </w:r>
      <w:proofErr w:type="spellEnd"/>
      <w:r w:rsidRPr="00DD7770">
        <w:rPr>
          <w:rFonts w:ascii="Times New Roman" w:hAnsi="Times New Roman" w:cs="Times New Roman"/>
        </w:rPr>
        <w:t xml:space="preserve"> (2023) demonstrated that deploying advanced performance management tools in South African local government enhances accountability and service delivery quality</w:t>
      </w:r>
      <w:r w:rsidR="00051F63">
        <w:rPr>
          <w:rFonts w:ascii="Times New Roman" w:hAnsi="Times New Roman" w:cs="Times New Roman"/>
        </w:rPr>
        <w:t xml:space="preserve"> </w:t>
      </w:r>
      <w:r w:rsidRPr="00DD7770">
        <w:rPr>
          <w:rFonts w:ascii="Times New Roman" w:hAnsi="Times New Roman" w:cs="Times New Roman"/>
        </w:rPr>
        <w:t>reinforcing this study’s results regarding the power of systematic monitoring and evaluation.</w:t>
      </w:r>
    </w:p>
    <w:p w14:paraId="7ABDB499" w14:textId="390B6BD9" w:rsidR="00DD7770" w:rsidRPr="00DD7770" w:rsidRDefault="00DD7770" w:rsidP="00DD7770">
      <w:pPr>
        <w:jc w:val="both"/>
        <w:rPr>
          <w:rFonts w:ascii="Times New Roman" w:hAnsi="Times New Roman" w:cs="Times New Roman"/>
        </w:rPr>
      </w:pPr>
      <w:r w:rsidRPr="00DD7770">
        <w:rPr>
          <w:rFonts w:ascii="Times New Roman" w:hAnsi="Times New Roman" w:cs="Times New Roman"/>
        </w:rPr>
        <w:t>The Resource-Based View (RBV) sees internal capabilities as central to sustainable performance advantages. The direct and moderating effects observed for internal control systems in this study strongly support this theoretical perspective. Robust controls</w:t>
      </w:r>
      <w:r w:rsidR="00051F63">
        <w:rPr>
          <w:rFonts w:ascii="Times New Roman" w:hAnsi="Times New Roman" w:cs="Times New Roman"/>
        </w:rPr>
        <w:t xml:space="preserve"> </w:t>
      </w:r>
      <w:r w:rsidRPr="00DD7770">
        <w:rPr>
          <w:rFonts w:ascii="Times New Roman" w:hAnsi="Times New Roman" w:cs="Times New Roman"/>
        </w:rPr>
        <w:t>especially regarding risk management, compliance, and communication</w:t>
      </w:r>
      <w:r w:rsidR="00051F63">
        <w:rPr>
          <w:rFonts w:ascii="Times New Roman" w:hAnsi="Times New Roman" w:cs="Times New Roman"/>
        </w:rPr>
        <w:t xml:space="preserve"> </w:t>
      </w:r>
      <w:r w:rsidRPr="00DD7770">
        <w:rPr>
          <w:rFonts w:ascii="Times New Roman" w:hAnsi="Times New Roman" w:cs="Times New Roman"/>
        </w:rPr>
        <w:t xml:space="preserve">enable ministries not just to avoid waste and misuse but to truly harness the benefits of planning–budget integration for organizational effectiveness. This finding is consistent with the arguments of Violina and </w:t>
      </w:r>
      <w:proofErr w:type="spellStart"/>
      <w:r w:rsidRPr="00DD7770">
        <w:rPr>
          <w:rFonts w:ascii="Times New Roman" w:hAnsi="Times New Roman" w:cs="Times New Roman"/>
        </w:rPr>
        <w:t>Rachmawati</w:t>
      </w:r>
      <w:proofErr w:type="spellEnd"/>
      <w:r w:rsidRPr="00DD7770">
        <w:rPr>
          <w:rFonts w:ascii="Times New Roman" w:hAnsi="Times New Roman" w:cs="Times New Roman"/>
        </w:rPr>
        <w:t xml:space="preserve"> (2022) as well as </w:t>
      </w:r>
      <w:proofErr w:type="spellStart"/>
      <w:r w:rsidRPr="00DD7770">
        <w:rPr>
          <w:rFonts w:ascii="Times New Roman" w:hAnsi="Times New Roman" w:cs="Times New Roman"/>
        </w:rPr>
        <w:t>Appah</w:t>
      </w:r>
      <w:proofErr w:type="spellEnd"/>
      <w:r w:rsidRPr="00DD7770">
        <w:rPr>
          <w:rFonts w:ascii="Times New Roman" w:hAnsi="Times New Roman" w:cs="Times New Roman"/>
        </w:rPr>
        <w:t xml:space="preserve"> and </w:t>
      </w:r>
      <w:proofErr w:type="spellStart"/>
      <w:r w:rsidRPr="00DD7770">
        <w:rPr>
          <w:rFonts w:ascii="Times New Roman" w:hAnsi="Times New Roman" w:cs="Times New Roman"/>
        </w:rPr>
        <w:t>Ayabina</w:t>
      </w:r>
      <w:proofErr w:type="spellEnd"/>
      <w:r w:rsidRPr="00DD7770">
        <w:rPr>
          <w:rFonts w:ascii="Times New Roman" w:hAnsi="Times New Roman" w:cs="Times New Roman"/>
        </w:rPr>
        <w:t xml:space="preserve"> (2025), who contend that internal control systems can enhance or compromise organizational outcomes depending on their quality. Furthermore, as Hasan et al. (2024) observed in the African public health context, resilient and adaptive service delivery under stress (such as during the COVID-19 pandemic) is only possible when core internal controls are present and active.</w:t>
      </w:r>
    </w:p>
    <w:p w14:paraId="5AC650E2" w14:textId="77777777" w:rsidR="00DD7770" w:rsidRPr="00DD7770" w:rsidRDefault="00DD7770" w:rsidP="00DD7770">
      <w:pPr>
        <w:jc w:val="both"/>
        <w:rPr>
          <w:rFonts w:ascii="Times New Roman" w:hAnsi="Times New Roman" w:cs="Times New Roman"/>
        </w:rPr>
      </w:pPr>
      <w:r w:rsidRPr="00DD7770">
        <w:rPr>
          <w:rFonts w:ascii="Times New Roman" w:hAnsi="Times New Roman" w:cs="Times New Roman"/>
        </w:rPr>
        <w:t>The present study extends the literature by empirically confirming that the effect of integrated planning and budgeting practices on efficiency is strongest in environments where internal controls are well-developed. This moderating effect, which has been theorized but rarely demonstrated at the subnational level in Nigeria, complements the broader African evidence provided by Teti et al. (2024), who found that district development models gain legitimacy and effectiveness only when planning is paired with robust accountability structures.</w:t>
      </w:r>
    </w:p>
    <w:p w14:paraId="0519DF52" w14:textId="4277CD92" w:rsidR="00DD7770" w:rsidRPr="00051F63" w:rsidRDefault="00DD7770" w:rsidP="00DD7770">
      <w:pPr>
        <w:jc w:val="both"/>
        <w:rPr>
          <w:rFonts w:ascii="Times New Roman" w:hAnsi="Times New Roman" w:cs="Times New Roman"/>
        </w:rPr>
      </w:pPr>
      <w:r w:rsidRPr="00DD7770">
        <w:rPr>
          <w:rFonts w:ascii="Times New Roman" w:hAnsi="Times New Roman" w:cs="Times New Roman"/>
        </w:rPr>
        <w:t xml:space="preserve">Beyond efficiency metrics, these findings also align with more recent calls for participatory governance in service delivery planning. </w:t>
      </w:r>
      <w:proofErr w:type="spellStart"/>
      <w:r w:rsidRPr="00DD7770">
        <w:rPr>
          <w:rFonts w:ascii="Times New Roman" w:hAnsi="Times New Roman" w:cs="Times New Roman"/>
        </w:rPr>
        <w:t>Mamokhere</w:t>
      </w:r>
      <w:proofErr w:type="spellEnd"/>
      <w:r w:rsidRPr="00DD7770">
        <w:rPr>
          <w:rFonts w:ascii="Times New Roman" w:hAnsi="Times New Roman" w:cs="Times New Roman"/>
        </w:rPr>
        <w:t xml:space="preserve"> (2023) highlights in the South African experience the transformative role of public participation in planning, which is in synergy with this study’s evidence for the value of budget participation. Likewise, Maponya et al. (2024) highlight that engagement, especially of youth, in planning and implementation yields more sustainable and inclusive service improvements</w:t>
      </w:r>
      <w:r w:rsidR="00051F63">
        <w:rPr>
          <w:rFonts w:ascii="Times New Roman" w:hAnsi="Times New Roman" w:cs="Times New Roman"/>
        </w:rPr>
        <w:t xml:space="preserve"> </w:t>
      </w:r>
      <w:r w:rsidRPr="00DD7770">
        <w:rPr>
          <w:rFonts w:ascii="Times New Roman" w:hAnsi="Times New Roman" w:cs="Times New Roman"/>
        </w:rPr>
        <w:t>reinforcing our finding that participatory budgeting processes have direct efficiency benefits.</w:t>
      </w:r>
    </w:p>
    <w:p w14:paraId="537960E5" w14:textId="74038DDE" w:rsidR="00D432B2" w:rsidRPr="00DD7770" w:rsidRDefault="00D432B2" w:rsidP="00DD7770">
      <w:pPr>
        <w:jc w:val="both"/>
        <w:rPr>
          <w:rFonts w:ascii="Times New Roman" w:hAnsi="Times New Roman" w:cs="Times New Roman"/>
        </w:rPr>
      </w:pPr>
      <w:r w:rsidRPr="00051F63">
        <w:rPr>
          <w:rFonts w:ascii="Times New Roman" w:hAnsi="Times New Roman" w:cs="Times New Roman"/>
        </w:rPr>
        <w:t xml:space="preserve">The findings of this study are consistent with Bamidele et al. (2026), who identified a strong connection between budget credibility and service delivery in Ekiti State, and with Abdulsalam et </w:t>
      </w:r>
      <w:r w:rsidRPr="00051F63">
        <w:rPr>
          <w:rFonts w:ascii="Times New Roman" w:hAnsi="Times New Roman" w:cs="Times New Roman"/>
        </w:rPr>
        <w:lastRenderedPageBreak/>
        <w:t xml:space="preserve">al. (2024), who documented the significance of internal controls for organizational performance in the same context. Moreover, as </w:t>
      </w:r>
      <w:proofErr w:type="spellStart"/>
      <w:r w:rsidRPr="00051F63">
        <w:rPr>
          <w:rFonts w:ascii="Times New Roman" w:hAnsi="Times New Roman" w:cs="Times New Roman"/>
        </w:rPr>
        <w:t>Adeyiola</w:t>
      </w:r>
      <w:proofErr w:type="spellEnd"/>
      <w:r w:rsidRPr="00051F63">
        <w:rPr>
          <w:rFonts w:ascii="Times New Roman" w:hAnsi="Times New Roman" w:cs="Times New Roman"/>
        </w:rPr>
        <w:t xml:space="preserve"> et al. (2026) found in the banking sector, robust internal control systems function as essential supports for ethical conduct and performance, reinforcing the present study’s argument for a combined focus on planning integration and governance structures.</w:t>
      </w:r>
    </w:p>
    <w:p w14:paraId="4C9911DF" w14:textId="77777777" w:rsidR="00DD7770" w:rsidRPr="00DD7770" w:rsidRDefault="00DD7770" w:rsidP="00DD7770">
      <w:pPr>
        <w:jc w:val="both"/>
        <w:rPr>
          <w:rFonts w:ascii="Times New Roman" w:hAnsi="Times New Roman" w:cs="Times New Roman"/>
        </w:rPr>
      </w:pPr>
      <w:r w:rsidRPr="00DD7770">
        <w:rPr>
          <w:rFonts w:ascii="Times New Roman" w:hAnsi="Times New Roman" w:cs="Times New Roman"/>
        </w:rPr>
        <w:t>Viewed through both the NPM and RBV lenses, these results highlight that Nigerian public sector reform cannot achieve optimal results by technical integration of planning and budgeting practices alone; equally necessary is the cultivation and maintenance of strong internal organizational capabilities, particularly in governance and control. Integration without discipline, or controls without integration, will both fall short of producing the desired service delivery outcomes.</w:t>
      </w:r>
    </w:p>
    <w:p w14:paraId="37751632" w14:textId="0306CEF5" w:rsidR="00DD7770" w:rsidRPr="00DD7770" w:rsidRDefault="00D612E9" w:rsidP="00DD7770">
      <w:pPr>
        <w:jc w:val="both"/>
        <w:rPr>
          <w:rFonts w:ascii="Times New Roman" w:hAnsi="Times New Roman" w:cs="Times New Roman"/>
          <w:b/>
          <w:bCs/>
        </w:rPr>
      </w:pPr>
      <w:r>
        <w:rPr>
          <w:rFonts w:ascii="Times New Roman" w:hAnsi="Times New Roman" w:cs="Times New Roman"/>
          <w:b/>
          <w:bCs/>
        </w:rPr>
        <w:t xml:space="preserve">5.1 </w:t>
      </w:r>
      <w:r w:rsidR="00DD7770" w:rsidRPr="00DD7770">
        <w:rPr>
          <w:rFonts w:ascii="Times New Roman" w:hAnsi="Times New Roman" w:cs="Times New Roman"/>
          <w:b/>
          <w:bCs/>
        </w:rPr>
        <w:t>Conclusion</w:t>
      </w:r>
    </w:p>
    <w:p w14:paraId="21E13BC8" w14:textId="77777777" w:rsidR="00DD7770" w:rsidRPr="00DD7770" w:rsidRDefault="00DD7770" w:rsidP="00DD7770">
      <w:pPr>
        <w:jc w:val="both"/>
        <w:rPr>
          <w:rFonts w:ascii="Times New Roman" w:hAnsi="Times New Roman" w:cs="Times New Roman"/>
        </w:rPr>
      </w:pPr>
      <w:r w:rsidRPr="00DD7770">
        <w:rPr>
          <w:rFonts w:ascii="Times New Roman" w:hAnsi="Times New Roman" w:cs="Times New Roman"/>
        </w:rPr>
        <w:t>This study set out to empirically investigate the effect of integrated planning and budgeting practices on service delivery efficiency in selected ministries of Ekiti State, Nigeria, with a particular focus on the moderating role of internal control systems. Anchored in the frameworks of New Public Management and the Resource-Based View, the findings demonstrate that the institutionalization of strategic planning integration, participative budgeting, and systematic monitoring and evaluation significantly enhances the efficiency of public service delivery. The results further establish that robust internal control systems not only exert direct positive effects but also amplify the benefits of integrated planning and budgeting, confirming the importance of internal organizational capabilities as theorized in the RBV literature.</w:t>
      </w:r>
    </w:p>
    <w:p w14:paraId="58BF234C" w14:textId="77777777" w:rsidR="00DD7770" w:rsidRPr="00DD7770" w:rsidRDefault="00DD7770" w:rsidP="00DD7770">
      <w:pPr>
        <w:jc w:val="both"/>
        <w:rPr>
          <w:rFonts w:ascii="Times New Roman" w:hAnsi="Times New Roman" w:cs="Times New Roman"/>
        </w:rPr>
      </w:pPr>
      <w:r w:rsidRPr="00DD7770">
        <w:rPr>
          <w:rFonts w:ascii="Times New Roman" w:hAnsi="Times New Roman" w:cs="Times New Roman"/>
        </w:rPr>
        <w:t>These insights contribute to closing the persistent gap between policy rhetoric and implementation realities in subnational governance in Nigeria, and extend the international literature by providing new empirical evidence from an African state context. Importantly, the significant moderating effect of internal controls suggests that government reforms should approach planning, budgeting, and governance as an integrated whole, rather than in isolation.</w:t>
      </w:r>
    </w:p>
    <w:p w14:paraId="37BA0AED" w14:textId="77777777" w:rsidR="00DD7770" w:rsidRPr="00DD7770" w:rsidRDefault="00DD7770" w:rsidP="00DD7770">
      <w:pPr>
        <w:jc w:val="both"/>
        <w:rPr>
          <w:rFonts w:ascii="Times New Roman" w:hAnsi="Times New Roman" w:cs="Times New Roman"/>
        </w:rPr>
      </w:pPr>
      <w:r w:rsidRPr="00DD7770">
        <w:rPr>
          <w:rFonts w:ascii="Times New Roman" w:hAnsi="Times New Roman" w:cs="Times New Roman"/>
        </w:rPr>
        <w:t>For policymakers and public managers, the study signals a clear direction: sustained improvements in service delivery demand both technical modernization of planning and budgeting processes and concurrent investments in building organizational discipline, risk management, and operational transparency. Ministries seeking to enhance public value should prioritize not only integration and participation but also robust systems of internal control.</w:t>
      </w:r>
    </w:p>
    <w:p w14:paraId="77420AA6" w14:textId="77777777" w:rsidR="00DD7770" w:rsidRPr="00DD7770" w:rsidRDefault="00DD7770" w:rsidP="00DD7770">
      <w:pPr>
        <w:jc w:val="both"/>
        <w:rPr>
          <w:rFonts w:ascii="Times New Roman" w:hAnsi="Times New Roman" w:cs="Times New Roman"/>
        </w:rPr>
      </w:pPr>
      <w:r w:rsidRPr="00DD7770">
        <w:rPr>
          <w:rFonts w:ascii="Times New Roman" w:hAnsi="Times New Roman" w:cs="Times New Roman"/>
        </w:rPr>
        <w:t>While the study's use of self-reported data and cross-sectional design are noted limitations, its comprehensive approach and theoretical grounding offer a strong foundation for future research and policy reform. Longitudinal studies, external performance audits, and experimental designs are recommended to build on these findings and further support evidence-based public sector transformation in Nigeria and beyond.</w:t>
      </w:r>
    </w:p>
    <w:p w14:paraId="01B44A92" w14:textId="1039407A" w:rsidR="00DD7770" w:rsidRPr="00051F63" w:rsidRDefault="00D612E9" w:rsidP="00DD7770">
      <w:pPr>
        <w:jc w:val="both"/>
        <w:rPr>
          <w:rFonts w:ascii="Times New Roman" w:hAnsi="Times New Roman" w:cs="Times New Roman"/>
          <w:b/>
          <w:bCs/>
        </w:rPr>
      </w:pPr>
      <w:r>
        <w:rPr>
          <w:rFonts w:ascii="Times New Roman" w:hAnsi="Times New Roman" w:cs="Times New Roman"/>
          <w:b/>
          <w:bCs/>
        </w:rPr>
        <w:t xml:space="preserve">5.2 </w:t>
      </w:r>
      <w:r w:rsidR="00DD7770" w:rsidRPr="00DD7770">
        <w:rPr>
          <w:rFonts w:ascii="Times New Roman" w:hAnsi="Times New Roman" w:cs="Times New Roman"/>
          <w:b/>
          <w:bCs/>
        </w:rPr>
        <w:t>Recommendations</w:t>
      </w:r>
    </w:p>
    <w:p w14:paraId="678F5D95" w14:textId="64E25358" w:rsidR="00DD7770" w:rsidRPr="00DD7770" w:rsidRDefault="00DD7770" w:rsidP="00DD7770">
      <w:pPr>
        <w:jc w:val="both"/>
        <w:rPr>
          <w:rFonts w:ascii="Times New Roman" w:hAnsi="Times New Roman" w:cs="Times New Roman"/>
        </w:rPr>
      </w:pPr>
      <w:r w:rsidRPr="00051F63">
        <w:rPr>
          <w:rFonts w:ascii="Times New Roman" w:hAnsi="Times New Roman" w:cs="Times New Roman"/>
        </w:rPr>
        <w:t>Based on the findings of this study, the following recommendations are offered</w:t>
      </w:r>
    </w:p>
    <w:p w14:paraId="7C9D78D6" w14:textId="5168F1D1" w:rsidR="00DD7770" w:rsidRPr="00DD7770" w:rsidRDefault="00DD7770" w:rsidP="00DD7770">
      <w:pPr>
        <w:jc w:val="both"/>
        <w:rPr>
          <w:rFonts w:ascii="Times New Roman" w:hAnsi="Times New Roman" w:cs="Times New Roman"/>
        </w:rPr>
      </w:pPr>
      <w:r w:rsidRPr="00DD7770">
        <w:rPr>
          <w:rFonts w:ascii="Times New Roman" w:hAnsi="Times New Roman" w:cs="Times New Roman"/>
        </w:rPr>
        <w:lastRenderedPageBreak/>
        <w:t>Ministries should fully integrate strategic planning with budgeting by ensuring that organizational objectives drive resource allocation and by fostering inclusive participation from all relevant stakeholders in the budgeting process. Broad, cross-unit involvement not only increases transparency but also strengthens ownership of service delivery outcomes, as demonstrated by the positive effects of both planning integration and budget participation in this study.</w:t>
      </w:r>
    </w:p>
    <w:p w14:paraId="4031939E" w14:textId="4211D2B1" w:rsidR="00DD7770" w:rsidRPr="00DD7770" w:rsidRDefault="00DD7770" w:rsidP="00DD7770">
      <w:pPr>
        <w:jc w:val="both"/>
        <w:rPr>
          <w:rFonts w:ascii="Times New Roman" w:hAnsi="Times New Roman" w:cs="Times New Roman"/>
        </w:rPr>
      </w:pPr>
      <w:r w:rsidRPr="00DD7770">
        <w:rPr>
          <w:rFonts w:ascii="Times New Roman" w:hAnsi="Times New Roman" w:cs="Times New Roman"/>
        </w:rPr>
        <w:t>Ministries must establish robust monitoring and evaluation systems alongside comprehensive internal control mechanisms. This includes empowering internal audit functions, conducting regular risk assessments, and promoting effective information sharing. The study’s results show that such systems not only directly improve efficiency and accountability, but also amplify the benefits of planning and budgeting reforms on service delivery.</w:t>
      </w:r>
    </w:p>
    <w:p w14:paraId="48F8F821" w14:textId="40CC9C21" w:rsidR="00DD7770" w:rsidRPr="00DD7770" w:rsidRDefault="00DD7770" w:rsidP="00DD7770">
      <w:pPr>
        <w:jc w:val="both"/>
        <w:rPr>
          <w:rFonts w:ascii="Times New Roman" w:hAnsi="Times New Roman" w:cs="Times New Roman"/>
        </w:rPr>
      </w:pPr>
      <w:r w:rsidRPr="00DD7770">
        <w:rPr>
          <w:rFonts w:ascii="Times New Roman" w:hAnsi="Times New Roman" w:cs="Times New Roman"/>
        </w:rPr>
        <w:t>Continuous professional development and capacity-building initiatives should be prioritized for staff involved in planning, budgeting, and audit units. Targeted training will ensure these critical reforms are not just adopted but sustained, helping to embed a culture of integration, transparency, and proactive governance in the public sector.</w:t>
      </w:r>
    </w:p>
    <w:p w14:paraId="6AE1D9C9" w14:textId="6CBCEEF2" w:rsidR="00D432B2" w:rsidRPr="00051F63" w:rsidRDefault="00D432B2">
      <w:pPr>
        <w:rPr>
          <w:rFonts w:ascii="Times New Roman" w:hAnsi="Times New Roman" w:cs="Times New Roman"/>
        </w:rPr>
      </w:pPr>
      <w:r w:rsidRPr="00051F63">
        <w:rPr>
          <w:rFonts w:ascii="Times New Roman" w:hAnsi="Times New Roman" w:cs="Times New Roman"/>
        </w:rPr>
        <w:br w:type="page"/>
      </w:r>
    </w:p>
    <w:p w14:paraId="41DDAADA" w14:textId="77777777" w:rsidR="00BA1168" w:rsidRPr="00BA1168" w:rsidRDefault="00BA1168" w:rsidP="00BA1168">
      <w:pPr>
        <w:jc w:val="both"/>
        <w:rPr>
          <w:rFonts w:ascii="Times New Roman" w:hAnsi="Times New Roman" w:cs="Times New Roman"/>
          <w:b/>
          <w:bCs/>
        </w:rPr>
      </w:pPr>
      <w:r w:rsidRPr="00BA1168">
        <w:rPr>
          <w:rFonts w:ascii="Times New Roman" w:hAnsi="Times New Roman" w:cs="Times New Roman"/>
          <w:b/>
          <w:bCs/>
        </w:rPr>
        <w:lastRenderedPageBreak/>
        <w:t>References</w:t>
      </w:r>
    </w:p>
    <w:p w14:paraId="6FF033C6" w14:textId="77777777" w:rsidR="00BA1168" w:rsidRPr="00BA1168" w:rsidRDefault="00BA1168" w:rsidP="00D612E9">
      <w:pPr>
        <w:ind w:left="720" w:hanging="720"/>
        <w:jc w:val="both"/>
        <w:rPr>
          <w:rFonts w:ascii="Times New Roman" w:hAnsi="Times New Roman" w:cs="Times New Roman"/>
        </w:rPr>
      </w:pPr>
      <w:r w:rsidRPr="00BA1168">
        <w:rPr>
          <w:rFonts w:ascii="Times New Roman" w:hAnsi="Times New Roman" w:cs="Times New Roman"/>
        </w:rPr>
        <w:t xml:space="preserve">Abdulsalam, D., Bamidele, V. O., &amp; </w:t>
      </w:r>
      <w:proofErr w:type="spellStart"/>
      <w:r w:rsidRPr="00BA1168">
        <w:rPr>
          <w:rFonts w:ascii="Times New Roman" w:hAnsi="Times New Roman" w:cs="Times New Roman"/>
        </w:rPr>
        <w:t>Fajana</w:t>
      </w:r>
      <w:proofErr w:type="spellEnd"/>
      <w:r w:rsidRPr="00BA1168">
        <w:rPr>
          <w:rFonts w:ascii="Times New Roman" w:hAnsi="Times New Roman" w:cs="Times New Roman"/>
        </w:rPr>
        <w:t>, K. J. (2024). Effect of internal control on the financial performance of small and medium scale enterprises in Ekiti State, Nigeria. </w:t>
      </w:r>
      <w:r w:rsidRPr="00BA1168">
        <w:rPr>
          <w:rFonts w:ascii="Times New Roman" w:hAnsi="Times New Roman" w:cs="Times New Roman"/>
          <w:i/>
          <w:iCs/>
        </w:rPr>
        <w:t>Journal of Accounting, Business and Social Sciences, 8</w:t>
      </w:r>
      <w:r w:rsidRPr="00BA1168">
        <w:rPr>
          <w:rFonts w:ascii="Times New Roman" w:hAnsi="Times New Roman" w:cs="Times New Roman"/>
        </w:rPr>
        <w:t>(1), 115–125.</w:t>
      </w:r>
    </w:p>
    <w:p w14:paraId="6CFF372D" w14:textId="77777777" w:rsidR="00BA1168" w:rsidRPr="00BA1168" w:rsidRDefault="00BA1168" w:rsidP="00D612E9">
      <w:pPr>
        <w:ind w:left="720" w:hanging="720"/>
        <w:jc w:val="both"/>
        <w:rPr>
          <w:rFonts w:ascii="Times New Roman" w:hAnsi="Times New Roman" w:cs="Times New Roman"/>
        </w:rPr>
      </w:pPr>
      <w:proofErr w:type="spellStart"/>
      <w:r w:rsidRPr="00BA1168">
        <w:rPr>
          <w:rFonts w:ascii="Times New Roman" w:hAnsi="Times New Roman" w:cs="Times New Roman"/>
        </w:rPr>
        <w:t>Adeyiola</w:t>
      </w:r>
      <w:proofErr w:type="spellEnd"/>
      <w:r w:rsidRPr="00BA1168">
        <w:rPr>
          <w:rFonts w:ascii="Times New Roman" w:hAnsi="Times New Roman" w:cs="Times New Roman"/>
        </w:rPr>
        <w:t>, I., Bamidele, V. O., &amp; Ogundipe, F. B. (2026). Empirical study of internal control systems and ethical conduct in banking institutions: Evidence from listed deposit money banks in Nigeria. </w:t>
      </w:r>
      <w:r w:rsidRPr="00BA1168">
        <w:rPr>
          <w:rFonts w:ascii="Times New Roman" w:hAnsi="Times New Roman" w:cs="Times New Roman"/>
          <w:i/>
          <w:iCs/>
        </w:rPr>
        <w:t>Journal of Accounting, Business and Finance Research, 22</w:t>
      </w:r>
      <w:r w:rsidRPr="00BA1168">
        <w:rPr>
          <w:rFonts w:ascii="Times New Roman" w:hAnsi="Times New Roman" w:cs="Times New Roman"/>
        </w:rPr>
        <w:t>(1), 29–39. </w:t>
      </w:r>
      <w:hyperlink r:id="rId8" w:tgtFrame="_blank" w:history="1">
        <w:r w:rsidRPr="00BA1168">
          <w:rPr>
            <w:rStyle w:val="Hyperlink"/>
            <w:rFonts w:ascii="Times New Roman" w:hAnsi="Times New Roman" w:cs="Times New Roman"/>
          </w:rPr>
          <w:t>https://doi.org/10.55217/102.v22i1.1053</w:t>
        </w:r>
      </w:hyperlink>
    </w:p>
    <w:p w14:paraId="15F4AA1E" w14:textId="77777777" w:rsidR="00BA1168" w:rsidRPr="00BA1168" w:rsidRDefault="00BA1168" w:rsidP="00D612E9">
      <w:pPr>
        <w:ind w:left="720" w:hanging="720"/>
        <w:jc w:val="both"/>
        <w:rPr>
          <w:rFonts w:ascii="Times New Roman" w:hAnsi="Times New Roman" w:cs="Times New Roman"/>
        </w:rPr>
      </w:pPr>
      <w:r w:rsidRPr="00BA1168">
        <w:rPr>
          <w:rFonts w:ascii="Times New Roman" w:hAnsi="Times New Roman" w:cs="Times New Roman"/>
        </w:rPr>
        <w:t xml:space="preserve">Alemneh, G. W., &amp; Adugna, D. (2024). The practices of an integrated infrastructure planning in Ethiopian metropolitan cities: The case of Addis Ababa and </w:t>
      </w:r>
      <w:proofErr w:type="spellStart"/>
      <w:r w:rsidRPr="00BA1168">
        <w:rPr>
          <w:rFonts w:ascii="Times New Roman" w:hAnsi="Times New Roman" w:cs="Times New Roman"/>
        </w:rPr>
        <w:t>Sheger</w:t>
      </w:r>
      <w:proofErr w:type="spellEnd"/>
      <w:r w:rsidRPr="00BA1168">
        <w:rPr>
          <w:rFonts w:ascii="Times New Roman" w:hAnsi="Times New Roman" w:cs="Times New Roman"/>
        </w:rPr>
        <w:t xml:space="preserve"> Cities. </w:t>
      </w:r>
      <w:r w:rsidRPr="00BA1168">
        <w:rPr>
          <w:rFonts w:ascii="Times New Roman" w:hAnsi="Times New Roman" w:cs="Times New Roman"/>
          <w:i/>
          <w:iCs/>
        </w:rPr>
        <w:t>Preprints</w:t>
      </w:r>
      <w:r w:rsidRPr="00BA1168">
        <w:rPr>
          <w:rFonts w:ascii="Times New Roman" w:hAnsi="Times New Roman" w:cs="Times New Roman"/>
        </w:rPr>
        <w:t>, Article v1. </w:t>
      </w:r>
      <w:hyperlink r:id="rId9" w:tgtFrame="_blank" w:history="1">
        <w:r w:rsidRPr="00BA1168">
          <w:rPr>
            <w:rStyle w:val="Hyperlink"/>
            <w:rFonts w:ascii="Times New Roman" w:hAnsi="Times New Roman" w:cs="Times New Roman"/>
          </w:rPr>
          <w:t>https://doi.org/10.20944/preprints202411.1122.v1</w:t>
        </w:r>
      </w:hyperlink>
    </w:p>
    <w:p w14:paraId="662F029C" w14:textId="77777777" w:rsidR="00BA1168" w:rsidRPr="00BA1168" w:rsidRDefault="00BA1168" w:rsidP="00D612E9">
      <w:pPr>
        <w:ind w:left="720" w:hanging="720"/>
        <w:jc w:val="both"/>
        <w:rPr>
          <w:rFonts w:ascii="Times New Roman" w:hAnsi="Times New Roman" w:cs="Times New Roman"/>
        </w:rPr>
      </w:pPr>
      <w:proofErr w:type="spellStart"/>
      <w:r w:rsidRPr="00BA1168">
        <w:rPr>
          <w:rFonts w:ascii="Times New Roman" w:hAnsi="Times New Roman" w:cs="Times New Roman"/>
        </w:rPr>
        <w:t>Ambetsa</w:t>
      </w:r>
      <w:proofErr w:type="spellEnd"/>
      <w:r w:rsidRPr="00BA1168">
        <w:rPr>
          <w:rFonts w:ascii="Times New Roman" w:hAnsi="Times New Roman" w:cs="Times New Roman"/>
        </w:rPr>
        <w:t xml:space="preserve">, M. O., Kadima, J., &amp; </w:t>
      </w:r>
      <w:proofErr w:type="spellStart"/>
      <w:r w:rsidRPr="00BA1168">
        <w:rPr>
          <w:rFonts w:ascii="Times New Roman" w:hAnsi="Times New Roman" w:cs="Times New Roman"/>
        </w:rPr>
        <w:t>Miroga</w:t>
      </w:r>
      <w:proofErr w:type="spellEnd"/>
      <w:r w:rsidRPr="00BA1168">
        <w:rPr>
          <w:rFonts w:ascii="Times New Roman" w:hAnsi="Times New Roman" w:cs="Times New Roman"/>
        </w:rPr>
        <w:t>, J. (2022). Strategic planning and service delivery in water department in the county government of Kakamega; Kenya. </w:t>
      </w:r>
      <w:r w:rsidRPr="00BA1168">
        <w:rPr>
          <w:rFonts w:ascii="Times New Roman" w:hAnsi="Times New Roman" w:cs="Times New Roman"/>
          <w:i/>
          <w:iCs/>
        </w:rPr>
        <w:t>South Asian Journal of Business and Management Cases, 9</w:t>
      </w:r>
      <w:r w:rsidRPr="00BA1168">
        <w:rPr>
          <w:rFonts w:ascii="Times New Roman" w:hAnsi="Times New Roman" w:cs="Times New Roman"/>
        </w:rPr>
        <w:t>(2), 1–10. </w:t>
      </w:r>
      <w:hyperlink r:id="rId10" w:tgtFrame="_blank" w:history="1">
        <w:r w:rsidRPr="00BA1168">
          <w:rPr>
            <w:rStyle w:val="Hyperlink"/>
            <w:rFonts w:ascii="Times New Roman" w:hAnsi="Times New Roman" w:cs="Times New Roman"/>
          </w:rPr>
          <w:t>https://doi.org/10.61426/sjbcm.v9i2.2270</w:t>
        </w:r>
      </w:hyperlink>
    </w:p>
    <w:p w14:paraId="3483FFFA" w14:textId="77777777" w:rsidR="00BA1168" w:rsidRPr="00BA1168" w:rsidRDefault="00BA1168" w:rsidP="00D612E9">
      <w:pPr>
        <w:ind w:left="720" w:hanging="720"/>
        <w:jc w:val="both"/>
        <w:rPr>
          <w:rFonts w:ascii="Times New Roman" w:hAnsi="Times New Roman" w:cs="Times New Roman"/>
        </w:rPr>
      </w:pPr>
      <w:r w:rsidRPr="00BA1168">
        <w:rPr>
          <w:rFonts w:ascii="Times New Roman" w:hAnsi="Times New Roman" w:cs="Times New Roman"/>
        </w:rPr>
        <w:t xml:space="preserve">Appah, E., &amp; </w:t>
      </w:r>
      <w:proofErr w:type="spellStart"/>
      <w:r w:rsidRPr="00BA1168">
        <w:rPr>
          <w:rFonts w:ascii="Times New Roman" w:hAnsi="Times New Roman" w:cs="Times New Roman"/>
        </w:rPr>
        <w:t>Ayabina</w:t>
      </w:r>
      <w:proofErr w:type="spellEnd"/>
      <w:r w:rsidRPr="00BA1168">
        <w:rPr>
          <w:rFonts w:ascii="Times New Roman" w:hAnsi="Times New Roman" w:cs="Times New Roman"/>
        </w:rPr>
        <w:t>, E. P. (2025). Budgetary control system and effective public financial management: Moderating effect of managerial experience of tertiary institutions in Bayelsa State. </w:t>
      </w:r>
      <w:r w:rsidRPr="00BA1168">
        <w:rPr>
          <w:rFonts w:ascii="Times New Roman" w:hAnsi="Times New Roman" w:cs="Times New Roman"/>
          <w:i/>
          <w:iCs/>
        </w:rPr>
        <w:t>International Journal of Management Technology, 12</w:t>
      </w:r>
      <w:r w:rsidRPr="00BA1168">
        <w:rPr>
          <w:rFonts w:ascii="Times New Roman" w:hAnsi="Times New Roman" w:cs="Times New Roman"/>
        </w:rPr>
        <w:t>(4), 73–100. </w:t>
      </w:r>
      <w:hyperlink r:id="rId11" w:tgtFrame="_blank" w:history="1">
        <w:r w:rsidRPr="00BA1168">
          <w:rPr>
            <w:rStyle w:val="Hyperlink"/>
            <w:rFonts w:ascii="Times New Roman" w:hAnsi="Times New Roman" w:cs="Times New Roman"/>
          </w:rPr>
          <w:t>https://doi.org/10.37745/ijmt.2013/vol12n473100</w:t>
        </w:r>
      </w:hyperlink>
    </w:p>
    <w:p w14:paraId="46FFE37A" w14:textId="77777777" w:rsidR="00BA1168" w:rsidRPr="00BA1168" w:rsidRDefault="00BA1168" w:rsidP="00D612E9">
      <w:pPr>
        <w:ind w:left="720" w:hanging="720"/>
        <w:jc w:val="both"/>
        <w:rPr>
          <w:rFonts w:ascii="Times New Roman" w:hAnsi="Times New Roman" w:cs="Times New Roman"/>
        </w:rPr>
      </w:pPr>
      <w:r w:rsidRPr="00BA1168">
        <w:rPr>
          <w:rFonts w:ascii="Times New Roman" w:hAnsi="Times New Roman" w:cs="Times New Roman"/>
        </w:rPr>
        <w:t xml:space="preserve">Asha, A. A., &amp; </w:t>
      </w:r>
      <w:proofErr w:type="spellStart"/>
      <w:r w:rsidRPr="00BA1168">
        <w:rPr>
          <w:rFonts w:ascii="Times New Roman" w:hAnsi="Times New Roman" w:cs="Times New Roman"/>
        </w:rPr>
        <w:t>Makalela</w:t>
      </w:r>
      <w:proofErr w:type="spellEnd"/>
      <w:r w:rsidRPr="00BA1168">
        <w:rPr>
          <w:rFonts w:ascii="Times New Roman" w:hAnsi="Times New Roman" w:cs="Times New Roman"/>
        </w:rPr>
        <w:t xml:space="preserve">, K. (2020). Challenges in the implementation of integrated development plan and service delivery in </w:t>
      </w:r>
      <w:proofErr w:type="spellStart"/>
      <w:r w:rsidRPr="00BA1168">
        <w:rPr>
          <w:rFonts w:ascii="Times New Roman" w:hAnsi="Times New Roman" w:cs="Times New Roman"/>
        </w:rPr>
        <w:t>Lepelle-Nkumphi</w:t>
      </w:r>
      <w:proofErr w:type="spellEnd"/>
      <w:r w:rsidRPr="00BA1168">
        <w:rPr>
          <w:rFonts w:ascii="Times New Roman" w:hAnsi="Times New Roman" w:cs="Times New Roman"/>
        </w:rPr>
        <w:t xml:space="preserve"> municipality, Limpopo province. </w:t>
      </w:r>
      <w:r w:rsidRPr="00BA1168">
        <w:rPr>
          <w:rFonts w:ascii="Times New Roman" w:hAnsi="Times New Roman" w:cs="Times New Roman"/>
          <w:i/>
          <w:iCs/>
        </w:rPr>
        <w:t>International Journal of Economics and Finance, 10</w:t>
      </w:r>
      <w:r w:rsidRPr="00BA1168">
        <w:rPr>
          <w:rFonts w:ascii="Times New Roman" w:hAnsi="Times New Roman" w:cs="Times New Roman"/>
        </w:rPr>
        <w:t>, 12101. </w:t>
      </w:r>
      <w:hyperlink r:id="rId12" w:tgtFrame="_blank" w:history="1">
        <w:r w:rsidRPr="00BA1168">
          <w:rPr>
            <w:rStyle w:val="Hyperlink"/>
            <w:rFonts w:ascii="Times New Roman" w:hAnsi="Times New Roman" w:cs="Times New Roman"/>
          </w:rPr>
          <w:t>https://doi.org/10.34109/IJEFS.202012101</w:t>
        </w:r>
      </w:hyperlink>
    </w:p>
    <w:p w14:paraId="61C68800" w14:textId="77777777" w:rsidR="00BA1168" w:rsidRPr="00BA1168" w:rsidRDefault="00BA1168" w:rsidP="00D612E9">
      <w:pPr>
        <w:ind w:left="720" w:hanging="720"/>
        <w:jc w:val="both"/>
        <w:rPr>
          <w:rFonts w:ascii="Times New Roman" w:hAnsi="Times New Roman" w:cs="Times New Roman"/>
        </w:rPr>
      </w:pPr>
      <w:r w:rsidRPr="00BA1168">
        <w:rPr>
          <w:rFonts w:ascii="Times New Roman" w:hAnsi="Times New Roman" w:cs="Times New Roman"/>
        </w:rPr>
        <w:t>Barney, J. (1991). Firm resources and sustained competitive advantage. </w:t>
      </w:r>
      <w:r w:rsidRPr="00BA1168">
        <w:rPr>
          <w:rFonts w:ascii="Times New Roman" w:hAnsi="Times New Roman" w:cs="Times New Roman"/>
          <w:i/>
          <w:iCs/>
        </w:rPr>
        <w:t>Journal of Management, 17</w:t>
      </w:r>
      <w:r w:rsidRPr="00BA1168">
        <w:rPr>
          <w:rFonts w:ascii="Times New Roman" w:hAnsi="Times New Roman" w:cs="Times New Roman"/>
        </w:rPr>
        <w:t>(1), 99–120. </w:t>
      </w:r>
      <w:hyperlink r:id="rId13" w:tgtFrame="_blank" w:history="1">
        <w:r w:rsidRPr="00BA1168">
          <w:rPr>
            <w:rStyle w:val="Hyperlink"/>
            <w:rFonts w:ascii="Times New Roman" w:hAnsi="Times New Roman" w:cs="Times New Roman"/>
          </w:rPr>
          <w:t>https://doi.org/10.1177/014920639101700108</w:t>
        </w:r>
      </w:hyperlink>
    </w:p>
    <w:p w14:paraId="185C492F" w14:textId="77777777" w:rsidR="00BA1168" w:rsidRPr="00BA1168" w:rsidRDefault="00BA1168" w:rsidP="00D612E9">
      <w:pPr>
        <w:ind w:left="720" w:hanging="720"/>
        <w:jc w:val="both"/>
        <w:rPr>
          <w:rFonts w:ascii="Times New Roman" w:hAnsi="Times New Roman" w:cs="Times New Roman"/>
        </w:rPr>
      </w:pPr>
      <w:r w:rsidRPr="00BA1168">
        <w:rPr>
          <w:rFonts w:ascii="Times New Roman" w:hAnsi="Times New Roman" w:cs="Times New Roman"/>
        </w:rPr>
        <w:t xml:space="preserve">Bamidele, V. O., </w:t>
      </w:r>
      <w:proofErr w:type="spellStart"/>
      <w:r w:rsidRPr="00BA1168">
        <w:rPr>
          <w:rFonts w:ascii="Times New Roman" w:hAnsi="Times New Roman" w:cs="Times New Roman"/>
        </w:rPr>
        <w:t>Omodara</w:t>
      </w:r>
      <w:proofErr w:type="spellEnd"/>
      <w:r w:rsidRPr="00BA1168">
        <w:rPr>
          <w:rFonts w:ascii="Times New Roman" w:hAnsi="Times New Roman" w:cs="Times New Roman"/>
        </w:rPr>
        <w:t>, B. E., &amp; Adeyemi, O. S. (2026). Effects of budget credibility and financial accountability on service delivery: Evidence from selected local government areas in Ekiti State, Nigeria. </w:t>
      </w:r>
      <w:r w:rsidRPr="00BA1168">
        <w:rPr>
          <w:rFonts w:ascii="Times New Roman" w:hAnsi="Times New Roman" w:cs="Times New Roman"/>
          <w:i/>
          <w:iCs/>
        </w:rPr>
        <w:t>Journal of Economics and Trade, 11</w:t>
      </w:r>
      <w:r w:rsidRPr="00BA1168">
        <w:rPr>
          <w:rFonts w:ascii="Times New Roman" w:hAnsi="Times New Roman" w:cs="Times New Roman"/>
        </w:rPr>
        <w:t>(1), 272–285. </w:t>
      </w:r>
      <w:hyperlink r:id="rId14" w:tgtFrame="_blank" w:history="1">
        <w:r w:rsidRPr="00BA1168">
          <w:rPr>
            <w:rStyle w:val="Hyperlink"/>
            <w:rFonts w:ascii="Times New Roman" w:hAnsi="Times New Roman" w:cs="Times New Roman"/>
          </w:rPr>
          <w:t>https://hal.science/hal-05558836</w:t>
        </w:r>
      </w:hyperlink>
    </w:p>
    <w:p w14:paraId="27705A1B" w14:textId="77777777" w:rsidR="00BA1168" w:rsidRPr="00BA1168" w:rsidRDefault="00BA1168" w:rsidP="00D612E9">
      <w:pPr>
        <w:ind w:left="720" w:hanging="720"/>
        <w:jc w:val="both"/>
        <w:rPr>
          <w:rFonts w:ascii="Times New Roman" w:hAnsi="Times New Roman" w:cs="Times New Roman"/>
        </w:rPr>
      </w:pPr>
      <w:r w:rsidRPr="00BA1168">
        <w:rPr>
          <w:rFonts w:ascii="Times New Roman" w:hAnsi="Times New Roman" w:cs="Times New Roman"/>
        </w:rPr>
        <w:t>Dlamini, B. I., Zogli, L.-K. J., &amp; Hlongwane, T. (2020). Assessing the integrated development plan as a performance management system in a municipality. </w:t>
      </w:r>
      <w:r w:rsidRPr="00BA1168">
        <w:rPr>
          <w:rFonts w:ascii="Times New Roman" w:hAnsi="Times New Roman" w:cs="Times New Roman"/>
          <w:i/>
          <w:iCs/>
        </w:rPr>
        <w:t>International Journal of Entrepreneurship</w:t>
      </w:r>
      <w:r w:rsidRPr="00BA1168">
        <w:rPr>
          <w:rFonts w:ascii="Times New Roman" w:hAnsi="Times New Roman" w:cs="Times New Roman"/>
        </w:rPr>
        <w:t>, Article 1.</w:t>
      </w:r>
    </w:p>
    <w:p w14:paraId="1C3D82F8" w14:textId="77777777" w:rsidR="00BA1168" w:rsidRPr="00BA1168" w:rsidRDefault="00BA1168" w:rsidP="00D612E9">
      <w:pPr>
        <w:ind w:left="720" w:hanging="720"/>
        <w:jc w:val="both"/>
        <w:rPr>
          <w:rFonts w:ascii="Times New Roman" w:hAnsi="Times New Roman" w:cs="Times New Roman"/>
        </w:rPr>
      </w:pPr>
      <w:r w:rsidRPr="00BA1168">
        <w:rPr>
          <w:rFonts w:ascii="Times New Roman" w:hAnsi="Times New Roman" w:cs="Times New Roman"/>
        </w:rPr>
        <w:t>Dunleavy, P., &amp; Hood, C. (1994). From old public administration to new public management. </w:t>
      </w:r>
      <w:r w:rsidRPr="00BA1168">
        <w:rPr>
          <w:rFonts w:ascii="Times New Roman" w:hAnsi="Times New Roman" w:cs="Times New Roman"/>
          <w:i/>
          <w:iCs/>
        </w:rPr>
        <w:t>Public Money &amp; Management, 14</w:t>
      </w:r>
      <w:r w:rsidRPr="00BA1168">
        <w:rPr>
          <w:rFonts w:ascii="Times New Roman" w:hAnsi="Times New Roman" w:cs="Times New Roman"/>
        </w:rPr>
        <w:t>(3), 9–16. </w:t>
      </w:r>
      <w:hyperlink r:id="rId15" w:tgtFrame="_blank" w:history="1">
        <w:r w:rsidRPr="00BA1168">
          <w:rPr>
            <w:rStyle w:val="Hyperlink"/>
            <w:rFonts w:ascii="Times New Roman" w:hAnsi="Times New Roman" w:cs="Times New Roman"/>
          </w:rPr>
          <w:t>https://doi.org/10.1080/09540969409387823</w:t>
        </w:r>
      </w:hyperlink>
    </w:p>
    <w:p w14:paraId="4B859F05" w14:textId="52CF64FC" w:rsidR="00BA1168" w:rsidRPr="00051F63" w:rsidRDefault="00BA1168" w:rsidP="00D612E9">
      <w:pPr>
        <w:ind w:left="720" w:hanging="720"/>
        <w:jc w:val="both"/>
        <w:rPr>
          <w:rFonts w:ascii="Times New Roman" w:hAnsi="Times New Roman" w:cs="Times New Roman"/>
        </w:rPr>
      </w:pPr>
      <w:r w:rsidRPr="00051F63">
        <w:rPr>
          <w:rFonts w:ascii="Times New Roman" w:hAnsi="Times New Roman" w:cs="Times New Roman"/>
        </w:rPr>
        <w:t>Ekiti State Government. (2024). MDAs directory. </w:t>
      </w:r>
      <w:hyperlink r:id="rId16" w:history="1">
        <w:r w:rsidRPr="00051F63">
          <w:rPr>
            <w:rStyle w:val="Hyperlink"/>
            <w:rFonts w:ascii="Times New Roman" w:hAnsi="Times New Roman" w:cs="Times New Roman"/>
          </w:rPr>
          <w:t>https://ekitistate.gov.ng/mdas-directory/</w:t>
        </w:r>
        <w:r w:rsidRPr="00BA1168">
          <w:rPr>
            <w:rStyle w:val="Hyperlink"/>
            <w:rFonts w:ascii="Times New Roman" w:hAnsi="Times New Roman" w:cs="Times New Roman"/>
          </w:rPr>
          <w:t>Fayo</w:t>
        </w:r>
      </w:hyperlink>
      <w:r w:rsidRPr="00BA1168">
        <w:rPr>
          <w:rFonts w:ascii="Times New Roman" w:hAnsi="Times New Roman" w:cs="Times New Roman"/>
        </w:rPr>
        <w:t>,</w:t>
      </w:r>
    </w:p>
    <w:p w14:paraId="7A160262" w14:textId="0E681F4E" w:rsidR="00BA1168" w:rsidRPr="00BA1168" w:rsidRDefault="00BA1168" w:rsidP="00D612E9">
      <w:pPr>
        <w:ind w:left="720" w:hanging="720"/>
        <w:jc w:val="both"/>
        <w:rPr>
          <w:rFonts w:ascii="Times New Roman" w:hAnsi="Times New Roman" w:cs="Times New Roman"/>
        </w:rPr>
      </w:pPr>
      <w:r w:rsidRPr="00BA1168">
        <w:rPr>
          <w:rFonts w:ascii="Times New Roman" w:hAnsi="Times New Roman" w:cs="Times New Roman"/>
        </w:rPr>
        <w:lastRenderedPageBreak/>
        <w:t xml:space="preserve">E. D., &amp; </w:t>
      </w:r>
      <w:proofErr w:type="spellStart"/>
      <w:r w:rsidRPr="00BA1168">
        <w:rPr>
          <w:rFonts w:ascii="Times New Roman" w:hAnsi="Times New Roman" w:cs="Times New Roman"/>
        </w:rPr>
        <w:t>Obuba</w:t>
      </w:r>
      <w:proofErr w:type="spellEnd"/>
      <w:r w:rsidRPr="00BA1168">
        <w:rPr>
          <w:rFonts w:ascii="Times New Roman" w:hAnsi="Times New Roman" w:cs="Times New Roman"/>
        </w:rPr>
        <w:t>, R. (2025). An assessment on the influence of planning strategy on service delivery in Meru High Court. </w:t>
      </w:r>
      <w:proofErr w:type="spellStart"/>
      <w:r w:rsidRPr="00BA1168">
        <w:rPr>
          <w:rFonts w:ascii="Times New Roman" w:hAnsi="Times New Roman" w:cs="Times New Roman"/>
          <w:i/>
          <w:iCs/>
        </w:rPr>
        <w:t>Zenodo</w:t>
      </w:r>
      <w:proofErr w:type="spellEnd"/>
      <w:r w:rsidRPr="00BA1168">
        <w:rPr>
          <w:rFonts w:ascii="Times New Roman" w:hAnsi="Times New Roman" w:cs="Times New Roman"/>
        </w:rPr>
        <w:t>. </w:t>
      </w:r>
      <w:hyperlink r:id="rId17" w:tgtFrame="_blank" w:history="1">
        <w:r w:rsidRPr="00BA1168">
          <w:rPr>
            <w:rStyle w:val="Hyperlink"/>
            <w:rFonts w:ascii="Times New Roman" w:hAnsi="Times New Roman" w:cs="Times New Roman"/>
          </w:rPr>
          <w:t>https://doi.org/10.5281/zenodo.14780845</w:t>
        </w:r>
      </w:hyperlink>
    </w:p>
    <w:p w14:paraId="396669F4" w14:textId="77777777" w:rsidR="00BA1168" w:rsidRPr="00BA1168" w:rsidRDefault="00BA1168" w:rsidP="00D612E9">
      <w:pPr>
        <w:ind w:left="720" w:hanging="720"/>
        <w:jc w:val="both"/>
        <w:rPr>
          <w:rFonts w:ascii="Times New Roman" w:hAnsi="Times New Roman" w:cs="Times New Roman"/>
        </w:rPr>
      </w:pPr>
      <w:r w:rsidRPr="00BA1168">
        <w:rPr>
          <w:rFonts w:ascii="Times New Roman" w:hAnsi="Times New Roman" w:cs="Times New Roman"/>
        </w:rPr>
        <w:t>Getachew Desalegn, A. (2026). The effects of strategic planning implementation on service delivery: The case of Deber Markos University. </w:t>
      </w:r>
      <w:r w:rsidRPr="00BA1168">
        <w:rPr>
          <w:rFonts w:ascii="Times New Roman" w:hAnsi="Times New Roman" w:cs="Times New Roman"/>
          <w:i/>
          <w:iCs/>
        </w:rPr>
        <w:t>National Academic Digital Repository of Ethiopia</w:t>
      </w:r>
      <w:r w:rsidRPr="00BA1168">
        <w:rPr>
          <w:rFonts w:ascii="Times New Roman" w:hAnsi="Times New Roman" w:cs="Times New Roman"/>
        </w:rPr>
        <w:t>. </w:t>
      </w:r>
      <w:hyperlink r:id="rId18" w:tgtFrame="_blank" w:history="1">
        <w:r w:rsidRPr="00BA1168">
          <w:rPr>
            <w:rStyle w:val="Hyperlink"/>
            <w:rFonts w:ascii="Times New Roman" w:hAnsi="Times New Roman" w:cs="Times New Roman"/>
          </w:rPr>
          <w:t>https://doi.org/10.20372/nadre:23999</w:t>
        </w:r>
      </w:hyperlink>
    </w:p>
    <w:p w14:paraId="28FB9553" w14:textId="77777777" w:rsidR="00BA1168" w:rsidRPr="00BA1168" w:rsidRDefault="00BA1168" w:rsidP="00D612E9">
      <w:pPr>
        <w:ind w:left="720" w:hanging="720"/>
        <w:jc w:val="both"/>
        <w:rPr>
          <w:rFonts w:ascii="Times New Roman" w:hAnsi="Times New Roman" w:cs="Times New Roman"/>
        </w:rPr>
      </w:pPr>
      <w:r w:rsidRPr="00BA1168">
        <w:rPr>
          <w:rFonts w:ascii="Times New Roman" w:hAnsi="Times New Roman" w:cs="Times New Roman"/>
        </w:rPr>
        <w:t>Hasan, M. Z., Ahmad, I., Lee, R., et al. (2024). Adapting to adversity through resilience: The role of integrated health services delivery in sustaining routine health services during COVID-19. </w:t>
      </w:r>
      <w:r w:rsidRPr="00BA1168">
        <w:rPr>
          <w:rFonts w:ascii="Times New Roman" w:hAnsi="Times New Roman" w:cs="Times New Roman"/>
          <w:i/>
          <w:iCs/>
        </w:rPr>
        <w:t>Research Square</w:t>
      </w:r>
      <w:r w:rsidRPr="00BA1168">
        <w:rPr>
          <w:rFonts w:ascii="Times New Roman" w:hAnsi="Times New Roman" w:cs="Times New Roman"/>
        </w:rPr>
        <w:t>. </w:t>
      </w:r>
      <w:hyperlink r:id="rId19" w:tgtFrame="_blank" w:history="1">
        <w:r w:rsidRPr="00BA1168">
          <w:rPr>
            <w:rStyle w:val="Hyperlink"/>
            <w:rFonts w:ascii="Times New Roman" w:hAnsi="Times New Roman" w:cs="Times New Roman"/>
          </w:rPr>
          <w:t>https://doi.org/10.21203/rs.3.rs-5552658/v1</w:t>
        </w:r>
      </w:hyperlink>
    </w:p>
    <w:p w14:paraId="569C6944" w14:textId="77777777" w:rsidR="00BA1168" w:rsidRPr="00BA1168" w:rsidRDefault="00BA1168" w:rsidP="00D612E9">
      <w:pPr>
        <w:ind w:left="720" w:hanging="720"/>
        <w:jc w:val="both"/>
        <w:rPr>
          <w:rFonts w:ascii="Times New Roman" w:hAnsi="Times New Roman" w:cs="Times New Roman"/>
        </w:rPr>
      </w:pPr>
      <w:r w:rsidRPr="00BA1168">
        <w:rPr>
          <w:rFonts w:ascii="Times New Roman" w:hAnsi="Times New Roman" w:cs="Times New Roman"/>
        </w:rPr>
        <w:t>Hood, C. (1991). A public management for all seasons? </w:t>
      </w:r>
      <w:r w:rsidRPr="00BA1168">
        <w:rPr>
          <w:rFonts w:ascii="Times New Roman" w:hAnsi="Times New Roman" w:cs="Times New Roman"/>
          <w:i/>
          <w:iCs/>
        </w:rPr>
        <w:t>Public Administration, 69</w:t>
      </w:r>
      <w:r w:rsidRPr="00BA1168">
        <w:rPr>
          <w:rFonts w:ascii="Times New Roman" w:hAnsi="Times New Roman" w:cs="Times New Roman"/>
        </w:rPr>
        <w:t>(1), 3–19. </w:t>
      </w:r>
      <w:hyperlink r:id="rId20" w:tgtFrame="_blank" w:history="1">
        <w:r w:rsidRPr="00BA1168">
          <w:rPr>
            <w:rStyle w:val="Hyperlink"/>
            <w:rFonts w:ascii="Times New Roman" w:hAnsi="Times New Roman" w:cs="Times New Roman"/>
          </w:rPr>
          <w:t>https://doi.org/10.1111/j.1467-9299.1991.tb00779.x</w:t>
        </w:r>
      </w:hyperlink>
    </w:p>
    <w:p w14:paraId="497F46EB" w14:textId="77777777" w:rsidR="00BA1168" w:rsidRPr="00BA1168" w:rsidRDefault="00BA1168" w:rsidP="00D612E9">
      <w:pPr>
        <w:ind w:left="720" w:hanging="720"/>
        <w:jc w:val="both"/>
        <w:rPr>
          <w:rFonts w:ascii="Times New Roman" w:hAnsi="Times New Roman" w:cs="Times New Roman"/>
        </w:rPr>
      </w:pPr>
      <w:r w:rsidRPr="00BA1168">
        <w:rPr>
          <w:rFonts w:ascii="Times New Roman" w:hAnsi="Times New Roman" w:cs="Times New Roman"/>
        </w:rPr>
        <w:t xml:space="preserve">Karama, F. B., </w:t>
      </w:r>
      <w:proofErr w:type="spellStart"/>
      <w:r w:rsidRPr="00BA1168">
        <w:rPr>
          <w:rFonts w:ascii="Times New Roman" w:hAnsi="Times New Roman" w:cs="Times New Roman"/>
        </w:rPr>
        <w:t>Kagiri</w:t>
      </w:r>
      <w:proofErr w:type="spellEnd"/>
      <w:r w:rsidRPr="00BA1168">
        <w:rPr>
          <w:rFonts w:ascii="Times New Roman" w:hAnsi="Times New Roman" w:cs="Times New Roman"/>
        </w:rPr>
        <w:t>, A., &amp; Ismail, N. (2024). The effect of strategic planning on the delivery of devolved services in selected counties in Kenya. </w:t>
      </w:r>
      <w:proofErr w:type="spellStart"/>
      <w:r w:rsidRPr="00BA1168">
        <w:rPr>
          <w:rFonts w:ascii="Times New Roman" w:hAnsi="Times New Roman" w:cs="Times New Roman"/>
          <w:i/>
          <w:iCs/>
        </w:rPr>
        <w:t>Zenodo</w:t>
      </w:r>
      <w:proofErr w:type="spellEnd"/>
      <w:r w:rsidRPr="00BA1168">
        <w:rPr>
          <w:rFonts w:ascii="Times New Roman" w:hAnsi="Times New Roman" w:cs="Times New Roman"/>
        </w:rPr>
        <w:t>. </w:t>
      </w:r>
      <w:hyperlink r:id="rId21" w:tgtFrame="_blank" w:history="1">
        <w:r w:rsidRPr="00BA1168">
          <w:rPr>
            <w:rStyle w:val="Hyperlink"/>
            <w:rFonts w:ascii="Times New Roman" w:hAnsi="Times New Roman" w:cs="Times New Roman"/>
          </w:rPr>
          <w:t>https://doi.org/10.60692/0wts4-5h238</w:t>
        </w:r>
      </w:hyperlink>
    </w:p>
    <w:p w14:paraId="32D090D2" w14:textId="77777777" w:rsidR="00BA1168" w:rsidRPr="00BA1168" w:rsidRDefault="00BA1168" w:rsidP="00D612E9">
      <w:pPr>
        <w:ind w:left="720" w:hanging="720"/>
        <w:jc w:val="both"/>
        <w:rPr>
          <w:rFonts w:ascii="Times New Roman" w:hAnsi="Times New Roman" w:cs="Times New Roman"/>
        </w:rPr>
      </w:pPr>
      <w:proofErr w:type="spellStart"/>
      <w:r w:rsidRPr="00BA1168">
        <w:rPr>
          <w:rFonts w:ascii="Times New Roman" w:hAnsi="Times New Roman" w:cs="Times New Roman"/>
        </w:rPr>
        <w:t>Lavhelani</w:t>
      </w:r>
      <w:proofErr w:type="spellEnd"/>
      <w:r w:rsidRPr="00BA1168">
        <w:rPr>
          <w:rFonts w:ascii="Times New Roman" w:hAnsi="Times New Roman" w:cs="Times New Roman"/>
        </w:rPr>
        <w:t xml:space="preserve"> </w:t>
      </w:r>
      <w:proofErr w:type="spellStart"/>
      <w:r w:rsidRPr="00BA1168">
        <w:rPr>
          <w:rFonts w:ascii="Times New Roman" w:hAnsi="Times New Roman" w:cs="Times New Roman"/>
        </w:rPr>
        <w:t>Kgobe</w:t>
      </w:r>
      <w:proofErr w:type="spellEnd"/>
      <w:r w:rsidRPr="00BA1168">
        <w:rPr>
          <w:rFonts w:ascii="Times New Roman" w:hAnsi="Times New Roman" w:cs="Times New Roman"/>
        </w:rPr>
        <w:t>, F. K., Bayat, M. S., &amp; Karriem, A. (2024). Government of the people, by the people, and for the people: Stakeholder's engagement in service delivery planning in South Africa. </w:t>
      </w:r>
      <w:r w:rsidRPr="00BA1168">
        <w:rPr>
          <w:rFonts w:ascii="Times New Roman" w:hAnsi="Times New Roman" w:cs="Times New Roman"/>
          <w:i/>
          <w:iCs/>
        </w:rPr>
        <w:t>Journal of Social Sciences, 7</w:t>
      </w:r>
      <w:r w:rsidRPr="00BA1168">
        <w:rPr>
          <w:rFonts w:ascii="Times New Roman" w:hAnsi="Times New Roman" w:cs="Times New Roman"/>
        </w:rPr>
        <w:t>(3), Article 13. </w:t>
      </w:r>
      <w:hyperlink r:id="rId22" w:tgtFrame="_blank" w:history="1">
        <w:r w:rsidRPr="00BA1168">
          <w:rPr>
            <w:rStyle w:val="Hyperlink"/>
            <w:rFonts w:ascii="Times New Roman" w:hAnsi="Times New Roman" w:cs="Times New Roman"/>
          </w:rPr>
          <w:t>https://doi.org/10.52326/jss.utm.2024.7(3).13</w:t>
        </w:r>
      </w:hyperlink>
    </w:p>
    <w:p w14:paraId="06508DE7" w14:textId="77777777" w:rsidR="00BA1168" w:rsidRPr="00BA1168" w:rsidRDefault="00BA1168" w:rsidP="00D612E9">
      <w:pPr>
        <w:ind w:left="720" w:hanging="720"/>
        <w:jc w:val="both"/>
        <w:rPr>
          <w:rFonts w:ascii="Times New Roman" w:hAnsi="Times New Roman" w:cs="Times New Roman"/>
        </w:rPr>
      </w:pPr>
      <w:proofErr w:type="spellStart"/>
      <w:r w:rsidRPr="00BA1168">
        <w:rPr>
          <w:rFonts w:ascii="Times New Roman" w:hAnsi="Times New Roman" w:cs="Times New Roman"/>
        </w:rPr>
        <w:t>Mabi</w:t>
      </w:r>
      <w:proofErr w:type="spellEnd"/>
      <w:r w:rsidRPr="00BA1168">
        <w:rPr>
          <w:rFonts w:ascii="Times New Roman" w:hAnsi="Times New Roman" w:cs="Times New Roman"/>
        </w:rPr>
        <w:t xml:space="preserve">, J., &amp; </w:t>
      </w:r>
      <w:proofErr w:type="spellStart"/>
      <w:r w:rsidRPr="00BA1168">
        <w:rPr>
          <w:rFonts w:ascii="Times New Roman" w:hAnsi="Times New Roman" w:cs="Times New Roman"/>
        </w:rPr>
        <w:t>Buluma</w:t>
      </w:r>
      <w:proofErr w:type="spellEnd"/>
      <w:r w:rsidRPr="00BA1168">
        <w:rPr>
          <w:rFonts w:ascii="Times New Roman" w:hAnsi="Times New Roman" w:cs="Times New Roman"/>
        </w:rPr>
        <w:t>, A. (2024). Systematic review of the effect of financial management practices on service delivery in secondary schools. </w:t>
      </w:r>
      <w:r w:rsidRPr="00BA1168">
        <w:rPr>
          <w:rFonts w:ascii="Times New Roman" w:hAnsi="Times New Roman" w:cs="Times New Roman"/>
          <w:i/>
          <w:iCs/>
        </w:rPr>
        <w:t>Journal of Effective Teaching Methods, 2</w:t>
      </w:r>
      <w:r w:rsidRPr="00BA1168">
        <w:rPr>
          <w:rFonts w:ascii="Times New Roman" w:hAnsi="Times New Roman" w:cs="Times New Roman"/>
        </w:rPr>
        <w:t>(4), 296. </w:t>
      </w:r>
      <w:hyperlink r:id="rId23" w:tgtFrame="_blank" w:history="1">
        <w:r w:rsidRPr="00BA1168">
          <w:rPr>
            <w:rStyle w:val="Hyperlink"/>
            <w:rFonts w:ascii="Times New Roman" w:hAnsi="Times New Roman" w:cs="Times New Roman"/>
          </w:rPr>
          <w:t>https://doi.org/10.59652/jetm.v2i4.296</w:t>
        </w:r>
      </w:hyperlink>
    </w:p>
    <w:p w14:paraId="5B608094" w14:textId="77777777" w:rsidR="00BA1168" w:rsidRPr="00BA1168" w:rsidRDefault="00BA1168" w:rsidP="00D612E9">
      <w:pPr>
        <w:ind w:left="720" w:hanging="720"/>
        <w:jc w:val="both"/>
        <w:rPr>
          <w:rFonts w:ascii="Times New Roman" w:hAnsi="Times New Roman" w:cs="Times New Roman"/>
        </w:rPr>
      </w:pPr>
      <w:proofErr w:type="spellStart"/>
      <w:r w:rsidRPr="00BA1168">
        <w:rPr>
          <w:rFonts w:ascii="Times New Roman" w:hAnsi="Times New Roman" w:cs="Times New Roman"/>
        </w:rPr>
        <w:t>Mamokhere</w:t>
      </w:r>
      <w:proofErr w:type="spellEnd"/>
      <w:r w:rsidRPr="00BA1168">
        <w:rPr>
          <w:rFonts w:ascii="Times New Roman" w:hAnsi="Times New Roman" w:cs="Times New Roman"/>
        </w:rPr>
        <w:t>, J. (2023). The integrated development planning process's impact as a tool for increasing community participation in South Africa. </w:t>
      </w:r>
      <w:r w:rsidRPr="00BA1168">
        <w:rPr>
          <w:rFonts w:ascii="Times New Roman" w:hAnsi="Times New Roman" w:cs="Times New Roman"/>
          <w:i/>
          <w:iCs/>
        </w:rPr>
        <w:t>African Journal of Development Studies, 13</w:t>
      </w:r>
      <w:r w:rsidRPr="00BA1168">
        <w:rPr>
          <w:rFonts w:ascii="Times New Roman" w:hAnsi="Times New Roman" w:cs="Times New Roman"/>
        </w:rPr>
        <w:t>(2), Article a1. </w:t>
      </w:r>
      <w:hyperlink r:id="rId24" w:tgtFrame="_blank" w:history="1">
        <w:r w:rsidRPr="00BA1168">
          <w:rPr>
            <w:rStyle w:val="Hyperlink"/>
            <w:rFonts w:ascii="Times New Roman" w:hAnsi="Times New Roman" w:cs="Times New Roman"/>
          </w:rPr>
          <w:t>https://doi.org/10.31920/2634-3649/2023/v13n2a1</w:t>
        </w:r>
      </w:hyperlink>
    </w:p>
    <w:p w14:paraId="2031874F" w14:textId="77777777" w:rsidR="00BA1168" w:rsidRPr="00BA1168" w:rsidRDefault="00BA1168" w:rsidP="00D612E9">
      <w:pPr>
        <w:ind w:left="720" w:hanging="720"/>
        <w:jc w:val="both"/>
        <w:rPr>
          <w:rFonts w:ascii="Times New Roman" w:hAnsi="Times New Roman" w:cs="Times New Roman"/>
        </w:rPr>
      </w:pPr>
      <w:r w:rsidRPr="00BA1168">
        <w:rPr>
          <w:rFonts w:ascii="Times New Roman" w:hAnsi="Times New Roman" w:cs="Times New Roman"/>
        </w:rPr>
        <w:t xml:space="preserve">Maponya, F. M., Nkoana, I., &amp; </w:t>
      </w:r>
      <w:proofErr w:type="spellStart"/>
      <w:r w:rsidRPr="00BA1168">
        <w:rPr>
          <w:rFonts w:ascii="Times New Roman" w:hAnsi="Times New Roman" w:cs="Times New Roman"/>
        </w:rPr>
        <w:t>Maenetja</w:t>
      </w:r>
      <w:proofErr w:type="spellEnd"/>
      <w:r w:rsidRPr="00BA1168">
        <w:rPr>
          <w:rFonts w:ascii="Times New Roman" w:hAnsi="Times New Roman" w:cs="Times New Roman"/>
        </w:rPr>
        <w:t>, R. E. (2024). Enhancing integrated development planning in South African local government: The critical role of youth engagement in planning and implementation. </w:t>
      </w:r>
      <w:r w:rsidRPr="00BA1168">
        <w:rPr>
          <w:rFonts w:ascii="Times New Roman" w:hAnsi="Times New Roman" w:cs="Times New Roman"/>
          <w:i/>
          <w:iCs/>
        </w:rPr>
        <w:t>International Journal of Business Ecosystem &amp; Strategy, 6</w:t>
      </w:r>
      <w:r w:rsidRPr="00BA1168">
        <w:rPr>
          <w:rFonts w:ascii="Times New Roman" w:hAnsi="Times New Roman" w:cs="Times New Roman"/>
        </w:rPr>
        <w:t>(4), Article 630. </w:t>
      </w:r>
      <w:hyperlink r:id="rId25" w:tgtFrame="_blank" w:history="1">
        <w:r w:rsidRPr="00BA1168">
          <w:rPr>
            <w:rStyle w:val="Hyperlink"/>
            <w:rFonts w:ascii="Times New Roman" w:hAnsi="Times New Roman" w:cs="Times New Roman"/>
          </w:rPr>
          <w:t>https://doi.org/10.36096/ijbes.v6i4.630</w:t>
        </w:r>
      </w:hyperlink>
    </w:p>
    <w:p w14:paraId="27209780" w14:textId="77777777" w:rsidR="00BA1168" w:rsidRPr="00BA1168" w:rsidRDefault="00BA1168" w:rsidP="00D612E9">
      <w:pPr>
        <w:ind w:left="720" w:hanging="720"/>
        <w:jc w:val="both"/>
        <w:rPr>
          <w:rFonts w:ascii="Times New Roman" w:hAnsi="Times New Roman" w:cs="Times New Roman"/>
        </w:rPr>
      </w:pPr>
      <w:proofErr w:type="spellStart"/>
      <w:r w:rsidRPr="00BA1168">
        <w:rPr>
          <w:rFonts w:ascii="Times New Roman" w:hAnsi="Times New Roman" w:cs="Times New Roman"/>
        </w:rPr>
        <w:t>Mpolweni</w:t>
      </w:r>
      <w:proofErr w:type="spellEnd"/>
      <w:r w:rsidRPr="00BA1168">
        <w:rPr>
          <w:rFonts w:ascii="Times New Roman" w:hAnsi="Times New Roman" w:cs="Times New Roman"/>
        </w:rPr>
        <w:t xml:space="preserve">, N., Kabange, M. M., &amp; </w:t>
      </w:r>
      <w:proofErr w:type="spellStart"/>
      <w:r w:rsidRPr="00BA1168">
        <w:rPr>
          <w:rFonts w:ascii="Times New Roman" w:hAnsi="Times New Roman" w:cs="Times New Roman"/>
        </w:rPr>
        <w:t>Fagbadebo</w:t>
      </w:r>
      <w:proofErr w:type="spellEnd"/>
      <w:r w:rsidRPr="00BA1168">
        <w:rPr>
          <w:rFonts w:ascii="Times New Roman" w:hAnsi="Times New Roman" w:cs="Times New Roman"/>
        </w:rPr>
        <w:t>, O. (2024). Integrated development plan strategies for service delivery in Nelson Mandela Metropolitan Municipality. </w:t>
      </w:r>
      <w:r w:rsidRPr="00BA1168">
        <w:rPr>
          <w:rFonts w:ascii="Times New Roman" w:hAnsi="Times New Roman" w:cs="Times New Roman"/>
          <w:i/>
          <w:iCs/>
        </w:rPr>
        <w:t>African Public Service Delivery and Performance Review, 12</w:t>
      </w:r>
      <w:r w:rsidRPr="00BA1168">
        <w:rPr>
          <w:rFonts w:ascii="Times New Roman" w:hAnsi="Times New Roman" w:cs="Times New Roman"/>
        </w:rPr>
        <w:t>(1), Article 835. </w:t>
      </w:r>
      <w:hyperlink r:id="rId26" w:tgtFrame="_blank" w:history="1">
        <w:r w:rsidRPr="00BA1168">
          <w:rPr>
            <w:rStyle w:val="Hyperlink"/>
            <w:rFonts w:ascii="Times New Roman" w:hAnsi="Times New Roman" w:cs="Times New Roman"/>
          </w:rPr>
          <w:t>https://doi.org/10.4102/apsdpr.v12i1.835</w:t>
        </w:r>
      </w:hyperlink>
    </w:p>
    <w:p w14:paraId="2860CD03" w14:textId="77777777" w:rsidR="00BA1168" w:rsidRPr="00BA1168" w:rsidRDefault="00BA1168" w:rsidP="00D612E9">
      <w:pPr>
        <w:ind w:left="720" w:hanging="720"/>
        <w:jc w:val="both"/>
        <w:rPr>
          <w:rFonts w:ascii="Times New Roman" w:hAnsi="Times New Roman" w:cs="Times New Roman"/>
        </w:rPr>
      </w:pPr>
      <w:r w:rsidRPr="00BA1168">
        <w:rPr>
          <w:rFonts w:ascii="Times New Roman" w:hAnsi="Times New Roman" w:cs="Times New Roman"/>
        </w:rPr>
        <w:t xml:space="preserve">Musoke, P., Mariita, A., &amp; </w:t>
      </w:r>
      <w:proofErr w:type="spellStart"/>
      <w:r w:rsidRPr="00BA1168">
        <w:rPr>
          <w:rFonts w:ascii="Times New Roman" w:hAnsi="Times New Roman" w:cs="Times New Roman"/>
        </w:rPr>
        <w:t>Nyamboga</w:t>
      </w:r>
      <w:proofErr w:type="spellEnd"/>
      <w:r w:rsidRPr="00BA1168">
        <w:rPr>
          <w:rFonts w:ascii="Times New Roman" w:hAnsi="Times New Roman" w:cs="Times New Roman"/>
        </w:rPr>
        <w:t>, T. O. (2025). Strategic time planning and public service delivery efficiency: Evidence from Rubirizi District, Western Uganda. </w:t>
      </w:r>
      <w:r w:rsidRPr="00BA1168">
        <w:rPr>
          <w:rFonts w:ascii="Times New Roman" w:hAnsi="Times New Roman" w:cs="Times New Roman"/>
          <w:i/>
          <w:iCs/>
        </w:rPr>
        <w:t>Asian Journal of Education and Social Studies, 51</w:t>
      </w:r>
      <w:r w:rsidRPr="00BA1168">
        <w:rPr>
          <w:rFonts w:ascii="Times New Roman" w:hAnsi="Times New Roman" w:cs="Times New Roman"/>
        </w:rPr>
        <w:t>(5), Article 1928. </w:t>
      </w:r>
      <w:hyperlink r:id="rId27" w:tgtFrame="_blank" w:history="1">
        <w:r w:rsidRPr="00BA1168">
          <w:rPr>
            <w:rStyle w:val="Hyperlink"/>
            <w:rFonts w:ascii="Times New Roman" w:hAnsi="Times New Roman" w:cs="Times New Roman"/>
          </w:rPr>
          <w:t>https://doi.org/10.9734/ajess/2025/v51i51928</w:t>
        </w:r>
      </w:hyperlink>
    </w:p>
    <w:p w14:paraId="24A5B8D2" w14:textId="77777777" w:rsidR="00BA1168" w:rsidRPr="00BA1168" w:rsidRDefault="00BA1168" w:rsidP="00D612E9">
      <w:pPr>
        <w:ind w:left="720" w:hanging="720"/>
        <w:jc w:val="both"/>
        <w:rPr>
          <w:rFonts w:ascii="Times New Roman" w:hAnsi="Times New Roman" w:cs="Times New Roman"/>
        </w:rPr>
      </w:pPr>
      <w:r w:rsidRPr="00BA1168">
        <w:rPr>
          <w:rFonts w:ascii="Times New Roman" w:hAnsi="Times New Roman" w:cs="Times New Roman"/>
        </w:rPr>
        <w:lastRenderedPageBreak/>
        <w:t xml:space="preserve">Ndamase, M., </w:t>
      </w:r>
      <w:proofErr w:type="spellStart"/>
      <w:r w:rsidRPr="00BA1168">
        <w:rPr>
          <w:rFonts w:ascii="Times New Roman" w:hAnsi="Times New Roman" w:cs="Times New Roman"/>
        </w:rPr>
        <w:t>Mafunisa</w:t>
      </w:r>
      <w:proofErr w:type="spellEnd"/>
      <w:r w:rsidRPr="00BA1168">
        <w:rPr>
          <w:rFonts w:ascii="Times New Roman" w:hAnsi="Times New Roman" w:cs="Times New Roman"/>
        </w:rPr>
        <w:t xml:space="preserve">, M. J., &amp; </w:t>
      </w:r>
      <w:proofErr w:type="spellStart"/>
      <w:r w:rsidRPr="00BA1168">
        <w:rPr>
          <w:rFonts w:ascii="Times New Roman" w:hAnsi="Times New Roman" w:cs="Times New Roman"/>
        </w:rPr>
        <w:t>Mahlodi</w:t>
      </w:r>
      <w:proofErr w:type="spellEnd"/>
      <w:r w:rsidRPr="00BA1168">
        <w:rPr>
          <w:rFonts w:ascii="Times New Roman" w:hAnsi="Times New Roman" w:cs="Times New Roman"/>
        </w:rPr>
        <w:t xml:space="preserve"> Joyce, S. (2025). Assessing the alignment between integrated development plan goals and monitoring and evaluation indicators: A case of King </w:t>
      </w:r>
      <w:proofErr w:type="spellStart"/>
      <w:r w:rsidRPr="00BA1168">
        <w:rPr>
          <w:rFonts w:ascii="Times New Roman" w:hAnsi="Times New Roman" w:cs="Times New Roman"/>
        </w:rPr>
        <w:t>Sabata</w:t>
      </w:r>
      <w:proofErr w:type="spellEnd"/>
      <w:r w:rsidRPr="00BA1168">
        <w:rPr>
          <w:rFonts w:ascii="Times New Roman" w:hAnsi="Times New Roman" w:cs="Times New Roman"/>
        </w:rPr>
        <w:t xml:space="preserve"> </w:t>
      </w:r>
      <w:proofErr w:type="spellStart"/>
      <w:r w:rsidRPr="00BA1168">
        <w:rPr>
          <w:rFonts w:ascii="Times New Roman" w:hAnsi="Times New Roman" w:cs="Times New Roman"/>
        </w:rPr>
        <w:t>Dalindyebo</w:t>
      </w:r>
      <w:proofErr w:type="spellEnd"/>
      <w:r w:rsidRPr="00BA1168">
        <w:rPr>
          <w:rFonts w:ascii="Times New Roman" w:hAnsi="Times New Roman" w:cs="Times New Roman"/>
        </w:rPr>
        <w:t xml:space="preserve"> Local Municipality. </w:t>
      </w:r>
      <w:r w:rsidRPr="00BA1168">
        <w:rPr>
          <w:rFonts w:ascii="Times New Roman" w:hAnsi="Times New Roman" w:cs="Times New Roman"/>
          <w:i/>
          <w:iCs/>
        </w:rPr>
        <w:t>African Journal of Governance and Development, 14</w:t>
      </w:r>
      <w:r w:rsidRPr="00BA1168">
        <w:rPr>
          <w:rFonts w:ascii="Times New Roman" w:hAnsi="Times New Roman" w:cs="Times New Roman"/>
        </w:rPr>
        <w:t>(2), Article a3. </w:t>
      </w:r>
      <w:hyperlink r:id="rId28" w:tgtFrame="_blank" w:history="1">
        <w:r w:rsidRPr="00BA1168">
          <w:rPr>
            <w:rStyle w:val="Hyperlink"/>
            <w:rFonts w:ascii="Times New Roman" w:hAnsi="Times New Roman" w:cs="Times New Roman"/>
          </w:rPr>
          <w:t>https://doi.org/10.36369/2616-9045/2025/v14i2a3</w:t>
        </w:r>
      </w:hyperlink>
    </w:p>
    <w:p w14:paraId="04B003C5" w14:textId="77777777" w:rsidR="00BA1168" w:rsidRPr="00BA1168" w:rsidRDefault="00BA1168" w:rsidP="00D612E9">
      <w:pPr>
        <w:ind w:left="720" w:hanging="720"/>
        <w:jc w:val="both"/>
        <w:rPr>
          <w:rFonts w:ascii="Times New Roman" w:hAnsi="Times New Roman" w:cs="Times New Roman"/>
        </w:rPr>
      </w:pPr>
      <w:r w:rsidRPr="00BA1168">
        <w:rPr>
          <w:rFonts w:ascii="Times New Roman" w:hAnsi="Times New Roman" w:cs="Times New Roman"/>
        </w:rPr>
        <w:t>Osborne, D., &amp; Gaebler, T. (1992). </w:t>
      </w:r>
      <w:r w:rsidRPr="00BA1168">
        <w:rPr>
          <w:rFonts w:ascii="Times New Roman" w:hAnsi="Times New Roman" w:cs="Times New Roman"/>
          <w:i/>
          <w:iCs/>
        </w:rPr>
        <w:t>Reinventing government: How the entrepreneurial spirit is transforming the public sector</w:t>
      </w:r>
      <w:r w:rsidRPr="00BA1168">
        <w:rPr>
          <w:rFonts w:ascii="Times New Roman" w:hAnsi="Times New Roman" w:cs="Times New Roman"/>
        </w:rPr>
        <w:t>. Addison-Wesley.</w:t>
      </w:r>
    </w:p>
    <w:p w14:paraId="6F8D47DF" w14:textId="77777777" w:rsidR="00BA1168" w:rsidRPr="00BA1168" w:rsidRDefault="00BA1168" w:rsidP="00D612E9">
      <w:pPr>
        <w:ind w:left="720" w:hanging="720"/>
        <w:jc w:val="both"/>
        <w:rPr>
          <w:rFonts w:ascii="Times New Roman" w:hAnsi="Times New Roman" w:cs="Times New Roman"/>
        </w:rPr>
      </w:pPr>
      <w:r w:rsidRPr="00BA1168">
        <w:rPr>
          <w:rFonts w:ascii="Times New Roman" w:hAnsi="Times New Roman" w:cs="Times New Roman"/>
        </w:rPr>
        <w:t xml:space="preserve">Racheku, K., &amp; </w:t>
      </w:r>
      <w:proofErr w:type="spellStart"/>
      <w:r w:rsidRPr="00BA1168">
        <w:rPr>
          <w:rFonts w:ascii="Times New Roman" w:hAnsi="Times New Roman" w:cs="Times New Roman"/>
        </w:rPr>
        <w:t>Lavhelani</w:t>
      </w:r>
      <w:proofErr w:type="spellEnd"/>
      <w:r w:rsidRPr="00BA1168">
        <w:rPr>
          <w:rFonts w:ascii="Times New Roman" w:hAnsi="Times New Roman" w:cs="Times New Roman"/>
        </w:rPr>
        <w:t xml:space="preserve"> </w:t>
      </w:r>
      <w:proofErr w:type="spellStart"/>
      <w:r w:rsidRPr="00BA1168">
        <w:rPr>
          <w:rFonts w:ascii="Times New Roman" w:hAnsi="Times New Roman" w:cs="Times New Roman"/>
        </w:rPr>
        <w:t>Kgobe</w:t>
      </w:r>
      <w:proofErr w:type="spellEnd"/>
      <w:r w:rsidRPr="00BA1168">
        <w:rPr>
          <w:rFonts w:ascii="Times New Roman" w:hAnsi="Times New Roman" w:cs="Times New Roman"/>
        </w:rPr>
        <w:t>, F. K. (2024). Geographical information systems (GIS) in municipal planning and management: A pathway to improve South African service delivery. </w:t>
      </w:r>
      <w:r w:rsidRPr="00BA1168">
        <w:rPr>
          <w:rFonts w:ascii="Times New Roman" w:hAnsi="Times New Roman" w:cs="Times New Roman"/>
          <w:i/>
          <w:iCs/>
        </w:rPr>
        <w:t>Journal of Governance Risk Management Compliance and Sustainability, 4</w:t>
      </w:r>
      <w:r w:rsidRPr="00BA1168">
        <w:rPr>
          <w:rFonts w:ascii="Times New Roman" w:hAnsi="Times New Roman" w:cs="Times New Roman"/>
        </w:rPr>
        <w:t>(1), Article 2015. </w:t>
      </w:r>
      <w:hyperlink r:id="rId29" w:tgtFrame="_blank" w:history="1">
        <w:r w:rsidRPr="00BA1168">
          <w:rPr>
            <w:rStyle w:val="Hyperlink"/>
            <w:rFonts w:ascii="Times New Roman" w:hAnsi="Times New Roman" w:cs="Times New Roman"/>
          </w:rPr>
          <w:t>https://doi.org/10.31098/jgrcs.v4i1.2015</w:t>
        </w:r>
      </w:hyperlink>
    </w:p>
    <w:p w14:paraId="1A0B35C4" w14:textId="77777777" w:rsidR="00BA1168" w:rsidRPr="00BA1168" w:rsidRDefault="00BA1168" w:rsidP="00D612E9">
      <w:pPr>
        <w:ind w:left="720" w:hanging="720"/>
        <w:jc w:val="both"/>
        <w:rPr>
          <w:rFonts w:ascii="Times New Roman" w:hAnsi="Times New Roman" w:cs="Times New Roman"/>
        </w:rPr>
      </w:pPr>
      <w:r w:rsidRPr="00BA1168">
        <w:rPr>
          <w:rFonts w:ascii="Times New Roman" w:hAnsi="Times New Roman" w:cs="Times New Roman"/>
        </w:rPr>
        <w:t xml:space="preserve">Schoeman, I. M., &amp; </w:t>
      </w:r>
      <w:proofErr w:type="spellStart"/>
      <w:r w:rsidRPr="00BA1168">
        <w:rPr>
          <w:rFonts w:ascii="Times New Roman" w:hAnsi="Times New Roman" w:cs="Times New Roman"/>
        </w:rPr>
        <w:t>Chakwizira</w:t>
      </w:r>
      <w:proofErr w:type="spellEnd"/>
      <w:r w:rsidRPr="00BA1168">
        <w:rPr>
          <w:rFonts w:ascii="Times New Roman" w:hAnsi="Times New Roman" w:cs="Times New Roman"/>
        </w:rPr>
        <w:t>, J. (2023). Advancing a performance management tool for service delivery in local government. </w:t>
      </w:r>
      <w:r w:rsidRPr="00BA1168">
        <w:rPr>
          <w:rFonts w:ascii="Times New Roman" w:hAnsi="Times New Roman" w:cs="Times New Roman"/>
          <w:i/>
          <w:iCs/>
        </w:rPr>
        <w:t>Administrative Sciences, 13</w:t>
      </w:r>
      <w:r w:rsidRPr="00BA1168">
        <w:rPr>
          <w:rFonts w:ascii="Times New Roman" w:hAnsi="Times New Roman" w:cs="Times New Roman"/>
        </w:rPr>
        <w:t>(2), 31. </w:t>
      </w:r>
      <w:hyperlink r:id="rId30" w:tgtFrame="_blank" w:history="1">
        <w:r w:rsidRPr="00BA1168">
          <w:rPr>
            <w:rStyle w:val="Hyperlink"/>
            <w:rFonts w:ascii="Times New Roman" w:hAnsi="Times New Roman" w:cs="Times New Roman"/>
          </w:rPr>
          <w:t>https://doi.org/10.3390/admsci13020031</w:t>
        </w:r>
      </w:hyperlink>
    </w:p>
    <w:p w14:paraId="3B1A6E81" w14:textId="77777777" w:rsidR="00BA1168" w:rsidRPr="00BA1168" w:rsidRDefault="00BA1168" w:rsidP="00D612E9">
      <w:pPr>
        <w:ind w:left="720" w:hanging="720"/>
        <w:jc w:val="both"/>
        <w:rPr>
          <w:rFonts w:ascii="Times New Roman" w:hAnsi="Times New Roman" w:cs="Times New Roman"/>
        </w:rPr>
      </w:pPr>
      <w:r w:rsidRPr="00BA1168">
        <w:rPr>
          <w:rFonts w:ascii="Times New Roman" w:hAnsi="Times New Roman" w:cs="Times New Roman"/>
        </w:rPr>
        <w:t>Teti, M., Nzewi, O., &amp; Lungisa, S. (2024). The district development model as a catalyst for improved integrated development planning. </w:t>
      </w:r>
      <w:r w:rsidRPr="00BA1168">
        <w:rPr>
          <w:rFonts w:ascii="Times New Roman" w:hAnsi="Times New Roman" w:cs="Times New Roman"/>
          <w:i/>
          <w:iCs/>
        </w:rPr>
        <w:t>Journal of Local Government Research and Innovation, 5</w:t>
      </w:r>
      <w:r w:rsidRPr="00BA1168">
        <w:rPr>
          <w:rFonts w:ascii="Times New Roman" w:hAnsi="Times New Roman" w:cs="Times New Roman"/>
        </w:rPr>
        <w:t>(1), Article 153. </w:t>
      </w:r>
      <w:hyperlink r:id="rId31" w:tgtFrame="_blank" w:history="1">
        <w:r w:rsidRPr="00BA1168">
          <w:rPr>
            <w:rStyle w:val="Hyperlink"/>
            <w:rFonts w:ascii="Times New Roman" w:hAnsi="Times New Roman" w:cs="Times New Roman"/>
          </w:rPr>
          <w:t>https://doi.org/10.4102/jolgri.v5i0.153</w:t>
        </w:r>
      </w:hyperlink>
    </w:p>
    <w:p w14:paraId="000E1D97" w14:textId="77777777" w:rsidR="00BA1168" w:rsidRPr="00BA1168" w:rsidRDefault="00BA1168" w:rsidP="00D612E9">
      <w:pPr>
        <w:ind w:left="720" w:hanging="720"/>
        <w:jc w:val="both"/>
        <w:rPr>
          <w:rFonts w:ascii="Times New Roman" w:hAnsi="Times New Roman" w:cs="Times New Roman"/>
        </w:rPr>
      </w:pPr>
      <w:r w:rsidRPr="00BA1168">
        <w:rPr>
          <w:rFonts w:ascii="Times New Roman" w:hAnsi="Times New Roman" w:cs="Times New Roman"/>
        </w:rPr>
        <w:t xml:space="preserve">Violina, M. S., &amp; </w:t>
      </w:r>
      <w:proofErr w:type="spellStart"/>
      <w:r w:rsidRPr="00BA1168">
        <w:rPr>
          <w:rFonts w:ascii="Times New Roman" w:hAnsi="Times New Roman" w:cs="Times New Roman"/>
        </w:rPr>
        <w:t>Rachmawati</w:t>
      </w:r>
      <w:proofErr w:type="spellEnd"/>
      <w:r w:rsidRPr="00BA1168">
        <w:rPr>
          <w:rFonts w:ascii="Times New Roman" w:hAnsi="Times New Roman" w:cs="Times New Roman"/>
        </w:rPr>
        <w:t>, I. D. (2022). The influence of regional budget management capability on organizational performance with internal control systems as moderating variables. </w:t>
      </w:r>
      <w:r w:rsidRPr="00BA1168">
        <w:rPr>
          <w:rFonts w:ascii="Times New Roman" w:hAnsi="Times New Roman" w:cs="Times New Roman"/>
          <w:i/>
          <w:iCs/>
        </w:rPr>
        <w:t>Indonesian Journal of Law and Economics Review, 17</w:t>
      </w:r>
      <w:r w:rsidRPr="00BA1168">
        <w:rPr>
          <w:rFonts w:ascii="Times New Roman" w:hAnsi="Times New Roman" w:cs="Times New Roman"/>
        </w:rPr>
        <w:t>, 869. </w:t>
      </w:r>
      <w:hyperlink r:id="rId32" w:tgtFrame="_blank" w:history="1">
        <w:r w:rsidRPr="00BA1168">
          <w:rPr>
            <w:rStyle w:val="Hyperlink"/>
            <w:rFonts w:ascii="Times New Roman" w:hAnsi="Times New Roman" w:cs="Times New Roman"/>
          </w:rPr>
          <w:t>https://doi.org/10.21070/ijler.v17i0.869</w:t>
        </w:r>
      </w:hyperlink>
    </w:p>
    <w:p w14:paraId="3891CB59" w14:textId="77777777" w:rsidR="00BA1168" w:rsidRPr="00BA1168" w:rsidRDefault="00BA1168" w:rsidP="00D612E9">
      <w:pPr>
        <w:ind w:left="720" w:hanging="720"/>
        <w:jc w:val="both"/>
        <w:rPr>
          <w:rFonts w:ascii="Times New Roman" w:hAnsi="Times New Roman" w:cs="Times New Roman"/>
        </w:rPr>
      </w:pPr>
      <w:r w:rsidRPr="00BA1168">
        <w:rPr>
          <w:rFonts w:ascii="Times New Roman" w:hAnsi="Times New Roman" w:cs="Times New Roman"/>
        </w:rPr>
        <w:t>Wernerfelt, B. (1984). A resource-based view of the firm. </w:t>
      </w:r>
      <w:r w:rsidRPr="00BA1168">
        <w:rPr>
          <w:rFonts w:ascii="Times New Roman" w:hAnsi="Times New Roman" w:cs="Times New Roman"/>
          <w:i/>
          <w:iCs/>
        </w:rPr>
        <w:t>Strategic Management Journal, 5</w:t>
      </w:r>
      <w:r w:rsidRPr="00BA1168">
        <w:rPr>
          <w:rFonts w:ascii="Times New Roman" w:hAnsi="Times New Roman" w:cs="Times New Roman"/>
        </w:rPr>
        <w:t>(2), 171–180. </w:t>
      </w:r>
      <w:hyperlink r:id="rId33" w:tgtFrame="_blank" w:history="1">
        <w:r w:rsidRPr="00BA1168">
          <w:rPr>
            <w:rStyle w:val="Hyperlink"/>
            <w:rFonts w:ascii="Times New Roman" w:hAnsi="Times New Roman" w:cs="Times New Roman"/>
          </w:rPr>
          <w:t>https://doi.org/10.1002/smj.4250050207</w:t>
        </w:r>
      </w:hyperlink>
    </w:p>
    <w:p w14:paraId="4C32F697" w14:textId="77777777" w:rsidR="00BA1168" w:rsidRPr="00BA1168" w:rsidRDefault="00BA1168" w:rsidP="00D612E9">
      <w:pPr>
        <w:ind w:left="720" w:hanging="720"/>
        <w:jc w:val="both"/>
        <w:rPr>
          <w:rFonts w:ascii="Times New Roman" w:hAnsi="Times New Roman" w:cs="Times New Roman"/>
        </w:rPr>
      </w:pPr>
      <w:r w:rsidRPr="00BA1168">
        <w:rPr>
          <w:rFonts w:ascii="Times New Roman" w:hAnsi="Times New Roman" w:cs="Times New Roman"/>
        </w:rPr>
        <w:t>Wanjiku, E. M., &amp; Njuguna, V. N. (2024). Strategic planning and service delivery at Kenya Power Headquarters in Kenya. </w:t>
      </w:r>
      <w:r w:rsidRPr="00BA1168">
        <w:rPr>
          <w:rFonts w:ascii="Times New Roman" w:hAnsi="Times New Roman" w:cs="Times New Roman"/>
          <w:i/>
          <w:iCs/>
        </w:rPr>
        <w:t>Journal of Business and Strategic Management</w:t>
      </w:r>
      <w:r w:rsidRPr="00BA1168">
        <w:rPr>
          <w:rFonts w:ascii="Times New Roman" w:hAnsi="Times New Roman" w:cs="Times New Roman"/>
        </w:rPr>
        <w:t>. </w:t>
      </w:r>
      <w:hyperlink r:id="rId34" w:tgtFrame="_blank" w:history="1">
        <w:r w:rsidRPr="00BA1168">
          <w:rPr>
            <w:rStyle w:val="Hyperlink"/>
            <w:rFonts w:ascii="Times New Roman" w:hAnsi="Times New Roman" w:cs="Times New Roman"/>
          </w:rPr>
          <w:t>https://doi.org/10.47941/jbsm.2290</w:t>
        </w:r>
      </w:hyperlink>
    </w:p>
    <w:p w14:paraId="27279B53" w14:textId="77777777" w:rsidR="00070AF1" w:rsidRPr="00051F63" w:rsidRDefault="00070AF1" w:rsidP="00070AF1">
      <w:pPr>
        <w:jc w:val="both"/>
        <w:rPr>
          <w:rFonts w:ascii="Times New Roman" w:hAnsi="Times New Roman" w:cs="Times New Roman"/>
        </w:rPr>
      </w:pPr>
    </w:p>
    <w:sectPr w:rsidR="00070AF1" w:rsidRPr="00051F63">
      <w:headerReference w:type="even" r:id="rId35"/>
      <w:headerReference w:type="default" r:id="rId36"/>
      <w:footerReference w:type="even" r:id="rId37"/>
      <w:footerReference w:type="default" r:id="rId38"/>
      <w:headerReference w:type="first" r:id="rId39"/>
      <w:footerReference w:type="first" r:id="rId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AAE7DD" w14:textId="77777777" w:rsidR="00593CCE" w:rsidRDefault="00593CCE" w:rsidP="00223967">
      <w:pPr>
        <w:spacing w:after="0" w:line="240" w:lineRule="auto"/>
      </w:pPr>
      <w:r>
        <w:separator/>
      </w:r>
    </w:p>
  </w:endnote>
  <w:endnote w:type="continuationSeparator" w:id="0">
    <w:p w14:paraId="19A2708D" w14:textId="77777777" w:rsidR="00593CCE" w:rsidRDefault="00593CCE" w:rsidP="00223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38274" w14:textId="77777777" w:rsidR="00223967" w:rsidRDefault="002239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89284" w14:textId="77777777" w:rsidR="00223967" w:rsidRDefault="002239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97774" w14:textId="77777777" w:rsidR="00223967" w:rsidRDefault="002239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A01C1A" w14:textId="77777777" w:rsidR="00593CCE" w:rsidRDefault="00593CCE" w:rsidP="00223967">
      <w:pPr>
        <w:spacing w:after="0" w:line="240" w:lineRule="auto"/>
      </w:pPr>
      <w:r>
        <w:separator/>
      </w:r>
    </w:p>
  </w:footnote>
  <w:footnote w:type="continuationSeparator" w:id="0">
    <w:p w14:paraId="0B71EA91" w14:textId="77777777" w:rsidR="00593CCE" w:rsidRDefault="00593CCE" w:rsidP="00223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1EF48" w14:textId="06137A5A" w:rsidR="00223967" w:rsidRDefault="00223967">
    <w:pPr>
      <w:pStyle w:val="Header"/>
    </w:pPr>
    <w:r>
      <w:rPr>
        <w:noProof/>
      </w:rPr>
      <w:pict w14:anchorId="6EE298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95704"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D11C3" w14:textId="0813DB67" w:rsidR="00223967" w:rsidRDefault="00223967">
    <w:pPr>
      <w:pStyle w:val="Header"/>
    </w:pPr>
    <w:r>
      <w:rPr>
        <w:noProof/>
      </w:rPr>
      <w:pict w14:anchorId="458485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95705"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8AB2A" w14:textId="590F5285" w:rsidR="00223967" w:rsidRDefault="00223967">
    <w:pPr>
      <w:pStyle w:val="Header"/>
    </w:pPr>
    <w:r>
      <w:rPr>
        <w:noProof/>
      </w:rPr>
      <w:pict w14:anchorId="0FC6CF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95703"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6E1642"/>
    <w:multiLevelType w:val="multilevel"/>
    <w:tmpl w:val="1A14F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DB2442"/>
    <w:multiLevelType w:val="multilevel"/>
    <w:tmpl w:val="7A92C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7E71610"/>
    <w:multiLevelType w:val="multilevel"/>
    <w:tmpl w:val="1F009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0D1105C"/>
    <w:multiLevelType w:val="multilevel"/>
    <w:tmpl w:val="939AE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2A21EAE"/>
    <w:multiLevelType w:val="multilevel"/>
    <w:tmpl w:val="76481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AFC0C0F"/>
    <w:multiLevelType w:val="multilevel"/>
    <w:tmpl w:val="8B56E9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CD4176"/>
    <w:multiLevelType w:val="multilevel"/>
    <w:tmpl w:val="3CAAB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FBE7897"/>
    <w:multiLevelType w:val="multilevel"/>
    <w:tmpl w:val="3B2C938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DAA3032"/>
    <w:multiLevelType w:val="hybridMultilevel"/>
    <w:tmpl w:val="B8B208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2"/>
  </w:num>
  <w:num w:numId="4">
    <w:abstractNumId w:val="3"/>
  </w:num>
  <w:num w:numId="5">
    <w:abstractNumId w:val="0"/>
  </w:num>
  <w:num w:numId="6">
    <w:abstractNumId w:val="1"/>
  </w:num>
  <w:num w:numId="7">
    <w:abstractNumId w:val="4"/>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F63"/>
    <w:rsid w:val="00051F63"/>
    <w:rsid w:val="00053A87"/>
    <w:rsid w:val="00070AF1"/>
    <w:rsid w:val="000F73DD"/>
    <w:rsid w:val="000F7953"/>
    <w:rsid w:val="00223967"/>
    <w:rsid w:val="002D2D39"/>
    <w:rsid w:val="002E67DA"/>
    <w:rsid w:val="002F7D24"/>
    <w:rsid w:val="0035319D"/>
    <w:rsid w:val="0035604E"/>
    <w:rsid w:val="0054416F"/>
    <w:rsid w:val="00593CCE"/>
    <w:rsid w:val="00614D89"/>
    <w:rsid w:val="00665400"/>
    <w:rsid w:val="007039A6"/>
    <w:rsid w:val="00907508"/>
    <w:rsid w:val="00922FBD"/>
    <w:rsid w:val="00A240EB"/>
    <w:rsid w:val="00BA1168"/>
    <w:rsid w:val="00BA2D49"/>
    <w:rsid w:val="00D432B2"/>
    <w:rsid w:val="00D612E9"/>
    <w:rsid w:val="00D73A02"/>
    <w:rsid w:val="00DD7770"/>
    <w:rsid w:val="00E31F63"/>
    <w:rsid w:val="00E42927"/>
    <w:rsid w:val="00E61A37"/>
    <w:rsid w:val="00FB14C0"/>
    <w:rsid w:val="00FD7A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755003C"/>
  <w15:chartTrackingRefBased/>
  <w15:docId w15:val="{F5570F06-51A9-4CED-835E-1519EB62A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1F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31F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31F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31F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1F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1F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1F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1F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1F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1F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31F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31F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31F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1F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1F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1F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1F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1F63"/>
    <w:rPr>
      <w:rFonts w:eastAsiaTheme="majorEastAsia" w:cstheme="majorBidi"/>
      <w:color w:val="272727" w:themeColor="text1" w:themeTint="D8"/>
    </w:rPr>
  </w:style>
  <w:style w:type="paragraph" w:styleId="Title">
    <w:name w:val="Title"/>
    <w:basedOn w:val="Normal"/>
    <w:next w:val="Normal"/>
    <w:link w:val="TitleChar"/>
    <w:uiPriority w:val="10"/>
    <w:qFormat/>
    <w:rsid w:val="00E31F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1F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1F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1F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1F63"/>
    <w:pPr>
      <w:spacing w:before="160"/>
      <w:jc w:val="center"/>
    </w:pPr>
    <w:rPr>
      <w:i/>
      <w:iCs/>
      <w:color w:val="404040" w:themeColor="text1" w:themeTint="BF"/>
    </w:rPr>
  </w:style>
  <w:style w:type="character" w:customStyle="1" w:styleId="QuoteChar">
    <w:name w:val="Quote Char"/>
    <w:basedOn w:val="DefaultParagraphFont"/>
    <w:link w:val="Quote"/>
    <w:uiPriority w:val="29"/>
    <w:rsid w:val="00E31F63"/>
    <w:rPr>
      <w:i/>
      <w:iCs/>
      <w:color w:val="404040" w:themeColor="text1" w:themeTint="BF"/>
    </w:rPr>
  </w:style>
  <w:style w:type="paragraph" w:styleId="ListParagraph">
    <w:name w:val="List Paragraph"/>
    <w:basedOn w:val="Normal"/>
    <w:uiPriority w:val="34"/>
    <w:qFormat/>
    <w:rsid w:val="00E31F63"/>
    <w:pPr>
      <w:ind w:left="720"/>
      <w:contextualSpacing/>
    </w:pPr>
  </w:style>
  <w:style w:type="character" w:styleId="IntenseEmphasis">
    <w:name w:val="Intense Emphasis"/>
    <w:basedOn w:val="DefaultParagraphFont"/>
    <w:uiPriority w:val="21"/>
    <w:qFormat/>
    <w:rsid w:val="00E31F63"/>
    <w:rPr>
      <w:i/>
      <w:iCs/>
      <w:color w:val="0F4761" w:themeColor="accent1" w:themeShade="BF"/>
    </w:rPr>
  </w:style>
  <w:style w:type="paragraph" w:styleId="IntenseQuote">
    <w:name w:val="Intense Quote"/>
    <w:basedOn w:val="Normal"/>
    <w:next w:val="Normal"/>
    <w:link w:val="IntenseQuoteChar"/>
    <w:uiPriority w:val="30"/>
    <w:qFormat/>
    <w:rsid w:val="00E31F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1F63"/>
    <w:rPr>
      <w:i/>
      <w:iCs/>
      <w:color w:val="0F4761" w:themeColor="accent1" w:themeShade="BF"/>
    </w:rPr>
  </w:style>
  <w:style w:type="character" w:styleId="IntenseReference">
    <w:name w:val="Intense Reference"/>
    <w:basedOn w:val="DefaultParagraphFont"/>
    <w:uiPriority w:val="32"/>
    <w:qFormat/>
    <w:rsid w:val="00E31F63"/>
    <w:rPr>
      <w:b/>
      <w:bCs/>
      <w:smallCaps/>
      <w:color w:val="0F4761" w:themeColor="accent1" w:themeShade="BF"/>
      <w:spacing w:val="5"/>
    </w:rPr>
  </w:style>
  <w:style w:type="paragraph" w:styleId="NormalWeb">
    <w:name w:val="Normal (Web)"/>
    <w:basedOn w:val="Normal"/>
    <w:uiPriority w:val="99"/>
    <w:semiHidden/>
    <w:unhideWhenUsed/>
    <w:rsid w:val="00E31F63"/>
    <w:rPr>
      <w:rFonts w:ascii="Times New Roman" w:hAnsi="Times New Roman" w:cs="Times New Roman"/>
    </w:rPr>
  </w:style>
  <w:style w:type="character" w:styleId="Hyperlink">
    <w:name w:val="Hyperlink"/>
    <w:basedOn w:val="DefaultParagraphFont"/>
    <w:uiPriority w:val="99"/>
    <w:unhideWhenUsed/>
    <w:rsid w:val="00BA1168"/>
    <w:rPr>
      <w:color w:val="467886" w:themeColor="hyperlink"/>
      <w:u w:val="single"/>
    </w:rPr>
  </w:style>
  <w:style w:type="character" w:styleId="UnresolvedMention">
    <w:name w:val="Unresolved Mention"/>
    <w:basedOn w:val="DefaultParagraphFont"/>
    <w:uiPriority w:val="99"/>
    <w:semiHidden/>
    <w:unhideWhenUsed/>
    <w:rsid w:val="00BA1168"/>
    <w:rPr>
      <w:color w:val="605E5C"/>
      <w:shd w:val="clear" w:color="auto" w:fill="E1DFDD"/>
    </w:rPr>
  </w:style>
  <w:style w:type="character" w:styleId="FollowedHyperlink">
    <w:name w:val="FollowedHyperlink"/>
    <w:basedOn w:val="DefaultParagraphFont"/>
    <w:uiPriority w:val="99"/>
    <w:semiHidden/>
    <w:unhideWhenUsed/>
    <w:rsid w:val="00D612E9"/>
    <w:rPr>
      <w:color w:val="96607D" w:themeColor="followedHyperlink"/>
      <w:u w:val="single"/>
    </w:rPr>
  </w:style>
  <w:style w:type="character" w:customStyle="1" w:styleId="gd">
    <w:name w:val="gd"/>
    <w:basedOn w:val="DefaultParagraphFont"/>
    <w:rsid w:val="00665400"/>
  </w:style>
  <w:style w:type="paragraph" w:styleId="Header">
    <w:name w:val="header"/>
    <w:basedOn w:val="Normal"/>
    <w:link w:val="HeaderChar"/>
    <w:uiPriority w:val="99"/>
    <w:unhideWhenUsed/>
    <w:rsid w:val="00223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3967"/>
  </w:style>
  <w:style w:type="paragraph" w:styleId="Footer">
    <w:name w:val="footer"/>
    <w:basedOn w:val="Normal"/>
    <w:link w:val="FooterChar"/>
    <w:uiPriority w:val="99"/>
    <w:unhideWhenUsed/>
    <w:rsid w:val="00223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39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786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77/014920639101700108" TargetMode="External"/><Relationship Id="rId18" Type="http://schemas.openxmlformats.org/officeDocument/2006/relationships/hyperlink" Target="https://doi.org/10.20372/nadre:23999" TargetMode="External"/><Relationship Id="rId26" Type="http://schemas.openxmlformats.org/officeDocument/2006/relationships/hyperlink" Target="https://doi.org/10.4102/apsdpr.v12i1.835" TargetMode="External"/><Relationship Id="rId39" Type="http://schemas.openxmlformats.org/officeDocument/2006/relationships/header" Target="header3.xml"/><Relationship Id="rId21" Type="http://schemas.openxmlformats.org/officeDocument/2006/relationships/hyperlink" Target="https://doi.org/10.60692/0wts4-5h238" TargetMode="External"/><Relationship Id="rId34" Type="http://schemas.openxmlformats.org/officeDocument/2006/relationships/hyperlink" Target="https://doi.org/10.47941/jbsm.2290" TargetMode="External"/><Relationship Id="rId42"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ekitistate.gov.ng/mdas-directory/Fayo" TargetMode="External"/><Relationship Id="rId20" Type="http://schemas.openxmlformats.org/officeDocument/2006/relationships/hyperlink" Target="https://doi.org/10.1111/j.1467-9299.1991.tb00779.x" TargetMode="External"/><Relationship Id="rId29" Type="http://schemas.openxmlformats.org/officeDocument/2006/relationships/hyperlink" Target="https://doi.org/10.31098/jgrcs.v4i1.2015"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7745/ijmt.2013/vol12n473100" TargetMode="External"/><Relationship Id="rId24" Type="http://schemas.openxmlformats.org/officeDocument/2006/relationships/hyperlink" Target="https://doi.org/10.31920/2634-3649/2023/v13n2a1" TargetMode="External"/><Relationship Id="rId32" Type="http://schemas.openxmlformats.org/officeDocument/2006/relationships/hyperlink" Target="https://doi.org/10.21070/ijler.v17i0.869"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080/09540969409387823" TargetMode="External"/><Relationship Id="rId23" Type="http://schemas.openxmlformats.org/officeDocument/2006/relationships/hyperlink" Target="https://doi.org/10.59652/jetm.v2i4.296" TargetMode="External"/><Relationship Id="rId28" Type="http://schemas.openxmlformats.org/officeDocument/2006/relationships/hyperlink" Target="https://doi.org/10.36369/2616-9045/2025/v14i2a3" TargetMode="External"/><Relationship Id="rId36" Type="http://schemas.openxmlformats.org/officeDocument/2006/relationships/header" Target="header2.xml"/><Relationship Id="rId10" Type="http://schemas.openxmlformats.org/officeDocument/2006/relationships/hyperlink" Target="https://doi.org/10.61426/sjbcm.v9i2.2270" TargetMode="External"/><Relationship Id="rId19" Type="http://schemas.openxmlformats.org/officeDocument/2006/relationships/hyperlink" Target="https://doi.org/10.21203/rs.3.rs-5552658/v1" TargetMode="External"/><Relationship Id="rId31" Type="http://schemas.openxmlformats.org/officeDocument/2006/relationships/hyperlink" Target="https://doi.org/10.4102/jolgri.v5i0.153" TargetMode="External"/><Relationship Id="rId4" Type="http://schemas.openxmlformats.org/officeDocument/2006/relationships/webSettings" Target="webSettings.xml"/><Relationship Id="rId9" Type="http://schemas.openxmlformats.org/officeDocument/2006/relationships/hyperlink" Target="https://doi.org/10.20944/preprints202411.1122.v1" TargetMode="External"/><Relationship Id="rId14" Type="http://schemas.openxmlformats.org/officeDocument/2006/relationships/hyperlink" Target="https://hal.science/hal-05558836" TargetMode="External"/><Relationship Id="rId22" Type="http://schemas.openxmlformats.org/officeDocument/2006/relationships/hyperlink" Target="https://doi.org/10.52326/jss.utm.2024.7(3).13" TargetMode="External"/><Relationship Id="rId27" Type="http://schemas.openxmlformats.org/officeDocument/2006/relationships/hyperlink" Target="https://doi.org/10.9734/ajess/2025/v51i51928" TargetMode="External"/><Relationship Id="rId30" Type="http://schemas.openxmlformats.org/officeDocument/2006/relationships/hyperlink" Target="https://doi.org/10.3390/admsci13020031" TargetMode="External"/><Relationship Id="rId35" Type="http://schemas.openxmlformats.org/officeDocument/2006/relationships/header" Target="header1.xml"/><Relationship Id="rId8" Type="http://schemas.openxmlformats.org/officeDocument/2006/relationships/hyperlink" Target="https://doi.org/10.55217/102.v22i1.1053" TargetMode="External"/><Relationship Id="rId3" Type="http://schemas.openxmlformats.org/officeDocument/2006/relationships/settings" Target="settings.xml"/><Relationship Id="rId12" Type="http://schemas.openxmlformats.org/officeDocument/2006/relationships/hyperlink" Target="https://doi.org/10.34109/IJEFS.202012101" TargetMode="External"/><Relationship Id="rId17" Type="http://schemas.openxmlformats.org/officeDocument/2006/relationships/hyperlink" Target="https://doi.org/10.5281/zenodo.14780845" TargetMode="External"/><Relationship Id="rId25" Type="http://schemas.openxmlformats.org/officeDocument/2006/relationships/hyperlink" Target="https://doi.org/10.36096/ijbes.v6i4.630" TargetMode="External"/><Relationship Id="rId33" Type="http://schemas.openxmlformats.org/officeDocument/2006/relationships/hyperlink" Target="https://doi.org/10.1002/smj.4250050207"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127</TotalTime>
  <Pages>19</Pages>
  <Words>7479</Words>
  <Characters>42631</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1180</cp:lastModifiedBy>
  <cp:revision>11</cp:revision>
  <dcterms:created xsi:type="dcterms:W3CDTF">2026-04-28T22:20:00Z</dcterms:created>
  <dcterms:modified xsi:type="dcterms:W3CDTF">2026-05-16T10:07:00Z</dcterms:modified>
</cp:coreProperties>
</file>