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A258C3" w:rsidRDefault="00377210" w:rsidP="00422382">
      <w:pPr>
        <w:pStyle w:val="Author"/>
        <w:spacing w:line="240" w:lineRule="auto"/>
        <w:rPr>
          <w:rFonts w:ascii="Arial" w:hAnsi="Arial" w:cs="Arial"/>
          <w:bCs/>
          <w:iCs/>
          <w:kern w:val="28"/>
          <w:sz w:val="36"/>
        </w:rPr>
      </w:pPr>
      <w:bookmarkStart w:id="0" w:name="_Hlk230187108"/>
      <w:r w:rsidRPr="00377210">
        <w:rPr>
          <w:rFonts w:ascii="Arial" w:hAnsi="Arial" w:cs="Arial"/>
          <w:bCs/>
          <w:iCs/>
          <w:kern w:val="28"/>
          <w:sz w:val="36"/>
        </w:rPr>
        <w:t xml:space="preserve">Effect of Tryptophan Supplementation in Commercial Feed on the Growth Performance of </w:t>
      </w:r>
      <w:r>
        <w:rPr>
          <w:rFonts w:ascii="Arial" w:hAnsi="Arial" w:cs="Arial"/>
          <w:bCs/>
          <w:iCs/>
          <w:kern w:val="28"/>
          <w:sz w:val="36"/>
        </w:rPr>
        <w:t xml:space="preserve">Mutiara </w:t>
      </w:r>
      <w:r w:rsidRPr="00377210">
        <w:rPr>
          <w:rFonts w:ascii="Arial" w:hAnsi="Arial" w:cs="Arial"/>
          <w:bCs/>
          <w:iCs/>
          <w:kern w:val="28"/>
          <w:sz w:val="36"/>
        </w:rPr>
        <w:t>Catfis</w:t>
      </w:r>
      <w:bookmarkStart w:id="1" w:name="_GoBack"/>
      <w:bookmarkEnd w:id="1"/>
      <w:r w:rsidRPr="00377210">
        <w:rPr>
          <w:rFonts w:ascii="Arial" w:hAnsi="Arial" w:cs="Arial"/>
          <w:bCs/>
          <w:iCs/>
          <w:kern w:val="28"/>
          <w:sz w:val="36"/>
        </w:rPr>
        <w:t xml:space="preserve">h Juveniles </w:t>
      </w:r>
      <w:r w:rsidR="00ED40AE">
        <w:rPr>
          <w:rFonts w:ascii="Arial" w:hAnsi="Arial" w:cs="Arial"/>
          <w:bCs/>
          <w:iCs/>
          <w:kern w:val="28"/>
          <w:sz w:val="36"/>
        </w:rPr>
        <w:t>(</w:t>
      </w:r>
      <w:proofErr w:type="spellStart"/>
      <w:r w:rsidR="00ED40AE" w:rsidRPr="00ED40AE">
        <w:rPr>
          <w:rFonts w:ascii="Arial" w:hAnsi="Arial" w:cs="Arial"/>
          <w:bCs/>
          <w:i/>
          <w:iCs/>
          <w:kern w:val="28"/>
          <w:sz w:val="36"/>
        </w:rPr>
        <w:t>Clarias</w:t>
      </w:r>
      <w:proofErr w:type="spellEnd"/>
      <w:r w:rsidR="00ED40AE" w:rsidRPr="00ED40AE">
        <w:rPr>
          <w:rFonts w:ascii="Arial" w:hAnsi="Arial" w:cs="Arial"/>
          <w:bCs/>
          <w:i/>
          <w:iCs/>
          <w:kern w:val="28"/>
          <w:sz w:val="36"/>
        </w:rPr>
        <w:t xml:space="preserve"> </w:t>
      </w:r>
      <w:proofErr w:type="spellStart"/>
      <w:r w:rsidR="00ED40AE" w:rsidRPr="00ED40AE">
        <w:rPr>
          <w:rFonts w:ascii="Arial" w:hAnsi="Arial" w:cs="Arial"/>
          <w:bCs/>
          <w:i/>
          <w:iCs/>
          <w:kern w:val="28"/>
          <w:sz w:val="36"/>
        </w:rPr>
        <w:t>gariepinus</w:t>
      </w:r>
      <w:proofErr w:type="spellEnd"/>
      <w:r w:rsidR="00ED40AE">
        <w:rPr>
          <w:rFonts w:ascii="Arial" w:hAnsi="Arial" w:cs="Arial"/>
          <w:bCs/>
          <w:iCs/>
          <w:kern w:val="28"/>
          <w:sz w:val="36"/>
        </w:rPr>
        <w:t>)</w:t>
      </w:r>
    </w:p>
    <w:bookmarkEnd w:id="0"/>
    <w:p w:rsidR="00422382" w:rsidRPr="00422382" w:rsidRDefault="00422382" w:rsidP="00422382">
      <w:pPr>
        <w:pStyle w:val="Author"/>
        <w:spacing w:line="240" w:lineRule="auto"/>
        <w:rPr>
          <w:rFonts w:ascii="Arial" w:hAnsi="Arial" w:cs="Arial"/>
          <w:bCs/>
          <w:iCs/>
          <w:kern w:val="28"/>
          <w:sz w:val="36"/>
        </w:rPr>
      </w:pPr>
    </w:p>
    <w:p w:rsidR="00AC33DB" w:rsidRDefault="00AC33DB" w:rsidP="00441B6F">
      <w:pPr>
        <w:pStyle w:val="Affiliation"/>
        <w:spacing w:after="0" w:line="240" w:lineRule="auto"/>
        <w:rPr>
          <w:rFonts w:ascii="Arial" w:hAnsi="Arial" w:cs="Arial"/>
          <w:i/>
        </w:rPr>
      </w:pPr>
    </w:p>
    <w:p w:rsidR="00B655E5" w:rsidRDefault="00B655E5" w:rsidP="00441B6F">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1D7043" w:rsidP="00441B6F">
      <w:pPr>
        <w:pStyle w:val="Copyright"/>
        <w:spacing w:after="0" w:line="240" w:lineRule="auto"/>
        <w:jc w:val="both"/>
        <w:rPr>
          <w:rFonts w:ascii="Arial" w:hAnsi="Arial" w:cs="Arial"/>
        </w:rPr>
        <w:sectPr w:rsidR="00B01FCD" w:rsidRPr="00FB3A86" w:rsidSect="00B655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68AE8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3E468B" w:rsidRDefault="00BA1B01" w:rsidP="003E468B">
            <w:pPr>
              <w:pStyle w:val="Body"/>
              <w:spacing w:after="0"/>
              <w:rPr>
                <w:rFonts w:ascii="Arial" w:eastAsia="Calibri" w:hAnsi="Arial" w:cs="Arial"/>
                <w:szCs w:val="22"/>
              </w:rPr>
            </w:pPr>
            <w:r w:rsidRPr="00BA1B01">
              <w:rPr>
                <w:rFonts w:ascii="Arial" w:eastAsia="Calibri" w:hAnsi="Arial" w:cs="Arial"/>
                <w:b/>
                <w:szCs w:val="22"/>
              </w:rPr>
              <w:t>Aims</w:t>
            </w:r>
            <w:r w:rsidR="008D172C">
              <w:rPr>
                <w:rFonts w:ascii="Arial" w:eastAsia="Calibri" w:hAnsi="Arial" w:cs="Arial"/>
                <w:b/>
                <w:szCs w:val="22"/>
              </w:rPr>
              <w:t xml:space="preserve">: </w:t>
            </w:r>
            <w:r w:rsidR="003E468B" w:rsidRPr="003E468B">
              <w:rPr>
                <w:rFonts w:ascii="Arial" w:eastAsia="Calibri" w:hAnsi="Arial" w:cs="Arial"/>
                <w:szCs w:val="22"/>
              </w:rPr>
              <w:t>To determine the effect of tryptophan supplementation on growth parameters, FCR, PER, and protein retention, and to identify the optimal dose of tryptophan supplementation in commercial feed</w:t>
            </w:r>
            <w:r w:rsidR="003E468B">
              <w:rPr>
                <w:rFonts w:ascii="Arial" w:eastAsia="Calibri" w:hAnsi="Arial" w:cs="Arial"/>
                <w:szCs w:val="22"/>
              </w:rPr>
              <w:t xml:space="preserve"> for the growth of juvenile Mutiara catfish</w:t>
            </w:r>
          </w:p>
          <w:p w:rsidR="00BA1B01" w:rsidRPr="003E468B" w:rsidRDefault="00BA1B01" w:rsidP="003E468B">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E468B" w:rsidRPr="003E468B">
              <w:rPr>
                <w:rFonts w:ascii="Arial" w:eastAsia="Calibri" w:hAnsi="Arial" w:cs="Arial"/>
                <w:szCs w:val="22"/>
              </w:rPr>
              <w:t>This research used an experimental method with a completely randomized design (CRD) in 4 treatments and 3 repetitions. The treatments given in this study consisted of treatment A (0%), treatment B with the addition of 0.15%, treatment C with the addition of 0.3% and treatment D with the addition of 0.45%.</w:t>
            </w:r>
          </w:p>
          <w:p w:rsidR="003E468B"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E468B" w:rsidRPr="003E468B">
              <w:rPr>
                <w:rFonts w:ascii="Arial" w:eastAsia="Calibri" w:hAnsi="Arial" w:cs="Arial"/>
                <w:szCs w:val="22"/>
              </w:rPr>
              <w:t xml:space="preserve">This research was conducted in December 2025-March 2026, at the Hatchery Building 4, Faculty of Fisheries and Marine Sciences, </w:t>
            </w:r>
            <w:proofErr w:type="spellStart"/>
            <w:r w:rsidR="003E468B" w:rsidRPr="003E468B">
              <w:rPr>
                <w:rFonts w:ascii="Arial" w:eastAsia="Calibri" w:hAnsi="Arial" w:cs="Arial"/>
                <w:szCs w:val="22"/>
              </w:rPr>
              <w:t>Padjadjaran</w:t>
            </w:r>
            <w:proofErr w:type="spellEnd"/>
            <w:r w:rsidR="003E468B" w:rsidRPr="003E468B">
              <w:rPr>
                <w:rFonts w:ascii="Arial" w:eastAsia="Calibri" w:hAnsi="Arial" w:cs="Arial"/>
                <w:szCs w:val="22"/>
              </w:rPr>
              <w:t xml:space="preserve"> University.</w:t>
            </w:r>
          </w:p>
          <w:p w:rsidR="003E468B" w:rsidRDefault="00BA1B01" w:rsidP="003E468B">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E468B" w:rsidRPr="003E468B">
              <w:rPr>
                <w:rFonts w:ascii="Arial" w:eastAsia="Calibri" w:hAnsi="Arial" w:cs="Arial"/>
                <w:szCs w:val="22"/>
              </w:rPr>
              <w:t>The r</w:t>
            </w:r>
            <w:r w:rsidR="00CB4CEC">
              <w:rPr>
                <w:rFonts w:ascii="Arial" w:eastAsia="Calibri" w:hAnsi="Arial" w:cs="Arial"/>
                <w:szCs w:val="22"/>
              </w:rPr>
              <w:t xml:space="preserve">esearch subjects were juvenile </w:t>
            </w:r>
            <w:proofErr w:type="spellStart"/>
            <w:r w:rsidR="00CB4CEC">
              <w:rPr>
                <w:rFonts w:ascii="Arial" w:eastAsia="Calibri" w:hAnsi="Arial" w:cs="Arial"/>
                <w:szCs w:val="22"/>
              </w:rPr>
              <w:t>Mutiara</w:t>
            </w:r>
            <w:r w:rsidR="003E468B" w:rsidRPr="003E468B">
              <w:rPr>
                <w:rFonts w:ascii="Arial" w:eastAsia="Calibri" w:hAnsi="Arial" w:cs="Arial"/>
                <w:szCs w:val="22"/>
              </w:rPr>
              <w:t>l</w:t>
            </w:r>
            <w:proofErr w:type="spellEnd"/>
            <w:r w:rsidR="003E468B" w:rsidRPr="003E468B">
              <w:rPr>
                <w:rFonts w:ascii="Arial" w:eastAsia="Calibri" w:hAnsi="Arial" w:cs="Arial"/>
                <w:szCs w:val="22"/>
              </w:rPr>
              <w:t xml:space="preserve"> catfish (</w:t>
            </w:r>
            <w:proofErr w:type="spellStart"/>
            <w:r w:rsidR="003E468B" w:rsidRPr="00CB4CEC">
              <w:rPr>
                <w:rFonts w:ascii="Arial" w:eastAsia="Calibri" w:hAnsi="Arial" w:cs="Arial"/>
                <w:i/>
                <w:szCs w:val="22"/>
              </w:rPr>
              <w:t>Clarias</w:t>
            </w:r>
            <w:proofErr w:type="spellEnd"/>
            <w:r w:rsidR="003E468B" w:rsidRPr="00CB4CEC">
              <w:rPr>
                <w:rFonts w:ascii="Arial" w:eastAsia="Calibri" w:hAnsi="Arial" w:cs="Arial"/>
                <w:i/>
                <w:szCs w:val="22"/>
              </w:rPr>
              <w:t xml:space="preserve"> </w:t>
            </w:r>
            <w:proofErr w:type="spellStart"/>
            <w:r w:rsidR="003E468B" w:rsidRPr="00CB4CEC">
              <w:rPr>
                <w:rFonts w:ascii="Arial" w:eastAsia="Calibri" w:hAnsi="Arial" w:cs="Arial"/>
                <w:i/>
                <w:szCs w:val="22"/>
              </w:rPr>
              <w:t>gariepinus</w:t>
            </w:r>
            <w:proofErr w:type="spellEnd"/>
            <w:r w:rsidR="003E468B" w:rsidRPr="003E468B">
              <w:rPr>
                <w:rFonts w:ascii="Arial" w:eastAsia="Calibri" w:hAnsi="Arial" w:cs="Arial"/>
                <w:szCs w:val="22"/>
              </w:rPr>
              <w:t xml:space="preserve">) measuring 10–13 cm. The fish were reared in aquariums (40 × 24 × 25 cm) at a stocking density of 4 fish per aquarium. Acclimatization in the aquariums lasted 14 days. During the rearing period, the fish were fed a diet supplemented with tryptophan using the coating method. Feeding was conducted twice daily at 08:00 and 16:00 WIB. The amount of feed provided was 5% of the fish biomass, and the feeding rate was adjusted weekly based on the fish biomass weight. </w:t>
            </w:r>
            <w:r w:rsidR="003E468B">
              <w:rPr>
                <w:rFonts w:ascii="Arial" w:eastAsia="Calibri" w:hAnsi="Arial" w:cs="Arial"/>
                <w:szCs w:val="22"/>
              </w:rPr>
              <w:t xml:space="preserve">Data were analyzed using ANOVA </w:t>
            </w:r>
            <w:r w:rsidR="003E468B" w:rsidRPr="003E468B">
              <w:rPr>
                <w:rFonts w:ascii="Arial" w:eastAsia="Calibri" w:hAnsi="Arial" w:cs="Arial"/>
                <w:szCs w:val="22"/>
              </w:rPr>
              <w:t>and Duncan’s Multiple Range Test at a 95% confidence level.</w:t>
            </w:r>
          </w:p>
          <w:p w:rsidR="00BA1B01" w:rsidRPr="003E468B" w:rsidRDefault="00BA1B01" w:rsidP="003E468B">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B4CEC" w:rsidRPr="00CB4CEC">
              <w:rPr>
                <w:rFonts w:ascii="Arial" w:eastAsia="Calibri" w:hAnsi="Arial" w:cs="Arial"/>
                <w:szCs w:val="22"/>
              </w:rPr>
              <w:t>Tryptophan supplementation in commercial feed gave the best results on the growth of juvenile</w:t>
            </w:r>
            <w:r w:rsidR="00422382">
              <w:rPr>
                <w:rFonts w:ascii="Arial" w:eastAsia="Calibri" w:hAnsi="Arial" w:cs="Arial"/>
                <w:szCs w:val="22"/>
              </w:rPr>
              <w:t xml:space="preserve"> Mutiara</w:t>
            </w:r>
            <w:r w:rsidR="00CB4CEC" w:rsidRPr="00CB4CEC">
              <w:rPr>
                <w:rFonts w:ascii="Arial" w:eastAsia="Calibri" w:hAnsi="Arial" w:cs="Arial"/>
                <w:szCs w:val="22"/>
              </w:rPr>
              <w:t xml:space="preserve"> catfish in treatment C with the addition of 0.3% tryptophan, resulting in absolute weight gain</w:t>
            </w:r>
            <w:r w:rsidR="00CB4CEC">
              <w:rPr>
                <w:rFonts w:ascii="Arial" w:eastAsia="Calibri" w:hAnsi="Arial" w:cs="Arial"/>
                <w:szCs w:val="22"/>
              </w:rPr>
              <w:t xml:space="preserve"> (222.70 g), </w:t>
            </w:r>
            <w:r w:rsidR="00CB4CEC" w:rsidRPr="00CB4CEC">
              <w:rPr>
                <w:rFonts w:ascii="Arial" w:eastAsia="Calibri" w:hAnsi="Arial" w:cs="Arial"/>
                <w:szCs w:val="22"/>
              </w:rPr>
              <w:t>FCR (1.46)</w:t>
            </w:r>
            <w:r w:rsidR="00CB4CEC">
              <w:rPr>
                <w:rFonts w:ascii="Arial" w:eastAsia="Calibri" w:hAnsi="Arial" w:cs="Arial"/>
                <w:szCs w:val="22"/>
              </w:rPr>
              <w:t>,</w:t>
            </w:r>
            <w:r w:rsidR="00CB4CEC" w:rsidRPr="00CB4CEC">
              <w:rPr>
                <w:rFonts w:ascii="Arial" w:eastAsia="Calibri" w:hAnsi="Arial" w:cs="Arial"/>
                <w:szCs w:val="22"/>
              </w:rPr>
              <w:t xml:space="preserve"> PER (11.74%), and protein retention (51.25%).</w:t>
            </w:r>
          </w:p>
          <w:p w:rsidR="00505F06" w:rsidRPr="0093092C" w:rsidRDefault="00BA1B01" w:rsidP="0093092C">
            <w:pPr>
              <w:pStyle w:val="Body"/>
              <w:rPr>
                <w:rFonts w:ascii="Arial" w:eastAsia="Calibri" w:hAnsi="Arial" w:cs="Arial"/>
                <w:bCs/>
                <w:szCs w:val="22"/>
              </w:rPr>
            </w:pPr>
            <w:r w:rsidRPr="00BA1B01">
              <w:rPr>
                <w:rFonts w:ascii="Arial" w:eastAsia="Calibri" w:hAnsi="Arial" w:cs="Arial"/>
                <w:b/>
                <w:bCs/>
                <w:szCs w:val="22"/>
              </w:rPr>
              <w:t>Conclusion</w:t>
            </w:r>
            <w:r w:rsidR="0093092C">
              <w:rPr>
                <w:rFonts w:ascii="Arial" w:eastAsia="Calibri" w:hAnsi="Arial" w:cs="Arial"/>
                <w:b/>
                <w:bCs/>
                <w:szCs w:val="22"/>
              </w:rPr>
              <w:t xml:space="preserve">: </w:t>
            </w:r>
            <w:r w:rsidR="00CB4CEC" w:rsidRPr="00CB4CEC">
              <w:rPr>
                <w:rFonts w:ascii="Arial" w:eastAsia="Calibri" w:hAnsi="Arial" w:cs="Arial"/>
                <w:bCs/>
                <w:szCs w:val="22"/>
              </w:rPr>
              <w:t>Tryptophan supplementation has been shown to increase weight gain, decrease the protein conversion ratio (FCR), increase the protein efficiency ratio (PER), and increase protein retention. The best tryptophan supplementation dose was found in treatment C, with an addition of 0.3% of the feed.</w:t>
            </w:r>
          </w:p>
        </w:tc>
      </w:tr>
    </w:tbl>
    <w:p w:rsidR="00636EB2" w:rsidRDefault="00636EB2" w:rsidP="00441B6F">
      <w:pPr>
        <w:pStyle w:val="Body"/>
        <w:spacing w:after="0"/>
        <w:rPr>
          <w:rFonts w:ascii="Arial" w:hAnsi="Arial" w:cs="Arial"/>
          <w:i/>
        </w:rPr>
      </w:pPr>
    </w:p>
    <w:p w:rsidR="00505F06" w:rsidRDefault="0093092C" w:rsidP="00441B6F">
      <w:pPr>
        <w:pStyle w:val="Body"/>
        <w:spacing w:after="0"/>
        <w:rPr>
          <w:rFonts w:ascii="Arial" w:hAnsi="Arial" w:cs="Arial"/>
          <w:i/>
        </w:rPr>
      </w:pPr>
      <w:r>
        <w:rPr>
          <w:rFonts w:ascii="Arial" w:hAnsi="Arial" w:cs="Arial"/>
          <w:i/>
        </w:rPr>
        <w:t>Keywords: [</w:t>
      </w:r>
      <w:r w:rsidR="00CB4CEC">
        <w:rPr>
          <w:rFonts w:ascii="Arial" w:hAnsi="Arial" w:cs="Arial"/>
          <w:i/>
        </w:rPr>
        <w:t>E</w:t>
      </w:r>
      <w:r w:rsidR="00CB4CEC" w:rsidRPr="00CB4CEC">
        <w:rPr>
          <w:rFonts w:ascii="Arial" w:hAnsi="Arial" w:cs="Arial"/>
          <w:i/>
        </w:rPr>
        <w:t>ssential amino acids</w:t>
      </w:r>
      <w:r>
        <w:rPr>
          <w:rFonts w:ascii="Arial" w:hAnsi="Arial" w:cs="Arial"/>
          <w:i/>
        </w:rPr>
        <w:t xml:space="preserve">, </w:t>
      </w:r>
      <w:r w:rsidR="00CB4CEC">
        <w:rPr>
          <w:rFonts w:ascii="Arial" w:hAnsi="Arial" w:cs="Arial"/>
          <w:i/>
        </w:rPr>
        <w:t>growth</w:t>
      </w:r>
      <w:r>
        <w:rPr>
          <w:rFonts w:ascii="Arial" w:hAnsi="Arial" w:cs="Arial"/>
          <w:i/>
        </w:rPr>
        <w:t xml:space="preserve">, </w:t>
      </w:r>
      <w:r w:rsidR="0068448A">
        <w:rPr>
          <w:rFonts w:ascii="Arial" w:hAnsi="Arial" w:cs="Arial"/>
          <w:i/>
        </w:rPr>
        <w:t>protein retention, protein efficiency ratio</w:t>
      </w:r>
      <w:r w:rsidR="00A24E7E">
        <w:rPr>
          <w:rFonts w:ascii="Arial" w:hAnsi="Arial" w:cs="Arial"/>
          <w:i/>
        </w:rPr>
        <w:t>}</w:t>
      </w:r>
      <w:r w:rsidR="0066510A">
        <w:rPr>
          <w:rFonts w:ascii="Arial" w:hAnsi="Arial" w:cs="Arial"/>
          <w:i/>
        </w:rPr>
        <w:t xml:space="preserve"> </w:t>
      </w:r>
    </w:p>
    <w:p w:rsidR="00CB4CEC" w:rsidRPr="00A24E7E" w:rsidRDefault="00CB4CEC" w:rsidP="00441B6F">
      <w:pPr>
        <w:pStyle w:val="Body"/>
        <w:spacing w:after="0"/>
        <w:rPr>
          <w:rFonts w:ascii="Arial" w:hAnsi="Arial" w:cs="Arial"/>
          <w:i/>
        </w:rPr>
      </w:pPr>
    </w:p>
    <w:p w:rsidR="00790ADA" w:rsidRPr="001807B2" w:rsidRDefault="00902823" w:rsidP="000D126E">
      <w:pPr>
        <w:pStyle w:val="Heading1"/>
        <w:rPr>
          <w:rFonts w:cs="Arial"/>
          <w:sz w:val="22"/>
          <w:szCs w:val="22"/>
        </w:rPr>
      </w:pPr>
      <w:r w:rsidRPr="001807B2">
        <w:rPr>
          <w:sz w:val="22"/>
          <w:szCs w:val="22"/>
        </w:rPr>
        <w:t xml:space="preserve">1. </w:t>
      </w:r>
      <w:r w:rsidR="00B01FCD" w:rsidRPr="001807B2">
        <w:rPr>
          <w:sz w:val="22"/>
          <w:szCs w:val="22"/>
        </w:rPr>
        <w:t>INTRODUCTION</w:t>
      </w:r>
      <w:r w:rsidR="007F7B32" w:rsidRPr="001807B2">
        <w:rPr>
          <w:sz w:val="22"/>
          <w:szCs w:val="22"/>
        </w:rPr>
        <w:t xml:space="preserve"> </w:t>
      </w:r>
    </w:p>
    <w:p w:rsidR="0033448E" w:rsidRDefault="00CB4CEC" w:rsidP="0033448E">
      <w:pPr>
        <w:pStyle w:val="Body"/>
        <w:rPr>
          <w:rFonts w:ascii="Arial" w:hAnsi="Arial" w:cs="Arial"/>
        </w:rPr>
      </w:pPr>
      <w:r w:rsidRPr="00CB4CEC">
        <w:rPr>
          <w:rFonts w:ascii="Arial" w:hAnsi="Arial" w:cs="Arial"/>
        </w:rPr>
        <w:t xml:space="preserve">Fish feed must contain essential amino acids to be converted into proteins, which are essential for tissue repair and growth. Amino acid deficiencies in fish can lead to poor growth and low </w:t>
      </w:r>
      <w:r w:rsidRPr="00CB4CEC">
        <w:rPr>
          <w:rFonts w:ascii="Arial" w:hAnsi="Arial" w:cs="Arial"/>
        </w:rPr>
        <w:lastRenderedPageBreak/>
        <w:t>feed efficiency</w:t>
      </w:r>
      <w:r>
        <w:rPr>
          <w:rFonts w:ascii="Arial" w:hAnsi="Arial" w:cs="Arial"/>
        </w:rPr>
        <w:t xml:space="preserve"> </w:t>
      </w:r>
      <w:r w:rsidR="00431A2F">
        <w:rPr>
          <w:rFonts w:ascii="Arial" w:hAnsi="Arial" w:cs="Arial"/>
        </w:rPr>
        <w:fldChar w:fldCharType="begin" w:fldLock="1"/>
      </w:r>
      <w:r w:rsidR="00431A2F">
        <w:rPr>
          <w:rFonts w:ascii="Arial" w:hAnsi="Arial" w:cs="Arial"/>
        </w:rPr>
        <w:instrText>ADDIN CSL_CITATION {"citationItems":[{"id":"ITEM-1","itemData":{"DOI":"10.1016/J.ANIFEEDSCI.2015.09.025","ISSN":"0377-8401","abstract":"The knowledge about nutritional requirements of fish is essential to improve utilization of nutrients. This study was conducted to estimate tryptophan requirements for silver catfish. Groups of 30 fish (4.65 ± 0.68. g) were stored in tanks (125 L) and fed mixed diets containing different tryptophan concentrations (1.0, 1.8, 2.6, 3.4 and 4.2. g/kg of diet) until apparent satiation. After 60 days, growth performance, body composition, nutrient retention, plasma and liver metabolites and digestive enzymes were determined. The data were evaluated with nonlinear and polynomial regressions, and a highly significant effect of tryptophan (P &lt; 0.001) was observed for growth, protein retention coefficient and acidic protease activity. The lowest tested concentration (1.0 g Trp/kg) resulted in less growth and nutrient retention in the body. Fish fed inadequate tryptophan levels exhibited reduced growth, higher hepato-somatic indices and altered enzymatic and metabolic processes, indicating gluconeogenic processes. The estimated tryptophan amino acid requirements for maximum weight gain and protein retention coefficients ranged from 2.5 to 3.4 g/kg depending on the statistical model used for the estimation.","author":[{"dropping-particle":"","family":"Pianesso","given":"D.","non-dropping-particle":"","parse-names":false,"suffix":""},{"dropping-particle":"","family":"Radünz Neto","given":"J.","non-dropping-particle":"","parse-names":false,"suffix":""},{"dropping-particle":"","family":"Silva","given":"L. P.","non-dropping-particle":"da","parse-names":false,"suffix":""},{"dropping-particle":"","family":"Goulart","given":"F. R.","non-dropping-particle":"","parse-names":false,"suffix":""},{"dropping-particle":"","family":"Adorian","given":"T. J.","non-dropping-particle":"","parse-names":false,"suffix":""},{"dropping-particle":"","family":"Mombach","given":"P. I.","non-dropping-particle":"","parse-names":false,"suffix":""},{"dropping-particle":"","family":"Loureiro","given":"B. B.","non-dropping-particle":"","parse-names":false,"suffix":""},{"dropping-particle":"","family":"Dalcin","given":"M. O.","non-dropping-particle":"","parse-names":false,"suffix":""},{"dropping-particle":"","family":"Rotili","given":"D. A.","non-dropping-particle":"","parse-names":false,"suffix":""},{"dropping-particle":"","family":"Lazzari","given":"R.","non-dropping-particle":"","parse-names":false,"suffix":""}],"container-title":"Animal Feed Science and Technology","id":"ITEM-1","issued":{"date-parts":[["2015","12"]]},"page":"172-183","publisher":"Elsevier","title":"Determination of tryptophan requirements for juvenile silver catfish (Rhamdia quelen) and its effects on growth performance, plasma and hepatic metabolites and digestive enzymes activity","type":"article-journal","volume":"210"},"uris":["http://www.mendeley.com/documents/?uuid=19370a1b-9459-4b2e-8bed-c5e86ece7ee6"]}],"mendeley":{"formattedCitation":"(Pianesso et al., 2015)","plainTextFormattedCitation":"(Pianesso et al., 2015)","previouslyFormattedCitation":"(Pianesso et al., 2015)"},"properties":{"noteIndex":0},"schema":"https://github.com/citation-style-language/schema/raw/master/csl-citation.json"}</w:instrText>
      </w:r>
      <w:r w:rsidR="00431A2F">
        <w:rPr>
          <w:rFonts w:ascii="Arial" w:hAnsi="Arial" w:cs="Arial"/>
        </w:rPr>
        <w:fldChar w:fldCharType="separate"/>
      </w:r>
      <w:r w:rsidR="00431A2F" w:rsidRPr="00431A2F">
        <w:rPr>
          <w:rFonts w:ascii="Arial" w:hAnsi="Arial" w:cs="Arial"/>
          <w:i/>
          <w:noProof/>
        </w:rPr>
        <w:t>(</w:t>
      </w:r>
      <w:r w:rsidR="00431A2F" w:rsidRPr="00BA0FB2">
        <w:rPr>
          <w:rFonts w:ascii="Arial" w:hAnsi="Arial" w:cs="Arial"/>
          <w:noProof/>
        </w:rPr>
        <w:t>Pianesso</w:t>
      </w:r>
      <w:r w:rsidR="00431A2F" w:rsidRPr="00431A2F">
        <w:rPr>
          <w:rFonts w:ascii="Arial" w:hAnsi="Arial" w:cs="Arial"/>
          <w:i/>
          <w:noProof/>
        </w:rPr>
        <w:t xml:space="preserve"> </w:t>
      </w:r>
      <w:r w:rsidR="00431A2F" w:rsidRPr="00BA0FB2">
        <w:rPr>
          <w:rFonts w:ascii="Arial" w:hAnsi="Arial" w:cs="Arial"/>
          <w:noProof/>
        </w:rPr>
        <w:t xml:space="preserve">et al., </w:t>
      </w:r>
      <w:r w:rsidR="00431A2F" w:rsidRPr="00431A2F">
        <w:rPr>
          <w:rFonts w:ascii="Arial" w:hAnsi="Arial" w:cs="Arial"/>
          <w:noProof/>
        </w:rPr>
        <w:t>2015)</w:t>
      </w:r>
      <w:r w:rsidR="00431A2F">
        <w:rPr>
          <w:rFonts w:ascii="Arial" w:hAnsi="Arial" w:cs="Arial"/>
        </w:rPr>
        <w:fldChar w:fldCharType="end"/>
      </w:r>
      <w:r w:rsidR="0033448E" w:rsidRPr="0033448E">
        <w:rPr>
          <w:rFonts w:ascii="Arial" w:hAnsi="Arial" w:cs="Arial"/>
        </w:rPr>
        <w:t xml:space="preserve">. </w:t>
      </w:r>
      <w:r w:rsidRPr="00CB4CEC">
        <w:rPr>
          <w:rFonts w:ascii="Arial" w:hAnsi="Arial" w:cs="Arial"/>
        </w:rPr>
        <w:t>Essential amino acids are amino acids that cannot be synthesized in the body. Amino acids contained in feed in small amounts are limiting amino acids, such as lysine, methionine, and tryptophan</w:t>
      </w:r>
      <w:r w:rsidR="00431A2F">
        <w:rPr>
          <w:rFonts w:ascii="Arial" w:hAnsi="Arial" w:cs="Arial"/>
        </w:rPr>
        <w:t xml:space="preserve"> </w:t>
      </w:r>
      <w:r w:rsidR="00431A2F">
        <w:rPr>
          <w:rFonts w:ascii="Arial" w:hAnsi="Arial" w:cs="Arial"/>
        </w:rPr>
        <w:fldChar w:fldCharType="begin" w:fldLock="1"/>
      </w:r>
      <w:r w:rsidR="00431A2F">
        <w:rPr>
          <w:rFonts w:ascii="Arial" w:hAnsi="Arial" w:cs="Arial"/>
        </w:rPr>
        <w:instrText>ADDIN CSL_CITATION {"citationItems":[{"id":"ITEM-1","itemData":{"author":[{"dropping-particle":"","family":"Anggorodi","given":"R","non-dropping-particle":"","parse-names":false,"suffix":""}],"id":"ITEM-1","issued":{"date-parts":[["1994"]]},"number-of-pages":"281","publisher":"PT. Gramedia","publisher-place":"Jakarta","title":"Ilmu Makanan Ternak Umum","type":"book"},"uris":["http://www.mendeley.com/documents/?uuid=86859346-f9de-4ccc-912e-d0d7c793669e"]},{"id":"ITEM-2","itemData":{"DOI":"10.17226/2115","ISBN":"978-0-309-04891-0","abstract":"Using the latest research in fish nutrition, this volume revises and combines the 1981 edition on coldwater fish and the 1983 edition on warmwater fish and shellfish.\\nIn addition to updating requirements for energy, protein, minerals, and vitamins, this book provides, for the first time, summary tables on nutrient requirements of a variety of fish species, including channel catfish, rainbow trout, Pacific salmon, carp, and tilapia. Tabular data on amino acid requirements of 11 species are also included. Shellfish are not included in this edition because of lack of scientific information.","author":[{"dropping-particle":"","family":"Council","given":"National Research","non-dropping-particle":"","parse-names":false,"suffix":""}],"id":"ITEM-2","issued":{"date-parts":[["1993"]]},"publisher":"The National Academies Press","publisher-place":"Washington, DC","title":"Nutrient Requirements of Fish","type":"book"},"uris":["http://www.mendeley.com/documents/?uuid=8e7c2ea5-6b1f-4040-b2e6-8a19f7a5ba44"]}],"mendeley":{"formattedCitation":"(Anggorodi, 1994; Council, 1993)","manualFormatting":"(Anggorodi, 1994; NRC, 1993)","plainTextFormattedCitation":"(Anggorodi, 1994; Council, 1993)","previouslyFormattedCitation":"(Anggorodi, 1994; Council, 1993)"},"properties":{"noteIndex":0},"schema":"https://github.com/citation-style-language/schema/raw/master/csl-citation.json"}</w:instrText>
      </w:r>
      <w:r w:rsidR="00431A2F">
        <w:rPr>
          <w:rFonts w:ascii="Arial" w:hAnsi="Arial" w:cs="Arial"/>
        </w:rPr>
        <w:fldChar w:fldCharType="separate"/>
      </w:r>
      <w:r w:rsidR="00431A2F">
        <w:rPr>
          <w:rFonts w:ascii="Arial" w:hAnsi="Arial" w:cs="Arial"/>
          <w:noProof/>
        </w:rPr>
        <w:t>(Anggorodi, 1994; NRC</w:t>
      </w:r>
      <w:r w:rsidR="00431A2F" w:rsidRPr="00431A2F">
        <w:rPr>
          <w:rFonts w:ascii="Arial" w:hAnsi="Arial" w:cs="Arial"/>
          <w:noProof/>
        </w:rPr>
        <w:t>, 1993)</w:t>
      </w:r>
      <w:r w:rsidR="00431A2F">
        <w:rPr>
          <w:rFonts w:ascii="Arial" w:hAnsi="Arial" w:cs="Arial"/>
        </w:rPr>
        <w:fldChar w:fldCharType="end"/>
      </w:r>
      <w:r w:rsidR="0033448E">
        <w:rPr>
          <w:rFonts w:ascii="Arial" w:hAnsi="Arial" w:cs="Arial"/>
        </w:rPr>
        <w:t xml:space="preserve">. </w:t>
      </w:r>
      <w:r w:rsidR="0033448E" w:rsidRPr="0033448E">
        <w:rPr>
          <w:rFonts w:ascii="Arial" w:hAnsi="Arial" w:cs="Arial"/>
        </w:rPr>
        <w:fldChar w:fldCharType="begin" w:fldLock="1"/>
      </w:r>
      <w:r w:rsidR="006F461E">
        <w:rPr>
          <w:rFonts w:ascii="Arial" w:hAnsi="Arial" w:cs="Arial"/>
        </w:rPr>
        <w:instrText>ADDIN CSL_CITATION {"citationItems":[{"id":"ITEM-1","itemData":{"DOI":"10.1016/J.AQUACULTURE.2019.734908","ISSN":"0044-8486","abstract":"The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-1","issued":{"date-parts":[["2020","3"]]},"page":"734908","publisher":"Elsevier","title":"Effects of dietary tryptophan supplementation and stocking density on growth performance and stress responses in rainbow trout (Oncorhynchus mykiss)","type":"article-journal","volume":"519"},"uris":["http://www.mendeley.com/documents/?uuid=7eba088c-7c26-34f7-a4d7-80ffd0ec08a2","http://www.mendeley.com/documents/?uuid=254f95bd-14b9-4f8b-8a18-ed537c5eb7a5"]}],"mendeley":{"formattedCitation":"(Hoseini et al., 2020)","manualFormatting":"Hoseini et al., (2020)","plainTextFormattedCitation":"(Hoseini et al., 2020)","previouslyFormattedCitation":"(Hoseini et al., 2020)"},"properties":{"noteIndex":0},"schema":"https://github.com/citation-style-language/schema/raw/master/csl-citation.json"}</w:instrText>
      </w:r>
      <w:r w:rsidR="0033448E" w:rsidRPr="0033448E">
        <w:rPr>
          <w:rFonts w:ascii="Arial" w:hAnsi="Arial" w:cs="Arial"/>
        </w:rPr>
        <w:fldChar w:fldCharType="separate"/>
      </w:r>
      <w:r w:rsidR="0033448E" w:rsidRPr="00BA0FB2">
        <w:rPr>
          <w:rFonts w:ascii="Arial" w:hAnsi="Arial" w:cs="Arial"/>
          <w:noProof/>
        </w:rPr>
        <w:t>Hoseini et al.</w:t>
      </w:r>
      <w:r w:rsidR="00BA0FB2">
        <w:rPr>
          <w:rFonts w:ascii="Arial" w:hAnsi="Arial" w:cs="Arial"/>
          <w:noProof/>
        </w:rPr>
        <w:t>,</w:t>
      </w:r>
      <w:r w:rsidR="0033448E" w:rsidRPr="0033448E">
        <w:rPr>
          <w:rFonts w:ascii="Arial" w:hAnsi="Arial" w:cs="Arial"/>
          <w:noProof/>
        </w:rPr>
        <w:t xml:space="preserve"> (2020)</w:t>
      </w:r>
      <w:r w:rsidR="0033448E" w:rsidRPr="0033448E">
        <w:rPr>
          <w:rFonts w:ascii="Arial" w:hAnsi="Arial" w:cs="Arial"/>
        </w:rPr>
        <w:fldChar w:fldCharType="end"/>
      </w:r>
      <w:r w:rsidR="0033448E" w:rsidRPr="0033448E">
        <w:rPr>
          <w:rFonts w:ascii="Arial" w:hAnsi="Arial" w:cs="Arial"/>
        </w:rPr>
        <w:t xml:space="preserve"> </w:t>
      </w:r>
      <w:r w:rsidRPr="00CB4CEC">
        <w:rPr>
          <w:rFonts w:ascii="Arial" w:hAnsi="Arial" w:cs="Arial"/>
        </w:rPr>
        <w:t>stated that tryptophan is the amino acid with the lowest abundance in bony fish. This indicates that the need for tryptophan for protein synthesis is low.</w:t>
      </w:r>
    </w:p>
    <w:p w:rsidR="00790ADA" w:rsidRDefault="00CB4CEC" w:rsidP="0033448E">
      <w:pPr>
        <w:pStyle w:val="Body"/>
        <w:rPr>
          <w:rFonts w:ascii="Arial" w:hAnsi="Arial" w:cs="Arial"/>
        </w:rPr>
      </w:pPr>
      <w:r w:rsidRPr="00CB4CEC">
        <w:rPr>
          <w:rFonts w:ascii="Arial" w:hAnsi="Arial" w:cs="Arial"/>
        </w:rPr>
        <w:t>Tryptophan supplementation in feed at a dose of 0.5% is beneficial for improving growth performance in rainbow trout, with the effect of reducing fish stress when reared at a high density of 15 kg/m³</w:t>
      </w:r>
      <w:r w:rsidR="00431A2F">
        <w:rPr>
          <w:rFonts w:ascii="Arial" w:hAnsi="Arial" w:cs="Arial"/>
        </w:rPr>
        <w:t xml:space="preserve"> </w:t>
      </w:r>
      <w:r w:rsidR="00431A2F">
        <w:rPr>
          <w:rFonts w:ascii="Arial" w:hAnsi="Arial" w:cs="Arial"/>
        </w:rPr>
        <w:fldChar w:fldCharType="begin" w:fldLock="1"/>
      </w:r>
      <w:r w:rsidR="00431A2F">
        <w:rPr>
          <w:rFonts w:ascii="Arial" w:hAnsi="Arial" w:cs="Arial"/>
        </w:rPr>
        <w:instrText>ADDIN CSL_CITATION {"citationItems":[{"id":"ITEM-1","itemData":{"DOI":"10.1016/J.AQUACULTURE.2019.734908","ISSN":"0044-8486","abstract":"The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-1","issued":{"date-parts":[["2020","3"]]},"page":"734908","publisher":"Elsevier","title":"Effects of dietary tryptophan supplementation and stocking density on growth performance and stress responses in rainbow trout (Oncorhynchus mykiss)","type":"article-journal","volume":"519"},"uris":["http://www.mendeley.com/documents/?uuid=254f95bd-14b9-4f8b-8a18-ed537c5eb7a5"]}],"mendeley":{"formattedCitation":"(Hoseini et al., 2020)","plainTextFormattedCitation":"(Hoseini et al., 2020)","previouslyFormattedCitation":"(Hoseini et al., 2020)"},"properties":{"noteIndex":0},"schema":"https://github.com/citation-style-language/schema/raw/master/csl-citation.json"}</w:instrText>
      </w:r>
      <w:r w:rsidR="00431A2F">
        <w:rPr>
          <w:rFonts w:ascii="Arial" w:hAnsi="Arial" w:cs="Arial"/>
        </w:rPr>
        <w:fldChar w:fldCharType="separate"/>
      </w:r>
      <w:r w:rsidR="00431A2F" w:rsidRPr="00431A2F">
        <w:rPr>
          <w:rFonts w:ascii="Arial" w:hAnsi="Arial" w:cs="Arial"/>
          <w:noProof/>
        </w:rPr>
        <w:t>(Hoseini et al., 2020)</w:t>
      </w:r>
      <w:r w:rsidR="00431A2F">
        <w:rPr>
          <w:rFonts w:ascii="Arial" w:hAnsi="Arial" w:cs="Arial"/>
        </w:rPr>
        <w:fldChar w:fldCharType="end"/>
      </w:r>
      <w:r w:rsidR="00442420" w:rsidRPr="00442420">
        <w:rPr>
          <w:rFonts w:ascii="Arial" w:hAnsi="Arial" w:cs="Arial"/>
        </w:rPr>
        <w:t xml:space="preserve">. </w:t>
      </w:r>
      <w:r>
        <w:rPr>
          <w:rFonts w:ascii="Arial" w:hAnsi="Arial" w:cs="Arial"/>
        </w:rPr>
        <w:t xml:space="preserve">According </w:t>
      </w:r>
      <w:r w:rsidR="00442420" w:rsidRPr="00442420">
        <w:rPr>
          <w:rFonts w:ascii="Arial" w:hAnsi="Arial" w:cs="Arial"/>
        </w:rPr>
        <w:fldChar w:fldCharType="begin" w:fldLock="1"/>
      </w:r>
      <w:r w:rsidR="006F461E">
        <w:rPr>
          <w:rFonts w:ascii="Arial" w:hAnsi="Arial" w:cs="Arial"/>
        </w:rPr>
        <w:instrText>ADDIN CSL_CITATION {"citationItems":[{"id":"ITEM-1","itemData":{"DOI":"10.1016/J.AQUACULTURE.2013.07.002","ISSN":"0044-8486","abstract":"This study was conducted both in vivo and in vitro to investigate the effects of tryptophan on growth performance, digestive and absorptive function and protein synthesis of juvenile Jian carp (Cyprinus carpio var. Jian). 1050 juvenile Jian carp (initial weight 7.73±0.03g) were fed seven isonitrogenous diets with graded concentrations of tryptophan (1.1, 1.7, 2.5, 3.8, 4.9, 6.0, 6.9g/kg diet) for 8weeks. Percent weight gain, feed intake and protein retention value were markedly improved, with increases in dietary tryptophan up to 3.8g/kg diet. Similar trend was found in glutamate-oxaloacetate transaminase (GOT) and glutamate-pyruvate transaminase (GPT) activities, trypsin, lipase and α-amylase activities, Na+/K+-ATPase, alkaline phosphatase (AKP), γ-glutamyl transpeptidase and creatine kinase activities, and relative expression of eIF4E-binding protein (4E-BP). On the other hand, feed conversion ratio, plasma ammonia concentration and the relative expression of target of rapamycin (TOR) in different tissue showed an opposite pattern. A series of experiments in vitro were then carried out. Compared with the control group, tryptophan supplementation increased 3-[4,5-dimethylthiazol-2-yl]-2,5 diphenyl tetrazolium bromide (MTT) OD value, protein content and activity of AKP, GOT, GPT and Na+/K+-ATPase in enterocytes and decreased lactate dehydrogenase activity and ammonia concentration in the culture medium. Protein synthesis rate was 17% higher and relative expression of TOR was 28% lower in tryptophan-supplemented than in control carp enterocytes. In conclusion, our results indicate that tryptophan improved fish growth, digestive and absorptive function as well as protein synthesis, which may be partly related to the TOR signaling pathway. © 2013 Elsevier B.V.","author":[{"dropping-particle":"","family":"Tang","given":"Ling","non-dropping-particle":"","parse-names":false,"suffix":""},{"dropping-particle":"","family":"Feng","given":"Lin","non-dropping-particle":"","parse-names":false,"suffix":""},{"dropping-particle":"","family":"Sun","given":"Chong Yan","non-dropping-particle":"","parse-names":false,"suffix":""},{"dropping-particle":"","family":"Chen","given":"Gang Fu","non-dropping-particle":"","parse-names":false,"suffix":""},{"dropping-particle":"","family":"Jiang","given":"Wei Dan","non-dropping-particle":"","parse-names":false,"suffix":""},{"dropping-particle":"","family":"Hu","given":"Kai","non-dropping-particle":"","parse-names":false,"suffix":""},{"dropping-particle":"","family":"Liu","given":"Yang","non-dropping-particle":"","parse-names":false,"suffix":""},{"dropping-particle":"","family":"Jiang","given":"Jun","non-dropping-particle":"","parse-names":false,"suffix":""},{"dropping-particle":"","family":"Li","given":"Shu Hong","non-dropping-particle":"","parse-names":false,"suffix":""},{"dropping-particle":"","family":"Kuang","given":"Sheng Yao","non-dropping-particle":"","parse-names":false,"suffix":""},{"dropping-particle":"","family":"Zhou","given":"Xiao Qiu","non-dropping-particle":"","parse-names":false,"suffix":""}],"container-title":"Aquaculture","id":"ITEM-1","issued":{"date-parts":[["2013","11"]]},"page":"23-33","publisher":"Elsevier","title":"Effect of tryptophan on growth, intestinal enzyme activities and TOR gene expression in juvenile Jian carp (Cyprinus carpio var. Jian): Studies in vivo and in vitro","type":"article-journal","volume":"412-413"},"uris":["http://www.mendeley.com/documents/?uuid=5e93bde0-7b6e-34e1-aac2-4c43bb7f7728","http://www.mendeley.com/documents/?uuid=12be2a96-eec8-4ebc-adc6-5352a7e15697"]}],"mendeley":{"formattedCitation":"(Tang et al., 2013)","manualFormatting":"Tang et al., (2013)","plainTextFormattedCitation":"(Tang et al., 2013)","previouslyFormattedCitation":"(Tang et al., 2013)"},"properties":{"noteIndex":0},"schema":"https://github.com/citation-style-language/schema/raw/master/csl-citation.json"}</w:instrText>
      </w:r>
      <w:r w:rsidR="00442420" w:rsidRPr="00442420">
        <w:rPr>
          <w:rFonts w:ascii="Arial" w:hAnsi="Arial" w:cs="Arial"/>
        </w:rPr>
        <w:fldChar w:fldCharType="separate"/>
      </w:r>
      <w:r w:rsidR="00442420" w:rsidRPr="00442420">
        <w:rPr>
          <w:rFonts w:ascii="Arial" w:hAnsi="Arial" w:cs="Arial"/>
          <w:noProof/>
        </w:rPr>
        <w:t xml:space="preserve">Tang </w:t>
      </w:r>
      <w:r w:rsidR="00442420" w:rsidRPr="002D6030">
        <w:rPr>
          <w:rFonts w:ascii="Arial" w:hAnsi="Arial" w:cs="Arial"/>
          <w:noProof/>
        </w:rPr>
        <w:t>et al.</w:t>
      </w:r>
      <w:r w:rsidR="002D6030">
        <w:rPr>
          <w:rFonts w:ascii="Arial" w:hAnsi="Arial" w:cs="Arial"/>
          <w:noProof/>
        </w:rPr>
        <w:t>,</w:t>
      </w:r>
      <w:r w:rsidR="00442420" w:rsidRPr="00442420">
        <w:rPr>
          <w:rFonts w:ascii="Arial" w:hAnsi="Arial" w:cs="Arial"/>
          <w:noProof/>
        </w:rPr>
        <w:t xml:space="preserve"> (2013)</w:t>
      </w:r>
      <w:r w:rsidR="00442420" w:rsidRPr="00442420">
        <w:rPr>
          <w:rFonts w:ascii="Arial" w:hAnsi="Arial" w:cs="Arial"/>
        </w:rPr>
        <w:fldChar w:fldCharType="end"/>
      </w:r>
      <w:r w:rsidR="00766AF7">
        <w:rPr>
          <w:rFonts w:ascii="Arial" w:hAnsi="Arial" w:cs="Arial"/>
        </w:rPr>
        <w:t xml:space="preserve"> </w:t>
      </w:r>
      <w:r w:rsidRPr="00CB4CEC">
        <w:rPr>
          <w:rFonts w:ascii="Arial" w:hAnsi="Arial" w:cs="Arial"/>
        </w:rPr>
        <w:t xml:space="preserve">tryptophan helps activate the amylase and lipase enzymes so that nutrients in the feed can be optimally utilized by the fish's body. </w:t>
      </w:r>
      <w:r w:rsidR="00442420" w:rsidRPr="00442420">
        <w:rPr>
          <w:rFonts w:ascii="Arial" w:hAnsi="Arial" w:cs="Arial"/>
        </w:rPr>
        <w:fldChar w:fldCharType="begin" w:fldLock="1"/>
      </w:r>
      <w:r w:rsidR="002D6030">
        <w:rPr>
          <w:rFonts w:ascii="Arial" w:hAnsi="Arial" w:cs="Arial"/>
        </w:rPr>
        <w:instrText>ADDIN CSL_CITATION {"citationItems":[{"id":"ITEM-1","itemData":{"DOI":"10.1016/J.AQUACULTURE.2024.740710","ISSN":"0044-8486","abstract":"A 56-day feeding trial was carried out to evaluate the dietary tryptophan requirements for rainbow trout, Oncorhynchus mykiss using 360 fingerlings (1.75 ± 0.02 g/fish; 5.3 ± 0.27 cm/fish) randomly distributed into 6 tanks with six treatments and three replicates. Six isoenergetic (20.9 kj g−1 energy) and isonitrogenous (450 g kg−1 protein) diets with increasing level of tryptophan amino acids (0.40, 1.60, 2.80, 4.0, 5.20 and 6.40 g kg−1) were prepared. Fish were hand-fed twice daily at 09:00 and 17:00 h at a rate of 5% body weight per day. The results revealed that growth parameters were significantly improved with each incremental level up to 4.0 g kg−1 tryptophan containing diet. Similarly high body protein, intermediate body fat and low moisture were observed in fish offered 4.0 g kg−1 dietary tryptophan, whereas body ash content did not produce any significant (p˃0.05) difference, except at lowest fed groups. Significant (p &lt; 0.05) improvement in hemoglobin (Hb) level, hematocrit (Hct) content, red blood cell (RBC) count, total protein, alkaline phosphatase (ALP), albumin and globulin were also noted at 4.0 g kg−1 tryptophan fed diet. Declining pattern in alanine aminotransaminase (ALT) and aspartate aminotransaminase (AST) enzymes were observed up to the optimum level. Intestinal enzymes and antioxidant variables showed a significant upward trend (p &lt; 0.05) in fish fed diets up to 4.0 g kg−1, except amylase and malondialdehyde (MDA) which showed a declined pattern across the treatments. Relative gene expression level of TOR and 4E-BP1 in the muscle were significantly (p &lt; 0.05) high with increasing of dietary tryptophan up to a certain level. Based on the quadratic regression analysis of growth parameters and activity of hemato-biochemical enzymes, the optimum tryptophan requirement of the fish was estimated to be 4.0 g kg−1 of dry diet, corresponding to 8.89 g kg−1 of dietary protein.","author":[{"dropping-particle":"","family":"Ahmed","given":"Imtiaz","non-dropping-particle":"","parse-names":false,"suffix":""},{"dropping-particle":"","family":"Ahmad","given":"Ishtiyaq","non-dropping-particle":"","parse-names":false,"suffix":""},{"dropping-particle":"","family":"Malla","given":"Bashir Ahmad","non-dropping-particle":"","parse-names":false,"suffix":""}],"container-title":"Aquaculture","id":"ITEM-1","issued":{"date-parts":[["2024","5"]]},"page":"740710","publisher":"Elsevier","title":"Effects of dietary tryptophan levels on growth performance, plasma profile, intestinal antioxidant capacity and growth related genes in rainbow trout (Oncorhynchus mykiss) fingerlings","type":"article-journal","volume":"585"},"uris":["http://www.mendeley.com/documents/?uuid=0ea028f6-9e4c-3fdf-8ed7-c7eedc7687f1","http://www.mendeley.com/documents/?uuid=d2b3fb2d-ef41-430c-9319-a5a68a66e95d"]}],"mendeley":{"formattedCitation":"(Ahmed et al., 2024)","manualFormatting":"Ahmed et al., (2024)","plainTextFormattedCitation":"(Ahmed et al., 2024)","previouslyFormattedCitation":"(Ahmed et al., 2024)"},"properties":{"noteIndex":0},"schema":"https://github.com/citation-style-language/schema/raw/master/csl-citation.json"}</w:instrText>
      </w:r>
      <w:r w:rsidR="00442420" w:rsidRPr="00442420">
        <w:rPr>
          <w:rFonts w:ascii="Arial" w:hAnsi="Arial" w:cs="Arial"/>
        </w:rPr>
        <w:fldChar w:fldCharType="separate"/>
      </w:r>
      <w:r w:rsidR="00442420" w:rsidRPr="00442420">
        <w:rPr>
          <w:rFonts w:ascii="Arial" w:hAnsi="Arial" w:cs="Arial"/>
          <w:noProof/>
        </w:rPr>
        <w:t xml:space="preserve">Ahmed </w:t>
      </w:r>
      <w:r w:rsidR="00442420" w:rsidRPr="002D6030">
        <w:rPr>
          <w:rFonts w:ascii="Arial" w:hAnsi="Arial" w:cs="Arial"/>
          <w:noProof/>
        </w:rPr>
        <w:t>et al.</w:t>
      </w:r>
      <w:r w:rsidR="002D6030">
        <w:rPr>
          <w:rFonts w:ascii="Arial" w:hAnsi="Arial" w:cs="Arial"/>
          <w:noProof/>
        </w:rPr>
        <w:t>,</w:t>
      </w:r>
      <w:r w:rsidR="00442420" w:rsidRPr="002D6030">
        <w:rPr>
          <w:rFonts w:ascii="Arial" w:hAnsi="Arial" w:cs="Arial"/>
          <w:noProof/>
        </w:rPr>
        <w:t xml:space="preserve"> </w:t>
      </w:r>
      <w:r w:rsidR="00442420" w:rsidRPr="00442420">
        <w:rPr>
          <w:rFonts w:ascii="Arial" w:hAnsi="Arial" w:cs="Arial"/>
          <w:noProof/>
        </w:rPr>
        <w:t>(2024)</w:t>
      </w:r>
      <w:r w:rsidR="00442420" w:rsidRPr="00442420">
        <w:rPr>
          <w:rFonts w:ascii="Arial" w:hAnsi="Arial" w:cs="Arial"/>
        </w:rPr>
        <w:fldChar w:fldCharType="end"/>
      </w:r>
      <w:r w:rsidR="00442420" w:rsidRPr="00442420">
        <w:rPr>
          <w:rFonts w:ascii="Arial" w:hAnsi="Arial" w:cs="Arial"/>
        </w:rPr>
        <w:t xml:space="preserve"> </w:t>
      </w:r>
      <w:proofErr w:type="spellStart"/>
      <w:r w:rsidRPr="00CB4CEC">
        <w:rPr>
          <w:rFonts w:ascii="Arial" w:hAnsi="Arial" w:cs="Arial"/>
        </w:rPr>
        <w:t>lso</w:t>
      </w:r>
      <w:proofErr w:type="spellEnd"/>
      <w:r w:rsidRPr="00CB4CEC">
        <w:rPr>
          <w:rFonts w:ascii="Arial" w:hAnsi="Arial" w:cs="Arial"/>
        </w:rPr>
        <w:t xml:space="preserve"> explained that 0.4 g/kg tryptophan supplementation for rainbow trout Oncorhynchus mykiss showed an optimal growth value of 374.42% based on the results of the live weight gain (%). Several other studies on tryptophan supplementation have been conducted, including on white snapper, freshwater lobster, and even </w:t>
      </w:r>
      <w:proofErr w:type="spellStart"/>
      <w:r w:rsidRPr="00CB4CEC">
        <w:rPr>
          <w:rFonts w:ascii="Arial" w:hAnsi="Arial" w:cs="Arial"/>
        </w:rPr>
        <w:t>vannamei</w:t>
      </w:r>
      <w:proofErr w:type="spellEnd"/>
      <w:r w:rsidRPr="00CB4CEC">
        <w:rPr>
          <w:rFonts w:ascii="Arial" w:hAnsi="Arial" w:cs="Arial"/>
        </w:rPr>
        <w:t xml:space="preserve"> shrimp with positive results on growth, stress sup</w:t>
      </w:r>
      <w:r>
        <w:rPr>
          <w:rFonts w:ascii="Arial" w:hAnsi="Arial" w:cs="Arial"/>
        </w:rPr>
        <w:t>pression and cannibalism levels</w:t>
      </w:r>
      <w:r w:rsidR="0033448E" w:rsidRPr="0033448E">
        <w:rPr>
          <w:rFonts w:ascii="Arial" w:hAnsi="Arial" w:cs="Arial"/>
        </w:rPr>
        <w:t xml:space="preserve"> </w:t>
      </w:r>
      <w:r w:rsidR="0033448E" w:rsidRPr="0033448E">
        <w:rPr>
          <w:rFonts w:ascii="Arial" w:hAnsi="Arial" w:cs="Arial"/>
        </w:rPr>
        <w:fldChar w:fldCharType="begin" w:fldLock="1"/>
      </w:r>
      <w:r w:rsidR="00BA0FB2">
        <w:rPr>
          <w:rFonts w:ascii="Arial" w:hAnsi="Arial" w:cs="Arial"/>
        </w:rPr>
        <w:instrText>ADDIN CSL_CITATION {"citationItems":[{"id":"ITEM-1","itemData":{"DOI":"10.35308/jlik.v6i1.9561","abstract":"White snapper (Lates calcarifer) is one of the leading marineculture commodities in Indonesia, snapper has a relatively faster growth and has high economic value. One of the factors that cause failure in snapper cultivation in Indonesia is the high level of cannibalism in fish fry. The purpose of this study was the addition of tryptophan to feed whether it affected the level of cannibalism, growth and survival of white snapper. This study used a non-factorial completely randomized design (CRD) method consisting of 4 treatments and 3 replications. The treatments used were Treatment A (control), B (Tryptophan 1%/kg feed), C (Tryptophan 1.5 %/kg feed), D (Tryptophan 2%/kg feed. The lowest cannibalism of snapper was found in treatment B (Tryptophan 1%/kg of feed) with a cannibalism rate of 35.7% and a survival rate of 56.67%.","author":[{"dropping-particle":"","family":"Mainisa","given":"Mainisa","non-dropping-particle":"","parse-names":false,"suffix":""},{"dropping-particle":"","family":"Juliana","given":"Juliana","non-dropping-particle":"","parse-names":false,"suffix":""},{"dropping-particle":"","family":"Khalil","given":"Munawwar","non-dropping-particle":"","parse-names":false,"suffix":""},{"dropping-particle":"","family":"Mahdaliana","given":"Mahdaliana","non-dropping-particle":"","parse-names":false,"suffix":""},{"dropping-particle":"","family":"Salamah","given":"Salamah","non-dropping-particle":"","parse-names":false,"suffix":""}],"container-title":"Jurnal Laot Ilmu Kelautan","id":"ITEM-1","issue":"1","issued":{"date-parts":[["2024"]]},"page":"28","title":"Penggunaan Triptofan dalam Pakan untuk Menurunkan Kanibalisme Ikan Kakap Putih (Lates calcarifer)","type":"article-journal","volume":"6"},"uris":["http://www.mendeley.com/documents/?uuid=9ee6e1a7-8cfd-40cc-b528-44e69bc8e273","http://www.mendeley.com/documents/?uuid=77a5b94f-ff4c-4521-a089-7be0d4f327c5"]},{"id":"ITEM-2","itemData":{"abstract":"Lobster air tawar (Cherax quadricarinatus) merupakan salah satu udang air tawar yang sudah dikembangkan sejak tahun 2000. Karakteristik yang signifikan terkait kelangkaan stok benih adalah sifat kanibalisme. Sifat kanibal biasanya muncul pada stadia benih terutama saat moulting. Upaya yang dapat dilakukan dengan penambahan triptofan dalam pakan. Triptofan merupakan asam amino esensial yang diduga dapat berperan sebagai pengendali kanibal. Penelitian ini bertujuan untuk mengkaji penambahan triptofan dalam pakan buatan terhadap tingkat kanibalisme dan pertumbuhan lobster air tawar. Udang uji yang digunakan adalah lobster air tawar dengan bobot 1,47±0,16 g/ekor. Pakan diberikan dengan metode relative feeding rate yaitu 3%. Benih dipelihara pada ember padat tebar 1 ekor/L. Penelitian ini dilakukan dengan metode eksperimental menggunakan rancangan acak lengkap (RAL) dengan 4 perlakuan dan 5 ulangan. Perlakuan A, B, C, dan D adalah pakan buatan dengan dosis triptofan masing-masing sebesar 0, 1, 2, dan 3%. Variabel yang diamati meliputi total konsumsi pakan (TKP), efisiensi pemanfaatan pakan (EPP), protein efisiensi rasio (PER), laju pertumbuhan relatif (RGR), kelulushidupan (SR) dan tingkat kanibalisme (TK). Hasil penelitian menunjukkan bahwa triptofan pada pakan memberikan pengaruh nyata (P&lt;0,05) terhadap TKP, EPP, PER, RGR, SR, dan TK. Perlakuan B (1%) menghasilkan nilai tertinggi pada TKP yaitu sebesar 16,54±0,91g, EPP 74,54±3,77%, PER 2,12±0,11%, RGR 1,99±0,16%, dan SR 82±8,37%, TK 10,00±7,07%. Dosis optimum untuk menekan tingkat kanibalisme dan meningkatkan pertumbuhan berkisar antara 1,55-1,61%. Parameter kualitas air selama penelitian berada pada kisaran yang layak untuk kehidupan benih lobster air tawar. Disimpulkan bahwa penambahan dosis triptofan dalam pakan buatan mampu menekan tingkat kanibalisme dan meningkatkan pertumbuhan benih lobster air tawar secara maksimal.","author":[{"dropping-particle":"","family":"Trisnasari","given":"Vania","non-dropping-particle":"","parse-names":false,"suffix":""},{"dropping-particle":"","family":"Subandiyono","given":".Subandiyono","non-dropping-particle":"","parse-names":false,"suffix":""},{"dropping-particle":"","family":"Hastuti","given":"Sri","non-dropping-particle":"","parse-names":false,"suffix":""}],"container-title":"Sains Akuakultur Tropis : Indonesian Journal of Tropical Aquaculture","id":"ITEM-2","issue":"1","issued":{"date-parts":[["2020","4"]]},"page":"19-30","title":"Pengaruh Triptofan dalam Pakan Buatan terhadap Tingkat Kanibalisme dan Pertumbuhan Lobster Air Tawar (Cherax quadricarinatus)","type":"article-journal","volume":"4"},"uris":["http://www.mendeley.com/documents/?uuid=39924af1-ecbc-4e8a-b8e1-9b016995c88f","http://www.mendeley.com/documents/?uuid=fecbc2c4-5dd1-4911-b64a-0b03d720c94b"]},{"id":"ITEM-3","itemData":{"abstract":"Vannamei shrimp (Litopenaeus vannamei) is one of the leading fishery products of the fisheries sector. The problem that is often found in the failure of vannamei shrimp productions is the high level of mortality due to the nature of cannibalism during molting. One solution to minimize the cannibalism of vannamei shrimp is to provide tryptophan supplements in a feed. Tryptophan is a type of essential amino acid that serves as a precursor for serotonin biosynthesis. This study aims to determine the effect and optimal dose of tryptophan added to feed to reduce cannibalism and growth of vannamei shrimp. The test fish used in this study were vannamei shrimp with an average weight of 0,81 ± 0,26 g/individual. This study used an experimental method, a completely randomized design (CRD) consisting of 4 treatments and three replications. The test feed used in this study was artificial feed with a protein content of 38% plus tryptophan according to treatments A (0%/kg feed), B (0.75%/kg feed), C (1.5%/kg feed), and D (2.25%/kg feed). The results showed that the addition of Tryptophan in the feed had a noticeable effect (P&lt;0,05) on cannibalism levels, survival, and molting rates but had no significant effect (P&gt;0,05) on absolute weight growth, specific growth rates, efficiency ratios protein and efficiency feed utilization of vannamei shrimp. The best dose of tryptophan addition in feed to lower the rate of vannamei shrimp cannibalism in this study was 2,25%, capable of producing a cannibalism rate of 13,33%. Udang vaname ( Litopenaeus vannamei ) merupakan salah satu produk perikanan unggulan sektor perikanan. Permasalahan yang sering ditemukan dalam kegagalan produksi udang vaname adalah tingginya tingkat mortalitas karena adanya sifat kanibalisme pada saat terjadi molting. Solusi untuk meminimalisir kanibalisme udang vaname adalah dengan memberi suplemasi asam amino pada pakan, salah satunya adalah triptofan. Triptofan merupakan salah satu jenis asam amino esensial yang berfungsi sebagai prekursor untuk biosintesis serotonin. Penelitian ini bertujuan untuk mengkaji pengaruh dan dosis optimal triptofan yang ditambahkan ke dalam pakan untuk menurunkan tingkat kanibalisme dan pertumbuhan udang vaname. Ikan uji yang digunakan pada penelitian ini adalah udang vaname dengan bobot rata-rata 0,81±0,26 g/ekor. Penelitian ini menggunakan metode eksperimen, rancangan acak lengkap (RAL) yang terdiri atas 4 perlakuan dan 3 kali ulangan. Pakan uji yang digunakan dalam penelit…","author":[{"dropping-particle":"","family":"Rachmawati","given":"Diana","non-dropping-particle":"","parse-names":false,"suffix":""},{"dropping-particle":"","family":"Hutabarat","given":"Johannes","non-dropping-particle":"","parse-names":false,"suffix":""},{"dropping-particle":"","family":"Fiat","given":"Ayu Istiana","non-dropping-particle":"","parse-names":false,"suffix":""},{"dropping-particle":"","family":"Elfitasari","given":"Tita","non-dropping-particle":"","parse-names":false,"suffix":""},{"dropping-particle":"","family":"Windarto","given":"Seto","non-dropping-particle":"","parse-names":false,"suffix":""},{"dropping-particle":"","family":"Dewi","given":"Eko Nurcahyo","non-dropping-particle":"","parse-names":false,"suffix":""}],"container-title":"Jurnal Kelautan Tropis","id":"ITEM-3","issue":"3","issued":{"date-parts":[["2021","10"]]},"page":"343-352","title":"Penambahan Asam Amino Triptofan Dalam Pakan Terhadap Tingkat Kanibalisme Dan Pertumbuhan Litopenaeus vannamei","type":"article-journal","volume":"24"},"uris":["http://www.mendeley.com/documents/?uuid=9983b2db-377f-4cdd-b703-6b8a3ffa56eb","http://www.mendeley.com/documents/?uuid=3fd870f3-cc56-4f1d-a246-ef25718caee3"]},{"id":"ITEM-4","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-4","issued":{"date-parts":[["2020","3"]]},"page":"734908","publisher":"Elsevier","title":"Effects of dietary tryptophan supplementation and stocking density on growth performance and stress responses in rainbow trout (Oncorhynchus mykiss)","type":"article-journal","volume":"519"},"uris":["http://www.mendeley.com/documents/?uuid=254f95bd-14b9-4f8b-8a18-ed537c5eb7a5","http://www.mendeley.com/documents/?uuid=7eba088c-7c26-34f7-a4d7-80ffd0ec08a2"]}],"mendeley":{"formattedCitation":"(Hoseini et al., 2020; Mainisa et al., 2024; Rachmawati et al., 2021; Trisnasari et al., 2020)","manualFormatting":"(Mainisa et al., 2024; Trisnasari et al., 2020; Rachmawati et al., 2021)","plainTextFormattedCitation":"(Hoseini et al., 2020; Mainisa et al., 2024; Rachmawati et al., 2021; Trisnasari et al., 2020)","previouslyFormattedCitation":"(Hoseini et al., 2020; Mainisa et al., 2024; Rachmawati et al., 2021; Trisnasari et al., 2020)"},"properties":{"noteIndex":0},"schema":"https://github.com/citation-style-language/schema/raw/master/csl-citation.json"}</w:instrText>
      </w:r>
      <w:r w:rsidR="0033448E" w:rsidRPr="0033448E">
        <w:rPr>
          <w:rFonts w:ascii="Arial" w:hAnsi="Arial" w:cs="Arial"/>
        </w:rPr>
        <w:fldChar w:fldCharType="separate"/>
      </w:r>
      <w:r w:rsidR="0033448E" w:rsidRPr="0033448E">
        <w:rPr>
          <w:rFonts w:ascii="Arial" w:hAnsi="Arial" w:cs="Arial"/>
          <w:noProof/>
        </w:rPr>
        <w:t xml:space="preserve">(Mainisa </w:t>
      </w:r>
      <w:r w:rsidR="0033448E" w:rsidRPr="00BA0FB2">
        <w:rPr>
          <w:rFonts w:ascii="Arial" w:hAnsi="Arial" w:cs="Arial"/>
          <w:noProof/>
        </w:rPr>
        <w:t>et al.</w:t>
      </w:r>
      <w:r w:rsidR="00BA0FB2">
        <w:rPr>
          <w:rFonts w:ascii="Arial" w:hAnsi="Arial" w:cs="Arial"/>
          <w:noProof/>
        </w:rPr>
        <w:t>,</w:t>
      </w:r>
      <w:r w:rsidR="0033448E" w:rsidRPr="00BA0FB2">
        <w:rPr>
          <w:rFonts w:ascii="Arial" w:hAnsi="Arial" w:cs="Arial"/>
          <w:noProof/>
        </w:rPr>
        <w:t xml:space="preserve"> 2024; Trisnasari et al.</w:t>
      </w:r>
      <w:r w:rsidR="00BA0FB2">
        <w:rPr>
          <w:rFonts w:ascii="Arial" w:hAnsi="Arial" w:cs="Arial"/>
          <w:noProof/>
        </w:rPr>
        <w:t>,</w:t>
      </w:r>
      <w:r w:rsidR="0033448E" w:rsidRPr="00BA0FB2">
        <w:rPr>
          <w:rFonts w:ascii="Arial" w:hAnsi="Arial" w:cs="Arial"/>
          <w:noProof/>
        </w:rPr>
        <w:t xml:space="preserve"> 2020; Rachmawati et al.</w:t>
      </w:r>
      <w:r w:rsidR="00BA0FB2">
        <w:rPr>
          <w:rFonts w:ascii="Arial" w:hAnsi="Arial" w:cs="Arial"/>
          <w:noProof/>
        </w:rPr>
        <w:t>,</w:t>
      </w:r>
      <w:r w:rsidR="0033448E" w:rsidRPr="00BA0FB2">
        <w:rPr>
          <w:rFonts w:ascii="Arial" w:hAnsi="Arial" w:cs="Arial"/>
          <w:noProof/>
        </w:rPr>
        <w:t xml:space="preserve"> 2021)</w:t>
      </w:r>
      <w:r w:rsidR="0033448E" w:rsidRPr="0033448E">
        <w:rPr>
          <w:rFonts w:ascii="Arial" w:hAnsi="Arial" w:cs="Arial"/>
        </w:rPr>
        <w:fldChar w:fldCharType="end"/>
      </w:r>
      <w:r w:rsidR="0033448E" w:rsidRPr="0033448E">
        <w:rPr>
          <w:rFonts w:ascii="Arial" w:hAnsi="Arial" w:cs="Arial"/>
        </w:rPr>
        <w:t>.</w:t>
      </w:r>
      <w:r w:rsidR="00442420">
        <w:rPr>
          <w:rFonts w:ascii="Arial" w:hAnsi="Arial" w:cs="Arial"/>
        </w:rPr>
        <w:t xml:space="preserve"> </w:t>
      </w:r>
    </w:p>
    <w:p w:rsidR="00610F06" w:rsidRPr="00610F06" w:rsidRDefault="00CB4CEC" w:rsidP="00610F06">
      <w:pPr>
        <w:pStyle w:val="Body"/>
        <w:spacing w:after="0"/>
        <w:rPr>
          <w:rFonts w:ascii="Arial" w:eastAsia="Calibri" w:hAnsi="Arial" w:cs="Arial"/>
          <w:b/>
          <w:szCs w:val="22"/>
        </w:rPr>
      </w:pPr>
      <w:r w:rsidRPr="00CB4CEC">
        <w:rPr>
          <w:rFonts w:ascii="Arial" w:hAnsi="Arial" w:cs="Arial"/>
        </w:rPr>
        <w:t>On the other hand, excessive doses of tryptophan can inhibit fish growth</w:t>
      </w:r>
      <w:r w:rsidR="000F39F6">
        <w:rPr>
          <w:rFonts w:ascii="Arial" w:hAnsi="Arial" w:cs="Arial"/>
        </w:rPr>
        <w:t xml:space="preserve">. </w:t>
      </w:r>
      <w:r w:rsidR="00766AF7" w:rsidRPr="00766AF7">
        <w:rPr>
          <w:rFonts w:ascii="Arial" w:hAnsi="Arial" w:cs="Arial"/>
        </w:rPr>
        <w:fldChar w:fldCharType="begin" w:fldLock="1"/>
      </w:r>
      <w:r w:rsidR="00BA0FB2">
        <w:rPr>
          <w:rFonts w:ascii="Arial" w:hAnsi="Arial" w:cs="Arial"/>
        </w:rPr>
        <w:instrText>ADDIN CSL_CITATION {"citationItems":[{"id":"ITEM-1","itemData":{"DOI":"10.1016/J.AQUACULTURE.2021.736904","ISSN":"0044-8486","abstract":"The optimum dietary tryptophan requirement has not been estimated for northern snakehead (Channa argus Cantor, 1842) despite being considered the main limiting essential amino acid in many cereal grain ingredients. A 70-day feeding trial was carried out to determine the dietary tryptophan requirement using 540 juvenile fish (10.21 ± 0.11 g) randomly distributed into 18 net cages with six treatments and three replicates. Six extruded isonitrogenous (48.56% protein) and isoenergetic (19.72 KJ of gross energy g−1) diets containing 0.19%, 0.30%, 0.39%, 0.48%, 0.59% and 0.68% L-tryptophan were prepared. Fish were hand-fed twice daily at apparent satiation level. The results indicated that final weight, weight gain (WG), specific growth rate (SGR), feed efficiency (FE), protein efficiency ratio (PER), the crude protein content in dorsal muscle, glutamate dehydrogenase activity and glutamate oxaloacetate transaminase activity in liver were significantly improved, with increases in dietary tryptophan up to 0.48%. The content of Methionine, Histidine, Threonine, Glycine, Phenylalanine and Glutamic acid in dorsal muscle of fish was also markedly affected by the dietary tryptophan levels. On the other hand, fish fed with 0.39% dietary tryptophan had the highest pepsin activity, which was significantly higher than that in fish fed with 0.59% and 0.68% dietary tryptophan, however, the glutamate pyruvate transaminase activity significantly increased until the dietary tryptophan level increased to 0.68%. Based on the second-degree polynomial regression analysis of SGR and FE against dietary tryptophan levels, the optimum dietary tryptophan requirement for C. argus was respectively estimated to be 0.46% and 0.45% of the diet, corresponding to 0.95% and 0.93% of dietary protein.","author":[{"dropping-particle":"","family":"Miao","given":"Shuyan","non-dropping-particle":"","parse-names":false,"suffix":""},{"dropping-particle":"","family":"Chang","given":"Enhui","non-dropping-particle":"","parse-names":false,"suffix":""},{"dropping-particle":"","family":"Han","given":"Bei","non-dropping-particle":"","parse-names":false,"suffix":""},{"dropping-particle":"","family":"Zhang","given":"Xin","non-dropping-particle":"","parse-names":false,"suffix":""},{"dropping-particle":"","family":"Liu","given":"Xuran","non-dropping-particle":"","parse-names":false,"suffix":""},{"dropping-particle":"","family":"Zhou","given":"Zihan","non-dropping-particle":"","parse-names":false,"suffix":""},{"dropping-particle":"","family":"Zhou","given":"Yuchen","non-dropping-particle":"","parse-names":false,"suffix":""}],"container-title":"Aquaculture","id":"ITEM-1","issued":{"date-parts":[["2021","9"]]},"page":"736904","publisher":"Elsevier","title":"Dietary tryptophan requirement of northern snakehead, Channa argus (Cantor, 1842)","type":"article-journal","volume":"542"},"uris":["http://www.mendeley.com/documents/?uuid=9ed0f104-b8d5-3b48-b4a6-5e07eb0b119e","http://www.mendeley.com/documents/?uuid=8a87cb7e-2a92-4288-b3f1-4ef68eb88a05"]}],"mendeley":{"formattedCitation":"(Miao et al., 2021)","manualFormatting":"Miao et al., (2021)","plainTextFormattedCitation":"(Miao et al., 2021)","previouslyFormattedCitation":"(Miao et al., 2021)"},"properties":{"noteIndex":0},"schema":"https://github.com/citation-style-language/schema/raw/master/csl-citation.json"}</w:instrText>
      </w:r>
      <w:r w:rsidR="00766AF7" w:rsidRPr="00766AF7">
        <w:rPr>
          <w:rFonts w:ascii="Arial" w:hAnsi="Arial" w:cs="Arial"/>
        </w:rPr>
        <w:fldChar w:fldCharType="separate"/>
      </w:r>
      <w:r w:rsidR="00766AF7" w:rsidRPr="00766AF7">
        <w:rPr>
          <w:rFonts w:ascii="Arial" w:hAnsi="Arial" w:cs="Arial"/>
          <w:noProof/>
        </w:rPr>
        <w:t xml:space="preserve">Miao </w:t>
      </w:r>
      <w:r w:rsidR="00766AF7" w:rsidRPr="00BA0FB2">
        <w:rPr>
          <w:rFonts w:ascii="Arial" w:hAnsi="Arial" w:cs="Arial"/>
          <w:noProof/>
        </w:rPr>
        <w:t>et al.</w:t>
      </w:r>
      <w:r w:rsidR="00BA0FB2">
        <w:rPr>
          <w:rFonts w:ascii="Arial" w:hAnsi="Arial" w:cs="Arial"/>
          <w:noProof/>
        </w:rPr>
        <w:t>,</w:t>
      </w:r>
      <w:r w:rsidR="00766AF7" w:rsidRPr="00BA0FB2">
        <w:rPr>
          <w:rFonts w:ascii="Arial" w:hAnsi="Arial" w:cs="Arial"/>
          <w:noProof/>
        </w:rPr>
        <w:t xml:space="preserve"> </w:t>
      </w:r>
      <w:r w:rsidR="00766AF7" w:rsidRPr="00766AF7">
        <w:rPr>
          <w:rFonts w:ascii="Arial" w:hAnsi="Arial" w:cs="Arial"/>
          <w:noProof/>
        </w:rPr>
        <w:t>(2021)</w:t>
      </w:r>
      <w:r w:rsidR="00766AF7" w:rsidRPr="00766AF7">
        <w:rPr>
          <w:rFonts w:ascii="Arial" w:hAnsi="Arial" w:cs="Arial"/>
        </w:rPr>
        <w:fldChar w:fldCharType="end"/>
      </w:r>
      <w:r w:rsidR="00766AF7" w:rsidRPr="00766AF7">
        <w:rPr>
          <w:rFonts w:ascii="Arial" w:hAnsi="Arial" w:cs="Arial"/>
        </w:rPr>
        <w:t xml:space="preserve"> </w:t>
      </w:r>
      <w:r w:rsidR="00B96FE8" w:rsidRPr="00B96FE8">
        <w:rPr>
          <w:rFonts w:ascii="Arial" w:hAnsi="Arial" w:cs="Arial"/>
        </w:rPr>
        <w:t>stated that excess tryptophan can cause decreased digestive enzyme activity</w:t>
      </w:r>
      <w:r w:rsidR="00766AF7" w:rsidRPr="00766AF7">
        <w:rPr>
          <w:rFonts w:ascii="Arial" w:hAnsi="Arial" w:cs="Arial"/>
        </w:rPr>
        <w:t>.</w:t>
      </w:r>
      <w:r w:rsidR="00766AF7">
        <w:rPr>
          <w:rFonts w:ascii="Arial" w:hAnsi="Arial" w:cs="Arial"/>
        </w:rPr>
        <w:t xml:space="preserve"> </w:t>
      </w:r>
      <w:r w:rsidR="00766AF7" w:rsidRPr="00766AF7">
        <w:rPr>
          <w:rFonts w:ascii="Arial" w:hAnsi="Arial" w:cs="Arial"/>
        </w:rPr>
        <w:fldChar w:fldCharType="begin" w:fldLock="1"/>
      </w:r>
      <w:r w:rsidR="006F461E">
        <w:rPr>
          <w:rFonts w:ascii="Arial" w:hAnsi="Arial" w:cs="Arial"/>
        </w:rPr>
        <w:instrText>ADDIN CSL_CITATION {"citationItems":[{"id":"ITEM-1","itemData":{"DOI":"10.1016/J.FSI.2019.08.006","ISSN":"1050-4648","PMID":"31381972","abstract":"Dietary administration of tryptophan has been proved improving growth performance of fish. An 8-week feeding trial was conducted to investigate the effects of dietary tryptophan level on antioxidant capacity and immune response through Nrf2 and TOR signaling pathway. The results showed that, 0.08% tryptophan level significantly increased plasma aspartate aminotransferase (AST), while immunoglobulin M (IgM) and alkaline phosphatase (ALP) were strikingly increased by 0.40% level. The level of plasma complement component 3 (C3), alanine aminotransferase (ALT) and albumin (ALB) were independent of tryptophan supplementation. Total superoxide dismutase (T-SOD), catalase (CAT), total antioxidant capacity (T-AOC) and glutathione (GSH) activity were increased with increasing dietary tryptophan level until 0.40% and then decreased, while the level of malondialdehyde (MDA) showed a reverse trend. 0.19% and 0.28% tryptophan level significantly improved the glutathione peroxidase 1 (GPx-1) activity. Compared with 0.08% dietary tryptophan level, 0.40% level significantly improved nuclear factor erythroid 2-related factor 2 (Nrf2), GPx, manganese superoxide dismutase (Mn-SOD), CAT and transforming growth factor-β (TGF-β) mRNA level, while Kelch-like ECH-associated protein 1 (Keap1) and interleukin 1β (IL-1β) mRNA level were significantly decreased. The relative expression of copper zinc superoxide dismutase (Cu/Zn-SOD), heme oxygenase-1 (HO-1), target of rapamycin (TOR), phosphatidylinositol-4,5-bisphosphate 3-kinase (PI3K), protein kinase B (Akt) and interleukin 10 (IL-10) were significantly improved by 0.28% diet, while the mRNA level of tumor necrosis factor-α (TNF-α) and nuclear factor-kappa B (NF-κB) were increased by 0.08% diet. Interleukin 8 (IL-8) mRNA level was not significantly affected by dietary tryptophan. Based on MDA and T-SOD value, the optimal dietary tryptophan level of juvenile blunt snout bream was determined to be 0.33% (1.03% of dietary protein) and 0.36% (1.13% of dietary protein), respectively, using quadratic regression analysis.","author":[{"dropping-particle":"","family":"Ji","given":"Ke","non-dropping-particle":"","parse-names":false,"suffix":""},{"dropping-particle":"","family":"Liang","given":"Hualiang","non-dropping-particle":"","parse-names":false,"suffix":""},{"dropping-particle":"","family":"Ren","given":"Mingchun","non-dropping-particle":"","parse-names":false,"suffix":""},{"dropping-particle":"","family":"Ge","given":"Xianping","non-dropping-particle":"","parse-names":false,"suffix":""},{"dropping-particle":"","family":"Liu","given":"Bo","non-dropping-particle":"","parse-names":false,"suffix":""},{"dropping-particle":"","family":"Xi","given":"Bingwen","non-dropping-particle":"","parse-names":false,"suffix":""},{"dropping-particle":"","family":"Pan","given":"Liangkun","non-dropping-particle":"","parse-names":false,"suffix":""},{"dropping-particle":"","family":"Yu","given":"Heng","non-dropping-particle":"","parse-names":false,"suffix":""}],"container-title":"Fish &amp; Shellfish Immunology","id":"ITEM-1","issued":{"date-parts":[["2019","10"]]},"page":"474-483","publisher":"Academic Press","title":"Effects of dietary tryptophan levels on antioxidant status and immunity for juvenile blunt snout bream (Megalobrama amblycephala) involved in Nrf2 and TOR signaling pathway","type":"article-journal","volume":"93"},"uris":["http://www.mendeley.com/documents/?uuid=a82e8eb6-0ac8-34a9-a7db-887db73430c6","http://www.mendeley.com/documents/?uuid=fdf181d1-3d6d-4fd3-9127-82d7437fb97f"]}],"mendeley":{"formattedCitation":"(Ji et al., 2019)","manualFormatting":"Ji et al., (2019)","plainTextFormattedCitation":"(Ji et al., 2019)","previouslyFormattedCitation":"(Ji et al., 2019)"},"properties":{"noteIndex":0},"schema":"https://github.com/citation-style-language/schema/raw/master/csl-citation.json"}</w:instrText>
      </w:r>
      <w:r w:rsidR="00766AF7" w:rsidRPr="00766AF7">
        <w:rPr>
          <w:rFonts w:ascii="Arial" w:hAnsi="Arial" w:cs="Arial"/>
        </w:rPr>
        <w:fldChar w:fldCharType="separate"/>
      </w:r>
      <w:r w:rsidR="00766AF7" w:rsidRPr="00766AF7">
        <w:rPr>
          <w:rFonts w:ascii="Arial" w:hAnsi="Arial" w:cs="Arial"/>
          <w:noProof/>
        </w:rPr>
        <w:t xml:space="preserve">Ji </w:t>
      </w:r>
      <w:r w:rsidR="00766AF7" w:rsidRPr="00BA0FB2">
        <w:rPr>
          <w:rFonts w:ascii="Arial" w:hAnsi="Arial" w:cs="Arial"/>
          <w:noProof/>
        </w:rPr>
        <w:t>et al.</w:t>
      </w:r>
      <w:r w:rsidR="00BA0FB2">
        <w:rPr>
          <w:rFonts w:ascii="Arial" w:hAnsi="Arial" w:cs="Arial"/>
          <w:noProof/>
        </w:rPr>
        <w:t>,</w:t>
      </w:r>
      <w:r w:rsidR="00766AF7" w:rsidRPr="00766AF7">
        <w:rPr>
          <w:rFonts w:ascii="Arial" w:hAnsi="Arial" w:cs="Arial"/>
          <w:noProof/>
        </w:rPr>
        <w:t xml:space="preserve"> (2019)</w:t>
      </w:r>
      <w:r w:rsidR="00766AF7" w:rsidRPr="00766AF7">
        <w:rPr>
          <w:rFonts w:ascii="Arial" w:hAnsi="Arial" w:cs="Arial"/>
        </w:rPr>
        <w:fldChar w:fldCharType="end"/>
      </w:r>
      <w:r w:rsidR="00766AF7" w:rsidRPr="00766AF7">
        <w:rPr>
          <w:rFonts w:ascii="Arial" w:hAnsi="Arial" w:cs="Arial"/>
        </w:rPr>
        <w:t xml:space="preserve"> </w:t>
      </w:r>
      <w:r w:rsidR="00B96FE8" w:rsidRPr="00B96FE8">
        <w:rPr>
          <w:rFonts w:ascii="Arial" w:hAnsi="Arial" w:cs="Arial"/>
        </w:rPr>
        <w:t xml:space="preserve">explained that insufficient tryptophan intake can cause eye cataracts in juvenile blunt snout bream. To prevent similar problems in fish, tryptophan should be added to the feed at an optimal dose </w:t>
      </w:r>
      <w:r w:rsidR="003B5B12" w:rsidRPr="00B96FE8">
        <w:rPr>
          <w:rFonts w:ascii="Arial" w:hAnsi="Arial" w:cs="Arial"/>
        </w:rPr>
        <w:t xml:space="preserve">According </w:t>
      </w:r>
      <w:r w:rsidR="00B96FE8" w:rsidRPr="00B96FE8">
        <w:rPr>
          <w:rFonts w:ascii="Arial" w:hAnsi="Arial" w:cs="Arial"/>
        </w:rPr>
        <w:t xml:space="preserve">to the fish's growth requirements. This study aims to determine the effect of tryptophan supplementation in commercial feed on growth parameters, FCR, PER, and Protein Retention, and the optimal dose of tryptophan supplementation in commercial feed on the growth of juvenile </w:t>
      </w:r>
      <w:r w:rsidR="00B96FE8">
        <w:rPr>
          <w:rFonts w:ascii="Arial" w:hAnsi="Arial" w:cs="Arial"/>
        </w:rPr>
        <w:t xml:space="preserve">Mutiara </w:t>
      </w:r>
      <w:r w:rsidR="00B96FE8" w:rsidRPr="00B96FE8">
        <w:rPr>
          <w:rFonts w:ascii="Arial" w:hAnsi="Arial" w:cs="Arial"/>
        </w:rPr>
        <w:t>catfish.</w:t>
      </w:r>
      <w:r w:rsidR="00B96FE8">
        <w:rPr>
          <w:rFonts w:ascii="Arial" w:hAnsi="Arial" w:cs="Arial"/>
        </w:rPr>
        <w:t xml:space="preserve"> </w:t>
      </w:r>
      <w:r w:rsidR="00610F06">
        <w:rPr>
          <w:rFonts w:ascii="Arial" w:eastAsia="Calibri" w:hAnsi="Arial" w:cs="Arial"/>
          <w:szCs w:val="22"/>
        </w:rPr>
        <w:t xml:space="preserve"> </w:t>
      </w:r>
    </w:p>
    <w:p w:rsidR="007B3AB6" w:rsidRPr="001807B2" w:rsidRDefault="000D126E" w:rsidP="000D126E">
      <w:pPr>
        <w:pStyle w:val="Heading1"/>
        <w:rPr>
          <w:sz w:val="22"/>
          <w:szCs w:val="22"/>
        </w:rPr>
      </w:pPr>
      <w:r w:rsidRPr="001807B2">
        <w:rPr>
          <w:sz w:val="22"/>
          <w:szCs w:val="22"/>
        </w:rPr>
        <w:t xml:space="preserve">2. MATERIAL AND METHODS </w:t>
      </w:r>
    </w:p>
    <w:p w:rsidR="00B96FE8" w:rsidRDefault="00B96FE8" w:rsidP="0078076E">
      <w:pPr>
        <w:pStyle w:val="Body"/>
        <w:spacing w:after="0"/>
        <w:rPr>
          <w:rFonts w:ascii="Arial" w:hAnsi="Arial" w:cs="Arial"/>
        </w:rPr>
      </w:pPr>
      <w:r w:rsidRPr="00B96FE8">
        <w:rPr>
          <w:rFonts w:ascii="Arial" w:hAnsi="Arial" w:cs="Arial"/>
        </w:rPr>
        <w:t xml:space="preserve">This research was conducted in December 2025-March 2026, at the Hatchery Building 4, Faculty of Fisheries and Marine Sciences, </w:t>
      </w:r>
      <w:proofErr w:type="spellStart"/>
      <w:r w:rsidRPr="00B96FE8">
        <w:rPr>
          <w:rFonts w:ascii="Arial" w:hAnsi="Arial" w:cs="Arial"/>
        </w:rPr>
        <w:t>Padjadjaran</w:t>
      </w:r>
      <w:proofErr w:type="spellEnd"/>
      <w:r w:rsidRPr="00B96FE8">
        <w:rPr>
          <w:rFonts w:ascii="Arial" w:hAnsi="Arial" w:cs="Arial"/>
        </w:rPr>
        <w:t xml:space="preserve"> University. The tools used in this research include: aquarium (40 x 24 x 25) cm, aerator installation, heater, dissolved oxygen (DO) meter, pH meter, digital scale, label paper, ruler, and siphon tool. The materials used in this research were juvenile catfish measuring 10-13 cm, commercial feed Prima Feed 1000 (39-41%), tryptophan powder, </w:t>
      </w:r>
      <w:proofErr w:type="spellStart"/>
      <w:r w:rsidRPr="00B96FE8">
        <w:rPr>
          <w:rFonts w:ascii="Arial" w:hAnsi="Arial" w:cs="Arial"/>
        </w:rPr>
        <w:t>progol</w:t>
      </w:r>
      <w:proofErr w:type="spellEnd"/>
      <w:r w:rsidRPr="00B96FE8">
        <w:rPr>
          <w:rFonts w:ascii="Arial" w:hAnsi="Arial" w:cs="Arial"/>
        </w:rPr>
        <w:t>, and silica gel.</w:t>
      </w:r>
    </w:p>
    <w:p w:rsidR="00B96FE8" w:rsidRDefault="00B96FE8" w:rsidP="0078076E">
      <w:pPr>
        <w:pStyle w:val="Body"/>
        <w:spacing w:after="0"/>
        <w:rPr>
          <w:rFonts w:ascii="Arial" w:hAnsi="Arial" w:cs="Arial"/>
        </w:rPr>
      </w:pPr>
    </w:p>
    <w:p w:rsidR="004401A1" w:rsidRPr="003B5B12" w:rsidRDefault="00DE360C" w:rsidP="003B5B12">
      <w:pPr>
        <w:pStyle w:val="Head2"/>
        <w:spacing w:after="0"/>
        <w:rPr>
          <w:rFonts w:ascii="Arial" w:hAnsi="Arial" w:cs="Arial"/>
          <w:b/>
          <w:sz w:val="22"/>
          <w:szCs w:val="22"/>
        </w:rPr>
      </w:pPr>
      <w:r>
        <w:rPr>
          <w:rFonts w:ascii="Arial" w:hAnsi="Arial" w:cs="Arial"/>
          <w:b/>
          <w:caps w:val="0"/>
          <w:sz w:val="22"/>
          <w:szCs w:val="22"/>
        </w:rPr>
        <w:t>2.1 Research Design</w:t>
      </w:r>
    </w:p>
    <w:p w:rsidR="00B96FE8" w:rsidRDefault="00B96FE8" w:rsidP="0078076E">
      <w:pPr>
        <w:pStyle w:val="Body"/>
        <w:spacing w:after="0"/>
        <w:rPr>
          <w:rFonts w:ascii="Arial" w:hAnsi="Arial" w:cs="Arial"/>
        </w:rPr>
      </w:pPr>
      <w:r w:rsidRPr="00B96FE8">
        <w:rPr>
          <w:rFonts w:ascii="Arial" w:hAnsi="Arial" w:cs="Arial"/>
        </w:rPr>
        <w:t>This research was conducted experimentally using a Completely Randomized Design (CRD) with four treatments and four replications. The treatments used were the addition of tryptophan: (A) 0% (control), (B) 0.15%, (C) =0.3% and (D) 0.45%.</w:t>
      </w:r>
    </w:p>
    <w:p w:rsidR="00B96FE8" w:rsidRDefault="00B96FE8" w:rsidP="0078076E">
      <w:pPr>
        <w:pStyle w:val="Body"/>
        <w:spacing w:after="0"/>
        <w:rPr>
          <w:rFonts w:ascii="Arial" w:hAnsi="Arial" w:cs="Arial"/>
        </w:rPr>
      </w:pPr>
    </w:p>
    <w:p w:rsidR="00957835" w:rsidRPr="00422382" w:rsidRDefault="00957835" w:rsidP="003B5B12">
      <w:pPr>
        <w:pStyle w:val="Head3"/>
        <w:spacing w:after="0"/>
        <w:rPr>
          <w:rFonts w:ascii="Arial" w:hAnsi="Arial" w:cs="Arial"/>
          <w:b/>
        </w:rPr>
      </w:pPr>
      <w:r w:rsidRPr="00422382">
        <w:rPr>
          <w:rFonts w:ascii="Arial" w:hAnsi="Arial" w:cs="Arial"/>
          <w:b/>
        </w:rPr>
        <w:t xml:space="preserve">2.1.1 </w:t>
      </w:r>
      <w:r w:rsidR="00422382">
        <w:rPr>
          <w:rFonts w:ascii="Arial" w:hAnsi="Arial" w:cs="Arial"/>
          <w:b/>
        </w:rPr>
        <w:t>Preparation for Implementation</w:t>
      </w:r>
    </w:p>
    <w:p w:rsidR="00B96FE8" w:rsidRDefault="00B96FE8" w:rsidP="0078076E">
      <w:pPr>
        <w:pStyle w:val="Body"/>
        <w:spacing w:after="0"/>
        <w:rPr>
          <w:rFonts w:ascii="Arial" w:hAnsi="Arial" w:cs="Arial"/>
        </w:rPr>
      </w:pPr>
      <w:r w:rsidRPr="00B96FE8">
        <w:rPr>
          <w:rFonts w:ascii="Arial" w:hAnsi="Arial" w:cs="Arial"/>
        </w:rPr>
        <w:t>The aquariums were thoroughly cleaned, dried, and labeled according to the treatment. Each aquarium was filled with 16 L of water and aerated for 24 hours before the fish were introduced. The fish were measured for length and weight, then placed in the aquariums at a stocking density of four. Acclimatization was carried out for 14 days to reduce stress levels.</w:t>
      </w:r>
    </w:p>
    <w:p w:rsidR="00B96FE8" w:rsidRDefault="00B96FE8" w:rsidP="0078076E">
      <w:pPr>
        <w:pStyle w:val="Body"/>
        <w:spacing w:after="0"/>
        <w:rPr>
          <w:rFonts w:ascii="Arial" w:hAnsi="Arial" w:cs="Arial"/>
        </w:rPr>
      </w:pPr>
    </w:p>
    <w:p w:rsidR="00957835" w:rsidRPr="00422382" w:rsidRDefault="00957835" w:rsidP="003B5B12">
      <w:pPr>
        <w:pStyle w:val="Head3"/>
        <w:spacing w:after="0"/>
        <w:rPr>
          <w:rFonts w:ascii="Arial" w:hAnsi="Arial" w:cs="Arial"/>
          <w:b/>
          <w:bCs/>
        </w:rPr>
      </w:pPr>
      <w:r w:rsidRPr="00422382">
        <w:rPr>
          <w:rFonts w:ascii="Arial" w:hAnsi="Arial" w:cs="Arial"/>
          <w:b/>
          <w:bCs/>
        </w:rPr>
        <w:t xml:space="preserve">2.1.2 </w:t>
      </w:r>
      <w:r w:rsidR="00422382">
        <w:rPr>
          <w:rFonts w:ascii="Arial" w:hAnsi="Arial" w:cs="Arial"/>
          <w:b/>
          <w:bCs/>
        </w:rPr>
        <w:t xml:space="preserve">Implementation of Research </w:t>
      </w:r>
    </w:p>
    <w:p w:rsidR="00B96FE8" w:rsidRDefault="00B96FE8" w:rsidP="0078076E">
      <w:pPr>
        <w:pStyle w:val="Body"/>
        <w:spacing w:after="0"/>
        <w:rPr>
          <w:rFonts w:ascii="Arial" w:hAnsi="Arial" w:cs="Arial"/>
        </w:rPr>
      </w:pPr>
      <w:r w:rsidRPr="00B96FE8">
        <w:rPr>
          <w:rFonts w:ascii="Arial" w:hAnsi="Arial" w:cs="Arial"/>
        </w:rPr>
        <w:t xml:space="preserve">This study was conducted over 56 days, with sampling every seven days. Tryptophan supplementation was performed using a coating method. Feeding was carried out twice daily, at 8:00 AM and 4:00 PM WIB. The amount of feed given was 5% of the fish biomass in each aquarium and adjusted according to their growth every seven days. Proximate analysis was conducted at the beginning and end of the study at the Central Laboratory of </w:t>
      </w:r>
      <w:proofErr w:type="spellStart"/>
      <w:r w:rsidRPr="00B96FE8">
        <w:rPr>
          <w:rFonts w:ascii="Arial" w:hAnsi="Arial" w:cs="Arial"/>
        </w:rPr>
        <w:t>Padjajaran</w:t>
      </w:r>
      <w:proofErr w:type="spellEnd"/>
      <w:r w:rsidRPr="00B96FE8">
        <w:rPr>
          <w:rFonts w:ascii="Arial" w:hAnsi="Arial" w:cs="Arial"/>
        </w:rPr>
        <w:t xml:space="preserve"> University.</w:t>
      </w:r>
    </w:p>
    <w:p w:rsidR="00B96FE8" w:rsidRDefault="00B96FE8" w:rsidP="0078076E">
      <w:pPr>
        <w:pStyle w:val="Body"/>
        <w:spacing w:after="0"/>
        <w:rPr>
          <w:rFonts w:ascii="Arial" w:hAnsi="Arial" w:cs="Arial"/>
        </w:rPr>
      </w:pPr>
    </w:p>
    <w:p w:rsidR="00E20EFF" w:rsidRPr="003B5B12" w:rsidRDefault="00E20EFF" w:rsidP="003B5B12">
      <w:pPr>
        <w:pStyle w:val="Head2"/>
        <w:spacing w:after="0"/>
        <w:rPr>
          <w:rFonts w:ascii="Arial" w:hAnsi="Arial" w:cs="Arial"/>
          <w:b/>
          <w:bCs/>
          <w:sz w:val="22"/>
          <w:szCs w:val="22"/>
        </w:rPr>
      </w:pPr>
      <w:r w:rsidRPr="003B5B12">
        <w:rPr>
          <w:rFonts w:ascii="Arial" w:hAnsi="Arial" w:cs="Arial"/>
          <w:b/>
          <w:bCs/>
          <w:sz w:val="22"/>
          <w:szCs w:val="22"/>
        </w:rPr>
        <w:lastRenderedPageBreak/>
        <w:t xml:space="preserve">2.3 </w:t>
      </w:r>
      <w:r w:rsidR="00DE360C">
        <w:rPr>
          <w:rFonts w:ascii="Arial" w:hAnsi="Arial" w:cs="Arial"/>
          <w:b/>
          <w:bCs/>
          <w:caps w:val="0"/>
          <w:sz w:val="22"/>
          <w:szCs w:val="22"/>
        </w:rPr>
        <w:t xml:space="preserve">Observation Parameters </w:t>
      </w:r>
    </w:p>
    <w:p w:rsidR="00E20EFF" w:rsidRPr="00422382" w:rsidRDefault="00E20EFF" w:rsidP="003B5B12">
      <w:pPr>
        <w:pStyle w:val="Head3"/>
        <w:spacing w:after="0"/>
        <w:rPr>
          <w:rFonts w:ascii="Arial" w:hAnsi="Arial" w:cs="Arial"/>
          <w:b/>
          <w:bCs/>
        </w:rPr>
      </w:pPr>
      <w:r w:rsidRPr="00422382">
        <w:rPr>
          <w:rFonts w:ascii="Arial" w:hAnsi="Arial" w:cs="Arial"/>
          <w:b/>
          <w:bCs/>
        </w:rPr>
        <w:t xml:space="preserve">2.3.1 </w:t>
      </w:r>
      <w:r w:rsidR="0057404D" w:rsidRPr="00422382">
        <w:rPr>
          <w:rFonts w:ascii="Arial" w:hAnsi="Arial" w:cs="Arial"/>
          <w:b/>
          <w:bCs/>
        </w:rPr>
        <w:t xml:space="preserve">Average Weight Gain </w:t>
      </w:r>
    </w:p>
    <w:p w:rsidR="0078076E" w:rsidRPr="00F80F7D" w:rsidRDefault="00377210" w:rsidP="0078076E">
      <w:pPr>
        <w:pStyle w:val="Body"/>
        <w:spacing w:after="0"/>
        <w:rPr>
          <w:rFonts w:ascii="Arial" w:hAnsi="Arial" w:cs="Arial"/>
        </w:rPr>
      </w:pPr>
      <w:r w:rsidRPr="00377210">
        <w:rPr>
          <w:rFonts w:ascii="Arial" w:hAnsi="Arial" w:cs="Arial"/>
        </w:rPr>
        <w:t>The average weight growth is calculated using the</w:t>
      </w:r>
      <w:r w:rsidR="0078076E" w:rsidRPr="00F80F7D">
        <w:rPr>
          <w:rFonts w:ascii="Arial" w:hAnsi="Arial" w:cs="Arial"/>
        </w:rPr>
        <w:t xml:space="preserve"> </w:t>
      </w:r>
      <w:r w:rsidR="0078076E" w:rsidRPr="00F80F7D">
        <w:rPr>
          <w:rFonts w:ascii="Arial" w:hAnsi="Arial" w:cs="Arial"/>
        </w:rPr>
        <w:fldChar w:fldCharType="begin" w:fldLock="1"/>
      </w:r>
      <w:r w:rsidR="0078076E" w:rsidRPr="00F80F7D">
        <w:rPr>
          <w:rFonts w:ascii="Arial" w:hAnsi="Arial" w:cs="Arial"/>
        </w:rPr>
        <w:instrText>ADDIN CSL_CITATION {"citationItems":[{"id":"ITEM-1","itemData":{"author":[{"dropping-particle":"","family":"Masyahoro","given":"A","non-dropping-particle":"","parse-names":false,"suffix":""},{"dropping-particle":"","family":"Setiawan","given":"Moh Arif Budias","non-dropping-particle":"","parse-names":false,"suffix":""}],"container-title":"Jurnal Ilmiah AgriSains","id":"ITEM-1","issue":"2","issued":{"date-parts":[["2023"]]},"page":"103-113","title":"Pertumbuhan Benih Ikan Kakap Putih (Lates calcarifer, Bloch 1790) pada Berbagai Salinitas dan Dosis Pakan Limbah Kepala Udang dalam Wadah terkontrol","type":"article-journal","volume":"24"},"uris":["http://www.mendeley.com/documents/?uuid=79a22039-ec32-4d96-8af6-853474b59c13","http://www.mendeley.com/documents/?uuid=c6fa2f31-a479-4ad4-951d-47d14343eef2"]}],"mendeley":{"formattedCitation":"(Masyahoro &amp; Setiawan, 2023)","manualFormatting":"Masyahoro &amp; Setiawan (2023)","plainTextFormattedCitation":"(Masyahoro &amp; Setiawan, 2023)","previouslyFormattedCitation":"(Masyahoro &amp; Setiawan, 2023)"},"properties":{"noteIndex":0},"schema":"https://github.com/citation-style-language/schema/raw/master/csl-citation.json"}</w:instrText>
      </w:r>
      <w:r w:rsidR="0078076E" w:rsidRPr="00F80F7D">
        <w:rPr>
          <w:rFonts w:ascii="Arial" w:hAnsi="Arial" w:cs="Arial"/>
        </w:rPr>
        <w:fldChar w:fldCharType="separate"/>
      </w:r>
      <w:r w:rsidR="0078076E" w:rsidRPr="00F80F7D">
        <w:rPr>
          <w:rFonts w:ascii="Arial" w:hAnsi="Arial" w:cs="Arial"/>
          <w:noProof/>
        </w:rPr>
        <w:t>Masyahoro &amp; Setiawan (2023)</w:t>
      </w:r>
      <w:r w:rsidR="0078076E" w:rsidRPr="00F80F7D">
        <w:rPr>
          <w:rFonts w:ascii="Arial" w:hAnsi="Arial" w:cs="Arial"/>
        </w:rPr>
        <w:fldChar w:fldCharType="end"/>
      </w:r>
      <w:r>
        <w:rPr>
          <w:rFonts w:ascii="Arial" w:hAnsi="Arial" w:cs="Arial"/>
        </w:rPr>
        <w:t xml:space="preserve"> formula is</w:t>
      </w:r>
      <w:r w:rsidR="0078076E" w:rsidRPr="00F80F7D">
        <w:rPr>
          <w:rFonts w:ascii="Arial" w:hAnsi="Arial" w:cs="Arial"/>
        </w:rPr>
        <w:t xml:space="preserve">: </w:t>
      </w:r>
    </w:p>
    <w:p w:rsidR="00F80F7D" w:rsidRPr="0057404D" w:rsidRDefault="0057404D" w:rsidP="0078076E">
      <w:pPr>
        <w:pStyle w:val="Body"/>
        <w:spacing w:after="0"/>
        <w:rPr>
          <w:rFonts w:ascii="Arial" w:hAnsi="Arial" w:cs="Arial"/>
        </w:rPr>
      </w:pPr>
      <m:oMathPara>
        <m:oMath>
          <m:r>
            <m:rPr>
              <m:sty m:val="p"/>
            </m:rPr>
            <w:rPr>
              <w:rFonts w:ascii="Cambria Math" w:hAnsi="Cambria Math" w:cs="Arial"/>
            </w:rPr>
            <m:t>AWG=Wt-W0</m:t>
          </m:r>
        </m:oMath>
      </m:oMathPara>
    </w:p>
    <w:p w:rsidR="00F80F7D" w:rsidRPr="00F80F7D" w:rsidRDefault="00F80F7D" w:rsidP="000B797B">
      <w:pPr>
        <w:jc w:val="both"/>
        <w:rPr>
          <w:rFonts w:ascii="Arial" w:hAnsi="Arial" w:cs="Arial"/>
        </w:rPr>
      </w:pPr>
      <w:proofErr w:type="spellStart"/>
      <w:r w:rsidRPr="00F80F7D">
        <w:rPr>
          <w:rFonts w:ascii="Arial" w:hAnsi="Arial" w:cs="Arial"/>
        </w:rPr>
        <w:t>Keterangan</w:t>
      </w:r>
      <w:proofErr w:type="spellEnd"/>
      <w:r w:rsidRPr="00F80F7D">
        <w:rPr>
          <w:rFonts w:ascii="Arial" w:hAnsi="Arial" w:cs="Arial"/>
        </w:rPr>
        <w:t xml:space="preserve">: </w:t>
      </w:r>
    </w:p>
    <w:p w:rsidR="00F80F7D" w:rsidRPr="00F80F7D" w:rsidRDefault="0057404D" w:rsidP="000B797B">
      <w:pPr>
        <w:jc w:val="both"/>
        <w:rPr>
          <w:rFonts w:ascii="Arial" w:hAnsi="Arial" w:cs="Arial"/>
        </w:rPr>
      </w:pPr>
      <w:r>
        <w:rPr>
          <w:rFonts w:ascii="Arial" w:hAnsi="Arial" w:cs="Arial"/>
        </w:rPr>
        <w:t>A</w:t>
      </w:r>
      <w:r w:rsidR="00F80F7D" w:rsidRPr="00F80F7D">
        <w:rPr>
          <w:rFonts w:ascii="Arial" w:hAnsi="Arial" w:cs="Arial"/>
        </w:rPr>
        <w:t>W</w:t>
      </w:r>
      <w:r>
        <w:rPr>
          <w:rFonts w:ascii="Arial" w:hAnsi="Arial" w:cs="Arial"/>
        </w:rPr>
        <w:t>G</w:t>
      </w:r>
      <w:r w:rsidR="00F80F7D" w:rsidRPr="00F80F7D">
        <w:rPr>
          <w:rFonts w:ascii="Arial" w:hAnsi="Arial" w:cs="Arial"/>
        </w:rPr>
        <w:tab/>
        <w:t xml:space="preserve">: </w:t>
      </w:r>
      <w:r>
        <w:rPr>
          <w:rFonts w:ascii="Arial" w:hAnsi="Arial" w:cs="Arial"/>
        </w:rPr>
        <w:t xml:space="preserve">Average Weight Gain </w:t>
      </w:r>
      <w:r w:rsidR="00F80F7D" w:rsidRPr="00F80F7D">
        <w:rPr>
          <w:rFonts w:ascii="Arial" w:hAnsi="Arial" w:cs="Arial"/>
        </w:rPr>
        <w:t xml:space="preserve">(g) </w:t>
      </w:r>
    </w:p>
    <w:p w:rsidR="00F80F7D" w:rsidRPr="00F80F7D" w:rsidRDefault="00F80F7D" w:rsidP="000B797B">
      <w:pPr>
        <w:jc w:val="both"/>
        <w:rPr>
          <w:rFonts w:ascii="Arial" w:hAnsi="Arial" w:cs="Arial"/>
        </w:rPr>
      </w:pPr>
      <w:proofErr w:type="spellStart"/>
      <w:r w:rsidRPr="00F80F7D">
        <w:rPr>
          <w:rFonts w:ascii="Arial" w:hAnsi="Arial" w:cs="Arial"/>
        </w:rPr>
        <w:t>Wt</w:t>
      </w:r>
      <w:proofErr w:type="spellEnd"/>
      <w:r w:rsidRPr="00F80F7D">
        <w:rPr>
          <w:rFonts w:ascii="Arial" w:hAnsi="Arial" w:cs="Arial"/>
        </w:rPr>
        <w:tab/>
        <w:t xml:space="preserve">: </w:t>
      </w:r>
      <w:r w:rsidR="0057404D">
        <w:rPr>
          <w:rFonts w:ascii="Arial" w:hAnsi="Arial" w:cs="Arial"/>
        </w:rPr>
        <w:t>Final fish weight of the research</w:t>
      </w:r>
      <w:r w:rsidR="0057404D" w:rsidRPr="0057404D">
        <w:rPr>
          <w:rFonts w:ascii="Arial" w:hAnsi="Arial" w:cs="Arial"/>
        </w:rPr>
        <w:t xml:space="preserve"> </w:t>
      </w:r>
      <w:r w:rsidRPr="00F80F7D">
        <w:rPr>
          <w:rFonts w:ascii="Arial" w:hAnsi="Arial" w:cs="Arial"/>
        </w:rPr>
        <w:t xml:space="preserve">(g) </w:t>
      </w:r>
    </w:p>
    <w:p w:rsidR="00F80F7D" w:rsidRDefault="00F80F7D" w:rsidP="00DA55EA">
      <w:pPr>
        <w:jc w:val="both"/>
        <w:rPr>
          <w:rFonts w:ascii="Arial" w:hAnsi="Arial" w:cs="Arial"/>
        </w:rPr>
      </w:pPr>
      <w:r w:rsidRPr="00F80F7D">
        <w:rPr>
          <w:rFonts w:ascii="Arial" w:hAnsi="Arial" w:cs="Arial"/>
        </w:rPr>
        <w:t>W0</w:t>
      </w:r>
      <w:r w:rsidRPr="00F80F7D">
        <w:rPr>
          <w:rFonts w:ascii="Arial" w:hAnsi="Arial" w:cs="Arial"/>
        </w:rPr>
        <w:tab/>
        <w:t xml:space="preserve">: </w:t>
      </w:r>
      <w:r w:rsidR="0057404D" w:rsidRPr="0057404D">
        <w:rPr>
          <w:rFonts w:ascii="Arial" w:hAnsi="Arial" w:cs="Arial"/>
        </w:rPr>
        <w:t xml:space="preserve">Initial fish weight of the </w:t>
      </w:r>
      <w:r w:rsidR="0057404D">
        <w:rPr>
          <w:rFonts w:ascii="Arial" w:hAnsi="Arial" w:cs="Arial"/>
        </w:rPr>
        <w:t>research</w:t>
      </w:r>
      <w:r w:rsidR="0057404D" w:rsidRPr="0057404D">
        <w:rPr>
          <w:rFonts w:ascii="Arial" w:hAnsi="Arial" w:cs="Arial"/>
        </w:rPr>
        <w:t xml:space="preserve"> </w:t>
      </w:r>
      <w:r w:rsidRPr="00F80F7D">
        <w:rPr>
          <w:rFonts w:ascii="Arial" w:hAnsi="Arial" w:cs="Arial"/>
        </w:rPr>
        <w:t>(g)</w:t>
      </w:r>
    </w:p>
    <w:p w:rsidR="00DA55EA" w:rsidRPr="00DA55EA" w:rsidRDefault="00DA55EA" w:rsidP="00DA55EA">
      <w:pPr>
        <w:jc w:val="both"/>
        <w:rPr>
          <w:rFonts w:ascii="Arial" w:hAnsi="Arial" w:cs="Arial"/>
        </w:rPr>
      </w:pPr>
    </w:p>
    <w:p w:rsidR="0078076E" w:rsidRPr="00422382" w:rsidRDefault="0078076E" w:rsidP="003B5B12">
      <w:pPr>
        <w:pStyle w:val="Head3"/>
        <w:spacing w:after="0"/>
        <w:rPr>
          <w:rFonts w:ascii="Arial" w:hAnsi="Arial" w:cs="Arial"/>
          <w:b/>
          <w:bCs/>
        </w:rPr>
      </w:pPr>
      <w:r w:rsidRPr="00422382">
        <w:rPr>
          <w:rFonts w:ascii="Arial" w:hAnsi="Arial" w:cs="Arial"/>
          <w:b/>
          <w:bCs/>
        </w:rPr>
        <w:t>2</w:t>
      </w:r>
      <w:r w:rsidR="00DA55EA" w:rsidRPr="00422382">
        <w:rPr>
          <w:rFonts w:ascii="Arial" w:hAnsi="Arial" w:cs="Arial"/>
          <w:b/>
          <w:bCs/>
        </w:rPr>
        <w:t>.3.2</w:t>
      </w:r>
      <w:r w:rsidR="00377210" w:rsidRPr="00422382">
        <w:rPr>
          <w:rFonts w:ascii="Arial" w:hAnsi="Arial" w:cs="Arial"/>
          <w:b/>
          <w:bCs/>
        </w:rPr>
        <w:t xml:space="preserve"> Feed Conve</w:t>
      </w:r>
      <w:r w:rsidR="0057404D" w:rsidRPr="00422382">
        <w:rPr>
          <w:rFonts w:ascii="Arial" w:hAnsi="Arial" w:cs="Arial"/>
          <w:b/>
          <w:bCs/>
        </w:rPr>
        <w:t>rsion Ratio</w:t>
      </w:r>
      <w:r w:rsidRPr="00422382">
        <w:rPr>
          <w:rFonts w:ascii="Arial" w:hAnsi="Arial" w:cs="Arial"/>
          <w:b/>
          <w:bCs/>
        </w:rPr>
        <w:t xml:space="preserve"> (FCR)</w:t>
      </w:r>
    </w:p>
    <w:p w:rsidR="00F80F7D" w:rsidRPr="00F80F7D" w:rsidRDefault="00377210" w:rsidP="004401A1">
      <w:pPr>
        <w:pStyle w:val="Body"/>
        <w:rPr>
          <w:rFonts w:ascii="Arial" w:hAnsi="Arial" w:cs="Arial"/>
        </w:rPr>
      </w:pPr>
      <w:r w:rsidRPr="00377210">
        <w:rPr>
          <w:rFonts w:ascii="Arial" w:hAnsi="Arial" w:cs="Arial"/>
        </w:rPr>
        <w:t xml:space="preserve">The feed conversion ratio is calculated according to </w:t>
      </w:r>
      <w:r w:rsidR="00F80F7D" w:rsidRPr="00F80F7D">
        <w:rPr>
          <w:rFonts w:ascii="Arial" w:hAnsi="Arial" w:cs="Arial"/>
        </w:rPr>
        <w:fldChar w:fldCharType="begin" w:fldLock="1"/>
      </w:r>
      <w:r w:rsidR="00F80F7D" w:rsidRPr="00F80F7D">
        <w:rPr>
          <w:rFonts w:ascii="Arial" w:hAnsi="Arial" w:cs="Arial"/>
        </w:rPr>
        <w:instrText>ADDIN CSL_CITATION {"citationItems":[{"id":"ITEM-1","itemData":{"abstract":"Prebiotik fruktooligosakarida (FOS) diketahui berperan penting dalam proses digesti, absorpsi dan metabolisme nutrien dalam organisme. Suplementasi prebiotik telah terbukti mampu meningkatkan pertumbuhan, utilisasi nutrien dan resistensi terhadap penyakit, tetapi potensi prebiotik terhadap udang belum banyak diketahui. Suplementasi FOS dalam pakan diamati pengaruhnya terhadap parameter pertumbuhan udang L. vannamei selama 12 hari. FOS disuplementasikan ke dalam pakan udang buatan (protein 38%, lemak 5%, dan serat 3%) dengan konsentrasi 0,5%; 1,0%; dan 2,0% (w/w). Efek prebiotik terhadap parameter pertumbuhan (berat dan panjang), kelulushidupan dan rasio konversi pakan diamati pada hari ke empat, ke delapan dan hari ke dua belas perlakuan. Hasil penelitian menunjukkan bahwa sampai hari ke dua belas suplementasi prebiotik FOS mampu meningkatkan pertumbuhan (berat dan panjang), tetapi tidak berpengaruh terhadap kelulus hidupan dan rasio konversi pakan. Kata kunci : Prebiotik, FOS, L. vannamei","author":[{"dropping-particle":"","family":"Ridlo","given":"Ali","non-dropping-particle":"","parse-names":false,"suffix":""},{"dropping-particle":"","family":"Subagiyo","given":"Subagiyo","non-dropping-particle":"","parse-names":false,"suffix":""}],"container-title":"Buletin Oseanografi Marina","id":"ITEM-1","issue":"4","issued":{"date-parts":[["2013"]]},"page":"1-8","title":"Pertumbuhan, Rasio Konversi Pakan dan Kelulushidupan Udang Litopenaeus vannamei yang Diberi Pakan dengan Suplementasi Prebiotik FOS (Fruktooligosakarida)","type":"article-journal","volume":"2"},"uris":["http://www.mendeley.com/documents/?uuid=e1febf66-be2a-4b27-8a65-195f5bcbeb5d","http://www.mendeley.com/documents/?uuid=bab872a1-5791-4f0d-84f3-fb30e8ea29c1"]}],"mendeley":{"formattedCitation":"(Ridlo &amp; Subagiyo, 2013)","manualFormatting":"Ridlo &amp; Subagiyo (2013)","plainTextFormattedCitation":"(Ridlo &amp; Subagiyo, 2013)","previouslyFormattedCitation":"(Ridlo &amp; Subagiyo, 2013)"},"properties":{"noteIndex":0},"schema":"https://github.com/citation-style-language/schema/raw/master/csl-citation.json"}</w:instrText>
      </w:r>
      <w:r w:rsidR="00F80F7D" w:rsidRPr="00F80F7D">
        <w:rPr>
          <w:rFonts w:ascii="Arial" w:hAnsi="Arial" w:cs="Arial"/>
        </w:rPr>
        <w:fldChar w:fldCharType="separate"/>
      </w:r>
      <w:r w:rsidR="00F80F7D" w:rsidRPr="00F80F7D">
        <w:rPr>
          <w:rFonts w:ascii="Arial" w:hAnsi="Arial" w:cs="Arial"/>
          <w:noProof/>
        </w:rPr>
        <w:t>Ridlo &amp; Subagiyo (2013)</w:t>
      </w:r>
      <w:r w:rsidR="00F80F7D" w:rsidRPr="00F80F7D">
        <w:rPr>
          <w:rFonts w:ascii="Arial" w:hAnsi="Arial" w:cs="Arial"/>
        </w:rPr>
        <w:fldChar w:fldCharType="end"/>
      </w:r>
      <w:r w:rsidR="00F80F7D" w:rsidRPr="00F80F7D">
        <w:rPr>
          <w:rFonts w:ascii="Arial" w:hAnsi="Arial" w:cs="Arial"/>
        </w:rPr>
        <w:t xml:space="preserve"> </w:t>
      </w:r>
      <w:r>
        <w:rPr>
          <w:rFonts w:ascii="Arial" w:hAnsi="Arial" w:cs="Arial"/>
        </w:rPr>
        <w:t xml:space="preserve">is: </w:t>
      </w:r>
    </w:p>
    <w:p w:rsidR="00F80F7D" w:rsidRPr="00377210" w:rsidRDefault="00377210" w:rsidP="004401A1">
      <w:pPr>
        <w:pStyle w:val="Body"/>
        <w:rPr>
          <w:rFonts w:ascii="Arial" w:hAnsi="Arial" w:cs="Arial"/>
        </w:rPr>
      </w:pPr>
      <m:oMathPara>
        <m:oMath>
          <m:r>
            <m:rPr>
              <m:sty m:val="p"/>
            </m:rPr>
            <w:rPr>
              <w:rFonts w:ascii="Cambria Math" w:hAnsi="Cambria Math" w:cs="Arial"/>
            </w:rPr>
            <m:t>FCR=</m:t>
          </m:r>
          <m:f>
            <m:fPr>
              <m:ctrlPr>
                <w:rPr>
                  <w:rFonts w:ascii="Cambria Math" w:hAnsi="Cambria Math" w:cs="Arial"/>
                </w:rPr>
              </m:ctrlPr>
            </m:fPr>
            <m:num>
              <m:r>
                <m:rPr>
                  <m:sty m:val="p"/>
                </m:rPr>
                <w:rPr>
                  <w:rFonts w:ascii="Cambria Math" w:hAnsi="Cambria Math" w:cs="Arial"/>
                </w:rPr>
                <m:t>F</m:t>
              </m:r>
            </m:num>
            <m:den>
              <m:d>
                <m:dPr>
                  <m:ctrlPr>
                    <w:rPr>
                      <w:rFonts w:ascii="Cambria Math" w:hAnsi="Cambria Math" w:cs="Arial"/>
                    </w:rPr>
                  </m:ctrlPr>
                </m:dPr>
                <m:e>
                  <m:r>
                    <m:rPr>
                      <m:sty m:val="p"/>
                    </m:rPr>
                    <w:rPr>
                      <w:rFonts w:ascii="Cambria Math" w:hAnsi="Cambria Math" w:cs="Arial"/>
                    </w:rPr>
                    <m:t>Wt+D</m:t>
                  </m:r>
                </m:e>
              </m:d>
              <m:r>
                <m:rPr>
                  <m:sty m:val="p"/>
                </m:rPr>
                <w:rPr>
                  <w:rFonts w:ascii="Cambria Math" w:hAnsi="Cambria Math" w:cs="Arial"/>
                </w:rPr>
                <m:t>-W0</m:t>
              </m:r>
            </m:den>
          </m:f>
        </m:oMath>
      </m:oMathPara>
    </w:p>
    <w:p w:rsidR="00F80F7D" w:rsidRPr="00F80F7D" w:rsidRDefault="00F80F7D" w:rsidP="00F80F7D">
      <w:pPr>
        <w:pStyle w:val="Body"/>
        <w:spacing w:after="0"/>
        <w:rPr>
          <w:rFonts w:ascii="Arial" w:hAnsi="Arial" w:cs="Arial"/>
        </w:rPr>
      </w:pPr>
      <w:proofErr w:type="spellStart"/>
      <w:r w:rsidRPr="00F80F7D">
        <w:rPr>
          <w:rFonts w:ascii="Arial" w:hAnsi="Arial" w:cs="Arial"/>
        </w:rPr>
        <w:t>Keterangan</w:t>
      </w:r>
      <w:proofErr w:type="spellEnd"/>
      <w:r w:rsidRPr="00F80F7D">
        <w:rPr>
          <w:rFonts w:ascii="Arial" w:hAnsi="Arial" w:cs="Arial"/>
        </w:rPr>
        <w:t xml:space="preserve"> </w:t>
      </w:r>
    </w:p>
    <w:p w:rsidR="00F80F7D" w:rsidRPr="00F80F7D" w:rsidRDefault="00F80F7D" w:rsidP="00F80F7D">
      <w:pPr>
        <w:pStyle w:val="Body"/>
        <w:spacing w:after="0"/>
        <w:rPr>
          <w:rFonts w:ascii="Arial" w:hAnsi="Arial" w:cs="Arial"/>
        </w:rPr>
      </w:pPr>
      <w:r w:rsidRPr="00F80F7D">
        <w:rPr>
          <w:rFonts w:ascii="Arial" w:hAnsi="Arial" w:cs="Arial"/>
        </w:rPr>
        <w:t>FCR</w:t>
      </w:r>
      <w:r w:rsidRPr="00F80F7D">
        <w:rPr>
          <w:rFonts w:ascii="Arial" w:hAnsi="Arial" w:cs="Arial"/>
        </w:rPr>
        <w:tab/>
        <w:t xml:space="preserve">: </w:t>
      </w:r>
      <w:r w:rsidR="00377210">
        <w:rPr>
          <w:rFonts w:ascii="Arial" w:hAnsi="Arial" w:cs="Arial"/>
        </w:rPr>
        <w:t>Feed Conversion Ratio</w:t>
      </w:r>
    </w:p>
    <w:p w:rsidR="00F80F7D" w:rsidRPr="00F80F7D" w:rsidRDefault="00F80F7D" w:rsidP="00F80F7D">
      <w:pPr>
        <w:pStyle w:val="Body"/>
        <w:spacing w:after="0"/>
        <w:rPr>
          <w:rFonts w:ascii="Arial" w:hAnsi="Arial" w:cs="Arial"/>
        </w:rPr>
      </w:pPr>
      <w:r w:rsidRPr="00F80F7D">
        <w:rPr>
          <w:rFonts w:ascii="Arial" w:hAnsi="Arial" w:cs="Arial"/>
        </w:rPr>
        <w:t>F</w:t>
      </w:r>
      <w:r w:rsidRPr="00F80F7D">
        <w:rPr>
          <w:rFonts w:ascii="Arial" w:hAnsi="Arial" w:cs="Arial"/>
        </w:rPr>
        <w:tab/>
        <w:t xml:space="preserve">: </w:t>
      </w:r>
      <w:r w:rsidR="00377210">
        <w:rPr>
          <w:rFonts w:ascii="Arial" w:hAnsi="Arial" w:cs="Arial"/>
        </w:rPr>
        <w:t xml:space="preserve">Weight of Feed given </w:t>
      </w:r>
      <w:r w:rsidRPr="00F80F7D">
        <w:rPr>
          <w:rFonts w:ascii="Arial" w:hAnsi="Arial" w:cs="Arial"/>
        </w:rPr>
        <w:t>(g)</w:t>
      </w:r>
    </w:p>
    <w:p w:rsidR="00F80F7D" w:rsidRPr="00F80F7D" w:rsidRDefault="00F80F7D" w:rsidP="00F80F7D">
      <w:pPr>
        <w:pStyle w:val="Body"/>
        <w:spacing w:after="0"/>
        <w:rPr>
          <w:rFonts w:ascii="Arial" w:hAnsi="Arial" w:cs="Arial"/>
        </w:rPr>
      </w:pPr>
      <w:proofErr w:type="spellStart"/>
      <w:r w:rsidRPr="00F80F7D">
        <w:rPr>
          <w:rFonts w:ascii="Arial" w:hAnsi="Arial" w:cs="Arial"/>
        </w:rPr>
        <w:t>Wt</w:t>
      </w:r>
      <w:proofErr w:type="spellEnd"/>
      <w:r w:rsidRPr="00F80F7D">
        <w:rPr>
          <w:rFonts w:ascii="Arial" w:hAnsi="Arial" w:cs="Arial"/>
        </w:rPr>
        <w:tab/>
        <w:t xml:space="preserve">: </w:t>
      </w:r>
      <w:r w:rsidR="00377210">
        <w:rPr>
          <w:rFonts w:ascii="Arial" w:hAnsi="Arial" w:cs="Arial"/>
        </w:rPr>
        <w:t>Final fish weight of the research</w:t>
      </w:r>
      <w:r w:rsidR="00377210" w:rsidRPr="0057404D">
        <w:rPr>
          <w:rFonts w:ascii="Arial" w:hAnsi="Arial" w:cs="Arial"/>
        </w:rPr>
        <w:t xml:space="preserve"> </w:t>
      </w:r>
      <w:r w:rsidRPr="00F80F7D">
        <w:rPr>
          <w:rFonts w:ascii="Arial" w:hAnsi="Arial" w:cs="Arial"/>
        </w:rPr>
        <w:t>(g)</w:t>
      </w:r>
    </w:p>
    <w:p w:rsidR="00F80F7D" w:rsidRPr="00F80F7D" w:rsidRDefault="00F80F7D" w:rsidP="00F80F7D">
      <w:pPr>
        <w:pStyle w:val="Body"/>
        <w:spacing w:after="0"/>
        <w:rPr>
          <w:rFonts w:ascii="Arial" w:hAnsi="Arial" w:cs="Arial"/>
        </w:rPr>
      </w:pPr>
      <w:r w:rsidRPr="00F80F7D">
        <w:rPr>
          <w:rFonts w:ascii="Arial" w:hAnsi="Arial" w:cs="Arial"/>
        </w:rPr>
        <w:t>W0</w:t>
      </w:r>
      <w:r w:rsidRPr="00F80F7D">
        <w:rPr>
          <w:rFonts w:ascii="Arial" w:hAnsi="Arial" w:cs="Arial"/>
        </w:rPr>
        <w:tab/>
        <w:t xml:space="preserve">: </w:t>
      </w:r>
      <w:r w:rsidR="00377210" w:rsidRPr="0057404D">
        <w:rPr>
          <w:rFonts w:ascii="Arial" w:hAnsi="Arial" w:cs="Arial"/>
        </w:rPr>
        <w:t xml:space="preserve">Initial fish weight of the </w:t>
      </w:r>
      <w:r w:rsidR="00377210">
        <w:rPr>
          <w:rFonts w:ascii="Arial" w:hAnsi="Arial" w:cs="Arial"/>
        </w:rPr>
        <w:t>research</w:t>
      </w:r>
      <w:r w:rsidR="00377210" w:rsidRPr="00F80F7D">
        <w:rPr>
          <w:rFonts w:ascii="Arial" w:hAnsi="Arial" w:cs="Arial"/>
        </w:rPr>
        <w:t xml:space="preserve"> </w:t>
      </w:r>
      <w:r w:rsidRPr="00F80F7D">
        <w:rPr>
          <w:rFonts w:ascii="Arial" w:hAnsi="Arial" w:cs="Arial"/>
        </w:rPr>
        <w:t>(g)</w:t>
      </w:r>
    </w:p>
    <w:p w:rsidR="007D7A73" w:rsidRDefault="00F80F7D" w:rsidP="00377210">
      <w:pPr>
        <w:pStyle w:val="Body"/>
        <w:spacing w:after="0"/>
        <w:rPr>
          <w:rFonts w:ascii="Arial" w:hAnsi="Arial" w:cs="Arial"/>
        </w:rPr>
      </w:pPr>
      <w:r w:rsidRPr="00F80F7D">
        <w:rPr>
          <w:rFonts w:ascii="Arial" w:hAnsi="Arial" w:cs="Arial"/>
        </w:rPr>
        <w:t>D</w:t>
      </w:r>
      <w:r w:rsidRPr="00F80F7D">
        <w:rPr>
          <w:rFonts w:ascii="Arial" w:hAnsi="Arial" w:cs="Arial"/>
        </w:rPr>
        <w:tab/>
        <w:t xml:space="preserve">: </w:t>
      </w:r>
      <w:r w:rsidR="00377210" w:rsidRPr="00377210">
        <w:rPr>
          <w:rFonts w:ascii="Arial" w:hAnsi="Arial" w:cs="Arial"/>
        </w:rPr>
        <w:t>Weight of</w:t>
      </w:r>
      <w:r w:rsidR="00377210">
        <w:rPr>
          <w:rFonts w:ascii="Arial" w:hAnsi="Arial" w:cs="Arial"/>
        </w:rPr>
        <w:t xml:space="preserve"> fish that died during the research </w:t>
      </w:r>
      <w:r w:rsidRPr="00F80F7D">
        <w:rPr>
          <w:rFonts w:ascii="Arial" w:hAnsi="Arial" w:cs="Arial"/>
        </w:rPr>
        <w:t xml:space="preserve">(g) </w:t>
      </w:r>
    </w:p>
    <w:p w:rsidR="00377210" w:rsidRPr="00377210" w:rsidRDefault="00377210" w:rsidP="00377210">
      <w:pPr>
        <w:pStyle w:val="Body"/>
        <w:spacing w:after="0"/>
        <w:rPr>
          <w:rFonts w:ascii="Arial" w:hAnsi="Arial" w:cs="Arial"/>
        </w:rPr>
      </w:pPr>
    </w:p>
    <w:p w:rsidR="0078076E" w:rsidRPr="00422382" w:rsidRDefault="00DA55EA" w:rsidP="003B5B12">
      <w:pPr>
        <w:pStyle w:val="Head3"/>
        <w:spacing w:after="0"/>
        <w:rPr>
          <w:rFonts w:ascii="Arial" w:hAnsi="Arial" w:cs="Arial"/>
          <w:b/>
          <w:bCs/>
        </w:rPr>
      </w:pPr>
      <w:r w:rsidRPr="00422382">
        <w:rPr>
          <w:rFonts w:ascii="Arial" w:hAnsi="Arial" w:cs="Arial"/>
          <w:b/>
          <w:bCs/>
        </w:rPr>
        <w:t>2.3.3</w:t>
      </w:r>
      <w:r w:rsidR="0078076E" w:rsidRPr="00422382">
        <w:rPr>
          <w:rFonts w:ascii="Arial" w:hAnsi="Arial" w:cs="Arial"/>
          <w:b/>
          <w:bCs/>
        </w:rPr>
        <w:t xml:space="preserve"> </w:t>
      </w:r>
      <w:r w:rsidR="001640F2" w:rsidRPr="00422382">
        <w:rPr>
          <w:rFonts w:ascii="Arial" w:hAnsi="Arial" w:cs="Arial"/>
          <w:b/>
          <w:bCs/>
        </w:rPr>
        <w:t xml:space="preserve">Protein Efficiency Ratio </w:t>
      </w:r>
      <w:r w:rsidR="0078076E" w:rsidRPr="00422382">
        <w:rPr>
          <w:rFonts w:ascii="Arial" w:hAnsi="Arial" w:cs="Arial"/>
          <w:b/>
          <w:bCs/>
        </w:rPr>
        <w:t xml:space="preserve">(PER) </w:t>
      </w:r>
    </w:p>
    <w:p w:rsidR="00F80F7D" w:rsidRPr="00F80F7D" w:rsidRDefault="00377210" w:rsidP="004401A1">
      <w:pPr>
        <w:pStyle w:val="Body"/>
        <w:rPr>
          <w:rFonts w:ascii="Arial" w:hAnsi="Arial" w:cs="Arial"/>
        </w:rPr>
      </w:pPr>
      <w:r w:rsidRPr="00377210">
        <w:rPr>
          <w:rFonts w:ascii="Arial" w:hAnsi="Arial" w:cs="Arial"/>
        </w:rPr>
        <w:t>The calculation of the protein efficiency ratio value uses the formula</w:t>
      </w:r>
      <w:r w:rsidR="00F80F7D" w:rsidRPr="00F80F7D">
        <w:rPr>
          <w:rFonts w:ascii="Arial" w:hAnsi="Arial" w:cs="Arial"/>
        </w:rPr>
        <w:t xml:space="preserve"> </w:t>
      </w:r>
      <w:r w:rsidR="00F80F7D" w:rsidRPr="00F80F7D">
        <w:rPr>
          <w:rFonts w:ascii="Arial" w:hAnsi="Arial" w:cs="Arial"/>
        </w:rPr>
        <w:fldChar w:fldCharType="begin" w:fldLock="1"/>
      </w:r>
      <w:r w:rsidR="00BA0FB2">
        <w:rPr>
          <w:rFonts w:ascii="Arial" w:hAnsi="Arial" w:cs="Arial"/>
        </w:rPr>
        <w:instrText>ADDIN CSL_CITATION {"citationItems":[{"id":"ITEM-1","itemData":{"DOI":"10.1016/J.AQUACULTURE.2022.738709","ISSN":"0044-8486","abstract":"The present study evaluated the effects of replacing fishmeal protein by Chlorella vulgaris meal and fish oil by a blend of Schizochytrium sp. and Microchloropsis gaditana on growth, feed utilization, muscle fatty acid composition and liver histology of Sparus aurata. Fish were fed twice a day for 12 weeks, six isonitrogenous (52% CP) and isoenergetic (21 MJ/Kg) diets at which fishmeal protein of the Control diet was replaced by C. vulgaris meal at 10% (CM10), 20% (CM20) and 30% (CM30) and fish oil of the control diet was replaced by a blend of Schizochytrium sp. and Microchloropsis sp. at 50% (SM50) and 100% (SM100). It was found that the partial replacement of fishmeal protein by C. vulgaris meal up to 30% and the total fish oil replacement by Schizochytrium sp. and M. gaditana blend did not exert any adverse effects on the feed intake, SGR, FCR and PER of fish. Graded levels of C. vulgaris led to an increased lipid retention and deposition mainly in the liver, but no other diet-dependent changes were observed in the whole body and muscle proximate compositions of fish. Microalgae-based diets displayed no major hepatic histomorphological effects, but the very few incidences of hydropic degeneration and haemorrhage that were observed call for further investigation to reveal any potential histopathological impacts of such dietary strategy. Fishmeal replacement by C. vulgaris increased the levels of 18:2n-6 and 18:3n-3 in fish muscle, while EPA and DHA levels were not significantly reduced since dietary fish oil maintained their deposition. Fish oil replacement by the blend of Schizochytrium sp. and Microchloropsis sp. increased the n-6 PUFA and particularly 20:4n-6 and 22:5n-6 in the muscle, while maintained similar EPA and DHA levels compared to the Control group. The present study suggests that the blend of dried biomasses of Schizochytrium sp. and M. gaditana could totally replace dietary fish oil in fishmeal-based diets formulated with soybean oil, without negatively affecting the growth performance, feed efficiency, proximate composition and muscle EPA and DHA levels of S. aurata, even if this resulted in a few histomorphological alterations. Moreover, replacing fishmeal protein by C. vulgaris meal up to 30% that was the maximum level tested did not adversely affect growth performance and feed utilization, even if it resulted in increased lipid retention and deposition in the liver.","author":[{"dropping-particle":"","family":"Karapanagiotidis","given":"I. T.","non-dropping-particle":"","parse-names":false,"suffix":""},{"dropping-particle":"","family":"Metsoviti","given":"M. N.","non-dropping-particle":"","parse-names":false,"suffix":""},{"dropping-particle":"","family":"Gkalogianni","given":"E. Z.","non-dropping-particle":"","parse-names":false,"suffix":""},{"dropping-particle":"","family":"Psofakis","given":"P.","non-dropping-particle":"","parse-names":false,"suffix":""},{"dropping-particle":"","family":"Asimaki","given":"A.","non-dropping-particle":"","parse-names":false,"suffix":""},{"dropping-particle":"","family":"Katsoulas","given":"N.","non-dropping-particle":"","parse-names":false,"suffix":""},{"dropping-particle":"","family":"Papapolymerou","given":"G.","non-dropping-particle":"","parse-names":false,"suffix":""},{"dropping-particle":"","family":"Zarkadas","given":"I.","non-dropping-particle":"","parse-names":false,"suffix":""}],"container-title":"Aquaculture","id":"ITEM-1","issued":{"date-parts":[["2022","12"]]},"page":"738709","publisher":"Elsevier","title":"The effects of replacing fishmeal by Chlorella vulgaris and fish oil by Schizochytrium sp. and Microchloropsis gaditana blend on growth performance, feed efficiency, muscle fatty acid composition and liver histology of gilthead seabream (Sparus aurata)","type":"article-journal","volume":"561"},"uris":["http://www.mendeley.com/documents/?uuid=2d145c2e-9fb3-3ebc-b1ff-7425edfeae46","http://www.mendeley.com/documents/?uuid=c8097cea-f518-4c24-8566-a02c9f81fea3"]}],"mendeley":{"formattedCitation":"(Karapanagiotidis et al., 2022)","manualFormatting":"Karapanagiotidis et al., (2022)","plainTextFormattedCitation":"(Karapanagiotidis et al., 2022)","previouslyFormattedCitation":"(Karapanagiotidis et al., 2022)"},"properties":{"noteIndex":0},"schema":"https://github.com/citation-style-language/schema/raw/master/csl-citation.json"}</w:instrText>
      </w:r>
      <w:r w:rsidR="00F80F7D" w:rsidRPr="00F80F7D">
        <w:rPr>
          <w:rFonts w:ascii="Arial" w:hAnsi="Arial" w:cs="Arial"/>
        </w:rPr>
        <w:fldChar w:fldCharType="separate"/>
      </w:r>
      <w:r w:rsidR="00F80F7D" w:rsidRPr="00F80F7D">
        <w:rPr>
          <w:rFonts w:ascii="Arial" w:hAnsi="Arial" w:cs="Arial"/>
          <w:noProof/>
        </w:rPr>
        <w:t xml:space="preserve">Karapanagiotidis </w:t>
      </w:r>
      <w:r w:rsidR="00F80F7D" w:rsidRPr="00BA0FB2">
        <w:rPr>
          <w:rFonts w:ascii="Arial" w:hAnsi="Arial" w:cs="Arial"/>
          <w:noProof/>
        </w:rPr>
        <w:t>et al.</w:t>
      </w:r>
      <w:r w:rsidR="00BA0FB2">
        <w:rPr>
          <w:rFonts w:ascii="Arial" w:hAnsi="Arial" w:cs="Arial"/>
          <w:noProof/>
        </w:rPr>
        <w:t>,</w:t>
      </w:r>
      <w:r w:rsidR="00F80F7D" w:rsidRPr="00BA0FB2">
        <w:rPr>
          <w:rFonts w:ascii="Arial" w:hAnsi="Arial" w:cs="Arial"/>
          <w:noProof/>
        </w:rPr>
        <w:t xml:space="preserve"> </w:t>
      </w:r>
      <w:r w:rsidR="00F80F7D" w:rsidRPr="00F80F7D">
        <w:rPr>
          <w:rFonts w:ascii="Arial" w:hAnsi="Arial" w:cs="Arial"/>
          <w:noProof/>
        </w:rPr>
        <w:t>(2022)</w:t>
      </w:r>
      <w:r w:rsidR="00F80F7D" w:rsidRPr="00F80F7D">
        <w:rPr>
          <w:rFonts w:ascii="Arial" w:hAnsi="Arial" w:cs="Arial"/>
        </w:rPr>
        <w:fldChar w:fldCharType="end"/>
      </w:r>
      <w:r>
        <w:rPr>
          <w:rFonts w:ascii="Arial" w:hAnsi="Arial" w:cs="Arial"/>
        </w:rPr>
        <w:t xml:space="preserve"> is</w:t>
      </w:r>
      <w:r w:rsidR="00F80F7D" w:rsidRPr="00F80F7D">
        <w:rPr>
          <w:rFonts w:ascii="Arial" w:hAnsi="Arial" w:cs="Arial"/>
        </w:rPr>
        <w:t xml:space="preserve">: </w:t>
      </w:r>
    </w:p>
    <w:p w:rsidR="00F80F7D" w:rsidRPr="00F80F7D" w:rsidRDefault="00F80F7D" w:rsidP="004401A1">
      <w:pPr>
        <w:pStyle w:val="Body"/>
        <w:rPr>
          <w:rFonts w:ascii="Arial" w:hAnsi="Arial" w:cs="Arial"/>
        </w:rPr>
      </w:pPr>
      <m:oMathPara>
        <m:oMath>
          <m:r>
            <w:rPr>
              <w:rFonts w:ascii="Cambria Math" w:hAnsi="Cambria Math" w:cs="Arial"/>
            </w:rPr>
            <m:t>PER=</m:t>
          </m:r>
          <m:f>
            <m:fPr>
              <m:ctrlPr>
                <w:rPr>
                  <w:rFonts w:ascii="Cambria Math" w:hAnsi="Cambria Math" w:cs="Arial"/>
                </w:rPr>
              </m:ctrlPr>
            </m:fPr>
            <m:num>
              <m:r>
                <w:rPr>
                  <w:rFonts w:ascii="Cambria Math" w:hAnsi="Cambria Math" w:cs="Arial"/>
                </w:rPr>
                <m:t>Bt-B0</m:t>
              </m:r>
            </m:num>
            <m:den>
              <m:r>
                <w:rPr>
                  <w:rFonts w:ascii="Cambria Math" w:hAnsi="Cambria Math" w:cs="Arial"/>
                </w:rPr>
                <m:t>Pi</m:t>
              </m:r>
            </m:den>
          </m:f>
        </m:oMath>
      </m:oMathPara>
    </w:p>
    <w:p w:rsidR="00F80F7D" w:rsidRPr="00F80F7D" w:rsidRDefault="00F80F7D" w:rsidP="00F80F7D">
      <w:pPr>
        <w:pStyle w:val="Body"/>
        <w:spacing w:after="0"/>
        <w:rPr>
          <w:rFonts w:ascii="Arial" w:hAnsi="Arial" w:cs="Arial"/>
        </w:rPr>
      </w:pPr>
      <w:proofErr w:type="spellStart"/>
      <w:r w:rsidRPr="00F80F7D">
        <w:rPr>
          <w:rFonts w:ascii="Arial" w:hAnsi="Arial" w:cs="Arial"/>
        </w:rPr>
        <w:t>Keterangan</w:t>
      </w:r>
      <w:proofErr w:type="spellEnd"/>
      <w:r w:rsidRPr="00F80F7D">
        <w:rPr>
          <w:rFonts w:ascii="Arial" w:hAnsi="Arial" w:cs="Arial"/>
        </w:rPr>
        <w:t xml:space="preserve">: </w:t>
      </w:r>
    </w:p>
    <w:p w:rsidR="00F80F7D" w:rsidRPr="00F80F7D" w:rsidRDefault="0033448E" w:rsidP="00F80F7D">
      <w:pPr>
        <w:pStyle w:val="Body"/>
        <w:spacing w:after="0"/>
        <w:rPr>
          <w:rFonts w:ascii="Arial" w:hAnsi="Arial" w:cs="Arial"/>
        </w:rPr>
      </w:pPr>
      <w:r>
        <w:rPr>
          <w:rFonts w:ascii="Arial" w:hAnsi="Arial" w:cs="Arial"/>
        </w:rPr>
        <w:t>PER</w:t>
      </w:r>
      <w:r w:rsidR="00F80F7D" w:rsidRPr="00F80F7D">
        <w:rPr>
          <w:rFonts w:ascii="Arial" w:hAnsi="Arial" w:cs="Arial"/>
        </w:rPr>
        <w:tab/>
        <w:t xml:space="preserve">: </w:t>
      </w:r>
      <w:r w:rsidR="001640F2">
        <w:rPr>
          <w:rFonts w:ascii="Arial" w:hAnsi="Arial" w:cs="Arial"/>
        </w:rPr>
        <w:t xml:space="preserve">Protein Efficiency Ratio </w:t>
      </w:r>
      <w:r w:rsidR="00F80F7D" w:rsidRPr="00F80F7D">
        <w:rPr>
          <w:rFonts w:ascii="Arial" w:hAnsi="Arial" w:cs="Arial"/>
        </w:rPr>
        <w:t>(%)</w:t>
      </w:r>
    </w:p>
    <w:p w:rsidR="00F80F7D" w:rsidRPr="00F80F7D" w:rsidRDefault="00F80F7D" w:rsidP="00F80F7D">
      <w:pPr>
        <w:pStyle w:val="Body"/>
        <w:spacing w:after="0"/>
        <w:rPr>
          <w:rFonts w:ascii="Arial" w:hAnsi="Arial" w:cs="Arial"/>
        </w:rPr>
      </w:pPr>
      <w:proofErr w:type="spellStart"/>
      <w:r w:rsidRPr="00F80F7D">
        <w:rPr>
          <w:rFonts w:ascii="Arial" w:hAnsi="Arial" w:cs="Arial"/>
        </w:rPr>
        <w:t>Bt</w:t>
      </w:r>
      <w:proofErr w:type="spellEnd"/>
      <w:r w:rsidRPr="00F80F7D">
        <w:rPr>
          <w:rFonts w:ascii="Arial" w:hAnsi="Arial" w:cs="Arial"/>
        </w:rPr>
        <w:tab/>
        <w:t xml:space="preserve">: </w:t>
      </w:r>
      <w:r w:rsidR="00377210">
        <w:rPr>
          <w:rFonts w:ascii="Arial" w:hAnsi="Arial" w:cs="Arial"/>
        </w:rPr>
        <w:t>Final fish weight of the research</w:t>
      </w:r>
      <w:r w:rsidR="00377210" w:rsidRPr="0057404D">
        <w:rPr>
          <w:rFonts w:ascii="Arial" w:hAnsi="Arial" w:cs="Arial"/>
        </w:rPr>
        <w:t xml:space="preserve"> </w:t>
      </w:r>
      <w:r w:rsidRPr="00F80F7D">
        <w:rPr>
          <w:rFonts w:ascii="Arial" w:hAnsi="Arial" w:cs="Arial"/>
        </w:rPr>
        <w:t xml:space="preserve">(g) </w:t>
      </w:r>
    </w:p>
    <w:p w:rsidR="00F80F7D" w:rsidRPr="00F80F7D" w:rsidRDefault="00F80F7D" w:rsidP="00F80F7D">
      <w:pPr>
        <w:pStyle w:val="Body"/>
        <w:spacing w:after="0"/>
        <w:rPr>
          <w:rFonts w:ascii="Arial" w:hAnsi="Arial" w:cs="Arial"/>
        </w:rPr>
      </w:pPr>
      <w:r w:rsidRPr="00F80F7D">
        <w:rPr>
          <w:rFonts w:ascii="Arial" w:hAnsi="Arial" w:cs="Arial"/>
        </w:rPr>
        <w:t>Bo</w:t>
      </w:r>
      <w:r w:rsidRPr="00F80F7D">
        <w:rPr>
          <w:rFonts w:ascii="Arial" w:hAnsi="Arial" w:cs="Arial"/>
        </w:rPr>
        <w:tab/>
        <w:t xml:space="preserve">: </w:t>
      </w:r>
      <w:r w:rsidR="00377210" w:rsidRPr="0057404D">
        <w:rPr>
          <w:rFonts w:ascii="Arial" w:hAnsi="Arial" w:cs="Arial"/>
        </w:rPr>
        <w:t xml:space="preserve">Initial fish weight of the </w:t>
      </w:r>
      <w:r w:rsidR="00377210">
        <w:rPr>
          <w:rFonts w:ascii="Arial" w:hAnsi="Arial" w:cs="Arial"/>
        </w:rPr>
        <w:t>research</w:t>
      </w:r>
      <w:r w:rsidR="00377210" w:rsidRPr="00F80F7D">
        <w:rPr>
          <w:rFonts w:ascii="Arial" w:hAnsi="Arial" w:cs="Arial"/>
        </w:rPr>
        <w:t xml:space="preserve"> </w:t>
      </w:r>
      <w:r w:rsidRPr="00F80F7D">
        <w:rPr>
          <w:rFonts w:ascii="Arial" w:hAnsi="Arial" w:cs="Arial"/>
        </w:rPr>
        <w:t xml:space="preserve">(g) </w:t>
      </w:r>
    </w:p>
    <w:p w:rsidR="00442420" w:rsidRDefault="00F80F7D" w:rsidP="00DA55EA">
      <w:pPr>
        <w:pStyle w:val="Body"/>
        <w:spacing w:after="0"/>
        <w:rPr>
          <w:rFonts w:ascii="Arial" w:hAnsi="Arial" w:cs="Arial"/>
        </w:rPr>
      </w:pPr>
      <w:r w:rsidRPr="00F80F7D">
        <w:rPr>
          <w:rFonts w:ascii="Arial" w:hAnsi="Arial" w:cs="Arial"/>
        </w:rPr>
        <w:t>Pi</w:t>
      </w:r>
      <w:r w:rsidRPr="00F80F7D">
        <w:rPr>
          <w:rFonts w:ascii="Arial" w:hAnsi="Arial" w:cs="Arial"/>
        </w:rPr>
        <w:tab/>
        <w:t xml:space="preserve">: </w:t>
      </w:r>
      <w:r w:rsidR="00377210">
        <w:rPr>
          <w:rFonts w:ascii="Arial" w:hAnsi="Arial" w:cs="Arial"/>
        </w:rPr>
        <w:t xml:space="preserve">Weight of feed consumed </w:t>
      </w:r>
      <w:r w:rsidRPr="00F80F7D">
        <w:rPr>
          <w:rFonts w:ascii="Arial" w:hAnsi="Arial" w:cs="Arial"/>
        </w:rPr>
        <w:t xml:space="preserve">x % </w:t>
      </w:r>
      <w:r w:rsidR="00377210">
        <w:rPr>
          <w:rFonts w:ascii="Arial" w:hAnsi="Arial" w:cs="Arial"/>
        </w:rPr>
        <w:t>feed protein</w:t>
      </w:r>
    </w:p>
    <w:p w:rsidR="00DA55EA" w:rsidRPr="00DA55EA" w:rsidRDefault="00DA55EA" w:rsidP="00DA55EA">
      <w:pPr>
        <w:pStyle w:val="Body"/>
        <w:spacing w:after="0"/>
        <w:rPr>
          <w:rFonts w:ascii="Arial" w:hAnsi="Arial" w:cs="Arial"/>
        </w:rPr>
      </w:pPr>
    </w:p>
    <w:p w:rsidR="0078076E" w:rsidRPr="00422382" w:rsidRDefault="00DA55EA" w:rsidP="003B5B12">
      <w:pPr>
        <w:pStyle w:val="Head3"/>
        <w:spacing w:after="0"/>
        <w:rPr>
          <w:rFonts w:ascii="Arial" w:hAnsi="Arial" w:cs="Arial"/>
          <w:b/>
          <w:bCs/>
        </w:rPr>
      </w:pPr>
      <w:r w:rsidRPr="00422382">
        <w:rPr>
          <w:rFonts w:ascii="Arial" w:hAnsi="Arial" w:cs="Arial"/>
          <w:b/>
          <w:bCs/>
        </w:rPr>
        <w:t>2.3.4</w:t>
      </w:r>
      <w:r w:rsidR="00377210" w:rsidRPr="00422382">
        <w:rPr>
          <w:rFonts w:ascii="Arial" w:hAnsi="Arial" w:cs="Arial"/>
          <w:b/>
          <w:bCs/>
        </w:rPr>
        <w:t xml:space="preserve"> </w:t>
      </w:r>
      <w:r w:rsidR="0078076E" w:rsidRPr="00422382">
        <w:rPr>
          <w:rFonts w:ascii="Arial" w:hAnsi="Arial" w:cs="Arial"/>
          <w:b/>
          <w:bCs/>
        </w:rPr>
        <w:t xml:space="preserve">Protein </w:t>
      </w:r>
      <w:r w:rsidR="00377210" w:rsidRPr="00422382">
        <w:rPr>
          <w:rFonts w:ascii="Arial" w:hAnsi="Arial" w:cs="Arial"/>
          <w:b/>
          <w:bCs/>
        </w:rPr>
        <w:t xml:space="preserve">Retention </w:t>
      </w:r>
    </w:p>
    <w:p w:rsidR="007B3AB6" w:rsidRPr="00E3130B" w:rsidRDefault="00377210" w:rsidP="004401A1">
      <w:pPr>
        <w:pStyle w:val="Body"/>
        <w:rPr>
          <w:rFonts w:ascii="Arial" w:hAnsi="Arial" w:cs="Arial"/>
        </w:rPr>
      </w:pPr>
      <w:r w:rsidRPr="00377210">
        <w:rPr>
          <w:rFonts w:ascii="Arial" w:hAnsi="Arial" w:cs="Arial"/>
        </w:rPr>
        <w:t>Protein retention can be determined by conducting a proximate analysis of fish body protein at the beginning and end of culture. The protein retention formula according to</w:t>
      </w:r>
      <w:r>
        <w:rPr>
          <w:rFonts w:ascii="Arial" w:hAnsi="Arial" w:cs="Arial"/>
        </w:rPr>
        <w:t xml:space="preserve"> </w:t>
      </w:r>
      <w:r w:rsidR="007B3AB6" w:rsidRPr="007B3AB6">
        <w:rPr>
          <w:rFonts w:ascii="Arial" w:hAnsi="Arial" w:cs="Arial"/>
        </w:rPr>
        <w:fldChar w:fldCharType="begin" w:fldLock="1"/>
      </w:r>
      <w:r w:rsidR="00BA0FB2">
        <w:rPr>
          <w:rFonts w:ascii="Arial" w:hAnsi="Arial" w:cs="Arial"/>
        </w:rPr>
        <w:instrText>ADDIN CSL_CITATION {"citationItems":[{"id":"ITEM-1","itemData":{"DOI":"10.1016/J.AQUACULTURE.2019.03.023","ISSN":"0044-8486","abstract":"Two trials were carried out to determine the optimal replacement level of fish meal (FM) by soy protein concentrate (SPC) derived from soymilk without supplementation of indispensable amino acids (IAAs) or palatability enhancers and whether phytase supplementation can help to replace more SPC in diet of juvenile red sea bream, Pagrus major. In Trial 1, five isoenergetic diets were formulated: 67% FM as protein source in the control diet (C), and FM was replaced by 60 (SPC60), 70 (SPC70), 80 (SPC80) and 100% (SPC100) by SPC. In Trial 2, diets C and SPC80 were the same as in Trial 1, and phytase was supplemented in SPC80 at 1000 (P1), 2000 (P2), 3000 (P3) and 4000 (P4) FTU/kg diet. Thirty (ca. 23 g) and 20 fish (ca. 21 g) were randomly distributed into each fifteen and eighteen 300 L indoor tanks in Trial 1 and 2, respectively. Fish in both trials were fed two times daily until apparent satiation for 10 weeks. At the end of both trials, feces were collected after feeding with chromic oxide (Cr 2 O 3 ) mixed diets. In Trial 1, there were no significant differences in final mean weight, specific growth rate (SGR), daily feeding rate (DFR), feed efficiency (FE), condition factor (CF), and retention efficiency of protein, lipid and energy until 70% (SPC70) FM replacement by SPC (P &gt;.05). However, 80% FM replacement significantly reduced final mean weight, FE and lipid retention efficiency compared with group C (P &lt;.05). There were no significant differences in plasma constituents, except total cholesterol level. In Trial 2, phytase was supplemented in SPC80 to determine whether it helps to stimulate growth up to the level of the control group. Fish fed SPC80 once again displayed significantly lower final mean weight, SGR, FE, phosphorus (P) digestibility, and retention efficiency of protein, lipid, energy and P compared with control group (P &gt;.05). Final mean weight, FE, P digestibility, and retention efficiency of protein, lipid and P were significantly improved in fish fed diet P2 (phytase at 2000 FTU/kg diet) compared with those fed diet SPC80. However, phytase supplementation did not stimulate the growth up to the level of group C. The results demonstrated in juvenile red sea bream that 70% of FM can be replaced by SPC derived from soymilk without supplementation of IAAs and palatability enhancers.","author":[{"dropping-particle":"","family":"Biswas","given":"Amal","non-dropping-particle":"","parse-names":false,"suffix":""},{"dropping-particle":"","family":"Araki","given":"Hideo","non-dropping-particle":"","parse-names":false,"suffix":""},{"dropping-particle":"","family":"Sakata","given":"Tetsuo","non-dropping-particle":"","parse-names":false,"suffix":""},{"dropping-particle":"","family":"Nakamori","given":"Toshihiro","non-dropping-particle":"","parse-names":false,"suffix":""},{"dropping-particle":"","family":"Takii","given":"Kenji","non-dropping-particle":"","parse-names":false,"suffix":""}],"container-title":"Aquaculture","id":"ITEM-1","issued":{"date-parts":[["2019","5"]]},"page":"51-59","publisher":"Elsevier","title":"Optimum fish meal replacement by soy protein concentrate from soymilk and phytase supplementation in diet of red sea bream, Pagrus major","type":"article-journal","volume":"506"},"uris":["http://www.mendeley.com/documents/?uuid=8d1bff03-07dc-34da-9d99-e87b2fcaacec","http://www.mendeley.com/documents/?uuid=7c444e18-c175-40b1-8ff6-5f758155510e"]}],"mendeley":{"formattedCitation":"(Biswas et al., 2019)","manualFormatting":"Biswas et al., (2019)","plainTextFormattedCitation":"(Biswas et al., 2019)","previouslyFormattedCitation":"(Biswas et al., 2019)"},"properties":{"noteIndex":0},"schema":"https://github.com/citation-style-language/schema/raw/master/csl-citation.json"}</w:instrText>
      </w:r>
      <w:r w:rsidR="007B3AB6" w:rsidRPr="007B3AB6">
        <w:rPr>
          <w:rFonts w:ascii="Arial" w:hAnsi="Arial" w:cs="Arial"/>
        </w:rPr>
        <w:fldChar w:fldCharType="separate"/>
      </w:r>
      <w:r w:rsidR="007B3AB6" w:rsidRPr="007B3AB6">
        <w:rPr>
          <w:rFonts w:ascii="Arial" w:hAnsi="Arial" w:cs="Arial"/>
          <w:noProof/>
        </w:rPr>
        <w:t xml:space="preserve">Biswas </w:t>
      </w:r>
      <w:r w:rsidR="007B3AB6" w:rsidRPr="00BA0FB2">
        <w:rPr>
          <w:rFonts w:ascii="Arial" w:hAnsi="Arial" w:cs="Arial"/>
          <w:noProof/>
        </w:rPr>
        <w:t>et al.</w:t>
      </w:r>
      <w:r w:rsidR="00BA0FB2">
        <w:rPr>
          <w:rFonts w:ascii="Arial" w:hAnsi="Arial" w:cs="Arial"/>
          <w:noProof/>
        </w:rPr>
        <w:t>,</w:t>
      </w:r>
      <w:r w:rsidR="007B3AB6" w:rsidRPr="00BA0FB2">
        <w:rPr>
          <w:rFonts w:ascii="Arial" w:hAnsi="Arial" w:cs="Arial"/>
          <w:noProof/>
        </w:rPr>
        <w:t xml:space="preserve"> </w:t>
      </w:r>
      <w:r w:rsidR="007B3AB6" w:rsidRPr="007B3AB6">
        <w:rPr>
          <w:rFonts w:ascii="Arial" w:hAnsi="Arial" w:cs="Arial"/>
          <w:noProof/>
        </w:rPr>
        <w:t>(2019)</w:t>
      </w:r>
      <w:r w:rsidR="007B3AB6" w:rsidRPr="007B3AB6">
        <w:rPr>
          <w:rFonts w:ascii="Arial" w:hAnsi="Arial" w:cs="Arial"/>
        </w:rPr>
        <w:fldChar w:fldCharType="end"/>
      </w:r>
      <w:r>
        <w:rPr>
          <w:rFonts w:ascii="Arial" w:hAnsi="Arial" w:cs="Arial"/>
        </w:rPr>
        <w:t xml:space="preserve"> is</w:t>
      </w:r>
      <w:r w:rsidR="00E3130B">
        <w:rPr>
          <w:rFonts w:ascii="Arial" w:hAnsi="Arial" w:cs="Arial"/>
        </w:rPr>
        <w:t xml:space="preserve">: </w:t>
      </w:r>
    </w:p>
    <w:p w:rsidR="00F80F7D" w:rsidRPr="007B3AB6" w:rsidRDefault="007B3AB6" w:rsidP="004401A1">
      <w:pPr>
        <w:pStyle w:val="Body"/>
        <w:rPr>
          <w:rFonts w:ascii="Arial" w:hAnsi="Arial" w:cs="Arial"/>
        </w:rPr>
      </w:pPr>
      <m:oMathPara>
        <m:oMath>
          <m:r>
            <w:rPr>
              <w:rFonts w:ascii="Cambria Math" w:hAnsi="Cambria Math" w:cs="Arial"/>
            </w:rPr>
            <m:t>RP=</m:t>
          </m:r>
          <m:f>
            <m:fPr>
              <m:ctrlPr>
                <w:rPr>
                  <w:rFonts w:ascii="Cambria Math" w:hAnsi="Cambria Math" w:cs="Arial"/>
                </w:rPr>
              </m:ctrlPr>
            </m:fPr>
            <m:num>
              <m:r>
                <w:rPr>
                  <w:rFonts w:ascii="Cambria Math" w:hAnsi="Cambria Math" w:cs="Arial"/>
                </w:rPr>
                <m:t>(Fp-Lp)</m:t>
              </m:r>
            </m:num>
            <m:den>
              <m:r>
                <w:rPr>
                  <w:rFonts w:ascii="Cambria Math" w:hAnsi="Cambria Math" w:cs="Arial"/>
                </w:rPr>
                <m:t>P</m:t>
              </m:r>
            </m:den>
          </m:f>
          <m:r>
            <w:rPr>
              <w:rFonts w:ascii="Cambria Math" w:hAnsi="Cambria Math" w:cs="Arial"/>
            </w:rPr>
            <m:t>x100%</m:t>
          </m:r>
        </m:oMath>
      </m:oMathPara>
    </w:p>
    <w:p w:rsidR="007B3AB6" w:rsidRPr="007B3AB6" w:rsidRDefault="007B3AB6" w:rsidP="007B3AB6">
      <w:pPr>
        <w:pStyle w:val="Body"/>
        <w:spacing w:after="0"/>
        <w:rPr>
          <w:rFonts w:ascii="Arial" w:hAnsi="Arial" w:cs="Arial"/>
        </w:rPr>
      </w:pPr>
      <w:proofErr w:type="spellStart"/>
      <w:r w:rsidRPr="007B3AB6">
        <w:rPr>
          <w:rFonts w:ascii="Arial" w:hAnsi="Arial" w:cs="Arial"/>
        </w:rPr>
        <w:t>Keterangan</w:t>
      </w:r>
      <w:proofErr w:type="spellEnd"/>
      <w:r w:rsidRPr="007B3AB6">
        <w:rPr>
          <w:rFonts w:ascii="Arial" w:hAnsi="Arial" w:cs="Arial"/>
        </w:rPr>
        <w:t xml:space="preserve">: </w:t>
      </w:r>
    </w:p>
    <w:p w:rsidR="007B3AB6" w:rsidRPr="007B3AB6" w:rsidRDefault="00377210" w:rsidP="007B3AB6">
      <w:pPr>
        <w:pStyle w:val="Body"/>
        <w:spacing w:after="0"/>
        <w:rPr>
          <w:rFonts w:ascii="Arial" w:hAnsi="Arial" w:cs="Arial"/>
        </w:rPr>
      </w:pPr>
      <w:r>
        <w:rPr>
          <w:rFonts w:ascii="Arial" w:hAnsi="Arial" w:cs="Arial"/>
        </w:rPr>
        <w:t>RP</w:t>
      </w:r>
      <w:r>
        <w:rPr>
          <w:rFonts w:ascii="Arial" w:hAnsi="Arial" w:cs="Arial"/>
        </w:rPr>
        <w:tab/>
        <w:t xml:space="preserve">: </w:t>
      </w:r>
      <w:r w:rsidR="007B3AB6" w:rsidRPr="007B3AB6">
        <w:rPr>
          <w:rFonts w:ascii="Arial" w:hAnsi="Arial" w:cs="Arial"/>
        </w:rPr>
        <w:t>Protein</w:t>
      </w:r>
      <w:r>
        <w:rPr>
          <w:rFonts w:ascii="Arial" w:hAnsi="Arial" w:cs="Arial"/>
        </w:rPr>
        <w:t xml:space="preserve"> Retention </w:t>
      </w:r>
    </w:p>
    <w:p w:rsidR="007B3AB6" w:rsidRPr="007B3AB6" w:rsidRDefault="007B3AB6" w:rsidP="007B3AB6">
      <w:pPr>
        <w:pStyle w:val="Body"/>
        <w:spacing w:after="0"/>
        <w:rPr>
          <w:rFonts w:ascii="Arial" w:hAnsi="Arial" w:cs="Arial"/>
        </w:rPr>
      </w:pPr>
      <w:proofErr w:type="spellStart"/>
      <w:r w:rsidRPr="007B3AB6">
        <w:rPr>
          <w:rFonts w:ascii="Arial" w:hAnsi="Arial" w:cs="Arial"/>
        </w:rPr>
        <w:t>Fp</w:t>
      </w:r>
      <w:proofErr w:type="spellEnd"/>
      <w:r w:rsidRPr="007B3AB6">
        <w:rPr>
          <w:rFonts w:ascii="Arial" w:hAnsi="Arial" w:cs="Arial"/>
        </w:rPr>
        <w:tab/>
        <w:t xml:space="preserve">: </w:t>
      </w:r>
      <w:r w:rsidR="00377210" w:rsidRPr="00377210">
        <w:rPr>
          <w:rFonts w:ascii="Arial" w:hAnsi="Arial" w:cs="Arial"/>
        </w:rPr>
        <w:t xml:space="preserve">The amount of body protein at the end of </w:t>
      </w:r>
      <w:r w:rsidR="00377210">
        <w:rPr>
          <w:rFonts w:ascii="Arial" w:hAnsi="Arial" w:cs="Arial"/>
        </w:rPr>
        <w:t xml:space="preserve">research </w:t>
      </w:r>
      <w:r w:rsidRPr="007B3AB6">
        <w:rPr>
          <w:rFonts w:ascii="Arial" w:hAnsi="Arial" w:cs="Arial"/>
        </w:rPr>
        <w:t>(g)</w:t>
      </w:r>
    </w:p>
    <w:p w:rsidR="007B3AB6" w:rsidRPr="007B3AB6" w:rsidRDefault="007B3AB6" w:rsidP="007B3AB6">
      <w:pPr>
        <w:pStyle w:val="Body"/>
        <w:spacing w:after="0"/>
        <w:rPr>
          <w:rFonts w:ascii="Arial" w:hAnsi="Arial" w:cs="Arial"/>
        </w:rPr>
      </w:pPr>
      <w:proofErr w:type="spellStart"/>
      <w:r w:rsidRPr="007B3AB6">
        <w:rPr>
          <w:rFonts w:ascii="Arial" w:hAnsi="Arial" w:cs="Arial"/>
        </w:rPr>
        <w:t>Lp</w:t>
      </w:r>
      <w:proofErr w:type="spellEnd"/>
      <w:r w:rsidRPr="007B3AB6">
        <w:rPr>
          <w:rFonts w:ascii="Arial" w:hAnsi="Arial" w:cs="Arial"/>
        </w:rPr>
        <w:tab/>
        <w:t xml:space="preserve">: </w:t>
      </w:r>
      <w:r w:rsidR="00377210" w:rsidRPr="00377210">
        <w:rPr>
          <w:rFonts w:ascii="Arial" w:hAnsi="Arial" w:cs="Arial"/>
        </w:rPr>
        <w:t>The amount of body protein at t</w:t>
      </w:r>
      <w:r w:rsidR="00377210">
        <w:rPr>
          <w:rFonts w:ascii="Arial" w:hAnsi="Arial" w:cs="Arial"/>
        </w:rPr>
        <w:t>he start of research</w:t>
      </w:r>
      <w:r w:rsidR="006D289A">
        <w:rPr>
          <w:rFonts w:ascii="Arial" w:hAnsi="Arial" w:cs="Arial"/>
        </w:rPr>
        <w:t xml:space="preserve"> </w:t>
      </w:r>
      <w:r w:rsidRPr="007B3AB6">
        <w:rPr>
          <w:rFonts w:ascii="Arial" w:hAnsi="Arial" w:cs="Arial"/>
        </w:rPr>
        <w:t xml:space="preserve">(g) </w:t>
      </w:r>
    </w:p>
    <w:p w:rsidR="007B3AB6" w:rsidRDefault="007B3AB6" w:rsidP="00DA55EA">
      <w:pPr>
        <w:pStyle w:val="Body"/>
        <w:spacing w:after="0"/>
        <w:rPr>
          <w:rFonts w:ascii="Arial" w:hAnsi="Arial" w:cs="Arial"/>
        </w:rPr>
      </w:pPr>
      <w:r w:rsidRPr="007B3AB6">
        <w:rPr>
          <w:rFonts w:ascii="Arial" w:hAnsi="Arial" w:cs="Arial"/>
        </w:rPr>
        <w:t>P</w:t>
      </w:r>
      <w:r w:rsidRPr="007B3AB6">
        <w:rPr>
          <w:rFonts w:ascii="Arial" w:hAnsi="Arial" w:cs="Arial"/>
        </w:rPr>
        <w:tab/>
        <w:t xml:space="preserve">: </w:t>
      </w:r>
      <w:r w:rsidR="00377210" w:rsidRPr="00377210">
        <w:rPr>
          <w:rFonts w:ascii="Arial" w:hAnsi="Arial" w:cs="Arial"/>
        </w:rPr>
        <w:t>Amount of pro</w:t>
      </w:r>
      <w:r w:rsidR="00377210">
        <w:rPr>
          <w:rFonts w:ascii="Arial" w:hAnsi="Arial" w:cs="Arial"/>
        </w:rPr>
        <w:t xml:space="preserve">tein consumed during research </w:t>
      </w:r>
    </w:p>
    <w:p w:rsidR="00DA55EA" w:rsidRPr="00DA55EA" w:rsidRDefault="00DA55EA" w:rsidP="00DA55EA">
      <w:pPr>
        <w:pStyle w:val="Body"/>
        <w:spacing w:after="0"/>
        <w:rPr>
          <w:rFonts w:ascii="Arial" w:hAnsi="Arial" w:cs="Arial"/>
        </w:rPr>
      </w:pPr>
    </w:p>
    <w:p w:rsidR="00FB1D5C" w:rsidRPr="00422382" w:rsidRDefault="00FB1D5C" w:rsidP="003B5B12">
      <w:pPr>
        <w:pStyle w:val="Head3"/>
        <w:spacing w:after="0"/>
        <w:rPr>
          <w:rFonts w:ascii="Arial" w:hAnsi="Arial" w:cs="Arial"/>
          <w:b/>
          <w:bCs/>
        </w:rPr>
      </w:pPr>
      <w:r w:rsidRPr="00422382">
        <w:rPr>
          <w:rFonts w:ascii="Arial" w:hAnsi="Arial" w:cs="Arial"/>
          <w:b/>
          <w:bCs/>
        </w:rPr>
        <w:t xml:space="preserve">2.3.6 </w:t>
      </w:r>
      <w:r w:rsidR="001640F2" w:rsidRPr="00422382">
        <w:rPr>
          <w:rFonts w:ascii="Arial" w:hAnsi="Arial" w:cs="Arial"/>
          <w:b/>
          <w:bCs/>
        </w:rPr>
        <w:t xml:space="preserve">Proximate Analysis </w:t>
      </w:r>
    </w:p>
    <w:p w:rsidR="00FB1D5C" w:rsidRPr="00442420" w:rsidRDefault="00B96FE8" w:rsidP="00FB1D5C">
      <w:pPr>
        <w:pStyle w:val="Body"/>
        <w:rPr>
          <w:rFonts w:ascii="Arial" w:hAnsi="Arial" w:cs="Arial"/>
        </w:rPr>
      </w:pPr>
      <w:r w:rsidRPr="00B96FE8">
        <w:rPr>
          <w:rFonts w:ascii="Arial" w:hAnsi="Arial" w:cs="Arial"/>
        </w:rPr>
        <w:t xml:space="preserve">Proximate analysis was conducted at the beginning and end of the study to determine the nutritional composition of the fish meat. One catfish was taken from each aquarium and the meat was then filleted. A 15 g sample of the meat was analyzed at the Central Laboratory of </w:t>
      </w:r>
      <w:proofErr w:type="spellStart"/>
      <w:r w:rsidRPr="00B96FE8">
        <w:rPr>
          <w:rFonts w:ascii="Arial" w:hAnsi="Arial" w:cs="Arial"/>
        </w:rPr>
        <w:lastRenderedPageBreak/>
        <w:t>Padjajaran</w:t>
      </w:r>
      <w:proofErr w:type="spellEnd"/>
      <w:r w:rsidRPr="00B96FE8">
        <w:rPr>
          <w:rFonts w:ascii="Arial" w:hAnsi="Arial" w:cs="Arial"/>
        </w:rPr>
        <w:t xml:space="preserve"> University. Analysis of the composition of water, ash, protein, fat, and carbohydrates in the fish was perform</w:t>
      </w:r>
      <w:r>
        <w:rPr>
          <w:rFonts w:ascii="Arial" w:hAnsi="Arial" w:cs="Arial"/>
        </w:rPr>
        <w:t xml:space="preserve">ed according to the AOAC (1990) method </w:t>
      </w:r>
      <w:r w:rsidR="006F461E">
        <w:rPr>
          <w:rFonts w:ascii="Arial" w:hAnsi="Arial" w:cs="Arial"/>
        </w:rPr>
        <w:fldChar w:fldCharType="begin" w:fldLock="1"/>
      </w:r>
      <w:r w:rsidR="006F461E">
        <w:rPr>
          <w:rFonts w:ascii="Arial" w:hAnsi="Arial" w:cs="Arial"/>
        </w:rPr>
        <w:instrText>ADDIN CSL_CITATION {"citationItems":[{"id":"ITEM-1","itemData":{"ISBN":"9240096884","author":[{"dropping-particle":"","family":"Food and Agriculture Organization","given":"","non-dropping-particle":"","parse-names":false,"suffix":""}],"id":"ITEM-1","issued":{"date-parts":[["2006"]]},"publisher":"Food and Agriculture Organization of the United Nations","title":"FAO","type":"book"},"uris":["http://www.mendeley.com/documents/?uuid=87533790-af98-478c-86de-e81e8fac76f2"]}],"mendeley":{"formattedCitation":"(Food and Agriculture Organization, 2006)","plainTextFormattedCitation":"(Food and Agriculture Organization, 2006)","previouslyFormattedCitation":"(Food and Agriculture Organization, 2006)"},"properties":{"noteIndex":0},"schema":"https://github.com/citation-style-language/schema/raw/master/csl-citation.json"}</w:instrText>
      </w:r>
      <w:r w:rsidR="006F461E">
        <w:rPr>
          <w:rFonts w:ascii="Arial" w:hAnsi="Arial" w:cs="Arial"/>
        </w:rPr>
        <w:fldChar w:fldCharType="separate"/>
      </w:r>
      <w:r w:rsidR="006F461E" w:rsidRPr="006F461E">
        <w:rPr>
          <w:rFonts w:ascii="Arial" w:hAnsi="Arial" w:cs="Arial"/>
          <w:noProof/>
        </w:rPr>
        <w:t>(Food and Agriculture Organization, 2006)</w:t>
      </w:r>
      <w:r w:rsidR="006F461E">
        <w:rPr>
          <w:rFonts w:ascii="Arial" w:hAnsi="Arial" w:cs="Arial"/>
        </w:rPr>
        <w:fldChar w:fldCharType="end"/>
      </w:r>
      <w:r w:rsidR="006F461E">
        <w:rPr>
          <w:rFonts w:ascii="Arial" w:hAnsi="Arial" w:cs="Arial"/>
        </w:rPr>
        <w:t xml:space="preserve">. </w:t>
      </w:r>
    </w:p>
    <w:p w:rsidR="0078076E" w:rsidRPr="00422382" w:rsidRDefault="0078076E" w:rsidP="003B5B12">
      <w:pPr>
        <w:pStyle w:val="Head3"/>
        <w:spacing w:after="0"/>
        <w:rPr>
          <w:rFonts w:ascii="Arial" w:hAnsi="Arial" w:cs="Arial"/>
          <w:b/>
          <w:bCs/>
        </w:rPr>
      </w:pPr>
      <w:r w:rsidRPr="00422382">
        <w:rPr>
          <w:rFonts w:ascii="Arial" w:hAnsi="Arial" w:cs="Arial"/>
          <w:b/>
          <w:bCs/>
        </w:rPr>
        <w:t xml:space="preserve">2.3.8 </w:t>
      </w:r>
      <w:r w:rsidR="001640F2" w:rsidRPr="00422382">
        <w:rPr>
          <w:rFonts w:ascii="Arial" w:hAnsi="Arial" w:cs="Arial"/>
          <w:b/>
          <w:bCs/>
        </w:rPr>
        <w:t xml:space="preserve">Water Quality </w:t>
      </w:r>
    </w:p>
    <w:p w:rsidR="00B96FE8" w:rsidRDefault="00B96FE8" w:rsidP="0039426C">
      <w:pPr>
        <w:pStyle w:val="Body"/>
        <w:tabs>
          <w:tab w:val="left" w:pos="3525"/>
        </w:tabs>
        <w:spacing w:after="0"/>
        <w:rPr>
          <w:rFonts w:ascii="Arial" w:hAnsi="Arial" w:cs="Arial"/>
        </w:rPr>
      </w:pPr>
      <w:r w:rsidRPr="00B96FE8">
        <w:rPr>
          <w:rFonts w:ascii="Arial" w:hAnsi="Arial" w:cs="Arial"/>
        </w:rPr>
        <w:t>Water quality parameters include temperature, pH, and dissolved oxygen (DO). These parameters were measured every seven days before sampling.</w:t>
      </w:r>
    </w:p>
    <w:p w:rsidR="00B96FE8" w:rsidRDefault="00B96FE8" w:rsidP="0039426C">
      <w:pPr>
        <w:pStyle w:val="Body"/>
        <w:tabs>
          <w:tab w:val="left" w:pos="3525"/>
        </w:tabs>
        <w:spacing w:after="0"/>
        <w:rPr>
          <w:rFonts w:ascii="Arial" w:hAnsi="Arial" w:cs="Arial"/>
        </w:rPr>
      </w:pPr>
    </w:p>
    <w:p w:rsidR="0039426C" w:rsidRPr="003B5B12" w:rsidRDefault="0039426C" w:rsidP="003B5B12">
      <w:pPr>
        <w:pStyle w:val="Head2"/>
        <w:spacing w:after="0"/>
        <w:rPr>
          <w:rFonts w:ascii="Arial" w:hAnsi="Arial" w:cs="Arial"/>
          <w:b/>
          <w:bCs/>
          <w:sz w:val="22"/>
          <w:szCs w:val="22"/>
        </w:rPr>
      </w:pPr>
      <w:r w:rsidRPr="003B5B12">
        <w:rPr>
          <w:rFonts w:ascii="Arial" w:hAnsi="Arial" w:cs="Arial"/>
          <w:b/>
          <w:bCs/>
          <w:sz w:val="22"/>
          <w:szCs w:val="22"/>
        </w:rPr>
        <w:t xml:space="preserve">2.4 </w:t>
      </w:r>
      <w:proofErr w:type="spellStart"/>
      <w:r w:rsidR="003B5B12" w:rsidRPr="003B5B12">
        <w:rPr>
          <w:rFonts w:ascii="Arial" w:hAnsi="Arial" w:cs="Arial"/>
          <w:b/>
          <w:bCs/>
          <w:caps w:val="0"/>
          <w:sz w:val="22"/>
          <w:szCs w:val="22"/>
        </w:rPr>
        <w:t>Analisis</w:t>
      </w:r>
      <w:proofErr w:type="spellEnd"/>
      <w:r w:rsidR="003B5B12" w:rsidRPr="003B5B12">
        <w:rPr>
          <w:rFonts w:ascii="Arial" w:hAnsi="Arial" w:cs="Arial"/>
          <w:b/>
          <w:bCs/>
          <w:caps w:val="0"/>
          <w:sz w:val="22"/>
          <w:szCs w:val="22"/>
        </w:rPr>
        <w:t xml:space="preserve"> Data </w:t>
      </w:r>
      <w:r w:rsidRPr="003B5B12">
        <w:rPr>
          <w:rFonts w:ascii="Arial" w:hAnsi="Arial" w:cs="Arial"/>
          <w:b/>
          <w:bCs/>
          <w:sz w:val="22"/>
          <w:szCs w:val="22"/>
        </w:rPr>
        <w:tab/>
      </w:r>
    </w:p>
    <w:p w:rsidR="00B96FE8" w:rsidRPr="00FB3A86" w:rsidRDefault="00B96FE8" w:rsidP="00441B6F">
      <w:pPr>
        <w:pStyle w:val="Body"/>
        <w:spacing w:after="0"/>
        <w:rPr>
          <w:rFonts w:ascii="Arial" w:hAnsi="Arial" w:cs="Arial"/>
        </w:rPr>
      </w:pPr>
      <w:r w:rsidRPr="00B96FE8">
        <w:rPr>
          <w:rFonts w:ascii="Arial" w:hAnsi="Arial" w:cs="Arial"/>
        </w:rPr>
        <w:t xml:space="preserve">The data obtained were analyzed using Analysis of Variance (ANOVA). If there was a significant difference between the treatments, the Duncan Multiple Range Test (DMRT) was performed with a 95% confidence level using </w:t>
      </w:r>
      <w:proofErr w:type="spellStart"/>
      <w:r w:rsidRPr="00B96FE8">
        <w:rPr>
          <w:rFonts w:ascii="Arial" w:hAnsi="Arial" w:cs="Arial"/>
        </w:rPr>
        <w:t>SigmaPlot</w:t>
      </w:r>
      <w:proofErr w:type="spellEnd"/>
      <w:r w:rsidRPr="00B96FE8">
        <w:rPr>
          <w:rFonts w:ascii="Arial" w:hAnsi="Arial" w:cs="Arial"/>
        </w:rPr>
        <w:t xml:space="preserve"> 16.0 software.</w:t>
      </w:r>
    </w:p>
    <w:p w:rsidR="00B80B7C" w:rsidRPr="003B5B12" w:rsidRDefault="003B5B12" w:rsidP="003B5B12">
      <w:pPr>
        <w:pStyle w:val="Heading1"/>
        <w:rPr>
          <w:sz w:val="22"/>
          <w:szCs w:val="22"/>
        </w:rPr>
      </w:pPr>
      <w:r w:rsidRPr="003B5B12">
        <w:rPr>
          <w:sz w:val="22"/>
          <w:szCs w:val="22"/>
        </w:rPr>
        <w:t>3. RESULTS AND DISCUSSION</w:t>
      </w:r>
    </w:p>
    <w:p w:rsidR="00116858" w:rsidRDefault="00422382" w:rsidP="00C22C5E">
      <w:pPr>
        <w:pStyle w:val="Head2"/>
        <w:spacing w:after="0"/>
        <w:rPr>
          <w:rFonts w:ascii="Arial" w:hAnsi="Arial"/>
          <w:b/>
          <w:bCs/>
          <w:caps w:val="0"/>
          <w:sz w:val="22"/>
        </w:rPr>
      </w:pPr>
      <w:r>
        <w:rPr>
          <w:rFonts w:ascii="Arial" w:hAnsi="Arial"/>
          <w:b/>
          <w:bCs/>
          <w:caps w:val="0"/>
          <w:sz w:val="22"/>
        </w:rPr>
        <w:t>3.1</w:t>
      </w:r>
      <w:r w:rsidR="007D7A73" w:rsidRPr="003B5B12">
        <w:rPr>
          <w:rFonts w:ascii="Arial" w:hAnsi="Arial"/>
          <w:b/>
          <w:bCs/>
          <w:caps w:val="0"/>
          <w:sz w:val="22"/>
        </w:rPr>
        <w:t xml:space="preserve"> </w:t>
      </w:r>
      <w:r w:rsidR="001640F2" w:rsidRPr="003B5B12">
        <w:rPr>
          <w:rFonts w:ascii="Arial" w:hAnsi="Arial"/>
          <w:b/>
          <w:bCs/>
          <w:caps w:val="0"/>
          <w:sz w:val="22"/>
        </w:rPr>
        <w:t xml:space="preserve">Proximate Analysis </w:t>
      </w:r>
    </w:p>
    <w:p w:rsidR="00C22C5E" w:rsidRDefault="00C22C5E" w:rsidP="00C22C5E">
      <w:pPr>
        <w:pStyle w:val="Body"/>
        <w:spacing w:after="0"/>
      </w:pPr>
      <w:r w:rsidRPr="00C22C5E">
        <w:t>Proximate analysis is used to determine the nutritional composition of a sample. This nutrient con</w:t>
      </w:r>
      <w:r w:rsidR="00BA0FB2">
        <w:t>tent consists of moisture, ash, lipid</w:t>
      </w:r>
      <w:r w:rsidRPr="00C22C5E">
        <w:t xml:space="preserve">, protein, and carbohydrates. The results of the proximate </w:t>
      </w:r>
      <w:r>
        <w:t xml:space="preserve">test are shown in Table 1. </w:t>
      </w:r>
    </w:p>
    <w:p w:rsidR="00C22C5E" w:rsidRPr="00C22C5E" w:rsidRDefault="00C22C5E" w:rsidP="00C22C5E">
      <w:pPr>
        <w:pStyle w:val="Body"/>
        <w:spacing w:after="0"/>
      </w:pPr>
    </w:p>
    <w:p w:rsidR="002208E1" w:rsidRPr="002208E1" w:rsidRDefault="002208E1" w:rsidP="00377210">
      <w:pPr>
        <w:pStyle w:val="Caption"/>
        <w:spacing w:after="0"/>
        <w:jc w:val="center"/>
        <w:rPr>
          <w:rFonts w:ascii="Arial" w:hAnsi="Arial" w:cs="Arial"/>
          <w:b/>
          <w:i w:val="0"/>
          <w:color w:val="auto"/>
          <w:sz w:val="20"/>
          <w:szCs w:val="20"/>
        </w:rPr>
      </w:pPr>
      <w:r w:rsidRPr="002208E1">
        <w:rPr>
          <w:rFonts w:ascii="Arial" w:hAnsi="Arial" w:cs="Arial"/>
          <w:b/>
          <w:i w:val="0"/>
          <w:color w:val="auto"/>
          <w:sz w:val="20"/>
          <w:szCs w:val="20"/>
        </w:rPr>
        <w:t xml:space="preserve">Table </w:t>
      </w:r>
      <w:r w:rsidRPr="002208E1">
        <w:rPr>
          <w:rFonts w:ascii="Arial" w:hAnsi="Arial" w:cs="Arial"/>
          <w:b/>
          <w:i w:val="0"/>
          <w:color w:val="auto"/>
          <w:sz w:val="20"/>
          <w:szCs w:val="20"/>
        </w:rPr>
        <w:fldChar w:fldCharType="begin"/>
      </w:r>
      <w:r w:rsidRPr="002208E1">
        <w:rPr>
          <w:rFonts w:ascii="Arial" w:hAnsi="Arial" w:cs="Arial"/>
          <w:b/>
          <w:i w:val="0"/>
          <w:color w:val="auto"/>
          <w:sz w:val="20"/>
          <w:szCs w:val="20"/>
        </w:rPr>
        <w:instrText xml:space="preserve"> SEQ Table \* ARABIC </w:instrText>
      </w:r>
      <w:r w:rsidRPr="002208E1">
        <w:rPr>
          <w:rFonts w:ascii="Arial" w:hAnsi="Arial" w:cs="Arial"/>
          <w:b/>
          <w:i w:val="0"/>
          <w:color w:val="auto"/>
          <w:sz w:val="20"/>
          <w:szCs w:val="20"/>
        </w:rPr>
        <w:fldChar w:fldCharType="separate"/>
      </w:r>
      <w:r w:rsidRPr="002208E1">
        <w:rPr>
          <w:rFonts w:ascii="Arial" w:hAnsi="Arial" w:cs="Arial"/>
          <w:b/>
          <w:i w:val="0"/>
          <w:noProof/>
          <w:color w:val="auto"/>
          <w:sz w:val="20"/>
          <w:szCs w:val="20"/>
        </w:rPr>
        <w:t>1</w:t>
      </w:r>
      <w:r w:rsidRPr="002208E1">
        <w:rPr>
          <w:rFonts w:ascii="Arial" w:hAnsi="Arial" w:cs="Arial"/>
          <w:b/>
          <w:i w:val="0"/>
          <w:color w:val="auto"/>
          <w:sz w:val="20"/>
          <w:szCs w:val="20"/>
        </w:rPr>
        <w:fldChar w:fldCharType="end"/>
      </w:r>
      <w:r w:rsidRPr="002208E1">
        <w:rPr>
          <w:rFonts w:ascii="Arial" w:hAnsi="Arial" w:cs="Arial"/>
          <w:b/>
          <w:i w:val="0"/>
          <w:color w:val="auto"/>
          <w:sz w:val="20"/>
          <w:szCs w:val="20"/>
        </w:rPr>
        <w:t xml:space="preserve"> </w:t>
      </w:r>
      <w:r w:rsidR="00B96FE8" w:rsidRPr="00B96FE8">
        <w:rPr>
          <w:rFonts w:ascii="Arial" w:hAnsi="Arial" w:cs="Arial"/>
          <w:b/>
          <w:i w:val="0"/>
          <w:color w:val="auto"/>
          <w:sz w:val="20"/>
          <w:szCs w:val="20"/>
        </w:rPr>
        <w:t>Result</w:t>
      </w:r>
      <w:r w:rsidR="0068448A">
        <w:rPr>
          <w:rFonts w:ascii="Arial" w:hAnsi="Arial" w:cs="Arial"/>
          <w:b/>
          <w:i w:val="0"/>
          <w:color w:val="auto"/>
          <w:sz w:val="20"/>
          <w:szCs w:val="20"/>
        </w:rPr>
        <w:t>s of Proximate Analysis of Mutiara</w:t>
      </w:r>
      <w:r w:rsidR="00B96FE8" w:rsidRPr="00B96FE8">
        <w:rPr>
          <w:rFonts w:ascii="Arial" w:hAnsi="Arial" w:cs="Arial"/>
          <w:b/>
          <w:i w:val="0"/>
          <w:color w:val="auto"/>
          <w:sz w:val="20"/>
          <w:szCs w:val="20"/>
        </w:rPr>
        <w:t xml:space="preserve"> Catfish Juveniles at the Beginning and End of the </w:t>
      </w:r>
      <w:r w:rsidR="00B96FE8">
        <w:rPr>
          <w:rFonts w:ascii="Arial" w:hAnsi="Arial" w:cs="Arial"/>
          <w:b/>
          <w:i w:val="0"/>
          <w:color w:val="auto"/>
          <w:sz w:val="20"/>
          <w:szCs w:val="20"/>
        </w:rPr>
        <w:t>Research</w:t>
      </w:r>
      <w:r w:rsidR="001947D6">
        <w:rPr>
          <w:rFonts w:ascii="Arial" w:hAnsi="Arial" w:cs="Arial"/>
          <w:b/>
          <w:i w:val="0"/>
          <w:color w:val="auto"/>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555"/>
        <w:gridCol w:w="1177"/>
        <w:gridCol w:w="1366"/>
        <w:gridCol w:w="1366"/>
        <w:gridCol w:w="1367"/>
        <w:gridCol w:w="1367"/>
      </w:tblGrid>
      <w:tr w:rsidR="00B55992" w:rsidTr="0068448A">
        <w:tc>
          <w:tcPr>
            <w:tcW w:w="1555" w:type="dxa"/>
            <w:vMerge w:val="restart"/>
            <w:tcBorders>
              <w:top w:val="single" w:sz="4" w:space="0" w:color="auto"/>
              <w:bottom w:val="single" w:sz="4" w:space="0" w:color="auto"/>
            </w:tcBorders>
            <w:vAlign w:val="center"/>
          </w:tcPr>
          <w:p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Parameter</w:t>
            </w:r>
            <w:r w:rsidR="00DE360C">
              <w:rPr>
                <w:rFonts w:ascii="Arial" w:hAnsi="Arial" w:cs="Arial"/>
                <w:b/>
                <w:sz w:val="20"/>
                <w:szCs w:val="20"/>
              </w:rPr>
              <w:t>s</w:t>
            </w:r>
            <w:r w:rsidRPr="00477B57">
              <w:rPr>
                <w:rFonts w:ascii="Arial" w:hAnsi="Arial" w:cs="Arial"/>
                <w:b/>
                <w:sz w:val="20"/>
                <w:szCs w:val="20"/>
              </w:rPr>
              <w:t xml:space="preserve"> </w:t>
            </w:r>
          </w:p>
        </w:tc>
        <w:tc>
          <w:tcPr>
            <w:tcW w:w="6643" w:type="dxa"/>
            <w:gridSpan w:val="5"/>
            <w:tcBorders>
              <w:top w:val="single" w:sz="4" w:space="0" w:color="auto"/>
              <w:bottom w:val="single" w:sz="4" w:space="0" w:color="auto"/>
            </w:tcBorders>
            <w:vAlign w:val="center"/>
          </w:tcPr>
          <w:p w:rsidR="00B55992" w:rsidRPr="00477B57" w:rsidRDefault="0068448A" w:rsidP="00B55992">
            <w:pPr>
              <w:pStyle w:val="Body"/>
              <w:spacing w:after="0"/>
              <w:jc w:val="center"/>
              <w:rPr>
                <w:rFonts w:ascii="Arial" w:hAnsi="Arial" w:cs="Arial"/>
                <w:b/>
                <w:sz w:val="20"/>
                <w:szCs w:val="20"/>
              </w:rPr>
            </w:pPr>
            <w:r w:rsidRPr="00477B57">
              <w:rPr>
                <w:rFonts w:ascii="Arial" w:hAnsi="Arial" w:cs="Arial"/>
                <w:b/>
                <w:sz w:val="20"/>
                <w:szCs w:val="20"/>
              </w:rPr>
              <w:t>Mutiara Catfish Juveniles</w:t>
            </w:r>
          </w:p>
        </w:tc>
      </w:tr>
      <w:tr w:rsidR="00B55992" w:rsidTr="0068448A">
        <w:tc>
          <w:tcPr>
            <w:tcW w:w="1555" w:type="dxa"/>
            <w:vMerge/>
            <w:tcBorders>
              <w:top w:val="single" w:sz="4" w:space="0" w:color="auto"/>
            </w:tcBorders>
          </w:tcPr>
          <w:p w:rsidR="00B55992" w:rsidRPr="00477B57" w:rsidRDefault="00B55992" w:rsidP="00116858">
            <w:pPr>
              <w:pStyle w:val="Body"/>
              <w:spacing w:after="0"/>
              <w:rPr>
                <w:rFonts w:ascii="Arial" w:hAnsi="Arial" w:cs="Arial"/>
                <w:b/>
                <w:sz w:val="20"/>
                <w:szCs w:val="20"/>
              </w:rPr>
            </w:pPr>
          </w:p>
        </w:tc>
        <w:tc>
          <w:tcPr>
            <w:tcW w:w="1177" w:type="dxa"/>
            <w:vMerge w:val="restart"/>
            <w:tcBorders>
              <w:top w:val="single" w:sz="4" w:space="0" w:color="auto"/>
            </w:tcBorders>
            <w:vAlign w:val="center"/>
          </w:tcPr>
          <w:p w:rsidR="00B55992" w:rsidRPr="00477B57" w:rsidRDefault="0068448A" w:rsidP="00B55992">
            <w:pPr>
              <w:pStyle w:val="Body"/>
              <w:spacing w:after="0"/>
              <w:jc w:val="center"/>
              <w:rPr>
                <w:rFonts w:ascii="Arial" w:hAnsi="Arial" w:cs="Arial"/>
                <w:b/>
                <w:sz w:val="20"/>
                <w:szCs w:val="20"/>
              </w:rPr>
            </w:pPr>
            <w:r w:rsidRPr="00477B57">
              <w:rPr>
                <w:rFonts w:ascii="Arial" w:hAnsi="Arial" w:cs="Arial"/>
                <w:b/>
                <w:sz w:val="20"/>
                <w:szCs w:val="20"/>
              </w:rPr>
              <w:t>Initial</w:t>
            </w:r>
          </w:p>
        </w:tc>
        <w:tc>
          <w:tcPr>
            <w:tcW w:w="5466" w:type="dxa"/>
            <w:gridSpan w:val="4"/>
            <w:tcBorders>
              <w:top w:val="single" w:sz="4" w:space="0" w:color="auto"/>
            </w:tcBorders>
          </w:tcPr>
          <w:p w:rsidR="00B55992" w:rsidRPr="00477B57" w:rsidRDefault="0068448A" w:rsidP="00B80B7C">
            <w:pPr>
              <w:pStyle w:val="Body"/>
              <w:spacing w:after="0"/>
              <w:jc w:val="center"/>
              <w:rPr>
                <w:rFonts w:ascii="Arial" w:hAnsi="Arial" w:cs="Arial"/>
                <w:b/>
                <w:sz w:val="20"/>
                <w:szCs w:val="20"/>
              </w:rPr>
            </w:pPr>
            <w:r w:rsidRPr="00477B57">
              <w:rPr>
                <w:rFonts w:ascii="Arial" w:hAnsi="Arial" w:cs="Arial"/>
                <w:b/>
                <w:sz w:val="20"/>
                <w:szCs w:val="20"/>
              </w:rPr>
              <w:t>Final</w:t>
            </w:r>
          </w:p>
        </w:tc>
      </w:tr>
      <w:tr w:rsidR="00B55992" w:rsidTr="001947D6">
        <w:tc>
          <w:tcPr>
            <w:tcW w:w="1555" w:type="dxa"/>
            <w:vMerge/>
            <w:tcBorders>
              <w:bottom w:val="single" w:sz="4" w:space="0" w:color="auto"/>
            </w:tcBorders>
          </w:tcPr>
          <w:p w:rsidR="00B55992" w:rsidRPr="00B80B7C" w:rsidRDefault="00B55992" w:rsidP="00B55992">
            <w:pPr>
              <w:pStyle w:val="Body"/>
              <w:spacing w:after="0"/>
              <w:rPr>
                <w:rFonts w:ascii="Arial" w:hAnsi="Arial" w:cs="Arial"/>
                <w:sz w:val="20"/>
                <w:szCs w:val="20"/>
              </w:rPr>
            </w:pPr>
          </w:p>
        </w:tc>
        <w:tc>
          <w:tcPr>
            <w:tcW w:w="1177" w:type="dxa"/>
            <w:vMerge/>
            <w:tcBorders>
              <w:bottom w:val="single" w:sz="4" w:space="0" w:color="auto"/>
            </w:tcBorders>
          </w:tcPr>
          <w:p w:rsidR="00B55992" w:rsidRPr="00B80B7C" w:rsidRDefault="00B55992" w:rsidP="00B55992">
            <w:pPr>
              <w:pStyle w:val="Body"/>
              <w:spacing w:after="0"/>
              <w:rPr>
                <w:rFonts w:ascii="Arial" w:hAnsi="Arial" w:cs="Arial"/>
                <w:sz w:val="20"/>
                <w:szCs w:val="20"/>
              </w:rPr>
            </w:pPr>
          </w:p>
        </w:tc>
        <w:tc>
          <w:tcPr>
            <w:tcW w:w="1366" w:type="dxa"/>
            <w:tcBorders>
              <w:bottom w:val="single" w:sz="4" w:space="0" w:color="auto"/>
            </w:tcBorders>
          </w:tcPr>
          <w:p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A</w:t>
            </w:r>
          </w:p>
        </w:tc>
        <w:tc>
          <w:tcPr>
            <w:tcW w:w="1366" w:type="dxa"/>
            <w:tcBorders>
              <w:bottom w:val="single" w:sz="4" w:space="0" w:color="auto"/>
            </w:tcBorders>
          </w:tcPr>
          <w:p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B</w:t>
            </w:r>
          </w:p>
        </w:tc>
        <w:tc>
          <w:tcPr>
            <w:tcW w:w="1367" w:type="dxa"/>
            <w:tcBorders>
              <w:bottom w:val="single" w:sz="4" w:space="0" w:color="auto"/>
            </w:tcBorders>
          </w:tcPr>
          <w:p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C</w:t>
            </w:r>
          </w:p>
        </w:tc>
        <w:tc>
          <w:tcPr>
            <w:tcW w:w="1367" w:type="dxa"/>
            <w:tcBorders>
              <w:bottom w:val="single" w:sz="4" w:space="0" w:color="auto"/>
            </w:tcBorders>
          </w:tcPr>
          <w:p w:rsidR="00B55992" w:rsidRPr="00477B57" w:rsidRDefault="00B55992" w:rsidP="00B55992">
            <w:pPr>
              <w:pStyle w:val="Body"/>
              <w:spacing w:after="0"/>
              <w:jc w:val="center"/>
              <w:rPr>
                <w:rFonts w:ascii="Arial" w:hAnsi="Arial" w:cs="Arial"/>
                <w:b/>
                <w:sz w:val="20"/>
                <w:szCs w:val="20"/>
              </w:rPr>
            </w:pPr>
            <w:r w:rsidRPr="00477B57">
              <w:rPr>
                <w:rFonts w:ascii="Arial" w:hAnsi="Arial" w:cs="Arial"/>
                <w:b/>
                <w:sz w:val="20"/>
                <w:szCs w:val="20"/>
              </w:rPr>
              <w:t>D</w:t>
            </w:r>
          </w:p>
        </w:tc>
      </w:tr>
      <w:tr w:rsidR="00B55992" w:rsidTr="00477B57">
        <w:tc>
          <w:tcPr>
            <w:tcW w:w="1555" w:type="dxa"/>
            <w:tcBorders>
              <w:top w:val="single" w:sz="4" w:space="0" w:color="auto"/>
              <w:bottom w:val="nil"/>
            </w:tcBorders>
          </w:tcPr>
          <w:p w:rsidR="00B55992" w:rsidRPr="00B80B7C" w:rsidRDefault="001947D6" w:rsidP="0068448A">
            <w:pPr>
              <w:pStyle w:val="Body"/>
              <w:spacing w:after="0"/>
              <w:jc w:val="center"/>
              <w:rPr>
                <w:rFonts w:ascii="Arial" w:hAnsi="Arial" w:cs="Arial"/>
                <w:sz w:val="20"/>
                <w:szCs w:val="20"/>
              </w:rPr>
            </w:pPr>
            <w:r>
              <w:rPr>
                <w:rFonts w:ascii="Arial" w:hAnsi="Arial" w:cs="Arial"/>
                <w:sz w:val="20"/>
                <w:szCs w:val="20"/>
              </w:rPr>
              <w:t>Moisture</w:t>
            </w:r>
            <w:r w:rsidR="0068448A">
              <w:rPr>
                <w:rFonts w:ascii="Arial" w:hAnsi="Arial" w:cs="Arial"/>
                <w:sz w:val="20"/>
                <w:szCs w:val="20"/>
              </w:rPr>
              <w:t xml:space="preserve"> (%)</w:t>
            </w:r>
          </w:p>
        </w:tc>
        <w:tc>
          <w:tcPr>
            <w:tcW w:w="1177" w:type="dxa"/>
            <w:tcBorders>
              <w:top w:val="single" w:sz="4" w:space="0" w:color="auto"/>
              <w:bottom w:val="nil"/>
            </w:tcBorders>
            <w:vAlign w:val="center"/>
          </w:tcPr>
          <w:p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77,1</w:t>
            </w:r>
          </w:p>
        </w:tc>
        <w:tc>
          <w:tcPr>
            <w:tcW w:w="1366" w:type="dxa"/>
            <w:tcBorders>
              <w:top w:val="single" w:sz="4" w:space="0" w:color="auto"/>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75,88</w:t>
            </w:r>
          </w:p>
        </w:tc>
        <w:tc>
          <w:tcPr>
            <w:tcW w:w="1366" w:type="dxa"/>
            <w:tcBorders>
              <w:top w:val="single" w:sz="4" w:space="0" w:color="auto"/>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76,08</w:t>
            </w:r>
          </w:p>
        </w:tc>
        <w:tc>
          <w:tcPr>
            <w:tcW w:w="1367" w:type="dxa"/>
            <w:tcBorders>
              <w:top w:val="single" w:sz="4" w:space="0" w:color="auto"/>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77,94</w:t>
            </w:r>
          </w:p>
        </w:tc>
        <w:tc>
          <w:tcPr>
            <w:tcW w:w="1367" w:type="dxa"/>
            <w:tcBorders>
              <w:top w:val="single" w:sz="4" w:space="0" w:color="auto"/>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75,13</w:t>
            </w:r>
          </w:p>
        </w:tc>
      </w:tr>
      <w:tr w:rsidR="00B55992" w:rsidTr="00477B57">
        <w:tc>
          <w:tcPr>
            <w:tcW w:w="1555" w:type="dxa"/>
            <w:tcBorders>
              <w:top w:val="nil"/>
              <w:bottom w:val="nil"/>
            </w:tcBorders>
          </w:tcPr>
          <w:p w:rsidR="00B55992" w:rsidRPr="00B80B7C" w:rsidRDefault="0068448A" w:rsidP="0068448A">
            <w:pPr>
              <w:pStyle w:val="Body"/>
              <w:spacing w:after="0"/>
              <w:jc w:val="center"/>
              <w:rPr>
                <w:rFonts w:ascii="Arial" w:hAnsi="Arial" w:cs="Arial"/>
                <w:sz w:val="20"/>
                <w:szCs w:val="20"/>
              </w:rPr>
            </w:pPr>
            <w:r>
              <w:rPr>
                <w:rFonts w:ascii="Arial" w:hAnsi="Arial" w:cs="Arial"/>
                <w:sz w:val="20"/>
                <w:szCs w:val="20"/>
              </w:rPr>
              <w:t>Ash (%)</w:t>
            </w:r>
          </w:p>
        </w:tc>
        <w:tc>
          <w:tcPr>
            <w:tcW w:w="1177" w:type="dxa"/>
            <w:tcBorders>
              <w:top w:val="nil"/>
              <w:bottom w:val="nil"/>
            </w:tcBorders>
            <w:vAlign w:val="center"/>
          </w:tcPr>
          <w:p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0,69</w:t>
            </w:r>
          </w:p>
        </w:tc>
        <w:tc>
          <w:tcPr>
            <w:tcW w:w="1366"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2,30</w:t>
            </w:r>
          </w:p>
        </w:tc>
        <w:tc>
          <w:tcPr>
            <w:tcW w:w="1366"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1,23</w:t>
            </w:r>
          </w:p>
        </w:tc>
        <w:tc>
          <w:tcPr>
            <w:tcW w:w="1367"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1,02</w:t>
            </w:r>
          </w:p>
        </w:tc>
        <w:tc>
          <w:tcPr>
            <w:tcW w:w="1367"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1,11</w:t>
            </w:r>
          </w:p>
        </w:tc>
      </w:tr>
      <w:tr w:rsidR="00B55992" w:rsidTr="00477B57">
        <w:tc>
          <w:tcPr>
            <w:tcW w:w="1555" w:type="dxa"/>
            <w:tcBorders>
              <w:top w:val="nil"/>
              <w:bottom w:val="nil"/>
            </w:tcBorders>
          </w:tcPr>
          <w:p w:rsidR="00B55992" w:rsidRPr="00B80B7C" w:rsidRDefault="0068448A" w:rsidP="0068448A">
            <w:pPr>
              <w:pStyle w:val="Body"/>
              <w:spacing w:after="0"/>
              <w:jc w:val="center"/>
              <w:rPr>
                <w:rFonts w:ascii="Arial" w:hAnsi="Arial" w:cs="Arial"/>
                <w:sz w:val="20"/>
                <w:szCs w:val="20"/>
              </w:rPr>
            </w:pPr>
            <w:r>
              <w:rPr>
                <w:rFonts w:ascii="Arial" w:hAnsi="Arial" w:cs="Arial"/>
                <w:sz w:val="20"/>
                <w:szCs w:val="20"/>
              </w:rPr>
              <w:t>Lipid (%)</w:t>
            </w:r>
          </w:p>
        </w:tc>
        <w:tc>
          <w:tcPr>
            <w:tcW w:w="1177" w:type="dxa"/>
            <w:tcBorders>
              <w:top w:val="nil"/>
              <w:bottom w:val="nil"/>
            </w:tcBorders>
            <w:vAlign w:val="center"/>
          </w:tcPr>
          <w:p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2,07</w:t>
            </w:r>
          </w:p>
        </w:tc>
        <w:tc>
          <w:tcPr>
            <w:tcW w:w="1366"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3,01</w:t>
            </w:r>
          </w:p>
        </w:tc>
        <w:tc>
          <w:tcPr>
            <w:tcW w:w="1366"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1,47</w:t>
            </w:r>
          </w:p>
        </w:tc>
        <w:tc>
          <w:tcPr>
            <w:tcW w:w="1367"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0,49</w:t>
            </w:r>
          </w:p>
        </w:tc>
        <w:tc>
          <w:tcPr>
            <w:tcW w:w="1367"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1,59</w:t>
            </w:r>
          </w:p>
        </w:tc>
      </w:tr>
      <w:tr w:rsidR="00B55992" w:rsidTr="00477B57">
        <w:tc>
          <w:tcPr>
            <w:tcW w:w="1555" w:type="dxa"/>
            <w:tcBorders>
              <w:top w:val="nil"/>
              <w:bottom w:val="nil"/>
            </w:tcBorders>
          </w:tcPr>
          <w:p w:rsidR="00B55992" w:rsidRPr="00B80B7C" w:rsidRDefault="0068448A" w:rsidP="0068448A">
            <w:pPr>
              <w:pStyle w:val="Body"/>
              <w:spacing w:after="0"/>
              <w:jc w:val="center"/>
              <w:rPr>
                <w:rFonts w:ascii="Arial" w:hAnsi="Arial" w:cs="Arial"/>
                <w:sz w:val="20"/>
                <w:szCs w:val="20"/>
              </w:rPr>
            </w:pPr>
            <w:r>
              <w:rPr>
                <w:rFonts w:ascii="Arial" w:hAnsi="Arial" w:cs="Arial"/>
                <w:sz w:val="20"/>
                <w:szCs w:val="20"/>
              </w:rPr>
              <w:t>Protein (%)</w:t>
            </w:r>
          </w:p>
        </w:tc>
        <w:tc>
          <w:tcPr>
            <w:tcW w:w="1177" w:type="dxa"/>
            <w:tcBorders>
              <w:top w:val="nil"/>
              <w:bottom w:val="nil"/>
            </w:tcBorders>
            <w:vAlign w:val="center"/>
          </w:tcPr>
          <w:p w:rsidR="00B55992" w:rsidRPr="00B80B7C" w:rsidRDefault="00B55992" w:rsidP="00477B57">
            <w:pPr>
              <w:pStyle w:val="Body"/>
              <w:spacing w:after="0"/>
              <w:jc w:val="center"/>
              <w:rPr>
                <w:rFonts w:ascii="Arial" w:hAnsi="Arial" w:cs="Arial"/>
                <w:sz w:val="20"/>
                <w:szCs w:val="20"/>
              </w:rPr>
            </w:pPr>
            <w:r>
              <w:rPr>
                <w:rFonts w:ascii="Arial" w:hAnsi="Arial" w:cs="Arial"/>
                <w:sz w:val="20"/>
                <w:szCs w:val="20"/>
              </w:rPr>
              <w:t>14,4</w:t>
            </w:r>
          </w:p>
        </w:tc>
        <w:tc>
          <w:tcPr>
            <w:tcW w:w="1366"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17,96</w:t>
            </w:r>
          </w:p>
        </w:tc>
        <w:tc>
          <w:tcPr>
            <w:tcW w:w="1366"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18,53</w:t>
            </w:r>
          </w:p>
        </w:tc>
        <w:tc>
          <w:tcPr>
            <w:tcW w:w="1367"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18,96</w:t>
            </w:r>
          </w:p>
        </w:tc>
        <w:tc>
          <w:tcPr>
            <w:tcW w:w="1367" w:type="dxa"/>
            <w:tcBorders>
              <w:top w:val="nil"/>
              <w:bottom w:val="nil"/>
            </w:tcBorders>
            <w:vAlign w:val="center"/>
          </w:tcPr>
          <w:p w:rsidR="00B55992" w:rsidRPr="00B80B7C" w:rsidRDefault="000236CC" w:rsidP="00477B57">
            <w:pPr>
              <w:pStyle w:val="Body"/>
              <w:spacing w:after="0"/>
              <w:jc w:val="center"/>
              <w:rPr>
                <w:rFonts w:ascii="Arial" w:hAnsi="Arial" w:cs="Arial"/>
                <w:sz w:val="20"/>
                <w:szCs w:val="20"/>
              </w:rPr>
            </w:pPr>
            <w:r>
              <w:rPr>
                <w:rFonts w:ascii="Arial" w:hAnsi="Arial" w:cs="Arial"/>
                <w:sz w:val="20"/>
                <w:szCs w:val="20"/>
              </w:rPr>
              <w:t>18,56</w:t>
            </w:r>
          </w:p>
        </w:tc>
      </w:tr>
      <w:tr w:rsidR="00B80B7C" w:rsidTr="00477B57">
        <w:tc>
          <w:tcPr>
            <w:tcW w:w="1555" w:type="dxa"/>
            <w:tcBorders>
              <w:top w:val="nil"/>
              <w:bottom w:val="single" w:sz="4" w:space="0" w:color="auto"/>
            </w:tcBorders>
          </w:tcPr>
          <w:p w:rsidR="00B80B7C" w:rsidRPr="00B80B7C" w:rsidRDefault="0068448A" w:rsidP="0068448A">
            <w:pPr>
              <w:pStyle w:val="Body"/>
              <w:spacing w:after="0"/>
              <w:jc w:val="center"/>
              <w:rPr>
                <w:rFonts w:ascii="Arial" w:hAnsi="Arial" w:cs="Arial"/>
                <w:sz w:val="20"/>
                <w:szCs w:val="20"/>
              </w:rPr>
            </w:pPr>
            <w:r>
              <w:rPr>
                <w:rFonts w:ascii="Arial" w:hAnsi="Arial" w:cs="Arial"/>
                <w:sz w:val="20"/>
                <w:szCs w:val="20"/>
              </w:rPr>
              <w:t>Carbohydrate (%)</w:t>
            </w:r>
          </w:p>
        </w:tc>
        <w:tc>
          <w:tcPr>
            <w:tcW w:w="1177" w:type="dxa"/>
            <w:tcBorders>
              <w:top w:val="nil"/>
              <w:bottom w:val="single" w:sz="4" w:space="0" w:color="auto"/>
            </w:tcBorders>
            <w:vAlign w:val="center"/>
          </w:tcPr>
          <w:p w:rsidR="00B80B7C" w:rsidRPr="00B80B7C" w:rsidRDefault="00B55992" w:rsidP="00477B57">
            <w:pPr>
              <w:pStyle w:val="Body"/>
              <w:spacing w:after="0"/>
              <w:jc w:val="center"/>
              <w:rPr>
                <w:rFonts w:ascii="Arial" w:hAnsi="Arial" w:cs="Arial"/>
                <w:sz w:val="20"/>
                <w:szCs w:val="20"/>
              </w:rPr>
            </w:pPr>
            <w:r>
              <w:rPr>
                <w:rFonts w:ascii="Arial" w:hAnsi="Arial" w:cs="Arial"/>
                <w:sz w:val="20"/>
                <w:szCs w:val="20"/>
              </w:rPr>
              <w:t>5,74</w:t>
            </w:r>
          </w:p>
        </w:tc>
        <w:tc>
          <w:tcPr>
            <w:tcW w:w="1366" w:type="dxa"/>
            <w:tcBorders>
              <w:top w:val="nil"/>
              <w:bottom w:val="single" w:sz="4" w:space="0" w:color="auto"/>
            </w:tcBorders>
            <w:vAlign w:val="center"/>
          </w:tcPr>
          <w:p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0,85</w:t>
            </w:r>
          </w:p>
        </w:tc>
        <w:tc>
          <w:tcPr>
            <w:tcW w:w="1366" w:type="dxa"/>
            <w:tcBorders>
              <w:top w:val="nil"/>
              <w:bottom w:val="single" w:sz="4" w:space="0" w:color="auto"/>
            </w:tcBorders>
            <w:vAlign w:val="center"/>
          </w:tcPr>
          <w:p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2,69</w:t>
            </w:r>
          </w:p>
        </w:tc>
        <w:tc>
          <w:tcPr>
            <w:tcW w:w="1367" w:type="dxa"/>
            <w:tcBorders>
              <w:top w:val="nil"/>
              <w:bottom w:val="single" w:sz="4" w:space="0" w:color="auto"/>
            </w:tcBorders>
            <w:vAlign w:val="center"/>
          </w:tcPr>
          <w:p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1,59</w:t>
            </w:r>
          </w:p>
        </w:tc>
        <w:tc>
          <w:tcPr>
            <w:tcW w:w="1367" w:type="dxa"/>
            <w:tcBorders>
              <w:top w:val="nil"/>
              <w:bottom w:val="single" w:sz="4" w:space="0" w:color="auto"/>
            </w:tcBorders>
            <w:vAlign w:val="center"/>
          </w:tcPr>
          <w:p w:rsidR="00B80B7C" w:rsidRPr="00B80B7C" w:rsidRDefault="000236CC" w:rsidP="00477B57">
            <w:pPr>
              <w:pStyle w:val="Body"/>
              <w:spacing w:after="0"/>
              <w:jc w:val="center"/>
              <w:rPr>
                <w:rFonts w:ascii="Arial" w:hAnsi="Arial" w:cs="Arial"/>
                <w:sz w:val="20"/>
                <w:szCs w:val="20"/>
              </w:rPr>
            </w:pPr>
            <w:r>
              <w:rPr>
                <w:rFonts w:ascii="Arial" w:hAnsi="Arial" w:cs="Arial"/>
                <w:sz w:val="20"/>
                <w:szCs w:val="20"/>
              </w:rPr>
              <w:t>3,61</w:t>
            </w:r>
          </w:p>
        </w:tc>
      </w:tr>
    </w:tbl>
    <w:p w:rsidR="00B80B7C" w:rsidRDefault="001947D6" w:rsidP="00116858">
      <w:pPr>
        <w:pStyle w:val="Body"/>
        <w:spacing w:after="0"/>
        <w:rPr>
          <w:rFonts w:ascii="Arial" w:hAnsi="Arial" w:cs="Arial"/>
          <w:i/>
        </w:rPr>
      </w:pPr>
      <w:r w:rsidRPr="001947D6">
        <w:rPr>
          <w:rFonts w:ascii="Arial" w:hAnsi="Arial" w:cs="Arial"/>
          <w:i/>
        </w:rPr>
        <w:t>*</w:t>
      </w:r>
      <w:r w:rsidRPr="001947D6">
        <w:rPr>
          <w:rFonts w:ascii="Arial" w:hAnsi="Arial" w:cs="Arial"/>
          <w:i/>
          <w:sz w:val="18"/>
          <w:szCs w:val="18"/>
        </w:rPr>
        <w:t xml:space="preserve">Proximate Analysis of Central Laboratory of </w:t>
      </w:r>
      <w:proofErr w:type="spellStart"/>
      <w:r w:rsidRPr="001947D6">
        <w:rPr>
          <w:rFonts w:ascii="Arial" w:hAnsi="Arial" w:cs="Arial"/>
          <w:i/>
          <w:sz w:val="18"/>
          <w:szCs w:val="18"/>
        </w:rPr>
        <w:t>Padjajaran</w:t>
      </w:r>
      <w:proofErr w:type="spellEnd"/>
      <w:r w:rsidRPr="001947D6">
        <w:rPr>
          <w:rFonts w:ascii="Arial" w:hAnsi="Arial" w:cs="Arial"/>
          <w:i/>
          <w:sz w:val="18"/>
          <w:szCs w:val="18"/>
        </w:rPr>
        <w:t xml:space="preserve"> University</w:t>
      </w:r>
      <w:r w:rsidRPr="001947D6">
        <w:rPr>
          <w:rFonts w:ascii="Arial" w:hAnsi="Arial" w:cs="Arial"/>
          <w:i/>
        </w:rPr>
        <w:t xml:space="preserve"> </w:t>
      </w:r>
    </w:p>
    <w:p w:rsidR="00C22C5E" w:rsidRDefault="00C22C5E" w:rsidP="00116858">
      <w:pPr>
        <w:pStyle w:val="Body"/>
        <w:spacing w:after="0"/>
        <w:rPr>
          <w:rFonts w:ascii="Arial" w:hAnsi="Arial" w:cs="Arial"/>
          <w:i/>
        </w:rPr>
      </w:pPr>
    </w:p>
    <w:p w:rsidR="00477B57" w:rsidRPr="00477B57" w:rsidRDefault="00C22C5E" w:rsidP="00116858">
      <w:pPr>
        <w:pStyle w:val="Body"/>
        <w:spacing w:after="0"/>
        <w:rPr>
          <w:rFonts w:ascii="Arial" w:hAnsi="Arial" w:cs="Arial"/>
        </w:rPr>
      </w:pPr>
      <w:r w:rsidRPr="00C22C5E">
        <w:rPr>
          <w:rFonts w:ascii="Arial" w:hAnsi="Arial" w:cs="Arial"/>
        </w:rPr>
        <w:t>Protei</w:t>
      </w:r>
      <w:r w:rsidR="00B916D7">
        <w:rPr>
          <w:rFonts w:ascii="Arial" w:hAnsi="Arial" w:cs="Arial"/>
        </w:rPr>
        <w:t xml:space="preserve">n was measured using the </w:t>
      </w:r>
      <w:proofErr w:type="spellStart"/>
      <w:r w:rsidR="00B916D7">
        <w:rPr>
          <w:rFonts w:ascii="Arial" w:hAnsi="Arial" w:cs="Arial"/>
        </w:rPr>
        <w:t>Kjeldah</w:t>
      </w:r>
      <w:r w:rsidRPr="00C22C5E">
        <w:rPr>
          <w:rFonts w:ascii="Arial" w:hAnsi="Arial" w:cs="Arial"/>
        </w:rPr>
        <w:t>l</w:t>
      </w:r>
      <w:proofErr w:type="spellEnd"/>
      <w:r w:rsidRPr="00C22C5E">
        <w:rPr>
          <w:rFonts w:ascii="Arial" w:hAnsi="Arial" w:cs="Arial"/>
        </w:rPr>
        <w:t xml:space="preserve"> method, which determines protein levels by binding to non-protein nitrogen compounds such as urea, purine nucleic acids, and so on</w:t>
      </w:r>
      <w:r w:rsidR="00625209">
        <w:rPr>
          <w:rFonts w:ascii="Arial" w:hAnsi="Arial" w:cs="Arial"/>
        </w:rPr>
        <w:t xml:space="preserve"> </w:t>
      </w:r>
      <w:r w:rsidR="00625209">
        <w:rPr>
          <w:rFonts w:ascii="Arial" w:hAnsi="Arial" w:cs="Arial"/>
        </w:rPr>
        <w:fldChar w:fldCharType="begin" w:fldLock="1"/>
      </w:r>
      <w:r w:rsidR="00422382">
        <w:rPr>
          <w:rFonts w:ascii="Arial" w:hAnsi="Arial" w:cs="Arial"/>
        </w:rPr>
        <w:instrText>ADDIN CSL_CITATION {"citationItems":[{"id":"ITEM-1","itemData":{"DOI":"10.57213/tjghpsr.v1i2.224","ISSN":"3026-6114","abstract":"Karimun Regency, Riau Archipelago Province has an ocean with abundant marine life and has not been used optimally. Bronok (Acaudina malpadioides) is a type of marine biota that lives in muddy coastal areas. Bronok on Karimun Island is consumed fresh and is believed to reduce joint pain. This study aims to determine the content of water, ash, fat, protein and carbohydrates in bronok (Acaudina malpadioides). The proximate analysis includes the water content test using the thermogravimetric method, the ash content using the dry ashing method, the fat content method (Soxhlet), the protein content method (Kjeldhal), and the carbohydrate content method (By different). Bronok that has been analysed for proximate content is found to be present at 16% water content, 29,2% ash content, 5,39% fat content, 11,25% protein content and 38,16% carbohydrate content.","author":[{"dropping-particle":"","family":"Yunisa Yunisa","given":"","non-dropping-particle":"","parse-names":false,"suffix":""},{"dropping-particle":"","family":"Suhaera Suhaera","given":"","non-dropping-particle":"","parse-names":false,"suffix":""},{"dropping-particle":"","family":"Shinta Sari","given":"","non-dropping-particle":"","parse-names":false,"suffix":""}],"container-title":"The Journal General Health and Pharmaceutical Sciences Research","id":"ITEM-1","issue":"2","issued":{"date-parts":[["2023"]]},"page":"31-40","title":"Analisis Proksimat Bronok (Acaudina Malpadioides)","type":"article-journal","volume":"1"},"uris":["http://www.mendeley.com/documents/?uuid=6c7469e4-9922-4e90-a45d-0903adc36a15"]}],"mendeley":{"formattedCitation":"(Yunisa Yunisa et al., 2023)","manualFormatting":"(Yunisa et al., 2023)","plainTextFormattedCitation":"(Yunisa Yunisa et al., 2023)","previouslyFormattedCitation":"(Yunisa Yunisa et al., 2023)"},"properties":{"noteIndex":0},"schema":"https://github.com/citation-style-language/schema/raw/master/csl-citation.json"}</w:instrText>
      </w:r>
      <w:r w:rsidR="00625209">
        <w:rPr>
          <w:rFonts w:ascii="Arial" w:hAnsi="Arial" w:cs="Arial"/>
        </w:rPr>
        <w:fldChar w:fldCharType="separate"/>
      </w:r>
      <w:r w:rsidR="00625209" w:rsidRPr="00BA0FB2">
        <w:rPr>
          <w:rFonts w:ascii="Arial" w:hAnsi="Arial" w:cs="Arial"/>
          <w:noProof/>
        </w:rPr>
        <w:t>(Yunisa et al.</w:t>
      </w:r>
      <w:r w:rsidR="00422382">
        <w:rPr>
          <w:rFonts w:ascii="Arial" w:hAnsi="Arial" w:cs="Arial"/>
          <w:noProof/>
        </w:rPr>
        <w:t>,</w:t>
      </w:r>
      <w:r w:rsidR="00625209" w:rsidRPr="00625209">
        <w:rPr>
          <w:rFonts w:ascii="Arial" w:hAnsi="Arial" w:cs="Arial"/>
          <w:noProof/>
        </w:rPr>
        <w:t xml:space="preserve"> 2023)</w:t>
      </w:r>
      <w:r w:rsidR="00625209">
        <w:rPr>
          <w:rFonts w:ascii="Arial" w:hAnsi="Arial" w:cs="Arial"/>
        </w:rPr>
        <w:fldChar w:fldCharType="end"/>
      </w:r>
      <w:r w:rsidRPr="00C22C5E">
        <w:rPr>
          <w:rFonts w:ascii="Arial" w:hAnsi="Arial" w:cs="Arial"/>
        </w:rPr>
        <w:t>. The proximate test results, based on Table 1, show that the highest protein levels were found in fish treated with treatment C, with a value of 18.96%. This indicates that tryptophan can accelerate protein synthesis, so that when tryptophan levels in the feed are adequate, the amount of protein in the body will also increase (Ahmed, 2012).</w:t>
      </w:r>
    </w:p>
    <w:p w:rsidR="001947D6" w:rsidRDefault="001947D6" w:rsidP="00116858">
      <w:pPr>
        <w:pStyle w:val="Body"/>
        <w:spacing w:after="0"/>
        <w:rPr>
          <w:rFonts w:ascii="Arial" w:hAnsi="Arial" w:cs="Arial"/>
        </w:rPr>
      </w:pPr>
    </w:p>
    <w:p w:rsidR="00B80B7C" w:rsidRPr="003B5B12" w:rsidRDefault="00B80B7C" w:rsidP="003B5B12">
      <w:pPr>
        <w:pStyle w:val="Head2"/>
        <w:spacing w:after="0"/>
        <w:rPr>
          <w:rFonts w:ascii="Arial" w:hAnsi="Arial"/>
          <w:b/>
          <w:bCs/>
          <w:caps w:val="0"/>
          <w:sz w:val="22"/>
        </w:rPr>
      </w:pPr>
      <w:r w:rsidRPr="003B5B12">
        <w:rPr>
          <w:rFonts w:ascii="Arial" w:hAnsi="Arial"/>
          <w:b/>
          <w:bCs/>
          <w:caps w:val="0"/>
          <w:sz w:val="22"/>
        </w:rPr>
        <w:t xml:space="preserve">3.2 </w:t>
      </w:r>
      <w:r w:rsidR="001640F2" w:rsidRPr="003B5B12">
        <w:rPr>
          <w:rFonts w:ascii="Arial" w:hAnsi="Arial"/>
          <w:b/>
          <w:bCs/>
          <w:caps w:val="0"/>
          <w:sz w:val="22"/>
        </w:rPr>
        <w:t>Absolute Weight Gain</w:t>
      </w:r>
    </w:p>
    <w:p w:rsidR="00B80B7C" w:rsidRDefault="00B96FE8" w:rsidP="00116858">
      <w:pPr>
        <w:pStyle w:val="Body"/>
        <w:spacing w:after="0"/>
        <w:rPr>
          <w:rFonts w:ascii="Arial" w:hAnsi="Arial" w:cs="Arial"/>
        </w:rPr>
      </w:pPr>
      <w:r w:rsidRPr="00B96FE8">
        <w:rPr>
          <w:rFonts w:ascii="Arial" w:hAnsi="Arial" w:cs="Arial"/>
        </w:rPr>
        <w:t xml:space="preserve">Based on the results of the research that has been done, tryptophan supplementation in artificial feed has an effect on the weight growth of </w:t>
      </w:r>
      <w:r>
        <w:rPr>
          <w:rFonts w:ascii="Arial" w:hAnsi="Arial" w:cs="Arial"/>
        </w:rPr>
        <w:t xml:space="preserve">Mutiara </w:t>
      </w:r>
      <w:r w:rsidRPr="00B96FE8">
        <w:rPr>
          <w:rFonts w:ascii="Arial" w:hAnsi="Arial" w:cs="Arial"/>
        </w:rPr>
        <w:t>catfish. After conducting the ANOVA analysis of variance test, the absolute</w:t>
      </w:r>
      <w:r w:rsidR="00422382">
        <w:rPr>
          <w:rFonts w:ascii="Arial" w:hAnsi="Arial" w:cs="Arial"/>
        </w:rPr>
        <w:t xml:space="preserve"> weight growth of juvenile Mutiara</w:t>
      </w:r>
      <w:r w:rsidRPr="00B96FE8">
        <w:rPr>
          <w:rFonts w:ascii="Arial" w:hAnsi="Arial" w:cs="Arial"/>
        </w:rPr>
        <w:t xml:space="preserve"> catfish ranged from 100.850±11.417 g -</w:t>
      </w:r>
      <w:r>
        <w:rPr>
          <w:rFonts w:ascii="Arial" w:hAnsi="Arial" w:cs="Arial"/>
        </w:rPr>
        <w:t xml:space="preserve"> </w:t>
      </w:r>
      <w:r w:rsidRPr="00B96FE8">
        <w:rPr>
          <w:rFonts w:ascii="Arial" w:hAnsi="Arial" w:cs="Arial"/>
        </w:rPr>
        <w:t>222.700±21.149 g. In the further Duncan test, it was found that treatment C (0.3%/kg feed) was significantly different from treatment A (0%/kg feed), treatment B (0.15%/kg feed) and treatment D (0.45%/kg feed). Treatment D was significantly different from treatments A and B while treatment B was not significantly different from treatment A.</w:t>
      </w:r>
      <w:r>
        <w:rPr>
          <w:rFonts w:ascii="Arial" w:hAnsi="Arial" w:cs="Arial"/>
        </w:rPr>
        <w:t xml:space="preserve"> </w:t>
      </w:r>
    </w:p>
    <w:p w:rsidR="00116858" w:rsidRDefault="00B8469B" w:rsidP="008D172C">
      <w:pPr>
        <w:pStyle w:val="Body"/>
        <w:spacing w:after="0"/>
        <w:jc w:val="center"/>
        <w:rPr>
          <w:rFonts w:ascii="Arial" w:hAnsi="Arial" w:cs="Arial"/>
        </w:rPr>
      </w:pPr>
      <w:r>
        <w:rPr>
          <w:rFonts w:ascii="Arial" w:hAnsi="Arial" w:cs="Arial"/>
          <w:noProof/>
        </w:rPr>
        <w:lastRenderedPageBreak/>
        <w:drawing>
          <wp:inline distT="0" distB="0" distL="0" distR="0">
            <wp:extent cx="3256734" cy="25200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BOT JURNAL.JPG"/>
                    <pic:cNvPicPr/>
                  </pic:nvPicPr>
                  <pic:blipFill rotWithShape="1">
                    <a:blip r:embed="rId14" cstate="print">
                      <a:extLst>
                        <a:ext uri="{28A0092B-C50C-407E-A947-70E740481C1C}">
                          <a14:useLocalDpi xmlns:a14="http://schemas.microsoft.com/office/drawing/2010/main" val="0"/>
                        </a:ext>
                      </a:extLst>
                    </a:blip>
                    <a:srcRect l="11964" t="27188" r="15723" b="29618"/>
                    <a:stretch/>
                  </pic:blipFill>
                  <pic:spPr bwMode="auto">
                    <a:xfrm>
                      <a:off x="0" y="0"/>
                      <a:ext cx="3256734" cy="2520000"/>
                    </a:xfrm>
                    <a:prstGeom prst="rect">
                      <a:avLst/>
                    </a:prstGeom>
                    <a:ln>
                      <a:noFill/>
                    </a:ln>
                    <a:extLst>
                      <a:ext uri="{53640926-AAD7-44D8-BBD7-CCE9431645EC}">
                        <a14:shadowObscured xmlns:a14="http://schemas.microsoft.com/office/drawing/2010/main"/>
                      </a:ext>
                    </a:extLst>
                  </pic:spPr>
                </pic:pic>
              </a:graphicData>
            </a:graphic>
          </wp:inline>
        </w:drawing>
      </w:r>
    </w:p>
    <w:p w:rsidR="004B203F" w:rsidRPr="004B203F" w:rsidRDefault="004B203F" w:rsidP="004B203F">
      <w:pPr>
        <w:pStyle w:val="Body"/>
        <w:jc w:val="center"/>
        <w:rPr>
          <w:rFonts w:ascii="Arial" w:hAnsi="Arial" w:cs="Arial"/>
          <w:b/>
        </w:rPr>
      </w:pPr>
      <w:r w:rsidRPr="004B203F">
        <w:rPr>
          <w:rFonts w:ascii="Arial" w:hAnsi="Arial" w:cs="Arial"/>
          <w:b/>
        </w:rPr>
        <w:t xml:space="preserve">Figure </w:t>
      </w:r>
      <w:r w:rsidRPr="004B203F">
        <w:rPr>
          <w:rFonts w:ascii="Arial" w:hAnsi="Arial" w:cs="Arial"/>
          <w:b/>
        </w:rPr>
        <w:fldChar w:fldCharType="begin"/>
      </w:r>
      <w:r w:rsidRPr="004B203F">
        <w:rPr>
          <w:rFonts w:ascii="Arial" w:hAnsi="Arial" w:cs="Arial"/>
          <w:b/>
        </w:rPr>
        <w:instrText xml:space="preserve"> SEQ Figure \* ARABIC </w:instrText>
      </w:r>
      <w:r w:rsidRPr="004B203F">
        <w:rPr>
          <w:rFonts w:ascii="Arial" w:hAnsi="Arial" w:cs="Arial"/>
          <w:b/>
        </w:rPr>
        <w:fldChar w:fldCharType="separate"/>
      </w:r>
      <w:r w:rsidR="00FB1D5C">
        <w:rPr>
          <w:rFonts w:ascii="Arial" w:hAnsi="Arial" w:cs="Arial"/>
          <w:b/>
          <w:noProof/>
        </w:rPr>
        <w:t>1</w:t>
      </w:r>
      <w:r w:rsidRPr="004B203F">
        <w:rPr>
          <w:rFonts w:ascii="Arial" w:hAnsi="Arial" w:cs="Arial"/>
          <w:b/>
        </w:rPr>
        <w:fldChar w:fldCharType="end"/>
      </w:r>
      <w:r w:rsidRPr="004B203F">
        <w:rPr>
          <w:rFonts w:ascii="Arial" w:hAnsi="Arial" w:cs="Arial"/>
          <w:b/>
        </w:rPr>
        <w:t xml:space="preserve"> </w:t>
      </w:r>
      <w:r w:rsidR="00422382">
        <w:rPr>
          <w:rFonts w:ascii="Arial" w:hAnsi="Arial" w:cs="Arial"/>
          <w:b/>
        </w:rPr>
        <w:t xml:space="preserve">Absolute weight gain </w:t>
      </w:r>
      <w:r w:rsidR="00377210" w:rsidRPr="00377210">
        <w:rPr>
          <w:rFonts w:ascii="Arial" w:hAnsi="Arial" w:cs="Arial"/>
          <w:b/>
        </w:rPr>
        <w:t>value of Mutiara catfish with the addition of different doses of tryptophan</w:t>
      </w:r>
    </w:p>
    <w:p w:rsidR="007D7A73" w:rsidRDefault="00377210" w:rsidP="007D7A73">
      <w:pPr>
        <w:pStyle w:val="Body"/>
        <w:spacing w:after="0"/>
        <w:rPr>
          <w:rFonts w:ascii="Arial" w:hAnsi="Arial" w:cs="Arial"/>
          <w:lang w:val="en-ID"/>
        </w:rPr>
      </w:pPr>
      <w:r>
        <w:rPr>
          <w:rFonts w:ascii="Arial" w:hAnsi="Arial" w:cs="Arial"/>
        </w:rPr>
        <w:t>T</w:t>
      </w:r>
      <w:r w:rsidR="00B96FE8" w:rsidRPr="00B96FE8">
        <w:rPr>
          <w:rFonts w:ascii="Arial" w:hAnsi="Arial" w:cs="Arial"/>
        </w:rPr>
        <w:t>reatment C (3 g/kg feed) showed the highest wei</w:t>
      </w:r>
      <w:r w:rsidR="00BA0FB2">
        <w:rPr>
          <w:rFonts w:ascii="Arial" w:hAnsi="Arial" w:cs="Arial"/>
        </w:rPr>
        <w:t>ght growth with a result of 222.700 ± 21.</w:t>
      </w:r>
      <w:r w:rsidR="00B96FE8" w:rsidRPr="00B96FE8">
        <w:rPr>
          <w:rFonts w:ascii="Arial" w:hAnsi="Arial" w:cs="Arial"/>
        </w:rPr>
        <w:t xml:space="preserve">149. This is in line with the research of </w:t>
      </w:r>
      <w:r w:rsidR="00116858" w:rsidRPr="00116858">
        <w:rPr>
          <w:rFonts w:ascii="Arial" w:hAnsi="Arial" w:cs="Arial"/>
          <w:lang w:val="en-ID"/>
        </w:rPr>
        <w:fldChar w:fldCharType="begin" w:fldLock="1"/>
      </w:r>
      <w:r w:rsidR="00BA0FB2">
        <w:rPr>
          <w:rFonts w:ascii="Arial" w:hAnsi="Arial" w:cs="Arial"/>
          <w:lang w:val="en-ID"/>
        </w:rPr>
        <w:instrText>ADDIN CSL_CITATION {"citationItems":[{"id":"ITEM-1","itemData":{"DOI":"https://doi.org/10.14710/sat.v6i2.13903","abstract":"Lele sangkuriang ( Clarias gariepinus ) merupakan salah satu komoditas ikan air tawar yang banyak dibudidayakan karena memiliki nilai ekonomis tinggi. Permasalahan pada budidaya lele sangkuriang salah satunya adalah efisiensi pemanfaatan pakan yang belum maksimal. Triptofan merupakan asam amino esensial yang berfungsi sebagai precursor serotonin yang dapat mengatur asupan pakan, adanya serotonin dalam otak akan menimbukan perasaan tenang dan senang sehingga napsu makan meningkat, selain itu triptofan juga membantu meningkatkan aktivitas enzim pencernaan ikan. Penelitian ini bertujuan untuk mengetahui pengaruh triptofan dalam pakan buatan terhadap efisiensi pemanfaatan pakan dan pertumbuhan lele sangkuriang dan dosis optimum triptofan. Penelitian ini dilaksanakan selama 42 hari yaitu pada bulan Juni 2021 - Agustus 2021 bertempat di Loka Perbenihan dan Budidaya Ikan Air Tawar Ngrajek, Magelang. Ikan uji yang digunakan adalah benih lele sangkuriang dengan bobot rata-rata 1,95±0,08 g/ekor. Pakan uji yang digunakan berupa pakan komersil dengan kandungan protein 31%. Parameter yang diukur dalam penelitian ini adalah Tingkat Konsumsi Pakan (TKP), Efisiensi Pemanfaatan Pakan (EPP), Rasio Efisiensi Protein (PER), Laju Pertumbuhan Relatif (RGR), Rasio Konversi Pakan (FCR), Kelulushidupan (SR), dan kualitas air. Metode yang digunakan adalah eksperimental menggunakan Rancangan Acak Lengkap (RAL) yang terdiri atas 6 perlakuan dan 3 ulangan. Perlakuan A, B, C, D, E, dan F masing-masing adalah (0; 0,85; 1,7; 2,55; 3,4; dan 4,25) g/kg pakan. Hasil penelitian menunjukkan bahwa penambahan triptofan berpengaruh nyata (P&lt;0,05) terhadap TKP, EPP, PER, RGR, dan FCR tetapi tidak berpengaruh nyata terhadap SR. Dosis optimum penambahan triptofan pada pakan buatan untuk lele sangkuriang adalah 3,6; 3,03; 2,94; 2,98; dan 3,05 g/kg pakan yang menghasilkan TKP, EPP, PER, RGR, dan FCR maksimal sebesar 136,29g; 67,55%; 1,92%; 5,13%/ hari; dan 1,48.","author":[{"dropping-particle":"","family":"Agustiana","given":"Auliafi Brilian","non-dropping-particle":"","parse-names":false,"suffix":""},{"dropping-particle":"","family":"Rachmawati","given":"Diana","non-dropping-particle":"","parse-names":false,"suffix":""},{"dropping-particle":"","family":"Herawati","given":"Vivi Endar","non-dropping-particle":"","parse-names":false,"suffix":""}],"container-title":"Sains Akuakultur Tropis : Indonesian Journal of Tropical Aquaculture; Vol 6, No 2 (2022): SAT edisi SeptemberDO - 10.14710/sat.v6i2.13903","id":"ITEM-1","issue":"2","issued":{"date-parts":[["2022","6"]]},"page":"202-215","title":"Pengaruh Triptofan dalam Pakan Buatan terhadap Efisiensi Pemanfaatan Pakan dan Performa Pertumbuhan Benih Lele Sangkuriang (Clarias gariepinus)","type":"article-journal","volume":"6"},"uris":["http://www.mendeley.com/documents/?uuid=22f9757b-541e-4494-ad36-c4ac3292662a"]}],"mendeley":{"formattedCitation":"(Agustiana et al., 2022)","manualFormatting":"Agustiana et al., 2022)","plainTextFormattedCitation":"(Agustiana et al., 2022)","previouslyFormattedCitation":"(Agustiana et al., 2022)"},"properties":{"noteIndex":0},"schema":"https://github.com/citation-style-language/schema/raw/master/csl-citation.json"}</w:instrText>
      </w:r>
      <w:r w:rsidR="00116858" w:rsidRPr="00116858">
        <w:rPr>
          <w:rFonts w:ascii="Arial" w:hAnsi="Arial" w:cs="Arial"/>
          <w:lang w:val="en-ID"/>
        </w:rPr>
        <w:fldChar w:fldCharType="separate"/>
      </w:r>
      <w:r w:rsidR="00116858" w:rsidRPr="00116858">
        <w:rPr>
          <w:rFonts w:ascii="Arial" w:hAnsi="Arial" w:cs="Arial"/>
          <w:noProof/>
          <w:lang w:val="en-ID"/>
        </w:rPr>
        <w:t xml:space="preserve">Agustiana </w:t>
      </w:r>
      <w:r w:rsidR="00116858" w:rsidRPr="00BA0FB2">
        <w:rPr>
          <w:rFonts w:ascii="Arial" w:hAnsi="Arial" w:cs="Arial"/>
          <w:noProof/>
          <w:lang w:val="en-ID"/>
        </w:rPr>
        <w:t>et al.</w:t>
      </w:r>
      <w:r w:rsidR="00BA0FB2">
        <w:rPr>
          <w:rFonts w:ascii="Arial" w:hAnsi="Arial" w:cs="Arial"/>
          <w:noProof/>
          <w:lang w:val="en-ID"/>
        </w:rPr>
        <w:t>,</w:t>
      </w:r>
      <w:r w:rsidR="00116858" w:rsidRPr="00116858">
        <w:rPr>
          <w:rFonts w:ascii="Arial" w:hAnsi="Arial" w:cs="Arial"/>
          <w:i/>
          <w:noProof/>
          <w:lang w:val="en-ID"/>
        </w:rPr>
        <w:t xml:space="preserve"> </w:t>
      </w:r>
      <w:r w:rsidR="00116858" w:rsidRPr="00116858">
        <w:rPr>
          <w:rFonts w:ascii="Arial" w:hAnsi="Arial" w:cs="Arial"/>
          <w:noProof/>
          <w:lang w:val="en-ID"/>
        </w:rPr>
        <w:t>2022)</w:t>
      </w:r>
      <w:r w:rsidR="00116858" w:rsidRPr="00116858">
        <w:rPr>
          <w:rFonts w:ascii="Arial" w:hAnsi="Arial" w:cs="Arial"/>
        </w:rPr>
        <w:fldChar w:fldCharType="end"/>
      </w:r>
      <w:r w:rsidR="00116858" w:rsidRPr="00116858">
        <w:rPr>
          <w:rFonts w:ascii="Arial" w:hAnsi="Arial" w:cs="Arial"/>
          <w:lang w:val="en-ID"/>
        </w:rPr>
        <w:t xml:space="preserve"> </w:t>
      </w:r>
      <w:r w:rsidR="00B96FE8" w:rsidRPr="00B96FE8">
        <w:rPr>
          <w:rFonts w:ascii="Arial" w:hAnsi="Arial" w:cs="Arial"/>
          <w:lang w:val="en-ID"/>
        </w:rPr>
        <w:t>which stated that the optimal dose of tryptophan addition to feed is 2.98 g/kg feed which produces a re</w:t>
      </w:r>
      <w:r w:rsidR="00CE4760">
        <w:rPr>
          <w:rFonts w:ascii="Arial" w:hAnsi="Arial" w:cs="Arial"/>
          <w:lang w:val="en-ID"/>
        </w:rPr>
        <w:t>lative growth rate of 5.13%/day</w:t>
      </w:r>
      <w:r w:rsidR="00116858" w:rsidRPr="00116858">
        <w:rPr>
          <w:rFonts w:ascii="Arial" w:hAnsi="Arial" w:cs="Arial"/>
          <w:lang w:val="en-ID"/>
        </w:rPr>
        <w:t xml:space="preserve">. </w:t>
      </w:r>
      <w:r w:rsidR="00116858" w:rsidRPr="00116858">
        <w:rPr>
          <w:rFonts w:ascii="Arial" w:hAnsi="Arial" w:cs="Arial"/>
          <w:lang w:val="en-ID"/>
        </w:rPr>
        <w:fldChar w:fldCharType="begin" w:fldLock="1"/>
      </w:r>
      <w:r w:rsidR="00116858" w:rsidRPr="00116858">
        <w:rPr>
          <w:rFonts w:ascii="Arial" w:hAnsi="Arial" w:cs="Arial"/>
          <w:lang w:val="en-ID"/>
        </w:rPr>
        <w:instrText>ADDIN CSL_CITATION {"citationItems":[{"id":"ITEM-1","itemData":{"DOI":"10.1007/s10695-012-9609-1","ISSN":"1573-5168","abstract":"An 8-week feeding trial was conducted to determine the dietary tryptophan requirement of fingerling Indian catfish, Heteropneustes fossilis (6.10 ± 1.15 cm, 4.44 ± 0.50 g). Six isonitrogenous (40 g 100 g−1) and isoenergetic (17.90 kJ g−1) amino acid test diets were formulated with gradation of 0.1 g 100 g−1 containing graded levels of l-tryptophan (0.04–0.54 g 100 g−1, dry diet). Fish were stocked in triplicate groups, in 75-L circular trough with flow-through system and fed experimental diets at 4% BW/day twice daily. Maximum live weight gain (258%), best feed conversion ratio (FCR) (1.54) and protein efficiency ratio (PER) (1.62) were obtained in fish fed diet containing 0.34 g 100 g−1 tryptophan. However, quadratic regression analysis of weight gain, FCR, PER and body protein deposition (BPD) data indicated requirements for dietary tryptophan at 0.37, 0.33, 0.32 and 0.33 g 100 g−1 of dry diet, respectively. Significantly (P &lt; 0.05) higher body protein, minimum moisture and intermediate fat contents were recorded at 0.34 g 100 g−1 dietary tryptophan diet. Ash content was not significantly different (P &gt; 0.05) among treatments except for diets 0.04 and 0.14 g 100 g−1. Excellent somatic and haematological indices values were obtained at the requirement level. Based on above results, it is recommended that the diet for H. fossilis should contain tryptophan at 0.32 g 100 g−1, dry diet, corresponding to 0.80 g 100 g−1 dietary protein for optimum growth and efficient feed utilization.","author":[{"dropping-particle":"","family":"Ahmed","given":"Imtiaz","non-dropping-particle":"","parse-names":false,"suffix":""}],"container-title":"Fish Physiology and Biochemistry","id":"ITEM-1","issue":"4","issued":{"date-parts":[["2012"]]},"page":"1195-1209","title":"Dietary amino acid l-tryptophan requirement of fingerling Indian catfish, Heteropneustes fossilis (Bloch), estimated by growth and haemato-biochemical parameters","type":"article-journal","volume":"38"},"uris":["http://www.mendeley.com/documents/?uuid=6484241d-5069-48c7-8021-4915673841b6"]}],"mendeley":{"formattedCitation":"(Ahmed, 2012)","manualFormatting":"Ahmed (2012)","plainTextFormattedCitation":"(Ahmed, 2012)","previouslyFormattedCitation":"(Ahmed, 2012)"},"properties":{"noteIndex":0},"schema":"https://github.com/citation-style-language/schema/raw/master/csl-citation.json"}</w:instrText>
      </w:r>
      <w:r w:rsidR="00116858" w:rsidRPr="00116858">
        <w:rPr>
          <w:rFonts w:ascii="Arial" w:hAnsi="Arial" w:cs="Arial"/>
          <w:lang w:val="en-ID"/>
        </w:rPr>
        <w:fldChar w:fldCharType="separate"/>
      </w:r>
      <w:r w:rsidR="00116858" w:rsidRPr="00116858">
        <w:rPr>
          <w:rFonts w:ascii="Arial" w:hAnsi="Arial" w:cs="Arial"/>
          <w:noProof/>
          <w:lang w:val="en-ID"/>
        </w:rPr>
        <w:t>Ahmed (2012)</w:t>
      </w:r>
      <w:r w:rsidR="00116858" w:rsidRPr="00116858">
        <w:rPr>
          <w:rFonts w:ascii="Arial" w:hAnsi="Arial" w:cs="Arial"/>
        </w:rPr>
        <w:fldChar w:fldCharType="end"/>
      </w:r>
      <w:r w:rsidR="00116858" w:rsidRPr="00116858">
        <w:rPr>
          <w:rFonts w:ascii="Arial" w:hAnsi="Arial" w:cs="Arial"/>
          <w:lang w:val="en-ID"/>
        </w:rPr>
        <w:t xml:space="preserve"> </w:t>
      </w:r>
      <w:r w:rsidR="00CE4760" w:rsidRPr="00CE4760">
        <w:rPr>
          <w:rFonts w:ascii="Arial" w:hAnsi="Arial" w:cs="Arial"/>
          <w:lang w:val="en-ID"/>
        </w:rPr>
        <w:t xml:space="preserve">explained that tryptophan produces 5-hydroxytryptamine (5-HTP) which is converted into serotonin in the brain so that it can affect the </w:t>
      </w:r>
      <w:proofErr w:type="spellStart"/>
      <w:r w:rsidR="00CE4760" w:rsidRPr="00CE4760">
        <w:rPr>
          <w:rFonts w:ascii="Arial" w:hAnsi="Arial" w:cs="Arial"/>
          <w:lang w:val="en-ID"/>
        </w:rPr>
        <w:t>behavior</w:t>
      </w:r>
      <w:proofErr w:type="spellEnd"/>
      <w:r w:rsidR="00CE4760" w:rsidRPr="00CE4760">
        <w:rPr>
          <w:rFonts w:ascii="Arial" w:hAnsi="Arial" w:cs="Arial"/>
          <w:lang w:val="en-ID"/>
        </w:rPr>
        <w:t xml:space="preserve"> and appetite of fish. Therefore, when the appetite of fish is good, fish growth is optimal. Serotonin will in turn regulate the secretion of pituitary growth hormone (GH) which can trigger insulin-like growth factor-I (IGF-I) produced by the liver</w:t>
      </w:r>
      <w:r w:rsidR="00CE4760">
        <w:rPr>
          <w:rFonts w:ascii="Arial" w:hAnsi="Arial" w:cs="Arial"/>
          <w:lang w:val="en-ID"/>
        </w:rPr>
        <w:t xml:space="preserve"> </w:t>
      </w:r>
      <w:r w:rsidR="00116858" w:rsidRPr="00116858">
        <w:rPr>
          <w:rFonts w:ascii="Arial" w:hAnsi="Arial" w:cs="Arial"/>
          <w:lang w:val="en-ID"/>
        </w:rPr>
        <w:fldChar w:fldCharType="begin" w:fldLock="1"/>
      </w:r>
      <w:r w:rsidR="00116858" w:rsidRPr="00116858">
        <w:rPr>
          <w:rFonts w:ascii="Arial" w:hAnsi="Arial" w:cs="Arial"/>
          <w:lang w:val="en-ID"/>
        </w:rPr>
        <w:instrText>ADDIN CSL_CITATION {"citationItems":[{"id":"ITEM-1","itemData":{"DOI":"10.1016/S1471-4914(03)00138-2","ISSN":"14714914","PMID":"12928036","abstract":"Skeletal muscle atrophy occurs in multiple clinical settings, including cancer, AIDS and sepsis, and is caused in part by an increase in the rate of ATP-dependent ubiquitin-mediated proteolysis. The expression of two recently identified genes encoding ubiquitin-protein ligases, MAFbx/Atrogin-1 and MuRF1, has been shown to increase during muscle atrophy. Mouse knockout studies have demonstrated that MAFbx and MuRF1 are required for muscle atrophy, and thus might be targets for clinical intervention. A second strategy for blocking atrophy involves the stimulation of pathways leading to skeletal muscle hypertrophy. Insulin-like growth factor 1 (IGF-1) is a protein growth factor that can induce skeletal muscle hypertrophy by activating the phosphatidylinositol 3-kinase (PI3K)-Akt pathway. The pathways modulating hypertrophy and atrophy will be further discussed, to highlight potential targets for clinical intervention.","author":[{"dropping-particle":"","family":"Glass","given":"David J.","non-dropping-particle":"","parse-names":false,"suffix":""}],"container-title":"Trends in Molecular Medicine","id":"ITEM-1","issue":"8","issued":{"date-parts":[["2003"]]},"page":"344-350","title":"Molecular mechanisms modulating muscle mass","type":"article-journal","volume":"9"},"uris":["http://www.mendeley.com/documents/?uuid=11db7b19-5fcc-4ae8-85f2-ae34e4cf892f"]}],"mendeley":{"formattedCitation":"(Glass, 2003)","manualFormatting":"(Glass 2003)","plainTextFormattedCitation":"(Glass, 2003)","previouslyFormattedCitation":"(Glass, 2003)"},"properties":{"noteIndex":0},"schema":"https://github.com/citation-style-language/schema/raw/master/csl-citation.json"}</w:instrText>
      </w:r>
      <w:r w:rsidR="00116858" w:rsidRPr="00116858">
        <w:rPr>
          <w:rFonts w:ascii="Arial" w:hAnsi="Arial" w:cs="Arial"/>
          <w:lang w:val="en-ID"/>
        </w:rPr>
        <w:fldChar w:fldCharType="separate"/>
      </w:r>
      <w:r w:rsidR="00116858" w:rsidRPr="00116858">
        <w:rPr>
          <w:rFonts w:ascii="Arial" w:hAnsi="Arial" w:cs="Arial"/>
          <w:noProof/>
          <w:lang w:val="en-ID"/>
        </w:rPr>
        <w:t>(Glass 2003)</w:t>
      </w:r>
      <w:r w:rsidR="00116858" w:rsidRPr="00116858">
        <w:rPr>
          <w:rFonts w:ascii="Arial" w:hAnsi="Arial" w:cs="Arial"/>
          <w:lang w:val="en-ID"/>
        </w:rPr>
        <w:fldChar w:fldCharType="end"/>
      </w:r>
      <w:r w:rsidR="00116858">
        <w:rPr>
          <w:rFonts w:ascii="Arial" w:hAnsi="Arial" w:cs="Arial"/>
          <w:lang w:val="en-ID"/>
        </w:rPr>
        <w:t>.</w:t>
      </w:r>
      <w:r w:rsidR="00E3130B">
        <w:rPr>
          <w:rFonts w:ascii="Arial" w:hAnsi="Arial" w:cs="Arial"/>
          <w:lang w:val="en-ID"/>
        </w:rPr>
        <w:t xml:space="preserve"> </w:t>
      </w:r>
      <w:r w:rsidR="00116858">
        <w:rPr>
          <w:rFonts w:ascii="Arial" w:hAnsi="Arial" w:cs="Arial"/>
          <w:lang w:val="en-ID"/>
        </w:rPr>
        <w:t xml:space="preserve"> </w:t>
      </w:r>
    </w:p>
    <w:p w:rsidR="00116858" w:rsidRDefault="00116858" w:rsidP="00DA55EA">
      <w:pPr>
        <w:pStyle w:val="Body"/>
        <w:spacing w:after="0"/>
        <w:rPr>
          <w:rFonts w:ascii="Arial" w:hAnsi="Arial" w:cs="Arial"/>
        </w:rPr>
      </w:pPr>
    </w:p>
    <w:p w:rsidR="007D7A73" w:rsidRPr="003B5B12" w:rsidRDefault="007D7A73" w:rsidP="003B5B12">
      <w:pPr>
        <w:pStyle w:val="Head2"/>
        <w:spacing w:after="0"/>
        <w:rPr>
          <w:rFonts w:ascii="Arial" w:hAnsi="Arial" w:cs="Arial"/>
          <w:b/>
          <w:bCs/>
          <w:caps w:val="0"/>
          <w:sz w:val="22"/>
          <w:szCs w:val="22"/>
        </w:rPr>
      </w:pPr>
      <w:r w:rsidRPr="003B5B12">
        <w:rPr>
          <w:rFonts w:ascii="Arial" w:hAnsi="Arial" w:cs="Arial"/>
          <w:b/>
          <w:bCs/>
          <w:caps w:val="0"/>
          <w:sz w:val="22"/>
          <w:szCs w:val="22"/>
        </w:rPr>
        <w:t xml:space="preserve">3.3 </w:t>
      </w:r>
      <w:r w:rsidR="001640F2" w:rsidRPr="003B5B12">
        <w:rPr>
          <w:rFonts w:ascii="Arial" w:hAnsi="Arial" w:cs="Arial"/>
          <w:b/>
          <w:bCs/>
          <w:caps w:val="0"/>
          <w:sz w:val="22"/>
          <w:szCs w:val="22"/>
        </w:rPr>
        <w:t xml:space="preserve">Feed Conversion Ratio </w:t>
      </w:r>
      <w:r w:rsidRPr="003B5B12">
        <w:rPr>
          <w:rFonts w:ascii="Arial" w:hAnsi="Arial" w:cs="Arial"/>
          <w:b/>
          <w:bCs/>
          <w:caps w:val="0"/>
          <w:sz w:val="22"/>
          <w:szCs w:val="22"/>
        </w:rPr>
        <w:t xml:space="preserve">(FCR) </w:t>
      </w:r>
    </w:p>
    <w:p w:rsidR="00E11A0A" w:rsidRDefault="00CE4760" w:rsidP="007D7A73">
      <w:pPr>
        <w:pStyle w:val="Body"/>
        <w:spacing w:after="0"/>
        <w:rPr>
          <w:rFonts w:ascii="Arial" w:hAnsi="Arial" w:cs="Arial"/>
        </w:rPr>
      </w:pPr>
      <w:r w:rsidRPr="00CE4760">
        <w:rPr>
          <w:rFonts w:ascii="Arial" w:hAnsi="Arial" w:cs="Arial"/>
        </w:rPr>
        <w:t>Feed conversion ratio (FCR) is an index of total feed utilization for growth or the number of grams of feed required by fish to produce 1g of wet weight of fish.</w:t>
      </w:r>
    </w:p>
    <w:p w:rsidR="00CE4760" w:rsidRDefault="00CE4760" w:rsidP="007D7A73">
      <w:pPr>
        <w:pStyle w:val="Body"/>
        <w:spacing w:after="0"/>
        <w:rPr>
          <w:rFonts w:ascii="Arial" w:hAnsi="Arial" w:cs="Arial"/>
        </w:rPr>
      </w:pPr>
    </w:p>
    <w:p w:rsidR="004B203F" w:rsidRDefault="002208E1" w:rsidP="00E11A0A">
      <w:pPr>
        <w:pStyle w:val="Body"/>
        <w:spacing w:after="0"/>
        <w:jc w:val="center"/>
        <w:rPr>
          <w:rFonts w:ascii="Arial" w:hAnsi="Arial" w:cs="Arial"/>
        </w:rPr>
      </w:pPr>
      <w:r>
        <w:rPr>
          <w:rFonts w:ascii="Arial" w:hAnsi="Arial" w:cs="Arial"/>
          <w:noProof/>
        </w:rPr>
        <w:drawing>
          <wp:inline distT="0" distB="0" distL="0" distR="0">
            <wp:extent cx="3065948" cy="2520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R JURNAL FIKS.JPG"/>
                    <pic:cNvPicPr/>
                  </pic:nvPicPr>
                  <pic:blipFill rotWithShape="1">
                    <a:blip r:embed="rId15" cstate="print">
                      <a:extLst>
                        <a:ext uri="{28A0092B-C50C-407E-A947-70E740481C1C}">
                          <a14:useLocalDpi xmlns:a14="http://schemas.microsoft.com/office/drawing/2010/main" val="0"/>
                        </a:ext>
                      </a:extLst>
                    </a:blip>
                    <a:srcRect l="12022" t="25957" r="16829" b="28901"/>
                    <a:stretch/>
                  </pic:blipFill>
                  <pic:spPr bwMode="auto">
                    <a:xfrm>
                      <a:off x="0" y="0"/>
                      <a:ext cx="3065948" cy="2520000"/>
                    </a:xfrm>
                    <a:prstGeom prst="rect">
                      <a:avLst/>
                    </a:prstGeom>
                    <a:ln>
                      <a:noFill/>
                    </a:ln>
                    <a:extLst>
                      <a:ext uri="{53640926-AAD7-44D8-BBD7-CCE9431645EC}">
                        <a14:shadowObscured xmlns:a14="http://schemas.microsoft.com/office/drawing/2010/main"/>
                      </a:ext>
                    </a:extLst>
                  </pic:spPr>
                </pic:pic>
              </a:graphicData>
            </a:graphic>
          </wp:inline>
        </w:drawing>
      </w:r>
    </w:p>
    <w:p w:rsidR="001669DC" w:rsidRDefault="001669DC" w:rsidP="002208E1">
      <w:pPr>
        <w:pStyle w:val="Body"/>
        <w:spacing w:after="0"/>
        <w:rPr>
          <w:rFonts w:ascii="Arial" w:hAnsi="Arial" w:cs="Arial"/>
        </w:rPr>
      </w:pPr>
    </w:p>
    <w:p w:rsidR="004B203F" w:rsidRPr="004B203F" w:rsidRDefault="00FB1D5C" w:rsidP="00FB1D5C">
      <w:pPr>
        <w:pStyle w:val="Caption"/>
        <w:jc w:val="center"/>
        <w:rPr>
          <w:rFonts w:ascii="Arial" w:hAnsi="Arial" w:cs="Arial"/>
          <w:b/>
          <w:i w:val="0"/>
          <w:color w:val="auto"/>
          <w:sz w:val="20"/>
          <w:szCs w:val="20"/>
        </w:rPr>
      </w:pPr>
      <w:r w:rsidRPr="00FB1D5C">
        <w:rPr>
          <w:rFonts w:ascii="Arial" w:hAnsi="Arial" w:cs="Arial"/>
          <w:b/>
          <w:i w:val="0"/>
          <w:color w:val="auto"/>
          <w:sz w:val="20"/>
          <w:szCs w:val="20"/>
        </w:rPr>
        <w:t xml:space="preserve">Figure </w:t>
      </w:r>
      <w:r w:rsidRPr="00FB1D5C">
        <w:rPr>
          <w:rFonts w:ascii="Arial" w:hAnsi="Arial" w:cs="Arial"/>
          <w:b/>
          <w:i w:val="0"/>
          <w:color w:val="auto"/>
          <w:sz w:val="20"/>
          <w:szCs w:val="20"/>
        </w:rPr>
        <w:fldChar w:fldCharType="begin"/>
      </w:r>
      <w:r w:rsidRPr="00FB1D5C">
        <w:rPr>
          <w:rFonts w:ascii="Arial" w:hAnsi="Arial" w:cs="Arial"/>
          <w:b/>
          <w:i w:val="0"/>
          <w:color w:val="auto"/>
          <w:sz w:val="20"/>
          <w:szCs w:val="20"/>
        </w:rPr>
        <w:instrText xml:space="preserve"> SEQ Figure \* ARABIC </w:instrText>
      </w:r>
      <w:r w:rsidRPr="00FB1D5C">
        <w:rPr>
          <w:rFonts w:ascii="Arial" w:hAnsi="Arial" w:cs="Arial"/>
          <w:b/>
          <w:i w:val="0"/>
          <w:color w:val="auto"/>
          <w:sz w:val="20"/>
          <w:szCs w:val="20"/>
        </w:rPr>
        <w:fldChar w:fldCharType="separate"/>
      </w:r>
      <w:r w:rsidRPr="00FB1D5C">
        <w:rPr>
          <w:rFonts w:ascii="Arial" w:hAnsi="Arial" w:cs="Arial"/>
          <w:b/>
          <w:i w:val="0"/>
          <w:noProof/>
          <w:color w:val="auto"/>
          <w:sz w:val="20"/>
          <w:szCs w:val="20"/>
        </w:rPr>
        <w:t>2</w:t>
      </w:r>
      <w:r w:rsidRPr="00FB1D5C">
        <w:rPr>
          <w:rFonts w:ascii="Arial" w:hAnsi="Arial" w:cs="Arial"/>
          <w:b/>
          <w:i w:val="0"/>
          <w:color w:val="auto"/>
          <w:sz w:val="20"/>
          <w:szCs w:val="20"/>
        </w:rPr>
        <w:fldChar w:fldCharType="end"/>
      </w:r>
      <w:r>
        <w:t xml:space="preserve"> </w:t>
      </w:r>
      <w:r w:rsidR="00422382">
        <w:rPr>
          <w:rFonts w:ascii="Arial" w:hAnsi="Arial" w:cs="Arial"/>
          <w:b/>
          <w:i w:val="0"/>
          <w:color w:val="auto"/>
          <w:sz w:val="20"/>
          <w:szCs w:val="20"/>
        </w:rPr>
        <w:t>Feed conversion r</w:t>
      </w:r>
      <w:r w:rsidR="004B203F" w:rsidRPr="004B203F">
        <w:rPr>
          <w:rFonts w:ascii="Arial" w:hAnsi="Arial" w:cs="Arial"/>
          <w:b/>
          <w:i w:val="0"/>
          <w:color w:val="auto"/>
          <w:sz w:val="20"/>
          <w:szCs w:val="20"/>
        </w:rPr>
        <w:t xml:space="preserve">atio </w:t>
      </w:r>
      <w:r w:rsidR="00377210">
        <w:rPr>
          <w:rFonts w:ascii="Arial" w:hAnsi="Arial" w:cs="Arial"/>
          <w:b/>
          <w:i w:val="0"/>
          <w:color w:val="auto"/>
          <w:sz w:val="20"/>
          <w:szCs w:val="20"/>
        </w:rPr>
        <w:t>value of Mutiara catfish with the addition of different doses of tryptophan</w:t>
      </w:r>
    </w:p>
    <w:p w:rsidR="009B4237" w:rsidRDefault="00CE4760" w:rsidP="007D7A73">
      <w:pPr>
        <w:pStyle w:val="Body"/>
        <w:spacing w:after="0"/>
        <w:rPr>
          <w:rFonts w:ascii="Arial" w:hAnsi="Arial" w:cs="Arial"/>
        </w:rPr>
      </w:pPr>
      <w:r w:rsidRPr="00CE4760">
        <w:rPr>
          <w:rFonts w:ascii="Arial" w:hAnsi="Arial" w:cs="Arial"/>
        </w:rPr>
        <w:lastRenderedPageBreak/>
        <w:t>Treatment C showed the best FCR results compared to other treatments, with an FCR value of 1.468 (Figure 2).</w:t>
      </w:r>
      <w:r w:rsidR="00BA0FB2">
        <w:rPr>
          <w:rFonts w:ascii="Arial" w:hAnsi="Arial" w:cs="Arial"/>
        </w:rPr>
        <w:t xml:space="preserve"> </w:t>
      </w:r>
      <w:r w:rsidR="009B4237" w:rsidRPr="009B4237">
        <w:rPr>
          <w:rFonts w:ascii="Arial" w:hAnsi="Arial" w:cs="Arial"/>
        </w:rPr>
        <w:fldChar w:fldCharType="begin" w:fldLock="1"/>
      </w:r>
      <w:r w:rsidR="009B4237" w:rsidRPr="009B4237">
        <w:rPr>
          <w:rFonts w:ascii="Arial" w:hAnsi="Arial" w:cs="Arial"/>
        </w:rPr>
        <w:instrText>ADDIN CSL_CITATION {"citationItems":[{"id":"ITEM-1","itemData":{"author":[{"dropping-particle":"","family":"Effendie","given":"M I","non-dropping-particle":"","parse-names":false,"suffix":""}],"id":"ITEM-1","issued":{"date-parts":[["1997"]]},"title":"Biologi Perikanan [Fisheries Biology](Yogyakarta: Yayasan Pustaka Nusantara)","type":"article-journal"},"uris":["http://www.mendeley.com/documents/?uuid=24b48488-1b9c-46fa-838d-18c125b49951"]}],"mendeley":{"formattedCitation":"(Effendie, 1997)","manualFormatting":"Effendie (1997)","plainTextFormattedCitation":"(Effendie, 1997)","previouslyFormattedCitation":"(Effendie, 1997)"},"properties":{"noteIndex":0},"schema":"https://github.com/citation-style-language/schema/raw/master/csl-citation.json"}</w:instrText>
      </w:r>
      <w:r w:rsidR="009B4237" w:rsidRPr="009B4237">
        <w:rPr>
          <w:rFonts w:ascii="Arial" w:hAnsi="Arial" w:cs="Arial"/>
        </w:rPr>
        <w:fldChar w:fldCharType="separate"/>
      </w:r>
      <w:r w:rsidR="009B4237" w:rsidRPr="009B4237">
        <w:rPr>
          <w:rFonts w:ascii="Arial" w:hAnsi="Arial" w:cs="Arial"/>
          <w:noProof/>
        </w:rPr>
        <w:t>Effendie (1997)</w:t>
      </w:r>
      <w:r w:rsidR="009B4237" w:rsidRPr="009B4237">
        <w:rPr>
          <w:rFonts w:ascii="Arial" w:hAnsi="Arial" w:cs="Arial"/>
        </w:rPr>
        <w:fldChar w:fldCharType="end"/>
      </w:r>
      <w:r w:rsidR="009B4237" w:rsidRPr="009B4237">
        <w:rPr>
          <w:rFonts w:ascii="Arial" w:hAnsi="Arial" w:cs="Arial"/>
        </w:rPr>
        <w:t xml:space="preserve"> </w:t>
      </w:r>
      <w:r w:rsidRPr="00CE4760">
        <w:rPr>
          <w:rFonts w:ascii="Arial" w:hAnsi="Arial" w:cs="Arial"/>
        </w:rPr>
        <w:t>stated that catfish were able to utilize the feed given effectively for their growth and convert it into meat. The low FCR value in this treatment indicated that the fish's feed efficiency was higher</w:t>
      </w:r>
      <w:r>
        <w:rPr>
          <w:rFonts w:ascii="Arial" w:hAnsi="Arial" w:cs="Arial"/>
        </w:rPr>
        <w:t xml:space="preserve"> </w:t>
      </w:r>
      <w:r w:rsidR="009B4237" w:rsidRPr="009B4237">
        <w:rPr>
          <w:rFonts w:ascii="Arial" w:hAnsi="Arial" w:cs="Arial"/>
        </w:rPr>
        <w:fldChar w:fldCharType="begin" w:fldLock="1"/>
      </w:r>
      <w:r w:rsidR="00BA0FB2">
        <w:rPr>
          <w:rFonts w:ascii="Arial" w:hAnsi="Arial" w:cs="Arial"/>
        </w:rPr>
        <w:instrText>ADDIN CSL_CITATION {"citationItems":[{"id":"ITEM-1","itemData":{"DOI":"10.1016/j.fsi.2019.07.033","ISSN":"10959947","PMID":"31310850","abstract":"European aquaculture is an industry with a high sustainability profile contributing to the supply of safe seafood. However, several diseases can affect farmed fish and it is imperative to find alternatives for chemotherapeutic treatments when disease outbreaks occur. Maintenance of health through nutrition is well-establish in modern animal farming, and amino acids (AA) are promising candidates as functional additives to improve fish health. Therefore, the goal of this research is to provide a better understanding of the influence of tryptophan supplementation on nutritional condition and immune mechanisms in fish. Triplicate groups of fish (13.3 ± 0.3g) previously fed with a fishmeal-based diet were either fed a control diet with an extreme formulation (0% fishmeal) but meeting the AA requirements (CTRL), or the SUP diet, formulated as the CTRL with an increase in tryptophan (TRP) content. After 2 and 13 weeks of feeding, head-kidney (HK), liver (L) and white skeletal muscle (WSM) were collected for gene expression, whereas plasma was suited for humoral immune parameters. A holistic approach using transcriptomic, humoral and zootechnical parameters was undertaken. The expression of 29–31 genes for WSM, L or HK confirms an effect due to the treatment across time. A two-way ANOVA analysis revealed that 15–24 genes varied significantly depending on the tissue, and the multivariate analysis by means of PLS-DA explained (R2) and predicted (Q2) with four components up to 93% and 78% of total variance, respectively. Component 1 (R2 = 50.06%) represented the time effects, whereas components 2 (24.36%) and 3 (13.89%) grouped fish on the basis of dietary treatment, at early sampling. The HK results in particular suggest that fish fed SUP diet displayed an immunostimulated state at 2 weeks. No major differences were observed in plasma humoral parameters, despite an increase in antiprotease and peroxidase activities after 13 weeks regardless of dietary treatment. These results suggest that tryptophan supplementation may improve the seabream immune status after 2 weeks. Hence, the use of functional feeds is especially relevant during a short-term feeding period before a predictable stressful event or disease outbreak, considering that these putative advantageous effects seem to disappear after a 13 weeks feeding period.","author":[{"dropping-particle":"","family":"Ramos-Pinto","given":"Lourenço","non-dropping-particle":"","parse-names":false,"suffix":""},{"dropping-particle":"","family":"Martos-Sitcha","given":"Juan A.","non-dropping-particle":"","parse-names":false,"suffix":""},{"dropping-particle":"","family":"Reis","given":"Bruno","non-dropping-particle":"","parse-names":false,"suffix":""},{"dropping-particle":"","family":"Azeredo","given":"Rita","non-dropping-particle":"","parse-names":false,"suffix":""},{"dropping-particle":"","family":"Fernandez-Boo","given":"Sergio","non-dropping-particle":"","parse-names":false,"suffix":""},{"dropping-particle":"","family":"Pérez-Sánchez","given":"Jaume","non-dropping-particle":"","parse-names":false,"suffix":""},{"dropping-particle":"","family":"Calduch-Giner","given":"Josep Alvar","non-dropping-particle":"","parse-names":false,"suffix":""},{"dropping-particle":"","family":"Engrola","given":"Sofia","non-dropping-particle":"","parse-names":false,"suffix":""},{"dropping-particle":"","family":"Conceição","given":"Luis E.C.","non-dropping-particle":"","parse-names":false,"suffix":""},{"dropping-particle":"","family":"Dias","given":"Jorge","non-dropping-particle":"","parse-names":false,"suffix":""},{"dropping-particle":"","family":"Silva","given":"Tomé S.","non-dropping-particle":"","parse-names":false,"suffix":""},{"dropping-particle":"","family":"Costas","given":"Benjamín","non-dropping-particle":"","parse-names":false,"suffix":""}],"container-title":"Fish and Shellfish Immunology","id":"ITEM-1","issued":{"date-parts":[["2019"]]},"page":"240-250","title":"Dietary tryptophan supplementation induces a transient immune enhancement of gilthead seabream (Sparus aurata) juveniles fed fishmeal-free diets","type":"article-journal","volume":"93"},"uris":["http://www.mendeley.com/documents/?uuid=f10cb074-b6b6-41b2-bfb0-1d2cc09a38f5"]}],"mendeley":{"formattedCitation":"(Ramos-Pinto et al., 2019)","manualFormatting":"(Pinto et al., 2019)","plainTextFormattedCitation":"(Ramos-Pinto et al., 2019)","previouslyFormattedCitation":"(Ramos-Pinto et al., 2019)"},"properties":{"noteIndex":0},"schema":"https://github.com/citation-style-language/schema/raw/master/csl-citation.json"}</w:instrText>
      </w:r>
      <w:r w:rsidR="009B4237" w:rsidRPr="009B4237">
        <w:rPr>
          <w:rFonts w:ascii="Arial" w:hAnsi="Arial" w:cs="Arial"/>
        </w:rPr>
        <w:fldChar w:fldCharType="separate"/>
      </w:r>
      <w:r w:rsidR="009B4237" w:rsidRPr="009B4237">
        <w:rPr>
          <w:rFonts w:ascii="Arial" w:hAnsi="Arial" w:cs="Arial"/>
          <w:noProof/>
        </w:rPr>
        <w:t>(Pinto</w:t>
      </w:r>
      <w:r w:rsidR="009B4237" w:rsidRPr="009B4237">
        <w:rPr>
          <w:rFonts w:ascii="Arial" w:hAnsi="Arial" w:cs="Arial"/>
          <w:i/>
          <w:noProof/>
        </w:rPr>
        <w:t xml:space="preserve"> </w:t>
      </w:r>
      <w:r w:rsidR="009B4237" w:rsidRPr="00BA0FB2">
        <w:rPr>
          <w:rFonts w:ascii="Arial" w:hAnsi="Arial" w:cs="Arial"/>
          <w:noProof/>
        </w:rPr>
        <w:t>et al.</w:t>
      </w:r>
      <w:r w:rsidR="00BA0FB2">
        <w:rPr>
          <w:rFonts w:ascii="Arial" w:hAnsi="Arial" w:cs="Arial"/>
          <w:noProof/>
        </w:rPr>
        <w:t>,</w:t>
      </w:r>
      <w:r w:rsidR="009B4237" w:rsidRPr="009B4237">
        <w:rPr>
          <w:rFonts w:ascii="Arial" w:hAnsi="Arial" w:cs="Arial"/>
          <w:noProof/>
        </w:rPr>
        <w:t xml:space="preserve"> 2019)</w:t>
      </w:r>
      <w:r w:rsidR="009B4237" w:rsidRPr="009B4237">
        <w:rPr>
          <w:rFonts w:ascii="Arial" w:hAnsi="Arial" w:cs="Arial"/>
        </w:rPr>
        <w:fldChar w:fldCharType="end"/>
      </w:r>
      <w:r w:rsidR="009B4237">
        <w:rPr>
          <w:rFonts w:ascii="Arial" w:hAnsi="Arial" w:cs="Arial"/>
        </w:rPr>
        <w:t>.</w:t>
      </w:r>
      <w:r w:rsidR="001669DC" w:rsidRPr="001669DC">
        <w:rPr>
          <w:rFonts w:ascii="Arial" w:hAnsi="Arial" w:cs="Arial"/>
        </w:rPr>
        <w:t xml:space="preserve"> </w:t>
      </w:r>
      <w:r w:rsidRPr="00CE4760">
        <w:rPr>
          <w:rFonts w:ascii="Arial" w:hAnsi="Arial" w:cs="Arial"/>
        </w:rPr>
        <w:t xml:space="preserve">Tryptophan supplementation with an appropriate dose (0.3%) will have an effect in suppressing the stress response, where cortisol and glucose levels decrease so that energy from feed can be utilized efficiently to increase fish growth as shown by weight growth (Figure 1), protein content (Table 1), and PER value of fish (Figure 3). The addition of 0.3% tryptophan in the feed provides an optimum feed use efficiency value compared to other treatments, because the final weight of the fish is higher compared to the amount of feed consumed leading to a low FCR value. </w:t>
      </w:r>
      <w:r w:rsidR="001669DC" w:rsidRPr="001669DC">
        <w:rPr>
          <w:rFonts w:ascii="Arial" w:hAnsi="Arial" w:cs="Arial"/>
        </w:rPr>
        <w:fldChar w:fldCharType="begin" w:fldLock="1"/>
      </w:r>
      <w:r w:rsidR="001669DC" w:rsidRPr="001669DC">
        <w:rPr>
          <w:rFonts w:ascii="Arial" w:hAnsi="Arial" w:cs="Arial"/>
        </w:rPr>
        <w:instrText>ADDIN CSL_CITATION {"citationItems":[{"id":"ITEM-1","itemData":{"DOI":"10.1016/J.AQUACULTURE.2019.734908","ISSN":"0044-8486","abstract":"The aim of the present study was to investigate the effects of dietary tryptophan (Trp) supplementation on growth performance and stress responses of rainbow trout (Oncorhynchus mykiss) at low (LD) and high (HD) stocking density. For this, three diets were formulated by supplementing 0% (control), 0.5% (T0.5), and 1% (T1) Trp corresponding to 0.77, 1.85 and 3.14 g Trp per 100 g protein. In the LD treatment, the fish were initially stocked at 15 kg/m3; whereas, in the HD treatment, the fish were initially stocked at 25 kg/m3. The fish were reared under these densities and with the aforementioned diets for 70 days. After the feeding trial, the fish were sampled to determine carcass proximate composition, and blood hematological and biochemical parameters. The results showed that T0.5 had higher growth performance compared to the other treatments under the LD condition; however, there was no significant difference among the treatments under the HD condition. The increase in the fish stocking density significantly increased FCR, but the Trp-treated treatments had significantly lower FCR compared to the control treatment. Increase in the fish stocking density significantly increased carcass moisture, but decreased the carcass protein and lipid levels. The T0.5 treatment had significantly higher carcass lipid levels compared to the other treatments at the LD condition. The T0.5 treatment had significantly lower cortisol and glucose, and higher T3 levels compared to the other treatments under the LD condition; however, there was no significant difference among the treatments under the HD condition. Blood RBC and hemoglobin values significantly increased in the fish fed with 0.5% Trp supplementation; moreover, the increase in the fish stocking density significantly increased these parameters. The T0.5 treatment had significantly higher blood hematocrit levels compared to the other treatments at the LD condition. In conclusion, dietary Trp supplementation at 0.5% level is beneficial to augment growth performance in rainbow trout, when the fish initial biomass is 15 kg/m3. The mechanism of growth promotion effects of 0.5% Trp was found to be related to stress suppression. Further studies would provide data about the potential effects of Trp on rainbow trout under higher stocking densities.","author":[{"dropping-particle":"","family":"Hoseini","given":"Seyyed Morteza","non-dropping-particle":"","parse-names":false,"suffix":""},{"dropping-particle":"","family":"Taheri Mirghaed","given":"Ali","non-dropping-particle":"","parse-names":false,"suffix":""},{"dropping-particle":"","family":"Ghelichpour","given":"Melika","non-dropping-particle":"","parse-names":false,"suffix":""},{"dropping-particle":"","family":"Pagheh","given":"Esmaeil","non-dropping-particle":"","parse-names":false,"suffix":""},{"dropping-particle":"","family":"Iri","given":"Yousef","non-dropping-particle":"","parse-names":false,"suffix":""},{"dropping-particle":"","family":"Kor","given":"Abdolvahhab","non-dropping-particle":"","parse-names":false,"suffix":""}],"container-title":"Aquaculture","id":"ITEM-1","issued":{"date-parts":[["2020","3"]]},"page":"734908","publisher":"Elsevier","title":"Effects of dietary tryptophan supplementation and stocking density on growth performance and stress responses in rainbow trout (Oncorhynchus mykiss)","type":"article-journal","volume":"519"},"uris":["http://www.mendeley.com/documents/?uuid=254f95bd-14b9-4f8b-8a18-ed537c5eb7a5"]}],"mendeley":{"formattedCitation":"(Hoseini et al., 2020)","manualFormatting":"(Hoseini et al. 2020)","plainTextFormattedCitation":"(Hoseini et al., 2020)","previouslyFormattedCitation":"(Hoseini et al., 2020)"},"properties":{"noteIndex":0},"schema":"https://github.com/citation-style-language/schema/raw/master/csl-citation.json"}</w:instrText>
      </w:r>
      <w:r w:rsidR="001669DC" w:rsidRPr="001669DC">
        <w:rPr>
          <w:rFonts w:ascii="Arial" w:hAnsi="Arial" w:cs="Arial"/>
        </w:rPr>
        <w:fldChar w:fldCharType="separate"/>
      </w:r>
      <w:r w:rsidR="001669DC" w:rsidRPr="001669DC">
        <w:rPr>
          <w:rFonts w:ascii="Arial" w:hAnsi="Arial" w:cs="Arial"/>
          <w:noProof/>
        </w:rPr>
        <w:t xml:space="preserve">(Hoseini </w:t>
      </w:r>
      <w:r w:rsidR="001669DC" w:rsidRPr="001669DC">
        <w:rPr>
          <w:rFonts w:ascii="Arial" w:hAnsi="Arial" w:cs="Arial"/>
          <w:i/>
          <w:noProof/>
        </w:rPr>
        <w:t xml:space="preserve">et al. </w:t>
      </w:r>
      <w:r w:rsidR="001669DC" w:rsidRPr="001669DC">
        <w:rPr>
          <w:rFonts w:ascii="Arial" w:hAnsi="Arial" w:cs="Arial"/>
          <w:noProof/>
        </w:rPr>
        <w:t>2020)</w:t>
      </w:r>
      <w:r w:rsidR="001669DC" w:rsidRPr="001669DC">
        <w:rPr>
          <w:rFonts w:ascii="Arial" w:hAnsi="Arial" w:cs="Arial"/>
        </w:rPr>
        <w:fldChar w:fldCharType="end"/>
      </w:r>
      <w:r w:rsidR="001669DC" w:rsidRPr="001669DC">
        <w:rPr>
          <w:rFonts w:ascii="Arial" w:hAnsi="Arial" w:cs="Arial"/>
        </w:rPr>
        <w:t>.</w:t>
      </w:r>
      <w:r w:rsidR="001669DC">
        <w:rPr>
          <w:rFonts w:ascii="Arial" w:hAnsi="Arial" w:cs="Arial"/>
        </w:rPr>
        <w:t xml:space="preserve"> </w:t>
      </w:r>
      <w:r w:rsidRPr="00CE4760">
        <w:rPr>
          <w:rFonts w:ascii="Arial" w:hAnsi="Arial" w:cs="Arial"/>
        </w:rPr>
        <w:t>The low FCR value is also influenced by the addition of appropriate tryptophan which induces GH activity to break down feed into protein which causes increased fish growth but the feed consum</w:t>
      </w:r>
      <w:r>
        <w:rPr>
          <w:rFonts w:ascii="Arial" w:hAnsi="Arial" w:cs="Arial"/>
        </w:rPr>
        <w:t>ed by the fish is not excessive</w:t>
      </w:r>
      <w:r w:rsidR="00A85BA9">
        <w:rPr>
          <w:rFonts w:ascii="Arial" w:hAnsi="Arial" w:cs="Arial"/>
        </w:rPr>
        <w:t xml:space="preserve"> </w:t>
      </w:r>
      <w:r w:rsidR="00431A2F">
        <w:rPr>
          <w:rFonts w:ascii="Arial" w:hAnsi="Arial" w:cs="Arial"/>
        </w:rPr>
        <w:fldChar w:fldCharType="begin" w:fldLock="1"/>
      </w:r>
      <w:r w:rsidR="006F461E">
        <w:rPr>
          <w:rFonts w:ascii="Arial" w:hAnsi="Arial" w:cs="Arial"/>
        </w:rPr>
        <w:instrText>ADDIN CSL_CITATION {"citationItems":[{"id":"ITEM-1","itemData":{"DOI":"10.1159/000112994","ISSN":"00068977","PMID":"9096910","abstract":"Haplochromis burtoni, an African cichlid fish, male sexual maturation is regulated via social interactions, and these effects are mediated by gonadotropin-releasing-hormone (GnRH)-containing neurons in the preoptic area of the brain. Since brain monoaminergic systems are known to be involved in the regulation of GnRH release, and the activity of these systems is influenced by agonistic interactions, we analyzed the effect of social status on brain monoaminergic activity in H. burtoni. Animals were either (1) in normal social groups consisting of two males and four females or (2) in groups of one male and five females. Quantitative behavioral observations were made on each group of animals and, following sacrifice several physiological measurements were made. Concentrations of serotonin (5-HT), 5-hydroxyindoleacetic acid (5-HIAA, the main 5-HT metabolite) and tryptophan (TRP, the amino acid precursor of 5-HT), dopamine (DA) and 3, 4-dihydroxyphenylacetic acid (DOPAC, the main DA metabolite) were measured. The 5-HIAA/5-HT and DOPAC/DA ratios were calculated and used as indexes of 5-HT and DA activity, respectively. In addition, the gonado-somatic index was calculated from body and gonadal weights and used as an index of reproductive status. Concentrates of 5-HIAA as well as 5-HLAA/5-HT ratios were significantly higher in brainstem of non-territorial males than in that of territorial males, and similar trends were seen in the telencephalon and hypothalamus. Moreover, TRP concentrations in the telencephalon and brainstem were significantly lower in non-territorial males. In this species, sexual maturation in females is not socially regulated, and there was no significant correlation between measured antagonistic behavior and biochemical indices. These results suggest a fundamental difference in the neurochemical responses between male and female H. burtoni. © 1997 S. Karger AG, Basel.","author":[{"dropping-particle":"","family":"Winberg","given":"Svante","non-dropping-particle":"","parse-names":false,"suffix":""},{"dropping-particle":"","family":"Winberg","given":"Yvonne","non-dropping-particle":"","parse-names":false,"suffix":""},{"dropping-particle":"","family":"Anastasio","given":"Russell D.","non-dropping-particle":"","parse-names":false,"suffix":""}],"container-title":"Brain, Behavior and Evolution","id":"ITEM-1","issue":"4","issued":{"date-parts":[["1997"]]},"page":"230-236","title":"Effect of social rank on brain monoaminergic activity in a cichlid fish","type":"article-journal","volume":"49"},"uris":["http://www.mendeley.com/documents/?uuid=a4581a03-433f-4238-9db4-a58cd9087d4e"]}],"mendeley":{"formattedCitation":"(Winberg et al., 1997)","manualFormatting":"(Winberg et al.,1997)","plainTextFormattedCitation":"(Winberg et al., 1997)","previouslyFormattedCitation":"(Winberg et al., 1997)"},"properties":{"noteIndex":0},"schema":"https://github.com/citation-style-language/schema/raw/master/csl-citation.json"}</w:instrText>
      </w:r>
      <w:r w:rsidR="00431A2F">
        <w:rPr>
          <w:rFonts w:ascii="Arial" w:hAnsi="Arial" w:cs="Arial"/>
        </w:rPr>
        <w:fldChar w:fldCharType="separate"/>
      </w:r>
      <w:r w:rsidR="002208E1">
        <w:rPr>
          <w:rFonts w:ascii="Arial" w:hAnsi="Arial" w:cs="Arial"/>
          <w:noProof/>
        </w:rPr>
        <w:t xml:space="preserve">(Winberg </w:t>
      </w:r>
      <w:r w:rsidR="002208E1" w:rsidRPr="00BA0FB2">
        <w:rPr>
          <w:rFonts w:ascii="Arial" w:hAnsi="Arial" w:cs="Arial"/>
          <w:noProof/>
        </w:rPr>
        <w:t>et al.</w:t>
      </w:r>
      <w:r w:rsidR="00BA0FB2">
        <w:rPr>
          <w:rFonts w:ascii="Arial" w:hAnsi="Arial" w:cs="Arial"/>
          <w:noProof/>
        </w:rPr>
        <w:t>,</w:t>
      </w:r>
      <w:r w:rsidR="00431A2F" w:rsidRPr="00431A2F">
        <w:rPr>
          <w:rFonts w:ascii="Arial" w:hAnsi="Arial" w:cs="Arial"/>
          <w:noProof/>
        </w:rPr>
        <w:t>1997)</w:t>
      </w:r>
      <w:r w:rsidR="00431A2F">
        <w:rPr>
          <w:rFonts w:ascii="Arial" w:hAnsi="Arial" w:cs="Arial"/>
        </w:rPr>
        <w:fldChar w:fldCharType="end"/>
      </w:r>
      <w:r w:rsidR="00431A2F">
        <w:rPr>
          <w:rFonts w:ascii="Arial" w:hAnsi="Arial" w:cs="Arial"/>
        </w:rPr>
        <w:t xml:space="preserve">. </w:t>
      </w:r>
    </w:p>
    <w:p w:rsidR="00431A2F" w:rsidRDefault="00431A2F" w:rsidP="007D7A73">
      <w:pPr>
        <w:pStyle w:val="Body"/>
        <w:spacing w:after="0"/>
        <w:rPr>
          <w:rFonts w:ascii="Arial" w:hAnsi="Arial" w:cs="Arial"/>
        </w:rPr>
      </w:pPr>
    </w:p>
    <w:p w:rsidR="007D7A73" w:rsidRPr="003B5B12" w:rsidRDefault="007D7A73" w:rsidP="003B5B12">
      <w:pPr>
        <w:pStyle w:val="Head2"/>
        <w:spacing w:after="0"/>
        <w:rPr>
          <w:rFonts w:ascii="Arial" w:hAnsi="Arial" w:cs="Arial"/>
          <w:b/>
          <w:bCs/>
          <w:caps w:val="0"/>
          <w:sz w:val="22"/>
          <w:szCs w:val="22"/>
        </w:rPr>
      </w:pPr>
      <w:r w:rsidRPr="003B5B12">
        <w:rPr>
          <w:rFonts w:ascii="Arial" w:hAnsi="Arial" w:cs="Arial"/>
          <w:b/>
          <w:bCs/>
          <w:caps w:val="0"/>
          <w:sz w:val="22"/>
          <w:szCs w:val="22"/>
        </w:rPr>
        <w:t xml:space="preserve">3.4 </w:t>
      </w:r>
      <w:r w:rsidR="001640F2" w:rsidRPr="003B5B12">
        <w:rPr>
          <w:rFonts w:ascii="Arial" w:hAnsi="Arial" w:cs="Arial"/>
          <w:b/>
          <w:bCs/>
          <w:caps w:val="0"/>
          <w:sz w:val="22"/>
          <w:szCs w:val="22"/>
        </w:rPr>
        <w:t xml:space="preserve">Protein Efficiency Ratio </w:t>
      </w:r>
      <w:r w:rsidRPr="003B5B12">
        <w:rPr>
          <w:rFonts w:ascii="Arial" w:hAnsi="Arial" w:cs="Arial"/>
          <w:b/>
          <w:bCs/>
          <w:caps w:val="0"/>
          <w:sz w:val="22"/>
          <w:szCs w:val="22"/>
        </w:rPr>
        <w:t>(PER)</w:t>
      </w:r>
    </w:p>
    <w:p w:rsidR="00CE4760" w:rsidRDefault="00CE4760" w:rsidP="00CE4760">
      <w:pPr>
        <w:pStyle w:val="Body"/>
        <w:spacing w:after="0"/>
        <w:rPr>
          <w:rFonts w:ascii="Arial" w:hAnsi="Arial" w:cs="Arial"/>
        </w:rPr>
      </w:pPr>
      <w:r w:rsidRPr="00CE4760">
        <w:rPr>
          <w:rFonts w:ascii="Arial" w:hAnsi="Arial" w:cs="Arial"/>
        </w:rPr>
        <w:t>The protein efficiency ratio is an indicator of the level of protein utilization in feed. A higher protein efficiency ratio indicates that the fish are effectively utilizing the protein contained in the feed.</w:t>
      </w:r>
    </w:p>
    <w:p w:rsidR="001669DC" w:rsidRDefault="00B8469B" w:rsidP="00CE4760">
      <w:pPr>
        <w:pStyle w:val="Body"/>
        <w:spacing w:after="0"/>
        <w:jc w:val="center"/>
        <w:rPr>
          <w:rFonts w:ascii="Arial" w:hAnsi="Arial" w:cs="Arial"/>
        </w:rPr>
      </w:pPr>
      <w:r>
        <w:rPr>
          <w:rFonts w:ascii="Arial" w:hAnsi="Arial" w:cs="Arial"/>
          <w:noProof/>
        </w:rPr>
        <w:drawing>
          <wp:inline distT="0" distB="0" distL="0" distR="0">
            <wp:extent cx="3130570"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 JURNAL.JPG"/>
                    <pic:cNvPicPr/>
                  </pic:nvPicPr>
                  <pic:blipFill rotWithShape="1">
                    <a:blip r:embed="rId16" cstate="print">
                      <a:extLst>
                        <a:ext uri="{28A0092B-C50C-407E-A947-70E740481C1C}">
                          <a14:useLocalDpi xmlns:a14="http://schemas.microsoft.com/office/drawing/2010/main" val="0"/>
                        </a:ext>
                      </a:extLst>
                    </a:blip>
                    <a:srcRect l="11699" t="24931" r="15321" b="29721"/>
                    <a:stretch/>
                  </pic:blipFill>
                  <pic:spPr bwMode="auto">
                    <a:xfrm>
                      <a:off x="0" y="0"/>
                      <a:ext cx="3130570" cy="2520000"/>
                    </a:xfrm>
                    <a:prstGeom prst="rect">
                      <a:avLst/>
                    </a:prstGeom>
                    <a:ln>
                      <a:noFill/>
                    </a:ln>
                    <a:extLst>
                      <a:ext uri="{53640926-AAD7-44D8-BBD7-CCE9431645EC}">
                        <a14:shadowObscured xmlns:a14="http://schemas.microsoft.com/office/drawing/2010/main"/>
                      </a:ext>
                    </a:extLst>
                  </pic:spPr>
                </pic:pic>
              </a:graphicData>
            </a:graphic>
          </wp:inline>
        </w:drawing>
      </w:r>
    </w:p>
    <w:p w:rsidR="004B203F" w:rsidRPr="004B203F" w:rsidRDefault="004B203F" w:rsidP="004B203F">
      <w:pPr>
        <w:pStyle w:val="Caption"/>
        <w:jc w:val="center"/>
        <w:rPr>
          <w:rFonts w:ascii="Arial" w:hAnsi="Arial" w:cs="Arial"/>
          <w:b/>
          <w:i w:val="0"/>
          <w:color w:val="auto"/>
          <w:sz w:val="20"/>
          <w:szCs w:val="20"/>
        </w:rPr>
      </w:pPr>
      <w:r w:rsidRPr="004B203F">
        <w:rPr>
          <w:rFonts w:ascii="Arial" w:hAnsi="Arial" w:cs="Arial"/>
          <w:b/>
          <w:i w:val="0"/>
          <w:color w:val="auto"/>
          <w:sz w:val="20"/>
          <w:szCs w:val="20"/>
        </w:rPr>
        <w:t xml:space="preserve">Figure </w:t>
      </w:r>
      <w:r w:rsidRPr="004B203F">
        <w:rPr>
          <w:rFonts w:ascii="Arial" w:hAnsi="Arial" w:cs="Arial"/>
          <w:b/>
          <w:i w:val="0"/>
          <w:color w:val="auto"/>
          <w:sz w:val="20"/>
          <w:szCs w:val="20"/>
        </w:rPr>
        <w:fldChar w:fldCharType="begin"/>
      </w:r>
      <w:r w:rsidRPr="004B203F">
        <w:rPr>
          <w:rFonts w:ascii="Arial" w:hAnsi="Arial" w:cs="Arial"/>
          <w:b/>
          <w:i w:val="0"/>
          <w:color w:val="auto"/>
          <w:sz w:val="20"/>
          <w:szCs w:val="20"/>
        </w:rPr>
        <w:instrText xml:space="preserve"> SEQ Figure \* ARABIC </w:instrText>
      </w:r>
      <w:r w:rsidRPr="004B203F">
        <w:rPr>
          <w:rFonts w:ascii="Arial" w:hAnsi="Arial" w:cs="Arial"/>
          <w:b/>
          <w:i w:val="0"/>
          <w:color w:val="auto"/>
          <w:sz w:val="20"/>
          <w:szCs w:val="20"/>
        </w:rPr>
        <w:fldChar w:fldCharType="separate"/>
      </w:r>
      <w:r w:rsidR="00FB1D5C">
        <w:rPr>
          <w:rFonts w:ascii="Arial" w:hAnsi="Arial" w:cs="Arial"/>
          <w:b/>
          <w:i w:val="0"/>
          <w:noProof/>
          <w:color w:val="auto"/>
          <w:sz w:val="20"/>
          <w:szCs w:val="20"/>
        </w:rPr>
        <w:t>3</w:t>
      </w:r>
      <w:r w:rsidRPr="004B203F">
        <w:rPr>
          <w:rFonts w:ascii="Arial" w:hAnsi="Arial" w:cs="Arial"/>
          <w:b/>
          <w:i w:val="0"/>
          <w:color w:val="auto"/>
          <w:sz w:val="20"/>
          <w:szCs w:val="20"/>
        </w:rPr>
        <w:fldChar w:fldCharType="end"/>
      </w:r>
      <w:r w:rsidR="00422382">
        <w:rPr>
          <w:rFonts w:ascii="Arial" w:hAnsi="Arial" w:cs="Arial"/>
          <w:b/>
          <w:i w:val="0"/>
          <w:color w:val="auto"/>
          <w:sz w:val="20"/>
          <w:szCs w:val="20"/>
        </w:rPr>
        <w:t xml:space="preserve"> Protein efficiency r</w:t>
      </w:r>
      <w:r w:rsidRPr="004B203F">
        <w:rPr>
          <w:rFonts w:ascii="Arial" w:hAnsi="Arial" w:cs="Arial"/>
          <w:b/>
          <w:i w:val="0"/>
          <w:color w:val="auto"/>
          <w:sz w:val="20"/>
          <w:szCs w:val="20"/>
        </w:rPr>
        <w:t xml:space="preserve">atio </w:t>
      </w:r>
      <w:r w:rsidR="001640F2">
        <w:rPr>
          <w:rFonts w:ascii="Arial" w:hAnsi="Arial" w:cs="Arial"/>
          <w:b/>
          <w:i w:val="0"/>
          <w:color w:val="auto"/>
          <w:sz w:val="20"/>
          <w:szCs w:val="20"/>
        </w:rPr>
        <w:t>value of Mutiara catfish with the addition of different doses of tryptophan</w:t>
      </w:r>
    </w:p>
    <w:p w:rsidR="000B08FE" w:rsidRDefault="00CE4760" w:rsidP="000B08FE">
      <w:pPr>
        <w:pStyle w:val="Body"/>
        <w:spacing w:after="0"/>
        <w:rPr>
          <w:rFonts w:ascii="Arial" w:hAnsi="Arial" w:cs="Arial"/>
        </w:rPr>
      </w:pPr>
      <w:r w:rsidRPr="00CE4760">
        <w:rPr>
          <w:rFonts w:ascii="Arial" w:hAnsi="Arial" w:cs="Arial"/>
        </w:rPr>
        <w:t>Based on the ANOVA analysis results in Figure 3, treatment C (0.3%) demonstrated the highest protein efficiency ratio. This high value indicates that the protein was absorbed by the fish and utilized for optimal growth. This is supported by the results of the proximate analysis and body weight growth (Table 1 and Figure 1).</w:t>
      </w:r>
      <w:r>
        <w:rPr>
          <w:rFonts w:ascii="Arial" w:hAnsi="Arial" w:cs="Arial"/>
        </w:rPr>
        <w:t xml:space="preserve"> </w:t>
      </w:r>
      <w:r w:rsidRPr="00CE4760">
        <w:rPr>
          <w:rFonts w:ascii="Arial" w:hAnsi="Arial" w:cs="Arial"/>
        </w:rPr>
        <w:t xml:space="preserve">Based on proximate test results, treatment C feed showed the highest protein content, at 11.742%. This is thought to occur because tryptophan can improve feed quality by increasing protein content, and the tryptophan </w:t>
      </w:r>
      <w:r>
        <w:rPr>
          <w:rFonts w:ascii="Arial" w:hAnsi="Arial" w:cs="Arial"/>
        </w:rPr>
        <w:t xml:space="preserve">content in treatment C met the Mutiara </w:t>
      </w:r>
      <w:r w:rsidRPr="00CE4760">
        <w:rPr>
          <w:rFonts w:ascii="Arial" w:hAnsi="Arial" w:cs="Arial"/>
        </w:rPr>
        <w:t>catfish's needs, resulting in optimal growth.</w:t>
      </w:r>
      <w:r w:rsidR="000B08FE">
        <w:rPr>
          <w:rFonts w:ascii="Arial" w:hAnsi="Arial" w:cs="Arial"/>
        </w:rPr>
        <w:t xml:space="preserve"> </w:t>
      </w:r>
      <w:r>
        <w:rPr>
          <w:rFonts w:ascii="Arial" w:hAnsi="Arial" w:cs="Arial"/>
        </w:rPr>
        <w:t>Th</w:t>
      </w:r>
      <w:r w:rsidRPr="00CE4760">
        <w:rPr>
          <w:rFonts w:ascii="Arial" w:hAnsi="Arial" w:cs="Arial"/>
        </w:rPr>
        <w:t xml:space="preserve">e addition of 0.3% tryptophan in fish feed is very important because it is related to fish appetite, protein synthesis, and increased fish growth as </w:t>
      </w:r>
      <w:r w:rsidR="00377210" w:rsidRPr="00377210">
        <w:rPr>
          <w:rFonts w:ascii="Arial" w:hAnsi="Arial" w:cs="Arial"/>
        </w:rPr>
        <w:t xml:space="preserve">shown in Table 1 and </w:t>
      </w:r>
      <w:r w:rsidRPr="00377210">
        <w:rPr>
          <w:rFonts w:ascii="Arial" w:hAnsi="Arial" w:cs="Arial"/>
        </w:rPr>
        <w:t xml:space="preserve">Figure </w:t>
      </w:r>
      <w:r w:rsidR="00377210" w:rsidRPr="00377210">
        <w:rPr>
          <w:rFonts w:ascii="Arial" w:hAnsi="Arial" w:cs="Arial"/>
        </w:rPr>
        <w:t xml:space="preserve">1. </w:t>
      </w:r>
    </w:p>
    <w:p w:rsidR="001669DC" w:rsidRDefault="000B08FE" w:rsidP="000B08FE">
      <w:pPr>
        <w:pStyle w:val="Body"/>
        <w:rPr>
          <w:rFonts w:ascii="Arial" w:hAnsi="Arial" w:cs="Arial"/>
        </w:rPr>
      </w:pPr>
      <w:proofErr w:type="spellStart"/>
      <w:r w:rsidRPr="000B08FE">
        <w:rPr>
          <w:rFonts w:ascii="Arial" w:hAnsi="Arial" w:cs="Arial"/>
        </w:rPr>
        <w:t>Menurut</w:t>
      </w:r>
      <w:proofErr w:type="spellEnd"/>
      <w:r w:rsidRPr="000B08FE">
        <w:rPr>
          <w:rFonts w:ascii="Arial" w:hAnsi="Arial" w:cs="Arial"/>
        </w:rPr>
        <w:t xml:space="preserve"> </w:t>
      </w:r>
      <w:r w:rsidRPr="000B08FE">
        <w:rPr>
          <w:rFonts w:ascii="Arial" w:hAnsi="Arial" w:cs="Arial"/>
        </w:rPr>
        <w:fldChar w:fldCharType="begin" w:fldLock="1"/>
      </w:r>
      <w:r w:rsidRPr="000B08FE">
        <w:rPr>
          <w:rFonts w:ascii="Arial" w:hAnsi="Arial" w:cs="Arial"/>
        </w:rPr>
        <w:instrText>ADDIN CSL_CITATION {"citationItems":[{"id":"ITEM-1","itemData":{"DOI":"10.5376/ija.2014.04.0008","abstract":"An 8-week feed trial was conducted in glass tanks (60×30×30cm) to assess the performance of fingerlings Nile Tilapia (Oreochromis niloticus) fed diets containing soybean meals processed by toasting and incubation methods. Six diets were formulated at 30% crude protein content with 0 (control), 2,000 units, 4,000 units, 6,000 units, 8,000 units and 10,000 units phytase/kg diet making diet/treatments. Each treatment was replicated twice, each replicate contained 15 fish (6.23 ± 0.1g). Fish were fed twice daily at 5% of their body weight. Mean Weight Gain (MWG), Specific Growth Rate (SGR), Feed Conversion Ratio (FCR) and Protein Efficiency Ratio (PER) were measured. Temperature, Dissolved oxygen and pH were determined using standard methods. Data were analyzed using descriptive statistics and ANOVA at p= 0.05. Results showed that fish fed diet 5 (8,000 units phytase/kg diet) had the best growth and nutrient utilization indices while fish fed the control diet (0 unit phytase/kg diet) had the poorest. The SGR, FCR and PER of the group of fish fed diets with 0, 2,000, 4,000, 6,000 and 10,000 units phytase/kg diet were not significantly difference (p &gt; 0.05), while the SGR, FCR and PER of fishes fed diet with 8,000 units phytase/kg diet were significantly (p &lt; 0.05) better than those of the fishes fed other diets. The values of temperature, dissolved oxygen and pH were closely related and were within the range for fish culture in the tropics. The results suggest that phytase inclusion in the diet of O. niloticus could be a potential and promising dietary supplementation that would positively influence growth and water quality of O. niloticus in aquaculture.","author":[{"dropping-particle":"","family":"Olusola","given":"S. E.","non-dropping-particle":"","parse-names":false,"suffix":""},{"dropping-particle":"","family":"Nwanna","given":"L.C.","non-dropping-particle":"","parse-names":false,"suffix":""}],"container-title":"International Journal of Aquaculture","id":"ITEM-1","issued":{"date-parts":[["2014"]]},"title":"Growth Performance of Nile Tilapia (&lt;i&gt;Oreochromis niloticus&lt;/i&gt;) Fed Processed Soybean Meal Based Diets Supplemented With Phytase","type":"article-journal"},"uris":["http://www.mendeley.com/documents/?uuid=bfbf1bcc-d2e0-4e59-9fe2-e12adc57e520"]}],"mendeley":{"formattedCitation":"(Olusola &amp; Nwanna, 2014)","manualFormatting":"Olusola dan Nwanna (2014)","plainTextFormattedCitation":"(Olusola &amp; Nwanna, 2014)","previouslyFormattedCitation":"(Olusola &amp; Nwanna, 2014)"},"properties":{"noteIndex":0},"schema":"https://github.com/citation-style-language/schema/raw/master/csl-citation.json"}</w:instrText>
      </w:r>
      <w:r w:rsidRPr="000B08FE">
        <w:rPr>
          <w:rFonts w:ascii="Arial" w:hAnsi="Arial" w:cs="Arial"/>
        </w:rPr>
        <w:fldChar w:fldCharType="separate"/>
      </w:r>
      <w:r w:rsidRPr="000B08FE">
        <w:rPr>
          <w:rFonts w:ascii="Arial" w:hAnsi="Arial" w:cs="Arial"/>
          <w:noProof/>
        </w:rPr>
        <w:t>Olusola dan Nwanna (2014)</w:t>
      </w:r>
      <w:r w:rsidRPr="000B08FE">
        <w:rPr>
          <w:rFonts w:ascii="Arial" w:hAnsi="Arial" w:cs="Arial"/>
        </w:rPr>
        <w:fldChar w:fldCharType="end"/>
      </w:r>
      <w:r w:rsidRPr="000B08FE">
        <w:rPr>
          <w:rFonts w:ascii="Arial" w:hAnsi="Arial" w:cs="Arial"/>
        </w:rPr>
        <w:t xml:space="preserve"> </w:t>
      </w:r>
      <w:r w:rsidR="00CE4760" w:rsidRPr="00CE4760">
        <w:rPr>
          <w:rFonts w:ascii="Arial" w:hAnsi="Arial" w:cs="Arial"/>
        </w:rPr>
        <w:t>stated that the protein efficiency ratio is related to the growth rate of fish, where the higher the value of fish body weight growth indicates that the protein content and intake in the feed given meets the fish's needs for growth.</w:t>
      </w:r>
      <w:r w:rsidRPr="000B08FE">
        <w:rPr>
          <w:rFonts w:ascii="Arial" w:hAnsi="Arial" w:cs="Arial"/>
        </w:rPr>
        <w:t xml:space="preserve"> </w:t>
      </w:r>
      <w:r w:rsidRPr="000B08FE">
        <w:rPr>
          <w:rFonts w:ascii="Arial" w:hAnsi="Arial" w:cs="Arial"/>
        </w:rPr>
        <w:fldChar w:fldCharType="begin" w:fldLock="1"/>
      </w:r>
      <w:r w:rsidR="006F461E">
        <w:rPr>
          <w:rFonts w:ascii="Arial" w:hAnsi="Arial" w:cs="Arial"/>
        </w:rPr>
        <w:instrText>ADDIN CSL_CITATION {"citationItems":[{"id":"ITEM-1","itemData":{"DOI":"10.1016/J.FSI.2019.08.006","ISSN":"1050-4648","PMID":"31381972","abstract":"Dietary administration of tryptophan has been proved improving growth performance of fish. An 8-week feeding trial was conducted to investigate the effects of dietary tryptophan level on antioxidant capacity and immune response through Nrf2 and TOR signaling pathway. The results showed that, 0.08% tryptophan level significantly increased plasma aspartate aminotransferase (AST), while immunoglobulin M (IgM) and alkaline phosphatase (ALP) were strikingly increased by 0.40% level. The level of plasma complement component 3 (C3), alanine aminotransferase (ALT) and albumin (ALB) were independent of tryptophan supplementation. Total superoxide dismutase (T-SOD), catalase (CAT), total antioxidant capacity (T-AOC) and glutathione (GSH) activity were increased with increasing dietary tryptophan level until 0.40% and then decreased, while the level of malondialdehyde (MDA) showed a reverse trend. 0.19% and 0.28% tryptophan level significantly improved the glutathione peroxidase 1 (GPx-1) activity. Compared with 0.08% dietary tryptophan level, 0.40% level significantly improved nuclear factor erythroid 2-related factor 2 (Nrf2), GPx, manganese superoxide dismutase (Mn-SOD), CAT and transforming growth factor-β (TGF-β) mRNA level, while Kelch-like ECH-associated protein 1 (Keap1) and interleukin 1β (IL-1β) mRNA level were significantly decreased. The relative expression of copper zinc superoxide dismutase (Cu/Zn-SOD), heme oxygenase-1 (HO-1), target of rapamycin (TOR), phosphatidylinositol-4,5-bisphosphate 3-kinase (PI3K), protein kinase B (Akt) and interleukin 10 (IL-10) were significantly improved by 0.28% diet, while the mRNA level of tumor necrosis factor-α (TNF-α) and nuclear factor-kappa B (NF-κB) were increased by 0.08% diet. Interleukin 8 (IL-8) mRNA level was not significantly affected by dietary tryptophan. Based on MDA and T-SOD value, the optimal dietary tryptophan level of juvenile blunt snout bream was determined to be 0.33% (1.03% of dietary protein) and 0.36% (1.13% of dietary protein), respectively, using quadratic regression analysis.","author":[{"dropping-particle":"","family":"Ji","given":"Ke","non-dropping-particle":"","parse-names":false,"suffix":""},{"dropping-particle":"","family":"Liang","given":"Hualiang","non-dropping-particle":"","parse-names":false,"suffix":""},{"dropping-particle":"","family":"Ren","given":"Mingchun","non-dropping-particle":"","parse-names":false,"suffix":""},{"dropping-particle":"","family":"Ge","given":"Xianping","non-dropping-particle":"","parse-names":false,"suffix":""},{"dropping-particle":"","family":"Liu","given":"Bo","non-dropping-particle":"","parse-names":false,"suffix":""},{"dropping-particle":"","family":"Xi","given":"Bingwen","non-dropping-particle":"","parse-names":false,"suffix":""},{"dropping-particle":"","family":"Pan","given":"Liangkun","non-dropping-particle":"","parse-names":false,"suffix":""},{"dropping-particle":"","family":"Yu","given":"Heng","non-dropping-particle":"","parse-names":false,"suffix":""}],"container-title":"Fish &amp; Shellfish Immunology","id":"ITEM-1","issued":{"date-parts":[["2019","10"]]},"page":"474-483","publisher":"Academic Press","title":"Effects of dietary tryptophan levels on antioxidant status and immunity for juvenile blunt snout bream (Megalobrama amblycephala) involved in Nrf2 and TOR signaling pathway","type":"article-journal","volume":"93"},"uris":["http://www.mendeley.com/documents/?uuid=fdf181d1-3d6d-4fd3-9127-82d7437fb97f"]}],"mendeley":{"formattedCitation":"(Ji et al., 2019)","manualFormatting":"Ji et al., (2019)","plainTextFormattedCitation":"(Ji et al., 2019)","previouslyFormattedCitation":"(Ji et al., 2019)"},"properties":{"noteIndex":0},"schema":"https://github.com/citation-style-language/schema/raw/master/csl-citation.json"}</w:instrText>
      </w:r>
      <w:r w:rsidRPr="000B08FE">
        <w:rPr>
          <w:rFonts w:ascii="Arial" w:hAnsi="Arial" w:cs="Arial"/>
        </w:rPr>
        <w:fldChar w:fldCharType="separate"/>
      </w:r>
      <w:r w:rsidRPr="000B08FE">
        <w:rPr>
          <w:rFonts w:ascii="Arial" w:hAnsi="Arial" w:cs="Arial"/>
          <w:noProof/>
        </w:rPr>
        <w:t xml:space="preserve">Ji </w:t>
      </w:r>
      <w:r w:rsidRPr="00BA0FB2">
        <w:rPr>
          <w:rFonts w:ascii="Arial" w:hAnsi="Arial" w:cs="Arial"/>
          <w:noProof/>
        </w:rPr>
        <w:t>et al.</w:t>
      </w:r>
      <w:r w:rsidR="00BA0FB2">
        <w:rPr>
          <w:rFonts w:ascii="Arial" w:hAnsi="Arial" w:cs="Arial"/>
          <w:noProof/>
        </w:rPr>
        <w:t>,</w:t>
      </w:r>
      <w:r w:rsidRPr="00BA0FB2">
        <w:rPr>
          <w:rFonts w:ascii="Arial" w:hAnsi="Arial" w:cs="Arial"/>
          <w:noProof/>
        </w:rPr>
        <w:t xml:space="preserve"> </w:t>
      </w:r>
      <w:r w:rsidRPr="000B08FE">
        <w:rPr>
          <w:rFonts w:ascii="Arial" w:hAnsi="Arial" w:cs="Arial"/>
          <w:noProof/>
        </w:rPr>
        <w:t>(2019)</w:t>
      </w:r>
      <w:r w:rsidRPr="000B08FE">
        <w:rPr>
          <w:rFonts w:ascii="Arial" w:hAnsi="Arial" w:cs="Arial"/>
        </w:rPr>
        <w:fldChar w:fldCharType="end"/>
      </w:r>
      <w:r w:rsidR="00CE4760">
        <w:rPr>
          <w:rFonts w:ascii="Arial" w:hAnsi="Arial" w:cs="Arial"/>
        </w:rPr>
        <w:t xml:space="preserve"> </w:t>
      </w:r>
      <w:r w:rsidR="00CE4760" w:rsidRPr="00CE4760">
        <w:rPr>
          <w:rFonts w:ascii="Arial" w:hAnsi="Arial" w:cs="Arial"/>
        </w:rPr>
        <w:t>also added that tryptophan helps increase protein synthesis, enabling fish to utilize their feed effectively for growth. A higher protein efficiency ratio indicates that the feed can be utilized efficiently and optimally for growth</w:t>
      </w:r>
      <w:r w:rsidR="00CE4760">
        <w:rPr>
          <w:rFonts w:ascii="Arial" w:hAnsi="Arial" w:cs="Arial"/>
        </w:rPr>
        <w:t xml:space="preserve"> </w:t>
      </w:r>
      <w:r w:rsidRPr="000B08FE">
        <w:rPr>
          <w:rFonts w:ascii="Arial" w:hAnsi="Arial" w:cs="Arial"/>
        </w:rPr>
        <w:fldChar w:fldCharType="begin" w:fldLock="1"/>
      </w:r>
      <w:r w:rsidR="006F461E">
        <w:rPr>
          <w:rFonts w:ascii="Arial" w:hAnsi="Arial" w:cs="Arial"/>
        </w:rPr>
        <w:instrText>ADDIN CSL_CITATION {"citationItems":[{"id":"ITEM-1","itemData":{"ISSN":"2301-640X","author":[{"dropping-particle":"","family":"Pinandoyo","given":"Pinandoyo","non-dropping-particle":"","parse-names":false,"suffix":""},{"dropping-particle":"","family":"Syakirin","given":"Muhammad Bahrus","non-dropping-particle":"","parse-names":false,"suffix":""},{"dropping-particle":"","family":"Mardiana","given":"Tri Yusufi","non-dropping-particle":"","parse-names":false,"suffix":""}],"container-title":"Pena Akuatika: Jurnal Ilmiah Perikanan dan Kelautan","id":"ITEM-1","issue":"1","issued":{"date-parts":[["2021"]]},"title":"Pemanfaatan Ikan Rucah Dan Fermentasi Kotoran Ayam Dalam Pakan Lele Terhadap Pertumbuhan Dan Kelulus Hidupan Lele Sangkuriang (Clarias sp.)","type":"article-journal","volume":"20"},"uris":["http://www.mendeley.com/documents/?uuid=addd5acd-f964-4537-bd18-19c5fce1960b"]}],"mendeley":{"formattedCitation":"(Pinandoyo et al., 2021)","manualFormatting":"(Pinandoyo et al., 2021)","plainTextFormattedCitation":"(Pinandoyo et al., 2021)","previouslyFormattedCitation":"(Pinandoyo et al., 2021)"},"properties":{"noteIndex":0},"schema":"https://github.com/citation-style-language/schema/raw/master/csl-citation.json"}</w:instrText>
      </w:r>
      <w:r w:rsidRPr="000B08FE">
        <w:rPr>
          <w:rFonts w:ascii="Arial" w:hAnsi="Arial" w:cs="Arial"/>
        </w:rPr>
        <w:fldChar w:fldCharType="separate"/>
      </w:r>
      <w:r w:rsidRPr="000B08FE">
        <w:rPr>
          <w:rFonts w:ascii="Arial" w:hAnsi="Arial" w:cs="Arial"/>
          <w:noProof/>
        </w:rPr>
        <w:t xml:space="preserve">(Pinandoyo </w:t>
      </w:r>
      <w:r w:rsidRPr="00BA0FB2">
        <w:rPr>
          <w:rFonts w:ascii="Arial" w:hAnsi="Arial" w:cs="Arial"/>
          <w:noProof/>
        </w:rPr>
        <w:t>et al.</w:t>
      </w:r>
      <w:r w:rsidR="00BA0FB2">
        <w:rPr>
          <w:rFonts w:ascii="Arial" w:hAnsi="Arial" w:cs="Arial"/>
          <w:noProof/>
        </w:rPr>
        <w:t>,</w:t>
      </w:r>
      <w:r w:rsidRPr="000B08FE">
        <w:rPr>
          <w:rFonts w:ascii="Arial" w:hAnsi="Arial" w:cs="Arial"/>
          <w:noProof/>
        </w:rPr>
        <w:t xml:space="preserve"> 2021)</w:t>
      </w:r>
      <w:r w:rsidRPr="000B08FE">
        <w:rPr>
          <w:rFonts w:ascii="Arial" w:hAnsi="Arial" w:cs="Arial"/>
        </w:rPr>
        <w:fldChar w:fldCharType="end"/>
      </w:r>
      <w:r w:rsidRPr="000B08FE">
        <w:rPr>
          <w:rFonts w:ascii="Arial" w:hAnsi="Arial" w:cs="Arial"/>
        </w:rPr>
        <w:t xml:space="preserve">. </w:t>
      </w:r>
    </w:p>
    <w:p w:rsidR="00B642D1" w:rsidRPr="003B5B12" w:rsidRDefault="001640F2" w:rsidP="003B5B12">
      <w:pPr>
        <w:pStyle w:val="Head2"/>
        <w:spacing w:after="0"/>
        <w:rPr>
          <w:rFonts w:ascii="Arial" w:hAnsi="Arial" w:cs="Arial"/>
          <w:b/>
          <w:bCs/>
          <w:caps w:val="0"/>
          <w:sz w:val="22"/>
          <w:szCs w:val="22"/>
        </w:rPr>
      </w:pPr>
      <w:r w:rsidRPr="003B5B12">
        <w:rPr>
          <w:rFonts w:ascii="Arial" w:hAnsi="Arial" w:cs="Arial"/>
          <w:b/>
          <w:bCs/>
          <w:caps w:val="0"/>
          <w:sz w:val="22"/>
          <w:szCs w:val="22"/>
        </w:rPr>
        <w:lastRenderedPageBreak/>
        <w:t xml:space="preserve">3.5 </w:t>
      </w:r>
      <w:r w:rsidR="007D7A73" w:rsidRPr="003B5B12">
        <w:rPr>
          <w:rFonts w:ascii="Arial" w:hAnsi="Arial" w:cs="Arial"/>
          <w:b/>
          <w:bCs/>
          <w:caps w:val="0"/>
          <w:sz w:val="22"/>
          <w:szCs w:val="22"/>
        </w:rPr>
        <w:t>Protein</w:t>
      </w:r>
      <w:r w:rsidRPr="003B5B12">
        <w:rPr>
          <w:rFonts w:ascii="Arial" w:hAnsi="Arial" w:cs="Arial"/>
          <w:b/>
          <w:bCs/>
          <w:caps w:val="0"/>
          <w:sz w:val="22"/>
          <w:szCs w:val="22"/>
        </w:rPr>
        <w:t xml:space="preserve"> Retention </w:t>
      </w:r>
    </w:p>
    <w:p w:rsidR="003D3106" w:rsidRPr="00520A4B" w:rsidRDefault="00CE4760" w:rsidP="00CE4760">
      <w:pPr>
        <w:pStyle w:val="Body"/>
        <w:spacing w:after="0"/>
      </w:pPr>
      <w:r w:rsidRPr="00CE4760">
        <w:rPr>
          <w:rFonts w:ascii="Arial" w:hAnsi="Arial" w:cs="Arial"/>
        </w:rPr>
        <w:t>Protein retention is a description of the amount of protein given, which can be absorbed and used to build or repair damaged body cells and is used by the f</w:t>
      </w:r>
      <w:r>
        <w:rPr>
          <w:rFonts w:ascii="Arial" w:hAnsi="Arial" w:cs="Arial"/>
        </w:rPr>
        <w:t xml:space="preserve">ish's body for daily metabolism </w:t>
      </w:r>
      <w:r w:rsidRPr="00CE4760">
        <w:rPr>
          <w:rFonts w:ascii="Arial" w:hAnsi="Arial" w:cs="Arial"/>
        </w:rPr>
        <w:t xml:space="preserve"> </w:t>
      </w:r>
      <w:r w:rsidR="00431A2F">
        <w:rPr>
          <w:rFonts w:ascii="Arial" w:hAnsi="Arial" w:cs="Arial"/>
        </w:rPr>
        <w:fldChar w:fldCharType="begin" w:fldLock="1"/>
      </w:r>
      <w:r w:rsidR="006F461E">
        <w:rPr>
          <w:rFonts w:ascii="Arial" w:hAnsi="Arial" w:cs="Arial"/>
        </w:rPr>
        <w:instrText>ADDIN CSL_CITATION {"citationItems":[{"id":"ITEM-1","itemData":{"author":[{"dropping-particle":"","family":"Dani","given":"Ning Praban","non-dropping-particle":"","parse-names":false,"suffix":""},{"dropping-particle":"","family":"Budiharjo","given":"Agung","non-dropping-particle":"","parse-names":false,"suffix":""},{"dropping-particle":"","family":"Listyawati","given":"Shanti","non-dropping-particle":"","parse-names":false,"suffix":""}],"container-title":"Biosmart","id":"ITEM-1","issue":"2","issued":{"date-parts":[["2005"]]},"page":"83-90","title":"Komposisi pakan buatan untuk meningkatkan pertumbuhan dan kandungan protein ikan tawes (Puntius javanicus Blkr.)","type":"article-journal","volume":"7"},"uris":["http://www.mendeley.com/documents/?uuid=3387f3b4-24cc-4c21-9669-41d4bcfc7e40"]}],"mendeley":{"formattedCitation":"(Dani et al., 2005)","manualFormatting":"(Dani et al., 2005)","plainTextFormattedCitation":"(Dani et al., 2005)","previouslyFormattedCitation":"(Dani et al., 2005)"},"properties":{"noteIndex":0},"schema":"https://github.com/citation-style-language/schema/raw/master/csl-citation.json"}</w:instrText>
      </w:r>
      <w:r w:rsidR="00431A2F">
        <w:rPr>
          <w:rFonts w:ascii="Arial" w:hAnsi="Arial" w:cs="Arial"/>
        </w:rPr>
        <w:fldChar w:fldCharType="separate"/>
      </w:r>
      <w:r w:rsidR="00431A2F" w:rsidRPr="00431A2F">
        <w:rPr>
          <w:rFonts w:ascii="Arial" w:hAnsi="Arial" w:cs="Arial"/>
          <w:noProof/>
        </w:rPr>
        <w:t xml:space="preserve">(Dani </w:t>
      </w:r>
      <w:r w:rsidR="00431A2F" w:rsidRPr="00BA0FB2">
        <w:rPr>
          <w:rFonts w:ascii="Arial" w:hAnsi="Arial" w:cs="Arial"/>
          <w:noProof/>
        </w:rPr>
        <w:t>et al</w:t>
      </w:r>
      <w:r w:rsidR="002208E1" w:rsidRPr="00BA0FB2">
        <w:rPr>
          <w:rFonts w:ascii="Arial" w:hAnsi="Arial" w:cs="Arial"/>
          <w:noProof/>
        </w:rPr>
        <w:t>.</w:t>
      </w:r>
      <w:r w:rsidR="00BA0FB2">
        <w:rPr>
          <w:rFonts w:ascii="Arial" w:hAnsi="Arial" w:cs="Arial"/>
          <w:noProof/>
        </w:rPr>
        <w:t>,</w:t>
      </w:r>
      <w:r w:rsidR="00431A2F" w:rsidRPr="00431A2F">
        <w:rPr>
          <w:rFonts w:ascii="Arial" w:hAnsi="Arial" w:cs="Arial"/>
          <w:noProof/>
        </w:rPr>
        <w:t xml:space="preserve"> 2005)</w:t>
      </w:r>
      <w:r w:rsidR="00431A2F">
        <w:rPr>
          <w:rFonts w:ascii="Arial" w:hAnsi="Arial" w:cs="Arial"/>
        </w:rPr>
        <w:fldChar w:fldCharType="end"/>
      </w:r>
      <w:r w:rsidR="00431A2F">
        <w:rPr>
          <w:rFonts w:ascii="Arial" w:hAnsi="Arial" w:cs="Arial"/>
        </w:rPr>
        <w:t xml:space="preserve">. </w:t>
      </w:r>
      <w:r w:rsidRPr="00CE4760">
        <w:rPr>
          <w:rFonts w:ascii="Arial" w:hAnsi="Arial" w:cs="Arial"/>
        </w:rPr>
        <w:t>Protein retention was calculated by analyzing the protein levels of the fish at the beginning and end of the study and then dividing by the amount of protein consumed during maintenance.</w:t>
      </w:r>
    </w:p>
    <w:p w:rsidR="003D3106" w:rsidRDefault="001640F2" w:rsidP="008D172C">
      <w:pPr>
        <w:pStyle w:val="Body"/>
        <w:spacing w:after="0"/>
        <w:jc w:val="center"/>
        <w:rPr>
          <w:rFonts w:ascii="Arial" w:hAnsi="Arial" w:cs="Arial"/>
        </w:rPr>
      </w:pPr>
      <w:r>
        <w:rPr>
          <w:rFonts w:ascii="Arial" w:hAnsi="Arial" w:cs="Arial"/>
          <w:noProof/>
        </w:rPr>
        <w:drawing>
          <wp:inline distT="0" distB="0" distL="0" distR="0">
            <wp:extent cx="3030300"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 JURNAL.JPG"/>
                    <pic:cNvPicPr/>
                  </pic:nvPicPr>
                  <pic:blipFill rotWithShape="1">
                    <a:blip r:embed="rId17" cstate="print">
                      <a:extLst>
                        <a:ext uri="{28A0092B-C50C-407E-A947-70E740481C1C}">
                          <a14:useLocalDpi xmlns:a14="http://schemas.microsoft.com/office/drawing/2010/main" val="0"/>
                        </a:ext>
                      </a:extLst>
                    </a:blip>
                    <a:srcRect l="13450" t="25505" r="16228" b="29352"/>
                    <a:stretch/>
                  </pic:blipFill>
                  <pic:spPr bwMode="auto">
                    <a:xfrm>
                      <a:off x="0" y="0"/>
                      <a:ext cx="3030300" cy="2520000"/>
                    </a:xfrm>
                    <a:prstGeom prst="rect">
                      <a:avLst/>
                    </a:prstGeom>
                    <a:ln>
                      <a:noFill/>
                    </a:ln>
                    <a:extLst>
                      <a:ext uri="{53640926-AAD7-44D8-BBD7-CCE9431645EC}">
                        <a14:shadowObscured xmlns:a14="http://schemas.microsoft.com/office/drawing/2010/main"/>
                      </a:ext>
                    </a:extLst>
                  </pic:spPr>
                </pic:pic>
              </a:graphicData>
            </a:graphic>
          </wp:inline>
        </w:drawing>
      </w:r>
    </w:p>
    <w:p w:rsidR="004B203F" w:rsidRPr="004B203F" w:rsidRDefault="004B203F" w:rsidP="004B203F">
      <w:pPr>
        <w:pStyle w:val="Caption"/>
        <w:jc w:val="center"/>
        <w:rPr>
          <w:rFonts w:ascii="Arial" w:hAnsi="Arial" w:cs="Arial"/>
          <w:b/>
          <w:i w:val="0"/>
          <w:color w:val="auto"/>
          <w:sz w:val="20"/>
          <w:szCs w:val="20"/>
        </w:rPr>
      </w:pPr>
      <w:r w:rsidRPr="004B203F">
        <w:rPr>
          <w:rFonts w:ascii="Arial" w:hAnsi="Arial" w:cs="Arial"/>
          <w:b/>
          <w:i w:val="0"/>
          <w:color w:val="auto"/>
          <w:sz w:val="20"/>
          <w:szCs w:val="20"/>
        </w:rPr>
        <w:t xml:space="preserve">Figure </w:t>
      </w:r>
      <w:r w:rsidRPr="004B203F">
        <w:rPr>
          <w:rFonts w:ascii="Arial" w:hAnsi="Arial" w:cs="Arial"/>
          <w:b/>
          <w:i w:val="0"/>
          <w:color w:val="auto"/>
          <w:sz w:val="20"/>
          <w:szCs w:val="20"/>
        </w:rPr>
        <w:fldChar w:fldCharType="begin"/>
      </w:r>
      <w:r w:rsidRPr="004B203F">
        <w:rPr>
          <w:rFonts w:ascii="Arial" w:hAnsi="Arial" w:cs="Arial"/>
          <w:b/>
          <w:i w:val="0"/>
          <w:color w:val="auto"/>
          <w:sz w:val="20"/>
          <w:szCs w:val="20"/>
        </w:rPr>
        <w:instrText xml:space="preserve"> SEQ Figure \* ARABIC </w:instrText>
      </w:r>
      <w:r w:rsidRPr="004B203F">
        <w:rPr>
          <w:rFonts w:ascii="Arial" w:hAnsi="Arial" w:cs="Arial"/>
          <w:b/>
          <w:i w:val="0"/>
          <w:color w:val="auto"/>
          <w:sz w:val="20"/>
          <w:szCs w:val="20"/>
        </w:rPr>
        <w:fldChar w:fldCharType="separate"/>
      </w:r>
      <w:r w:rsidR="00FB1D5C">
        <w:rPr>
          <w:rFonts w:ascii="Arial" w:hAnsi="Arial" w:cs="Arial"/>
          <w:b/>
          <w:i w:val="0"/>
          <w:noProof/>
          <w:color w:val="auto"/>
          <w:sz w:val="20"/>
          <w:szCs w:val="20"/>
        </w:rPr>
        <w:t>4</w:t>
      </w:r>
      <w:r w:rsidRPr="004B203F">
        <w:rPr>
          <w:rFonts w:ascii="Arial" w:hAnsi="Arial" w:cs="Arial"/>
          <w:b/>
          <w:i w:val="0"/>
          <w:color w:val="auto"/>
          <w:sz w:val="20"/>
          <w:szCs w:val="20"/>
        </w:rPr>
        <w:fldChar w:fldCharType="end"/>
      </w:r>
      <w:r w:rsidR="00422382">
        <w:rPr>
          <w:rFonts w:ascii="Arial" w:hAnsi="Arial" w:cs="Arial"/>
          <w:b/>
          <w:i w:val="0"/>
          <w:color w:val="auto"/>
          <w:sz w:val="20"/>
          <w:szCs w:val="20"/>
        </w:rPr>
        <w:t xml:space="preserve"> Protein r</w:t>
      </w:r>
      <w:r w:rsidRPr="004B203F">
        <w:rPr>
          <w:rFonts w:ascii="Arial" w:hAnsi="Arial" w:cs="Arial"/>
          <w:b/>
          <w:i w:val="0"/>
          <w:color w:val="auto"/>
          <w:sz w:val="20"/>
          <w:szCs w:val="20"/>
        </w:rPr>
        <w:t xml:space="preserve">etention </w:t>
      </w:r>
      <w:r w:rsidR="001640F2">
        <w:rPr>
          <w:rFonts w:ascii="Arial" w:hAnsi="Arial" w:cs="Arial"/>
          <w:b/>
          <w:i w:val="0"/>
          <w:color w:val="auto"/>
          <w:sz w:val="20"/>
          <w:szCs w:val="20"/>
        </w:rPr>
        <w:t xml:space="preserve">value of Mutiara catfish with the addition of different doses of tryptophan </w:t>
      </w:r>
    </w:p>
    <w:p w:rsidR="008D172C" w:rsidRDefault="00CE4760" w:rsidP="008D172C">
      <w:pPr>
        <w:pStyle w:val="Body"/>
        <w:spacing w:after="0"/>
        <w:rPr>
          <w:rFonts w:ascii="Arial" w:hAnsi="Arial" w:cs="Arial"/>
        </w:rPr>
      </w:pPr>
      <w:r w:rsidRPr="00CE4760">
        <w:rPr>
          <w:rFonts w:ascii="Arial" w:hAnsi="Arial" w:cs="Arial"/>
        </w:rPr>
        <w:t>The results of the protein retention analysis also showed the same pattern as the protein efficiency ratio, where treatment C (0.3%) produced the highest protein retention value of 51.25% and was significantly different from treatments A, B, and D as shown in Figure 4. This indicates that treatment C with the addition of 0.3% tryptophan was able to utilize feed protein most efficiently to build body tissue. Protein retention was also in line with the results of the proximate analysis, where the protein in treatment C showed the highest results compared to other treatments.</w:t>
      </w:r>
      <w:r>
        <w:rPr>
          <w:rFonts w:ascii="Arial" w:hAnsi="Arial" w:cs="Arial"/>
        </w:rPr>
        <w:t xml:space="preserve"> </w:t>
      </w:r>
      <w:r w:rsidR="008D172C" w:rsidRPr="0011387A">
        <w:rPr>
          <w:rFonts w:ascii="Arial" w:hAnsi="Arial" w:cs="Arial"/>
        </w:rPr>
        <w:fldChar w:fldCharType="begin" w:fldLock="1"/>
      </w:r>
      <w:r w:rsidR="008D172C" w:rsidRPr="0011387A">
        <w:rPr>
          <w:rFonts w:ascii="Arial" w:hAnsi="Arial" w:cs="Arial"/>
        </w:rPr>
        <w:instrText>ADDIN CSL_CITATION {"citationItems":[{"id":"ITEM-1","itemData":{"DOI":"10.1007/s10695-012-9609-1","ISSN":"1573-5168","abstract":"An 8-week feeding trial was conducted to determine the dietary tryptophan requirement of fingerling Indian catfish, Heteropneustes fossilis (6.10 ± 1.15 cm, 4.44 ± 0.50 g). Six isonitrogenous (40 g 100 g−1) and isoenergetic (17.90 kJ g−1) amino acid test diets were formulated with gradation of 0.1 g 100 g−1 containing graded levels of l-tryptophan (0.04–0.54 g 100 g−1, dry diet). Fish were stocked in triplicate groups, in 75-L circular trough with flow-through system and fed experimental diets at 4% BW/day twice daily. Maximum live weight gain (258%), best feed conversion ratio (FCR) (1.54) and protein efficiency ratio (PER) (1.62) were obtained in fish fed diet containing 0.34 g 100 g−1 tryptophan. However, quadratic regression analysis of weight gain, FCR, PER and body protein deposition (BPD) data indicated requirements for dietary tryptophan at 0.37, 0.33, 0.32 and 0.33 g 100 g−1 of dry diet, respectively. Significantly (P &lt; 0.05) higher body protein, minimum moisture and intermediate fat contents were recorded at 0.34 g 100 g−1 dietary tryptophan diet. Ash content was not significantly different (P &gt; 0.05) among treatments except for diets 0.04 and 0.14 g 100 g−1. Excellent somatic and haematological indices values were obtained at the requirement level. Based on above results, it is recommended that the diet for H. fossilis should contain tryptophan at 0.32 g 100 g−1, dry diet, corresponding to 0.80 g 100 g−1 dietary protein for optimum growth and efficient feed utilization.","author":[{"dropping-particle":"","family":"Ahmed","given":"Imtiaz","non-dropping-particle":"","parse-names":false,"suffix":""}],"container-title":"Fish Physiology and Biochemistry","id":"ITEM-1","issue":"4","issued":{"date-parts":[["2012"]]},"page":"1195-1209","title":"Dietary amino acid l-tryptophan requirement of fingerling Indian catfish, Heteropneustes fossilis (Bloch), estimated by growth and haemato-biochemical parameters","type":"article-journal","volume":"38"},"uris":["http://www.mendeley.com/documents/?uuid=6484241d-5069-48c7-8021-4915673841b6"]}],"mendeley":{"formattedCitation":"(Ahmed, 2012)","manualFormatting":"Ahmed (2012)","plainTextFormattedCitation":"(Ahmed, 2012)","previouslyFormattedCitation":"(Ahmed, 2012)"},"properties":{"noteIndex":0},"schema":"https://github.com/citation-style-language/schema/raw/master/csl-citation.json"}</w:instrText>
      </w:r>
      <w:r w:rsidR="008D172C" w:rsidRPr="0011387A">
        <w:rPr>
          <w:rFonts w:ascii="Arial" w:hAnsi="Arial" w:cs="Arial"/>
        </w:rPr>
        <w:fldChar w:fldCharType="separate"/>
      </w:r>
      <w:r w:rsidR="008D172C" w:rsidRPr="0011387A">
        <w:rPr>
          <w:rFonts w:ascii="Arial" w:hAnsi="Arial" w:cs="Arial"/>
          <w:noProof/>
        </w:rPr>
        <w:t>Ahmed (2012)</w:t>
      </w:r>
      <w:r w:rsidR="008D172C" w:rsidRPr="0011387A">
        <w:rPr>
          <w:rFonts w:ascii="Arial" w:hAnsi="Arial" w:cs="Arial"/>
        </w:rPr>
        <w:fldChar w:fldCharType="end"/>
      </w:r>
      <w:r w:rsidR="008D172C" w:rsidRPr="0011387A">
        <w:rPr>
          <w:rFonts w:ascii="Arial" w:hAnsi="Arial" w:cs="Arial"/>
        </w:rPr>
        <w:t xml:space="preserve"> </w:t>
      </w:r>
      <w:r w:rsidRPr="00CE4760">
        <w:rPr>
          <w:rFonts w:ascii="Arial" w:hAnsi="Arial" w:cs="Arial"/>
        </w:rPr>
        <w:t>states that tryptophan is an exogenous amino acid that promotes the conversion of other amino acids, increasing the rate of protein utilization and accelerating protein synthesis. Therefore, when tryptophan levels in the feed are adequate, the total protein content in the body also increases significantly. The high protein retention value in treatment C also indicates that the fish are significantly decomposing non-protein energy sources (fat and carbohydrates).</w:t>
      </w:r>
    </w:p>
    <w:p w:rsidR="00CE4760" w:rsidRDefault="00CE4760" w:rsidP="00CE4760">
      <w:pPr>
        <w:pStyle w:val="Body"/>
        <w:rPr>
          <w:rFonts w:ascii="Arial" w:hAnsi="Arial" w:cs="Arial"/>
        </w:rPr>
      </w:pPr>
      <w:r w:rsidRPr="00CE4760">
        <w:rPr>
          <w:rFonts w:ascii="Arial" w:hAnsi="Arial" w:cs="Arial"/>
        </w:rPr>
        <w:t>The appropriate tryptophan content in treatment C also plays a crucial role because tryptophan is an amino acid that can stimulate growth hormone secretion by increasing protein synthesis through the breakdown of fat and carbohydrates. Fat in the form of triglycerides must first be hydrolyze</w:t>
      </w:r>
      <w:r>
        <w:rPr>
          <w:rFonts w:ascii="Arial" w:hAnsi="Arial" w:cs="Arial"/>
        </w:rPr>
        <w:t>d into fatty acids and glycerol</w:t>
      </w:r>
      <w:r w:rsidR="008D172C" w:rsidRPr="0011387A">
        <w:rPr>
          <w:rFonts w:ascii="Arial" w:hAnsi="Arial" w:cs="Arial"/>
        </w:rPr>
        <w:t xml:space="preserve">. </w:t>
      </w:r>
      <w:r w:rsidRPr="00CE4760">
        <w:rPr>
          <w:rFonts w:ascii="Arial" w:hAnsi="Arial" w:cs="Arial"/>
        </w:rPr>
        <w:t>Then glycerol can be used to produce a little energy which will later be converted into 3-phosphoglyceraldehyde, and this can be degraded into pyruvic acid which will later produce energy or amino acids which will become proteins in the Krebs cycle.</w:t>
      </w:r>
      <w:r w:rsidR="008D172C" w:rsidRPr="0011387A">
        <w:rPr>
          <w:rFonts w:ascii="Arial" w:hAnsi="Arial" w:cs="Arial"/>
        </w:rPr>
        <w:t xml:space="preserve"> </w:t>
      </w:r>
      <w:r w:rsidRPr="00CE4760">
        <w:rPr>
          <w:rFonts w:ascii="Arial" w:hAnsi="Arial" w:cs="Arial"/>
        </w:rPr>
        <w:t>Likewise, carbohydrates in the form of glycogen must first be hydrolyzed into glucose and go through a process like triglycerides which ultimately become amino acids or enter the Krebs cycle to become metabolic energy</w:t>
      </w:r>
      <w:r>
        <w:rPr>
          <w:rFonts w:ascii="Arial" w:hAnsi="Arial" w:cs="Arial"/>
        </w:rPr>
        <w:t xml:space="preserve"> </w:t>
      </w:r>
      <w:r w:rsidR="00FB1D5C">
        <w:rPr>
          <w:rFonts w:ascii="Arial" w:hAnsi="Arial" w:cs="Arial"/>
        </w:rPr>
        <w:fldChar w:fldCharType="begin" w:fldLock="1"/>
      </w:r>
      <w:r w:rsidR="00FB1D5C">
        <w:rPr>
          <w:rFonts w:ascii="Arial" w:hAnsi="Arial" w:cs="Arial"/>
        </w:rPr>
        <w:instrText>ADDIN CSL_CITATION {"citationItems":[{"id":"ITEM-1","itemData":{"DOI":"10.1016/j.eclnm.2011.01.005","ISSN":"17514991","abstract":"The energy used in post-prandial state during rest and physical activity is derived predominantly from the oxidation of carbohydrate (CHO) and fat. Although protein can also serve as a source of energy, amino acids oxidation is usually tightly adjusted to amino acids intake and their contribution to total energy expenditure is rather insignificant in healthy subjects. Blood glucose, glycogen, plasma fatty acids and intramuscular triglycerides, on the other hand, present major sources for energy production. The amount of energy stored in the form of fat is large, representing 92-98% of all endogenously stored energy with CHO contributing only about 2-8%. Fat is at the bottom of an oxidative hierarchy that determines fuel selection, and its oxidation is governed by the presence or absence of the other macronutrients. In addition, the rate at which it can be oxidized depends on intensity of energy expenditure. In contrast, CHO elicit strong auto-regulatory adjustments in their oxidation. This review aims at summarizing the current state of knowledge on CHO and fat body storage, hierarchy of fuel utilization during resting state, anaerobic and aerobic pathways for energy production during exercise, and the effects of exercise mode, intensity, duration, and training on CHO and fat utilization. © 2011 European Society for Clinical Nutrition and Metabolism.","author":[{"dropping-particle":"","family":"Melzer","given":"Katarina","non-dropping-particle":"","parse-names":false,"suffix":""}],"container-title":"e-SPEN","id":"ITEM-1","issue":"2","issued":{"date-parts":[["2011"]]},"page":"e45-e52","publisher":"Elsevier Ltd","title":"Carbohydrate and fat utilization during rest and physical activity","type":"article-journal","volume":"6"},"uris":["http://www.mendeley.com/documents/?uuid=ca20b7fd-82c1-4771-b69a-777e8073d3ce"]}],"mendeley":{"formattedCitation":"(Melzer, 2011)","plainTextFormattedCitation":"(Melzer, 2011)","previouslyFormattedCitation":"(Melzer, 2011)"},"properties":{"noteIndex":0},"schema":"https://github.com/citation-style-language/schema/raw/master/csl-citation.json"}</w:instrText>
      </w:r>
      <w:r w:rsidR="00FB1D5C">
        <w:rPr>
          <w:rFonts w:ascii="Arial" w:hAnsi="Arial" w:cs="Arial"/>
        </w:rPr>
        <w:fldChar w:fldCharType="separate"/>
      </w:r>
      <w:r w:rsidR="00FB1D5C" w:rsidRPr="00FB1D5C">
        <w:rPr>
          <w:rFonts w:ascii="Arial" w:hAnsi="Arial" w:cs="Arial"/>
          <w:noProof/>
        </w:rPr>
        <w:t>(Melzer, 2011)</w:t>
      </w:r>
      <w:r w:rsidR="00FB1D5C">
        <w:rPr>
          <w:rFonts w:ascii="Arial" w:hAnsi="Arial" w:cs="Arial"/>
        </w:rPr>
        <w:fldChar w:fldCharType="end"/>
      </w:r>
      <w:r w:rsidR="008D172C" w:rsidRPr="0011387A">
        <w:rPr>
          <w:rFonts w:ascii="Arial" w:hAnsi="Arial" w:cs="Arial"/>
        </w:rPr>
        <w:t xml:space="preserve">. </w:t>
      </w:r>
      <w:r w:rsidRPr="00CE4760">
        <w:rPr>
          <w:rFonts w:ascii="Arial" w:hAnsi="Arial" w:cs="Arial"/>
        </w:rPr>
        <w:t>These changes in fat and carbohydrates resulted in increased growth which can be proven through the absolute weight growth parameter (Figure 1) where treatment C produced the highest value compared to other treatments.</w:t>
      </w:r>
    </w:p>
    <w:p w:rsidR="007D7A73" w:rsidRPr="003B5B12" w:rsidRDefault="00422382" w:rsidP="003B5B12">
      <w:pPr>
        <w:pStyle w:val="Head2"/>
        <w:spacing w:after="0"/>
        <w:rPr>
          <w:rFonts w:ascii="Arial" w:hAnsi="Arial" w:cs="Arial"/>
          <w:b/>
          <w:bCs/>
          <w:caps w:val="0"/>
          <w:sz w:val="22"/>
          <w:szCs w:val="22"/>
        </w:rPr>
      </w:pPr>
      <w:r>
        <w:rPr>
          <w:rFonts w:ascii="Arial" w:hAnsi="Arial" w:cs="Arial"/>
          <w:b/>
          <w:bCs/>
          <w:caps w:val="0"/>
          <w:sz w:val="22"/>
          <w:szCs w:val="22"/>
        </w:rPr>
        <w:lastRenderedPageBreak/>
        <w:t>3.6</w:t>
      </w:r>
      <w:r w:rsidR="007D7A73" w:rsidRPr="003B5B12">
        <w:rPr>
          <w:rFonts w:ascii="Arial" w:hAnsi="Arial" w:cs="Arial"/>
          <w:b/>
          <w:bCs/>
          <w:caps w:val="0"/>
          <w:sz w:val="22"/>
          <w:szCs w:val="22"/>
        </w:rPr>
        <w:t xml:space="preserve"> </w:t>
      </w:r>
      <w:r w:rsidR="001640F2" w:rsidRPr="003B5B12">
        <w:rPr>
          <w:rFonts w:ascii="Arial" w:hAnsi="Arial" w:cs="Arial"/>
          <w:b/>
          <w:bCs/>
          <w:caps w:val="0"/>
          <w:sz w:val="22"/>
          <w:szCs w:val="22"/>
        </w:rPr>
        <w:t xml:space="preserve">Water Quality </w:t>
      </w:r>
      <w:r w:rsidR="007D7A73" w:rsidRPr="003B5B12">
        <w:rPr>
          <w:rFonts w:ascii="Arial" w:hAnsi="Arial" w:cs="Arial"/>
          <w:b/>
          <w:bCs/>
          <w:caps w:val="0"/>
          <w:sz w:val="22"/>
          <w:szCs w:val="22"/>
        </w:rPr>
        <w:t xml:space="preserve"> </w:t>
      </w:r>
    </w:p>
    <w:p w:rsidR="00DA55EA" w:rsidRDefault="0057404D" w:rsidP="007D7A73">
      <w:pPr>
        <w:pStyle w:val="Body"/>
        <w:spacing w:after="0"/>
        <w:rPr>
          <w:rFonts w:ascii="Arial" w:hAnsi="Arial" w:cs="Arial"/>
        </w:rPr>
      </w:pPr>
      <w:r w:rsidRPr="0057404D">
        <w:rPr>
          <w:rFonts w:ascii="Arial" w:hAnsi="Arial" w:cs="Arial"/>
        </w:rPr>
        <w:t>Good water quality is water that can be tolerated by fish in their breeding tanks. Based on measurements during the study, the temperature, pH, and DO value</w:t>
      </w:r>
      <w:r w:rsidR="001947D6">
        <w:rPr>
          <w:rFonts w:ascii="Arial" w:hAnsi="Arial" w:cs="Arial"/>
        </w:rPr>
        <w:t>s ​​are shown in the table 2</w:t>
      </w:r>
      <w:r w:rsidRPr="0057404D">
        <w:rPr>
          <w:rFonts w:ascii="Arial" w:hAnsi="Arial" w:cs="Arial"/>
        </w:rPr>
        <w:t>.</w:t>
      </w:r>
      <w:r w:rsidR="001947D6">
        <w:rPr>
          <w:rFonts w:ascii="Arial" w:hAnsi="Arial" w:cs="Arial"/>
        </w:rPr>
        <w:t xml:space="preserve"> </w:t>
      </w:r>
    </w:p>
    <w:p w:rsidR="00477B57" w:rsidRPr="00477B57" w:rsidRDefault="004B203F" w:rsidP="00477B57">
      <w:pPr>
        <w:pStyle w:val="Caption"/>
        <w:spacing w:after="0"/>
        <w:jc w:val="center"/>
        <w:rPr>
          <w:rFonts w:ascii="Arial" w:hAnsi="Arial" w:cs="Arial"/>
          <w:b/>
          <w:i w:val="0"/>
          <w:color w:val="auto"/>
          <w:sz w:val="20"/>
          <w:szCs w:val="20"/>
        </w:rPr>
      </w:pPr>
      <w:r w:rsidRPr="004B203F">
        <w:rPr>
          <w:rFonts w:ascii="Arial" w:hAnsi="Arial" w:cs="Arial"/>
          <w:b/>
          <w:i w:val="0"/>
          <w:color w:val="auto"/>
          <w:sz w:val="20"/>
          <w:szCs w:val="20"/>
        </w:rPr>
        <w:t xml:space="preserve">Table </w:t>
      </w:r>
      <w:r w:rsidRPr="004B203F">
        <w:rPr>
          <w:rFonts w:ascii="Arial" w:hAnsi="Arial" w:cs="Arial"/>
          <w:b/>
          <w:i w:val="0"/>
          <w:color w:val="auto"/>
          <w:sz w:val="20"/>
          <w:szCs w:val="20"/>
        </w:rPr>
        <w:fldChar w:fldCharType="begin"/>
      </w:r>
      <w:r w:rsidRPr="004B203F">
        <w:rPr>
          <w:rFonts w:ascii="Arial" w:hAnsi="Arial" w:cs="Arial"/>
          <w:b/>
          <w:i w:val="0"/>
          <w:color w:val="auto"/>
          <w:sz w:val="20"/>
          <w:szCs w:val="20"/>
        </w:rPr>
        <w:instrText xml:space="preserve"> SEQ Table \* ARABIC </w:instrText>
      </w:r>
      <w:r w:rsidRPr="004B203F">
        <w:rPr>
          <w:rFonts w:ascii="Arial" w:hAnsi="Arial" w:cs="Arial"/>
          <w:b/>
          <w:i w:val="0"/>
          <w:color w:val="auto"/>
          <w:sz w:val="20"/>
          <w:szCs w:val="20"/>
        </w:rPr>
        <w:fldChar w:fldCharType="separate"/>
      </w:r>
      <w:r w:rsidR="002208E1">
        <w:rPr>
          <w:rFonts w:ascii="Arial" w:hAnsi="Arial" w:cs="Arial"/>
          <w:b/>
          <w:i w:val="0"/>
          <w:noProof/>
          <w:color w:val="auto"/>
          <w:sz w:val="20"/>
          <w:szCs w:val="20"/>
        </w:rPr>
        <w:t>2</w:t>
      </w:r>
      <w:r w:rsidRPr="004B203F">
        <w:rPr>
          <w:rFonts w:ascii="Arial" w:hAnsi="Arial" w:cs="Arial"/>
          <w:b/>
          <w:i w:val="0"/>
          <w:color w:val="auto"/>
          <w:sz w:val="20"/>
          <w:szCs w:val="20"/>
        </w:rPr>
        <w:fldChar w:fldCharType="end"/>
      </w:r>
      <w:r w:rsidRPr="004B203F">
        <w:rPr>
          <w:rFonts w:ascii="Arial" w:hAnsi="Arial" w:cs="Arial"/>
          <w:b/>
          <w:i w:val="0"/>
          <w:color w:val="auto"/>
          <w:sz w:val="20"/>
          <w:szCs w:val="20"/>
        </w:rPr>
        <w:t xml:space="preserve"> Water Quality</w:t>
      </w:r>
    </w:p>
    <w:tbl>
      <w:tblPr>
        <w:tblStyle w:val="TableGrid"/>
        <w:tblW w:w="0" w:type="auto"/>
        <w:tblLook w:val="04A0" w:firstRow="1" w:lastRow="0" w:firstColumn="1" w:lastColumn="0" w:noHBand="0" w:noVBand="1"/>
      </w:tblPr>
      <w:tblGrid>
        <w:gridCol w:w="2049"/>
        <w:gridCol w:w="2049"/>
        <w:gridCol w:w="2050"/>
        <w:gridCol w:w="2050"/>
      </w:tblGrid>
      <w:tr w:rsidR="00477B57" w:rsidRPr="00477B57" w:rsidTr="00477B57">
        <w:tc>
          <w:tcPr>
            <w:tcW w:w="2049" w:type="dxa"/>
            <w:tcBorders>
              <w:left w:val="nil"/>
              <w:bottom w:val="single" w:sz="4" w:space="0" w:color="auto"/>
              <w:right w:val="nil"/>
            </w:tcBorders>
          </w:tcPr>
          <w:p w:rsidR="00477B57" w:rsidRPr="00477B57" w:rsidRDefault="00477B57" w:rsidP="00477B57">
            <w:pPr>
              <w:jc w:val="center"/>
              <w:rPr>
                <w:rFonts w:ascii="Arial" w:hAnsi="Arial" w:cs="Arial"/>
                <w:b/>
                <w:sz w:val="20"/>
                <w:szCs w:val="20"/>
              </w:rPr>
            </w:pPr>
            <w:r w:rsidRPr="00477B57">
              <w:rPr>
                <w:rFonts w:ascii="Arial" w:hAnsi="Arial" w:cs="Arial"/>
                <w:b/>
                <w:sz w:val="20"/>
                <w:szCs w:val="20"/>
              </w:rPr>
              <w:t>Treatment</w:t>
            </w:r>
          </w:p>
        </w:tc>
        <w:tc>
          <w:tcPr>
            <w:tcW w:w="2049" w:type="dxa"/>
            <w:tcBorders>
              <w:left w:val="nil"/>
              <w:bottom w:val="single" w:sz="4" w:space="0" w:color="auto"/>
              <w:right w:val="nil"/>
            </w:tcBorders>
          </w:tcPr>
          <w:p w:rsidR="00477B57" w:rsidRPr="00477B57" w:rsidRDefault="00477B57" w:rsidP="00477B57">
            <w:pPr>
              <w:jc w:val="center"/>
              <w:rPr>
                <w:rFonts w:ascii="Arial" w:hAnsi="Arial" w:cs="Arial"/>
                <w:b/>
                <w:sz w:val="20"/>
                <w:szCs w:val="20"/>
              </w:rPr>
            </w:pPr>
            <w:r w:rsidRPr="00477B57">
              <w:rPr>
                <w:rFonts w:ascii="Arial" w:hAnsi="Arial" w:cs="Arial"/>
                <w:b/>
                <w:sz w:val="20"/>
                <w:szCs w:val="20"/>
              </w:rPr>
              <w:t>Temperature (°)</w:t>
            </w:r>
          </w:p>
        </w:tc>
        <w:tc>
          <w:tcPr>
            <w:tcW w:w="2050" w:type="dxa"/>
            <w:tcBorders>
              <w:left w:val="nil"/>
              <w:bottom w:val="single" w:sz="4" w:space="0" w:color="auto"/>
              <w:right w:val="nil"/>
            </w:tcBorders>
          </w:tcPr>
          <w:p w:rsidR="00477B57" w:rsidRPr="00477B57" w:rsidRDefault="00477B57" w:rsidP="00477B57">
            <w:pPr>
              <w:jc w:val="center"/>
              <w:rPr>
                <w:rFonts w:ascii="Arial" w:hAnsi="Arial" w:cs="Arial"/>
                <w:b/>
                <w:sz w:val="20"/>
                <w:szCs w:val="20"/>
              </w:rPr>
            </w:pPr>
            <w:r w:rsidRPr="00477B57">
              <w:rPr>
                <w:rFonts w:ascii="Arial" w:hAnsi="Arial" w:cs="Arial"/>
                <w:b/>
                <w:sz w:val="20"/>
                <w:szCs w:val="20"/>
              </w:rPr>
              <w:t>pH</w:t>
            </w:r>
          </w:p>
        </w:tc>
        <w:tc>
          <w:tcPr>
            <w:tcW w:w="2050" w:type="dxa"/>
            <w:tcBorders>
              <w:left w:val="nil"/>
              <w:bottom w:val="single" w:sz="4" w:space="0" w:color="auto"/>
              <w:right w:val="nil"/>
            </w:tcBorders>
          </w:tcPr>
          <w:p w:rsidR="00477B57" w:rsidRPr="00477B57" w:rsidRDefault="00477B57" w:rsidP="00477B57">
            <w:pPr>
              <w:jc w:val="center"/>
              <w:rPr>
                <w:rFonts w:ascii="Arial" w:hAnsi="Arial" w:cs="Arial"/>
                <w:b/>
                <w:sz w:val="20"/>
                <w:szCs w:val="20"/>
              </w:rPr>
            </w:pPr>
            <w:r w:rsidRPr="00477B57">
              <w:rPr>
                <w:rFonts w:ascii="Arial" w:hAnsi="Arial" w:cs="Arial"/>
                <w:b/>
                <w:sz w:val="20"/>
                <w:szCs w:val="20"/>
              </w:rPr>
              <w:t>DO (mg/l)</w:t>
            </w:r>
          </w:p>
        </w:tc>
      </w:tr>
      <w:tr w:rsidR="00477B57" w:rsidRPr="00477B57" w:rsidTr="00477B57">
        <w:tc>
          <w:tcPr>
            <w:tcW w:w="2049" w:type="dxa"/>
            <w:tcBorders>
              <w:top w:val="single" w:sz="4" w:space="0" w:color="auto"/>
              <w:left w:val="nil"/>
              <w:bottom w:val="nil"/>
              <w:right w:val="nil"/>
            </w:tcBorders>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A (0%/kg)</w:t>
            </w:r>
          </w:p>
        </w:tc>
        <w:tc>
          <w:tcPr>
            <w:tcW w:w="2049" w:type="dxa"/>
            <w:tcBorders>
              <w:top w:val="single" w:sz="4" w:space="0" w:color="auto"/>
              <w:left w:val="nil"/>
              <w:bottom w:val="nil"/>
              <w:right w:val="nil"/>
            </w:tcBorders>
            <w:vAlign w:val="center"/>
          </w:tcPr>
          <w:p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30,8</w:t>
            </w:r>
          </w:p>
        </w:tc>
        <w:tc>
          <w:tcPr>
            <w:tcW w:w="2050" w:type="dxa"/>
            <w:tcBorders>
              <w:top w:val="single" w:sz="4" w:space="0" w:color="auto"/>
              <w:left w:val="nil"/>
              <w:bottom w:val="nil"/>
              <w:right w:val="nil"/>
            </w:tcBorders>
            <w:vAlign w:val="center"/>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7,0</w:t>
            </w:r>
          </w:p>
        </w:tc>
        <w:tc>
          <w:tcPr>
            <w:tcW w:w="2050" w:type="dxa"/>
            <w:tcBorders>
              <w:top w:val="single" w:sz="4" w:space="0" w:color="auto"/>
              <w:left w:val="nil"/>
              <w:bottom w:val="nil"/>
              <w:right w:val="nil"/>
            </w:tcBorders>
            <w:vAlign w:val="center"/>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5,8</w:t>
            </w:r>
          </w:p>
        </w:tc>
      </w:tr>
      <w:tr w:rsidR="00477B57" w:rsidRPr="00477B57" w:rsidTr="00477B57">
        <w:tc>
          <w:tcPr>
            <w:tcW w:w="2049" w:type="dxa"/>
            <w:tcBorders>
              <w:top w:val="nil"/>
              <w:left w:val="nil"/>
              <w:bottom w:val="nil"/>
              <w:right w:val="nil"/>
            </w:tcBorders>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B (0,15%/kg)</w:t>
            </w:r>
          </w:p>
        </w:tc>
        <w:tc>
          <w:tcPr>
            <w:tcW w:w="2049" w:type="dxa"/>
            <w:tcBorders>
              <w:top w:val="nil"/>
              <w:left w:val="nil"/>
              <w:bottom w:val="nil"/>
              <w:right w:val="nil"/>
            </w:tcBorders>
            <w:vAlign w:val="center"/>
          </w:tcPr>
          <w:p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31,1</w:t>
            </w:r>
          </w:p>
        </w:tc>
        <w:tc>
          <w:tcPr>
            <w:tcW w:w="2050" w:type="dxa"/>
            <w:tcBorders>
              <w:top w:val="nil"/>
              <w:left w:val="nil"/>
              <w:bottom w:val="nil"/>
              <w:right w:val="nil"/>
            </w:tcBorders>
            <w:vAlign w:val="center"/>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7,1</w:t>
            </w:r>
          </w:p>
        </w:tc>
        <w:tc>
          <w:tcPr>
            <w:tcW w:w="2050" w:type="dxa"/>
            <w:tcBorders>
              <w:top w:val="nil"/>
              <w:left w:val="nil"/>
              <w:bottom w:val="nil"/>
              <w:right w:val="nil"/>
            </w:tcBorders>
            <w:vAlign w:val="center"/>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5,7</w:t>
            </w:r>
          </w:p>
        </w:tc>
      </w:tr>
      <w:tr w:rsidR="00477B57" w:rsidRPr="00477B57" w:rsidTr="00477B57">
        <w:tc>
          <w:tcPr>
            <w:tcW w:w="2049" w:type="dxa"/>
            <w:tcBorders>
              <w:top w:val="nil"/>
              <w:left w:val="nil"/>
              <w:bottom w:val="nil"/>
              <w:right w:val="nil"/>
            </w:tcBorders>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C (0.30%/kg)</w:t>
            </w:r>
          </w:p>
        </w:tc>
        <w:tc>
          <w:tcPr>
            <w:tcW w:w="2049" w:type="dxa"/>
            <w:tcBorders>
              <w:top w:val="nil"/>
              <w:left w:val="nil"/>
              <w:bottom w:val="nil"/>
              <w:right w:val="nil"/>
            </w:tcBorders>
            <w:vAlign w:val="center"/>
          </w:tcPr>
          <w:p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30,9</w:t>
            </w:r>
          </w:p>
        </w:tc>
        <w:tc>
          <w:tcPr>
            <w:tcW w:w="2050" w:type="dxa"/>
            <w:tcBorders>
              <w:top w:val="nil"/>
              <w:left w:val="nil"/>
              <w:bottom w:val="nil"/>
              <w:right w:val="nil"/>
            </w:tcBorders>
            <w:vAlign w:val="center"/>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7,1</w:t>
            </w:r>
          </w:p>
        </w:tc>
        <w:tc>
          <w:tcPr>
            <w:tcW w:w="2050" w:type="dxa"/>
            <w:tcBorders>
              <w:top w:val="nil"/>
              <w:left w:val="nil"/>
              <w:bottom w:val="nil"/>
              <w:right w:val="nil"/>
            </w:tcBorders>
            <w:vAlign w:val="center"/>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6,1</w:t>
            </w:r>
          </w:p>
        </w:tc>
      </w:tr>
      <w:tr w:rsidR="00477B57" w:rsidRPr="00477B57" w:rsidTr="00477B57">
        <w:tc>
          <w:tcPr>
            <w:tcW w:w="2049" w:type="dxa"/>
            <w:tcBorders>
              <w:top w:val="nil"/>
              <w:left w:val="nil"/>
              <w:bottom w:val="single" w:sz="4" w:space="0" w:color="auto"/>
              <w:right w:val="nil"/>
            </w:tcBorders>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D (0,45%/kg)</w:t>
            </w:r>
          </w:p>
        </w:tc>
        <w:tc>
          <w:tcPr>
            <w:tcW w:w="2049" w:type="dxa"/>
            <w:tcBorders>
              <w:top w:val="nil"/>
              <w:left w:val="nil"/>
              <w:bottom w:val="single" w:sz="4" w:space="0" w:color="auto"/>
              <w:right w:val="nil"/>
            </w:tcBorders>
            <w:vAlign w:val="center"/>
          </w:tcPr>
          <w:p w:rsidR="00477B57" w:rsidRPr="00321CCF" w:rsidRDefault="00477B57" w:rsidP="00477B57">
            <w:pPr>
              <w:jc w:val="center"/>
              <w:rPr>
                <w:rFonts w:ascii="Arial" w:hAnsi="Arial" w:cs="Arial"/>
                <w:color w:val="000000"/>
                <w:sz w:val="20"/>
                <w:szCs w:val="20"/>
              </w:rPr>
            </w:pPr>
            <w:r w:rsidRPr="00321CCF">
              <w:rPr>
                <w:rFonts w:ascii="Arial" w:hAnsi="Arial" w:cs="Arial"/>
                <w:color w:val="000000"/>
                <w:sz w:val="20"/>
                <w:szCs w:val="20"/>
              </w:rPr>
              <w:t>31,1</w:t>
            </w:r>
          </w:p>
        </w:tc>
        <w:tc>
          <w:tcPr>
            <w:tcW w:w="2050" w:type="dxa"/>
            <w:tcBorders>
              <w:top w:val="nil"/>
              <w:left w:val="nil"/>
              <w:bottom w:val="single" w:sz="4" w:space="0" w:color="auto"/>
              <w:right w:val="nil"/>
            </w:tcBorders>
            <w:vAlign w:val="center"/>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7,1</w:t>
            </w:r>
          </w:p>
        </w:tc>
        <w:tc>
          <w:tcPr>
            <w:tcW w:w="2050" w:type="dxa"/>
            <w:tcBorders>
              <w:top w:val="nil"/>
              <w:left w:val="nil"/>
              <w:bottom w:val="single" w:sz="4" w:space="0" w:color="auto"/>
              <w:right w:val="nil"/>
            </w:tcBorders>
            <w:vAlign w:val="center"/>
          </w:tcPr>
          <w:p w:rsidR="00477B57" w:rsidRPr="00321CCF" w:rsidRDefault="00477B57" w:rsidP="00477B57">
            <w:pPr>
              <w:spacing w:line="360" w:lineRule="auto"/>
              <w:jc w:val="center"/>
              <w:rPr>
                <w:rFonts w:ascii="Arial" w:hAnsi="Arial" w:cs="Arial"/>
                <w:sz w:val="20"/>
                <w:szCs w:val="20"/>
              </w:rPr>
            </w:pPr>
            <w:r w:rsidRPr="00321CCF">
              <w:rPr>
                <w:rFonts w:ascii="Arial" w:hAnsi="Arial" w:cs="Arial"/>
                <w:sz w:val="20"/>
                <w:szCs w:val="20"/>
              </w:rPr>
              <w:t>5,7</w:t>
            </w:r>
          </w:p>
        </w:tc>
      </w:tr>
    </w:tbl>
    <w:p w:rsidR="003D3106" w:rsidRDefault="003D3106" w:rsidP="00321CCF">
      <w:pPr>
        <w:pStyle w:val="Body"/>
        <w:tabs>
          <w:tab w:val="left" w:pos="6467"/>
        </w:tabs>
        <w:spacing w:after="0"/>
        <w:rPr>
          <w:rFonts w:ascii="Arial" w:hAnsi="Arial" w:cs="Arial"/>
        </w:rPr>
      </w:pPr>
    </w:p>
    <w:p w:rsidR="0057404D" w:rsidRPr="00FB3A86" w:rsidRDefault="0057404D" w:rsidP="0057404D">
      <w:pPr>
        <w:pStyle w:val="Body"/>
        <w:spacing w:after="0"/>
        <w:rPr>
          <w:rFonts w:ascii="Arial" w:hAnsi="Arial" w:cs="Arial"/>
        </w:rPr>
      </w:pPr>
      <w:r w:rsidRPr="0057404D">
        <w:rPr>
          <w:rFonts w:ascii="Arial" w:hAnsi="Arial" w:cs="Arial"/>
        </w:rPr>
        <w:t>Water temperature can affect fish growth and development. An appropriate water temperature can increase appetite, resulting in faster growth. According to SNI No. 3 of 2014 concerning catfish production, the optimum temperature range is 25-30°C. This indicates that the temperature conditions during the study for each treatment were appropriate.</w:t>
      </w:r>
      <w:r>
        <w:rPr>
          <w:rFonts w:ascii="Arial" w:hAnsi="Arial" w:cs="Arial"/>
        </w:rPr>
        <w:t xml:space="preserve"> </w:t>
      </w:r>
      <w:r w:rsidRPr="0057404D">
        <w:rPr>
          <w:rFonts w:ascii="Arial" w:hAnsi="Arial" w:cs="Arial"/>
        </w:rPr>
        <w:t>The degree of acidity, or pH, is the ability of water to bind or release hydrogen ions, indicating whether the water is acidic or basic. A pH value &lt;5 will cause mucus to clump on the gills, leading to death, while a pH value &gt;9 will reduce appetite. It can be seen that the pH values ​​during the study for all treatments were still considered safe based on the Indonesian National Standard No. 3 for catfish production, which is 6.5-8.5.</w:t>
      </w:r>
      <w:r w:rsidR="002208E1" w:rsidRPr="002208E1">
        <w:rPr>
          <w:rFonts w:ascii="Arial" w:hAnsi="Arial" w:cs="Arial"/>
        </w:rPr>
        <w:t xml:space="preserve"> </w:t>
      </w:r>
      <w:r w:rsidRPr="0057404D">
        <w:rPr>
          <w:rFonts w:ascii="Arial" w:hAnsi="Arial" w:cs="Arial"/>
        </w:rPr>
        <w:t>The DO values ​​in the study showed results that were considered safe, ranging from 5.8 to 6.1. This is in accordance with</w:t>
      </w:r>
      <w:r w:rsidR="002208E1">
        <w:rPr>
          <w:rFonts w:ascii="Arial" w:hAnsi="Arial" w:cs="Arial"/>
        </w:rPr>
        <w:t xml:space="preserve"> </w:t>
      </w:r>
      <w:r w:rsidRPr="0057404D">
        <w:rPr>
          <w:rFonts w:ascii="Arial" w:hAnsi="Arial" w:cs="Arial"/>
        </w:rPr>
        <w:t xml:space="preserve">concerning catfish production, which states </w:t>
      </w:r>
      <w:r>
        <w:rPr>
          <w:rFonts w:ascii="Arial" w:hAnsi="Arial" w:cs="Arial"/>
        </w:rPr>
        <w:t>that a safe DO value is &gt;3 mg/</w:t>
      </w:r>
      <w:r w:rsidR="002208E1">
        <w:rPr>
          <w:rFonts w:ascii="Arial" w:hAnsi="Arial" w:cs="Arial"/>
        </w:rPr>
        <w:t xml:space="preserve">l. </w:t>
      </w:r>
      <w:r w:rsidR="002208E1">
        <w:rPr>
          <w:rFonts w:ascii="Arial" w:hAnsi="Arial" w:cs="Arial"/>
        </w:rPr>
        <w:fldChar w:fldCharType="begin" w:fldLock="1"/>
      </w:r>
      <w:r w:rsidR="00BA0FB2">
        <w:rPr>
          <w:rFonts w:ascii="Arial" w:hAnsi="Arial" w:cs="Arial"/>
        </w:rPr>
        <w:instrText>ADDIN CSL_CITATION {"citationItems":[{"id":"ITEM-1","itemData":{"author":[{"dropping-particle":"","family":"Cahyo","given":"B","non-dropping-particle":"","parse-names":false,"suffix":""}],"container-title":"Pustaka Mina. Jakarta","id":"ITEM-1","issued":{"date-parts":[["2009"]]},"title":"Budidaya lele dan Betutu (ikan langka bernilai tinggi)","type":"article-journal","volume":"131"},"uris":["http://www.mendeley.com/documents/?uuid=c9660968-2d0f-4936-bd5f-f2dfd49f26b2"]}],"mendeley":{"formattedCitation":"(Cahyo, 2009)","manualFormatting":"(Cahyo 2009)","plainTextFormattedCitation":"(Cahyo, 2009)","previouslyFormattedCitation":"(Cahyo, 2009)"},"properties":{"noteIndex":0},"schema":"https://github.com/citation-style-language/schema/raw/master/csl-citation.json"}</w:instrText>
      </w:r>
      <w:r w:rsidR="002208E1">
        <w:rPr>
          <w:rFonts w:ascii="Arial" w:hAnsi="Arial" w:cs="Arial"/>
        </w:rPr>
        <w:fldChar w:fldCharType="separate"/>
      </w:r>
      <w:r w:rsidR="00BA0FB2">
        <w:rPr>
          <w:rFonts w:ascii="Arial" w:hAnsi="Arial" w:cs="Arial"/>
          <w:noProof/>
        </w:rPr>
        <w:t>(Cahyo</w:t>
      </w:r>
      <w:r w:rsidR="002208E1" w:rsidRPr="00431A2F">
        <w:rPr>
          <w:rFonts w:ascii="Arial" w:hAnsi="Arial" w:cs="Arial"/>
          <w:noProof/>
        </w:rPr>
        <w:t xml:space="preserve"> 2009)</w:t>
      </w:r>
      <w:r w:rsidR="002208E1">
        <w:rPr>
          <w:rFonts w:ascii="Arial" w:hAnsi="Arial" w:cs="Arial"/>
        </w:rPr>
        <w:fldChar w:fldCharType="end"/>
      </w:r>
      <w:r w:rsidR="002208E1">
        <w:rPr>
          <w:rFonts w:ascii="Arial" w:hAnsi="Arial" w:cs="Arial"/>
        </w:rPr>
        <w:t xml:space="preserve"> </w:t>
      </w:r>
      <w:r w:rsidRPr="0057404D">
        <w:rPr>
          <w:rFonts w:ascii="Arial" w:hAnsi="Arial" w:cs="Arial"/>
        </w:rPr>
        <w:t>also explained that the ideal dissolved oxygen content in water for the life and growth of catfish is above 4 mg/l.</w:t>
      </w:r>
      <w:r>
        <w:rPr>
          <w:rFonts w:ascii="Arial" w:hAnsi="Arial" w:cs="Arial"/>
        </w:rPr>
        <w:t xml:space="preserve"> </w:t>
      </w:r>
    </w:p>
    <w:p w:rsidR="00790ADA" w:rsidRPr="003B5B12" w:rsidRDefault="003B5B12" w:rsidP="003B5B12">
      <w:pPr>
        <w:pStyle w:val="Heading1"/>
        <w:rPr>
          <w:sz w:val="22"/>
          <w:szCs w:val="22"/>
        </w:rPr>
      </w:pPr>
      <w:r w:rsidRPr="003B5B12">
        <w:rPr>
          <w:sz w:val="22"/>
          <w:szCs w:val="22"/>
        </w:rPr>
        <w:t>4. CONCLUSION</w:t>
      </w:r>
    </w:p>
    <w:p w:rsidR="00790ADA" w:rsidRDefault="0057404D" w:rsidP="00441B6F">
      <w:pPr>
        <w:pStyle w:val="Body"/>
        <w:spacing w:after="0"/>
        <w:rPr>
          <w:rFonts w:ascii="Arial" w:hAnsi="Arial" w:cs="Arial"/>
        </w:rPr>
      </w:pPr>
      <w:r w:rsidRPr="0057404D">
        <w:rPr>
          <w:rFonts w:ascii="Arial" w:hAnsi="Arial" w:cs="Arial"/>
        </w:rPr>
        <w:t>Tryptophan supplementation significantly improved growth performance and other parameters. Treatment C (0.3%) demonstrated the best results, producing absolute weight gain (222.70 g), the best feed efficiency or feed conversion ratio (1.46), protein efficiency ratio (11.74%), and protein retention (51.25%).</w:t>
      </w:r>
    </w:p>
    <w:p w:rsidR="0057404D" w:rsidRDefault="0057404D" w:rsidP="00441B6F">
      <w:pPr>
        <w:pStyle w:val="Body"/>
        <w:spacing w:after="0"/>
        <w:rPr>
          <w:rFonts w:ascii="Arial" w:hAnsi="Arial" w:cs="Arial"/>
        </w:rPr>
      </w:pPr>
    </w:p>
    <w:p w:rsidR="00A01EB7" w:rsidRPr="00A01EB7" w:rsidRDefault="00A01EB7" w:rsidP="00441B6F">
      <w:pPr>
        <w:pStyle w:val="Body"/>
        <w:spacing w:after="0"/>
        <w:rPr>
          <w:rFonts w:ascii="Arial" w:hAnsi="Arial" w:cs="Arial"/>
          <w:b/>
          <w:sz w:val="22"/>
          <w:szCs w:val="22"/>
        </w:rPr>
      </w:pPr>
      <w:r w:rsidRPr="00A01EB7">
        <w:rPr>
          <w:rFonts w:ascii="Arial" w:hAnsi="Arial" w:cs="Arial"/>
          <w:b/>
          <w:sz w:val="22"/>
          <w:szCs w:val="22"/>
        </w:rPr>
        <w:t>DISCLAIMER (ARTIFICIAL INTELLIGENCE)</w:t>
      </w:r>
    </w:p>
    <w:p w:rsidR="00A01EB7" w:rsidRDefault="00A01EB7" w:rsidP="00441B6F">
      <w:pPr>
        <w:pStyle w:val="Body"/>
        <w:spacing w:after="0"/>
        <w:rPr>
          <w:rFonts w:ascii="Arial" w:hAnsi="Arial" w:cs="Arial"/>
        </w:rPr>
      </w:pPr>
      <w:r w:rsidRPr="00A01EB7">
        <w:rPr>
          <w:rFonts w:ascii="Arial" w:hAnsi="Arial" w:cs="Arial"/>
        </w:rPr>
        <w:t>Author(s)  hereby  declare  that  NO  generative  AI technologies  such  as  Large  Language  Models (</w:t>
      </w:r>
      <w:proofErr w:type="spellStart"/>
      <w:r w:rsidRPr="00A01EB7">
        <w:rPr>
          <w:rFonts w:ascii="Arial" w:hAnsi="Arial" w:cs="Arial"/>
        </w:rPr>
        <w:t>ChatGPT</w:t>
      </w:r>
      <w:proofErr w:type="spellEnd"/>
      <w:r w:rsidRPr="00A01EB7">
        <w:rPr>
          <w:rFonts w:ascii="Arial" w:hAnsi="Arial" w:cs="Arial"/>
        </w:rPr>
        <w:t xml:space="preserve">,   COPILOT,   </w:t>
      </w:r>
      <w:proofErr w:type="spellStart"/>
      <w:r w:rsidRPr="00A01EB7">
        <w:rPr>
          <w:rFonts w:ascii="Arial" w:hAnsi="Arial" w:cs="Arial"/>
        </w:rPr>
        <w:t>etc</w:t>
      </w:r>
      <w:proofErr w:type="spellEnd"/>
      <w:r w:rsidRPr="00A01EB7">
        <w:rPr>
          <w:rFonts w:ascii="Arial" w:hAnsi="Arial" w:cs="Arial"/>
        </w:rPr>
        <w:t>)   and   text-to-image generators  have  been  used  during  writing  or editing of this manuscript.</w:t>
      </w:r>
    </w:p>
    <w:p w:rsidR="00A01EB7" w:rsidRPr="00FB3A86" w:rsidRDefault="00A01EB7" w:rsidP="00441B6F">
      <w:pPr>
        <w:pStyle w:val="Body"/>
        <w:spacing w:after="0"/>
        <w:rPr>
          <w:rFonts w:ascii="Arial" w:hAnsi="Arial" w:cs="Arial"/>
        </w:rPr>
      </w:pPr>
    </w:p>
    <w:p w:rsidR="00790ADA" w:rsidRPr="00FB3A86"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D7A73" w:rsidRDefault="00A01EB7" w:rsidP="007D7A73">
      <w:pPr>
        <w:pStyle w:val="Body"/>
        <w:spacing w:after="0"/>
        <w:rPr>
          <w:rFonts w:ascii="Arial" w:hAnsi="Arial" w:cs="Arial"/>
        </w:rPr>
      </w:pPr>
      <w:r w:rsidRPr="00A01EB7">
        <w:rPr>
          <w:rFonts w:ascii="Arial" w:hAnsi="Arial" w:cs="Arial"/>
        </w:rPr>
        <w:t>The author would like to thank all parties involved in the implementation of this research.</w:t>
      </w:r>
    </w:p>
    <w:p w:rsidR="00BA0FB2" w:rsidRPr="007D7A73" w:rsidRDefault="00BA0FB2" w:rsidP="007D7A73">
      <w:pPr>
        <w:pStyle w:val="Body"/>
        <w:spacing w:after="0"/>
        <w:rPr>
          <w:rFonts w:ascii="Arial" w:hAnsi="Arial" w:cs="Arial"/>
        </w:rPr>
      </w:pPr>
    </w:p>
    <w:p w:rsidR="00860000" w:rsidRPr="00A01EB7"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625209" w:rsidRDefault="00E66E10" w:rsidP="00441B6F">
      <w:pPr>
        <w:pStyle w:val="ReferHead"/>
        <w:spacing w:after="0"/>
        <w:jc w:val="both"/>
        <w:rPr>
          <w:rFonts w:ascii="Arial" w:hAnsi="Arial" w:cs="Arial"/>
          <w:b w:val="0"/>
          <w:caps w:val="0"/>
          <w:sz w:val="20"/>
        </w:rPr>
      </w:pPr>
      <w:r w:rsidRPr="00625209">
        <w:rPr>
          <w:rFonts w:ascii="Arial" w:hAnsi="Arial" w:cs="Arial"/>
          <w:b w:val="0"/>
          <w:caps w:val="0"/>
          <w:sz w:val="20"/>
        </w:rPr>
        <w:t>Authors have declared that</w:t>
      </w:r>
      <w:r w:rsidR="00A01EB7" w:rsidRPr="00625209">
        <w:rPr>
          <w:rFonts w:ascii="Arial" w:hAnsi="Arial" w:cs="Arial"/>
          <w:b w:val="0"/>
          <w:caps w:val="0"/>
          <w:sz w:val="20"/>
        </w:rPr>
        <w:t xml:space="preserve"> no competing interests exist.</w:t>
      </w:r>
    </w:p>
    <w:p w:rsidR="00371FB6" w:rsidRDefault="00371FB6" w:rsidP="00441B6F">
      <w:pPr>
        <w:pStyle w:val="ReferHead"/>
        <w:spacing w:after="0"/>
        <w:jc w:val="both"/>
        <w:rPr>
          <w:rFonts w:ascii="Arial" w:hAnsi="Arial" w:cs="Arial"/>
          <w:b w:val="0"/>
          <w:caps w:val="0"/>
          <w:sz w:val="20"/>
        </w:rPr>
      </w:pPr>
    </w:p>
    <w:p w:rsidR="00371FB6" w:rsidRP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Authors may use the follow</w:t>
      </w:r>
      <w:r w:rsidR="00A01EB7">
        <w:rPr>
          <w:rFonts w:ascii="Arial" w:hAnsi="Arial" w:cs="Arial"/>
          <w:b w:val="0"/>
          <w:caps w:val="0"/>
          <w:sz w:val="20"/>
          <w:u w:val="single"/>
        </w:rPr>
        <w:t>ing wordings for this section: IDB</w:t>
      </w:r>
      <w:r w:rsidR="00371FB6" w:rsidRPr="00F469F0">
        <w:rPr>
          <w:rFonts w:ascii="Arial" w:hAnsi="Arial" w:cs="Arial"/>
          <w:b w:val="0"/>
          <w:caps w:val="0"/>
          <w:sz w:val="20"/>
          <w:u w:val="single"/>
        </w:rPr>
        <w:t xml:space="preserve"> designed the study, performed the statistical analysis, wrote the protocol, and</w:t>
      </w:r>
      <w:r w:rsidRPr="00F469F0">
        <w:rPr>
          <w:rFonts w:ascii="Arial" w:hAnsi="Arial" w:cs="Arial"/>
          <w:b w:val="0"/>
          <w:caps w:val="0"/>
          <w:sz w:val="20"/>
          <w:u w:val="single"/>
        </w:rPr>
        <w:t xml:space="preserve"> </w:t>
      </w:r>
      <w:r w:rsidR="00371FB6" w:rsidRPr="00F469F0">
        <w:rPr>
          <w:rFonts w:ascii="Arial" w:hAnsi="Arial" w:cs="Arial"/>
          <w:b w:val="0"/>
          <w:caps w:val="0"/>
          <w:sz w:val="20"/>
          <w:u w:val="single"/>
        </w:rPr>
        <w:t>wrote the first draft of the manuscript.</w:t>
      </w:r>
      <w:r w:rsidR="00A01EB7">
        <w:rPr>
          <w:rFonts w:ascii="Arial" w:hAnsi="Arial" w:cs="Arial"/>
          <w:b w:val="0"/>
          <w:caps w:val="0"/>
          <w:sz w:val="20"/>
          <w:u w:val="single"/>
        </w:rPr>
        <w:t xml:space="preserve"> INP and I</w:t>
      </w:r>
      <w:r w:rsidR="00371FB6" w:rsidRPr="00F469F0">
        <w:rPr>
          <w:rFonts w:ascii="Arial" w:hAnsi="Arial" w:cs="Arial"/>
          <w:b w:val="0"/>
          <w:caps w:val="0"/>
          <w:sz w:val="20"/>
          <w:u w:val="single"/>
        </w:rPr>
        <w:t xml:space="preserve"> managed the analyses of</w:t>
      </w:r>
      <w:r w:rsidRPr="00F469F0">
        <w:rPr>
          <w:rFonts w:ascii="Arial" w:hAnsi="Arial" w:cs="Arial"/>
          <w:b w:val="0"/>
          <w:caps w:val="0"/>
          <w:sz w:val="20"/>
          <w:u w:val="single"/>
        </w:rPr>
        <w:t xml:space="preserve"> </w:t>
      </w:r>
      <w:r w:rsidR="00371FB6" w:rsidRPr="00F469F0">
        <w:rPr>
          <w:rFonts w:ascii="Arial" w:hAnsi="Arial" w:cs="Arial"/>
          <w:b w:val="0"/>
          <w:caps w:val="0"/>
          <w:sz w:val="20"/>
          <w:u w:val="single"/>
        </w:rPr>
        <w:t>the study. All authors read and approved the final manuscript.</w:t>
      </w:r>
      <w:r w:rsidR="00A01EB7">
        <w:rPr>
          <w:rFonts w:ascii="Arial" w:hAnsi="Arial" w:cs="Arial"/>
          <w:b w:val="0"/>
          <w:caps w:val="0"/>
          <w:sz w:val="20"/>
          <w:u w:val="single"/>
        </w:rPr>
        <w:t xml:space="preserve"> </w:t>
      </w:r>
      <w:r w:rsidR="00A01EB7" w:rsidRPr="00A01EB7">
        <w:rPr>
          <w:rFonts w:ascii="Arial" w:hAnsi="Arial" w:cs="Arial"/>
          <w:b w:val="0"/>
          <w:caps w:val="0"/>
          <w:sz w:val="20"/>
          <w:u w:val="single"/>
        </w:rPr>
        <w:t>This work was carried out in collaboration among all authors. All authors read and approved the final manuscript</w:t>
      </w:r>
    </w:p>
    <w:p w:rsidR="00790ADA" w:rsidRDefault="00790ADA" w:rsidP="00441B6F">
      <w:pPr>
        <w:pStyle w:val="ReferHead"/>
        <w:spacing w:after="0"/>
        <w:jc w:val="both"/>
        <w:rPr>
          <w:rFonts w:ascii="Arial" w:hAnsi="Arial" w:cs="Arial"/>
        </w:rPr>
      </w:pPr>
    </w:p>
    <w:p w:rsidR="00FB1D5C" w:rsidRPr="00FB3A86" w:rsidRDefault="00FB1D5C" w:rsidP="00441B6F">
      <w:pPr>
        <w:pStyle w:val="ReferHead"/>
        <w:spacing w:after="0"/>
        <w:jc w:val="both"/>
        <w:rPr>
          <w:rFonts w:ascii="Arial" w:hAnsi="Arial" w:cs="Arial"/>
        </w:rPr>
      </w:pPr>
      <w:r>
        <w:rPr>
          <w:rFonts w:ascii="Arial" w:hAnsi="Arial" w:cs="Arial"/>
        </w:rPr>
        <w:t>REFERENCES</w:t>
      </w:r>
    </w:p>
    <w:p w:rsidR="009945F1" w:rsidRDefault="009945F1" w:rsidP="009945F1">
      <w:pPr>
        <w:widowControl w:val="0"/>
        <w:autoSpaceDE w:val="0"/>
        <w:autoSpaceDN w:val="0"/>
        <w:adjustRightInd w:val="0"/>
        <w:ind w:left="480" w:hanging="480"/>
        <w:jc w:val="both"/>
      </w:pPr>
      <w:proofErr w:type="spellStart"/>
      <w:r>
        <w:t>Agustiana</w:t>
      </w:r>
      <w:proofErr w:type="spellEnd"/>
      <w:r>
        <w:t xml:space="preserve">, A. B., </w:t>
      </w:r>
      <w:proofErr w:type="spellStart"/>
      <w:r>
        <w:t>Rachmawati</w:t>
      </w:r>
      <w:proofErr w:type="spellEnd"/>
      <w:r>
        <w:t xml:space="preserve">, D., &amp; </w:t>
      </w:r>
      <w:proofErr w:type="spellStart"/>
      <w:r>
        <w:t>Herawati</w:t>
      </w:r>
      <w:proofErr w:type="spellEnd"/>
      <w:r>
        <w:t xml:space="preserve">, V. E. (2022). The Effect of Tryptophan in </w:t>
      </w:r>
      <w:r>
        <w:lastRenderedPageBreak/>
        <w:t xml:space="preserve">Artificial Feed on Feed Utilization Efficiency and Growth Performance of </w:t>
      </w:r>
      <w:proofErr w:type="spellStart"/>
      <w:r>
        <w:t>Sangkuriang</w:t>
      </w:r>
      <w:proofErr w:type="spellEnd"/>
      <w:r>
        <w:t xml:space="preserve"> Catfish (</w:t>
      </w:r>
      <w:proofErr w:type="spellStart"/>
      <w:r>
        <w:t>Clarias</w:t>
      </w:r>
      <w:proofErr w:type="spellEnd"/>
      <w:r>
        <w:t xml:space="preserve"> </w:t>
      </w:r>
      <w:proofErr w:type="spellStart"/>
      <w:r>
        <w:t>gariepinus</w:t>
      </w:r>
      <w:proofErr w:type="spellEnd"/>
      <w:r>
        <w:t xml:space="preserve">) Fingerlings. </w:t>
      </w:r>
      <w:proofErr w:type="spellStart"/>
      <w:r>
        <w:t>Sains</w:t>
      </w:r>
      <w:proofErr w:type="spellEnd"/>
      <w:r>
        <w:t xml:space="preserve"> </w:t>
      </w:r>
      <w:proofErr w:type="spellStart"/>
      <w:r>
        <w:t>Akuakultur</w:t>
      </w:r>
      <w:proofErr w:type="spellEnd"/>
      <w:r>
        <w:t xml:space="preserve"> </w:t>
      </w:r>
      <w:proofErr w:type="spellStart"/>
      <w:r>
        <w:t>Tropis</w:t>
      </w:r>
      <w:proofErr w:type="spellEnd"/>
      <w:r>
        <w:t>: Indonesian Journal of Tropical Aquaculture; Vol 6, No 2 (2022): SAT September Issue – DOI: 10.14710/Sat.V6i2.13903, 6(2), 202–215. https://doi.org/https://doi.org/10.14710/sat.v6i2.13903</w:t>
      </w:r>
    </w:p>
    <w:p w:rsidR="009945F1" w:rsidRDefault="009945F1" w:rsidP="009945F1">
      <w:pPr>
        <w:widowControl w:val="0"/>
        <w:autoSpaceDE w:val="0"/>
        <w:autoSpaceDN w:val="0"/>
        <w:adjustRightInd w:val="0"/>
        <w:ind w:left="480" w:hanging="480"/>
        <w:jc w:val="both"/>
      </w:pPr>
      <w:r>
        <w:t xml:space="preserve">Ahmed, I. (2012). Dietary amino acid l-tryptophan requirement of fingerling Indian catfish, </w:t>
      </w:r>
      <w:proofErr w:type="spellStart"/>
      <w:r>
        <w:t>Heteropneustes</w:t>
      </w:r>
      <w:proofErr w:type="spellEnd"/>
      <w:r>
        <w:t xml:space="preserve"> </w:t>
      </w:r>
      <w:proofErr w:type="spellStart"/>
      <w:r>
        <w:t>fossilis</w:t>
      </w:r>
      <w:proofErr w:type="spellEnd"/>
      <w:r>
        <w:t xml:space="preserve"> (Bloch), estimated by growth and haemato-biochemical parameters. Fish Physiology and Biochemistry, 38(4), 1195–1209. https://doi.org/10.1007/s10695-012-9609-1</w:t>
      </w:r>
    </w:p>
    <w:p w:rsidR="009945F1" w:rsidRDefault="009945F1" w:rsidP="009945F1">
      <w:pPr>
        <w:widowControl w:val="0"/>
        <w:autoSpaceDE w:val="0"/>
        <w:autoSpaceDN w:val="0"/>
        <w:adjustRightInd w:val="0"/>
        <w:ind w:left="480" w:hanging="480"/>
        <w:jc w:val="both"/>
      </w:pPr>
      <w:r>
        <w:t xml:space="preserve">Ahmed, I., Ahmad, I., &amp; </w:t>
      </w:r>
      <w:proofErr w:type="spellStart"/>
      <w:r>
        <w:t>Malla</w:t>
      </w:r>
      <w:proofErr w:type="spellEnd"/>
      <w:r>
        <w:t xml:space="preserve">, B. A. (2024). Effects of dietary tryptophan levels on growth performance, plasma profile, intestinal antioxidant capacity and </w:t>
      </w:r>
      <w:proofErr w:type="gramStart"/>
      <w:r>
        <w:t>growth related</w:t>
      </w:r>
      <w:proofErr w:type="gramEnd"/>
      <w:r>
        <w:t xml:space="preserve"> genes in rainbow trout (Oncorhynchus mykiss) fingerlings. Aquaculture, 585, 740710. https://doi.org/10.1016/J.AQUACULTURE.2024.740710</w:t>
      </w:r>
    </w:p>
    <w:p w:rsidR="009945F1" w:rsidRDefault="009945F1" w:rsidP="009945F1">
      <w:pPr>
        <w:widowControl w:val="0"/>
        <w:autoSpaceDE w:val="0"/>
        <w:autoSpaceDN w:val="0"/>
        <w:adjustRightInd w:val="0"/>
        <w:ind w:left="480" w:hanging="480"/>
        <w:jc w:val="both"/>
      </w:pPr>
      <w:proofErr w:type="spellStart"/>
      <w:r>
        <w:t>Anggorodi</w:t>
      </w:r>
      <w:proofErr w:type="spellEnd"/>
      <w:r>
        <w:t xml:space="preserve">, R. (1994). General Animal Nutrition. PT. </w:t>
      </w:r>
      <w:proofErr w:type="spellStart"/>
      <w:r>
        <w:t>Gramedia</w:t>
      </w:r>
      <w:proofErr w:type="spellEnd"/>
      <w:r>
        <w:t>.</w:t>
      </w:r>
    </w:p>
    <w:p w:rsidR="009945F1" w:rsidRDefault="009945F1" w:rsidP="009945F1">
      <w:pPr>
        <w:widowControl w:val="0"/>
        <w:autoSpaceDE w:val="0"/>
        <w:autoSpaceDN w:val="0"/>
        <w:adjustRightInd w:val="0"/>
        <w:ind w:left="480" w:hanging="480"/>
        <w:jc w:val="both"/>
      </w:pPr>
      <w:r>
        <w:t xml:space="preserve">Biswas, A., Araki, H., Sakata, T., Nakamori, T., &amp; </w:t>
      </w:r>
      <w:proofErr w:type="spellStart"/>
      <w:r>
        <w:t>Takii</w:t>
      </w:r>
      <w:proofErr w:type="spellEnd"/>
      <w:r>
        <w:t xml:space="preserve">, K. (2019). Optimum fish meal replacement by soy protein concentrate from soymilk and phytase supplementation in diet of red sea bream, </w:t>
      </w:r>
      <w:proofErr w:type="spellStart"/>
      <w:r>
        <w:t>Pagrus</w:t>
      </w:r>
      <w:proofErr w:type="spellEnd"/>
      <w:r>
        <w:t xml:space="preserve"> major. Aquaculture, 506, 51–59. https://doi.org/10.1016/J.AQUACULTURE.2019.03.023</w:t>
      </w:r>
    </w:p>
    <w:p w:rsidR="009945F1" w:rsidRDefault="009945F1" w:rsidP="009945F1">
      <w:pPr>
        <w:widowControl w:val="0"/>
        <w:autoSpaceDE w:val="0"/>
        <w:autoSpaceDN w:val="0"/>
        <w:adjustRightInd w:val="0"/>
        <w:ind w:left="480" w:hanging="480"/>
        <w:jc w:val="both"/>
      </w:pPr>
      <w:proofErr w:type="spellStart"/>
      <w:r>
        <w:t>Cahyo</w:t>
      </w:r>
      <w:proofErr w:type="spellEnd"/>
      <w:r>
        <w:t>, B. (2009). *</w:t>
      </w:r>
      <w:proofErr w:type="spellStart"/>
      <w:r>
        <w:t>Budidaya</w:t>
      </w:r>
      <w:proofErr w:type="spellEnd"/>
      <w:r>
        <w:t xml:space="preserve"> </w:t>
      </w:r>
      <w:proofErr w:type="spellStart"/>
      <w:r>
        <w:t>Lele</w:t>
      </w:r>
      <w:proofErr w:type="spellEnd"/>
      <w:r>
        <w:t xml:space="preserve"> dan </w:t>
      </w:r>
      <w:proofErr w:type="spellStart"/>
      <w:r>
        <w:t>Betutu</w:t>
      </w:r>
      <w:proofErr w:type="spellEnd"/>
      <w:r>
        <w:t xml:space="preserve"> (</w:t>
      </w:r>
      <w:proofErr w:type="spellStart"/>
      <w:r>
        <w:t>Ikan</w:t>
      </w:r>
      <w:proofErr w:type="spellEnd"/>
      <w:r>
        <w:t xml:space="preserve"> </w:t>
      </w:r>
      <w:proofErr w:type="spellStart"/>
      <w:r>
        <w:t>Langka</w:t>
      </w:r>
      <w:proofErr w:type="spellEnd"/>
      <w:r>
        <w:t xml:space="preserve"> </w:t>
      </w:r>
      <w:proofErr w:type="spellStart"/>
      <w:r>
        <w:t>Bernilai</w:t>
      </w:r>
      <w:proofErr w:type="spellEnd"/>
      <w:r>
        <w:t xml:space="preserve"> </w:t>
      </w:r>
      <w:proofErr w:type="gramStart"/>
      <w:r>
        <w:t>Tinggi)*</w:t>
      </w:r>
      <w:proofErr w:type="gramEnd"/>
      <w:r>
        <w:t xml:space="preserve"> [Cultivation of Catfish and </w:t>
      </w:r>
      <w:proofErr w:type="spellStart"/>
      <w:r>
        <w:t>Betutu</w:t>
      </w:r>
      <w:proofErr w:type="spellEnd"/>
      <w:r>
        <w:t xml:space="preserve"> (A Rare, High-Value Fish)]. </w:t>
      </w:r>
      <w:proofErr w:type="spellStart"/>
      <w:r>
        <w:t>Pustaka</w:t>
      </w:r>
      <w:proofErr w:type="spellEnd"/>
      <w:r>
        <w:t xml:space="preserve"> Mina. Jakarta, 131.</w:t>
      </w:r>
    </w:p>
    <w:p w:rsidR="009945F1" w:rsidRDefault="009945F1" w:rsidP="009945F1">
      <w:pPr>
        <w:widowControl w:val="0"/>
        <w:autoSpaceDE w:val="0"/>
        <w:autoSpaceDN w:val="0"/>
        <w:adjustRightInd w:val="0"/>
        <w:ind w:left="480" w:hanging="480"/>
        <w:jc w:val="both"/>
      </w:pPr>
      <w:r>
        <w:t>Council, N. R. (1993). *Nutrient Requirements of Fish*. The National Academies Press. https://doi.org/10.17226/2115</w:t>
      </w:r>
    </w:p>
    <w:p w:rsidR="009945F1" w:rsidRDefault="009945F1" w:rsidP="009945F1">
      <w:pPr>
        <w:widowControl w:val="0"/>
        <w:autoSpaceDE w:val="0"/>
        <w:autoSpaceDN w:val="0"/>
        <w:adjustRightInd w:val="0"/>
        <w:ind w:left="480" w:hanging="480"/>
        <w:jc w:val="both"/>
      </w:pPr>
      <w:r>
        <w:t xml:space="preserve">Dani, N. P., </w:t>
      </w:r>
      <w:proofErr w:type="spellStart"/>
      <w:r>
        <w:t>Budiharjo</w:t>
      </w:r>
      <w:proofErr w:type="spellEnd"/>
      <w:r>
        <w:t xml:space="preserve">, A., &amp; </w:t>
      </w:r>
      <w:proofErr w:type="spellStart"/>
      <w:r>
        <w:t>Listyawati</w:t>
      </w:r>
      <w:proofErr w:type="spellEnd"/>
      <w:r>
        <w:t xml:space="preserve">, S. (2005). </w:t>
      </w:r>
      <w:proofErr w:type="spellStart"/>
      <w:r>
        <w:t>Komposisi</w:t>
      </w:r>
      <w:proofErr w:type="spellEnd"/>
      <w:r>
        <w:t xml:space="preserve"> </w:t>
      </w:r>
      <w:proofErr w:type="spellStart"/>
      <w:r>
        <w:t>pakan</w:t>
      </w:r>
      <w:proofErr w:type="spellEnd"/>
      <w:r>
        <w:t xml:space="preserve"> </w:t>
      </w:r>
      <w:proofErr w:type="spellStart"/>
      <w:r>
        <w:t>buatan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pertumbuhan</w:t>
      </w:r>
      <w:proofErr w:type="spellEnd"/>
      <w:r>
        <w:t xml:space="preserve"> dan </w:t>
      </w:r>
      <w:proofErr w:type="spellStart"/>
      <w:r>
        <w:t>kandungan</w:t>
      </w:r>
      <w:proofErr w:type="spellEnd"/>
      <w:r>
        <w:t xml:space="preserve"> protein </w:t>
      </w:r>
      <w:proofErr w:type="spellStart"/>
      <w:r>
        <w:t>ikan</w:t>
      </w:r>
      <w:proofErr w:type="spellEnd"/>
      <w:r>
        <w:t xml:space="preserve"> </w:t>
      </w:r>
      <w:proofErr w:type="spellStart"/>
      <w:r>
        <w:t>tawes</w:t>
      </w:r>
      <w:proofErr w:type="spellEnd"/>
      <w:r>
        <w:t xml:space="preserve"> (*Puntius </w:t>
      </w:r>
      <w:proofErr w:type="spellStart"/>
      <w:r>
        <w:t>javanicus</w:t>
      </w:r>
      <w:proofErr w:type="spellEnd"/>
      <w:r>
        <w:t xml:space="preserve">* </w:t>
      </w:r>
      <w:proofErr w:type="spellStart"/>
      <w:r>
        <w:t>Blkr</w:t>
      </w:r>
      <w:proofErr w:type="spellEnd"/>
      <w:r>
        <w:t xml:space="preserve">.) [Artificial feed composition to enhance growth and protein content in </w:t>
      </w:r>
      <w:proofErr w:type="spellStart"/>
      <w:r>
        <w:t>Tawes</w:t>
      </w:r>
      <w:proofErr w:type="spellEnd"/>
      <w:r>
        <w:t xml:space="preserve"> fish (*Puntius </w:t>
      </w:r>
      <w:proofErr w:type="spellStart"/>
      <w:r>
        <w:t>javanicus</w:t>
      </w:r>
      <w:proofErr w:type="spellEnd"/>
      <w:r>
        <w:t xml:space="preserve">* </w:t>
      </w:r>
      <w:proofErr w:type="spellStart"/>
      <w:r>
        <w:t>Blkr</w:t>
      </w:r>
      <w:proofErr w:type="spellEnd"/>
      <w:r>
        <w:t xml:space="preserve">.)]. </w:t>
      </w:r>
      <w:proofErr w:type="spellStart"/>
      <w:r>
        <w:t>Biosmart</w:t>
      </w:r>
      <w:proofErr w:type="spellEnd"/>
      <w:r>
        <w:t>, 7(2), 83–90.</w:t>
      </w:r>
    </w:p>
    <w:p w:rsidR="008F2FB2" w:rsidRDefault="008F2FB2" w:rsidP="009945F1">
      <w:pPr>
        <w:widowControl w:val="0"/>
        <w:autoSpaceDE w:val="0"/>
        <w:autoSpaceDN w:val="0"/>
        <w:adjustRightInd w:val="0"/>
        <w:ind w:left="480" w:hanging="480"/>
        <w:jc w:val="both"/>
      </w:pPr>
      <w:proofErr w:type="spellStart"/>
      <w:r w:rsidRPr="008F2FB2">
        <w:t>Effendie</w:t>
      </w:r>
      <w:proofErr w:type="spellEnd"/>
      <w:r w:rsidRPr="008F2FB2">
        <w:t xml:space="preserve">, M. I. (1997). *Fisheries Biology* (Yogyakarta: Yayasan </w:t>
      </w:r>
      <w:proofErr w:type="spellStart"/>
      <w:r w:rsidRPr="008F2FB2">
        <w:t>Pustaka</w:t>
      </w:r>
      <w:proofErr w:type="spellEnd"/>
      <w:r w:rsidRPr="008F2FB2">
        <w:t xml:space="preserve"> Nusantara).</w:t>
      </w:r>
    </w:p>
    <w:p w:rsidR="009945F1" w:rsidRDefault="009945F1" w:rsidP="009945F1">
      <w:pPr>
        <w:widowControl w:val="0"/>
        <w:autoSpaceDE w:val="0"/>
        <w:autoSpaceDN w:val="0"/>
        <w:adjustRightInd w:val="0"/>
        <w:ind w:left="480" w:hanging="480"/>
        <w:jc w:val="both"/>
      </w:pPr>
      <w:r>
        <w:t>Food and Agriculture Organization. (2006). *FAO Yearbook: Fishery Statistics, Aquaculture Production*.</w:t>
      </w:r>
    </w:p>
    <w:p w:rsidR="009945F1" w:rsidRDefault="009945F1" w:rsidP="009945F1">
      <w:pPr>
        <w:widowControl w:val="0"/>
        <w:autoSpaceDE w:val="0"/>
        <w:autoSpaceDN w:val="0"/>
        <w:adjustRightInd w:val="0"/>
        <w:ind w:left="480" w:hanging="480"/>
        <w:jc w:val="both"/>
      </w:pPr>
      <w:r>
        <w:t>Glass, D. J. (2003). Molecular mechanisms modulating muscle mass. Trends in Molecular Medicine, 9(8), 344–350. https://doi.org/10.1016/S1471-4914(03)00138-2</w:t>
      </w:r>
    </w:p>
    <w:p w:rsidR="009945F1" w:rsidRDefault="009945F1" w:rsidP="009945F1">
      <w:pPr>
        <w:widowControl w:val="0"/>
        <w:autoSpaceDE w:val="0"/>
        <w:autoSpaceDN w:val="0"/>
        <w:adjustRightInd w:val="0"/>
        <w:ind w:left="480" w:hanging="480"/>
        <w:jc w:val="both"/>
      </w:pPr>
      <w:proofErr w:type="spellStart"/>
      <w:r>
        <w:t>Hoseini</w:t>
      </w:r>
      <w:proofErr w:type="spellEnd"/>
      <w:r>
        <w:t xml:space="preserve">, S. M., Taheri </w:t>
      </w:r>
      <w:proofErr w:type="spellStart"/>
      <w:r>
        <w:t>Mirghaed</w:t>
      </w:r>
      <w:proofErr w:type="spellEnd"/>
      <w:r>
        <w:t xml:space="preserve">, A., </w:t>
      </w:r>
      <w:proofErr w:type="spellStart"/>
      <w:r>
        <w:t>Ghelichpour</w:t>
      </w:r>
      <w:proofErr w:type="spellEnd"/>
      <w:r>
        <w:t xml:space="preserve">, M., </w:t>
      </w:r>
      <w:proofErr w:type="spellStart"/>
      <w:r>
        <w:t>Pagheh</w:t>
      </w:r>
      <w:proofErr w:type="spellEnd"/>
      <w:r>
        <w:t xml:space="preserve">, E., </w:t>
      </w:r>
      <w:proofErr w:type="spellStart"/>
      <w:r>
        <w:t>Iri</w:t>
      </w:r>
      <w:proofErr w:type="spellEnd"/>
      <w:r>
        <w:t xml:space="preserve">, Y., &amp; </w:t>
      </w:r>
      <w:proofErr w:type="spellStart"/>
      <w:r>
        <w:t>Kor</w:t>
      </w:r>
      <w:proofErr w:type="spellEnd"/>
      <w:r>
        <w:t>, A. (2020). Effects of dietary tryptophan supplementation and stocking density on growth performance and stress responses in rainbow trout (*Oncorhynchus mykiss*). Aquaculture, 519, 734908. https://doi.org/10.1016/J.AQUACULTURE.2019.734908</w:t>
      </w:r>
    </w:p>
    <w:p w:rsidR="009945F1" w:rsidRDefault="009945F1" w:rsidP="009945F1">
      <w:pPr>
        <w:widowControl w:val="0"/>
        <w:autoSpaceDE w:val="0"/>
        <w:autoSpaceDN w:val="0"/>
        <w:adjustRightInd w:val="0"/>
        <w:ind w:left="480" w:hanging="480"/>
        <w:jc w:val="both"/>
      </w:pPr>
      <w:r>
        <w:t>Ji, K., Liang, H., Ren, M., Ge, X., Liu, B., Xi, B., Pan, L., &amp; Yu, H. (2019). Effects of dietary tryptophan levels on antioxidant status and immunity for juvenile blunt snout bream (</w:t>
      </w:r>
      <w:proofErr w:type="spellStart"/>
      <w:r>
        <w:t>Megalobrama</w:t>
      </w:r>
      <w:proofErr w:type="spellEnd"/>
      <w:r>
        <w:t xml:space="preserve"> </w:t>
      </w:r>
      <w:proofErr w:type="spellStart"/>
      <w:r>
        <w:t>amblycephala</w:t>
      </w:r>
      <w:proofErr w:type="spellEnd"/>
      <w:r>
        <w:t>) involved in Nrf2 and TOR signaling pathway. Fish &amp; Shellfish Immunology, 93, 474–483. https://doi.org/10.1016/J.FSI.2019.08.006</w:t>
      </w:r>
    </w:p>
    <w:p w:rsidR="009945F1" w:rsidRDefault="009945F1" w:rsidP="009945F1">
      <w:pPr>
        <w:widowControl w:val="0"/>
        <w:autoSpaceDE w:val="0"/>
        <w:autoSpaceDN w:val="0"/>
        <w:adjustRightInd w:val="0"/>
        <w:ind w:left="480" w:hanging="480"/>
        <w:jc w:val="both"/>
      </w:pPr>
      <w:proofErr w:type="spellStart"/>
      <w:r>
        <w:t>Karapanagiotidis</w:t>
      </w:r>
      <w:proofErr w:type="spellEnd"/>
      <w:r>
        <w:t xml:space="preserve">, I. T., </w:t>
      </w:r>
      <w:proofErr w:type="spellStart"/>
      <w:r>
        <w:t>Metsoviti</w:t>
      </w:r>
      <w:proofErr w:type="spellEnd"/>
      <w:r>
        <w:t xml:space="preserve">, M. N., </w:t>
      </w:r>
      <w:proofErr w:type="spellStart"/>
      <w:r>
        <w:t>Gkalogianni</w:t>
      </w:r>
      <w:proofErr w:type="spellEnd"/>
      <w:r>
        <w:t xml:space="preserve">, E. Z., </w:t>
      </w:r>
      <w:proofErr w:type="spellStart"/>
      <w:r>
        <w:t>Psofakis</w:t>
      </w:r>
      <w:proofErr w:type="spellEnd"/>
      <w:r>
        <w:t xml:space="preserve">, P., </w:t>
      </w:r>
      <w:proofErr w:type="spellStart"/>
      <w:r>
        <w:t>Asimaki</w:t>
      </w:r>
      <w:proofErr w:type="spellEnd"/>
      <w:r>
        <w:t xml:space="preserve">, A., </w:t>
      </w:r>
      <w:proofErr w:type="spellStart"/>
      <w:r>
        <w:t>Katsoulas</w:t>
      </w:r>
      <w:proofErr w:type="spellEnd"/>
      <w:r>
        <w:t xml:space="preserve">, N., </w:t>
      </w:r>
      <w:proofErr w:type="spellStart"/>
      <w:r>
        <w:t>Papapolymerou</w:t>
      </w:r>
      <w:proofErr w:type="spellEnd"/>
      <w:r>
        <w:t xml:space="preserve">, G., &amp; </w:t>
      </w:r>
      <w:proofErr w:type="spellStart"/>
      <w:r>
        <w:t>Zarkadas</w:t>
      </w:r>
      <w:proofErr w:type="spellEnd"/>
      <w:r>
        <w:t xml:space="preserve">, I. (2022). The effects of replacing fishmeal by Chlorella vulgaris and fish oil by </w:t>
      </w:r>
      <w:proofErr w:type="spellStart"/>
      <w:r>
        <w:t>Schizochytrium</w:t>
      </w:r>
      <w:proofErr w:type="spellEnd"/>
      <w:r>
        <w:t xml:space="preserve"> sp. and </w:t>
      </w:r>
      <w:proofErr w:type="spellStart"/>
      <w:r>
        <w:t>Microchloropsis</w:t>
      </w:r>
      <w:proofErr w:type="spellEnd"/>
      <w:r>
        <w:t xml:space="preserve"> </w:t>
      </w:r>
      <w:proofErr w:type="spellStart"/>
      <w:r>
        <w:t>gaditana</w:t>
      </w:r>
      <w:proofErr w:type="spellEnd"/>
      <w:r>
        <w:t xml:space="preserve"> blend on growth performance, feed efficiency, muscle fatty acid composition and liver histology of gilthead seabream (Sparus </w:t>
      </w:r>
      <w:proofErr w:type="spellStart"/>
      <w:r>
        <w:t>aurata</w:t>
      </w:r>
      <w:proofErr w:type="spellEnd"/>
      <w:r>
        <w:t>). Aquaculture, 561, 738709. https://doi.org/10.1016/J.AQUACULTURE.2022.738709</w:t>
      </w:r>
    </w:p>
    <w:p w:rsidR="009945F1" w:rsidRDefault="009945F1" w:rsidP="009945F1">
      <w:pPr>
        <w:widowControl w:val="0"/>
        <w:autoSpaceDE w:val="0"/>
        <w:autoSpaceDN w:val="0"/>
        <w:adjustRightInd w:val="0"/>
        <w:ind w:left="480" w:hanging="480"/>
        <w:jc w:val="both"/>
      </w:pPr>
      <w:proofErr w:type="spellStart"/>
      <w:r>
        <w:t>Mainisa</w:t>
      </w:r>
      <w:proofErr w:type="spellEnd"/>
      <w:r>
        <w:t xml:space="preserve">, M., Juliana, J., Khalil, M., </w:t>
      </w:r>
      <w:proofErr w:type="spellStart"/>
      <w:r>
        <w:t>Mahdaliana</w:t>
      </w:r>
      <w:proofErr w:type="spellEnd"/>
      <w:r>
        <w:t xml:space="preserve">, M., &amp; </w:t>
      </w:r>
      <w:proofErr w:type="spellStart"/>
      <w:r>
        <w:t>Salamah</w:t>
      </w:r>
      <w:proofErr w:type="spellEnd"/>
      <w:r>
        <w:t>, S. (2024). Use of Tryptophan in Feed to Reduce Cannibalism in White Sea Bass (</w:t>
      </w:r>
      <w:proofErr w:type="spellStart"/>
      <w:r>
        <w:t>Lates</w:t>
      </w:r>
      <w:proofErr w:type="spellEnd"/>
      <w:r>
        <w:t xml:space="preserve"> </w:t>
      </w:r>
      <w:proofErr w:type="spellStart"/>
      <w:r>
        <w:t>calcarifer</w:t>
      </w:r>
      <w:proofErr w:type="spellEnd"/>
      <w:r>
        <w:t xml:space="preserve">). </w:t>
      </w:r>
      <w:proofErr w:type="spellStart"/>
      <w:r>
        <w:t>Jurnal</w:t>
      </w:r>
      <w:proofErr w:type="spellEnd"/>
      <w:r>
        <w:t xml:space="preserve"> </w:t>
      </w:r>
      <w:proofErr w:type="spellStart"/>
      <w:r>
        <w:t>Laot</w:t>
      </w:r>
      <w:proofErr w:type="spellEnd"/>
      <w:r>
        <w:t xml:space="preserve"> </w:t>
      </w:r>
      <w:proofErr w:type="spellStart"/>
      <w:r>
        <w:t>Ilmu</w:t>
      </w:r>
      <w:proofErr w:type="spellEnd"/>
      <w:r>
        <w:t xml:space="preserve"> </w:t>
      </w:r>
      <w:proofErr w:type="spellStart"/>
      <w:r>
        <w:t>Kelautan</w:t>
      </w:r>
      <w:proofErr w:type="spellEnd"/>
      <w:r>
        <w:t>, 6(1), 28. https://doi.org/10.35308/jlik.v6i1.9561</w:t>
      </w:r>
    </w:p>
    <w:p w:rsidR="009945F1" w:rsidRDefault="009945F1" w:rsidP="009945F1">
      <w:pPr>
        <w:widowControl w:val="0"/>
        <w:autoSpaceDE w:val="0"/>
        <w:autoSpaceDN w:val="0"/>
        <w:adjustRightInd w:val="0"/>
        <w:ind w:left="480" w:hanging="480"/>
        <w:jc w:val="both"/>
      </w:pPr>
      <w:proofErr w:type="spellStart"/>
      <w:r>
        <w:t>Masyahoro</w:t>
      </w:r>
      <w:proofErr w:type="spellEnd"/>
      <w:r>
        <w:t xml:space="preserve">, A., &amp; </w:t>
      </w:r>
      <w:proofErr w:type="spellStart"/>
      <w:r>
        <w:t>Setiawan</w:t>
      </w:r>
      <w:proofErr w:type="spellEnd"/>
      <w:r>
        <w:t>, M. A. B. (2023). Growth of White Snapper (</w:t>
      </w:r>
      <w:proofErr w:type="spellStart"/>
      <w:r>
        <w:t>Lates</w:t>
      </w:r>
      <w:proofErr w:type="spellEnd"/>
      <w:r>
        <w:t xml:space="preserve"> </w:t>
      </w:r>
      <w:proofErr w:type="spellStart"/>
      <w:r>
        <w:t>calcarifer</w:t>
      </w:r>
      <w:proofErr w:type="spellEnd"/>
      <w:r>
        <w:t xml:space="preserve">, Bloch 1790) Fingerlings at Various Salinities and Shrimp Head Waste Feed Dosages in Controlled Containers. </w:t>
      </w:r>
      <w:proofErr w:type="spellStart"/>
      <w:r>
        <w:t>Jurnal</w:t>
      </w:r>
      <w:proofErr w:type="spellEnd"/>
      <w:r>
        <w:t xml:space="preserve"> </w:t>
      </w:r>
      <w:proofErr w:type="spellStart"/>
      <w:r>
        <w:t>Ilmiah</w:t>
      </w:r>
      <w:proofErr w:type="spellEnd"/>
      <w:r>
        <w:t xml:space="preserve"> </w:t>
      </w:r>
      <w:proofErr w:type="spellStart"/>
      <w:r>
        <w:t>AgriSains</w:t>
      </w:r>
      <w:proofErr w:type="spellEnd"/>
      <w:r>
        <w:t>, 24(2), 103–113.</w:t>
      </w:r>
    </w:p>
    <w:p w:rsidR="009945F1" w:rsidRDefault="009945F1" w:rsidP="009945F1">
      <w:pPr>
        <w:widowControl w:val="0"/>
        <w:autoSpaceDE w:val="0"/>
        <w:autoSpaceDN w:val="0"/>
        <w:adjustRightInd w:val="0"/>
        <w:ind w:left="480" w:hanging="480"/>
        <w:jc w:val="both"/>
      </w:pPr>
      <w:r>
        <w:t>Melzer, K. (2011). Carbohydrate and fat utilization during rest and physical activity. E-SPEN, 6(2), e45–e52. https://doi.org/10.1016/j.eclnm.2011.01.005</w:t>
      </w:r>
    </w:p>
    <w:p w:rsidR="009945F1" w:rsidRDefault="009945F1" w:rsidP="009945F1">
      <w:pPr>
        <w:widowControl w:val="0"/>
        <w:autoSpaceDE w:val="0"/>
        <w:autoSpaceDN w:val="0"/>
        <w:adjustRightInd w:val="0"/>
        <w:ind w:left="480" w:hanging="480"/>
        <w:jc w:val="both"/>
      </w:pPr>
      <w:r>
        <w:lastRenderedPageBreak/>
        <w:t xml:space="preserve">Miao, S., Chang, E., Han, B., Zhang, X., Liu, X., Zhou, Z., &amp; Zhou, Y. (2021). Dietary tryptophan requirement of northern snakehead, </w:t>
      </w:r>
      <w:proofErr w:type="spellStart"/>
      <w:r>
        <w:t>Channa</w:t>
      </w:r>
      <w:proofErr w:type="spellEnd"/>
      <w:r>
        <w:t xml:space="preserve"> </w:t>
      </w:r>
      <w:proofErr w:type="spellStart"/>
      <w:r>
        <w:t>argus</w:t>
      </w:r>
      <w:proofErr w:type="spellEnd"/>
      <w:r>
        <w:t xml:space="preserve"> (Cantor, 1842). Aquaculture, 542, 736904. https://doi.org/10.1016/J.AQUACULTURE.2021.736904</w:t>
      </w:r>
    </w:p>
    <w:p w:rsidR="009945F1" w:rsidRDefault="009945F1" w:rsidP="009945F1">
      <w:pPr>
        <w:widowControl w:val="0"/>
        <w:autoSpaceDE w:val="0"/>
        <w:autoSpaceDN w:val="0"/>
        <w:adjustRightInd w:val="0"/>
        <w:ind w:left="480" w:hanging="480"/>
        <w:jc w:val="both"/>
      </w:pPr>
      <w:r>
        <w:t xml:space="preserve">Olusola, S. E., &amp; </w:t>
      </w:r>
      <w:proofErr w:type="spellStart"/>
      <w:r>
        <w:t>Nwanna</w:t>
      </w:r>
      <w:proofErr w:type="spellEnd"/>
      <w:r>
        <w:t xml:space="preserve">, L. C. (2014). Growth Performance of Nile Tilapia (Oreochromis </w:t>
      </w:r>
      <w:proofErr w:type="spellStart"/>
      <w:r>
        <w:t>niloticus</w:t>
      </w:r>
      <w:proofErr w:type="spellEnd"/>
      <w:r>
        <w:t xml:space="preserve">) Fed Processed Soybean Meal Based Diets Supplemented </w:t>
      </w:r>
      <w:proofErr w:type="gramStart"/>
      <w:r>
        <w:t>With</w:t>
      </w:r>
      <w:proofErr w:type="gramEnd"/>
      <w:r>
        <w:t xml:space="preserve"> Phytase. International Journal of Aquaculture. https://doi.org/10.5376/ija.2014.04.0008</w:t>
      </w:r>
    </w:p>
    <w:p w:rsidR="009945F1" w:rsidRDefault="009945F1" w:rsidP="009945F1">
      <w:pPr>
        <w:widowControl w:val="0"/>
        <w:autoSpaceDE w:val="0"/>
        <w:autoSpaceDN w:val="0"/>
        <w:adjustRightInd w:val="0"/>
        <w:ind w:left="480" w:hanging="480"/>
        <w:jc w:val="both"/>
      </w:pPr>
      <w:proofErr w:type="spellStart"/>
      <w:r>
        <w:t>Pianesso</w:t>
      </w:r>
      <w:proofErr w:type="spellEnd"/>
      <w:r>
        <w:t xml:space="preserve">, D., </w:t>
      </w:r>
      <w:proofErr w:type="spellStart"/>
      <w:r>
        <w:t>Radünz</w:t>
      </w:r>
      <w:proofErr w:type="spellEnd"/>
      <w:r>
        <w:t xml:space="preserve"> </w:t>
      </w:r>
      <w:proofErr w:type="spellStart"/>
      <w:r>
        <w:t>Neto</w:t>
      </w:r>
      <w:proofErr w:type="spellEnd"/>
      <w:r>
        <w:t xml:space="preserve">, J., da Silva, L. P., Goulart, F. R., </w:t>
      </w:r>
      <w:proofErr w:type="spellStart"/>
      <w:r>
        <w:t>Adorian</w:t>
      </w:r>
      <w:proofErr w:type="spellEnd"/>
      <w:r>
        <w:t xml:space="preserve">, T. J., </w:t>
      </w:r>
      <w:proofErr w:type="spellStart"/>
      <w:r>
        <w:t>Mombach</w:t>
      </w:r>
      <w:proofErr w:type="spellEnd"/>
      <w:r>
        <w:t xml:space="preserve">, P. I., Loureiro, B. B., </w:t>
      </w:r>
      <w:proofErr w:type="spellStart"/>
      <w:r>
        <w:t>Dalcin</w:t>
      </w:r>
      <w:proofErr w:type="spellEnd"/>
      <w:r>
        <w:t xml:space="preserve">, M. O., </w:t>
      </w:r>
      <w:proofErr w:type="spellStart"/>
      <w:r>
        <w:t>Rotili</w:t>
      </w:r>
      <w:proofErr w:type="spellEnd"/>
      <w:r>
        <w:t xml:space="preserve">, D. A., &amp; </w:t>
      </w:r>
      <w:proofErr w:type="spellStart"/>
      <w:r>
        <w:t>Lazzari</w:t>
      </w:r>
      <w:proofErr w:type="spellEnd"/>
      <w:r>
        <w:t>, R. (2015). Determination of tryptophan requirements for juvenile silver catfish (</w:t>
      </w:r>
      <w:proofErr w:type="spellStart"/>
      <w:r>
        <w:t>Rhamdia</w:t>
      </w:r>
      <w:proofErr w:type="spellEnd"/>
      <w:r>
        <w:t xml:space="preserve"> </w:t>
      </w:r>
      <w:proofErr w:type="spellStart"/>
      <w:r>
        <w:t>quelen</w:t>
      </w:r>
      <w:proofErr w:type="spellEnd"/>
      <w:r>
        <w:t>) and its effects on growth performance, plasma and hepatic metabolites and digestive enzymes activity. Animal Feed Science and Technology, 210, 172–183. https://doi.org/10.1016/J.ANIFEEDSCI.2015.09.025</w:t>
      </w:r>
    </w:p>
    <w:p w:rsidR="009945F1" w:rsidRDefault="009945F1" w:rsidP="009945F1">
      <w:pPr>
        <w:widowControl w:val="0"/>
        <w:autoSpaceDE w:val="0"/>
        <w:autoSpaceDN w:val="0"/>
        <w:adjustRightInd w:val="0"/>
        <w:ind w:left="480" w:hanging="480"/>
        <w:jc w:val="both"/>
      </w:pPr>
      <w:proofErr w:type="spellStart"/>
      <w:r>
        <w:t>Pinandoyo</w:t>
      </w:r>
      <w:proofErr w:type="spellEnd"/>
      <w:r>
        <w:t xml:space="preserve">, P., </w:t>
      </w:r>
      <w:proofErr w:type="spellStart"/>
      <w:r>
        <w:t>Syakirin</w:t>
      </w:r>
      <w:proofErr w:type="spellEnd"/>
      <w:r>
        <w:t xml:space="preserve">, M. B., &amp; </w:t>
      </w:r>
      <w:proofErr w:type="spellStart"/>
      <w:r>
        <w:t>Mardiana</w:t>
      </w:r>
      <w:proofErr w:type="spellEnd"/>
      <w:r>
        <w:t xml:space="preserve">, T. Y. (2021). Utilization of Trash Fish and Fermented Chicken Manure in Catfish Feed on the Growth and Survival of </w:t>
      </w:r>
      <w:proofErr w:type="spellStart"/>
      <w:r>
        <w:t>Sangkuriang</w:t>
      </w:r>
      <w:proofErr w:type="spellEnd"/>
      <w:r>
        <w:t xml:space="preserve"> Catfish (</w:t>
      </w:r>
      <w:proofErr w:type="spellStart"/>
      <w:r>
        <w:t>Clarias</w:t>
      </w:r>
      <w:proofErr w:type="spellEnd"/>
      <w:r>
        <w:t xml:space="preserve"> sp.). Pena </w:t>
      </w:r>
      <w:proofErr w:type="spellStart"/>
      <w:r>
        <w:t>Akuatika</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Perikanan</w:t>
      </w:r>
      <w:proofErr w:type="spellEnd"/>
      <w:r>
        <w:t xml:space="preserve"> Dan </w:t>
      </w:r>
      <w:proofErr w:type="spellStart"/>
      <w:r>
        <w:t>Kelautan</w:t>
      </w:r>
      <w:proofErr w:type="spellEnd"/>
      <w:r>
        <w:t>, 20(1).</w:t>
      </w:r>
    </w:p>
    <w:p w:rsidR="009945F1" w:rsidRDefault="009945F1" w:rsidP="009945F1">
      <w:pPr>
        <w:widowControl w:val="0"/>
        <w:autoSpaceDE w:val="0"/>
        <w:autoSpaceDN w:val="0"/>
        <w:adjustRightInd w:val="0"/>
        <w:ind w:left="480" w:hanging="480"/>
        <w:jc w:val="both"/>
      </w:pPr>
      <w:proofErr w:type="spellStart"/>
      <w:r>
        <w:t>Rachmawati</w:t>
      </w:r>
      <w:proofErr w:type="spellEnd"/>
      <w:r>
        <w:t xml:space="preserve">, D., </w:t>
      </w:r>
      <w:proofErr w:type="spellStart"/>
      <w:r>
        <w:t>Hutabarat</w:t>
      </w:r>
      <w:proofErr w:type="spellEnd"/>
      <w:r>
        <w:t xml:space="preserve">, J., Fiat, A. I., </w:t>
      </w:r>
      <w:proofErr w:type="spellStart"/>
      <w:r>
        <w:t>Elfitasari</w:t>
      </w:r>
      <w:proofErr w:type="spellEnd"/>
      <w:r>
        <w:t xml:space="preserve">, T., </w:t>
      </w:r>
      <w:proofErr w:type="spellStart"/>
      <w:r>
        <w:t>Windarto</w:t>
      </w:r>
      <w:proofErr w:type="spellEnd"/>
      <w:r>
        <w:t xml:space="preserve">, S., &amp; </w:t>
      </w:r>
      <w:proofErr w:type="spellStart"/>
      <w:r>
        <w:t>Dewi</w:t>
      </w:r>
      <w:proofErr w:type="spellEnd"/>
      <w:r>
        <w:t>, E. N. (2021). The Addition of the Amino Acid Tryptophan in Feed on Cannibalism Rates and Growth of *</w:t>
      </w:r>
      <w:proofErr w:type="spellStart"/>
      <w:r>
        <w:t>Litopenaeus</w:t>
      </w:r>
      <w:proofErr w:type="spellEnd"/>
      <w:r>
        <w:t xml:space="preserve"> </w:t>
      </w:r>
      <w:proofErr w:type="spellStart"/>
      <w:r>
        <w:t>vannamei</w:t>
      </w:r>
      <w:proofErr w:type="spellEnd"/>
      <w:r>
        <w:t xml:space="preserve">*. </w:t>
      </w:r>
      <w:proofErr w:type="spellStart"/>
      <w:r>
        <w:t>Jurnal</w:t>
      </w:r>
      <w:proofErr w:type="spellEnd"/>
      <w:r>
        <w:t xml:space="preserve"> </w:t>
      </w:r>
      <w:proofErr w:type="spellStart"/>
      <w:r>
        <w:t>Kelautan</w:t>
      </w:r>
      <w:proofErr w:type="spellEnd"/>
      <w:r>
        <w:t xml:space="preserve"> </w:t>
      </w:r>
      <w:proofErr w:type="spellStart"/>
      <w:r>
        <w:t>Tropis</w:t>
      </w:r>
      <w:proofErr w:type="spellEnd"/>
      <w:r>
        <w:t>, 24(3), 343–352.</w:t>
      </w:r>
    </w:p>
    <w:p w:rsidR="009945F1" w:rsidRDefault="009945F1" w:rsidP="009945F1">
      <w:pPr>
        <w:widowControl w:val="0"/>
        <w:autoSpaceDE w:val="0"/>
        <w:autoSpaceDN w:val="0"/>
        <w:adjustRightInd w:val="0"/>
        <w:ind w:left="480" w:hanging="480"/>
        <w:jc w:val="both"/>
      </w:pPr>
      <w:r>
        <w:t xml:space="preserve">Ramos-Pinto, L., </w:t>
      </w:r>
      <w:proofErr w:type="spellStart"/>
      <w:r>
        <w:t>Martos-Sitcha</w:t>
      </w:r>
      <w:proofErr w:type="spellEnd"/>
      <w:r>
        <w:t xml:space="preserve">, J. A., Reis, B., </w:t>
      </w:r>
      <w:proofErr w:type="spellStart"/>
      <w:r>
        <w:t>Azeredo</w:t>
      </w:r>
      <w:proofErr w:type="spellEnd"/>
      <w:r>
        <w:t xml:space="preserve">, R., Fernandez-Boo, S., Pérez-Sánchez, J., </w:t>
      </w:r>
      <w:proofErr w:type="spellStart"/>
      <w:r>
        <w:t>Calduch-Giner</w:t>
      </w:r>
      <w:proofErr w:type="spellEnd"/>
      <w:r>
        <w:t xml:space="preserve">, J. A., </w:t>
      </w:r>
      <w:proofErr w:type="spellStart"/>
      <w:r>
        <w:t>Engrola</w:t>
      </w:r>
      <w:proofErr w:type="spellEnd"/>
      <w:r>
        <w:t xml:space="preserve">, S., </w:t>
      </w:r>
      <w:proofErr w:type="spellStart"/>
      <w:r>
        <w:t>Conceição</w:t>
      </w:r>
      <w:proofErr w:type="spellEnd"/>
      <w:r>
        <w:t xml:space="preserve">, L. E. C., Dias, J., Silva, T. S., &amp; Costas, B. (2019). Dietary tryptophan supplementation induces a transient immune enhancement of gilthead seabream (*Sparus </w:t>
      </w:r>
      <w:proofErr w:type="spellStart"/>
      <w:r>
        <w:t>aurata</w:t>
      </w:r>
      <w:proofErr w:type="spellEnd"/>
      <w:r>
        <w:t>*) juveniles fed fishmeal-free diets. Fish and Shellfish Immunology, 93, 240–250. https://doi.org/10.1016/j.fsi.2019.07.033</w:t>
      </w:r>
    </w:p>
    <w:p w:rsidR="009945F1" w:rsidRDefault="009945F1" w:rsidP="009945F1">
      <w:pPr>
        <w:widowControl w:val="0"/>
        <w:autoSpaceDE w:val="0"/>
        <w:autoSpaceDN w:val="0"/>
        <w:adjustRightInd w:val="0"/>
        <w:ind w:left="480" w:hanging="480"/>
        <w:jc w:val="both"/>
      </w:pPr>
      <w:proofErr w:type="spellStart"/>
      <w:r>
        <w:t>Ridlo</w:t>
      </w:r>
      <w:proofErr w:type="spellEnd"/>
      <w:r>
        <w:t xml:space="preserve">, A., &amp; </w:t>
      </w:r>
      <w:proofErr w:type="spellStart"/>
      <w:r>
        <w:t>Subagiyo</w:t>
      </w:r>
      <w:proofErr w:type="spellEnd"/>
      <w:r>
        <w:t>, S. (2013). Growth, Feed Conversion Ratio, and Survival Rate of *</w:t>
      </w:r>
      <w:proofErr w:type="spellStart"/>
      <w:r>
        <w:t>Litopenaeus</w:t>
      </w:r>
      <w:proofErr w:type="spellEnd"/>
      <w:r>
        <w:t xml:space="preserve"> </w:t>
      </w:r>
      <w:proofErr w:type="spellStart"/>
      <w:r>
        <w:t>vannamei</w:t>
      </w:r>
      <w:proofErr w:type="spellEnd"/>
      <w:r>
        <w:t>* Shrimp Fed with FOS (</w:t>
      </w:r>
      <w:proofErr w:type="spellStart"/>
      <w:r>
        <w:t>Fructooligosaccharide</w:t>
      </w:r>
      <w:proofErr w:type="spellEnd"/>
      <w:r>
        <w:t xml:space="preserve">) Prebiotic Supplementation. </w:t>
      </w:r>
      <w:proofErr w:type="spellStart"/>
      <w:r>
        <w:t>Buletin</w:t>
      </w:r>
      <w:proofErr w:type="spellEnd"/>
      <w:r>
        <w:t xml:space="preserve"> </w:t>
      </w:r>
      <w:proofErr w:type="spellStart"/>
      <w:r>
        <w:t>Oseanografi</w:t>
      </w:r>
      <w:proofErr w:type="spellEnd"/>
      <w:r>
        <w:t xml:space="preserve"> Marina, 2(4), 1–8.</w:t>
      </w:r>
    </w:p>
    <w:p w:rsidR="009945F1" w:rsidRDefault="009945F1" w:rsidP="009945F1">
      <w:pPr>
        <w:widowControl w:val="0"/>
        <w:autoSpaceDE w:val="0"/>
        <w:autoSpaceDN w:val="0"/>
        <w:adjustRightInd w:val="0"/>
        <w:ind w:left="480" w:hanging="480"/>
        <w:jc w:val="both"/>
      </w:pPr>
      <w:r>
        <w:t xml:space="preserve">Tang, L., Feng, L., Sun, C. Y., Chen, G. F., Jiang, W. D., Hu, K., Liu, Y., Jiang, J., Li, S. H., </w:t>
      </w:r>
      <w:proofErr w:type="spellStart"/>
      <w:r>
        <w:t>Kuang</w:t>
      </w:r>
      <w:proofErr w:type="spellEnd"/>
      <w:r>
        <w:t xml:space="preserve">, S. Y., &amp; Zhou, X. Q. (2013). Effect of tryptophan on growth, intestinal enzyme activities and TOR gene expression in juvenile Jian carp (Cyprinus </w:t>
      </w:r>
      <w:proofErr w:type="spellStart"/>
      <w:r>
        <w:t>carpio</w:t>
      </w:r>
      <w:proofErr w:type="spellEnd"/>
      <w:r>
        <w:t xml:space="preserve"> var. Jian): Studies in vivo and in vitro. Aquaculture, 412–413, 23–33. https://doi.org/10.1016/J.AQUACULTURE.2013.07.002</w:t>
      </w:r>
    </w:p>
    <w:p w:rsidR="009945F1" w:rsidRDefault="009945F1" w:rsidP="009945F1">
      <w:pPr>
        <w:widowControl w:val="0"/>
        <w:autoSpaceDE w:val="0"/>
        <w:autoSpaceDN w:val="0"/>
        <w:adjustRightInd w:val="0"/>
        <w:ind w:left="480" w:hanging="480"/>
        <w:jc w:val="both"/>
      </w:pPr>
      <w:proofErr w:type="spellStart"/>
      <w:r>
        <w:t>Trisnasari</w:t>
      </w:r>
      <w:proofErr w:type="spellEnd"/>
      <w:r>
        <w:t xml:space="preserve">, V., </w:t>
      </w:r>
      <w:proofErr w:type="spellStart"/>
      <w:r>
        <w:t>Subandiyono</w:t>
      </w:r>
      <w:proofErr w:type="spellEnd"/>
      <w:r>
        <w:t xml:space="preserve">, &amp; </w:t>
      </w:r>
      <w:proofErr w:type="spellStart"/>
      <w:r>
        <w:t>Hastuti</w:t>
      </w:r>
      <w:proofErr w:type="spellEnd"/>
      <w:r>
        <w:t>, S. (2020). The Effect of Tryptophan in Artificial Feed on Cannibalism Rates and Growth of Freshwater Lobster (</w:t>
      </w:r>
      <w:proofErr w:type="spellStart"/>
      <w:r>
        <w:t>Cherax</w:t>
      </w:r>
      <w:proofErr w:type="spellEnd"/>
      <w:r>
        <w:t xml:space="preserve"> </w:t>
      </w:r>
      <w:proofErr w:type="spellStart"/>
      <w:r>
        <w:t>quadricarinatus</w:t>
      </w:r>
      <w:proofErr w:type="spellEnd"/>
      <w:r>
        <w:t xml:space="preserve">). </w:t>
      </w:r>
      <w:proofErr w:type="spellStart"/>
      <w:r>
        <w:t>Sains</w:t>
      </w:r>
      <w:proofErr w:type="spellEnd"/>
      <w:r>
        <w:t xml:space="preserve"> </w:t>
      </w:r>
      <w:proofErr w:type="spellStart"/>
      <w:r>
        <w:t>Akuakultur</w:t>
      </w:r>
      <w:proofErr w:type="spellEnd"/>
      <w:r>
        <w:t xml:space="preserve"> </w:t>
      </w:r>
      <w:proofErr w:type="spellStart"/>
      <w:r>
        <w:t>Tropis</w:t>
      </w:r>
      <w:proofErr w:type="spellEnd"/>
      <w:r>
        <w:t>: Indonesian Journal of Tropical Aquaculture, 4(1), 19–30.</w:t>
      </w:r>
    </w:p>
    <w:p w:rsidR="009945F1" w:rsidRDefault="009945F1" w:rsidP="009945F1">
      <w:pPr>
        <w:widowControl w:val="0"/>
        <w:autoSpaceDE w:val="0"/>
        <w:autoSpaceDN w:val="0"/>
        <w:adjustRightInd w:val="0"/>
        <w:ind w:left="480" w:hanging="480"/>
        <w:jc w:val="both"/>
      </w:pPr>
      <w:proofErr w:type="spellStart"/>
      <w:r>
        <w:t>Winberg</w:t>
      </w:r>
      <w:proofErr w:type="spellEnd"/>
      <w:r>
        <w:t xml:space="preserve">, S., </w:t>
      </w:r>
      <w:proofErr w:type="spellStart"/>
      <w:r>
        <w:t>Winberg</w:t>
      </w:r>
      <w:proofErr w:type="spellEnd"/>
      <w:r>
        <w:t xml:space="preserve">, Y., &amp; </w:t>
      </w:r>
      <w:proofErr w:type="spellStart"/>
      <w:r>
        <w:t>Anastasio</w:t>
      </w:r>
      <w:proofErr w:type="spellEnd"/>
      <w:r>
        <w:t>, R. D. (1997). Effect of social rank on brain monoaminergic activity in a cichlid fish. Brain, Behavior and Evolution, 49(4), 230–236. https://doi.org/10.1159/000112994</w:t>
      </w:r>
    </w:p>
    <w:p w:rsidR="00B01FCD" w:rsidRPr="00FB3A86" w:rsidRDefault="009945F1" w:rsidP="009945F1">
      <w:pPr>
        <w:widowControl w:val="0"/>
        <w:autoSpaceDE w:val="0"/>
        <w:autoSpaceDN w:val="0"/>
        <w:adjustRightInd w:val="0"/>
        <w:ind w:left="480" w:hanging="480"/>
        <w:jc w:val="both"/>
        <w:rPr>
          <w:rFonts w:ascii="Arial" w:hAnsi="Arial" w:cs="Arial"/>
          <w:b/>
        </w:rPr>
      </w:pPr>
      <w:proofErr w:type="spellStart"/>
      <w:r>
        <w:t>Yunisa</w:t>
      </w:r>
      <w:proofErr w:type="spellEnd"/>
      <w:r>
        <w:t xml:space="preserve">, Y., </w:t>
      </w:r>
      <w:proofErr w:type="spellStart"/>
      <w:r>
        <w:t>Suhaera</w:t>
      </w:r>
      <w:proofErr w:type="spellEnd"/>
      <w:r>
        <w:t xml:space="preserve">, S., &amp; Sari, S. (2023). Proximate Analysis of </w:t>
      </w:r>
      <w:proofErr w:type="spellStart"/>
      <w:r>
        <w:t>Bronok</w:t>
      </w:r>
      <w:proofErr w:type="spellEnd"/>
      <w:r>
        <w:t xml:space="preserve"> (</w:t>
      </w:r>
      <w:proofErr w:type="spellStart"/>
      <w:r>
        <w:t>Acaudina</w:t>
      </w:r>
      <w:proofErr w:type="spellEnd"/>
      <w:r>
        <w:t xml:space="preserve"> </w:t>
      </w:r>
      <w:proofErr w:type="spellStart"/>
      <w:r>
        <w:t>Malpadioides</w:t>
      </w:r>
      <w:proofErr w:type="spellEnd"/>
      <w:r>
        <w:t>). The Journal General Health and Pharmaceutical Sciences Research, 1(2), 31–40. https://doi.org/10.57213/tjghpsr.v1i2.224</w:t>
      </w:r>
    </w:p>
    <w:sectPr w:rsidR="00B01FCD" w:rsidRPr="00FB3A86" w:rsidSect="00B655E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8AA" w:rsidRDefault="006B18AA" w:rsidP="00C37E61">
      <w:r>
        <w:separator/>
      </w:r>
    </w:p>
  </w:endnote>
  <w:endnote w:type="continuationSeparator" w:id="0">
    <w:p w:rsidR="006B18AA" w:rsidRDefault="006B18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5E5" w:rsidRDefault="00B65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5E5" w:rsidRDefault="00B65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5E" w:rsidRDefault="00C22C5E">
    <w:pPr>
      <w:pStyle w:val="Footer"/>
      <w:rPr>
        <w:rFonts w:ascii="Arial" w:hAnsi="Arial" w:cs="Arial"/>
        <w:sz w:val="16"/>
      </w:rPr>
    </w:pPr>
  </w:p>
  <w:p w:rsidR="00C22C5E" w:rsidRDefault="00C22C5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C22C5E" w:rsidRDefault="00C22C5E">
    <w:pPr>
      <w:pStyle w:val="Footer"/>
      <w:rPr>
        <w:rFonts w:ascii="Arial" w:hAnsi="Arial" w:cs="Arial"/>
        <w:sz w:val="16"/>
      </w:rPr>
    </w:pPr>
  </w:p>
  <w:p w:rsidR="00C22C5E" w:rsidRPr="009E048A" w:rsidRDefault="00C22C5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5E" w:rsidRPr="00C37E61" w:rsidRDefault="00C22C5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8AA" w:rsidRDefault="006B18AA" w:rsidP="00C37E61">
      <w:r>
        <w:separator/>
      </w:r>
    </w:p>
  </w:footnote>
  <w:footnote w:type="continuationSeparator" w:id="0">
    <w:p w:rsidR="006B18AA" w:rsidRDefault="006B18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5E5" w:rsidRDefault="00B655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5E5" w:rsidRDefault="00B655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C5E" w:rsidRPr="00296529" w:rsidRDefault="00B655E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C22C5E" w:rsidRPr="00296529" w:rsidRDefault="00C22C5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C22C5E" w:rsidRPr="00296529" w:rsidRDefault="00C22C5E" w:rsidP="00296529">
    <w:pPr>
      <w:jc w:val="center"/>
      <w:rPr>
        <w:rFonts w:ascii="Times New Roman" w:eastAsia="Calibri" w:hAnsi="Times New Roman"/>
        <w:i/>
        <w:sz w:val="18"/>
        <w:szCs w:val="22"/>
      </w:rPr>
    </w:pPr>
    <w:r>
      <w:rPr>
        <w:rFonts w:ascii="Times New Roman" w:eastAsia="Calibri" w:hAnsi="Times New Roman"/>
        <w:i/>
        <w:sz w:val="18"/>
        <w:szCs w:val="22"/>
      </w:rPr>
      <w:t>.</w:t>
    </w:r>
  </w:p>
  <w:p w:rsidR="00C22C5E" w:rsidRPr="00296529" w:rsidRDefault="00C22C5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C22C5E" w:rsidRDefault="00C22C5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C22C5E" w:rsidRDefault="00C22C5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22C5E" w:rsidRDefault="00C22C5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5E5" w:rsidRDefault="00B655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5E5" w:rsidRDefault="00B655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5E5" w:rsidRDefault="00B655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3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C20B9C"/>
    <w:multiLevelType w:val="hybridMultilevel"/>
    <w:tmpl w:val="45B8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4D2484"/>
    <w:multiLevelType w:val="hybridMultilevel"/>
    <w:tmpl w:val="70A4CA14"/>
    <w:lvl w:ilvl="0" w:tplc="F3DE3028">
      <w:start w:val="1"/>
      <w:numFmt w:val="decimal"/>
      <w:lvlText w:val="3.%1"/>
      <w:lvlJc w:val="left"/>
      <w:pPr>
        <w:ind w:left="720" w:hanging="360"/>
      </w:pPr>
      <w:rPr>
        <w:rFonts w:hint="default"/>
      </w:rPr>
    </w:lvl>
    <w:lvl w:ilvl="1" w:tplc="989639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spelling="clean" w:grammar="clean"/>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FB8"/>
    <w:rsid w:val="000236CC"/>
    <w:rsid w:val="00030174"/>
    <w:rsid w:val="0004579C"/>
    <w:rsid w:val="000543FF"/>
    <w:rsid w:val="0007390D"/>
    <w:rsid w:val="000A47FA"/>
    <w:rsid w:val="000A65D3"/>
    <w:rsid w:val="000B08FE"/>
    <w:rsid w:val="000B1E33"/>
    <w:rsid w:val="000B797B"/>
    <w:rsid w:val="000D126E"/>
    <w:rsid w:val="000D689F"/>
    <w:rsid w:val="000E7B7B"/>
    <w:rsid w:val="000E7D62"/>
    <w:rsid w:val="000F39F6"/>
    <w:rsid w:val="00103357"/>
    <w:rsid w:val="00116858"/>
    <w:rsid w:val="00121C97"/>
    <w:rsid w:val="00123C9F"/>
    <w:rsid w:val="00126190"/>
    <w:rsid w:val="00130F17"/>
    <w:rsid w:val="001320BF"/>
    <w:rsid w:val="00163BC4"/>
    <w:rsid w:val="001640F2"/>
    <w:rsid w:val="001669DC"/>
    <w:rsid w:val="001807B2"/>
    <w:rsid w:val="00191062"/>
    <w:rsid w:val="00192B72"/>
    <w:rsid w:val="001947D6"/>
    <w:rsid w:val="001A29D8"/>
    <w:rsid w:val="001A5CAA"/>
    <w:rsid w:val="001B0427"/>
    <w:rsid w:val="001C062F"/>
    <w:rsid w:val="001C3EA5"/>
    <w:rsid w:val="001D3A51"/>
    <w:rsid w:val="001D7043"/>
    <w:rsid w:val="001E10D2"/>
    <w:rsid w:val="001E25B4"/>
    <w:rsid w:val="001E44FE"/>
    <w:rsid w:val="00200595"/>
    <w:rsid w:val="00204835"/>
    <w:rsid w:val="002208E1"/>
    <w:rsid w:val="00231920"/>
    <w:rsid w:val="0023195C"/>
    <w:rsid w:val="0024282C"/>
    <w:rsid w:val="002460DC"/>
    <w:rsid w:val="00250985"/>
    <w:rsid w:val="002556F6"/>
    <w:rsid w:val="00283105"/>
    <w:rsid w:val="00284C4C"/>
    <w:rsid w:val="00287E68"/>
    <w:rsid w:val="00296529"/>
    <w:rsid w:val="002B22E1"/>
    <w:rsid w:val="002B27FB"/>
    <w:rsid w:val="002B685A"/>
    <w:rsid w:val="002C57D2"/>
    <w:rsid w:val="002D6030"/>
    <w:rsid w:val="002E0D56"/>
    <w:rsid w:val="002E4D67"/>
    <w:rsid w:val="00315186"/>
    <w:rsid w:val="00321CCF"/>
    <w:rsid w:val="003326EA"/>
    <w:rsid w:val="0033343E"/>
    <w:rsid w:val="0033448E"/>
    <w:rsid w:val="003512C2"/>
    <w:rsid w:val="00365AF1"/>
    <w:rsid w:val="00371FB6"/>
    <w:rsid w:val="003763C1"/>
    <w:rsid w:val="00376BBE"/>
    <w:rsid w:val="00377210"/>
    <w:rsid w:val="0039224F"/>
    <w:rsid w:val="0039426C"/>
    <w:rsid w:val="003A43A4"/>
    <w:rsid w:val="003A7E18"/>
    <w:rsid w:val="003B5B12"/>
    <w:rsid w:val="003C4C86"/>
    <w:rsid w:val="003C6258"/>
    <w:rsid w:val="003D3106"/>
    <w:rsid w:val="003E2904"/>
    <w:rsid w:val="003E468B"/>
    <w:rsid w:val="00401927"/>
    <w:rsid w:val="0041027F"/>
    <w:rsid w:val="00412475"/>
    <w:rsid w:val="00422382"/>
    <w:rsid w:val="00423789"/>
    <w:rsid w:val="00431A2F"/>
    <w:rsid w:val="004401A1"/>
    <w:rsid w:val="00440F43"/>
    <w:rsid w:val="00441B6F"/>
    <w:rsid w:val="00442420"/>
    <w:rsid w:val="00446221"/>
    <w:rsid w:val="00450E62"/>
    <w:rsid w:val="004539DB"/>
    <w:rsid w:val="00471A80"/>
    <w:rsid w:val="00477B57"/>
    <w:rsid w:val="004B203F"/>
    <w:rsid w:val="004D305E"/>
    <w:rsid w:val="004D4277"/>
    <w:rsid w:val="004D6914"/>
    <w:rsid w:val="00502516"/>
    <w:rsid w:val="00505F06"/>
    <w:rsid w:val="00506828"/>
    <w:rsid w:val="00520A4B"/>
    <w:rsid w:val="0053056E"/>
    <w:rsid w:val="00554FDA"/>
    <w:rsid w:val="005660A5"/>
    <w:rsid w:val="0057404D"/>
    <w:rsid w:val="005C784C"/>
    <w:rsid w:val="005D17F6"/>
    <w:rsid w:val="005E5539"/>
    <w:rsid w:val="00602BF5"/>
    <w:rsid w:val="00610F06"/>
    <w:rsid w:val="00612B41"/>
    <w:rsid w:val="00617FDD"/>
    <w:rsid w:val="00625209"/>
    <w:rsid w:val="00633614"/>
    <w:rsid w:val="00633F68"/>
    <w:rsid w:val="00636EB2"/>
    <w:rsid w:val="006375B8"/>
    <w:rsid w:val="00655882"/>
    <w:rsid w:val="00657482"/>
    <w:rsid w:val="0066510A"/>
    <w:rsid w:val="00673F9F"/>
    <w:rsid w:val="0068448A"/>
    <w:rsid w:val="00686953"/>
    <w:rsid w:val="00687DEA"/>
    <w:rsid w:val="00687E67"/>
    <w:rsid w:val="006967F7"/>
    <w:rsid w:val="006A250C"/>
    <w:rsid w:val="006B18AA"/>
    <w:rsid w:val="006B21D3"/>
    <w:rsid w:val="006B57D0"/>
    <w:rsid w:val="006D289A"/>
    <w:rsid w:val="006D30FF"/>
    <w:rsid w:val="006D43B1"/>
    <w:rsid w:val="006D6940"/>
    <w:rsid w:val="006F11EC"/>
    <w:rsid w:val="006F461E"/>
    <w:rsid w:val="0070082C"/>
    <w:rsid w:val="007369E6"/>
    <w:rsid w:val="00746E59"/>
    <w:rsid w:val="00754C9A"/>
    <w:rsid w:val="0075599A"/>
    <w:rsid w:val="00761D52"/>
    <w:rsid w:val="007621D0"/>
    <w:rsid w:val="00766AF7"/>
    <w:rsid w:val="0077749E"/>
    <w:rsid w:val="0078076E"/>
    <w:rsid w:val="00790ADA"/>
    <w:rsid w:val="007B3AB6"/>
    <w:rsid w:val="007D2288"/>
    <w:rsid w:val="007D7A73"/>
    <w:rsid w:val="007E088F"/>
    <w:rsid w:val="007F7B32"/>
    <w:rsid w:val="00804BC2"/>
    <w:rsid w:val="008070AE"/>
    <w:rsid w:val="0081431A"/>
    <w:rsid w:val="0083216F"/>
    <w:rsid w:val="008456E6"/>
    <w:rsid w:val="00860000"/>
    <w:rsid w:val="00863BD3"/>
    <w:rsid w:val="008641ED"/>
    <w:rsid w:val="00866D66"/>
    <w:rsid w:val="008671C6"/>
    <w:rsid w:val="00875803"/>
    <w:rsid w:val="008B459E"/>
    <w:rsid w:val="008D172C"/>
    <w:rsid w:val="008E13AE"/>
    <w:rsid w:val="008E1506"/>
    <w:rsid w:val="008E710C"/>
    <w:rsid w:val="008F2FB2"/>
    <w:rsid w:val="008F69D6"/>
    <w:rsid w:val="00902823"/>
    <w:rsid w:val="00915CA6"/>
    <w:rsid w:val="00927834"/>
    <w:rsid w:val="0093092C"/>
    <w:rsid w:val="00944BD3"/>
    <w:rsid w:val="009500A6"/>
    <w:rsid w:val="00957835"/>
    <w:rsid w:val="00957C18"/>
    <w:rsid w:val="00962030"/>
    <w:rsid w:val="009659BA"/>
    <w:rsid w:val="00983040"/>
    <w:rsid w:val="009945F1"/>
    <w:rsid w:val="009B3FB9"/>
    <w:rsid w:val="009B4237"/>
    <w:rsid w:val="009C2465"/>
    <w:rsid w:val="009D35A0"/>
    <w:rsid w:val="009D7EB7"/>
    <w:rsid w:val="009E048A"/>
    <w:rsid w:val="009E08E9"/>
    <w:rsid w:val="009E3DB9"/>
    <w:rsid w:val="009E6E35"/>
    <w:rsid w:val="009F0EDA"/>
    <w:rsid w:val="009F7FD9"/>
    <w:rsid w:val="00A01EB7"/>
    <w:rsid w:val="00A03B96"/>
    <w:rsid w:val="00A05B19"/>
    <w:rsid w:val="00A1134E"/>
    <w:rsid w:val="00A24E7E"/>
    <w:rsid w:val="00A258C3"/>
    <w:rsid w:val="00A347C0"/>
    <w:rsid w:val="00A51431"/>
    <w:rsid w:val="00A539AD"/>
    <w:rsid w:val="00A84DE7"/>
    <w:rsid w:val="00A85BA9"/>
    <w:rsid w:val="00A94063"/>
    <w:rsid w:val="00A95680"/>
    <w:rsid w:val="00AA6219"/>
    <w:rsid w:val="00AA74E0"/>
    <w:rsid w:val="00AB703F"/>
    <w:rsid w:val="00AC33DB"/>
    <w:rsid w:val="00AC6BB8"/>
    <w:rsid w:val="00AD3CFE"/>
    <w:rsid w:val="00AE008F"/>
    <w:rsid w:val="00AF3414"/>
    <w:rsid w:val="00B01FCD"/>
    <w:rsid w:val="00B1776C"/>
    <w:rsid w:val="00B25F40"/>
    <w:rsid w:val="00B52583"/>
    <w:rsid w:val="00B52896"/>
    <w:rsid w:val="00B55992"/>
    <w:rsid w:val="00B642D1"/>
    <w:rsid w:val="00B655E5"/>
    <w:rsid w:val="00B80B7C"/>
    <w:rsid w:val="00B8469B"/>
    <w:rsid w:val="00B916D7"/>
    <w:rsid w:val="00B94347"/>
    <w:rsid w:val="00B95236"/>
    <w:rsid w:val="00B96BD9"/>
    <w:rsid w:val="00B96FE8"/>
    <w:rsid w:val="00BA0FB2"/>
    <w:rsid w:val="00BA1B01"/>
    <w:rsid w:val="00BA2641"/>
    <w:rsid w:val="00BB37AA"/>
    <w:rsid w:val="00BC53A0"/>
    <w:rsid w:val="00BE62AD"/>
    <w:rsid w:val="00BF121F"/>
    <w:rsid w:val="00BF1F80"/>
    <w:rsid w:val="00C166EF"/>
    <w:rsid w:val="00C1700D"/>
    <w:rsid w:val="00C17EB0"/>
    <w:rsid w:val="00C22C5E"/>
    <w:rsid w:val="00C27F5F"/>
    <w:rsid w:val="00C30A0F"/>
    <w:rsid w:val="00C37E61"/>
    <w:rsid w:val="00C70F1B"/>
    <w:rsid w:val="00C71A47"/>
    <w:rsid w:val="00C7464C"/>
    <w:rsid w:val="00C75BD7"/>
    <w:rsid w:val="00C85588"/>
    <w:rsid w:val="00CB4CEC"/>
    <w:rsid w:val="00CD2976"/>
    <w:rsid w:val="00CD6755"/>
    <w:rsid w:val="00CD6856"/>
    <w:rsid w:val="00CE0089"/>
    <w:rsid w:val="00CE4760"/>
    <w:rsid w:val="00CE793C"/>
    <w:rsid w:val="00CF0512"/>
    <w:rsid w:val="00CF193C"/>
    <w:rsid w:val="00D173F1"/>
    <w:rsid w:val="00D74CB0"/>
    <w:rsid w:val="00D80135"/>
    <w:rsid w:val="00D8295D"/>
    <w:rsid w:val="00DA55EA"/>
    <w:rsid w:val="00DC2A65"/>
    <w:rsid w:val="00DE15F0"/>
    <w:rsid w:val="00DE360C"/>
    <w:rsid w:val="00DE5663"/>
    <w:rsid w:val="00DE78AA"/>
    <w:rsid w:val="00E053D0"/>
    <w:rsid w:val="00E11A0A"/>
    <w:rsid w:val="00E15994"/>
    <w:rsid w:val="00E20EFF"/>
    <w:rsid w:val="00E3114E"/>
    <w:rsid w:val="00E3130B"/>
    <w:rsid w:val="00E31A70"/>
    <w:rsid w:val="00E35B02"/>
    <w:rsid w:val="00E66496"/>
    <w:rsid w:val="00E66B35"/>
    <w:rsid w:val="00E66E10"/>
    <w:rsid w:val="00E66FA8"/>
    <w:rsid w:val="00E67A40"/>
    <w:rsid w:val="00E769F6"/>
    <w:rsid w:val="00E8407C"/>
    <w:rsid w:val="00E84F3C"/>
    <w:rsid w:val="00EA012C"/>
    <w:rsid w:val="00EC6A55"/>
    <w:rsid w:val="00ED0288"/>
    <w:rsid w:val="00ED40AE"/>
    <w:rsid w:val="00EE52CB"/>
    <w:rsid w:val="00EE6E67"/>
    <w:rsid w:val="00EF581D"/>
    <w:rsid w:val="00EF7FD8"/>
    <w:rsid w:val="00F06F59"/>
    <w:rsid w:val="00F17988"/>
    <w:rsid w:val="00F469F0"/>
    <w:rsid w:val="00F53273"/>
    <w:rsid w:val="00F755E4"/>
    <w:rsid w:val="00F77D02"/>
    <w:rsid w:val="00F80F7D"/>
    <w:rsid w:val="00FB1D5C"/>
    <w:rsid w:val="00FB3A86"/>
    <w:rsid w:val="00FD36C8"/>
    <w:rsid w:val="00FE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332F2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5B12"/>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57835"/>
    <w:pPr>
      <w:ind w:left="720"/>
      <w:contextualSpacing/>
    </w:pPr>
  </w:style>
  <w:style w:type="character" w:styleId="PlaceholderText">
    <w:name w:val="Placeholder Text"/>
    <w:basedOn w:val="DefaultParagraphFont"/>
    <w:uiPriority w:val="99"/>
    <w:semiHidden/>
    <w:rsid w:val="00F80F7D"/>
    <w:rPr>
      <w:color w:val="808080"/>
    </w:rPr>
  </w:style>
  <w:style w:type="paragraph" w:styleId="Caption">
    <w:name w:val="caption"/>
    <w:basedOn w:val="Normal"/>
    <w:next w:val="Normal"/>
    <w:unhideWhenUsed/>
    <w:qFormat/>
    <w:rsid w:val="000543FF"/>
    <w:pPr>
      <w:spacing w:after="200"/>
    </w:pPr>
    <w:rPr>
      <w:i/>
      <w:iCs/>
      <w:color w:val="1F497D" w:themeColor="text2"/>
      <w:sz w:val="18"/>
      <w:szCs w:val="18"/>
    </w:rPr>
  </w:style>
  <w:style w:type="character" w:customStyle="1" w:styleId="Heading1Char">
    <w:name w:val="Heading 1 Char"/>
    <w:basedOn w:val="DefaultParagraphFont"/>
    <w:link w:val="Heading1"/>
    <w:uiPriority w:val="9"/>
    <w:rsid w:val="00FB1D5C"/>
    <w:rPr>
      <w:rFonts w:ascii="Arial" w:hAnsi="Arial"/>
      <w:b/>
      <w:kern w:val="28"/>
      <w:sz w:val="28"/>
    </w:rPr>
  </w:style>
  <w:style w:type="paragraph" w:styleId="NormalWeb">
    <w:name w:val="Normal (Web)"/>
    <w:basedOn w:val="Normal"/>
    <w:semiHidden/>
    <w:unhideWhenUsed/>
    <w:rsid w:val="003E468B"/>
    <w:rPr>
      <w:rFonts w:ascii="Times New Roman" w:hAnsi="Times New Roman"/>
      <w:sz w:val="24"/>
      <w:szCs w:val="24"/>
    </w:rPr>
  </w:style>
  <w:style w:type="character" w:styleId="UnresolvedMention">
    <w:name w:val="Unresolved Mention"/>
    <w:basedOn w:val="DefaultParagraphFont"/>
    <w:uiPriority w:val="99"/>
    <w:semiHidden/>
    <w:unhideWhenUsed/>
    <w:rsid w:val="00AC3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8945138">
      <w:bodyDiv w:val="1"/>
      <w:marLeft w:val="0"/>
      <w:marRight w:val="0"/>
      <w:marTop w:val="0"/>
      <w:marBottom w:val="0"/>
      <w:divBdr>
        <w:top w:val="none" w:sz="0" w:space="0" w:color="auto"/>
        <w:left w:val="none" w:sz="0" w:space="0" w:color="auto"/>
        <w:bottom w:val="none" w:sz="0" w:space="0" w:color="auto"/>
        <w:right w:val="none" w:sz="0" w:space="0" w:color="auto"/>
      </w:divBdr>
    </w:div>
    <w:div w:id="503596905">
      <w:bodyDiv w:val="1"/>
      <w:marLeft w:val="0"/>
      <w:marRight w:val="0"/>
      <w:marTop w:val="0"/>
      <w:marBottom w:val="0"/>
      <w:divBdr>
        <w:top w:val="none" w:sz="0" w:space="0" w:color="auto"/>
        <w:left w:val="none" w:sz="0" w:space="0" w:color="auto"/>
        <w:bottom w:val="none" w:sz="0" w:space="0" w:color="auto"/>
        <w:right w:val="none" w:sz="0" w:space="0" w:color="auto"/>
      </w:divBdr>
    </w:div>
    <w:div w:id="5651879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23793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B82C-FE9D-463C-B486-84807026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743</TotalTime>
  <Pages>10</Pages>
  <Words>17501</Words>
  <Characters>99756</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117023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2026-05-11T07:55:00Z</dcterms:created>
  <dcterms:modified xsi:type="dcterms:W3CDTF">2026-05-20T11:01:00Z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d637f38a-190e-3760-9e6f-9ac4f06d971c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http://www.zotero.org/styles/apa</vt:lpwstr>
  </property>
  <property fmtid="{D5CDD505-2E9C-101B-9397-08002B2CF9AE}" pid="8" name="Mendeley Recent Style Name 1_1">
    <vt:lpwstr>APA Style 7th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APSA Style Manual revised 2018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ASA Style Guide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(author-date/Harvard)</vt:lpwstr>
  </property>
  <property fmtid="{D5CDD505-2E9C-101B-9397-08002B2CF9AE}" pid="17" name="Mendeley Recent Style Id 6_1">
    <vt:lpwstr>http://www.zotero.org/styles/ieee</vt:lpwstr>
  </property>
  <property fmtid="{D5CDD505-2E9C-101B-9397-08002B2CF9AE}" pid="18" name="Mendeley Recent Style Name 6_1">
    <vt:lpwstr>IEEE Reference Guide version 11.29.2023</vt:lpwstr>
  </property>
  <property fmtid="{D5CDD505-2E9C-101B-9397-08002B2CF9AE}" pid="19" name="Mendeley Recent Style Id 7_1">
    <vt:lpwstr>http://www.zotero.org/styles/modern-language-association</vt:lpwstr>
  </property>
  <property fmtid="{D5CDD505-2E9C-101B-9397-08002B2CF9AE}" pid="20" name="Mendeley Recent Style Name 7_1">
    <vt:lpwstr>MLA Handbook 9th edition (in-text citations)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