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89CA2" w14:textId="48C2FD67" w:rsidR="003850E0" w:rsidRDefault="003850E0" w:rsidP="003850E0">
      <w:pPr>
        <w:rPr>
          <w:b/>
          <w:bCs/>
          <w:sz w:val="28"/>
          <w:szCs w:val="28"/>
        </w:rPr>
      </w:pPr>
      <w:r w:rsidRPr="00E32160">
        <w:rPr>
          <w:b/>
          <w:bCs/>
          <w:sz w:val="28"/>
          <w:szCs w:val="28"/>
        </w:rPr>
        <w:t>Agricultural Biotechnology for Climate-Resilient Farming Systems in Odisha, India: Advances, Field Evidence and Future Strategies</w:t>
      </w:r>
    </w:p>
    <w:p w14:paraId="7B8046C9" w14:textId="77777777" w:rsidR="002A2AC5" w:rsidRDefault="002A2AC5" w:rsidP="003850E0">
      <w:pPr>
        <w:rPr>
          <w:b/>
          <w:bCs/>
          <w:sz w:val="28"/>
          <w:szCs w:val="28"/>
        </w:rPr>
      </w:pPr>
    </w:p>
    <w:p w14:paraId="15880F56" w14:textId="77777777" w:rsidR="002A2AC5" w:rsidRPr="00DE6A5F" w:rsidRDefault="002A2AC5" w:rsidP="00DE6A5F">
      <w:pPr>
        <w:spacing w:line="240" w:lineRule="auto"/>
        <w:rPr>
          <w:rFonts w:ascii="Times New Roman" w:hAnsi="Times New Roman" w:cs="Times New Roman"/>
          <w:sz w:val="24"/>
          <w:szCs w:val="24"/>
        </w:rPr>
      </w:pPr>
      <w:bookmarkStart w:id="0" w:name="_GoBack"/>
      <w:bookmarkEnd w:id="0"/>
    </w:p>
    <w:p w14:paraId="56CF6E65" w14:textId="09B4207C" w:rsidR="003850E0" w:rsidRPr="00E32160" w:rsidRDefault="002B56CB" w:rsidP="003850E0">
      <w:r>
        <w:rPr>
          <w:sz w:val="28"/>
          <w:szCs w:val="28"/>
        </w:rPr>
        <w:pict w14:anchorId="4A8A4EC4">
          <v:rect id="_x0000_i1025" style="width:0;height:1.5pt" o:hralign="center" o:hrstd="t" o:hr="t" fillcolor="#a0a0a0" stroked="f"/>
        </w:pict>
      </w:r>
    </w:p>
    <w:p w14:paraId="767674B2" w14:textId="77777777" w:rsidR="00CE55E4" w:rsidRPr="00CE55E4" w:rsidRDefault="00CE55E4" w:rsidP="00CE55E4">
      <w:pPr>
        <w:rPr>
          <w:rFonts w:ascii="Times New Roman" w:hAnsi="Times New Roman" w:cs="Times New Roman"/>
          <w:b/>
          <w:bCs/>
          <w:sz w:val="24"/>
          <w:szCs w:val="24"/>
        </w:rPr>
      </w:pPr>
      <w:r w:rsidRPr="00CE55E4">
        <w:rPr>
          <w:rFonts w:ascii="Times New Roman" w:hAnsi="Times New Roman" w:cs="Times New Roman"/>
          <w:b/>
          <w:bCs/>
          <w:sz w:val="24"/>
          <w:szCs w:val="24"/>
        </w:rPr>
        <w:t>ABSTRACT</w:t>
      </w:r>
    </w:p>
    <w:p w14:paraId="3967C015"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Agriculture in Odisha is increasingly threatened by climate variability, including recurrent floods, droughts, cyclones, salinity intrusion and rising temperature stress. These environmental pressures significantly affect crop productivity, soil fertility, water availability and livelihood security of smallholder farmers. The predominance of rainfed agriculture and the dependence of rural communities on rice-based cropping systems further intensify vulnerability to climate change. In this context, agricultural biotechnology has emerged as an important scientific approach for strengthening climate resilience and promoting sustainable agricultural development. Biotechnology-based interventions such as stress-tolerant crop varieties, biofertilizers, biopesticides, microbial consortia, marker-assisted breeding, genome editing and artificial intelligence-assisted precision agriculture provide adaptive solutions for enhancing crop productivity and environmental sustainability.</w:t>
      </w:r>
    </w:p>
    <w:p w14:paraId="5C40C35D"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 xml:space="preserve">This review critically evaluates recent advancements in agricultural biotechnology with special emphasis on Odisha’s </w:t>
      </w:r>
      <w:proofErr w:type="spellStart"/>
      <w:r w:rsidRPr="00CE55E4">
        <w:rPr>
          <w:rFonts w:ascii="Times New Roman" w:hAnsi="Times New Roman" w:cs="Times New Roman"/>
          <w:sz w:val="24"/>
          <w:szCs w:val="24"/>
        </w:rPr>
        <w:t>agro</w:t>
      </w:r>
      <w:proofErr w:type="spellEnd"/>
      <w:r w:rsidRPr="00CE55E4">
        <w:rPr>
          <w:rFonts w:ascii="Times New Roman" w:hAnsi="Times New Roman" w:cs="Times New Roman"/>
          <w:sz w:val="24"/>
          <w:szCs w:val="24"/>
        </w:rPr>
        <w:t>-ecosystems. The study synthesizes evidence from flood-tolerant rice systems, millet-based drought-resilient farming, microbial biotechnology and digital agriculture initiatives implemented across eastern India. Field studies indicate that submergence-tolerant rice varieties can stabilize yields by 40–60% under flood conditions, while millet systems integrated with biofertilizers improve productivity and farmer income under rainfed environments. The review also discusses emerging technologies such as CRISPR-Cas genome editing, AI-driven crop monitoring, microbial engineering and climate-smart farming systems.</w:t>
      </w:r>
    </w:p>
    <w:p w14:paraId="3B93A98B"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 xml:space="preserve">In addition, the paper </w:t>
      </w:r>
      <w:proofErr w:type="spellStart"/>
      <w:r w:rsidRPr="00CE55E4">
        <w:rPr>
          <w:rFonts w:ascii="Times New Roman" w:hAnsi="Times New Roman" w:cs="Times New Roman"/>
          <w:sz w:val="24"/>
          <w:szCs w:val="24"/>
        </w:rPr>
        <w:t>analyzes</w:t>
      </w:r>
      <w:proofErr w:type="spellEnd"/>
      <w:r w:rsidRPr="00CE55E4">
        <w:rPr>
          <w:rFonts w:ascii="Times New Roman" w:hAnsi="Times New Roman" w:cs="Times New Roman"/>
          <w:sz w:val="24"/>
          <w:szCs w:val="24"/>
        </w:rPr>
        <w:t xml:space="preserve"> key barriers limiting biotechnology adoption, including inadequate awareness, limited extension support, poor access to quality bio-inputs, fragmented landholdings and institutional constraints. Strategic recommendations are proposed for integrating biotechnology with policy support, digital agriculture, farmer training and ecosystem-based management. The review concludes that location-specific and farmer-</w:t>
      </w:r>
      <w:proofErr w:type="spellStart"/>
      <w:r w:rsidRPr="00CE55E4">
        <w:rPr>
          <w:rFonts w:ascii="Times New Roman" w:hAnsi="Times New Roman" w:cs="Times New Roman"/>
          <w:sz w:val="24"/>
          <w:szCs w:val="24"/>
        </w:rPr>
        <w:t>centered</w:t>
      </w:r>
      <w:proofErr w:type="spellEnd"/>
      <w:r w:rsidRPr="00CE55E4">
        <w:rPr>
          <w:rFonts w:ascii="Times New Roman" w:hAnsi="Times New Roman" w:cs="Times New Roman"/>
          <w:sz w:val="24"/>
          <w:szCs w:val="24"/>
        </w:rPr>
        <w:t xml:space="preserve"> biotechnology interventions can significantly enhance climate resilience, food security and sustainable agricultural transformation in Odisha and similar climate-vulnerable regions.</w:t>
      </w:r>
    </w:p>
    <w:p w14:paraId="2ADBFC69" w14:textId="07837672"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b/>
          <w:bCs/>
          <w:sz w:val="24"/>
          <w:szCs w:val="24"/>
        </w:rPr>
        <w:t>Keywords:</w:t>
      </w:r>
      <w:r w:rsidRPr="00CE55E4">
        <w:rPr>
          <w:rFonts w:ascii="Times New Roman" w:hAnsi="Times New Roman" w:cs="Times New Roman"/>
          <w:sz w:val="24"/>
          <w:szCs w:val="24"/>
        </w:rPr>
        <w:t xml:space="preserve"> </w:t>
      </w:r>
      <w:r w:rsidRPr="00B96CAF">
        <w:rPr>
          <w:rFonts w:ascii="Times New Roman" w:hAnsi="Times New Roman" w:cs="Times New Roman"/>
          <w:i/>
          <w:iCs/>
          <w:sz w:val="24"/>
          <w:szCs w:val="24"/>
        </w:rPr>
        <w:t>Agricultural biotechnology</w:t>
      </w:r>
      <w:r w:rsidR="00B96CAF" w:rsidRPr="00B96CAF">
        <w:rPr>
          <w:rFonts w:ascii="Times New Roman" w:hAnsi="Times New Roman" w:cs="Times New Roman"/>
          <w:i/>
          <w:iCs/>
          <w:sz w:val="24"/>
          <w:szCs w:val="24"/>
        </w:rPr>
        <w:t>,</w:t>
      </w:r>
      <w:r w:rsidRPr="00B96CAF">
        <w:rPr>
          <w:rFonts w:ascii="Times New Roman" w:hAnsi="Times New Roman" w:cs="Times New Roman"/>
          <w:i/>
          <w:iCs/>
          <w:sz w:val="24"/>
          <w:szCs w:val="24"/>
        </w:rPr>
        <w:t xml:space="preserve"> </w:t>
      </w:r>
      <w:r w:rsidR="00B96CAF" w:rsidRPr="00B96CAF">
        <w:rPr>
          <w:rFonts w:ascii="Times New Roman" w:hAnsi="Times New Roman" w:cs="Times New Roman"/>
          <w:i/>
          <w:iCs/>
          <w:sz w:val="24"/>
          <w:szCs w:val="24"/>
        </w:rPr>
        <w:t>C</w:t>
      </w:r>
      <w:r w:rsidRPr="00B96CAF">
        <w:rPr>
          <w:rFonts w:ascii="Times New Roman" w:hAnsi="Times New Roman" w:cs="Times New Roman"/>
          <w:i/>
          <w:iCs/>
          <w:sz w:val="24"/>
          <w:szCs w:val="24"/>
        </w:rPr>
        <w:t>limate-resilient agriculture</w:t>
      </w:r>
      <w:r w:rsidR="00B96CAF" w:rsidRPr="00B96CAF">
        <w:rPr>
          <w:rFonts w:ascii="Times New Roman" w:hAnsi="Times New Roman" w:cs="Times New Roman"/>
          <w:i/>
          <w:iCs/>
          <w:sz w:val="24"/>
          <w:szCs w:val="24"/>
        </w:rPr>
        <w:t>,</w:t>
      </w:r>
      <w:r w:rsidRPr="00B96CAF">
        <w:rPr>
          <w:rFonts w:ascii="Times New Roman" w:hAnsi="Times New Roman" w:cs="Times New Roman"/>
          <w:i/>
          <w:iCs/>
          <w:sz w:val="24"/>
          <w:szCs w:val="24"/>
        </w:rPr>
        <w:t xml:space="preserve"> Odisha</w:t>
      </w:r>
      <w:r w:rsidR="00B96CAF" w:rsidRPr="00B96CAF">
        <w:rPr>
          <w:rFonts w:ascii="Times New Roman" w:hAnsi="Times New Roman" w:cs="Times New Roman"/>
          <w:i/>
          <w:iCs/>
          <w:sz w:val="24"/>
          <w:szCs w:val="24"/>
        </w:rPr>
        <w:t>,</w:t>
      </w:r>
      <w:r w:rsidRPr="00B96CAF">
        <w:rPr>
          <w:rFonts w:ascii="Times New Roman" w:hAnsi="Times New Roman" w:cs="Times New Roman"/>
          <w:i/>
          <w:iCs/>
          <w:sz w:val="24"/>
          <w:szCs w:val="24"/>
        </w:rPr>
        <w:t xml:space="preserve"> </w:t>
      </w:r>
      <w:r w:rsidR="00B96CAF" w:rsidRPr="00B96CAF">
        <w:rPr>
          <w:rFonts w:ascii="Times New Roman" w:hAnsi="Times New Roman" w:cs="Times New Roman"/>
          <w:i/>
          <w:iCs/>
          <w:sz w:val="24"/>
          <w:szCs w:val="24"/>
        </w:rPr>
        <w:t>B</w:t>
      </w:r>
      <w:r w:rsidRPr="00B96CAF">
        <w:rPr>
          <w:rFonts w:ascii="Times New Roman" w:hAnsi="Times New Roman" w:cs="Times New Roman"/>
          <w:i/>
          <w:iCs/>
          <w:sz w:val="24"/>
          <w:szCs w:val="24"/>
        </w:rPr>
        <w:t>iofertilizers</w:t>
      </w:r>
      <w:r w:rsidR="00B96CAF" w:rsidRPr="00B96CAF">
        <w:rPr>
          <w:rFonts w:ascii="Times New Roman" w:hAnsi="Times New Roman" w:cs="Times New Roman"/>
          <w:i/>
          <w:iCs/>
          <w:sz w:val="24"/>
          <w:szCs w:val="24"/>
        </w:rPr>
        <w:t>,</w:t>
      </w:r>
      <w:r w:rsidRPr="00B96CAF">
        <w:rPr>
          <w:rFonts w:ascii="Times New Roman" w:hAnsi="Times New Roman" w:cs="Times New Roman"/>
          <w:i/>
          <w:iCs/>
          <w:sz w:val="24"/>
          <w:szCs w:val="24"/>
        </w:rPr>
        <w:t xml:space="preserve"> </w:t>
      </w:r>
      <w:r w:rsidR="00B96CAF" w:rsidRPr="00B96CAF">
        <w:rPr>
          <w:rFonts w:ascii="Times New Roman" w:hAnsi="Times New Roman" w:cs="Times New Roman"/>
          <w:i/>
          <w:iCs/>
          <w:sz w:val="24"/>
          <w:szCs w:val="24"/>
        </w:rPr>
        <w:t>C</w:t>
      </w:r>
      <w:r w:rsidRPr="00B96CAF">
        <w:rPr>
          <w:rFonts w:ascii="Times New Roman" w:hAnsi="Times New Roman" w:cs="Times New Roman"/>
          <w:i/>
          <w:iCs/>
          <w:sz w:val="24"/>
          <w:szCs w:val="24"/>
        </w:rPr>
        <w:t>limate change adaptation</w:t>
      </w:r>
      <w:r w:rsidR="00B96CAF" w:rsidRPr="00B96CAF">
        <w:rPr>
          <w:rFonts w:ascii="Times New Roman" w:hAnsi="Times New Roman" w:cs="Times New Roman"/>
          <w:i/>
          <w:iCs/>
          <w:sz w:val="24"/>
          <w:szCs w:val="24"/>
        </w:rPr>
        <w:t>, M</w:t>
      </w:r>
      <w:r w:rsidRPr="00B96CAF">
        <w:rPr>
          <w:rFonts w:ascii="Times New Roman" w:hAnsi="Times New Roman" w:cs="Times New Roman"/>
          <w:i/>
          <w:iCs/>
          <w:sz w:val="24"/>
          <w:szCs w:val="24"/>
        </w:rPr>
        <w:t>arker-assisted selection</w:t>
      </w:r>
      <w:r w:rsidR="00B96CAF" w:rsidRPr="00B96CAF">
        <w:rPr>
          <w:rFonts w:ascii="Times New Roman" w:hAnsi="Times New Roman" w:cs="Times New Roman"/>
          <w:i/>
          <w:iCs/>
          <w:sz w:val="24"/>
          <w:szCs w:val="24"/>
        </w:rPr>
        <w:t>,</w:t>
      </w:r>
      <w:r w:rsidRPr="00B96CAF">
        <w:rPr>
          <w:rFonts w:ascii="Times New Roman" w:hAnsi="Times New Roman" w:cs="Times New Roman"/>
          <w:i/>
          <w:iCs/>
          <w:sz w:val="24"/>
          <w:szCs w:val="24"/>
        </w:rPr>
        <w:t xml:space="preserve"> CRISPR</w:t>
      </w:r>
      <w:r w:rsidR="00B96CAF" w:rsidRPr="00B96CAF">
        <w:rPr>
          <w:rFonts w:ascii="Times New Roman" w:hAnsi="Times New Roman" w:cs="Times New Roman"/>
          <w:i/>
          <w:iCs/>
          <w:sz w:val="24"/>
          <w:szCs w:val="24"/>
        </w:rPr>
        <w:t>, D</w:t>
      </w:r>
      <w:r w:rsidRPr="00B96CAF">
        <w:rPr>
          <w:rFonts w:ascii="Times New Roman" w:hAnsi="Times New Roman" w:cs="Times New Roman"/>
          <w:i/>
          <w:iCs/>
          <w:sz w:val="24"/>
          <w:szCs w:val="24"/>
        </w:rPr>
        <w:t>igital agriculture</w:t>
      </w:r>
      <w:r w:rsidR="00B96CAF" w:rsidRPr="00B96CAF">
        <w:rPr>
          <w:rFonts w:ascii="Times New Roman" w:hAnsi="Times New Roman" w:cs="Times New Roman"/>
          <w:i/>
          <w:iCs/>
          <w:sz w:val="24"/>
          <w:szCs w:val="24"/>
        </w:rPr>
        <w:t>, S</w:t>
      </w:r>
      <w:r w:rsidRPr="00B96CAF">
        <w:rPr>
          <w:rFonts w:ascii="Times New Roman" w:hAnsi="Times New Roman" w:cs="Times New Roman"/>
          <w:i/>
          <w:iCs/>
          <w:sz w:val="24"/>
          <w:szCs w:val="24"/>
        </w:rPr>
        <w:t>ustainable farming</w:t>
      </w:r>
      <w:r w:rsidR="00B96CAF" w:rsidRPr="00B96CAF">
        <w:rPr>
          <w:rFonts w:ascii="Times New Roman" w:hAnsi="Times New Roman" w:cs="Times New Roman"/>
          <w:i/>
          <w:iCs/>
          <w:sz w:val="24"/>
          <w:szCs w:val="24"/>
        </w:rPr>
        <w:t>,</w:t>
      </w:r>
      <w:r w:rsidRPr="00B96CAF">
        <w:rPr>
          <w:rFonts w:ascii="Times New Roman" w:hAnsi="Times New Roman" w:cs="Times New Roman"/>
          <w:i/>
          <w:iCs/>
          <w:sz w:val="24"/>
          <w:szCs w:val="24"/>
        </w:rPr>
        <w:t xml:space="preserve"> </w:t>
      </w:r>
      <w:r w:rsidR="00B96CAF" w:rsidRPr="00B96CAF">
        <w:rPr>
          <w:rFonts w:ascii="Times New Roman" w:hAnsi="Times New Roman" w:cs="Times New Roman"/>
          <w:i/>
          <w:iCs/>
          <w:sz w:val="24"/>
          <w:szCs w:val="24"/>
        </w:rPr>
        <w:t>B</w:t>
      </w:r>
      <w:r w:rsidRPr="00B96CAF">
        <w:rPr>
          <w:rFonts w:ascii="Times New Roman" w:hAnsi="Times New Roman" w:cs="Times New Roman"/>
          <w:i/>
          <w:iCs/>
          <w:sz w:val="24"/>
          <w:szCs w:val="24"/>
        </w:rPr>
        <w:t>iopesticides</w:t>
      </w:r>
    </w:p>
    <w:p w14:paraId="546F037D" w14:textId="77777777" w:rsidR="00CE55E4" w:rsidRPr="00CE55E4" w:rsidRDefault="002B56CB" w:rsidP="00CE55E4">
      <w:pPr>
        <w:rPr>
          <w:rFonts w:ascii="Times New Roman" w:hAnsi="Times New Roman" w:cs="Times New Roman"/>
          <w:sz w:val="24"/>
          <w:szCs w:val="24"/>
        </w:rPr>
      </w:pPr>
      <w:r>
        <w:rPr>
          <w:rFonts w:ascii="Times New Roman" w:hAnsi="Times New Roman" w:cs="Times New Roman"/>
          <w:sz w:val="24"/>
          <w:szCs w:val="24"/>
        </w:rPr>
        <w:pict w14:anchorId="2BD5F5DD">
          <v:rect id="_x0000_i1026" style="width:0;height:1.5pt" o:hralign="center" o:hrstd="t" o:hr="t" fillcolor="#a0a0a0" stroked="f"/>
        </w:pict>
      </w:r>
    </w:p>
    <w:p w14:paraId="41E5A6DB" w14:textId="77777777" w:rsidR="00CE55E4" w:rsidRPr="00CE55E4" w:rsidRDefault="00CE55E4" w:rsidP="00CE55E4">
      <w:pPr>
        <w:rPr>
          <w:rFonts w:ascii="Times New Roman" w:hAnsi="Times New Roman" w:cs="Times New Roman"/>
          <w:b/>
          <w:bCs/>
          <w:sz w:val="24"/>
          <w:szCs w:val="24"/>
        </w:rPr>
      </w:pPr>
      <w:r w:rsidRPr="00CE55E4">
        <w:rPr>
          <w:rFonts w:ascii="Times New Roman" w:hAnsi="Times New Roman" w:cs="Times New Roman"/>
          <w:b/>
          <w:bCs/>
          <w:sz w:val="24"/>
          <w:szCs w:val="24"/>
        </w:rPr>
        <w:t>1. INTRODUCTION</w:t>
      </w:r>
    </w:p>
    <w:p w14:paraId="223EEE3C"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lastRenderedPageBreak/>
        <w:t xml:space="preserve">Agriculture remains the backbone of Odisha’s economy and supports the livelihoods of a major proportion of the rural population. The state contributes significantly to India’s rice production and possesses diverse </w:t>
      </w:r>
      <w:proofErr w:type="spellStart"/>
      <w:r w:rsidRPr="00CE55E4">
        <w:rPr>
          <w:rFonts w:ascii="Times New Roman" w:hAnsi="Times New Roman" w:cs="Times New Roman"/>
          <w:sz w:val="24"/>
          <w:szCs w:val="24"/>
        </w:rPr>
        <w:t>agro</w:t>
      </w:r>
      <w:proofErr w:type="spellEnd"/>
      <w:r w:rsidRPr="00CE55E4">
        <w:rPr>
          <w:rFonts w:ascii="Times New Roman" w:hAnsi="Times New Roman" w:cs="Times New Roman"/>
          <w:sz w:val="24"/>
          <w:szCs w:val="24"/>
        </w:rPr>
        <w:t>-climatic regions ranging from coastal plains to tribal uplands and drought-prone western districts. Despite its agricultural importance, Odisha is one of the most climate-vulnerable states in India due to its geographical location along the Bay of Bengal and its dependence on monsoon-driven farming systems.</w:t>
      </w:r>
    </w:p>
    <w:p w14:paraId="634642FF"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Climate variability has become one of the most serious challenges affecting agricultural sustainability in Odisha. The state frequently experiences cyclones, floods, droughts, irregular rainfall and heat stress, all of which directly reduce crop productivity and destabilize rural livelihoods. Coastal districts are highly vulnerable to flooding and salinity intrusion, whereas western districts face severe drought and soil moisture deficits. These climatic disturbances not only reduce crop yields but also accelerate soil degradation, nutrient depletion and biodiversity loss.</w:t>
      </w:r>
    </w:p>
    <w:p w14:paraId="19850A41"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Rice-based farming systems dominate Odisha agriculture, occupying the majority of cultivated land. However, rice cultivation is highly sensitive to climatic fluctuations, especially flooding and temperature stress. Climate-related yield instability has increased in recent years, leading to economic losses among smallholder farmers. The majority of farmers in Odisha are small and marginal landholders with limited access to irrigation, credit and modern technologies, which further intensifies their vulnerability.</w:t>
      </w:r>
    </w:p>
    <w:p w14:paraId="1FE71C62"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Conventional agricultural practices that rely heavily on chemical fertilizers and pesticides have contributed to declining soil fertility, environmental pollution and reduced microbial diversity. Excessive dependence on external inputs also increases production costs and ecological stress. Therefore, there is an urgent need for sustainable and climate-resilient agricultural approaches capable of improving productivity while conserving natural resources.</w:t>
      </w:r>
    </w:p>
    <w:p w14:paraId="00389AFF"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Agricultural biotechnology has emerged as a promising scientific solution for addressing these challenges. Biotechnology encompasses a broad range of techniques including molecular breeding, genetic engineering, microbial biotechnology, tissue culture, biofertilizers, biopesticides and digital agriculture tools. These technologies improve crop tolerance to environmental stress, enhance nutrient-use efficiency and reduce dependence on chemical inputs.</w:t>
      </w:r>
    </w:p>
    <w:p w14:paraId="169ECF61"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In recent years, advances in molecular biology and genomics have accelerated the development of stress-tolerant crop varieties. Marker-assisted selection and genome editing technologies such as CRISPR-Cas systems enable precise incorporation of desirable traits associated with drought tolerance, flood resistance and salinity adaptation. Similarly, microbial biotechnology improves soil biological activity and plant growth through beneficial microorganisms that enhance nutrient availability and stress resilience.</w:t>
      </w:r>
    </w:p>
    <w:p w14:paraId="65866C31"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Digital agriculture represents another emerging dimension of biotechnology. Artificial intelligence, remote sensing and precision farming tools provide real-time crop monitoring, weather forecasting and decision-support systems that help farmers manage climate risks more effectively. Such technologies are increasingly recognized as important components of climate-smart agriculture.</w:t>
      </w:r>
    </w:p>
    <w:p w14:paraId="70F18598"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lastRenderedPageBreak/>
        <w:t xml:space="preserve">Although biotechnology offers substantial opportunities, its adoption in Odisha remains limited due to poor awareness, weak extension systems, inadequate infrastructure and socio-economic constraints. Furthermore, region-specific synthesis of biotechnology applications for Odisha’s </w:t>
      </w:r>
      <w:proofErr w:type="spellStart"/>
      <w:r w:rsidRPr="00CE55E4">
        <w:rPr>
          <w:rFonts w:ascii="Times New Roman" w:hAnsi="Times New Roman" w:cs="Times New Roman"/>
          <w:sz w:val="24"/>
          <w:szCs w:val="24"/>
        </w:rPr>
        <w:t>agro</w:t>
      </w:r>
      <w:proofErr w:type="spellEnd"/>
      <w:r w:rsidRPr="00CE55E4">
        <w:rPr>
          <w:rFonts w:ascii="Times New Roman" w:hAnsi="Times New Roman" w:cs="Times New Roman"/>
          <w:sz w:val="24"/>
          <w:szCs w:val="24"/>
        </w:rPr>
        <w:t>-ecosystems is relatively limited in scientific literature.</w:t>
      </w:r>
    </w:p>
    <w:p w14:paraId="7F253138" w14:textId="5D122100"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Therefore, the present review aims to critically examine the role of agricultural biotechnology in enhancing climate resilience in Odisha. The study integrates recent scientific advancements, field-level case studies, policy perspectives and future strategic directions for sustainable agricultural development.</w:t>
      </w:r>
    </w:p>
    <w:p w14:paraId="50DE270E" w14:textId="77777777" w:rsidR="00CE55E4" w:rsidRPr="00CE55E4" w:rsidRDefault="00CE55E4" w:rsidP="00CE55E4">
      <w:pPr>
        <w:rPr>
          <w:rFonts w:ascii="Times New Roman" w:hAnsi="Times New Roman" w:cs="Times New Roman"/>
          <w:b/>
          <w:bCs/>
          <w:sz w:val="24"/>
          <w:szCs w:val="24"/>
        </w:rPr>
      </w:pPr>
      <w:r w:rsidRPr="00CE55E4">
        <w:rPr>
          <w:rFonts w:ascii="Times New Roman" w:hAnsi="Times New Roman" w:cs="Times New Roman"/>
          <w:b/>
          <w:bCs/>
          <w:sz w:val="24"/>
          <w:szCs w:val="24"/>
        </w:rPr>
        <w:t>2. CLIMATE CHALLENGES IN ODISHA AGRICULTURE</w:t>
      </w:r>
    </w:p>
    <w:p w14:paraId="758D2BB5"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Odisha agriculture is highly vulnerable to climate-related disturbances because of its ecological diversity, monsoon dependency and socio-economic conditions. The interaction between environmental stress and fragile agricultural systems creates substantial challenges for sustainable crop production.</w:t>
      </w:r>
    </w:p>
    <w:p w14:paraId="43D2C6F9" w14:textId="77777777" w:rsidR="00CE55E4" w:rsidRPr="00CE55E4" w:rsidRDefault="00CE55E4" w:rsidP="00CE55E4">
      <w:pPr>
        <w:rPr>
          <w:rFonts w:ascii="Times New Roman" w:hAnsi="Times New Roman" w:cs="Times New Roman"/>
          <w:b/>
          <w:bCs/>
          <w:sz w:val="24"/>
          <w:szCs w:val="24"/>
        </w:rPr>
      </w:pPr>
      <w:r w:rsidRPr="00CE55E4">
        <w:rPr>
          <w:rFonts w:ascii="Times New Roman" w:hAnsi="Times New Roman" w:cs="Times New Roman"/>
          <w:b/>
          <w:bCs/>
          <w:sz w:val="24"/>
          <w:szCs w:val="24"/>
        </w:rPr>
        <w:t>2.1 Floods and Cyclones</w:t>
      </w:r>
    </w:p>
    <w:p w14:paraId="082820FE"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 xml:space="preserve">The coastal districts of Odisha frequently experience floods and cyclones originating from the Bay of Bengal. Major cyclones such as </w:t>
      </w:r>
      <w:proofErr w:type="spellStart"/>
      <w:r w:rsidRPr="00CE55E4">
        <w:rPr>
          <w:rFonts w:ascii="Times New Roman" w:hAnsi="Times New Roman" w:cs="Times New Roman"/>
          <w:sz w:val="24"/>
          <w:szCs w:val="24"/>
        </w:rPr>
        <w:t>Fani</w:t>
      </w:r>
      <w:proofErr w:type="spellEnd"/>
      <w:r w:rsidRPr="00CE55E4">
        <w:rPr>
          <w:rFonts w:ascii="Times New Roman" w:hAnsi="Times New Roman" w:cs="Times New Roman"/>
          <w:sz w:val="24"/>
          <w:szCs w:val="24"/>
        </w:rPr>
        <w:t xml:space="preserve">, </w:t>
      </w:r>
      <w:proofErr w:type="spellStart"/>
      <w:r w:rsidRPr="00CE55E4">
        <w:rPr>
          <w:rFonts w:ascii="Times New Roman" w:hAnsi="Times New Roman" w:cs="Times New Roman"/>
          <w:sz w:val="24"/>
          <w:szCs w:val="24"/>
        </w:rPr>
        <w:t>Amphan</w:t>
      </w:r>
      <w:proofErr w:type="spellEnd"/>
      <w:r w:rsidRPr="00CE55E4">
        <w:rPr>
          <w:rFonts w:ascii="Times New Roman" w:hAnsi="Times New Roman" w:cs="Times New Roman"/>
          <w:sz w:val="24"/>
          <w:szCs w:val="24"/>
        </w:rPr>
        <w:t xml:space="preserve"> and </w:t>
      </w:r>
      <w:proofErr w:type="spellStart"/>
      <w:r w:rsidRPr="00CE55E4">
        <w:rPr>
          <w:rFonts w:ascii="Times New Roman" w:hAnsi="Times New Roman" w:cs="Times New Roman"/>
          <w:sz w:val="24"/>
          <w:szCs w:val="24"/>
        </w:rPr>
        <w:t>Yaas</w:t>
      </w:r>
      <w:proofErr w:type="spellEnd"/>
      <w:r w:rsidRPr="00CE55E4">
        <w:rPr>
          <w:rFonts w:ascii="Times New Roman" w:hAnsi="Times New Roman" w:cs="Times New Roman"/>
          <w:sz w:val="24"/>
          <w:szCs w:val="24"/>
        </w:rPr>
        <w:t xml:space="preserve"> caused severe agricultural damage, including crop submergence, soil erosion and salinity intrusion. Flooding during the monsoon season often destroys standing rice crops, resulting in major economic losses.</w:t>
      </w:r>
    </w:p>
    <w:p w14:paraId="06865E49"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Submergence stress affects rice physiology by reducing oxygen availability and impairing photosynthesis. Conventional rice varieties generally fail to survive prolonged inundation, leading to yield losses exceeding 50%. Waterlogging also damages soil structure and reduces microbial activity.</w:t>
      </w:r>
    </w:p>
    <w:p w14:paraId="6BDBB7DC"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Cyclones further aggravate agricultural stress through strong winds, saline water intrusion and destruction of irrigation infrastructure. Coastal salinity has emerged as an increasing concern affecting crop productivity and soil quality.</w:t>
      </w:r>
    </w:p>
    <w:p w14:paraId="67296C9A" w14:textId="77777777" w:rsidR="00CE55E4" w:rsidRPr="00CE55E4" w:rsidRDefault="00CE55E4" w:rsidP="00CE55E4">
      <w:pPr>
        <w:rPr>
          <w:rFonts w:ascii="Times New Roman" w:hAnsi="Times New Roman" w:cs="Times New Roman"/>
          <w:b/>
          <w:bCs/>
          <w:sz w:val="24"/>
          <w:szCs w:val="24"/>
        </w:rPr>
      </w:pPr>
      <w:r w:rsidRPr="00CE55E4">
        <w:rPr>
          <w:rFonts w:ascii="Times New Roman" w:hAnsi="Times New Roman" w:cs="Times New Roman"/>
          <w:b/>
          <w:bCs/>
          <w:sz w:val="24"/>
          <w:szCs w:val="24"/>
        </w:rPr>
        <w:t>2.2 Drought Stress</w:t>
      </w:r>
    </w:p>
    <w:p w14:paraId="3B384F8C"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Western Odisha frequently experiences drought due to erratic rainfall, delayed monsoon onset and prolonged dry spells. Rainfed farming systems dominate these regions, making crop production highly dependent on rainfall availability.</w:t>
      </w:r>
    </w:p>
    <w:p w14:paraId="7A509482"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Drought stress reduces seed germination, root growth, nutrient uptake and grain filling. Crops exposed to moisture deficit during reproductive stages exhibit significant yield reduction. High evapotranspiration rates and low water-holding capacity of soils further intensify drought impacts.</w:t>
      </w:r>
    </w:p>
    <w:p w14:paraId="005E3997"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Climate projections indicate that rainfall variability may increase in the future, leading to more frequent drought events. Therefore, drought-resilient farming systems are essential for ensuring food security in rainfed regions.</w:t>
      </w:r>
    </w:p>
    <w:p w14:paraId="39D3FACC" w14:textId="77777777" w:rsidR="00CE55E4" w:rsidRPr="00CE55E4" w:rsidRDefault="00CE55E4" w:rsidP="00CE55E4">
      <w:pPr>
        <w:rPr>
          <w:rFonts w:ascii="Times New Roman" w:hAnsi="Times New Roman" w:cs="Times New Roman"/>
          <w:b/>
          <w:bCs/>
          <w:sz w:val="24"/>
          <w:szCs w:val="24"/>
        </w:rPr>
      </w:pPr>
      <w:r w:rsidRPr="00CE55E4">
        <w:rPr>
          <w:rFonts w:ascii="Times New Roman" w:hAnsi="Times New Roman" w:cs="Times New Roman"/>
          <w:b/>
          <w:bCs/>
          <w:sz w:val="24"/>
          <w:szCs w:val="24"/>
        </w:rPr>
        <w:t>2.3 Temperature Stress</w:t>
      </w:r>
    </w:p>
    <w:p w14:paraId="14492CA5"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 xml:space="preserve">Rising temperature is another important climate-related challenge affecting Odisha agriculture. Increased temperature alters crop growth duration, reproductive development and </w:t>
      </w:r>
      <w:r w:rsidRPr="00CE55E4">
        <w:rPr>
          <w:rFonts w:ascii="Times New Roman" w:hAnsi="Times New Roman" w:cs="Times New Roman"/>
          <w:sz w:val="24"/>
          <w:szCs w:val="24"/>
        </w:rPr>
        <w:lastRenderedPageBreak/>
        <w:t>metabolic activity. Heat stress during flowering and grain-filling stages negatively affects rice yield and grain quality.</w:t>
      </w:r>
    </w:p>
    <w:p w14:paraId="56427135"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 xml:space="preserve">High temperatures also increase pest and disease incidence by creating </w:t>
      </w:r>
      <w:proofErr w:type="spellStart"/>
      <w:r w:rsidRPr="00CE55E4">
        <w:rPr>
          <w:rFonts w:ascii="Times New Roman" w:hAnsi="Times New Roman" w:cs="Times New Roman"/>
          <w:sz w:val="24"/>
          <w:szCs w:val="24"/>
        </w:rPr>
        <w:t>favorable</w:t>
      </w:r>
      <w:proofErr w:type="spellEnd"/>
      <w:r w:rsidRPr="00CE55E4">
        <w:rPr>
          <w:rFonts w:ascii="Times New Roman" w:hAnsi="Times New Roman" w:cs="Times New Roman"/>
          <w:sz w:val="24"/>
          <w:szCs w:val="24"/>
        </w:rPr>
        <w:t xml:space="preserve"> environmental conditions for pathogen multiplication. Climate-induced changes in pest dynamics may lead to increased pesticide use and production costs.</w:t>
      </w:r>
    </w:p>
    <w:p w14:paraId="4DFDF218" w14:textId="77777777" w:rsidR="00CE55E4" w:rsidRPr="00CE55E4" w:rsidRDefault="00CE55E4" w:rsidP="00CE55E4">
      <w:pPr>
        <w:rPr>
          <w:rFonts w:ascii="Times New Roman" w:hAnsi="Times New Roman" w:cs="Times New Roman"/>
          <w:b/>
          <w:bCs/>
          <w:sz w:val="24"/>
          <w:szCs w:val="24"/>
        </w:rPr>
      </w:pPr>
      <w:r w:rsidRPr="00CE55E4">
        <w:rPr>
          <w:rFonts w:ascii="Times New Roman" w:hAnsi="Times New Roman" w:cs="Times New Roman"/>
          <w:b/>
          <w:bCs/>
          <w:sz w:val="24"/>
          <w:szCs w:val="24"/>
        </w:rPr>
        <w:t>2.4 Soil Degradation and Nutrient Imbalance</w:t>
      </w:r>
    </w:p>
    <w:p w14:paraId="223D5584"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Soil degradation has become a major issue in many agricultural regions of Odisha. Continuous monocropping, excessive chemical fertilizer application and erosion reduce soil organic carbon and microbial diversity.</w:t>
      </w:r>
    </w:p>
    <w:p w14:paraId="260677C8"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Declining soil fertility limits nutrient availability and reduces crop productivity. Acidic soils, nutrient imbalance and reduced water retention capacity further constrain agricultural sustainability. Climate stress accelerates these problems by affecting soil biological processes and organic matter decomposition.</w:t>
      </w:r>
    </w:p>
    <w:p w14:paraId="612DEA6D" w14:textId="77777777" w:rsidR="00CE55E4" w:rsidRPr="00CE55E4" w:rsidRDefault="00CE55E4" w:rsidP="00CE55E4">
      <w:pPr>
        <w:rPr>
          <w:rFonts w:ascii="Times New Roman" w:hAnsi="Times New Roman" w:cs="Times New Roman"/>
          <w:b/>
          <w:bCs/>
          <w:sz w:val="24"/>
          <w:szCs w:val="24"/>
        </w:rPr>
      </w:pPr>
      <w:r w:rsidRPr="00CE55E4">
        <w:rPr>
          <w:rFonts w:ascii="Times New Roman" w:hAnsi="Times New Roman" w:cs="Times New Roman"/>
          <w:b/>
          <w:bCs/>
          <w:sz w:val="24"/>
          <w:szCs w:val="24"/>
        </w:rPr>
        <w:t>2.5 Socio-Economic Vulnerability</w:t>
      </w:r>
    </w:p>
    <w:p w14:paraId="4BF5D9AE" w14:textId="103DE8F1" w:rsidR="00CE55E4" w:rsidRDefault="00CE55E4" w:rsidP="003850E0">
      <w:pPr>
        <w:rPr>
          <w:rFonts w:ascii="Times New Roman" w:hAnsi="Times New Roman" w:cs="Times New Roman"/>
          <w:sz w:val="24"/>
          <w:szCs w:val="24"/>
        </w:rPr>
      </w:pPr>
      <w:r w:rsidRPr="00CE55E4">
        <w:rPr>
          <w:rFonts w:ascii="Times New Roman" w:hAnsi="Times New Roman" w:cs="Times New Roman"/>
          <w:sz w:val="24"/>
          <w:szCs w:val="24"/>
        </w:rPr>
        <w:t>The majority of Odisha farmers are small and marginal landholders with limited financial resources. Poor irrigation infrastructure, inadequate market access and weak extension services reduce adaptive capacity.</w:t>
      </w:r>
    </w:p>
    <w:p w14:paraId="3A36C0D2" w14:textId="77777777" w:rsidR="009B09CB" w:rsidRDefault="009B09CB" w:rsidP="009B09CB">
      <w:pPr>
        <w:rPr>
          <w:rFonts w:ascii="Times New Roman" w:hAnsi="Times New Roman" w:cs="Times New Roman"/>
          <w:b/>
          <w:bCs/>
          <w:sz w:val="24"/>
          <w:szCs w:val="24"/>
        </w:rPr>
      </w:pPr>
      <w:r w:rsidRPr="009B09CB">
        <w:rPr>
          <w:rFonts w:ascii="Times New Roman" w:hAnsi="Times New Roman" w:cs="Times New Roman"/>
          <w:b/>
          <w:bCs/>
          <w:sz w:val="24"/>
          <w:szCs w:val="24"/>
        </w:rPr>
        <w:t>3. ROLE OF AGRICULTURAL BIOTECHNOLOGY IN CLIMATE-RESILIENT FARMING</w:t>
      </w:r>
    </w:p>
    <w:p w14:paraId="6F8F1AC5" w14:textId="6C452874" w:rsidR="00B96CAF" w:rsidRPr="00B96CAF" w:rsidRDefault="00B96CAF" w:rsidP="009B09CB">
      <w:pPr>
        <w:rPr>
          <w:rFonts w:ascii="Times New Roman" w:hAnsi="Times New Roman" w:cs="Times New Roman"/>
          <w:sz w:val="24"/>
          <w:szCs w:val="24"/>
        </w:rPr>
      </w:pPr>
      <w:r w:rsidRPr="00B96CAF">
        <w:rPr>
          <w:rFonts w:ascii="Times New Roman" w:hAnsi="Times New Roman" w:cs="Times New Roman"/>
          <w:sz w:val="24"/>
          <w:szCs w:val="24"/>
        </w:rPr>
        <w:t>Agricultural biotechnology has emerged as a transformative scientific approach for strengthening climate resilience, improving agricultural productivity and ensuring long-term food security under changing environmental conditions. Climate-induced stresses such as drought, flooding, salinity, heat stress and emerging pest outbreaks increasingly threaten sustainable agriculture, particularly in vulnerable regions such as Odisha. Modern biotechnological interventions including microbial biotechnology, molecular breeding, genome editing, nanobiotechnology and artificial intelligence provide innovative solutions for enhancing crop adaptation and reducing environmental degradation. These technologies improve nutrient-use efficiency, stress tolerance, soil health and precision farm management, thereby supporting the development of sustainable and climate-smart agricultural systems. Therefore, agricultural biotechnology plays a critical role in achieving resilient farming systems capable of adapting to future climatic uncertainties</w:t>
      </w:r>
      <w:r>
        <w:rPr>
          <w:rFonts w:ascii="Times New Roman" w:hAnsi="Times New Roman" w:cs="Times New Roman"/>
          <w:sz w:val="24"/>
          <w:szCs w:val="24"/>
        </w:rPr>
        <w:t>.</w:t>
      </w:r>
    </w:p>
    <w:p w14:paraId="61901E0A" w14:textId="77777777" w:rsidR="009B09CB" w:rsidRPr="009B09CB" w:rsidRDefault="009B09CB" w:rsidP="009B09CB">
      <w:pPr>
        <w:rPr>
          <w:rFonts w:ascii="Times New Roman" w:hAnsi="Times New Roman" w:cs="Times New Roman"/>
          <w:b/>
          <w:bCs/>
          <w:i/>
          <w:iCs/>
          <w:sz w:val="24"/>
          <w:szCs w:val="24"/>
        </w:rPr>
      </w:pPr>
      <w:r w:rsidRPr="009B09CB">
        <w:rPr>
          <w:rFonts w:ascii="Times New Roman" w:hAnsi="Times New Roman" w:cs="Times New Roman"/>
          <w:b/>
          <w:bCs/>
          <w:i/>
          <w:iCs/>
          <w:sz w:val="24"/>
          <w:szCs w:val="24"/>
        </w:rPr>
        <w:t>3.1 Biofertilizers and Soil Health Improvement</w:t>
      </w:r>
    </w:p>
    <w:p w14:paraId="0802E967" w14:textId="77777777" w:rsidR="009B09CB"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Biofertilizers are microbial formulations containing beneficial microorganisms that improve nutrient availability and soil fertility through biological processes. These formulations include nitrogen-fixing bacteria, phosphate-solubilizing bacteria and plant growth-promoting rhizobacteria that enhance crop productivity under stress conditions.</w:t>
      </w:r>
      <w:r>
        <w:rPr>
          <w:rFonts w:ascii="Times New Roman" w:hAnsi="Times New Roman" w:cs="Times New Roman"/>
          <w:sz w:val="24"/>
          <w:szCs w:val="24"/>
        </w:rPr>
        <w:t xml:space="preserve"> </w:t>
      </w:r>
      <w:r w:rsidRPr="009B09CB">
        <w:rPr>
          <w:rFonts w:ascii="Times New Roman" w:hAnsi="Times New Roman" w:cs="Times New Roman"/>
          <w:sz w:val="24"/>
          <w:szCs w:val="24"/>
        </w:rPr>
        <w:t xml:space="preserve">Microorganisms such as </w:t>
      </w:r>
      <w:r w:rsidRPr="009B09CB">
        <w:rPr>
          <w:rFonts w:ascii="Times New Roman" w:hAnsi="Times New Roman" w:cs="Times New Roman"/>
          <w:i/>
          <w:iCs/>
          <w:sz w:val="24"/>
          <w:szCs w:val="24"/>
        </w:rPr>
        <w:t>Rhizobium</w:t>
      </w:r>
      <w:r w:rsidRPr="009B09CB">
        <w:rPr>
          <w:rFonts w:ascii="Times New Roman" w:hAnsi="Times New Roman" w:cs="Times New Roman"/>
          <w:sz w:val="24"/>
          <w:szCs w:val="24"/>
        </w:rPr>
        <w:t xml:space="preserve">, </w:t>
      </w:r>
      <w:proofErr w:type="spellStart"/>
      <w:r w:rsidRPr="009B09CB">
        <w:rPr>
          <w:rFonts w:ascii="Times New Roman" w:hAnsi="Times New Roman" w:cs="Times New Roman"/>
          <w:i/>
          <w:iCs/>
          <w:sz w:val="24"/>
          <w:szCs w:val="24"/>
        </w:rPr>
        <w:t>Azotobacter</w:t>
      </w:r>
      <w:proofErr w:type="spellEnd"/>
      <w:r w:rsidRPr="009B09CB">
        <w:rPr>
          <w:rFonts w:ascii="Times New Roman" w:hAnsi="Times New Roman" w:cs="Times New Roman"/>
          <w:sz w:val="24"/>
          <w:szCs w:val="24"/>
        </w:rPr>
        <w:t xml:space="preserve"> and </w:t>
      </w:r>
      <w:proofErr w:type="spellStart"/>
      <w:r w:rsidRPr="009B09CB">
        <w:rPr>
          <w:rFonts w:ascii="Times New Roman" w:hAnsi="Times New Roman" w:cs="Times New Roman"/>
          <w:i/>
          <w:iCs/>
          <w:sz w:val="24"/>
          <w:szCs w:val="24"/>
        </w:rPr>
        <w:t>Azospirillum</w:t>
      </w:r>
      <w:proofErr w:type="spellEnd"/>
      <w:r w:rsidRPr="009B09CB">
        <w:rPr>
          <w:rFonts w:ascii="Times New Roman" w:hAnsi="Times New Roman" w:cs="Times New Roman"/>
          <w:sz w:val="24"/>
          <w:szCs w:val="24"/>
        </w:rPr>
        <w:t xml:space="preserve"> convert atmospheric nitrogen into plant-available forms, thereby reducing dependency on synthetic fertilizers. Similarly, phosphate-solubilizing bacteria improve phosphorus availability through secretion of organic acids and enzymatic activity.</w:t>
      </w:r>
      <w:r>
        <w:rPr>
          <w:rFonts w:ascii="Times New Roman" w:hAnsi="Times New Roman" w:cs="Times New Roman"/>
          <w:sz w:val="24"/>
          <w:szCs w:val="24"/>
        </w:rPr>
        <w:t xml:space="preserve"> </w:t>
      </w:r>
      <w:r w:rsidRPr="009B09CB">
        <w:rPr>
          <w:rFonts w:ascii="Times New Roman" w:hAnsi="Times New Roman" w:cs="Times New Roman"/>
          <w:sz w:val="24"/>
          <w:szCs w:val="24"/>
        </w:rPr>
        <w:t xml:space="preserve">Biofertilizers improve soil microbial diversity, organic carbon accumulation, root growth and water retention capacity. Under drought conditions, beneficial microbes stimulate </w:t>
      </w:r>
      <w:r w:rsidRPr="009B09CB">
        <w:rPr>
          <w:rFonts w:ascii="Times New Roman" w:hAnsi="Times New Roman" w:cs="Times New Roman"/>
          <w:sz w:val="24"/>
          <w:szCs w:val="24"/>
        </w:rPr>
        <w:lastRenderedPageBreak/>
        <w:t xml:space="preserve">osmotic regulation and antioxidant </w:t>
      </w:r>
      <w:proofErr w:type="spellStart"/>
      <w:r w:rsidRPr="009B09CB">
        <w:rPr>
          <w:rFonts w:ascii="Times New Roman" w:hAnsi="Times New Roman" w:cs="Times New Roman"/>
          <w:sz w:val="24"/>
          <w:szCs w:val="24"/>
        </w:rPr>
        <w:t>defense</w:t>
      </w:r>
      <w:proofErr w:type="spellEnd"/>
      <w:r w:rsidRPr="009B09CB">
        <w:rPr>
          <w:rFonts w:ascii="Times New Roman" w:hAnsi="Times New Roman" w:cs="Times New Roman"/>
          <w:sz w:val="24"/>
          <w:szCs w:val="24"/>
        </w:rPr>
        <w:t xml:space="preserve"> systems, thereby enhancing crop resilience and survival.</w:t>
      </w:r>
      <w:r>
        <w:rPr>
          <w:rFonts w:ascii="Times New Roman" w:hAnsi="Times New Roman" w:cs="Times New Roman"/>
          <w:sz w:val="24"/>
          <w:szCs w:val="24"/>
        </w:rPr>
        <w:t xml:space="preserve"> </w:t>
      </w:r>
      <w:r w:rsidRPr="009B09CB">
        <w:rPr>
          <w:rFonts w:ascii="Times New Roman" w:hAnsi="Times New Roman" w:cs="Times New Roman"/>
          <w:sz w:val="24"/>
          <w:szCs w:val="24"/>
        </w:rPr>
        <w:t>Recent studies indicate that integrated microbial consortia improve nutrient-use efficiency, soil health and climate resilience in sustainable farming systems (Yadav and Kumar, 2021; Sahoo et al., 2024).</w:t>
      </w:r>
    </w:p>
    <w:p w14:paraId="6810F006" w14:textId="77777777" w:rsidR="009B09CB" w:rsidRDefault="009B09CB" w:rsidP="009B09CB">
      <w:pPr>
        <w:rPr>
          <w:rFonts w:ascii="Times New Roman" w:hAnsi="Times New Roman" w:cs="Times New Roman"/>
          <w:sz w:val="24"/>
          <w:szCs w:val="24"/>
        </w:rPr>
      </w:pPr>
      <w:r w:rsidRPr="009B09CB">
        <w:rPr>
          <w:rFonts w:ascii="Times New Roman" w:hAnsi="Times New Roman" w:cs="Times New Roman"/>
          <w:b/>
          <w:bCs/>
          <w:i/>
          <w:iCs/>
          <w:sz w:val="24"/>
          <w:szCs w:val="24"/>
        </w:rPr>
        <w:t>3.2 Biopesticides and Sustainable Pest Management</w:t>
      </w:r>
    </w:p>
    <w:p w14:paraId="106F3089" w14:textId="77777777" w:rsidR="009B09CB"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Climate change has increased the frequency of insect outbreaks and plant diseases due to rising temperatures and changing humidity patterns. Biopesticides provide environmentally sustainable alternatives to synthetic pesticides for effective pest management.</w:t>
      </w:r>
      <w:r>
        <w:rPr>
          <w:rFonts w:ascii="Times New Roman" w:hAnsi="Times New Roman" w:cs="Times New Roman"/>
          <w:sz w:val="24"/>
          <w:szCs w:val="24"/>
        </w:rPr>
        <w:t xml:space="preserve"> </w:t>
      </w:r>
      <w:r w:rsidRPr="009B09CB">
        <w:rPr>
          <w:rFonts w:ascii="Times New Roman" w:hAnsi="Times New Roman" w:cs="Times New Roman"/>
          <w:sz w:val="24"/>
          <w:szCs w:val="24"/>
        </w:rPr>
        <w:t xml:space="preserve">Microbial biopesticides derived from </w:t>
      </w:r>
      <w:r w:rsidRPr="009B09CB">
        <w:rPr>
          <w:rFonts w:ascii="Times New Roman" w:hAnsi="Times New Roman" w:cs="Times New Roman"/>
          <w:i/>
          <w:iCs/>
          <w:sz w:val="24"/>
          <w:szCs w:val="24"/>
        </w:rPr>
        <w:t>Bacillus thuringiensis</w:t>
      </w:r>
      <w:r w:rsidRPr="009B09CB">
        <w:rPr>
          <w:rFonts w:ascii="Times New Roman" w:hAnsi="Times New Roman" w:cs="Times New Roman"/>
          <w:sz w:val="24"/>
          <w:szCs w:val="24"/>
        </w:rPr>
        <w:t xml:space="preserve">, </w:t>
      </w:r>
      <w:r w:rsidRPr="009B09CB">
        <w:rPr>
          <w:rFonts w:ascii="Times New Roman" w:hAnsi="Times New Roman" w:cs="Times New Roman"/>
          <w:i/>
          <w:iCs/>
          <w:sz w:val="24"/>
          <w:szCs w:val="24"/>
        </w:rPr>
        <w:t>Trichoderma spp.</w:t>
      </w:r>
      <w:r w:rsidRPr="009B09CB">
        <w:rPr>
          <w:rFonts w:ascii="Times New Roman" w:hAnsi="Times New Roman" w:cs="Times New Roman"/>
          <w:sz w:val="24"/>
          <w:szCs w:val="24"/>
        </w:rPr>
        <w:t xml:space="preserve"> and </w:t>
      </w:r>
      <w:r w:rsidRPr="009B09CB">
        <w:rPr>
          <w:rFonts w:ascii="Times New Roman" w:hAnsi="Times New Roman" w:cs="Times New Roman"/>
          <w:i/>
          <w:iCs/>
          <w:sz w:val="24"/>
          <w:szCs w:val="24"/>
        </w:rPr>
        <w:t>Pseudomonas fluorescens</w:t>
      </w:r>
      <w:r w:rsidRPr="009B09CB">
        <w:rPr>
          <w:rFonts w:ascii="Times New Roman" w:hAnsi="Times New Roman" w:cs="Times New Roman"/>
          <w:sz w:val="24"/>
          <w:szCs w:val="24"/>
        </w:rPr>
        <w:t xml:space="preserve"> suppress pathogens through toxin production, induced systemic resistance and competitive exclusion.</w:t>
      </w:r>
      <w:r>
        <w:rPr>
          <w:rFonts w:ascii="Times New Roman" w:hAnsi="Times New Roman" w:cs="Times New Roman"/>
          <w:sz w:val="24"/>
          <w:szCs w:val="24"/>
        </w:rPr>
        <w:t xml:space="preserve"> </w:t>
      </w:r>
      <w:r w:rsidRPr="009B09CB">
        <w:rPr>
          <w:rFonts w:ascii="Times New Roman" w:hAnsi="Times New Roman" w:cs="Times New Roman"/>
          <w:sz w:val="24"/>
          <w:szCs w:val="24"/>
        </w:rPr>
        <w:t>Unlike chemical pesticides, biopesticides exhibit low environmental persistence and reduced toxicity toward non-target organisms. Their application minimizes pesticide residues in soil and water systems while supporting biodiversity conservation.</w:t>
      </w:r>
      <w:r>
        <w:rPr>
          <w:rFonts w:ascii="Times New Roman" w:hAnsi="Times New Roman" w:cs="Times New Roman"/>
          <w:sz w:val="24"/>
          <w:szCs w:val="24"/>
        </w:rPr>
        <w:t xml:space="preserve"> </w:t>
      </w:r>
      <w:r w:rsidRPr="009B09CB">
        <w:rPr>
          <w:rFonts w:ascii="Times New Roman" w:hAnsi="Times New Roman" w:cs="Times New Roman"/>
          <w:sz w:val="24"/>
          <w:szCs w:val="24"/>
        </w:rPr>
        <w:t>Recent advances in nano-biopesticides and encapsulated microbial formulations have improved shelf life, field stability and pest-control efficiency under changing climatic conditions (Kumar and Singh, 2023; Gupta et al., 2023).</w:t>
      </w:r>
    </w:p>
    <w:p w14:paraId="77F75CED" w14:textId="77777777" w:rsidR="009B09CB" w:rsidRDefault="009B09CB" w:rsidP="009B09CB">
      <w:pPr>
        <w:rPr>
          <w:rFonts w:ascii="Times New Roman" w:hAnsi="Times New Roman" w:cs="Times New Roman"/>
          <w:sz w:val="24"/>
          <w:szCs w:val="24"/>
        </w:rPr>
      </w:pPr>
      <w:r w:rsidRPr="009B09CB">
        <w:rPr>
          <w:rFonts w:ascii="Times New Roman" w:hAnsi="Times New Roman" w:cs="Times New Roman"/>
          <w:b/>
          <w:bCs/>
          <w:i/>
          <w:iCs/>
          <w:sz w:val="24"/>
          <w:szCs w:val="24"/>
        </w:rPr>
        <w:t>3.3 Molecular Breeding and Marker-Assisted Selection</w:t>
      </w:r>
    </w:p>
    <w:p w14:paraId="358299C9" w14:textId="77777777" w:rsidR="009B09CB"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Molecular breeding has revolutionized crop improvement by enabling rapid identification and transfer of stress-tolerant traits into elite crop varieties. Marker-assisted selection utilizes DNA markers linked to genes associated with drought tolerance, flood resistance and salinity adaptation.</w:t>
      </w:r>
      <w:r>
        <w:rPr>
          <w:rFonts w:ascii="Times New Roman" w:hAnsi="Times New Roman" w:cs="Times New Roman"/>
          <w:sz w:val="24"/>
          <w:szCs w:val="24"/>
        </w:rPr>
        <w:t xml:space="preserve"> </w:t>
      </w:r>
      <w:r w:rsidRPr="009B09CB">
        <w:rPr>
          <w:rFonts w:ascii="Times New Roman" w:hAnsi="Times New Roman" w:cs="Times New Roman"/>
          <w:sz w:val="24"/>
          <w:szCs w:val="24"/>
        </w:rPr>
        <w:t>Compared with conventional breeding approaches, marker-assisted selection significantly accelerates breeding efficiency and improves precision in crop improvement programs.</w:t>
      </w:r>
      <w:r>
        <w:rPr>
          <w:rFonts w:ascii="Times New Roman" w:hAnsi="Times New Roman" w:cs="Times New Roman"/>
          <w:sz w:val="24"/>
          <w:szCs w:val="24"/>
        </w:rPr>
        <w:t xml:space="preserve"> </w:t>
      </w:r>
      <w:r w:rsidRPr="009B09CB">
        <w:rPr>
          <w:rFonts w:ascii="Times New Roman" w:hAnsi="Times New Roman" w:cs="Times New Roman"/>
          <w:sz w:val="24"/>
          <w:szCs w:val="24"/>
        </w:rPr>
        <w:t xml:space="preserve">One of the most successful examples is the development of submergence-tolerant rice varieties such as Swarna-Sub1. The incorporation of the </w:t>
      </w:r>
      <w:r w:rsidRPr="009B09CB">
        <w:rPr>
          <w:rFonts w:ascii="Times New Roman" w:hAnsi="Times New Roman" w:cs="Times New Roman"/>
          <w:i/>
          <w:iCs/>
          <w:sz w:val="24"/>
          <w:szCs w:val="24"/>
        </w:rPr>
        <w:t>Sub1</w:t>
      </w:r>
      <w:r w:rsidRPr="009B09CB">
        <w:rPr>
          <w:rFonts w:ascii="Times New Roman" w:hAnsi="Times New Roman" w:cs="Times New Roman"/>
          <w:sz w:val="24"/>
          <w:szCs w:val="24"/>
        </w:rPr>
        <w:t xml:space="preserve"> gene enables rice plants to survive prolonged flooding through regulation of carbohydrate metabolism and suppression of excessive shoot elongation.</w:t>
      </w:r>
      <w:r>
        <w:rPr>
          <w:rFonts w:ascii="Times New Roman" w:hAnsi="Times New Roman" w:cs="Times New Roman"/>
          <w:sz w:val="24"/>
          <w:szCs w:val="24"/>
        </w:rPr>
        <w:t xml:space="preserve"> </w:t>
      </w:r>
      <w:r w:rsidRPr="009B09CB">
        <w:rPr>
          <w:rFonts w:ascii="Times New Roman" w:hAnsi="Times New Roman" w:cs="Times New Roman"/>
          <w:sz w:val="24"/>
          <w:szCs w:val="24"/>
        </w:rPr>
        <w:t>Molecular breeding therefore plays an important role in developing climate-resilient crop varieties capable of maintaining productivity under environmental stress conditions (Zhang et al., 2020; Singh et al., 2022).</w:t>
      </w:r>
    </w:p>
    <w:p w14:paraId="5B6D8F7C" w14:textId="77777777" w:rsidR="009B09CB" w:rsidRDefault="009B09CB" w:rsidP="009B09CB">
      <w:pPr>
        <w:rPr>
          <w:rFonts w:ascii="Times New Roman" w:hAnsi="Times New Roman" w:cs="Times New Roman"/>
          <w:sz w:val="24"/>
          <w:szCs w:val="24"/>
        </w:rPr>
      </w:pPr>
      <w:r w:rsidRPr="009B09CB">
        <w:rPr>
          <w:rFonts w:ascii="Times New Roman" w:hAnsi="Times New Roman" w:cs="Times New Roman"/>
          <w:b/>
          <w:bCs/>
          <w:i/>
          <w:iCs/>
          <w:sz w:val="24"/>
          <w:szCs w:val="24"/>
        </w:rPr>
        <w:t>3.4 Genome Editing and CRISPR-Based Crop Engineering</w:t>
      </w:r>
    </w:p>
    <w:p w14:paraId="0ED75986" w14:textId="77777777" w:rsidR="00856938"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Genome editing technologies such as CRISPR-Cas systems represent major breakthroughs in agricultural biotechnology due to their precision and efficiency. These technologies enable targeted modification of genes associated with stress tolerance, disease resistance and productivity.</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CRISPR-based genome editing has been successfully utilized for improving drought tolerance, salinity adaptation and nutrient-use efficiency in crops such as rice, wheat and maize.</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Recent studies indicate that CRISPR-mediated editing of stress-responsive genes significantly enhances crop resilience under abiotic stress conditions. Advanced technologies such as base editing and prime editing further improve editing accuracy and reduce off-target effects.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Integration of genome editing with artificial intelligence and high-throughput phenotyping is expected to accelerate development of next-generation climate-resilient crops (Kaur et al., 2025; Riaz et al., 2025).</w:t>
      </w:r>
    </w:p>
    <w:p w14:paraId="3C0CF73C" w14:textId="77777777" w:rsidR="00856938" w:rsidRDefault="009B09CB" w:rsidP="009B09CB">
      <w:pPr>
        <w:rPr>
          <w:rFonts w:ascii="Times New Roman" w:hAnsi="Times New Roman" w:cs="Times New Roman"/>
          <w:sz w:val="24"/>
          <w:szCs w:val="24"/>
        </w:rPr>
      </w:pPr>
      <w:r w:rsidRPr="00856938">
        <w:rPr>
          <w:rFonts w:ascii="Times New Roman" w:hAnsi="Times New Roman" w:cs="Times New Roman"/>
          <w:b/>
          <w:bCs/>
          <w:i/>
          <w:iCs/>
          <w:sz w:val="24"/>
          <w:szCs w:val="24"/>
        </w:rPr>
        <w:t>3.5 Multi-Omics Approaches in Climate-Resilient Agriculture</w:t>
      </w:r>
    </w:p>
    <w:p w14:paraId="6601FB3A" w14:textId="77777777" w:rsidR="00856938" w:rsidRDefault="009B09CB" w:rsidP="009B09CB">
      <w:pPr>
        <w:rPr>
          <w:rFonts w:ascii="Times New Roman" w:hAnsi="Times New Roman" w:cs="Times New Roman"/>
          <w:sz w:val="24"/>
          <w:szCs w:val="24"/>
        </w:rPr>
      </w:pPr>
      <w:r w:rsidRPr="009B09CB">
        <w:rPr>
          <w:rFonts w:ascii="Times New Roman" w:hAnsi="Times New Roman" w:cs="Times New Roman"/>
          <w:sz w:val="24"/>
          <w:szCs w:val="24"/>
        </w:rPr>
        <w:lastRenderedPageBreak/>
        <w:t>Multi-omics technologies integrating genomics, transcriptomics, proteomics and metabolomics are increasingly used to understand plant stress responses at molecular and physiological levels.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Genomics identifies stress-responsive genes associated with drought, flood and heat tolerance, whereas transcriptomics evaluates gene expression patterns under environmental stress conditions.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 xml:space="preserve">Proteomics and metabolomics further reveal protein interactions and metabolic pathways involved in osmotic regulation, antioxidant </w:t>
      </w:r>
      <w:proofErr w:type="spellStart"/>
      <w:r w:rsidRPr="009B09CB">
        <w:rPr>
          <w:rFonts w:ascii="Times New Roman" w:hAnsi="Times New Roman" w:cs="Times New Roman"/>
          <w:sz w:val="24"/>
          <w:szCs w:val="24"/>
        </w:rPr>
        <w:t>defense</w:t>
      </w:r>
      <w:proofErr w:type="spellEnd"/>
      <w:r w:rsidRPr="009B09CB">
        <w:rPr>
          <w:rFonts w:ascii="Times New Roman" w:hAnsi="Times New Roman" w:cs="Times New Roman"/>
          <w:sz w:val="24"/>
          <w:szCs w:val="24"/>
        </w:rPr>
        <w:t xml:space="preserve"> and stress adaptation.</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Integration of multi-omics datasets with artificial intelligence and bioinformatics accelerates identification of superior stress-tolerant genotypes for climate-smart breeding programs (</w:t>
      </w:r>
      <w:proofErr w:type="spellStart"/>
      <w:r w:rsidRPr="009B09CB">
        <w:rPr>
          <w:rFonts w:ascii="Times New Roman" w:hAnsi="Times New Roman" w:cs="Times New Roman"/>
          <w:sz w:val="24"/>
          <w:szCs w:val="24"/>
        </w:rPr>
        <w:t>Thingujam</w:t>
      </w:r>
      <w:proofErr w:type="spellEnd"/>
      <w:r w:rsidRPr="009B09CB">
        <w:rPr>
          <w:rFonts w:ascii="Times New Roman" w:hAnsi="Times New Roman" w:cs="Times New Roman"/>
          <w:sz w:val="24"/>
          <w:szCs w:val="24"/>
        </w:rPr>
        <w:t xml:space="preserve"> et al., 2024).</w:t>
      </w:r>
    </w:p>
    <w:p w14:paraId="5FE3B00E" w14:textId="77777777" w:rsidR="00856938" w:rsidRDefault="009B09CB" w:rsidP="009B09CB">
      <w:pPr>
        <w:rPr>
          <w:rFonts w:ascii="Times New Roman" w:hAnsi="Times New Roman" w:cs="Times New Roman"/>
          <w:sz w:val="24"/>
          <w:szCs w:val="24"/>
        </w:rPr>
      </w:pPr>
      <w:r w:rsidRPr="00856938">
        <w:rPr>
          <w:rFonts w:ascii="Times New Roman" w:hAnsi="Times New Roman" w:cs="Times New Roman"/>
          <w:b/>
          <w:bCs/>
          <w:i/>
          <w:iCs/>
          <w:sz w:val="24"/>
          <w:szCs w:val="24"/>
        </w:rPr>
        <w:t>3.6 Rhizosphere Engineering and Microbial Biotechnology</w:t>
      </w:r>
    </w:p>
    <w:p w14:paraId="70CD67CB" w14:textId="77777777" w:rsidR="00856938"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The rhizosphere is a biologically active zone surrounding plant roots where beneficial interactions occur between plants and microorganisms. Rhizosphere engineering involves manipulation of microbial communities to improve crop productivity and stress tolerance.</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 xml:space="preserve">Plant growth-promoting rhizobacteria produce phytohormones such as indole acetic acid and </w:t>
      </w:r>
      <w:proofErr w:type="spellStart"/>
      <w:r w:rsidRPr="009B09CB">
        <w:rPr>
          <w:rFonts w:ascii="Times New Roman" w:hAnsi="Times New Roman" w:cs="Times New Roman"/>
          <w:sz w:val="24"/>
          <w:szCs w:val="24"/>
        </w:rPr>
        <w:t>cytokinins</w:t>
      </w:r>
      <w:proofErr w:type="spellEnd"/>
      <w:r w:rsidRPr="009B09CB">
        <w:rPr>
          <w:rFonts w:ascii="Times New Roman" w:hAnsi="Times New Roman" w:cs="Times New Roman"/>
          <w:sz w:val="24"/>
          <w:szCs w:val="24"/>
        </w:rPr>
        <w:t xml:space="preserve"> that stimulate root growth and environmental adaptation.</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Beneficial microbes also improve nutrient acquisition, antioxidant activity and osmotic adjustment under drought and salinity stress conditions. Engineered microbial consortia provide synergistic effects for nutrient cycling and disease suppression.</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Advanced microbial biotechnology therefore contributes significantly to development of low-input and climate-resilient agricultural systems.</w:t>
      </w:r>
    </w:p>
    <w:p w14:paraId="198AAA7E" w14:textId="77777777" w:rsidR="00856938" w:rsidRDefault="009B09CB" w:rsidP="009B09CB">
      <w:pPr>
        <w:rPr>
          <w:rFonts w:ascii="Times New Roman" w:hAnsi="Times New Roman" w:cs="Times New Roman"/>
          <w:sz w:val="24"/>
          <w:szCs w:val="24"/>
        </w:rPr>
      </w:pPr>
      <w:r w:rsidRPr="00856938">
        <w:rPr>
          <w:rFonts w:ascii="Times New Roman" w:hAnsi="Times New Roman" w:cs="Times New Roman"/>
          <w:b/>
          <w:bCs/>
          <w:i/>
          <w:iCs/>
          <w:sz w:val="24"/>
          <w:szCs w:val="24"/>
        </w:rPr>
        <w:t>3.7 Nanobiotechnology in Climate-Smart Agriculture</w:t>
      </w:r>
    </w:p>
    <w:p w14:paraId="2FF2067C" w14:textId="342DCFAB" w:rsidR="00856938"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Nanobiotechnology integrates nanotechnology with biological systems for improving agricultural productivity and sustainability. Nano-based agricultural inputs provide controlled nutrient delivery and enhanced stress mitigation under adverse environmental conditions.</w:t>
      </w:r>
      <w:r w:rsidR="00B96CAF">
        <w:rPr>
          <w:rFonts w:ascii="Times New Roman" w:hAnsi="Times New Roman" w:cs="Times New Roman"/>
          <w:sz w:val="24"/>
          <w:szCs w:val="24"/>
        </w:rPr>
        <w:t xml:space="preserve"> </w:t>
      </w:r>
      <w:r w:rsidRPr="009B09CB">
        <w:rPr>
          <w:rFonts w:ascii="Times New Roman" w:hAnsi="Times New Roman" w:cs="Times New Roman"/>
          <w:sz w:val="24"/>
          <w:szCs w:val="24"/>
        </w:rPr>
        <w:t>Nano-biofertilizers improve nutrient-use efficiency through increased solubility, controlled release and enhanced nutrient absorption. Similarly, nano-pesticides enable targeted pest management with reduced environmental contamination.</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Nanomaterials also enhance seed germination, photosynthetic efficiency and stress tolerance under drought and salinity conditions. Nano-encapsulation technologies improve shelf life and stability of microbial biofertilizers and biopesticides.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The integration of nanotechnology with microbial biotechnology and digital agriculture is expected to significantly improve future climate-smart farming systems.</w:t>
      </w:r>
    </w:p>
    <w:p w14:paraId="511BD6C4" w14:textId="77777777" w:rsidR="00856938" w:rsidRDefault="009B09CB" w:rsidP="009B09CB">
      <w:pPr>
        <w:rPr>
          <w:rFonts w:ascii="Times New Roman" w:hAnsi="Times New Roman" w:cs="Times New Roman"/>
          <w:sz w:val="24"/>
          <w:szCs w:val="24"/>
        </w:rPr>
      </w:pPr>
      <w:r w:rsidRPr="00856938">
        <w:rPr>
          <w:rFonts w:ascii="Times New Roman" w:hAnsi="Times New Roman" w:cs="Times New Roman"/>
          <w:b/>
          <w:bCs/>
          <w:i/>
          <w:iCs/>
          <w:sz w:val="24"/>
          <w:szCs w:val="24"/>
        </w:rPr>
        <w:t>3.8 Artificial Intelligence and Precision Agriculture</w:t>
      </w:r>
    </w:p>
    <w:p w14:paraId="164A5B7B" w14:textId="77777777" w:rsidR="00856938"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Artificial intelligence is transforming modern agriculture through predictive analytics, automated monitoring and precision-based farm management. AI-driven technologies utilize machine learning, remote sensing, drones and Internet of Things systems for real-time agricultural decision-making.</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AI-based advisory systems help farmers predict weather variability, irrigation requirements, nutrient deficiencies and pest outbreaks. Satellite imaging and drone-assisted monitoring provide detailed assessment of crop health and environmental stress.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Machine-learning algorithms integrated with climate forecasting models improve resource optimization and climate-risk prediction. Precision agriculture therefore improves productivity while reducing wastage of fertilizers, pesticides and irrigation water.</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 xml:space="preserve">Recent studies demonstrate that AI-assisted agriculture substantially improves sustainability and </w:t>
      </w:r>
      <w:r w:rsidRPr="009B09CB">
        <w:rPr>
          <w:rFonts w:ascii="Times New Roman" w:hAnsi="Times New Roman" w:cs="Times New Roman"/>
          <w:sz w:val="24"/>
          <w:szCs w:val="24"/>
        </w:rPr>
        <w:lastRenderedPageBreak/>
        <w:t>climate adaptation efficiency in vulnerable farming systems (Mishra et al., 2024; Wang et al., 2024).</w:t>
      </w:r>
    </w:p>
    <w:p w14:paraId="25C70F4D" w14:textId="77777777" w:rsidR="00856938" w:rsidRDefault="009B09CB" w:rsidP="009B09CB">
      <w:pPr>
        <w:rPr>
          <w:rFonts w:ascii="Times New Roman" w:hAnsi="Times New Roman" w:cs="Times New Roman"/>
          <w:sz w:val="24"/>
          <w:szCs w:val="24"/>
        </w:rPr>
      </w:pPr>
      <w:r w:rsidRPr="00856938">
        <w:rPr>
          <w:rFonts w:ascii="Times New Roman" w:hAnsi="Times New Roman" w:cs="Times New Roman"/>
          <w:b/>
          <w:bCs/>
          <w:i/>
          <w:iCs/>
          <w:sz w:val="24"/>
          <w:szCs w:val="24"/>
        </w:rPr>
        <w:t>3.9 Synthetic Biology and Future Crop Engineering</w:t>
      </w:r>
    </w:p>
    <w:p w14:paraId="27DC32B8" w14:textId="69A422C3" w:rsidR="00856938"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Synthetic biology represents an emerging frontier in agricultural biotechnology involving engineering of biological systems for improved agricultural performance and environmental sustainability.</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 xml:space="preserve">This interdisciplinary field combines genetic engineering, systems biology and computational </w:t>
      </w:r>
      <w:proofErr w:type="spellStart"/>
      <w:r w:rsidRPr="009B09CB">
        <w:rPr>
          <w:rFonts w:ascii="Times New Roman" w:hAnsi="Times New Roman" w:cs="Times New Roman"/>
          <w:sz w:val="24"/>
          <w:szCs w:val="24"/>
        </w:rPr>
        <w:t>modeling</w:t>
      </w:r>
      <w:proofErr w:type="spellEnd"/>
      <w:r w:rsidRPr="009B09CB">
        <w:rPr>
          <w:rFonts w:ascii="Times New Roman" w:hAnsi="Times New Roman" w:cs="Times New Roman"/>
          <w:sz w:val="24"/>
          <w:szCs w:val="24"/>
        </w:rPr>
        <w:t xml:space="preserve"> to design novel metabolic pathways and engineered microorganisms.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Synthetic biology enables development of engineered microbes capable of biological nitrogen fixation, stress protection and enhanced nutrient mobilization under adverse environmental conditions.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Integration of synthetic biology with CRISPR-based genome editing and artificial intelligence is expected to revolutionize future crop-engineering strategies for climate-smart agriculture.</w:t>
      </w:r>
    </w:p>
    <w:p w14:paraId="1B1EB67F" w14:textId="77777777" w:rsidR="00856938" w:rsidRDefault="009B09CB" w:rsidP="009B09CB">
      <w:pPr>
        <w:rPr>
          <w:rFonts w:ascii="Times New Roman" w:hAnsi="Times New Roman" w:cs="Times New Roman"/>
          <w:sz w:val="24"/>
          <w:szCs w:val="24"/>
        </w:rPr>
      </w:pPr>
      <w:r w:rsidRPr="00856938">
        <w:rPr>
          <w:rFonts w:ascii="Times New Roman" w:hAnsi="Times New Roman" w:cs="Times New Roman"/>
          <w:b/>
          <w:bCs/>
          <w:i/>
          <w:iCs/>
          <w:sz w:val="24"/>
          <w:szCs w:val="24"/>
        </w:rPr>
        <w:t>3.10 Integrated Biotechnology Systems for Climate Resilience</w:t>
      </w:r>
    </w:p>
    <w:p w14:paraId="23A9C68E" w14:textId="1882BB1F" w:rsidR="009B09CB" w:rsidRPr="00E32160" w:rsidRDefault="009B09CB" w:rsidP="003850E0">
      <w:pPr>
        <w:rPr>
          <w:rFonts w:ascii="Times New Roman" w:hAnsi="Times New Roman" w:cs="Times New Roman"/>
          <w:sz w:val="24"/>
          <w:szCs w:val="24"/>
        </w:rPr>
      </w:pPr>
      <w:r w:rsidRPr="009B09CB">
        <w:rPr>
          <w:rFonts w:ascii="Times New Roman" w:hAnsi="Times New Roman" w:cs="Times New Roman"/>
          <w:sz w:val="24"/>
          <w:szCs w:val="24"/>
        </w:rPr>
        <w:t>Modern climate-resilient agriculture increasingly depends on integrated biotechnology systems combining molecular breeding, microbial biotechnology, digital agriculture, artificial intelligence and ecosystem-based management approaches.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Integrated systems improve productivity, resource-use efficiency and long-term sustainability simultaneously. For example, stress-tolerant crop varieties combined with microbial biofertilizers and AI-driven advisory systems provide multidimensional adaptation against climate variability.</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Such integrated climate-smart systems are particularly important for vulnerable agricultural regions such as Odisha where farmers face floods, droughts, salinity and pest outbreaks simultaneously.</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Future agricultural transformation therefore requires convergence of biotechnology, ecological sustainability, digital innovation and farmer-</w:t>
      </w:r>
      <w:proofErr w:type="spellStart"/>
      <w:r w:rsidRPr="009B09CB">
        <w:rPr>
          <w:rFonts w:ascii="Times New Roman" w:hAnsi="Times New Roman" w:cs="Times New Roman"/>
          <w:sz w:val="24"/>
          <w:szCs w:val="24"/>
        </w:rPr>
        <w:t>centered</w:t>
      </w:r>
      <w:proofErr w:type="spellEnd"/>
      <w:r w:rsidRPr="009B09CB">
        <w:rPr>
          <w:rFonts w:ascii="Times New Roman" w:hAnsi="Times New Roman" w:cs="Times New Roman"/>
          <w:sz w:val="24"/>
          <w:szCs w:val="24"/>
        </w:rPr>
        <w:t xml:space="preserve"> participatory approaches for ensuring food security and climate resilience.</w:t>
      </w:r>
    </w:p>
    <w:p w14:paraId="2CB9EA04" w14:textId="726C1367" w:rsidR="006527DF" w:rsidRPr="00E32160" w:rsidRDefault="006527DF" w:rsidP="002F3C44">
      <w:pPr>
        <w:rPr>
          <w:rFonts w:ascii="Times New Roman" w:hAnsi="Times New Roman" w:cs="Times New Roman"/>
          <w:sz w:val="24"/>
          <w:szCs w:val="24"/>
        </w:rPr>
      </w:pPr>
      <w:r w:rsidRPr="00E32160">
        <w:rPr>
          <w:rFonts w:ascii="Times New Roman" w:hAnsi="Times New Roman" w:cs="Times New Roman"/>
          <w:noProof/>
          <w:sz w:val="24"/>
          <w:szCs w:val="24"/>
        </w:rPr>
        <w:drawing>
          <wp:inline distT="0" distB="0" distL="0" distR="0" wp14:anchorId="3731428A" wp14:editId="48F34807">
            <wp:extent cx="5731510" cy="3130550"/>
            <wp:effectExtent l="0" t="0" r="2540" b="0"/>
            <wp:docPr id="2424948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494847" name="Picture 24249484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130550"/>
                    </a:xfrm>
                    <a:prstGeom prst="rect">
                      <a:avLst/>
                    </a:prstGeom>
                  </pic:spPr>
                </pic:pic>
              </a:graphicData>
            </a:graphic>
          </wp:inline>
        </w:drawing>
      </w:r>
    </w:p>
    <w:p w14:paraId="2542848A" w14:textId="29E9B0F1" w:rsidR="002F3C44" w:rsidRPr="00B96CAF" w:rsidRDefault="00B96CAF" w:rsidP="002F3C44">
      <w:pPr>
        <w:rPr>
          <w:rFonts w:ascii="Times New Roman" w:hAnsi="Times New Roman" w:cs="Times New Roman"/>
          <w:i/>
          <w:iCs/>
          <w:sz w:val="20"/>
          <w:szCs w:val="20"/>
        </w:rPr>
      </w:pPr>
      <w:r>
        <w:rPr>
          <w:rFonts w:ascii="Times New Roman" w:hAnsi="Times New Roman" w:cs="Times New Roman"/>
          <w:b/>
          <w:bCs/>
          <w:sz w:val="24"/>
          <w:szCs w:val="24"/>
        </w:rPr>
        <w:t>{</w:t>
      </w:r>
      <w:r w:rsidR="00F82F1F" w:rsidRPr="00E32160">
        <w:rPr>
          <w:rFonts w:ascii="Times New Roman" w:hAnsi="Times New Roman" w:cs="Times New Roman"/>
          <w:b/>
          <w:bCs/>
          <w:sz w:val="24"/>
          <w:szCs w:val="24"/>
        </w:rPr>
        <w:t>Figure 1:</w:t>
      </w:r>
      <w:r w:rsidR="00F82F1F" w:rsidRPr="00E32160">
        <w:rPr>
          <w:rFonts w:ascii="Times New Roman" w:hAnsi="Times New Roman" w:cs="Times New Roman"/>
          <w:sz w:val="24"/>
          <w:szCs w:val="24"/>
        </w:rPr>
        <w:t xml:space="preserve"> </w:t>
      </w:r>
      <w:r w:rsidR="00F82F1F" w:rsidRPr="00B96CAF">
        <w:rPr>
          <w:rFonts w:ascii="Times New Roman" w:hAnsi="Times New Roman" w:cs="Times New Roman"/>
          <w:i/>
          <w:iCs/>
          <w:sz w:val="20"/>
          <w:szCs w:val="20"/>
        </w:rPr>
        <w:t>Conceptual framework illustrating the role of agricultural biotechnology (biofertilizers, biopesticides, molecular breeding and digital agriculture) in enhancing climate resilience through improved soil health, stress tolerance and productivity.</w:t>
      </w:r>
      <w:r w:rsidRPr="00B96CAF">
        <w:rPr>
          <w:rFonts w:ascii="Times New Roman" w:hAnsi="Times New Roman" w:cs="Times New Roman"/>
          <w:i/>
          <w:iCs/>
          <w:sz w:val="20"/>
          <w:szCs w:val="20"/>
        </w:rPr>
        <w:t>}</w:t>
      </w:r>
    </w:p>
    <w:p w14:paraId="6E20FD10" w14:textId="77777777" w:rsidR="00F94E02" w:rsidRPr="00E32160" w:rsidRDefault="00F94E02" w:rsidP="00F94E02">
      <w:pPr>
        <w:rPr>
          <w:rFonts w:ascii="Times New Roman" w:hAnsi="Times New Roman" w:cs="Times New Roman"/>
          <w:b/>
          <w:bCs/>
          <w:sz w:val="24"/>
          <w:szCs w:val="24"/>
        </w:rPr>
      </w:pPr>
      <w:r w:rsidRPr="00E32160">
        <w:rPr>
          <w:rFonts w:ascii="Times New Roman" w:hAnsi="Times New Roman" w:cs="Times New Roman"/>
          <w:b/>
          <w:bCs/>
          <w:sz w:val="24"/>
          <w:szCs w:val="24"/>
        </w:rPr>
        <w:lastRenderedPageBreak/>
        <w:t>4. CASE STUDIES OF AGRICULTURAL BIOTECHNOLOGY IN ODISHA</w:t>
      </w:r>
    </w:p>
    <w:p w14:paraId="02993E29"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 xml:space="preserve">The application of agricultural biotechnology in Odisha can be effectively illustrated through field-based case studies that demonstrate its contribution to climate resilience, productivity enhancement and livelihood improvement. Two major systems, namely submergence-tolerant rice in flood-prone regions and millet-based farming systems in drought-prone areas, highlight the practical relevance of biotechnology when aligned with local </w:t>
      </w:r>
      <w:proofErr w:type="spellStart"/>
      <w:r w:rsidRPr="00E32160">
        <w:rPr>
          <w:rFonts w:ascii="Times New Roman" w:hAnsi="Times New Roman" w:cs="Times New Roman"/>
          <w:sz w:val="24"/>
          <w:szCs w:val="24"/>
        </w:rPr>
        <w:t>agro</w:t>
      </w:r>
      <w:proofErr w:type="spellEnd"/>
      <w:r w:rsidRPr="00E32160">
        <w:rPr>
          <w:rFonts w:ascii="Times New Roman" w:hAnsi="Times New Roman" w:cs="Times New Roman"/>
          <w:sz w:val="24"/>
          <w:szCs w:val="24"/>
        </w:rPr>
        <w:t>-ecological conditions.</w:t>
      </w:r>
    </w:p>
    <w:p w14:paraId="4BF25B5F"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 xml:space="preserve">The first case study focuses on submergence-tolerant rice varieties such as Swarna-Sub1 cultivated in coastal districts including </w:t>
      </w:r>
      <w:proofErr w:type="spellStart"/>
      <w:r w:rsidRPr="00E32160">
        <w:rPr>
          <w:rFonts w:ascii="Times New Roman" w:hAnsi="Times New Roman" w:cs="Times New Roman"/>
          <w:sz w:val="24"/>
          <w:szCs w:val="24"/>
        </w:rPr>
        <w:t>Kendrapada</w:t>
      </w:r>
      <w:proofErr w:type="spellEnd"/>
      <w:r w:rsidRPr="00E32160">
        <w:rPr>
          <w:rFonts w:ascii="Times New Roman" w:hAnsi="Times New Roman" w:cs="Times New Roman"/>
          <w:sz w:val="24"/>
          <w:szCs w:val="24"/>
        </w:rPr>
        <w:t xml:space="preserve"> and </w:t>
      </w:r>
      <w:proofErr w:type="spellStart"/>
      <w:r w:rsidRPr="00E32160">
        <w:rPr>
          <w:rFonts w:ascii="Times New Roman" w:hAnsi="Times New Roman" w:cs="Times New Roman"/>
          <w:sz w:val="24"/>
          <w:szCs w:val="24"/>
        </w:rPr>
        <w:t>Jagatsinghpur</w:t>
      </w:r>
      <w:proofErr w:type="spellEnd"/>
      <w:r w:rsidRPr="00E32160">
        <w:rPr>
          <w:rFonts w:ascii="Times New Roman" w:hAnsi="Times New Roman" w:cs="Times New Roman"/>
          <w:sz w:val="24"/>
          <w:szCs w:val="24"/>
        </w:rPr>
        <w:t>. These regions frequently experience flooding during the monsoon season, leading to severe crop losses in conventional rice varieties. Swarna-Sub1, developed through marker-assisted selection, contains the Sub1 gene that enables plants to survive complete submergence for up to 10–14 days by regulating elongation and conserving energy. Field evaluations indicate that these varieties can maintain yields of approximately 3.5–4.5 t ha⁻¹ under submergence conditions, whereas traditional varieties often suffer yield losses exceeding 50% (IRRI, 2020; Swain et al., 2023). The adoption of such varieties has significantly reduced crop failure risk and improved food security in flood-prone ecosystems.</w:t>
      </w:r>
    </w:p>
    <w:p w14:paraId="2BA8395C"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 xml:space="preserve">The second case study examines millet-based climate-resilient farming systems promoted under the Odisha Millet Mission in districts such as Koraput, </w:t>
      </w:r>
      <w:proofErr w:type="spellStart"/>
      <w:r w:rsidRPr="00E32160">
        <w:rPr>
          <w:rFonts w:ascii="Times New Roman" w:hAnsi="Times New Roman" w:cs="Times New Roman"/>
          <w:sz w:val="24"/>
          <w:szCs w:val="24"/>
        </w:rPr>
        <w:t>Kandhamal</w:t>
      </w:r>
      <w:proofErr w:type="spellEnd"/>
      <w:r w:rsidRPr="00E32160">
        <w:rPr>
          <w:rFonts w:ascii="Times New Roman" w:hAnsi="Times New Roman" w:cs="Times New Roman"/>
          <w:sz w:val="24"/>
          <w:szCs w:val="24"/>
        </w:rPr>
        <w:t xml:space="preserve"> and </w:t>
      </w:r>
      <w:proofErr w:type="spellStart"/>
      <w:r w:rsidRPr="00E32160">
        <w:rPr>
          <w:rFonts w:ascii="Times New Roman" w:hAnsi="Times New Roman" w:cs="Times New Roman"/>
          <w:sz w:val="24"/>
          <w:szCs w:val="24"/>
        </w:rPr>
        <w:t>Rayagada</w:t>
      </w:r>
      <w:proofErr w:type="spellEnd"/>
      <w:r w:rsidRPr="00E32160">
        <w:rPr>
          <w:rFonts w:ascii="Times New Roman" w:hAnsi="Times New Roman" w:cs="Times New Roman"/>
          <w:sz w:val="24"/>
          <w:szCs w:val="24"/>
        </w:rPr>
        <w:t>. These regions are characterized by rainfed agriculture, low soil fertility and high vulnerability to drought stress. The integration of improved millet varieties with biofertilizer-based nutrient management has enhanced soil biological activity and nutrient availability. Microbial inputs such as nitrogen-fixing and phosphate-solubilizing bacteria improve root development and water-use efficiency. Field-level data indicate that millet productivity has increased from approximately 6–8 quintals ha⁻¹ to 10–12 quintals ha⁻¹, with a corresponding increase in farmer income of about 20–30% (Sahoo et al., 2024; Government of Odisha, 2023). In addition, millet cultivation contributes to nutritional security due to its high micronutrient content.</w:t>
      </w:r>
    </w:p>
    <w:p w14:paraId="67763BA4" w14:textId="36985E5C"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 xml:space="preserve">These case studies demonstrate that biotechnology-driven interventions are most effective when tailored to specific </w:t>
      </w:r>
      <w:proofErr w:type="spellStart"/>
      <w:r w:rsidRPr="00E32160">
        <w:rPr>
          <w:rFonts w:ascii="Times New Roman" w:hAnsi="Times New Roman" w:cs="Times New Roman"/>
          <w:sz w:val="24"/>
          <w:szCs w:val="24"/>
        </w:rPr>
        <w:t>agro</w:t>
      </w:r>
      <w:proofErr w:type="spellEnd"/>
      <w:r w:rsidRPr="00E32160">
        <w:rPr>
          <w:rFonts w:ascii="Times New Roman" w:hAnsi="Times New Roman" w:cs="Times New Roman"/>
          <w:sz w:val="24"/>
          <w:szCs w:val="24"/>
        </w:rPr>
        <w:t>-climatic conditions. While submergence-tolerant rice addresses acute flood stress in coastal ecosystems, millet-based systems provide resilience against chronic drought and soil degradation in rainfed regions. The evidence suggests that combining genetic improvement with microbial technologies and policy support is essential for achieving sustainable agricultural outcomes.</w:t>
      </w:r>
    </w:p>
    <w:p w14:paraId="3DDAE901" w14:textId="77777777" w:rsidR="00F94E02" w:rsidRPr="00E32160" w:rsidRDefault="00F94E02" w:rsidP="00F94E02">
      <w:pPr>
        <w:rPr>
          <w:rFonts w:ascii="Times New Roman" w:hAnsi="Times New Roman" w:cs="Times New Roman"/>
          <w:b/>
          <w:bCs/>
          <w:sz w:val="24"/>
          <w:szCs w:val="24"/>
        </w:rPr>
      </w:pPr>
      <w:r w:rsidRPr="00E32160">
        <w:rPr>
          <w:rFonts w:ascii="Times New Roman" w:hAnsi="Times New Roman" w:cs="Times New Roman"/>
          <w:b/>
          <w:bCs/>
          <w:sz w:val="24"/>
          <w:szCs w:val="24"/>
        </w:rPr>
        <w:t>5. COMPARATIVE ANALYSIS AND DISCUSSION</w:t>
      </w:r>
    </w:p>
    <w:p w14:paraId="1229B0D2"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The comparative analysis of biotechnology applications in rice-based and millet-based farming systems reveals distinct adaptation mechanisms and outcomes under varying climatic conditions in Odisha. These systems differ in their technological approaches, biological processes and long-term sustainability impacts.</w:t>
      </w:r>
    </w:p>
    <w:p w14:paraId="64711984"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 xml:space="preserve">Submergence-tolerant rice systems represent a gene-centric adaptation strategy, where resilience is achieved through genetic improvement using marker-assisted selection. The incorporation of the Sub1 gene enables rice plants to withstand prolonged flooding by suppressing excessive elongation and conserving metabolic energy. This results in improved </w:t>
      </w:r>
      <w:r w:rsidRPr="00E32160">
        <w:rPr>
          <w:rFonts w:ascii="Times New Roman" w:hAnsi="Times New Roman" w:cs="Times New Roman"/>
          <w:sz w:val="24"/>
          <w:szCs w:val="24"/>
        </w:rPr>
        <w:lastRenderedPageBreak/>
        <w:t>yield stability under short-term extreme stress conditions such as floods (Zhang et al., 2020; IRRI, 2020). However, these systems often require continuous seed replacement and institutional support for sustained adoption.</w:t>
      </w:r>
    </w:p>
    <w:p w14:paraId="61ECC3C1"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In contrast, millet-based systems follow an ecosystem-oriented approach that relies on soil–plant–microbe interactions. The application of biofertilizers enhances rhizosphere activity, improves nutrient cycling and increases water-use efficiency. These processes contribute to enhanced drought tolerance and long-term soil health. Unlike rice systems, millet cultivation is less input-intensive and better suited to marginal environments, making it more sustainable under chronic stress conditions (Lal, 2020; Sahoo et al., 2024).</w:t>
      </w:r>
    </w:p>
    <w:p w14:paraId="531EA50B"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 xml:space="preserve">From a resilience perspective, rice systems are effective in mitigating short-term climatic shocks such as floods, whereas millet-based systems provide long-term adaptation to water scarcity and soil degradation. This indicates that the effectiveness of agricultural biotechnology is context-dependent and influenced by </w:t>
      </w:r>
      <w:proofErr w:type="spellStart"/>
      <w:r w:rsidRPr="00E32160">
        <w:rPr>
          <w:rFonts w:ascii="Times New Roman" w:hAnsi="Times New Roman" w:cs="Times New Roman"/>
          <w:sz w:val="24"/>
          <w:szCs w:val="24"/>
        </w:rPr>
        <w:t>agro</w:t>
      </w:r>
      <w:proofErr w:type="spellEnd"/>
      <w:r w:rsidRPr="00E32160">
        <w:rPr>
          <w:rFonts w:ascii="Times New Roman" w:hAnsi="Times New Roman" w:cs="Times New Roman"/>
          <w:sz w:val="24"/>
          <w:szCs w:val="24"/>
        </w:rPr>
        <w:t>-ecological conditions and socio-economic factors.</w:t>
      </w:r>
    </w:p>
    <w:p w14:paraId="59AE8058"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Furthermore, the analysis highlights that no single technological approach is sufficient to address the complexity of climate change impacts on agriculture. A hybrid strategy integrating genetic improvement, microbial biotechnology and ecosystem-based practices is necessary for achieving sustainable and climate-resilient farming systems.</w:t>
      </w:r>
    </w:p>
    <w:p w14:paraId="11B2C245" w14:textId="627A0212" w:rsidR="00F94E02" w:rsidRPr="00E32160" w:rsidRDefault="00F94E02" w:rsidP="00F94E02">
      <w:pPr>
        <w:rPr>
          <w:rFonts w:ascii="Times New Roman" w:hAnsi="Times New Roman" w:cs="Times New Roman"/>
          <w:b/>
          <w:bCs/>
          <w:sz w:val="24"/>
          <w:szCs w:val="24"/>
        </w:rPr>
      </w:pPr>
    </w:p>
    <w:p w14:paraId="11D379C1"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b/>
          <w:bCs/>
          <w:sz w:val="24"/>
          <w:szCs w:val="24"/>
        </w:rPr>
        <w:t>Table 1: Comparative analysis of biotechnology-based farming systems in Odisha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2"/>
        <w:gridCol w:w="2911"/>
        <w:gridCol w:w="2961"/>
      </w:tblGrid>
      <w:tr w:rsidR="00F94E02" w:rsidRPr="00E32160" w14:paraId="6CC12BE9" w14:textId="77777777">
        <w:trPr>
          <w:tblHeader/>
          <w:tblCellSpacing w:w="15" w:type="dxa"/>
        </w:trPr>
        <w:tc>
          <w:tcPr>
            <w:tcW w:w="0" w:type="auto"/>
            <w:vAlign w:val="center"/>
            <w:hideMark/>
          </w:tcPr>
          <w:p w14:paraId="78F2ACCA" w14:textId="77777777" w:rsidR="00F94E02" w:rsidRPr="00E32160" w:rsidRDefault="00F94E02" w:rsidP="00F94E02">
            <w:pPr>
              <w:rPr>
                <w:rFonts w:ascii="Times New Roman" w:hAnsi="Times New Roman" w:cs="Times New Roman"/>
                <w:b/>
                <w:bCs/>
                <w:sz w:val="24"/>
                <w:szCs w:val="24"/>
              </w:rPr>
            </w:pPr>
            <w:r w:rsidRPr="00E32160">
              <w:rPr>
                <w:rFonts w:ascii="Times New Roman" w:hAnsi="Times New Roman" w:cs="Times New Roman"/>
                <w:b/>
                <w:bCs/>
                <w:sz w:val="24"/>
                <w:szCs w:val="24"/>
              </w:rPr>
              <w:t>Parameter</w:t>
            </w:r>
          </w:p>
        </w:tc>
        <w:tc>
          <w:tcPr>
            <w:tcW w:w="0" w:type="auto"/>
            <w:vAlign w:val="center"/>
            <w:hideMark/>
          </w:tcPr>
          <w:p w14:paraId="10DBACC2" w14:textId="77777777" w:rsidR="00F94E02" w:rsidRPr="00E32160" w:rsidRDefault="00F94E02" w:rsidP="00F94E02">
            <w:pPr>
              <w:rPr>
                <w:rFonts w:ascii="Times New Roman" w:hAnsi="Times New Roman" w:cs="Times New Roman"/>
                <w:b/>
                <w:bCs/>
                <w:sz w:val="24"/>
                <w:szCs w:val="24"/>
              </w:rPr>
            </w:pPr>
            <w:r w:rsidRPr="00E32160">
              <w:rPr>
                <w:rFonts w:ascii="Times New Roman" w:hAnsi="Times New Roman" w:cs="Times New Roman"/>
                <w:b/>
                <w:bCs/>
                <w:sz w:val="24"/>
                <w:szCs w:val="24"/>
              </w:rPr>
              <w:t>Submergence-Tolerant Rice</w:t>
            </w:r>
          </w:p>
        </w:tc>
        <w:tc>
          <w:tcPr>
            <w:tcW w:w="0" w:type="auto"/>
            <w:vAlign w:val="center"/>
            <w:hideMark/>
          </w:tcPr>
          <w:p w14:paraId="567F4D31" w14:textId="77777777" w:rsidR="00F94E02" w:rsidRPr="00E32160" w:rsidRDefault="00F94E02" w:rsidP="00F94E02">
            <w:pPr>
              <w:rPr>
                <w:rFonts w:ascii="Times New Roman" w:hAnsi="Times New Roman" w:cs="Times New Roman"/>
                <w:b/>
                <w:bCs/>
                <w:sz w:val="24"/>
                <w:szCs w:val="24"/>
              </w:rPr>
            </w:pPr>
            <w:r w:rsidRPr="00E32160">
              <w:rPr>
                <w:rFonts w:ascii="Times New Roman" w:hAnsi="Times New Roman" w:cs="Times New Roman"/>
                <w:b/>
                <w:bCs/>
                <w:sz w:val="24"/>
                <w:szCs w:val="24"/>
              </w:rPr>
              <w:t>Millet-Based System</w:t>
            </w:r>
          </w:p>
        </w:tc>
      </w:tr>
      <w:tr w:rsidR="00F94E02" w:rsidRPr="00E32160" w14:paraId="07A4D1C1" w14:textId="77777777">
        <w:trPr>
          <w:tblCellSpacing w:w="15" w:type="dxa"/>
        </w:trPr>
        <w:tc>
          <w:tcPr>
            <w:tcW w:w="0" w:type="auto"/>
            <w:vAlign w:val="center"/>
            <w:hideMark/>
          </w:tcPr>
          <w:p w14:paraId="49BE850D"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Climatic stress</w:t>
            </w:r>
          </w:p>
        </w:tc>
        <w:tc>
          <w:tcPr>
            <w:tcW w:w="0" w:type="auto"/>
            <w:vAlign w:val="center"/>
            <w:hideMark/>
          </w:tcPr>
          <w:p w14:paraId="2D0323DB"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Flood</w:t>
            </w:r>
          </w:p>
        </w:tc>
        <w:tc>
          <w:tcPr>
            <w:tcW w:w="0" w:type="auto"/>
            <w:vAlign w:val="center"/>
            <w:hideMark/>
          </w:tcPr>
          <w:p w14:paraId="6C83641E"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Drought</w:t>
            </w:r>
          </w:p>
        </w:tc>
      </w:tr>
      <w:tr w:rsidR="00F94E02" w:rsidRPr="00E32160" w14:paraId="1B11487D" w14:textId="77777777">
        <w:trPr>
          <w:tblCellSpacing w:w="15" w:type="dxa"/>
        </w:trPr>
        <w:tc>
          <w:tcPr>
            <w:tcW w:w="0" w:type="auto"/>
            <w:vAlign w:val="center"/>
            <w:hideMark/>
          </w:tcPr>
          <w:p w14:paraId="590FA085"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Technology</w:t>
            </w:r>
          </w:p>
        </w:tc>
        <w:tc>
          <w:tcPr>
            <w:tcW w:w="0" w:type="auto"/>
            <w:vAlign w:val="center"/>
            <w:hideMark/>
          </w:tcPr>
          <w:p w14:paraId="478DEC20"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Marker-assisted selection</w:t>
            </w:r>
          </w:p>
        </w:tc>
        <w:tc>
          <w:tcPr>
            <w:tcW w:w="0" w:type="auto"/>
            <w:vAlign w:val="center"/>
            <w:hideMark/>
          </w:tcPr>
          <w:p w14:paraId="2AA8715A"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Biofertilizers</w:t>
            </w:r>
          </w:p>
        </w:tc>
      </w:tr>
      <w:tr w:rsidR="00F94E02" w:rsidRPr="00E32160" w14:paraId="6D6307CD" w14:textId="77777777">
        <w:trPr>
          <w:tblCellSpacing w:w="15" w:type="dxa"/>
        </w:trPr>
        <w:tc>
          <w:tcPr>
            <w:tcW w:w="0" w:type="auto"/>
            <w:vAlign w:val="center"/>
            <w:hideMark/>
          </w:tcPr>
          <w:p w14:paraId="01169F22"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Mechanism</w:t>
            </w:r>
          </w:p>
        </w:tc>
        <w:tc>
          <w:tcPr>
            <w:tcW w:w="0" w:type="auto"/>
            <w:vAlign w:val="center"/>
            <w:hideMark/>
          </w:tcPr>
          <w:p w14:paraId="5BE385E9"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Sub1 gene regulation</w:t>
            </w:r>
          </w:p>
        </w:tc>
        <w:tc>
          <w:tcPr>
            <w:tcW w:w="0" w:type="auto"/>
            <w:vAlign w:val="center"/>
            <w:hideMark/>
          </w:tcPr>
          <w:p w14:paraId="42951C14"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Microbial nutrient cycling</w:t>
            </w:r>
          </w:p>
        </w:tc>
      </w:tr>
      <w:tr w:rsidR="00F94E02" w:rsidRPr="00E32160" w14:paraId="494473CE" w14:textId="77777777">
        <w:trPr>
          <w:tblCellSpacing w:w="15" w:type="dxa"/>
        </w:trPr>
        <w:tc>
          <w:tcPr>
            <w:tcW w:w="0" w:type="auto"/>
            <w:vAlign w:val="center"/>
            <w:hideMark/>
          </w:tcPr>
          <w:p w14:paraId="0B2F29D4"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Input requirement</w:t>
            </w:r>
          </w:p>
        </w:tc>
        <w:tc>
          <w:tcPr>
            <w:tcW w:w="0" w:type="auto"/>
            <w:vAlign w:val="center"/>
            <w:hideMark/>
          </w:tcPr>
          <w:p w14:paraId="2B64624A"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Moderate to high</w:t>
            </w:r>
          </w:p>
        </w:tc>
        <w:tc>
          <w:tcPr>
            <w:tcW w:w="0" w:type="auto"/>
            <w:vAlign w:val="center"/>
            <w:hideMark/>
          </w:tcPr>
          <w:p w14:paraId="451B742B"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Low</w:t>
            </w:r>
          </w:p>
        </w:tc>
      </w:tr>
      <w:tr w:rsidR="00F94E02" w:rsidRPr="00E32160" w14:paraId="343C9370" w14:textId="77777777">
        <w:trPr>
          <w:tblCellSpacing w:w="15" w:type="dxa"/>
        </w:trPr>
        <w:tc>
          <w:tcPr>
            <w:tcW w:w="0" w:type="auto"/>
            <w:vAlign w:val="center"/>
            <w:hideMark/>
          </w:tcPr>
          <w:p w14:paraId="621B8C09"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Outcome</w:t>
            </w:r>
          </w:p>
        </w:tc>
        <w:tc>
          <w:tcPr>
            <w:tcW w:w="0" w:type="auto"/>
            <w:vAlign w:val="center"/>
            <w:hideMark/>
          </w:tcPr>
          <w:p w14:paraId="55D82C2E"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Yield stability</w:t>
            </w:r>
          </w:p>
        </w:tc>
        <w:tc>
          <w:tcPr>
            <w:tcW w:w="0" w:type="auto"/>
            <w:vAlign w:val="center"/>
            <w:hideMark/>
          </w:tcPr>
          <w:p w14:paraId="6123C4AA"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Nutritional &amp; income security</w:t>
            </w:r>
          </w:p>
        </w:tc>
      </w:tr>
    </w:tbl>
    <w:p w14:paraId="539A2624" w14:textId="77777777" w:rsidR="00F94E02" w:rsidRPr="00E32160" w:rsidRDefault="00F94E02" w:rsidP="00F94E02">
      <w:pPr>
        <w:rPr>
          <w:rFonts w:ascii="Times New Roman" w:hAnsi="Times New Roman" w:cs="Times New Roman"/>
          <w:b/>
          <w:bCs/>
          <w:sz w:val="24"/>
          <w:szCs w:val="24"/>
        </w:rPr>
      </w:pPr>
      <w:r w:rsidRPr="00E32160">
        <w:rPr>
          <w:rFonts w:ascii="Times New Roman" w:hAnsi="Times New Roman" w:cs="Times New Roman"/>
          <w:b/>
          <w:bCs/>
          <w:sz w:val="24"/>
          <w:szCs w:val="24"/>
        </w:rPr>
        <w:t>6. CONSTRAINTS AND CHALLENGES IN ADOPTION OF AGRICULTURAL BIOTECHNOLOGY</w:t>
      </w:r>
    </w:p>
    <w:p w14:paraId="5BB602BA"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Despite its significant potential, the adoption of agricultural biotechnology in Odisha remains constrained by multiple structural, institutional and socio-economic factors. One of the primary challenges is the limited awareness and technical knowledge among smallholder farmers regarding biofertilizers, biopesticides and stress-tolerant crop varieties. In many regions, traditional practices continue to dominate, and new technologies are often perceived as uncertain due to inadequate field demonstrations and extension support (Rout et al., 2024).</w:t>
      </w:r>
    </w:p>
    <w:p w14:paraId="709376A1"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 xml:space="preserve">Another critical constraint is the weak supply chain and quality inconsistency of bio-based inputs. Biofertilizers and microbial formulations often suffer from short shelf life and variability in performance, which reduces farmer confidence and slows adoption rates (Yadav and Kumar, 2021; OECD, 2022). In addition, insufficient coordination between research </w:t>
      </w:r>
      <w:r w:rsidRPr="00E32160">
        <w:rPr>
          <w:rFonts w:ascii="Times New Roman" w:hAnsi="Times New Roman" w:cs="Times New Roman"/>
          <w:sz w:val="24"/>
          <w:szCs w:val="24"/>
        </w:rPr>
        <w:lastRenderedPageBreak/>
        <w:t>institutions and field-level agencies creates a gap between technology development and practical implementation.</w:t>
      </w:r>
    </w:p>
    <w:p w14:paraId="643AEF41"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 xml:space="preserve">Economic limitations further restrict adoption. The predominance of small and marginal farmers, fragmented landholdings and limited access to credit and irrigation facilities reduce the capacity to invest in new technologies. Climate uncertainty itself also discourages risk-taking </w:t>
      </w:r>
      <w:proofErr w:type="spellStart"/>
      <w:r w:rsidRPr="00E32160">
        <w:rPr>
          <w:rFonts w:ascii="Times New Roman" w:hAnsi="Times New Roman" w:cs="Times New Roman"/>
          <w:sz w:val="24"/>
          <w:szCs w:val="24"/>
        </w:rPr>
        <w:t>behavior</w:t>
      </w:r>
      <w:proofErr w:type="spellEnd"/>
      <w:r w:rsidRPr="00E32160">
        <w:rPr>
          <w:rFonts w:ascii="Times New Roman" w:hAnsi="Times New Roman" w:cs="Times New Roman"/>
          <w:sz w:val="24"/>
          <w:szCs w:val="24"/>
        </w:rPr>
        <w:t xml:space="preserve"> among farmers, particularly in vulnerable regions.</w:t>
      </w:r>
    </w:p>
    <w:p w14:paraId="5497DD3D" w14:textId="2267220F"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Policy and institutional barriers also play an important role. Although initiatives such as the Odisha Millet Mission have demonstrated success, similar structured programs for broader biotechnology adoption remain limited. Strengthening extension services, ensuring quality control of bio-inputs and enhancing public–private partnerships are essential for scaling biotechnology interventions effectively.</w:t>
      </w:r>
    </w:p>
    <w:p w14:paraId="610F5D2D" w14:textId="77777777" w:rsidR="00F94E02" w:rsidRPr="00E32160" w:rsidRDefault="00F94E02" w:rsidP="00F94E02">
      <w:pPr>
        <w:rPr>
          <w:rFonts w:ascii="Times New Roman" w:hAnsi="Times New Roman" w:cs="Times New Roman"/>
          <w:b/>
          <w:bCs/>
          <w:sz w:val="24"/>
          <w:szCs w:val="24"/>
        </w:rPr>
      </w:pPr>
      <w:r w:rsidRPr="00E32160">
        <w:rPr>
          <w:rFonts w:ascii="Times New Roman" w:hAnsi="Times New Roman" w:cs="Times New Roman"/>
          <w:b/>
          <w:bCs/>
          <w:sz w:val="24"/>
          <w:szCs w:val="24"/>
        </w:rPr>
        <w:t>7. FUTURE PROSPECTS AND STRATEGIC DIRECTIONS</w:t>
      </w:r>
    </w:p>
    <w:p w14:paraId="25767665"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The future of agricultural biotechnology in Odisha lies in developing an integrated and location-specific innovation framework that combines scientific advancements with traditional agricultural knowledge. Strengthening linkages between research institutions, extension systems and farming communities is essential to accelerate technology dissemination and adoption (World Bank, 2023).</w:t>
      </w:r>
    </w:p>
    <w:p w14:paraId="4CA8BB82"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A key strategic priority is the promotion of decentralized production systems for biofertilizers and biopesticides. Establishing local-level production units can improve availability, reduce costs and ensure quality consistency. In addition, farmer training programs and capacity-building initiatives should be expanded to enhance awareness and technical understanding of biotechnology-based solutions.</w:t>
      </w:r>
    </w:p>
    <w:p w14:paraId="002E5AA0"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Emerging technologies such as genome editing and artificial intelligence are expected to play a transformative role in climate-resilient agriculture. CRISPR-based crop improvement enables precise modification of stress-resilient traits, while AI-driven advisory systems provide real-time recommendations on crop management and climate risk mitigation (Singh et al., 2022; Mishra et al., 2024).</w:t>
      </w:r>
    </w:p>
    <w:p w14:paraId="68E20C4F" w14:textId="2E52DE1D"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From a systems perspective, future strategies should emphasize the integration of genetic improvement, microbial biotechnology and ecosystem-based farming approaches. Combining stress-tolerant crop varieties with biofertilizer-based soil management and digital agriculture can provide a holistic solution to climate variability.</w:t>
      </w:r>
    </w:p>
    <w:p w14:paraId="42FF3358" w14:textId="77777777" w:rsidR="00F94E02" w:rsidRPr="00E32160" w:rsidRDefault="00F94E02" w:rsidP="00F94E02">
      <w:pPr>
        <w:rPr>
          <w:rFonts w:ascii="Times New Roman" w:hAnsi="Times New Roman" w:cs="Times New Roman"/>
          <w:b/>
          <w:bCs/>
          <w:sz w:val="24"/>
          <w:szCs w:val="24"/>
        </w:rPr>
      </w:pPr>
      <w:r w:rsidRPr="00E32160">
        <w:rPr>
          <w:rFonts w:ascii="Times New Roman" w:hAnsi="Times New Roman" w:cs="Times New Roman"/>
          <w:b/>
          <w:bCs/>
          <w:sz w:val="24"/>
          <w:szCs w:val="24"/>
        </w:rPr>
        <w:t>8. POLICY IMPLICATIONS</w:t>
      </w:r>
    </w:p>
    <w:p w14:paraId="53617CCD"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Effective implementation of agricultural biotechnology requires strong policy support and institutional coordination. Government interventions should focus on strengthening extension networks, improving access to quality bio-inputs and promoting farmer-centric innovation systems.</w:t>
      </w:r>
    </w:p>
    <w:p w14:paraId="5DFDA966"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 xml:space="preserve">Investment in research and development is essential to generate region-specific technologies suited to Odisha’s </w:t>
      </w:r>
      <w:proofErr w:type="spellStart"/>
      <w:r w:rsidRPr="00E32160">
        <w:rPr>
          <w:rFonts w:ascii="Times New Roman" w:hAnsi="Times New Roman" w:cs="Times New Roman"/>
          <w:sz w:val="24"/>
          <w:szCs w:val="24"/>
        </w:rPr>
        <w:t>agro</w:t>
      </w:r>
      <w:proofErr w:type="spellEnd"/>
      <w:r w:rsidRPr="00E32160">
        <w:rPr>
          <w:rFonts w:ascii="Times New Roman" w:hAnsi="Times New Roman" w:cs="Times New Roman"/>
          <w:sz w:val="24"/>
          <w:szCs w:val="24"/>
        </w:rPr>
        <w:t>-climatic conditions. Public–private partnerships can facilitate large-scale dissemination of biotechnology innovations and enhance market linkages.</w:t>
      </w:r>
    </w:p>
    <w:p w14:paraId="4E3C2181" w14:textId="2AC8830D"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 xml:space="preserve">Furthermore, policies should encourage sustainable agricultural practices by providing incentives for the adoption of eco-friendly technologies such as biofertilizers and </w:t>
      </w:r>
      <w:r w:rsidRPr="00E32160">
        <w:rPr>
          <w:rFonts w:ascii="Times New Roman" w:hAnsi="Times New Roman" w:cs="Times New Roman"/>
          <w:sz w:val="24"/>
          <w:szCs w:val="24"/>
        </w:rPr>
        <w:lastRenderedPageBreak/>
        <w:t>biopesticides. Integrating biotechnology into state-level climate adaptation strategies can significantly enhance agricultural resilience and long-term sustainability (FAO, 2023).</w:t>
      </w:r>
    </w:p>
    <w:p w14:paraId="73DE312B" w14:textId="77777777" w:rsidR="00F94E02" w:rsidRPr="00E32160" w:rsidRDefault="00F94E02" w:rsidP="00F94E02">
      <w:pPr>
        <w:rPr>
          <w:rFonts w:ascii="Times New Roman" w:hAnsi="Times New Roman" w:cs="Times New Roman"/>
          <w:b/>
          <w:bCs/>
          <w:sz w:val="24"/>
          <w:szCs w:val="24"/>
        </w:rPr>
      </w:pPr>
      <w:r w:rsidRPr="00E32160">
        <w:rPr>
          <w:rFonts w:ascii="Times New Roman" w:hAnsi="Times New Roman" w:cs="Times New Roman"/>
          <w:b/>
          <w:bCs/>
          <w:sz w:val="24"/>
          <w:szCs w:val="24"/>
        </w:rPr>
        <w:t>9. CONCLUSION</w:t>
      </w:r>
    </w:p>
    <w:p w14:paraId="2E1140A0"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Agricultural biotechnology offers a robust and sustainable pathway for enhancing climate resilience in Odisha’s farming systems. Evidence from submergence-tolerant rice and millet-based systems demonstrates that both genetic and ecological approaches can significantly improve productivity, stability and livelihood security under climate stress conditions.</w:t>
      </w:r>
    </w:p>
    <w:p w14:paraId="66E8F34B"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 xml:space="preserve">The analysis highlights that the effectiveness of biotechnology is highly context-dependent and must be aligned with local </w:t>
      </w:r>
      <w:proofErr w:type="spellStart"/>
      <w:r w:rsidRPr="00E32160">
        <w:rPr>
          <w:rFonts w:ascii="Times New Roman" w:hAnsi="Times New Roman" w:cs="Times New Roman"/>
          <w:sz w:val="24"/>
          <w:szCs w:val="24"/>
        </w:rPr>
        <w:t>agro</w:t>
      </w:r>
      <w:proofErr w:type="spellEnd"/>
      <w:r w:rsidRPr="00E32160">
        <w:rPr>
          <w:rFonts w:ascii="Times New Roman" w:hAnsi="Times New Roman" w:cs="Times New Roman"/>
          <w:sz w:val="24"/>
          <w:szCs w:val="24"/>
        </w:rPr>
        <w:t>-ecological and socio-economic conditions. While genetic interventions are effective in mitigating short-term climatic shocks such as floods, microbial and ecosystem-based approaches provide long-term resilience against drought and soil degradation.</w:t>
      </w:r>
    </w:p>
    <w:p w14:paraId="11CA74CB" w14:textId="77777777" w:rsidR="00F94E02"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Overall, achieving climate-resilient agriculture in Odisha requires an integrated strategy that combines technological innovation, institutional support and farmer participation. Strengthening linkages between research organizations, policymakers and farming communities will be essential for scaling biotechnology solutions and ensuring sustainable agricultural transformation.</w:t>
      </w:r>
    </w:p>
    <w:p w14:paraId="61F1C96D" w14:textId="77777777" w:rsidR="00E32160" w:rsidRPr="00E32160" w:rsidRDefault="00E32160" w:rsidP="00F94E02">
      <w:pPr>
        <w:rPr>
          <w:rFonts w:ascii="Times New Roman" w:hAnsi="Times New Roman" w:cs="Times New Roman"/>
          <w:sz w:val="24"/>
          <w:szCs w:val="24"/>
        </w:rPr>
      </w:pPr>
    </w:p>
    <w:p w14:paraId="7CC01EC8" w14:textId="34E04742" w:rsidR="00856938" w:rsidRPr="00856938" w:rsidRDefault="00F94E02" w:rsidP="00856938">
      <w:pPr>
        <w:rPr>
          <w:rFonts w:ascii="Times New Roman" w:hAnsi="Times New Roman" w:cs="Times New Roman"/>
          <w:b/>
          <w:bCs/>
          <w:sz w:val="24"/>
          <w:szCs w:val="24"/>
        </w:rPr>
      </w:pPr>
      <w:r w:rsidRPr="00E32160">
        <w:rPr>
          <w:rFonts w:ascii="Times New Roman" w:hAnsi="Times New Roman" w:cs="Times New Roman"/>
          <w:b/>
          <w:bCs/>
          <w:sz w:val="24"/>
          <w:szCs w:val="24"/>
        </w:rPr>
        <w:t>REFERENCES</w:t>
      </w:r>
    </w:p>
    <w:p w14:paraId="7169D57D" w14:textId="18BBFF67" w:rsidR="00856938" w:rsidRPr="00856938" w:rsidRDefault="00856938" w:rsidP="00856938">
      <w:pPr>
        <w:pStyle w:val="ListParagraph"/>
        <w:numPr>
          <w:ilvl w:val="0"/>
          <w:numId w:val="13"/>
        </w:numPr>
        <w:rPr>
          <w:rFonts w:ascii="Times New Roman" w:hAnsi="Times New Roman" w:cs="Times New Roman"/>
          <w:sz w:val="24"/>
          <w:szCs w:val="24"/>
        </w:rPr>
      </w:pPr>
      <w:r w:rsidRPr="00856938">
        <w:rPr>
          <w:rFonts w:ascii="Times New Roman" w:hAnsi="Times New Roman" w:cs="Times New Roman"/>
          <w:sz w:val="24"/>
          <w:szCs w:val="24"/>
        </w:rPr>
        <w:t>Shaheen N, Ahmad S, Alghamdi SS, et al. (2023). CRISPR-Cas system, a possible “</w:t>
      </w:r>
      <w:proofErr w:type="spellStart"/>
      <w:r w:rsidRPr="00856938">
        <w:rPr>
          <w:rFonts w:ascii="Times New Roman" w:hAnsi="Times New Roman" w:cs="Times New Roman"/>
          <w:sz w:val="24"/>
          <w:szCs w:val="24"/>
        </w:rPr>
        <w:t>savior</w:t>
      </w:r>
      <w:proofErr w:type="spellEnd"/>
      <w:r w:rsidRPr="00856938">
        <w:rPr>
          <w:rFonts w:ascii="Times New Roman" w:hAnsi="Times New Roman" w:cs="Times New Roman"/>
          <w:sz w:val="24"/>
          <w:szCs w:val="24"/>
        </w:rPr>
        <w:t xml:space="preserve">” of rice threatened by climate change: An updated review. </w:t>
      </w:r>
      <w:r w:rsidRPr="00856938">
        <w:rPr>
          <w:rFonts w:ascii="Times New Roman" w:hAnsi="Times New Roman" w:cs="Times New Roman"/>
          <w:i/>
          <w:iCs/>
          <w:sz w:val="24"/>
          <w:szCs w:val="24"/>
        </w:rPr>
        <w:t>Rice</w:t>
      </w:r>
      <w:r w:rsidRPr="00856938">
        <w:rPr>
          <w:rFonts w:ascii="Times New Roman" w:hAnsi="Times New Roman" w:cs="Times New Roman"/>
          <w:sz w:val="24"/>
          <w:szCs w:val="24"/>
        </w:rPr>
        <w:t xml:space="preserve">, 16:39. https://doi.org/10.1186/s12284-023-00652-1 </w:t>
      </w:r>
    </w:p>
    <w:p w14:paraId="04301FEA" w14:textId="77777777" w:rsidR="00856938" w:rsidRPr="00856938" w:rsidRDefault="00856938" w:rsidP="00856938">
      <w:pPr>
        <w:numPr>
          <w:ilvl w:val="0"/>
          <w:numId w:val="13"/>
        </w:numPr>
        <w:rPr>
          <w:rFonts w:ascii="Times New Roman" w:hAnsi="Times New Roman" w:cs="Times New Roman"/>
          <w:sz w:val="24"/>
          <w:szCs w:val="24"/>
        </w:rPr>
      </w:pPr>
      <w:proofErr w:type="spellStart"/>
      <w:r w:rsidRPr="00856938">
        <w:rPr>
          <w:rFonts w:ascii="Times New Roman" w:hAnsi="Times New Roman" w:cs="Times New Roman"/>
          <w:sz w:val="24"/>
          <w:szCs w:val="24"/>
        </w:rPr>
        <w:t>Ngongolo</w:t>
      </w:r>
      <w:proofErr w:type="spellEnd"/>
      <w:r w:rsidRPr="00856938">
        <w:rPr>
          <w:rFonts w:ascii="Times New Roman" w:hAnsi="Times New Roman" w:cs="Times New Roman"/>
          <w:sz w:val="24"/>
          <w:szCs w:val="24"/>
        </w:rPr>
        <w:t xml:space="preserve"> K, </w:t>
      </w:r>
      <w:proofErr w:type="spellStart"/>
      <w:r w:rsidRPr="00856938">
        <w:rPr>
          <w:rFonts w:ascii="Times New Roman" w:hAnsi="Times New Roman" w:cs="Times New Roman"/>
          <w:sz w:val="24"/>
          <w:szCs w:val="24"/>
        </w:rPr>
        <w:t>Mmbando</w:t>
      </w:r>
      <w:proofErr w:type="spellEnd"/>
      <w:r w:rsidRPr="00856938">
        <w:rPr>
          <w:rFonts w:ascii="Times New Roman" w:hAnsi="Times New Roman" w:cs="Times New Roman"/>
          <w:sz w:val="24"/>
          <w:szCs w:val="24"/>
        </w:rPr>
        <w:t xml:space="preserve"> GS. (2024). Harnessing biotechnology and breeding strategies for climate-resilient agriculture: Pathways to sustainable global food security. </w:t>
      </w:r>
      <w:r w:rsidRPr="00856938">
        <w:rPr>
          <w:rFonts w:ascii="Times New Roman" w:hAnsi="Times New Roman" w:cs="Times New Roman"/>
          <w:i/>
          <w:iCs/>
          <w:sz w:val="24"/>
          <w:szCs w:val="24"/>
        </w:rPr>
        <w:t>Discover Sustainability</w:t>
      </w:r>
      <w:r w:rsidRPr="00856938">
        <w:rPr>
          <w:rFonts w:ascii="Times New Roman" w:hAnsi="Times New Roman" w:cs="Times New Roman"/>
          <w:sz w:val="24"/>
          <w:szCs w:val="24"/>
        </w:rPr>
        <w:t xml:space="preserve">, 5:431. https://doi.org/10.1007/s43621-024-00653-0 </w:t>
      </w:r>
    </w:p>
    <w:p w14:paraId="4544FF17"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Tuncel A, Pan C, Clem JS, et al. (2025). CRISPR–Cas applications in agriculture and plant research. </w:t>
      </w:r>
      <w:r w:rsidRPr="00856938">
        <w:rPr>
          <w:rFonts w:ascii="Times New Roman" w:hAnsi="Times New Roman" w:cs="Times New Roman"/>
          <w:i/>
          <w:iCs/>
          <w:sz w:val="24"/>
          <w:szCs w:val="24"/>
        </w:rPr>
        <w:t>Nature Reviews Molecular Cell Biology</w:t>
      </w:r>
      <w:r w:rsidRPr="00856938">
        <w:rPr>
          <w:rFonts w:ascii="Times New Roman" w:hAnsi="Times New Roman" w:cs="Times New Roman"/>
          <w:sz w:val="24"/>
          <w:szCs w:val="24"/>
        </w:rPr>
        <w:t xml:space="preserve">, 26:419–441. https://doi.org/10.1038/s41580-025-00834-3 </w:t>
      </w:r>
    </w:p>
    <w:p w14:paraId="02FB0035"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Kaur N, Qadir MQ, Francis DV, et al. (2025). CRISPR/Cas9: A sustainable technology to enhance climate resilience in major staple crops. </w:t>
      </w:r>
      <w:r w:rsidRPr="00856938">
        <w:rPr>
          <w:rFonts w:ascii="Times New Roman" w:hAnsi="Times New Roman" w:cs="Times New Roman"/>
          <w:i/>
          <w:iCs/>
          <w:sz w:val="24"/>
          <w:szCs w:val="24"/>
        </w:rPr>
        <w:t>Frontiers in Genome Editing</w:t>
      </w:r>
      <w:r w:rsidRPr="00856938">
        <w:rPr>
          <w:rFonts w:ascii="Times New Roman" w:hAnsi="Times New Roman" w:cs="Times New Roman"/>
          <w:sz w:val="24"/>
          <w:szCs w:val="24"/>
        </w:rPr>
        <w:t xml:space="preserve">, 7:1533197. https://doi.org/10.3389/fgeed.2025.1533197 </w:t>
      </w:r>
    </w:p>
    <w:p w14:paraId="7243A57A"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Riaz MR, Yasmeen E, Saleem BS, et al. (2025). Evolution of agricultural biotechnology is the paradigm shift in crop resilience and development: A review. </w:t>
      </w:r>
      <w:r w:rsidRPr="00856938">
        <w:rPr>
          <w:rFonts w:ascii="Times New Roman" w:hAnsi="Times New Roman" w:cs="Times New Roman"/>
          <w:i/>
          <w:iCs/>
          <w:sz w:val="24"/>
          <w:szCs w:val="24"/>
        </w:rPr>
        <w:t>Frontiers in Plant Science</w:t>
      </w:r>
      <w:r w:rsidRPr="00856938">
        <w:rPr>
          <w:rFonts w:ascii="Times New Roman" w:hAnsi="Times New Roman" w:cs="Times New Roman"/>
          <w:sz w:val="24"/>
          <w:szCs w:val="24"/>
        </w:rPr>
        <w:t xml:space="preserve">, 16:1585826. https://doi.org/10.3389/fpls.2025.1585826 </w:t>
      </w:r>
    </w:p>
    <w:p w14:paraId="28302A51" w14:textId="77777777" w:rsidR="00856938" w:rsidRPr="00856938" w:rsidRDefault="00856938" w:rsidP="00856938">
      <w:pPr>
        <w:numPr>
          <w:ilvl w:val="0"/>
          <w:numId w:val="13"/>
        </w:numPr>
        <w:rPr>
          <w:rFonts w:ascii="Times New Roman" w:hAnsi="Times New Roman" w:cs="Times New Roman"/>
          <w:sz w:val="24"/>
          <w:szCs w:val="24"/>
        </w:rPr>
      </w:pPr>
      <w:proofErr w:type="spellStart"/>
      <w:r w:rsidRPr="00856938">
        <w:rPr>
          <w:rFonts w:ascii="Times New Roman" w:hAnsi="Times New Roman" w:cs="Times New Roman"/>
          <w:sz w:val="24"/>
          <w:szCs w:val="24"/>
        </w:rPr>
        <w:t>Chavhan</w:t>
      </w:r>
      <w:proofErr w:type="spellEnd"/>
      <w:r w:rsidRPr="00856938">
        <w:rPr>
          <w:rFonts w:ascii="Times New Roman" w:hAnsi="Times New Roman" w:cs="Times New Roman"/>
          <w:sz w:val="24"/>
          <w:szCs w:val="24"/>
        </w:rPr>
        <w:t xml:space="preserve"> RL, </w:t>
      </w:r>
      <w:proofErr w:type="spellStart"/>
      <w:r w:rsidRPr="00856938">
        <w:rPr>
          <w:rFonts w:ascii="Times New Roman" w:hAnsi="Times New Roman" w:cs="Times New Roman"/>
          <w:sz w:val="24"/>
          <w:szCs w:val="24"/>
        </w:rPr>
        <w:t>Jaybhaye</w:t>
      </w:r>
      <w:proofErr w:type="spellEnd"/>
      <w:r w:rsidRPr="00856938">
        <w:rPr>
          <w:rFonts w:ascii="Times New Roman" w:hAnsi="Times New Roman" w:cs="Times New Roman"/>
          <w:sz w:val="24"/>
          <w:szCs w:val="24"/>
        </w:rPr>
        <w:t xml:space="preserve"> SG, Hinge VR, et al. (2025). Emerging applications of gene editing technologies for the development of climate-resilient crops. </w:t>
      </w:r>
      <w:r w:rsidRPr="00856938">
        <w:rPr>
          <w:rFonts w:ascii="Times New Roman" w:hAnsi="Times New Roman" w:cs="Times New Roman"/>
          <w:i/>
          <w:iCs/>
          <w:sz w:val="24"/>
          <w:szCs w:val="24"/>
        </w:rPr>
        <w:t>Frontiers in Genome Editing</w:t>
      </w:r>
      <w:r w:rsidRPr="00856938">
        <w:rPr>
          <w:rFonts w:ascii="Times New Roman" w:hAnsi="Times New Roman" w:cs="Times New Roman"/>
          <w:sz w:val="24"/>
          <w:szCs w:val="24"/>
        </w:rPr>
        <w:t xml:space="preserve">, 7:1524767. </w:t>
      </w:r>
      <w:hyperlink r:id="rId8" w:tgtFrame="_new" w:history="1">
        <w:r w:rsidRPr="00856938">
          <w:rPr>
            <w:rStyle w:val="Hyperlink"/>
            <w:rFonts w:ascii="Times New Roman" w:hAnsi="Times New Roman" w:cs="Times New Roman"/>
            <w:sz w:val="24"/>
            <w:szCs w:val="24"/>
          </w:rPr>
          <w:t>https://doi.org/10.3389/fgeed.2025.1524767</w:t>
        </w:r>
      </w:hyperlink>
      <w:r w:rsidRPr="00856938">
        <w:rPr>
          <w:rFonts w:ascii="Times New Roman" w:hAnsi="Times New Roman" w:cs="Times New Roman"/>
          <w:sz w:val="24"/>
          <w:szCs w:val="24"/>
        </w:rPr>
        <w:t xml:space="preserve"> </w:t>
      </w:r>
    </w:p>
    <w:p w14:paraId="5AD42CAE"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lastRenderedPageBreak/>
        <w:t xml:space="preserve">Srivastava AK, Riaz A, Jiang J, et al. (2025). Advancing climate-resilient sorghum: The synergistic role of plant biotechnology and microbial interactions. </w:t>
      </w:r>
      <w:r w:rsidRPr="00856938">
        <w:rPr>
          <w:rFonts w:ascii="Times New Roman" w:hAnsi="Times New Roman" w:cs="Times New Roman"/>
          <w:i/>
          <w:iCs/>
          <w:sz w:val="24"/>
          <w:szCs w:val="24"/>
        </w:rPr>
        <w:t>Rice</w:t>
      </w:r>
      <w:r w:rsidRPr="00856938">
        <w:rPr>
          <w:rFonts w:ascii="Times New Roman" w:hAnsi="Times New Roman" w:cs="Times New Roman"/>
          <w:sz w:val="24"/>
          <w:szCs w:val="24"/>
        </w:rPr>
        <w:t xml:space="preserve">, 18:41. https://doi.org/10.1186/s12284-025-00796-2 </w:t>
      </w:r>
    </w:p>
    <w:p w14:paraId="18C30573" w14:textId="77777777" w:rsidR="00856938" w:rsidRPr="00856938" w:rsidRDefault="00856938" w:rsidP="00856938">
      <w:pPr>
        <w:numPr>
          <w:ilvl w:val="0"/>
          <w:numId w:val="13"/>
        </w:numPr>
        <w:rPr>
          <w:rFonts w:ascii="Times New Roman" w:hAnsi="Times New Roman" w:cs="Times New Roman"/>
          <w:sz w:val="24"/>
          <w:szCs w:val="24"/>
        </w:rPr>
      </w:pPr>
      <w:proofErr w:type="spellStart"/>
      <w:r w:rsidRPr="00856938">
        <w:rPr>
          <w:rFonts w:ascii="Times New Roman" w:hAnsi="Times New Roman" w:cs="Times New Roman"/>
          <w:sz w:val="24"/>
          <w:szCs w:val="24"/>
        </w:rPr>
        <w:t>Thingujam</w:t>
      </w:r>
      <w:proofErr w:type="spellEnd"/>
      <w:r w:rsidRPr="00856938">
        <w:rPr>
          <w:rFonts w:ascii="Times New Roman" w:hAnsi="Times New Roman" w:cs="Times New Roman"/>
          <w:sz w:val="24"/>
          <w:szCs w:val="24"/>
        </w:rPr>
        <w:t xml:space="preserve"> U, Singh NB, Sharma P. (2024). Multi-omics approaches for climate-resilient crop improvement. </w:t>
      </w:r>
      <w:r w:rsidRPr="00856938">
        <w:rPr>
          <w:rFonts w:ascii="Times New Roman" w:hAnsi="Times New Roman" w:cs="Times New Roman"/>
          <w:i/>
          <w:iCs/>
          <w:sz w:val="24"/>
          <w:szCs w:val="24"/>
        </w:rPr>
        <w:t>Plant Stress</w:t>
      </w:r>
      <w:r w:rsidRPr="00856938">
        <w:rPr>
          <w:rFonts w:ascii="Times New Roman" w:hAnsi="Times New Roman" w:cs="Times New Roman"/>
          <w:sz w:val="24"/>
          <w:szCs w:val="24"/>
        </w:rPr>
        <w:t xml:space="preserve">, 12:100281. </w:t>
      </w:r>
    </w:p>
    <w:p w14:paraId="0CB4D862"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Mishra P, Das SS, Nayak SK. (2024). Artificial intelligence and precision agriculture for climate-smart farming systems. </w:t>
      </w:r>
      <w:r w:rsidRPr="00856938">
        <w:rPr>
          <w:rFonts w:ascii="Times New Roman" w:hAnsi="Times New Roman" w:cs="Times New Roman"/>
          <w:i/>
          <w:iCs/>
          <w:sz w:val="24"/>
          <w:szCs w:val="24"/>
        </w:rPr>
        <w:t>Computers and Electronics in Agriculture</w:t>
      </w:r>
      <w:r w:rsidRPr="00856938">
        <w:rPr>
          <w:rFonts w:ascii="Times New Roman" w:hAnsi="Times New Roman" w:cs="Times New Roman"/>
          <w:sz w:val="24"/>
          <w:szCs w:val="24"/>
        </w:rPr>
        <w:t xml:space="preserve">, 226:109287. </w:t>
      </w:r>
    </w:p>
    <w:p w14:paraId="10DDE5A5"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Wang Y, Liu H, Chen X. (2024). AI-assisted climate adaptation in sustainable agriculture: Recent advances and future perspectives. </w:t>
      </w:r>
      <w:r w:rsidRPr="00856938">
        <w:rPr>
          <w:rFonts w:ascii="Times New Roman" w:hAnsi="Times New Roman" w:cs="Times New Roman"/>
          <w:i/>
          <w:iCs/>
          <w:sz w:val="24"/>
          <w:szCs w:val="24"/>
        </w:rPr>
        <w:t>Agricultural Systems</w:t>
      </w:r>
      <w:r w:rsidRPr="00856938">
        <w:rPr>
          <w:rFonts w:ascii="Times New Roman" w:hAnsi="Times New Roman" w:cs="Times New Roman"/>
          <w:sz w:val="24"/>
          <w:szCs w:val="24"/>
        </w:rPr>
        <w:t xml:space="preserve">, 221:104020. </w:t>
      </w:r>
    </w:p>
    <w:p w14:paraId="2BBFADB4"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Kumar V, Singh J. (2023). Sustainable pest management through microbial biopesticides under changing climate conditions. </w:t>
      </w:r>
      <w:r w:rsidRPr="00856938">
        <w:rPr>
          <w:rFonts w:ascii="Times New Roman" w:hAnsi="Times New Roman" w:cs="Times New Roman"/>
          <w:i/>
          <w:iCs/>
          <w:sz w:val="24"/>
          <w:szCs w:val="24"/>
        </w:rPr>
        <w:t>Journal of Applied Microbiology</w:t>
      </w:r>
      <w:r w:rsidRPr="00856938">
        <w:rPr>
          <w:rFonts w:ascii="Times New Roman" w:hAnsi="Times New Roman" w:cs="Times New Roman"/>
          <w:sz w:val="24"/>
          <w:szCs w:val="24"/>
        </w:rPr>
        <w:t>, 135(4</w:t>
      </w:r>
      <w:proofErr w:type="gramStart"/>
      <w:r w:rsidRPr="00856938">
        <w:rPr>
          <w:rFonts w:ascii="Times New Roman" w:hAnsi="Times New Roman" w:cs="Times New Roman"/>
          <w:sz w:val="24"/>
          <w:szCs w:val="24"/>
        </w:rPr>
        <w:t>):lxad</w:t>
      </w:r>
      <w:proofErr w:type="gramEnd"/>
      <w:r w:rsidRPr="00856938">
        <w:rPr>
          <w:rFonts w:ascii="Times New Roman" w:hAnsi="Times New Roman" w:cs="Times New Roman"/>
          <w:sz w:val="24"/>
          <w:szCs w:val="24"/>
        </w:rPr>
        <w:t xml:space="preserve">122. </w:t>
      </w:r>
    </w:p>
    <w:p w14:paraId="7377A628"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Gupta R, Sharma K, Patel A. (2023). Nano-biopesticides and their applications in climate-smart agriculture. </w:t>
      </w:r>
      <w:r w:rsidRPr="00856938">
        <w:rPr>
          <w:rFonts w:ascii="Times New Roman" w:hAnsi="Times New Roman" w:cs="Times New Roman"/>
          <w:i/>
          <w:iCs/>
          <w:sz w:val="24"/>
          <w:szCs w:val="24"/>
        </w:rPr>
        <w:t>Environmental Nanotechnology, Monitoring and Management</w:t>
      </w:r>
      <w:r w:rsidRPr="00856938">
        <w:rPr>
          <w:rFonts w:ascii="Times New Roman" w:hAnsi="Times New Roman" w:cs="Times New Roman"/>
          <w:sz w:val="24"/>
          <w:szCs w:val="24"/>
        </w:rPr>
        <w:t xml:space="preserve">, 20:100825. </w:t>
      </w:r>
    </w:p>
    <w:p w14:paraId="502E4F95"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Yadav AN, Kumar R. (2021). Microbial biofertilizers for sustainable agricultural productivity and climate resilience. </w:t>
      </w:r>
      <w:r w:rsidRPr="00856938">
        <w:rPr>
          <w:rFonts w:ascii="Times New Roman" w:hAnsi="Times New Roman" w:cs="Times New Roman"/>
          <w:i/>
          <w:iCs/>
          <w:sz w:val="24"/>
          <w:szCs w:val="24"/>
        </w:rPr>
        <w:t>Microbiological Research</w:t>
      </w:r>
      <w:r w:rsidRPr="00856938">
        <w:rPr>
          <w:rFonts w:ascii="Times New Roman" w:hAnsi="Times New Roman" w:cs="Times New Roman"/>
          <w:sz w:val="24"/>
          <w:szCs w:val="24"/>
        </w:rPr>
        <w:t xml:space="preserve">, 248:126784. </w:t>
      </w:r>
    </w:p>
    <w:p w14:paraId="1BAFD522"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Sahoo RK, Behera B, Mohanty S. (2024). Climate-resilient millet farming systems in eastern India: Opportunities and challenges. </w:t>
      </w:r>
      <w:r w:rsidRPr="00856938">
        <w:rPr>
          <w:rFonts w:ascii="Times New Roman" w:hAnsi="Times New Roman" w:cs="Times New Roman"/>
          <w:i/>
          <w:iCs/>
          <w:sz w:val="24"/>
          <w:szCs w:val="24"/>
        </w:rPr>
        <w:t>Sustainability</w:t>
      </w:r>
      <w:r w:rsidRPr="00856938">
        <w:rPr>
          <w:rFonts w:ascii="Times New Roman" w:hAnsi="Times New Roman" w:cs="Times New Roman"/>
          <w:sz w:val="24"/>
          <w:szCs w:val="24"/>
        </w:rPr>
        <w:t xml:space="preserve">, 16(3):1455. </w:t>
      </w:r>
    </w:p>
    <w:p w14:paraId="43903033"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Panda SK, Nayak S, Das P. (2025). Soil microbial diversity and sustainable nutrient management under climate stress. </w:t>
      </w:r>
      <w:r w:rsidRPr="00856938">
        <w:rPr>
          <w:rFonts w:ascii="Times New Roman" w:hAnsi="Times New Roman" w:cs="Times New Roman"/>
          <w:i/>
          <w:iCs/>
          <w:sz w:val="24"/>
          <w:szCs w:val="24"/>
        </w:rPr>
        <w:t>Frontiers in Soil Science</w:t>
      </w:r>
      <w:r w:rsidRPr="00856938">
        <w:rPr>
          <w:rFonts w:ascii="Times New Roman" w:hAnsi="Times New Roman" w:cs="Times New Roman"/>
          <w:sz w:val="24"/>
          <w:szCs w:val="24"/>
        </w:rPr>
        <w:t xml:space="preserve">, 5:1421189. </w:t>
      </w:r>
    </w:p>
    <w:p w14:paraId="0D95ECDF"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Singh RP, Kumar A, Singh PK. (2022). Marker-assisted breeding for climate-resilient crops: Recent progress and future challenges. </w:t>
      </w:r>
      <w:r w:rsidRPr="00856938">
        <w:rPr>
          <w:rFonts w:ascii="Times New Roman" w:hAnsi="Times New Roman" w:cs="Times New Roman"/>
          <w:i/>
          <w:iCs/>
          <w:sz w:val="24"/>
          <w:szCs w:val="24"/>
        </w:rPr>
        <w:t>Plant Breeding Reviews</w:t>
      </w:r>
      <w:r w:rsidRPr="00856938">
        <w:rPr>
          <w:rFonts w:ascii="Times New Roman" w:hAnsi="Times New Roman" w:cs="Times New Roman"/>
          <w:sz w:val="24"/>
          <w:szCs w:val="24"/>
        </w:rPr>
        <w:t xml:space="preserve">, 46:145–198. </w:t>
      </w:r>
    </w:p>
    <w:p w14:paraId="4BACE068"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Zhang H, Li Y, Zhu JK. (2020). Developing naturally stress-resistant crops for a sustainable agriculture. </w:t>
      </w:r>
      <w:r w:rsidRPr="00856938">
        <w:rPr>
          <w:rFonts w:ascii="Times New Roman" w:hAnsi="Times New Roman" w:cs="Times New Roman"/>
          <w:i/>
          <w:iCs/>
          <w:sz w:val="24"/>
          <w:szCs w:val="24"/>
        </w:rPr>
        <w:t>Nature Plants</w:t>
      </w:r>
      <w:r w:rsidRPr="00856938">
        <w:rPr>
          <w:rFonts w:ascii="Times New Roman" w:hAnsi="Times New Roman" w:cs="Times New Roman"/>
          <w:sz w:val="24"/>
          <w:szCs w:val="24"/>
        </w:rPr>
        <w:t xml:space="preserve">, 6:989–996. </w:t>
      </w:r>
    </w:p>
    <w:p w14:paraId="4229D4DE"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Raza A, Razzaq A, Mehmood SS, et al. (2021). Impact of climate change on crops adaptation and strategies to tackle its outcome: A review. </w:t>
      </w:r>
      <w:r w:rsidRPr="00856938">
        <w:rPr>
          <w:rFonts w:ascii="Times New Roman" w:hAnsi="Times New Roman" w:cs="Times New Roman"/>
          <w:i/>
          <w:iCs/>
          <w:sz w:val="24"/>
          <w:szCs w:val="24"/>
        </w:rPr>
        <w:t>Plants</w:t>
      </w:r>
      <w:r w:rsidRPr="00856938">
        <w:rPr>
          <w:rFonts w:ascii="Times New Roman" w:hAnsi="Times New Roman" w:cs="Times New Roman"/>
          <w:sz w:val="24"/>
          <w:szCs w:val="24"/>
        </w:rPr>
        <w:t xml:space="preserve">, 10(1):34. </w:t>
      </w:r>
    </w:p>
    <w:p w14:paraId="59D80F61"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Bhattacharyya PN, Jha DK. (2021). Plant growth-promoting rhizobacteria and climate-resilient agriculture. </w:t>
      </w:r>
      <w:r w:rsidRPr="00856938">
        <w:rPr>
          <w:rFonts w:ascii="Times New Roman" w:hAnsi="Times New Roman" w:cs="Times New Roman"/>
          <w:i/>
          <w:iCs/>
          <w:sz w:val="24"/>
          <w:szCs w:val="24"/>
        </w:rPr>
        <w:t>World Journal of Microbiology and Biotechnology</w:t>
      </w:r>
      <w:r w:rsidRPr="00856938">
        <w:rPr>
          <w:rFonts w:ascii="Times New Roman" w:hAnsi="Times New Roman" w:cs="Times New Roman"/>
          <w:sz w:val="24"/>
          <w:szCs w:val="24"/>
        </w:rPr>
        <w:t xml:space="preserve">, 37:89. </w:t>
      </w:r>
    </w:p>
    <w:p w14:paraId="50D2E80F"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FAO. (2023). </w:t>
      </w:r>
      <w:r w:rsidRPr="00856938">
        <w:rPr>
          <w:rFonts w:ascii="Times New Roman" w:hAnsi="Times New Roman" w:cs="Times New Roman"/>
          <w:i/>
          <w:iCs/>
          <w:sz w:val="24"/>
          <w:szCs w:val="24"/>
        </w:rPr>
        <w:t>Climate-Smart Agriculture Sourcebook</w:t>
      </w:r>
      <w:r w:rsidRPr="00856938">
        <w:rPr>
          <w:rFonts w:ascii="Times New Roman" w:hAnsi="Times New Roman" w:cs="Times New Roman"/>
          <w:sz w:val="24"/>
          <w:szCs w:val="24"/>
        </w:rPr>
        <w:t xml:space="preserve">. Food and Agriculture Organization, Rome. </w:t>
      </w:r>
    </w:p>
    <w:p w14:paraId="461D6FE6"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IPCC. (2023). </w:t>
      </w:r>
      <w:r w:rsidRPr="00856938">
        <w:rPr>
          <w:rFonts w:ascii="Times New Roman" w:hAnsi="Times New Roman" w:cs="Times New Roman"/>
          <w:i/>
          <w:iCs/>
          <w:sz w:val="24"/>
          <w:szCs w:val="24"/>
        </w:rPr>
        <w:t>Climate Change 2023: Synthesis Report</w:t>
      </w:r>
      <w:r w:rsidRPr="00856938">
        <w:rPr>
          <w:rFonts w:ascii="Times New Roman" w:hAnsi="Times New Roman" w:cs="Times New Roman"/>
          <w:sz w:val="24"/>
          <w:szCs w:val="24"/>
        </w:rPr>
        <w:t xml:space="preserve">. Intergovernmental Panel on Climate Change, Geneva. </w:t>
      </w:r>
    </w:p>
    <w:p w14:paraId="725AAC55"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Government of Odisha. (2023). </w:t>
      </w:r>
      <w:r w:rsidRPr="00856938">
        <w:rPr>
          <w:rFonts w:ascii="Times New Roman" w:hAnsi="Times New Roman" w:cs="Times New Roman"/>
          <w:i/>
          <w:iCs/>
          <w:sz w:val="24"/>
          <w:szCs w:val="24"/>
        </w:rPr>
        <w:t>Odisha Millet Mission Annual Report 2022–2023</w:t>
      </w:r>
      <w:r w:rsidRPr="00856938">
        <w:rPr>
          <w:rFonts w:ascii="Times New Roman" w:hAnsi="Times New Roman" w:cs="Times New Roman"/>
          <w:sz w:val="24"/>
          <w:szCs w:val="24"/>
        </w:rPr>
        <w:t xml:space="preserve">. Department of Agriculture and Farmers’ Empowerment, Odisha. </w:t>
      </w:r>
    </w:p>
    <w:p w14:paraId="1B923AA8"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lastRenderedPageBreak/>
        <w:t xml:space="preserve">IRRI. (2020). </w:t>
      </w:r>
      <w:r w:rsidRPr="00856938">
        <w:rPr>
          <w:rFonts w:ascii="Times New Roman" w:hAnsi="Times New Roman" w:cs="Times New Roman"/>
          <w:i/>
          <w:iCs/>
          <w:sz w:val="24"/>
          <w:szCs w:val="24"/>
        </w:rPr>
        <w:t>Flood-Tolerant Rice for Climate Resilience in South Asia</w:t>
      </w:r>
      <w:r w:rsidRPr="00856938">
        <w:rPr>
          <w:rFonts w:ascii="Times New Roman" w:hAnsi="Times New Roman" w:cs="Times New Roman"/>
          <w:sz w:val="24"/>
          <w:szCs w:val="24"/>
        </w:rPr>
        <w:t xml:space="preserve">. International Rice Research Institute, Philippines. </w:t>
      </w:r>
    </w:p>
    <w:p w14:paraId="53E10996"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Swain P, Das A, Mishra B. (2023). Flood-resilient rice cultivation in eastern India under climate variability. </w:t>
      </w:r>
      <w:r w:rsidRPr="00856938">
        <w:rPr>
          <w:rFonts w:ascii="Times New Roman" w:hAnsi="Times New Roman" w:cs="Times New Roman"/>
          <w:i/>
          <w:iCs/>
          <w:sz w:val="24"/>
          <w:szCs w:val="24"/>
        </w:rPr>
        <w:t>Agricultural Water Management</w:t>
      </w:r>
      <w:r w:rsidRPr="00856938">
        <w:rPr>
          <w:rFonts w:ascii="Times New Roman" w:hAnsi="Times New Roman" w:cs="Times New Roman"/>
          <w:sz w:val="24"/>
          <w:szCs w:val="24"/>
        </w:rPr>
        <w:t xml:space="preserve">, 284:108326. </w:t>
      </w:r>
    </w:p>
    <w:p w14:paraId="7B398F10"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Sharma S, Kaur R, Bedi S. (2024). Rhizosphere engineering and microbial interactions for sustainable agriculture. </w:t>
      </w:r>
      <w:r w:rsidRPr="00856938">
        <w:rPr>
          <w:rFonts w:ascii="Times New Roman" w:hAnsi="Times New Roman" w:cs="Times New Roman"/>
          <w:i/>
          <w:iCs/>
          <w:sz w:val="24"/>
          <w:szCs w:val="24"/>
        </w:rPr>
        <w:t>Frontiers in Microbiology</w:t>
      </w:r>
      <w:r w:rsidRPr="00856938">
        <w:rPr>
          <w:rFonts w:ascii="Times New Roman" w:hAnsi="Times New Roman" w:cs="Times New Roman"/>
          <w:sz w:val="24"/>
          <w:szCs w:val="24"/>
        </w:rPr>
        <w:t xml:space="preserve">, 15:1368421. </w:t>
      </w:r>
    </w:p>
    <w:p w14:paraId="6A325544"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Ali S, Khan N, Rahman H. (2024). Nanobiotechnology applications in sustainable crop production and stress management. </w:t>
      </w:r>
      <w:r w:rsidRPr="00856938">
        <w:rPr>
          <w:rFonts w:ascii="Times New Roman" w:hAnsi="Times New Roman" w:cs="Times New Roman"/>
          <w:i/>
          <w:iCs/>
          <w:sz w:val="24"/>
          <w:szCs w:val="24"/>
        </w:rPr>
        <w:t>Environmental Research</w:t>
      </w:r>
      <w:r w:rsidRPr="00856938">
        <w:rPr>
          <w:rFonts w:ascii="Times New Roman" w:hAnsi="Times New Roman" w:cs="Times New Roman"/>
          <w:sz w:val="24"/>
          <w:szCs w:val="24"/>
        </w:rPr>
        <w:t xml:space="preserve">, 248:118237. </w:t>
      </w:r>
    </w:p>
    <w:p w14:paraId="27FE06AB"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Patel D, Verma R, Singh P. (2025). Synthetic biology and future perspectives in climate-smart agriculture. </w:t>
      </w:r>
      <w:r w:rsidRPr="00856938">
        <w:rPr>
          <w:rFonts w:ascii="Times New Roman" w:hAnsi="Times New Roman" w:cs="Times New Roman"/>
          <w:i/>
          <w:iCs/>
          <w:sz w:val="24"/>
          <w:szCs w:val="24"/>
        </w:rPr>
        <w:t>Biotechnology Advances</w:t>
      </w:r>
      <w:r w:rsidRPr="00856938">
        <w:rPr>
          <w:rFonts w:ascii="Times New Roman" w:hAnsi="Times New Roman" w:cs="Times New Roman"/>
          <w:sz w:val="24"/>
          <w:szCs w:val="24"/>
        </w:rPr>
        <w:t xml:space="preserve">, 78:108412. </w:t>
      </w:r>
    </w:p>
    <w:p w14:paraId="5752965A"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Jha UC, Bohra A, Nayyar H. (2023). Omics-assisted breeding for abiotic stress tolerance in crops. </w:t>
      </w:r>
      <w:r w:rsidRPr="00856938">
        <w:rPr>
          <w:rFonts w:ascii="Times New Roman" w:hAnsi="Times New Roman" w:cs="Times New Roman"/>
          <w:i/>
          <w:iCs/>
          <w:sz w:val="24"/>
          <w:szCs w:val="24"/>
        </w:rPr>
        <w:t>Frontiers in Genetics</w:t>
      </w:r>
      <w:r w:rsidRPr="00856938">
        <w:rPr>
          <w:rFonts w:ascii="Times New Roman" w:hAnsi="Times New Roman" w:cs="Times New Roman"/>
          <w:sz w:val="24"/>
          <w:szCs w:val="24"/>
        </w:rPr>
        <w:t xml:space="preserve">, 14:1172103. </w:t>
      </w:r>
    </w:p>
    <w:p w14:paraId="165ED86F"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Kumar P, Meena RS, Yadav GS. (2024). Sustainable soil health management under climate change scenarios. </w:t>
      </w:r>
      <w:r w:rsidRPr="00856938">
        <w:rPr>
          <w:rFonts w:ascii="Times New Roman" w:hAnsi="Times New Roman" w:cs="Times New Roman"/>
          <w:i/>
          <w:iCs/>
          <w:sz w:val="24"/>
          <w:szCs w:val="24"/>
        </w:rPr>
        <w:t>Land Degradation &amp; Development</w:t>
      </w:r>
      <w:r w:rsidRPr="00856938">
        <w:rPr>
          <w:rFonts w:ascii="Times New Roman" w:hAnsi="Times New Roman" w:cs="Times New Roman"/>
          <w:sz w:val="24"/>
          <w:szCs w:val="24"/>
        </w:rPr>
        <w:t xml:space="preserve">, 35(6):2251–2268. </w:t>
      </w:r>
    </w:p>
    <w:p w14:paraId="4FA1D6B7"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Das S, Mohapatra PK, Behera TK. (2025). AI-enabled smart farming systems for smallholder agriculture in India. </w:t>
      </w:r>
      <w:r w:rsidRPr="00856938">
        <w:rPr>
          <w:rFonts w:ascii="Times New Roman" w:hAnsi="Times New Roman" w:cs="Times New Roman"/>
          <w:i/>
          <w:iCs/>
          <w:sz w:val="24"/>
          <w:szCs w:val="24"/>
        </w:rPr>
        <w:t>Smart Agricultural Technology</w:t>
      </w:r>
      <w:r w:rsidRPr="00856938">
        <w:rPr>
          <w:rFonts w:ascii="Times New Roman" w:hAnsi="Times New Roman" w:cs="Times New Roman"/>
          <w:sz w:val="24"/>
          <w:szCs w:val="24"/>
        </w:rPr>
        <w:t xml:space="preserve">, 9:100612. </w:t>
      </w:r>
    </w:p>
    <w:p w14:paraId="0EB713C2"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Singh AK, Dubey SK, Kumar M. (2024). Precision agriculture technologies for climate adaptation and food security. </w:t>
      </w:r>
      <w:r w:rsidRPr="00856938">
        <w:rPr>
          <w:rFonts w:ascii="Times New Roman" w:hAnsi="Times New Roman" w:cs="Times New Roman"/>
          <w:i/>
          <w:iCs/>
          <w:sz w:val="24"/>
          <w:szCs w:val="24"/>
        </w:rPr>
        <w:t>Agronomy</w:t>
      </w:r>
      <w:r w:rsidRPr="00856938">
        <w:rPr>
          <w:rFonts w:ascii="Times New Roman" w:hAnsi="Times New Roman" w:cs="Times New Roman"/>
          <w:sz w:val="24"/>
          <w:szCs w:val="24"/>
        </w:rPr>
        <w:t xml:space="preserve">, 14(2):368. </w:t>
      </w:r>
    </w:p>
    <w:p w14:paraId="207DB4D2"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Choudhary M, Suri VK, Rana KL. (2023). Beneficial microorganisms and sustainable crop productivity under abiotic stress conditions. </w:t>
      </w:r>
      <w:r w:rsidRPr="00856938">
        <w:rPr>
          <w:rFonts w:ascii="Times New Roman" w:hAnsi="Times New Roman" w:cs="Times New Roman"/>
          <w:i/>
          <w:iCs/>
          <w:sz w:val="24"/>
          <w:szCs w:val="24"/>
        </w:rPr>
        <w:t>Applied Soil Ecology</w:t>
      </w:r>
      <w:r w:rsidRPr="00856938">
        <w:rPr>
          <w:rFonts w:ascii="Times New Roman" w:hAnsi="Times New Roman" w:cs="Times New Roman"/>
          <w:sz w:val="24"/>
          <w:szCs w:val="24"/>
        </w:rPr>
        <w:t xml:space="preserve">, 189:104951. </w:t>
      </w:r>
    </w:p>
    <w:p w14:paraId="118EB0BD"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Meena VS, Maurya BR, Verma JP. (2022). Soil microbial biotechnology for sustainable agriculture and environmental management. </w:t>
      </w:r>
      <w:r w:rsidRPr="00856938">
        <w:rPr>
          <w:rFonts w:ascii="Times New Roman" w:hAnsi="Times New Roman" w:cs="Times New Roman"/>
          <w:i/>
          <w:iCs/>
          <w:sz w:val="24"/>
          <w:szCs w:val="24"/>
        </w:rPr>
        <w:t>Rhizosphere</w:t>
      </w:r>
      <w:r w:rsidRPr="00856938">
        <w:rPr>
          <w:rFonts w:ascii="Times New Roman" w:hAnsi="Times New Roman" w:cs="Times New Roman"/>
          <w:sz w:val="24"/>
          <w:szCs w:val="24"/>
        </w:rPr>
        <w:t xml:space="preserve">, 21:100476. </w:t>
      </w:r>
    </w:p>
    <w:p w14:paraId="2A1EEAF9"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Roy S, Banerjee A, Chakraborty M. (2024). Climate-smart agricultural technologies for eastern Indian farming systems. </w:t>
      </w:r>
      <w:r w:rsidRPr="00856938">
        <w:rPr>
          <w:rFonts w:ascii="Times New Roman" w:hAnsi="Times New Roman" w:cs="Times New Roman"/>
          <w:i/>
          <w:iCs/>
          <w:sz w:val="24"/>
          <w:szCs w:val="24"/>
        </w:rPr>
        <w:t>Sustainable Futures</w:t>
      </w:r>
      <w:r w:rsidRPr="00856938">
        <w:rPr>
          <w:rFonts w:ascii="Times New Roman" w:hAnsi="Times New Roman" w:cs="Times New Roman"/>
          <w:sz w:val="24"/>
          <w:szCs w:val="24"/>
        </w:rPr>
        <w:t xml:space="preserve">, 8:100214. </w:t>
      </w:r>
    </w:p>
    <w:p w14:paraId="7F2921A7"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Behera BC, Sethi BK, Mishra RR. (2025). Integrated biotechnology approaches for sustainable agriculture under climate change. </w:t>
      </w:r>
      <w:r w:rsidRPr="00856938">
        <w:rPr>
          <w:rFonts w:ascii="Times New Roman" w:hAnsi="Times New Roman" w:cs="Times New Roman"/>
          <w:i/>
          <w:iCs/>
          <w:sz w:val="24"/>
          <w:szCs w:val="24"/>
        </w:rPr>
        <w:t>Environmental Sustainability</w:t>
      </w:r>
      <w:r w:rsidRPr="00856938">
        <w:rPr>
          <w:rFonts w:ascii="Times New Roman" w:hAnsi="Times New Roman" w:cs="Times New Roman"/>
          <w:sz w:val="24"/>
          <w:szCs w:val="24"/>
        </w:rPr>
        <w:t xml:space="preserve">, 8:311–327. </w:t>
      </w:r>
    </w:p>
    <w:p w14:paraId="67FD03A5"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Integrative approaches of plant growth-promoting microbes, CRISPR/Cas gene editing, and AI/ML technologies for abiotic stress alleviation and support climate-resilient agriculture: A review. </w:t>
      </w:r>
      <w:r w:rsidRPr="00856938">
        <w:rPr>
          <w:rFonts w:ascii="Times New Roman" w:hAnsi="Times New Roman" w:cs="Times New Roman"/>
          <w:i/>
          <w:iCs/>
          <w:sz w:val="24"/>
          <w:szCs w:val="24"/>
        </w:rPr>
        <w:t>Plant Gene</w:t>
      </w:r>
      <w:r w:rsidRPr="00856938">
        <w:rPr>
          <w:rFonts w:ascii="Times New Roman" w:hAnsi="Times New Roman" w:cs="Times New Roman"/>
          <w:sz w:val="24"/>
          <w:szCs w:val="24"/>
        </w:rPr>
        <w:t xml:space="preserve">, 45:100571 (2026). </w:t>
      </w:r>
    </w:p>
    <w:p w14:paraId="5C0C8B94" w14:textId="679C204F" w:rsidR="00F94E02" w:rsidRPr="00856938" w:rsidRDefault="00F94E02" w:rsidP="00856938">
      <w:pPr>
        <w:rPr>
          <w:rFonts w:ascii="Times New Roman" w:hAnsi="Times New Roman" w:cs="Times New Roman"/>
          <w:sz w:val="24"/>
          <w:szCs w:val="24"/>
        </w:rPr>
      </w:pPr>
    </w:p>
    <w:p w14:paraId="685396C9" w14:textId="77777777" w:rsidR="00F94E02" w:rsidRPr="00E32160" w:rsidRDefault="002B56CB" w:rsidP="00F94E02">
      <w:pPr>
        <w:rPr>
          <w:rFonts w:ascii="Times New Roman" w:hAnsi="Times New Roman" w:cs="Times New Roman"/>
          <w:sz w:val="24"/>
          <w:szCs w:val="24"/>
        </w:rPr>
      </w:pPr>
      <w:r>
        <w:rPr>
          <w:rFonts w:ascii="Times New Roman" w:hAnsi="Times New Roman" w:cs="Times New Roman"/>
          <w:sz w:val="24"/>
          <w:szCs w:val="24"/>
        </w:rPr>
        <w:pict w14:anchorId="7952F85C">
          <v:rect id="_x0000_i1027" style="width:0;height:1.5pt" o:hralign="center" o:hrstd="t" o:hr="t" fillcolor="#a0a0a0" stroked="f"/>
        </w:pict>
      </w:r>
    </w:p>
    <w:sectPr w:rsidR="00F94E02" w:rsidRPr="00E32160" w:rsidSect="00E3216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055E6" w14:textId="77777777" w:rsidR="002B56CB" w:rsidRDefault="002B56CB" w:rsidP="001408F2">
      <w:pPr>
        <w:spacing w:after="0" w:line="240" w:lineRule="auto"/>
      </w:pPr>
      <w:r>
        <w:separator/>
      </w:r>
    </w:p>
  </w:endnote>
  <w:endnote w:type="continuationSeparator" w:id="0">
    <w:p w14:paraId="382860C0" w14:textId="77777777" w:rsidR="002B56CB" w:rsidRDefault="002B56CB" w:rsidP="0014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B5321" w14:textId="77777777" w:rsidR="006B027B" w:rsidRDefault="006B0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839856"/>
      <w:docPartObj>
        <w:docPartGallery w:val="Page Numbers (Bottom of Page)"/>
        <w:docPartUnique/>
      </w:docPartObj>
    </w:sdtPr>
    <w:sdtEndPr>
      <w:rPr>
        <w:noProof/>
      </w:rPr>
    </w:sdtEndPr>
    <w:sdtContent>
      <w:p w14:paraId="16825478" w14:textId="3CF04882" w:rsidR="001408F2" w:rsidRDefault="001408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A6D142" w14:textId="77777777" w:rsidR="001408F2" w:rsidRDefault="00140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C2783" w14:textId="77777777" w:rsidR="006B027B" w:rsidRDefault="006B0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5417A" w14:textId="77777777" w:rsidR="002B56CB" w:rsidRDefault="002B56CB" w:rsidP="001408F2">
      <w:pPr>
        <w:spacing w:after="0" w:line="240" w:lineRule="auto"/>
      </w:pPr>
      <w:r>
        <w:separator/>
      </w:r>
    </w:p>
  </w:footnote>
  <w:footnote w:type="continuationSeparator" w:id="0">
    <w:p w14:paraId="2C33BD31" w14:textId="77777777" w:rsidR="002B56CB" w:rsidRDefault="002B56CB" w:rsidP="00140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0C7A5" w14:textId="72E69E24" w:rsidR="006B027B" w:rsidRDefault="006B027B">
    <w:pPr>
      <w:pStyle w:val="Header"/>
    </w:pPr>
    <w:r>
      <w:rPr>
        <w:noProof/>
      </w:rPr>
      <w:pict w14:anchorId="4F470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9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1333A" w14:textId="11AEEB8B" w:rsidR="006B027B" w:rsidRDefault="006B027B">
    <w:pPr>
      <w:pStyle w:val="Header"/>
    </w:pPr>
    <w:r>
      <w:rPr>
        <w:noProof/>
      </w:rPr>
      <w:pict w14:anchorId="67891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9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E21C" w14:textId="50DC095F" w:rsidR="006B027B" w:rsidRDefault="006B027B">
    <w:pPr>
      <w:pStyle w:val="Header"/>
    </w:pPr>
    <w:r>
      <w:rPr>
        <w:noProof/>
      </w:rPr>
      <w:pict w14:anchorId="74B14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9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47239"/>
    <w:multiLevelType w:val="multilevel"/>
    <w:tmpl w:val="AA0A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61188"/>
    <w:multiLevelType w:val="multilevel"/>
    <w:tmpl w:val="7AEA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C7119"/>
    <w:multiLevelType w:val="multilevel"/>
    <w:tmpl w:val="4582F41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2B211A"/>
    <w:multiLevelType w:val="multilevel"/>
    <w:tmpl w:val="2DEC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D124B"/>
    <w:multiLevelType w:val="multilevel"/>
    <w:tmpl w:val="FFE0B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CF1104"/>
    <w:multiLevelType w:val="multilevel"/>
    <w:tmpl w:val="081EA6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B81040"/>
    <w:multiLevelType w:val="multilevel"/>
    <w:tmpl w:val="352403D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050B85"/>
    <w:multiLevelType w:val="multilevel"/>
    <w:tmpl w:val="FF8EAD0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0C1089"/>
    <w:multiLevelType w:val="multilevel"/>
    <w:tmpl w:val="011A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F9126E"/>
    <w:multiLevelType w:val="multilevel"/>
    <w:tmpl w:val="559A512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43005F"/>
    <w:multiLevelType w:val="multilevel"/>
    <w:tmpl w:val="C7629CB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DD0392"/>
    <w:multiLevelType w:val="multilevel"/>
    <w:tmpl w:val="3B50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FE5EB9"/>
    <w:multiLevelType w:val="multilevel"/>
    <w:tmpl w:val="711EF1D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1564F0"/>
    <w:multiLevelType w:val="multilevel"/>
    <w:tmpl w:val="16E0E7A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583E14"/>
    <w:multiLevelType w:val="multilevel"/>
    <w:tmpl w:val="9AF2A0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5"/>
  </w:num>
  <w:num w:numId="4">
    <w:abstractNumId w:val="14"/>
  </w:num>
  <w:num w:numId="5">
    <w:abstractNumId w:val="9"/>
  </w:num>
  <w:num w:numId="6">
    <w:abstractNumId w:val="6"/>
  </w:num>
  <w:num w:numId="7">
    <w:abstractNumId w:val="13"/>
  </w:num>
  <w:num w:numId="8">
    <w:abstractNumId w:val="2"/>
  </w:num>
  <w:num w:numId="9">
    <w:abstractNumId w:val="10"/>
  </w:num>
  <w:num w:numId="10">
    <w:abstractNumId w:val="12"/>
  </w:num>
  <w:num w:numId="11">
    <w:abstractNumId w:val="11"/>
  </w:num>
  <w:num w:numId="12">
    <w:abstractNumId w:val="0"/>
  </w:num>
  <w:num w:numId="13">
    <w:abstractNumId w:val="7"/>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E0"/>
    <w:rsid w:val="00121649"/>
    <w:rsid w:val="001408F2"/>
    <w:rsid w:val="002A2AC5"/>
    <w:rsid w:val="002B56CB"/>
    <w:rsid w:val="002F3C44"/>
    <w:rsid w:val="002F753D"/>
    <w:rsid w:val="003850E0"/>
    <w:rsid w:val="00493C4F"/>
    <w:rsid w:val="00626FBF"/>
    <w:rsid w:val="006527DF"/>
    <w:rsid w:val="006B027B"/>
    <w:rsid w:val="00856938"/>
    <w:rsid w:val="008A694A"/>
    <w:rsid w:val="00986FE7"/>
    <w:rsid w:val="009B09CB"/>
    <w:rsid w:val="00B96CAF"/>
    <w:rsid w:val="00C57DFB"/>
    <w:rsid w:val="00CA0369"/>
    <w:rsid w:val="00CB34C1"/>
    <w:rsid w:val="00CE55E4"/>
    <w:rsid w:val="00D016BA"/>
    <w:rsid w:val="00D51AD5"/>
    <w:rsid w:val="00DE6A5F"/>
    <w:rsid w:val="00E32160"/>
    <w:rsid w:val="00F82F1F"/>
    <w:rsid w:val="00F94E02"/>
    <w:rsid w:val="00FA7DE5"/>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196EAC"/>
  <w15:chartTrackingRefBased/>
  <w15:docId w15:val="{6105ECB3-55D8-4161-AA32-E24568AB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0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50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50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50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50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5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0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50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0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50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50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5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0E0"/>
    <w:rPr>
      <w:rFonts w:eastAsiaTheme="majorEastAsia" w:cstheme="majorBidi"/>
      <w:color w:val="272727" w:themeColor="text1" w:themeTint="D8"/>
    </w:rPr>
  </w:style>
  <w:style w:type="paragraph" w:styleId="Title">
    <w:name w:val="Title"/>
    <w:basedOn w:val="Normal"/>
    <w:next w:val="Normal"/>
    <w:link w:val="TitleChar"/>
    <w:uiPriority w:val="10"/>
    <w:qFormat/>
    <w:rsid w:val="00385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0E0"/>
    <w:pPr>
      <w:spacing w:before="160"/>
      <w:jc w:val="center"/>
    </w:pPr>
    <w:rPr>
      <w:i/>
      <w:iCs/>
      <w:color w:val="404040" w:themeColor="text1" w:themeTint="BF"/>
    </w:rPr>
  </w:style>
  <w:style w:type="character" w:customStyle="1" w:styleId="QuoteChar">
    <w:name w:val="Quote Char"/>
    <w:basedOn w:val="DefaultParagraphFont"/>
    <w:link w:val="Quote"/>
    <w:uiPriority w:val="29"/>
    <w:rsid w:val="003850E0"/>
    <w:rPr>
      <w:i/>
      <w:iCs/>
      <w:color w:val="404040" w:themeColor="text1" w:themeTint="BF"/>
    </w:rPr>
  </w:style>
  <w:style w:type="paragraph" w:styleId="ListParagraph">
    <w:name w:val="List Paragraph"/>
    <w:basedOn w:val="Normal"/>
    <w:uiPriority w:val="34"/>
    <w:qFormat/>
    <w:rsid w:val="003850E0"/>
    <w:pPr>
      <w:ind w:left="720"/>
      <w:contextualSpacing/>
    </w:pPr>
  </w:style>
  <w:style w:type="character" w:styleId="IntenseEmphasis">
    <w:name w:val="Intense Emphasis"/>
    <w:basedOn w:val="DefaultParagraphFont"/>
    <w:uiPriority w:val="21"/>
    <w:qFormat/>
    <w:rsid w:val="003850E0"/>
    <w:rPr>
      <w:i/>
      <w:iCs/>
      <w:color w:val="2F5496" w:themeColor="accent1" w:themeShade="BF"/>
    </w:rPr>
  </w:style>
  <w:style w:type="paragraph" w:styleId="IntenseQuote">
    <w:name w:val="Intense Quote"/>
    <w:basedOn w:val="Normal"/>
    <w:next w:val="Normal"/>
    <w:link w:val="IntenseQuoteChar"/>
    <w:uiPriority w:val="30"/>
    <w:qFormat/>
    <w:rsid w:val="003850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50E0"/>
    <w:rPr>
      <w:i/>
      <w:iCs/>
      <w:color w:val="2F5496" w:themeColor="accent1" w:themeShade="BF"/>
    </w:rPr>
  </w:style>
  <w:style w:type="character" w:styleId="IntenseReference">
    <w:name w:val="Intense Reference"/>
    <w:basedOn w:val="DefaultParagraphFont"/>
    <w:uiPriority w:val="32"/>
    <w:qFormat/>
    <w:rsid w:val="003850E0"/>
    <w:rPr>
      <w:b/>
      <w:bCs/>
      <w:smallCaps/>
      <w:color w:val="2F5496" w:themeColor="accent1" w:themeShade="BF"/>
      <w:spacing w:val="5"/>
    </w:rPr>
  </w:style>
  <w:style w:type="paragraph" w:styleId="Header">
    <w:name w:val="header"/>
    <w:basedOn w:val="Normal"/>
    <w:link w:val="HeaderChar"/>
    <w:uiPriority w:val="99"/>
    <w:unhideWhenUsed/>
    <w:rsid w:val="00140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8F2"/>
  </w:style>
  <w:style w:type="paragraph" w:styleId="Footer">
    <w:name w:val="footer"/>
    <w:basedOn w:val="Normal"/>
    <w:link w:val="FooterChar"/>
    <w:uiPriority w:val="99"/>
    <w:unhideWhenUsed/>
    <w:rsid w:val="001408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8F2"/>
  </w:style>
  <w:style w:type="character" w:styleId="Hyperlink">
    <w:name w:val="Hyperlink"/>
    <w:basedOn w:val="DefaultParagraphFont"/>
    <w:uiPriority w:val="99"/>
    <w:unhideWhenUsed/>
    <w:rsid w:val="00DE6A5F"/>
    <w:rPr>
      <w:color w:val="0563C1" w:themeColor="hyperlink"/>
      <w:u w:val="single"/>
    </w:rPr>
  </w:style>
  <w:style w:type="character" w:styleId="UnresolvedMention">
    <w:name w:val="Unresolved Mention"/>
    <w:basedOn w:val="DefaultParagraphFont"/>
    <w:uiPriority w:val="99"/>
    <w:semiHidden/>
    <w:unhideWhenUsed/>
    <w:rsid w:val="00856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geed.2025.152476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5692</Words>
  <Characters>32451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Himansu bhusan Nayak</dc:creator>
  <cp:keywords/>
  <dc:description/>
  <cp:lastModifiedBy>SDI 1180</cp:lastModifiedBy>
  <cp:revision>6</cp:revision>
  <dcterms:created xsi:type="dcterms:W3CDTF">2026-05-15T14:55:00Z</dcterms:created>
  <dcterms:modified xsi:type="dcterms:W3CDTF">2026-05-16T10:51:00Z</dcterms:modified>
</cp:coreProperties>
</file>