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74449" w14:textId="77777777" w:rsidR="00806170" w:rsidRDefault="008F422F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ASSESSMENT OF SOME HAEMATOLOGICAL PARAMETERS IN PATIENTS INFECTED WITH HEPATITIS C VIRUS IN OWERRI, NIGERIA</w:t>
      </w:r>
    </w:p>
    <w:p w14:paraId="65983A2A" w14:textId="77777777" w:rsidR="00B63C61" w:rsidRDefault="00B63C61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EE0AABE" w14:textId="1557D522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ABSTRACT</w:t>
      </w:r>
    </w:p>
    <w:p w14:paraId="0C032AF8" w14:textId="77777777" w:rsidR="00806170" w:rsidRDefault="008F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Hepatitis C virus (HCV) infection is a chronic viral disease of global public health importance char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acterized by progressive liver injury and numerous extrahepatic manifestations.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abnormalities are among the most common systemic complications and contribute significantly to disease morbidity and prognosis.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study evaluated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elected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 packed cell volume (PCV), platelet count, total white blood cell (WBC) count, and differential WBC counts among HCV-infected patients in Owerri, Nigeria.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hospital-based case control study involving 60 participan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aged 18–60 years was conducted. Thirty serologically confirmed HCV patients and 30 age- and sex-matched healthy controls were recruited. Blood samples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using standard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techniques. Statistical analysis was performed usin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SPSS version 25.0 with significance set at p ≤ 0.05.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HCV patients had significantly reduced PCV, platelet count, WBC count and neutrophil percentage, while lymphocyte percentage was significantly higher. No significant sex-based differences 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observed. Strong negative correlations existed between lymphocyte and neutrophil percentages.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Chronic HCV infection is associated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thrombocytopenia, leukopenia, neutropenia and relative lymphocytosis. Routine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monito</w:t>
      </w:r>
      <w:r>
        <w:rPr>
          <w:rFonts w:ascii="Times New Roman" w:eastAsia="Times New Roman" w:hAnsi="Times New Roman" w:cs="Times New Roman"/>
          <w:sz w:val="24"/>
          <w:szCs w:val="24"/>
        </w:rPr>
        <w:t>ring is essential in clinical management.</w:t>
      </w:r>
    </w:p>
    <w:p w14:paraId="70942DF4" w14:textId="77777777" w:rsidR="00806170" w:rsidRDefault="008F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Hepatitis C virus,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parameters, thrombocytopenia,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leukocyte differential, Owerri.</w:t>
      </w:r>
    </w:p>
    <w:p w14:paraId="7FB3DCE0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1.0 INTRODUCTION</w:t>
      </w:r>
    </w:p>
    <w:p w14:paraId="322D8BAA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Hepatitis C virus (HCV) infection remains a major global health challenge, affecti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approximately 58 million individuals worldwide, with an estimated 1.5 million new infections annually¹. The disease continues to exert a substantial burden in low- and middle-income countries where screening, treatment accessibility and preventive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sz w:val="24"/>
          <w:szCs w:val="24"/>
        </w:rPr>
        <w:t>ammes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remain suboptimal². Nigeria bears a significant proportion of the African burden, with varying regional prevalence estimates attributed to differences in awareness, screening and healthcare infrastructure³.</w:t>
      </w:r>
    </w:p>
    <w:p w14:paraId="1853D034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HCV is an enveloped, positive-sense single-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stranded RNA virus belonging to 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Flaviviridae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family. The virus demonstrates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hepatotropism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lymphotropism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allowing replication in hepatocytes and immune cells such as B lymphocytes and monocytes⁴. This dual tissue tropism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explains the extensive spec</w:t>
      </w:r>
      <w:r>
        <w:rPr>
          <w:rFonts w:ascii="Times New Roman" w:eastAsia="Times New Roman" w:hAnsi="Times New Roman" w:cs="Times New Roman"/>
          <w:sz w:val="24"/>
          <w:szCs w:val="24"/>
        </w:rPr>
        <w:t>trum of hepatic and extrahepatic manifestations observed in infected individuals.</w:t>
      </w:r>
    </w:p>
    <w:p w14:paraId="62670D64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Chronic infection often progresses silently for decades before clinical manifestations become apparent. Progressive liver injury may culminate in fibrosis, cirrhosis, portal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hypertension, hepatic failure and hepatocellular carcinoma⁵. However, HCV infection is increasingly recognized as a systemic disease with multiple extrahepatic manifestations including renal, dermatological, endocrine, neurological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disor</w:t>
      </w:r>
      <w:r>
        <w:rPr>
          <w:rFonts w:ascii="Times New Roman" w:eastAsia="Times New Roman" w:hAnsi="Times New Roman" w:cs="Times New Roman"/>
          <w:sz w:val="24"/>
          <w:szCs w:val="24"/>
        </w:rPr>
        <w:t>ders⁶.</w:t>
      </w:r>
    </w:p>
    <w:p w14:paraId="26799F81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Among these,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abnormalities are particularly important because they influence disease severity, treatment eligibility and overall clinical outcomes.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thrombocytopenia and leukocyte abnormalities have been consistently reported </w:t>
      </w:r>
      <w:r>
        <w:rPr>
          <w:rFonts w:ascii="Times New Roman" w:eastAsia="Times New Roman" w:hAnsi="Times New Roman" w:cs="Times New Roman"/>
          <w:sz w:val="24"/>
          <w:szCs w:val="24"/>
        </w:rPr>
        <w:t>in HCV-infected patients⁷.</w:t>
      </w:r>
    </w:p>
    <w:p w14:paraId="22E8DA1A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pathogenesis of these abnormalities is complex and multifactorial. Chronic inflammation leads to dysregulated iron metabolism and impaired erythropoiesis⁸. Thrombocytopenia may result from reduced hepatic thrombopoietin synth</w:t>
      </w:r>
      <w:r>
        <w:rPr>
          <w:rFonts w:ascii="Times New Roman" w:eastAsia="Times New Roman" w:hAnsi="Times New Roman" w:cs="Times New Roman"/>
          <w:sz w:val="24"/>
          <w:szCs w:val="24"/>
        </w:rPr>
        <w:t>esis, splenic sequestration due to portal hypertension and immune-mediated platelet destruction⁹. Leukopenia and neutropenia may arise from hypersplenism, immune-mediated destruction and bone marrow suppression¹⁰.</w:t>
      </w:r>
    </w:p>
    <w:p w14:paraId="5A03E0CD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derangements have sig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nificant clinical implications. They increase susceptibility to infections, bleeding tendencies, fatigue and reduced tolerance to antiviral therapy. Consequently,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monitoring is increasingly recognized as an integral component of HCV patient </w:t>
      </w:r>
      <w:r>
        <w:rPr>
          <w:rFonts w:ascii="Times New Roman" w:eastAsia="Times New Roman" w:hAnsi="Times New Roman" w:cs="Times New Roman"/>
          <w:sz w:val="24"/>
          <w:szCs w:val="24"/>
        </w:rPr>
        <w:t>management.</w:t>
      </w:r>
    </w:p>
    <w:p w14:paraId="61D3EBA4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Despite growing global evidence, region-specific data from southeastern Nigeria remain limited. Local studies are essential because epidemiological, genetic, environmental and healthcare factors may influence disease expression and complications. Therefore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study aimed to assess selected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 among HCV-infected patients attending Imo State Specialist Hospital, Owerri.</w:t>
      </w:r>
    </w:p>
    <w:p w14:paraId="1A03E43F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2.0 MATERIALS AND METHODS</w:t>
      </w:r>
    </w:p>
    <w:p w14:paraId="22580D6B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 Study Area</w:t>
      </w:r>
    </w:p>
    <w:p w14:paraId="2707951E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study was conducted at Imo State Specialist Hospital,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Owerri </w:t>
      </w:r>
      <w:r>
        <w:rPr>
          <w:rFonts w:ascii="Times New Roman" w:eastAsia="Times New Roman" w:hAnsi="Times New Roman" w:cs="Times New Roman"/>
          <w:sz w:val="24"/>
          <w:szCs w:val="24"/>
        </w:rPr>
        <w:t>West LGA, Imo State, Nigeria. The hospital serves as a major secondary healthcare facility providing diagnostic and treatment services to a large population within southeastern Nigeria.</w:t>
      </w:r>
    </w:p>
    <w:p w14:paraId="68F0722B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 Study Design</w:t>
      </w:r>
    </w:p>
    <w:p w14:paraId="6B58C664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hospital-based case–control design was adopted. This design enables comparison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indices between infected patients and healthy individuals and allows identification of disease-associated alterations.</w:t>
      </w:r>
    </w:p>
    <w:p w14:paraId="47BFE450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 Study Population</w:t>
      </w:r>
    </w:p>
    <w:p w14:paraId="27A69FD0" w14:textId="77777777" w:rsidR="00806170" w:rsidRDefault="008F42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Sixty participant</w:t>
      </w:r>
      <w:r>
        <w:rPr>
          <w:rFonts w:ascii="Times New Roman" w:eastAsia="Times New Roman" w:hAnsi="Times New Roman" w:cs="Times New Roman"/>
          <w:sz w:val="24"/>
          <w:szCs w:val="24"/>
        </w:rPr>
        <w:t>s aged 18–60 years were recruited.</w:t>
      </w:r>
    </w:p>
    <w:p w14:paraId="3E4DC4BB" w14:textId="77777777" w:rsidR="00806170" w:rsidRDefault="008F42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serologically confirmed HCV-positive patients.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apparently healthy HCV-negative individuals.</w:t>
      </w:r>
    </w:p>
    <w:p w14:paraId="48810F6D" w14:textId="77777777" w:rsidR="00806170" w:rsidRDefault="008F422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Inclusion Criteria</w:t>
      </w:r>
    </w:p>
    <w:p w14:paraId="1A39AC1B" w14:textId="77777777" w:rsidR="00806170" w:rsidRDefault="008F422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Adults aged 18–60 years</w:t>
      </w:r>
    </w:p>
    <w:p w14:paraId="318C43AD" w14:textId="77777777" w:rsidR="00806170" w:rsidRDefault="008F422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Confirmed HCV infection for cases</w:t>
      </w:r>
    </w:p>
    <w:p w14:paraId="6D0D22B4" w14:textId="77777777" w:rsidR="00806170" w:rsidRDefault="008F422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Apparently healthy controls</w:t>
      </w:r>
    </w:p>
    <w:p w14:paraId="2BF951F2" w14:textId="77777777" w:rsidR="00806170" w:rsidRDefault="008F422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xclusion Criteria</w:t>
      </w:r>
    </w:p>
    <w:p w14:paraId="16C982D0" w14:textId="77777777" w:rsidR="00806170" w:rsidRDefault="008F422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Co-infection with other viral diseases</w:t>
      </w:r>
    </w:p>
    <w:p w14:paraId="4BAC2D7E" w14:textId="77777777" w:rsidR="00806170" w:rsidRDefault="008F422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disorders</w:t>
      </w:r>
    </w:p>
    <w:p w14:paraId="275A2300" w14:textId="77777777" w:rsidR="00806170" w:rsidRDefault="008F422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Recent blood transfusion</w:t>
      </w:r>
    </w:p>
    <w:p w14:paraId="47FD83E0" w14:textId="77777777" w:rsidR="00806170" w:rsidRDefault="008F422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Chronic systemic illnesses</w:t>
      </w:r>
    </w:p>
    <w:p w14:paraId="63B91026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These criteria minimized confounding variables that could affect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parameters.</w:t>
      </w:r>
    </w:p>
    <w:p w14:paraId="4DAD7199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 Sample Size Justific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14:paraId="11EBD4B9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sample size was based on feasibility and comparable regional studies assessing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 in viral infections. Matching by age and sex ensured comparability between groups.</w:t>
      </w:r>
    </w:p>
    <w:p w14:paraId="1F4C8464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2.5 Sample Collection</w:t>
      </w:r>
    </w:p>
    <w:p w14:paraId="557FB93B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millilitres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venous blood was collected aseptically from each participant:</w:t>
      </w:r>
    </w:p>
    <w:p w14:paraId="1FF20286" w14:textId="77777777" w:rsidR="00806170" w:rsidRDefault="008F422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mL into EDTA tubes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haematology</w:t>
      </w:r>
      <w:proofErr w:type="spellEnd"/>
    </w:p>
    <w:p w14:paraId="22578C59" w14:textId="77777777" w:rsidR="00806170" w:rsidRDefault="008F422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mL into plain tubes for serological confirmation</w:t>
      </w:r>
    </w:p>
    <w:p w14:paraId="13AFF89E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2.6 Laboratory Analysis</w:t>
      </w:r>
    </w:p>
    <w:p w14:paraId="60E18769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Standard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techniques were employed:</w:t>
      </w:r>
    </w:p>
    <w:p w14:paraId="4714A1F5" w14:textId="77777777" w:rsidR="00806170" w:rsidRDefault="008F422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PCV: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Microhaematocrit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method¹⁰</w:t>
      </w:r>
    </w:p>
    <w:p w14:paraId="7D961389" w14:textId="77777777" w:rsidR="00806170" w:rsidRDefault="008F422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Platelet count: Rees–Ecker method¹¹</w:t>
      </w:r>
    </w:p>
    <w:p w14:paraId="01785F51" w14:textId="77777777" w:rsidR="00806170" w:rsidRDefault="008F422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WBC: Türk’s solution¹²</w:t>
      </w:r>
    </w:p>
    <w:p w14:paraId="01ED5350" w14:textId="77777777" w:rsidR="00806170" w:rsidRDefault="008F422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Differential count: Leishman-stained peripheral smear</w:t>
      </w:r>
    </w:p>
    <w:p w14:paraId="08A1CFFA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Quality control procedures were maintained throughout analysis.</w:t>
      </w:r>
    </w:p>
    <w:p w14:paraId="42B4535E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2.7 Ethical Considerations</w:t>
      </w:r>
    </w:p>
    <w:p w14:paraId="1AEF086D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Ethical approval was obtained from </w:t>
      </w:r>
      <w:r>
        <w:rPr>
          <w:rFonts w:ascii="Times New Roman" w:eastAsia="Times New Roman" w:hAnsi="Times New Roman" w:cs="Times New Roman"/>
          <w:sz w:val="24"/>
          <w:szCs w:val="24"/>
        </w:rPr>
        <w:t>the hospital ethics committee. Written informed consent was obtained from all participants.</w:t>
      </w:r>
    </w:p>
    <w:p w14:paraId="5F22FEB5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2.8 Statistical Analysis</w:t>
      </w:r>
    </w:p>
    <w:p w14:paraId="5C926009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using SPSS version 25.</w:t>
      </w:r>
    </w:p>
    <w:p w14:paraId="767B23E4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using IBM SPSS version 25.0. Results were expressed as mean ± standard deviati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Independent Student’s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-test was used to compare mean values between groups, while Pearson’s correlation coefficient assessed relationships between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parameters. Statistical significance was set at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≤ 0.05.</w:t>
      </w:r>
    </w:p>
    <w:p w14:paraId="6D1CCDDF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3.0 RESULTS</w:t>
      </w:r>
    </w:p>
    <w:p w14:paraId="0512E185" w14:textId="1C5DE6E0" w:rsidR="00806170" w:rsidRDefault="008F42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1: Mean Value</w:t>
      </w:r>
      <w:r>
        <w:rPr>
          <w:rFonts w:ascii="Times New Roman" w:hAnsi="Times New Roman" w:cs="Times New Roman"/>
          <w:b/>
          <w:bCs/>
          <w:sz w:val="24"/>
          <w:szCs w:val="24"/>
        </w:rPr>
        <w:t>s of PCV, Platelet, White Blood Cell and Differential WBC Counts in HCV Patients Versus Controls (Mean ± SD).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4"/>
        <w:gridCol w:w="2181"/>
        <w:gridCol w:w="2181"/>
        <w:gridCol w:w="1083"/>
        <w:gridCol w:w="1161"/>
      </w:tblGrid>
      <w:tr w:rsidR="00806170" w14:paraId="6D990F37" w14:textId="77777777">
        <w:tc>
          <w:tcPr>
            <w:tcW w:w="1433" w:type="pct"/>
          </w:tcPr>
          <w:p w14:paraId="40626862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139" w:type="pct"/>
          </w:tcPr>
          <w:p w14:paraId="1A4B52DE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HCV Patients</w:t>
            </w:r>
          </w:p>
          <w:p w14:paraId="56B6CB44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(n=10)</w:t>
            </w:r>
          </w:p>
        </w:tc>
        <w:tc>
          <w:tcPr>
            <w:tcW w:w="1139" w:type="pct"/>
          </w:tcPr>
          <w:p w14:paraId="3DA0C785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  <w:p w14:paraId="5C130EA9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(n=10)</w:t>
            </w:r>
          </w:p>
        </w:tc>
        <w:tc>
          <w:tcPr>
            <w:tcW w:w="565" w:type="pct"/>
          </w:tcPr>
          <w:p w14:paraId="62263EF6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t-value</w:t>
            </w:r>
          </w:p>
        </w:tc>
        <w:tc>
          <w:tcPr>
            <w:tcW w:w="606" w:type="pct"/>
          </w:tcPr>
          <w:p w14:paraId="704A4DD6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806170" w14:paraId="2EA35A0E" w14:textId="77777777">
        <w:tc>
          <w:tcPr>
            <w:tcW w:w="1433" w:type="pct"/>
          </w:tcPr>
          <w:p w14:paraId="23E9903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PCV (%)</w:t>
            </w:r>
          </w:p>
        </w:tc>
        <w:tc>
          <w:tcPr>
            <w:tcW w:w="1139" w:type="pct"/>
          </w:tcPr>
          <w:p w14:paraId="524E62B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41.37 ± 3.12</w:t>
            </w:r>
          </w:p>
        </w:tc>
        <w:tc>
          <w:tcPr>
            <w:tcW w:w="1139" w:type="pct"/>
          </w:tcPr>
          <w:p w14:paraId="242E3DC2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43.77 ± 2.82</w:t>
            </w:r>
          </w:p>
        </w:tc>
        <w:tc>
          <w:tcPr>
            <w:tcW w:w="565" w:type="pct"/>
          </w:tcPr>
          <w:p w14:paraId="1D03FA32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–3.12</w:t>
            </w:r>
          </w:p>
        </w:tc>
        <w:tc>
          <w:tcPr>
            <w:tcW w:w="606" w:type="pct"/>
          </w:tcPr>
          <w:p w14:paraId="3CA204EA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0.003*</w:t>
            </w:r>
          </w:p>
        </w:tc>
      </w:tr>
      <w:tr w:rsidR="00806170" w14:paraId="661C5DC3" w14:textId="77777777">
        <w:tc>
          <w:tcPr>
            <w:tcW w:w="1433" w:type="pct"/>
          </w:tcPr>
          <w:p w14:paraId="4BC284C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Platelet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39" w:type="pct"/>
          </w:tcPr>
          <w:p w14:paraId="006CC14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190.90 ± 58.33</w:t>
            </w:r>
          </w:p>
        </w:tc>
        <w:tc>
          <w:tcPr>
            <w:tcW w:w="1139" w:type="pct"/>
          </w:tcPr>
          <w:p w14:paraId="673E90D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249.07 ± 40.96</w:t>
            </w:r>
          </w:p>
        </w:tc>
        <w:tc>
          <w:tcPr>
            <w:tcW w:w="565" w:type="pct"/>
          </w:tcPr>
          <w:p w14:paraId="6648353E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–4.47</w:t>
            </w:r>
          </w:p>
        </w:tc>
        <w:tc>
          <w:tcPr>
            <w:tcW w:w="606" w:type="pct"/>
          </w:tcPr>
          <w:p w14:paraId="7B2F715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&lt;0.001*</w:t>
            </w:r>
          </w:p>
        </w:tc>
      </w:tr>
      <w:tr w:rsidR="00806170" w14:paraId="2333CA9F" w14:textId="77777777">
        <w:tc>
          <w:tcPr>
            <w:tcW w:w="1433" w:type="pct"/>
          </w:tcPr>
          <w:p w14:paraId="6945FA8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WBC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39" w:type="pct"/>
          </w:tcPr>
          <w:p w14:paraId="3CA9BE9A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5.96 ± 1.75</w:t>
            </w:r>
          </w:p>
        </w:tc>
        <w:tc>
          <w:tcPr>
            <w:tcW w:w="1139" w:type="pct"/>
          </w:tcPr>
          <w:p w14:paraId="5701E97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6.99 ± 1.33</w:t>
            </w:r>
          </w:p>
        </w:tc>
        <w:tc>
          <w:tcPr>
            <w:tcW w:w="565" w:type="pct"/>
          </w:tcPr>
          <w:p w14:paraId="7F65898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–2.58</w:t>
            </w:r>
          </w:p>
        </w:tc>
        <w:tc>
          <w:tcPr>
            <w:tcW w:w="606" w:type="pct"/>
          </w:tcPr>
          <w:p w14:paraId="755A45C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0.012*</w:t>
            </w:r>
          </w:p>
        </w:tc>
      </w:tr>
      <w:tr w:rsidR="00806170" w14:paraId="4179E92A" w14:textId="77777777">
        <w:tc>
          <w:tcPr>
            <w:tcW w:w="1433" w:type="pct"/>
          </w:tcPr>
          <w:p w14:paraId="14F0FBD3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Neutrophils (%)</w:t>
            </w:r>
          </w:p>
        </w:tc>
        <w:tc>
          <w:tcPr>
            <w:tcW w:w="1139" w:type="pct"/>
          </w:tcPr>
          <w:p w14:paraId="7BF97AC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50.30 ± 5.41</w:t>
            </w:r>
          </w:p>
        </w:tc>
        <w:tc>
          <w:tcPr>
            <w:tcW w:w="1139" w:type="pct"/>
          </w:tcPr>
          <w:p w14:paraId="2CE74BA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54.03 ± 5.12</w:t>
            </w:r>
          </w:p>
        </w:tc>
        <w:tc>
          <w:tcPr>
            <w:tcW w:w="565" w:type="pct"/>
          </w:tcPr>
          <w:p w14:paraId="404E242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–2.75</w:t>
            </w:r>
          </w:p>
        </w:tc>
        <w:tc>
          <w:tcPr>
            <w:tcW w:w="606" w:type="pct"/>
          </w:tcPr>
          <w:p w14:paraId="10CDC7E2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0.008*</w:t>
            </w:r>
          </w:p>
        </w:tc>
      </w:tr>
      <w:tr w:rsidR="00806170" w14:paraId="65C03CD9" w14:textId="77777777">
        <w:tc>
          <w:tcPr>
            <w:tcW w:w="1433" w:type="pct"/>
          </w:tcPr>
          <w:p w14:paraId="7CF2D5B5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Lymphocytes (%)</w:t>
            </w:r>
          </w:p>
        </w:tc>
        <w:tc>
          <w:tcPr>
            <w:tcW w:w="1139" w:type="pct"/>
          </w:tcPr>
          <w:p w14:paraId="0AFD7EB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40.30 ± 5.57</w:t>
            </w:r>
          </w:p>
        </w:tc>
        <w:tc>
          <w:tcPr>
            <w:tcW w:w="1139" w:type="pct"/>
          </w:tcPr>
          <w:p w14:paraId="39F2CCA2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36.67 ± 4.71</w:t>
            </w:r>
          </w:p>
        </w:tc>
        <w:tc>
          <w:tcPr>
            <w:tcW w:w="565" w:type="pct"/>
          </w:tcPr>
          <w:p w14:paraId="32A1256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2.73</w:t>
            </w:r>
          </w:p>
        </w:tc>
        <w:tc>
          <w:tcPr>
            <w:tcW w:w="606" w:type="pct"/>
          </w:tcPr>
          <w:p w14:paraId="6B242C3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0.008*</w:t>
            </w:r>
          </w:p>
        </w:tc>
      </w:tr>
      <w:tr w:rsidR="00806170" w14:paraId="5121A26E" w14:textId="77777777">
        <w:tc>
          <w:tcPr>
            <w:tcW w:w="1433" w:type="pct"/>
          </w:tcPr>
          <w:p w14:paraId="1AEB442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Monocytes (%)</w:t>
            </w:r>
          </w:p>
        </w:tc>
        <w:tc>
          <w:tcPr>
            <w:tcW w:w="1139" w:type="pct"/>
          </w:tcPr>
          <w:p w14:paraId="4EA22E2F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5.93 ± 1.87</w:t>
            </w:r>
          </w:p>
        </w:tc>
        <w:tc>
          <w:tcPr>
            <w:tcW w:w="1139" w:type="pct"/>
          </w:tcPr>
          <w:p w14:paraId="3ED2ACBF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6.20 ± 1.47</w:t>
            </w:r>
          </w:p>
        </w:tc>
        <w:tc>
          <w:tcPr>
            <w:tcW w:w="565" w:type="pct"/>
          </w:tcPr>
          <w:p w14:paraId="3339F5E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–0.61</w:t>
            </w:r>
          </w:p>
        </w:tc>
        <w:tc>
          <w:tcPr>
            <w:tcW w:w="606" w:type="pct"/>
          </w:tcPr>
          <w:p w14:paraId="519B629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0.542</w:t>
            </w:r>
          </w:p>
        </w:tc>
      </w:tr>
      <w:tr w:rsidR="00806170" w14:paraId="2ED50215" w14:textId="77777777">
        <w:tc>
          <w:tcPr>
            <w:tcW w:w="1433" w:type="pct"/>
          </w:tcPr>
          <w:p w14:paraId="12612790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Eosinophils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139" w:type="pct"/>
          </w:tcPr>
          <w:p w14:paraId="34376B5F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2.67 ± 0.92</w:t>
            </w:r>
          </w:p>
        </w:tc>
        <w:tc>
          <w:tcPr>
            <w:tcW w:w="1139" w:type="pct"/>
          </w:tcPr>
          <w:p w14:paraId="4D1EEDD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2.53 ± 1.11</w:t>
            </w:r>
          </w:p>
        </w:tc>
        <w:tc>
          <w:tcPr>
            <w:tcW w:w="565" w:type="pct"/>
          </w:tcPr>
          <w:p w14:paraId="3697DC4D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606" w:type="pct"/>
          </w:tcPr>
          <w:p w14:paraId="7AEB457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0.614</w:t>
            </w:r>
          </w:p>
        </w:tc>
      </w:tr>
      <w:tr w:rsidR="00806170" w14:paraId="4E6BB215" w14:textId="77777777">
        <w:tc>
          <w:tcPr>
            <w:tcW w:w="1433" w:type="pct"/>
          </w:tcPr>
          <w:p w14:paraId="3CBDB24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Basophils (%)</w:t>
            </w:r>
          </w:p>
        </w:tc>
        <w:tc>
          <w:tcPr>
            <w:tcW w:w="1139" w:type="pct"/>
          </w:tcPr>
          <w:p w14:paraId="546D0EAE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0.80 ± 0.55</w:t>
            </w:r>
          </w:p>
        </w:tc>
        <w:tc>
          <w:tcPr>
            <w:tcW w:w="1139" w:type="pct"/>
          </w:tcPr>
          <w:p w14:paraId="76D90E9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0.57 ± 0.63</w:t>
            </w:r>
          </w:p>
        </w:tc>
        <w:tc>
          <w:tcPr>
            <w:tcW w:w="565" w:type="pct"/>
          </w:tcPr>
          <w:p w14:paraId="0011877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1.53</w:t>
            </w:r>
          </w:p>
        </w:tc>
        <w:tc>
          <w:tcPr>
            <w:tcW w:w="606" w:type="pct"/>
          </w:tcPr>
          <w:p w14:paraId="3B873E3E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0.131</w:t>
            </w:r>
          </w:p>
        </w:tc>
      </w:tr>
    </w:tbl>
    <w:p w14:paraId="149BA3C7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KEY:</w:t>
      </w:r>
    </w:p>
    <w:p w14:paraId="31E6BC18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Significant p-value (p ≤ 0.05).</w:t>
      </w:r>
    </w:p>
    <w:p w14:paraId="7BCAC466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SD = Standard Deviation.</w:t>
      </w:r>
    </w:p>
    <w:p w14:paraId="2CDD7B89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PCV = Packed Cell Volume.</w:t>
      </w:r>
    </w:p>
    <w:p w14:paraId="47D9019F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WBC = White Blood Cell count </w:t>
      </w:r>
    </w:p>
    <w:p w14:paraId="6B201C35" w14:textId="596EDA6B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 1 shows the mean values of packed cell </w:t>
      </w:r>
      <w:r>
        <w:rPr>
          <w:rFonts w:ascii="Times New Roman" w:hAnsi="Times New Roman" w:cs="Times New Roman"/>
          <w:bCs/>
          <w:sz w:val="24"/>
          <w:szCs w:val="24"/>
        </w:rPr>
        <w:t>volume (PCV), platelet count, total white blood cell count (WBC) and differential white cell counts in patients infected with Hepatitis C Virus compared to apparently healthy controls.</w:t>
      </w:r>
    </w:p>
    <w:p w14:paraId="49E7093A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mean values of PCV, platelet count, WBC and neutrophils were signif</w:t>
      </w:r>
      <w:r>
        <w:rPr>
          <w:rFonts w:ascii="Times New Roman" w:hAnsi="Times New Roman" w:cs="Times New Roman"/>
          <w:bCs/>
          <w:sz w:val="24"/>
          <w:szCs w:val="24"/>
        </w:rPr>
        <w:t>icantly lower in HCV patients (41.37 ± 3.12)%, (190.90 ± 58.33)×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(5.96 ± 1.75)×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/L and (50.30 ± 5.41)%,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respectively, compared to controls (43.77 ± 2.82)%, (249.07 ± 40.96)×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(6.99 ± 1.33)×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 and (54.03 ± 5.12)% (t = –3.12, p = 0.003; t</w:t>
      </w:r>
      <w:r>
        <w:rPr>
          <w:rFonts w:ascii="Times New Roman" w:hAnsi="Times New Roman" w:cs="Times New Roman"/>
          <w:bCs/>
          <w:sz w:val="24"/>
          <w:szCs w:val="24"/>
        </w:rPr>
        <w:t xml:space="preserve"> = –4.47, p &lt; 0.001; t = –2.58, p = 0.012; t = –2.75, p = 0.008). </w:t>
      </w:r>
    </w:p>
    <w:p w14:paraId="3F59C62B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mean value of lymphocyte was significantly higher in HCV patients (40.30 ±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5.57)%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compared to controls (36.67 ± 4.71)% (t = 2.73, p = 0.008).</w:t>
      </w:r>
    </w:p>
    <w:p w14:paraId="72144020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were no significant differences in th</w:t>
      </w:r>
      <w:r>
        <w:rPr>
          <w:rFonts w:ascii="Times New Roman" w:hAnsi="Times New Roman" w:cs="Times New Roman"/>
          <w:bCs/>
          <w:sz w:val="24"/>
          <w:szCs w:val="24"/>
        </w:rPr>
        <w:t>e mean values of monocytes, eosinophils and basophils in HCV patients (5.93 ± 1.87)%, (2.67 ± 0.92)% and (0.80 ± 0.55)%, respectively, compared to controls (6.20 ± 1.47)%, (2.53 ± 1.11)% and (0.57 ± 0.63)% (t = –0.61, p = 0.542; t = 0.51, p = 0.614; t = 1.</w:t>
      </w:r>
      <w:r>
        <w:rPr>
          <w:rFonts w:ascii="Times New Roman" w:hAnsi="Times New Roman" w:cs="Times New Roman"/>
          <w:bCs/>
          <w:sz w:val="24"/>
          <w:szCs w:val="24"/>
        </w:rPr>
        <w:t>53, p = 0.131).</w:t>
      </w:r>
    </w:p>
    <w:p w14:paraId="0DED0A08" w14:textId="78DB4E56" w:rsidR="00806170" w:rsidRDefault="008F42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056B2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: Mean Values of PCV, Platelet Count, WBC Count and Differential WBC Counts in Male Versus Female HCV Patients (Mean ± SD)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6"/>
        <w:gridCol w:w="2181"/>
        <w:gridCol w:w="2181"/>
        <w:gridCol w:w="1083"/>
        <w:gridCol w:w="1159"/>
      </w:tblGrid>
      <w:tr w:rsidR="00806170" w14:paraId="12E4BF5D" w14:textId="77777777">
        <w:tc>
          <w:tcPr>
            <w:tcW w:w="1441" w:type="pct"/>
          </w:tcPr>
          <w:p w14:paraId="59A698DD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145" w:type="pct"/>
          </w:tcPr>
          <w:p w14:paraId="67434CD2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HCV</w:t>
            </w:r>
          </w:p>
          <w:p w14:paraId="1BE6FBC4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Patients</w:t>
            </w:r>
          </w:p>
          <w:p w14:paraId="07556220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(n=15)</w:t>
            </w:r>
          </w:p>
        </w:tc>
        <w:tc>
          <w:tcPr>
            <w:tcW w:w="1145" w:type="pct"/>
          </w:tcPr>
          <w:p w14:paraId="71A229E2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 HCV</w:t>
            </w:r>
          </w:p>
          <w:p w14:paraId="752DAF25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Patients</w:t>
            </w:r>
          </w:p>
          <w:p w14:paraId="74A51BF2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(n=15)</w:t>
            </w:r>
          </w:p>
        </w:tc>
        <w:tc>
          <w:tcPr>
            <w:tcW w:w="568" w:type="pct"/>
          </w:tcPr>
          <w:p w14:paraId="7D2DF657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t-value</w:t>
            </w:r>
          </w:p>
        </w:tc>
        <w:tc>
          <w:tcPr>
            <w:tcW w:w="609" w:type="pct"/>
          </w:tcPr>
          <w:p w14:paraId="6750694E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806170" w14:paraId="0DAC2536" w14:textId="77777777">
        <w:tc>
          <w:tcPr>
            <w:tcW w:w="1441" w:type="pct"/>
          </w:tcPr>
          <w:p w14:paraId="6C8E0715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PCV (%)</w:t>
            </w:r>
          </w:p>
        </w:tc>
        <w:tc>
          <w:tcPr>
            <w:tcW w:w="1145" w:type="pct"/>
          </w:tcPr>
          <w:p w14:paraId="1FB2A89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42.27 ± 2.63</w:t>
            </w:r>
          </w:p>
        </w:tc>
        <w:tc>
          <w:tcPr>
            <w:tcW w:w="1145" w:type="pct"/>
          </w:tcPr>
          <w:p w14:paraId="23FA7B5B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40.47 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3.40</w:t>
            </w:r>
          </w:p>
        </w:tc>
        <w:tc>
          <w:tcPr>
            <w:tcW w:w="568" w:type="pct"/>
          </w:tcPr>
          <w:p w14:paraId="5B5B0502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1.62</w:t>
            </w:r>
          </w:p>
        </w:tc>
        <w:tc>
          <w:tcPr>
            <w:tcW w:w="609" w:type="pct"/>
          </w:tcPr>
          <w:p w14:paraId="4DDC0B5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0.116</w:t>
            </w:r>
          </w:p>
        </w:tc>
      </w:tr>
      <w:tr w:rsidR="00806170" w14:paraId="7651F8E3" w14:textId="77777777">
        <w:tc>
          <w:tcPr>
            <w:tcW w:w="1441" w:type="pct"/>
          </w:tcPr>
          <w:p w14:paraId="201C2DD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Platelet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45" w:type="pct"/>
          </w:tcPr>
          <w:p w14:paraId="74180EF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180.13 ± 50.88</w:t>
            </w:r>
          </w:p>
        </w:tc>
        <w:tc>
          <w:tcPr>
            <w:tcW w:w="1145" w:type="pct"/>
          </w:tcPr>
          <w:p w14:paraId="5A02DC7E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201.67 ± 64.88</w:t>
            </w:r>
          </w:p>
        </w:tc>
        <w:tc>
          <w:tcPr>
            <w:tcW w:w="568" w:type="pct"/>
          </w:tcPr>
          <w:p w14:paraId="3AD1A19E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–1.01</w:t>
            </w:r>
          </w:p>
        </w:tc>
        <w:tc>
          <w:tcPr>
            <w:tcW w:w="609" w:type="pct"/>
          </w:tcPr>
          <w:p w14:paraId="17320E0E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0.320</w:t>
            </w:r>
          </w:p>
        </w:tc>
      </w:tr>
      <w:tr w:rsidR="00806170" w14:paraId="7CE1B647" w14:textId="77777777">
        <w:tc>
          <w:tcPr>
            <w:tcW w:w="1441" w:type="pct"/>
          </w:tcPr>
          <w:p w14:paraId="41C61972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WBC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45" w:type="pct"/>
          </w:tcPr>
          <w:p w14:paraId="67CB035A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5.97 ± 1.80</w:t>
            </w:r>
          </w:p>
        </w:tc>
        <w:tc>
          <w:tcPr>
            <w:tcW w:w="1145" w:type="pct"/>
          </w:tcPr>
          <w:p w14:paraId="724C84D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5.95 ± 1.75</w:t>
            </w:r>
          </w:p>
        </w:tc>
        <w:tc>
          <w:tcPr>
            <w:tcW w:w="568" w:type="pct"/>
          </w:tcPr>
          <w:p w14:paraId="7C90EA3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0.04</w:t>
            </w:r>
          </w:p>
        </w:tc>
        <w:tc>
          <w:tcPr>
            <w:tcW w:w="609" w:type="pct"/>
          </w:tcPr>
          <w:p w14:paraId="5E765683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0.967</w:t>
            </w:r>
          </w:p>
        </w:tc>
      </w:tr>
      <w:tr w:rsidR="00806170" w14:paraId="02D8B799" w14:textId="77777777">
        <w:tc>
          <w:tcPr>
            <w:tcW w:w="1441" w:type="pct"/>
          </w:tcPr>
          <w:p w14:paraId="7A1AC810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Neutrophils (%)</w:t>
            </w:r>
          </w:p>
        </w:tc>
        <w:tc>
          <w:tcPr>
            <w:tcW w:w="1145" w:type="pct"/>
          </w:tcPr>
          <w:p w14:paraId="7079FAD5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49.13 ± 4.69</w:t>
            </w:r>
          </w:p>
        </w:tc>
        <w:tc>
          <w:tcPr>
            <w:tcW w:w="1145" w:type="pct"/>
          </w:tcPr>
          <w:p w14:paraId="1298A24F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51.47 ± 5.97</w:t>
            </w:r>
          </w:p>
        </w:tc>
        <w:tc>
          <w:tcPr>
            <w:tcW w:w="568" w:type="pct"/>
          </w:tcPr>
          <w:p w14:paraId="04977DF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–1.19</w:t>
            </w:r>
          </w:p>
        </w:tc>
        <w:tc>
          <w:tcPr>
            <w:tcW w:w="609" w:type="pct"/>
          </w:tcPr>
          <w:p w14:paraId="42C7B78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0.244</w:t>
            </w:r>
          </w:p>
        </w:tc>
      </w:tr>
      <w:tr w:rsidR="00806170" w14:paraId="05C4B582" w14:textId="77777777">
        <w:tc>
          <w:tcPr>
            <w:tcW w:w="1441" w:type="pct"/>
          </w:tcPr>
          <w:p w14:paraId="4F081E3B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Lymphocytes (%)</w:t>
            </w:r>
          </w:p>
        </w:tc>
        <w:tc>
          <w:tcPr>
            <w:tcW w:w="1145" w:type="pct"/>
          </w:tcPr>
          <w:p w14:paraId="057C9960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40.93 ± 4.99</w:t>
            </w:r>
          </w:p>
        </w:tc>
        <w:tc>
          <w:tcPr>
            <w:tcW w:w="1145" w:type="pct"/>
          </w:tcPr>
          <w:p w14:paraId="1814BD7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39.67 ± 6.20</w:t>
            </w:r>
          </w:p>
        </w:tc>
        <w:tc>
          <w:tcPr>
            <w:tcW w:w="568" w:type="pct"/>
          </w:tcPr>
          <w:p w14:paraId="6EB60E1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0.62</w:t>
            </w:r>
          </w:p>
        </w:tc>
        <w:tc>
          <w:tcPr>
            <w:tcW w:w="609" w:type="pct"/>
          </w:tcPr>
          <w:p w14:paraId="5946A21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0.542</w:t>
            </w:r>
          </w:p>
        </w:tc>
      </w:tr>
      <w:tr w:rsidR="00806170" w14:paraId="01305AB3" w14:textId="77777777">
        <w:tc>
          <w:tcPr>
            <w:tcW w:w="1441" w:type="pct"/>
          </w:tcPr>
          <w:p w14:paraId="6673E05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Monocytes (%)</w:t>
            </w:r>
          </w:p>
        </w:tc>
        <w:tc>
          <w:tcPr>
            <w:tcW w:w="1145" w:type="pct"/>
          </w:tcPr>
          <w:p w14:paraId="0672589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6.33 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1.76</w:t>
            </w:r>
          </w:p>
        </w:tc>
        <w:tc>
          <w:tcPr>
            <w:tcW w:w="1145" w:type="pct"/>
          </w:tcPr>
          <w:p w14:paraId="6BBCD99D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5.53 ± 1.96</w:t>
            </w:r>
          </w:p>
        </w:tc>
        <w:tc>
          <w:tcPr>
            <w:tcW w:w="568" w:type="pct"/>
          </w:tcPr>
          <w:p w14:paraId="46F5508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</w:t>
            </w:r>
          </w:p>
        </w:tc>
        <w:tc>
          <w:tcPr>
            <w:tcW w:w="609" w:type="pct"/>
          </w:tcPr>
          <w:p w14:paraId="4C1FF615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0.249</w:t>
            </w:r>
          </w:p>
        </w:tc>
      </w:tr>
      <w:tr w:rsidR="00806170" w14:paraId="7371D245" w14:textId="77777777">
        <w:tc>
          <w:tcPr>
            <w:tcW w:w="1441" w:type="pct"/>
          </w:tcPr>
          <w:p w14:paraId="37143B0D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Eosinophils (%)</w:t>
            </w:r>
          </w:p>
        </w:tc>
        <w:tc>
          <w:tcPr>
            <w:tcW w:w="1145" w:type="pct"/>
          </w:tcPr>
          <w:p w14:paraId="1E2A3A2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2.80 ± 1.08</w:t>
            </w:r>
          </w:p>
        </w:tc>
        <w:tc>
          <w:tcPr>
            <w:tcW w:w="1145" w:type="pct"/>
          </w:tcPr>
          <w:p w14:paraId="550542E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2.53 ± 0.74</w:t>
            </w:r>
          </w:p>
        </w:tc>
        <w:tc>
          <w:tcPr>
            <w:tcW w:w="568" w:type="pct"/>
          </w:tcPr>
          <w:p w14:paraId="45E4913A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0.79</w:t>
            </w:r>
          </w:p>
        </w:tc>
        <w:tc>
          <w:tcPr>
            <w:tcW w:w="609" w:type="pct"/>
          </w:tcPr>
          <w:p w14:paraId="6CA43AD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0.438</w:t>
            </w:r>
          </w:p>
        </w:tc>
      </w:tr>
      <w:tr w:rsidR="00806170" w14:paraId="77E06CFF" w14:textId="77777777">
        <w:tc>
          <w:tcPr>
            <w:tcW w:w="1441" w:type="pct"/>
          </w:tcPr>
          <w:p w14:paraId="709C99A0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Basophils (%)</w:t>
            </w:r>
          </w:p>
        </w:tc>
        <w:tc>
          <w:tcPr>
            <w:tcW w:w="1145" w:type="pct"/>
          </w:tcPr>
          <w:p w14:paraId="42BE730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0.80 ± 0.41</w:t>
            </w:r>
          </w:p>
        </w:tc>
        <w:tc>
          <w:tcPr>
            <w:tcW w:w="1145" w:type="pct"/>
          </w:tcPr>
          <w:p w14:paraId="1F4ECC2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0.80 ± 0.68</w:t>
            </w:r>
          </w:p>
        </w:tc>
        <w:tc>
          <w:tcPr>
            <w:tcW w:w="568" w:type="pct"/>
          </w:tcPr>
          <w:p w14:paraId="2CFA9F0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  <w:tc>
          <w:tcPr>
            <w:tcW w:w="609" w:type="pct"/>
          </w:tcPr>
          <w:p w14:paraId="25B3A57D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</w:t>
            </w:r>
          </w:p>
        </w:tc>
      </w:tr>
    </w:tbl>
    <w:p w14:paraId="77C26280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KEY:</w:t>
      </w:r>
    </w:p>
    <w:p w14:paraId="7749D00B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Significant p-value (p ≤ 0.05).</w:t>
      </w:r>
    </w:p>
    <w:p w14:paraId="65BF2676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SD = Standard Deviation.</w:t>
      </w:r>
    </w:p>
    <w:p w14:paraId="71336F6E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PCV = Packed Cell Volume.</w:t>
      </w:r>
    </w:p>
    <w:p w14:paraId="5D46C4BF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WBC = White Blood Cell count.</w:t>
      </w:r>
    </w:p>
    <w:p w14:paraId="7EF6C1E7" w14:textId="10592105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2 shows the mean values of PCV, platelet count, WBC and differential counts in male and female HCV-infected patients.</w:t>
      </w:r>
    </w:p>
    <w:p w14:paraId="5B79B80C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were no significant differences in the mean values of PCV, platelet count, WBC, neutrophils, lymphocytes, monocytes, eosinophi</w:t>
      </w:r>
      <w:r>
        <w:rPr>
          <w:rFonts w:ascii="Times New Roman" w:hAnsi="Times New Roman" w:cs="Times New Roman"/>
          <w:bCs/>
          <w:sz w:val="24"/>
          <w:szCs w:val="24"/>
        </w:rPr>
        <w:t>ls and basophils in male HCV patients (42.27 ± 2.63)%, (180.13 ± 50.88)×10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(5.97 ± 1.80)×10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/L, (49.13 ± 4.69)%, (40.93 ± 4.99)%, (6.33 ± 1.76)%, (2.80 ± 1.08)% and (0.80 ± 0.41)%, respectively, compared to female HCV patients (40.47 ± 3.40)%, (201.67 </w:t>
      </w:r>
      <w:r>
        <w:rPr>
          <w:rFonts w:ascii="Times New Roman" w:hAnsi="Times New Roman" w:cs="Times New Roman"/>
          <w:bCs/>
          <w:sz w:val="24"/>
          <w:szCs w:val="24"/>
        </w:rPr>
        <w:t>± 64.88)×10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(5.95 ± 1.75)×10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(51.47 ± 5.97)%, (39.67 ± 6.20)%, (5.53 ± 1.96)%, (2.53 ± 0.74)% and (0.80 ± 0.68)% (t = 1.62, p = 0.116; t = –1.01, p = 0.320; t = 0.04, p = 0.967; t = –1.19, p = 0.244; t = 0.62, p = 0.542; t = 1.18, p = 0.249; t = 0.</w:t>
      </w:r>
      <w:r>
        <w:rPr>
          <w:rFonts w:ascii="Times New Roman" w:hAnsi="Times New Roman" w:cs="Times New Roman"/>
          <w:bCs/>
          <w:sz w:val="24"/>
          <w:szCs w:val="24"/>
        </w:rPr>
        <w:t>79, p = 0.438; t = 0.00, p = 1.000).</w:t>
      </w:r>
    </w:p>
    <w:p w14:paraId="67968B62" w14:textId="46548652" w:rsidR="00806170" w:rsidRDefault="008F42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Table.3: Pearson Correlation of Lymphocyte Percentage with Other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Haematological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Parameters in HCV Patients.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8"/>
        <w:gridCol w:w="815"/>
        <w:gridCol w:w="2328"/>
        <w:gridCol w:w="2409"/>
      </w:tblGrid>
      <w:tr w:rsidR="00806170" w14:paraId="48543DC1" w14:textId="77777777">
        <w:tc>
          <w:tcPr>
            <w:tcW w:w="1949" w:type="pct"/>
          </w:tcPr>
          <w:p w14:paraId="156E2571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</w:t>
            </w:r>
          </w:p>
        </w:tc>
        <w:tc>
          <w:tcPr>
            <w:tcW w:w="418" w:type="pct"/>
          </w:tcPr>
          <w:p w14:paraId="3D9F16AD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94" w:type="pct"/>
          </w:tcPr>
          <w:p w14:paraId="1B35AE49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r-value</w:t>
            </w:r>
            <w:proofErr w:type="spellEnd"/>
          </w:p>
        </w:tc>
        <w:tc>
          <w:tcPr>
            <w:tcW w:w="1236" w:type="pct"/>
          </w:tcPr>
          <w:p w14:paraId="756BEC46" w14:textId="77777777" w:rsidR="00806170" w:rsidRDefault="008F4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806170" w14:paraId="16FE5694" w14:textId="77777777">
        <w:tc>
          <w:tcPr>
            <w:tcW w:w="1949" w:type="pct"/>
          </w:tcPr>
          <w:p w14:paraId="62D1E68F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PCV</w:t>
            </w:r>
          </w:p>
        </w:tc>
        <w:tc>
          <w:tcPr>
            <w:tcW w:w="418" w:type="pct"/>
          </w:tcPr>
          <w:p w14:paraId="2986E6C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14:paraId="3750FAB3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  <w:tc>
          <w:tcPr>
            <w:tcW w:w="1236" w:type="pct"/>
          </w:tcPr>
          <w:p w14:paraId="38AE6FA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0.994</w:t>
            </w:r>
          </w:p>
        </w:tc>
      </w:tr>
      <w:tr w:rsidR="00806170" w14:paraId="33D36CA5" w14:textId="77777777">
        <w:tc>
          <w:tcPr>
            <w:tcW w:w="1949" w:type="pct"/>
          </w:tcPr>
          <w:p w14:paraId="364C1760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Platelet</w:t>
            </w:r>
          </w:p>
        </w:tc>
        <w:tc>
          <w:tcPr>
            <w:tcW w:w="418" w:type="pct"/>
          </w:tcPr>
          <w:p w14:paraId="20298CC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14:paraId="750A6C08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–0.209</w:t>
            </w:r>
          </w:p>
        </w:tc>
        <w:tc>
          <w:tcPr>
            <w:tcW w:w="1236" w:type="pct"/>
          </w:tcPr>
          <w:p w14:paraId="2BDF628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0.267</w:t>
            </w:r>
          </w:p>
        </w:tc>
      </w:tr>
      <w:tr w:rsidR="00806170" w14:paraId="0B3FCAF1" w14:textId="77777777">
        <w:tc>
          <w:tcPr>
            <w:tcW w:w="1949" w:type="pct"/>
          </w:tcPr>
          <w:p w14:paraId="50FBD81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WBC</w:t>
            </w:r>
          </w:p>
        </w:tc>
        <w:tc>
          <w:tcPr>
            <w:tcW w:w="418" w:type="pct"/>
          </w:tcPr>
          <w:p w14:paraId="689E0EF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14:paraId="12B142C6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–0.014</w:t>
            </w:r>
          </w:p>
        </w:tc>
        <w:tc>
          <w:tcPr>
            <w:tcW w:w="1236" w:type="pct"/>
          </w:tcPr>
          <w:p w14:paraId="355B510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0.943</w:t>
            </w:r>
          </w:p>
        </w:tc>
      </w:tr>
      <w:tr w:rsidR="00806170" w14:paraId="1457321B" w14:textId="77777777">
        <w:tc>
          <w:tcPr>
            <w:tcW w:w="1949" w:type="pct"/>
          </w:tcPr>
          <w:p w14:paraId="295933C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Neutrophils</w:t>
            </w:r>
          </w:p>
        </w:tc>
        <w:tc>
          <w:tcPr>
            <w:tcW w:w="418" w:type="pct"/>
          </w:tcPr>
          <w:p w14:paraId="5E2423E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14:paraId="2B82EB4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–0.912</w:t>
            </w:r>
          </w:p>
        </w:tc>
        <w:tc>
          <w:tcPr>
            <w:tcW w:w="1236" w:type="pct"/>
          </w:tcPr>
          <w:p w14:paraId="5888D4C3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&lt;0.001*</w:t>
            </w:r>
          </w:p>
        </w:tc>
      </w:tr>
      <w:tr w:rsidR="00806170" w14:paraId="2F61CDBD" w14:textId="77777777">
        <w:tc>
          <w:tcPr>
            <w:tcW w:w="1949" w:type="pct"/>
          </w:tcPr>
          <w:p w14:paraId="7029F38C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Monocytes</w:t>
            </w:r>
          </w:p>
        </w:tc>
        <w:tc>
          <w:tcPr>
            <w:tcW w:w="418" w:type="pct"/>
          </w:tcPr>
          <w:p w14:paraId="1471357A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14:paraId="561D474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–0.051</w:t>
            </w:r>
          </w:p>
        </w:tc>
        <w:tc>
          <w:tcPr>
            <w:tcW w:w="1236" w:type="pct"/>
          </w:tcPr>
          <w:p w14:paraId="3C449DAD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0.789</w:t>
            </w:r>
          </w:p>
        </w:tc>
      </w:tr>
      <w:tr w:rsidR="00806170" w14:paraId="0EB16F1F" w14:textId="77777777">
        <w:tc>
          <w:tcPr>
            <w:tcW w:w="1949" w:type="pct"/>
          </w:tcPr>
          <w:p w14:paraId="561EA7F9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Eosinophils</w:t>
            </w:r>
          </w:p>
        </w:tc>
        <w:tc>
          <w:tcPr>
            <w:tcW w:w="418" w:type="pct"/>
          </w:tcPr>
          <w:p w14:paraId="711ECCE7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14:paraId="45A7A4C4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–0.316</w:t>
            </w:r>
          </w:p>
        </w:tc>
        <w:tc>
          <w:tcPr>
            <w:tcW w:w="1236" w:type="pct"/>
          </w:tcPr>
          <w:p w14:paraId="4B68CDF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0.089</w:t>
            </w:r>
          </w:p>
        </w:tc>
      </w:tr>
      <w:tr w:rsidR="00806170" w14:paraId="3F58002C" w14:textId="77777777">
        <w:tc>
          <w:tcPr>
            <w:tcW w:w="1949" w:type="pct"/>
          </w:tcPr>
          <w:p w14:paraId="4800A033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Basophils</w:t>
            </w:r>
          </w:p>
        </w:tc>
        <w:tc>
          <w:tcPr>
            <w:tcW w:w="418" w:type="pct"/>
          </w:tcPr>
          <w:p w14:paraId="5B0E973F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14:paraId="59CD3A1B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–0.452</w:t>
            </w:r>
          </w:p>
        </w:tc>
        <w:tc>
          <w:tcPr>
            <w:tcW w:w="1236" w:type="pct"/>
          </w:tcPr>
          <w:p w14:paraId="313AFF11" w14:textId="77777777" w:rsidR="00806170" w:rsidRDefault="008F422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0.012*</w:t>
            </w:r>
          </w:p>
        </w:tc>
      </w:tr>
    </w:tbl>
    <w:p w14:paraId="2E0B7F63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KEY:</w:t>
      </w:r>
    </w:p>
    <w:p w14:paraId="0A22C5EB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Significant p-value (p ≤ 0.05).</w:t>
      </w:r>
    </w:p>
    <w:p w14:paraId="730F90C0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 = sample size.</w:t>
      </w:r>
    </w:p>
    <w:p w14:paraId="3731016C" w14:textId="77777777" w:rsidR="00806170" w:rsidRDefault="008F422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PCV = Packed Cell Volume.</w:t>
      </w:r>
    </w:p>
    <w:p w14:paraId="6E1066D2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WBC = White Blood Cell count.</w:t>
      </w:r>
    </w:p>
    <w:p w14:paraId="06457749" w14:textId="33B1D8E6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Table.3 shows the Pearson correlation coefficients of lymphocyte percentage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with  PCV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platelet, WBC and differential counts in HCV-infected patients.</w:t>
      </w:r>
    </w:p>
    <w:p w14:paraId="31FDDBB3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was a negative significant correlation of lymphocyte percentage with neutrophil percentage (r = –0.</w:t>
      </w:r>
      <w:r>
        <w:rPr>
          <w:rFonts w:ascii="Times New Roman" w:hAnsi="Times New Roman" w:cs="Times New Roman"/>
          <w:bCs/>
          <w:sz w:val="24"/>
          <w:szCs w:val="24"/>
        </w:rPr>
        <w:t xml:space="preserve">912, p &lt; 0.001) and basophil percentage (r = –0.452, p = 0.012) in HCV-infected patients. </w:t>
      </w:r>
    </w:p>
    <w:p w14:paraId="72E233FF" w14:textId="77777777" w:rsidR="00806170" w:rsidRDefault="008F422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was no significant correlation of lymphocyte percentage with PCV (r = 0.001, p = 0.994), platelet count (r = –0.209, p = 0.267), total WBC (r = –0.014, p = 0.9</w:t>
      </w:r>
      <w:r>
        <w:rPr>
          <w:rFonts w:ascii="Times New Roman" w:hAnsi="Times New Roman" w:cs="Times New Roman"/>
          <w:bCs/>
          <w:sz w:val="24"/>
          <w:szCs w:val="24"/>
        </w:rPr>
        <w:t>43), monocytes (r = –0.051, p = 0.789) and eosinophils (r = –0.316, p = 0.089) in HCV-infected patients.</w:t>
      </w:r>
    </w:p>
    <w:p w14:paraId="6AF1B2E6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4.0 INTERPRETATION OF RESULTS</w:t>
      </w:r>
    </w:p>
    <w:p w14:paraId="556905BC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results demonstrate clear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alterations in HCV-infected individuals compared with healthy controls. These findings provide insight into the systemic effects of chronic viral infection beyond hepatic pathology.</w:t>
      </w:r>
    </w:p>
    <w:p w14:paraId="390DD198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5.0 DISCUSSION</w:t>
      </w:r>
    </w:p>
    <w:p w14:paraId="622E74F4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study assessed selected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patients infected with Hepatitis C virus in Owerri, Nigeria, and compared them with apparently healthy controls. The findings demonstrated significant alterations in several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indices among HCV-infected individuals, highlighting the systemic i</w:t>
      </w:r>
      <w:r>
        <w:rPr>
          <w:rFonts w:ascii="Times New Roman" w:eastAsia="Times New Roman" w:hAnsi="Times New Roman" w:cs="Times New Roman"/>
          <w:sz w:val="24"/>
          <w:szCs w:val="24"/>
        </w:rPr>
        <w:t>mpact of chronic HCV infection.</w:t>
      </w:r>
    </w:p>
    <w:p w14:paraId="2B49B272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significantly reduced PCV observed among HCV-infected patients suggests the presence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well-recognized complication of chronic viral infections.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HCV infection 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multifactorial and may result from </w:t>
      </w:r>
      <w:r>
        <w:rPr>
          <w:rFonts w:ascii="Times New Roman" w:eastAsia="Times New Roman" w:hAnsi="Times New Roman" w:cs="Times New Roman"/>
          <w:sz w:val="24"/>
          <w:szCs w:val="24"/>
        </w:rPr>
        <w:t>chronic inflammation, impaired erythropoietin synthesis, bone marrow suppression, nutritional deficiencies, and immune-mediated haemolysis¹³. Chronic inflammation associated with HCV leads to increased hepcidin production, which disrupts iron metabolism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contributes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chronic disease. The findings of this study are consistent with reports by Audu et al.¹⁴ and Kuna et al.¹⁵, who documented significantly reduced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haematocrit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levels among HCV-infected individuals. However,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Nwokediuko¹⁶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reported no significant difference, possibly reflecting differences in disease stage, sample size, and population characteristics.</w:t>
      </w:r>
    </w:p>
    <w:p w14:paraId="454F9847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Thrombocytopenia observed among HCV patients in this study corroborates previous reports identifying platelet reduction 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hallmark of chronic HCV infection⁷. Reduced hepatic synthesis of thrombopoietin, splenic sequestration due to portal hypertension, immune-mediated platelet destruction, and bone marrow suppression are key mechanisms implicated in HCV-associated thrombocyt</w:t>
      </w:r>
      <w:r>
        <w:rPr>
          <w:rFonts w:ascii="Times New Roman" w:eastAsia="Times New Roman" w:hAnsi="Times New Roman" w:cs="Times New Roman"/>
          <w:sz w:val="24"/>
          <w:szCs w:val="24"/>
        </w:rPr>
        <w:t>openia¹⁷. Similar findings have been reported in Nigerian and international studies¹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⁸,¹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⁹. Clinically, thrombocytopenia is significant as it increases the risk of bleeding and may limit eligibility for antiviral therapy or invasive procedures.</w:t>
      </w:r>
    </w:p>
    <w:p w14:paraId="1991C5F8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observed </w:t>
      </w:r>
      <w:r>
        <w:rPr>
          <w:rFonts w:ascii="Times New Roman" w:eastAsia="Times New Roman" w:hAnsi="Times New Roman" w:cs="Times New Roman"/>
          <w:sz w:val="24"/>
          <w:szCs w:val="24"/>
        </w:rPr>
        <w:t>reduction in total WBC and neutrophil counts suggests leukopenia and neutropenia among HCV-infected patients. These abnormalities may result from hypersplenism, bone marrow suppression, or immune-mediated destruction of circulating leukocytes²⁰. In contras</w:t>
      </w:r>
      <w:r>
        <w:rPr>
          <w:rFonts w:ascii="Times New Roman" w:eastAsia="Times New Roman" w:hAnsi="Times New Roman" w:cs="Times New Roman"/>
          <w:sz w:val="24"/>
          <w:szCs w:val="24"/>
        </w:rPr>
        <w:t>t, the significantly elevated lymphocyte percentage reflects chronic immune stimulation and the lymphotropic nature of HCV²¹. Persistent antigenic stimulation by HCV promotes lymphocyte activation and expansion, which may contribute to immune-mediated comp</w:t>
      </w:r>
      <w:r>
        <w:rPr>
          <w:rFonts w:ascii="Times New Roman" w:eastAsia="Times New Roman" w:hAnsi="Times New Roman" w:cs="Times New Roman"/>
          <w:sz w:val="24"/>
          <w:szCs w:val="24"/>
        </w:rPr>
        <w:t>lications.</w:t>
      </w:r>
    </w:p>
    <w:p w14:paraId="08647D56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strong negative correlation between lymphocyte and neutrophil percentages observed in this study underscores the immune dysregulation associated with chronic HCV infection. Similar observations have been reported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Shweikeh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al.²² and oth</w:t>
      </w:r>
      <w:r>
        <w:rPr>
          <w:rFonts w:ascii="Times New Roman" w:eastAsia="Times New Roman" w:hAnsi="Times New Roman" w:cs="Times New Roman"/>
          <w:sz w:val="24"/>
          <w:szCs w:val="24"/>
        </w:rPr>
        <w:t>er investigators, highlighting alterations in innate and adaptive immune responses during chronic viral infections.</w:t>
      </w:r>
    </w:p>
    <w:p w14:paraId="1228EF3D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absence of significant sex-related differences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 among HCV-infected patients suggests that these alterations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occur independently of gender. This finding aligns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with earlier studies indicating that while disease progression may differ by sex,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abnormalities are largely comparable²³.</w:t>
      </w:r>
    </w:p>
    <w:p w14:paraId="476EA3F8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HCV Infection</w:t>
      </w:r>
    </w:p>
    <w:p w14:paraId="7A952C65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Reduced PCV indicates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common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complication of chronic viral infections. Mechanisms include chronic inflammation, impaired erythropoietin production, nutritional deficiencies and immune-mediated haemolysis¹³. Increased hepcidin production disrupts iron metabolism and contributes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sz w:val="24"/>
          <w:szCs w:val="24"/>
        </w:rPr>
        <w:t>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chronic disease.</w:t>
      </w:r>
    </w:p>
    <w:p w14:paraId="47D50D96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Findings align with studies by Audu et al.¹⁴ and Kuna et al.¹⁵ but differ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Nwokediuko¹⁶, likely due to differences in population characteristics.</w:t>
      </w:r>
    </w:p>
    <w:p w14:paraId="537706BD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 Thrombocytopenia</w:t>
      </w:r>
    </w:p>
    <w:p w14:paraId="184A52EF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Reduced platelet counts observed corroborate prev</w:t>
      </w:r>
      <w:r>
        <w:rPr>
          <w:rFonts w:ascii="Times New Roman" w:eastAsia="Times New Roman" w:hAnsi="Times New Roman" w:cs="Times New Roman"/>
          <w:sz w:val="24"/>
          <w:szCs w:val="24"/>
        </w:rPr>
        <w:t>ious reports identifying thrombocytopenia as a hallmark of chronic HCV infection⁷. Mechanisms include:</w:t>
      </w:r>
    </w:p>
    <w:p w14:paraId="765C5F3B" w14:textId="77777777" w:rsidR="00806170" w:rsidRDefault="008F422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Reduced thrombopoietin synthesis¹⁷</w:t>
      </w:r>
    </w:p>
    <w:p w14:paraId="50BE546B" w14:textId="77777777" w:rsidR="00806170" w:rsidRDefault="008F422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Splenic sequestration¹⁸</w:t>
      </w:r>
    </w:p>
    <w:p w14:paraId="30B95B9F" w14:textId="77777777" w:rsidR="00806170" w:rsidRDefault="008F422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Immune-mediated destruction¹⁹</w:t>
      </w:r>
    </w:p>
    <w:p w14:paraId="51FCB8EE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Clinically, thrombocytopenia increases bleeding risk and affects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treatment eligibility.</w:t>
      </w:r>
    </w:p>
    <w:p w14:paraId="674F57F4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5.3 Leukopenia and Neutropenia</w:t>
      </w:r>
    </w:p>
    <w:p w14:paraId="69EE0F25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Reduced WBC and neutrophil counts indicate immune suppression. Mechanisms include hypersplenism and marrow suppression²⁰.</w:t>
      </w:r>
    </w:p>
    <w:p w14:paraId="6CC7E0AC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5.4 Lymphocytosis and Immune Activation</w:t>
      </w:r>
    </w:p>
    <w:p w14:paraId="4B030558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Elevated lymphocyte percentage reflects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chronic antigenic stimulation²¹. Persistent immune activation may contribute to autoimmune and lymphoproliferative complications.</w:t>
      </w:r>
    </w:p>
    <w:p w14:paraId="4DF0D94F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5.5 Correlation Findings</w:t>
      </w:r>
    </w:p>
    <w:p w14:paraId="2BCD8B76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Strong negative correlation between lymphocytes and neutrophils reflects immune dysregulation in chr</w:t>
      </w:r>
      <w:r>
        <w:rPr>
          <w:rFonts w:ascii="Times New Roman" w:eastAsia="Times New Roman" w:hAnsi="Times New Roman" w:cs="Times New Roman"/>
          <w:sz w:val="24"/>
          <w:szCs w:val="24"/>
        </w:rPr>
        <w:t>onic viral infections²².</w:t>
      </w:r>
    </w:p>
    <w:p w14:paraId="076BE697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5.6 Gender Comparison</w:t>
      </w:r>
    </w:p>
    <w:p w14:paraId="5179F596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Absence of significant gender differences agrees with previous research²³.</w:t>
      </w:r>
    </w:p>
    <w:p w14:paraId="4ECF6750" w14:textId="77777777" w:rsidR="00806170" w:rsidRDefault="008F422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5.7 Clinical Implications</w:t>
      </w:r>
    </w:p>
    <w:p w14:paraId="05BB5084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monitoring is essential for:</w:t>
      </w:r>
    </w:p>
    <w:p w14:paraId="7E0C935E" w14:textId="77777777" w:rsidR="00806170" w:rsidRDefault="008F422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 complication detection</w:t>
      </w:r>
    </w:p>
    <w:p w14:paraId="437E7EED" w14:textId="77777777" w:rsidR="00806170" w:rsidRDefault="008F422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Therapy planning</w:t>
      </w:r>
    </w:p>
    <w:p w14:paraId="66D814A6" w14:textId="77777777" w:rsidR="00806170" w:rsidRDefault="008F422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Prognostic </w:t>
      </w:r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</w:p>
    <w:p w14:paraId="0A9D1A3F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6.0 PUBLIC HEALTH AND CLINICAL IMPLICATIONS</w:t>
      </w:r>
    </w:p>
    <w:p w14:paraId="4804929E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Routine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monitoring should be incorporated into HCV management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Integration into screening protocols could improve patient outcomes.</w:t>
      </w:r>
    </w:p>
    <w:p w14:paraId="75BFEAB6" w14:textId="4934597E" w:rsidR="00806170" w:rsidRDefault="00056B2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7.0 CONCLUSION</w:t>
      </w:r>
    </w:p>
    <w:p w14:paraId="5E9C422D" w14:textId="77777777" w:rsidR="00806170" w:rsidRDefault="008F42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HCV infection is associated with significant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abnormalities including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thrombocytopenia, leukopenia, neutropenia and lymphocytosis. Routine monitoring is essential for improved patient management.</w:t>
      </w:r>
    </w:p>
    <w:p w14:paraId="6A408F3B" w14:textId="3AB344B7" w:rsidR="00056B20" w:rsidRDefault="00056B20" w:rsidP="00056B2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8.0 STRENGTHS OF THE STUDY</w:t>
      </w:r>
    </w:p>
    <w:p w14:paraId="49C3C910" w14:textId="77777777" w:rsidR="00056B20" w:rsidRDefault="00056B20" w:rsidP="00056B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Case–control design</w:t>
      </w:r>
    </w:p>
    <w:p w14:paraId="77054399" w14:textId="77777777" w:rsidR="00056B20" w:rsidRDefault="00056B20" w:rsidP="00056B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Age/sex matching</w:t>
      </w:r>
    </w:p>
    <w:p w14:paraId="1FFF4E27" w14:textId="77777777" w:rsidR="00056B20" w:rsidRDefault="00056B20" w:rsidP="00056B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Standardized laboratory techniques</w:t>
      </w:r>
    </w:p>
    <w:p w14:paraId="2065F487" w14:textId="20326088" w:rsidR="00056B20" w:rsidRDefault="00056B20" w:rsidP="00056B2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9.0 LIMITATIONS OF THE STUDY</w:t>
      </w:r>
    </w:p>
    <w:p w14:paraId="0262A807" w14:textId="77777777" w:rsidR="00056B20" w:rsidRDefault="00056B20" w:rsidP="00056B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Small sample size</w:t>
      </w:r>
    </w:p>
    <w:p w14:paraId="1DD4C4E0" w14:textId="77777777" w:rsidR="00056B20" w:rsidRDefault="00056B20" w:rsidP="00056B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Lack of viral load assessment</w:t>
      </w:r>
    </w:p>
    <w:p w14:paraId="06917EED" w14:textId="77777777" w:rsidR="00056B20" w:rsidRDefault="00056B20" w:rsidP="00056B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liver function tests</w:t>
      </w:r>
    </w:p>
    <w:p w14:paraId="16BF0166" w14:textId="77777777" w:rsidR="00056B20" w:rsidRDefault="00056B20" w:rsidP="00056B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Future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studies are recommended.</w:t>
      </w:r>
    </w:p>
    <w:p w14:paraId="33449CCF" w14:textId="77777777" w:rsidR="00056B20" w:rsidRDefault="00056B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38E24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10.0 RECOMMENDATIONS</w:t>
      </w:r>
    </w:p>
    <w:p w14:paraId="3C90D418" w14:textId="77777777" w:rsidR="00806170" w:rsidRDefault="008F422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Incorporate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screening in HCV care</w:t>
      </w:r>
    </w:p>
    <w:p w14:paraId="1B256E78" w14:textId="77777777" w:rsidR="00806170" w:rsidRDefault="008F422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Conduct larger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studies</w:t>
      </w:r>
    </w:p>
    <w:p w14:paraId="060BAB98" w14:textId="77777777" w:rsidR="00806170" w:rsidRDefault="008F422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virological and biochemical parameters</w:t>
      </w:r>
    </w:p>
    <w:p w14:paraId="08C289F7" w14:textId="77777777" w:rsidR="00806170" w:rsidRDefault="008F42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REFERENCES</w:t>
      </w:r>
    </w:p>
    <w:p w14:paraId="2A336E7F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Health Organization. Global hepatitis report. WHO; 2018.</w:t>
      </w:r>
    </w:p>
    <w:p w14:paraId="1222C698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Olayinka AT, et al. Hepatitis C in Nigeria: epidemiology and control. Niger J Clin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</w:t>
      </w:r>
      <w:proofErr w:type="spellEnd"/>
      <w:r>
        <w:rPr>
          <w:rFonts w:ascii="Times New Roman" w:hAnsi="Times New Roman" w:cs="Times New Roman"/>
          <w:sz w:val="24"/>
          <w:szCs w:val="24"/>
        </w:rPr>
        <w:t>. 2019;22(3):347–353.</w:t>
      </w:r>
    </w:p>
    <w:p w14:paraId="5B29817F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Zignego AL, et al. Hepatitis C virus infection and lymphoproliferative disorders. Clin Dev Immunol. </w:t>
      </w:r>
      <w:proofErr w:type="gramStart"/>
      <w:r>
        <w:rPr>
          <w:rFonts w:ascii="Times New Roman" w:hAnsi="Times New Roman" w:cs="Times New Roman"/>
          <w:sz w:val="24"/>
          <w:szCs w:val="24"/>
        </w:rPr>
        <w:t>2012;2012:1</w:t>
      </w:r>
      <w:proofErr w:type="gramEnd"/>
      <w:r>
        <w:rPr>
          <w:rFonts w:ascii="Times New Roman" w:hAnsi="Times New Roman" w:cs="Times New Roman"/>
          <w:sz w:val="24"/>
          <w:szCs w:val="24"/>
        </w:rPr>
        <w:t>–8.</w:t>
      </w:r>
    </w:p>
    <w:p w14:paraId="6259BB87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Westbrook RH, </w:t>
      </w:r>
      <w:proofErr w:type="spellStart"/>
      <w:r>
        <w:rPr>
          <w:rFonts w:ascii="Times New Roman" w:hAnsi="Times New Roman" w:cs="Times New Roman"/>
          <w:sz w:val="24"/>
          <w:szCs w:val="24"/>
        </w:rPr>
        <w:t>Dusheiko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Natur</w:t>
      </w:r>
      <w:r>
        <w:rPr>
          <w:rFonts w:ascii="Times New Roman" w:hAnsi="Times New Roman" w:cs="Times New Roman"/>
          <w:sz w:val="24"/>
          <w:szCs w:val="24"/>
        </w:rPr>
        <w:t>al history of hepatitis C. J Hepatol. 2014;61(1</w:t>
      </w:r>
      <w:proofErr w:type="gramStart"/>
      <w:r>
        <w:rPr>
          <w:rFonts w:ascii="Times New Roman" w:hAnsi="Times New Roman" w:cs="Times New Roman"/>
          <w:sz w:val="24"/>
          <w:szCs w:val="24"/>
        </w:rPr>
        <w:t>):S</w:t>
      </w:r>
      <w:proofErr w:type="gramEnd"/>
      <w:r>
        <w:rPr>
          <w:rFonts w:ascii="Times New Roman" w:hAnsi="Times New Roman" w:cs="Times New Roman"/>
          <w:sz w:val="24"/>
          <w:szCs w:val="24"/>
        </w:rPr>
        <w:t>58–S68.</w:t>
      </w:r>
    </w:p>
    <w:p w14:paraId="277C1471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Cacoub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et al. Extrahepatic manifestations of chronic hepatitis C virus infection. Ther Adv Infect Dis. 2016;3(1):3–14.</w:t>
      </w:r>
    </w:p>
    <w:p w14:paraId="5E290A31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Giannini E, et al. Thrombocytopenia in chronic liver disease. J Hepatol. 201</w:t>
      </w:r>
      <w:r>
        <w:rPr>
          <w:rFonts w:ascii="Times New Roman" w:hAnsi="Times New Roman" w:cs="Times New Roman"/>
          <w:sz w:val="24"/>
          <w:szCs w:val="24"/>
        </w:rPr>
        <w:t>0;53(3):506–516.</w:t>
      </w:r>
    </w:p>
    <w:p w14:paraId="6778DD27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Gallo P, et al. Mechanisms of thrombocytopenia in HCV. Hematology. 2022;27(1):1–9.</w:t>
      </w:r>
    </w:p>
    <w:p w14:paraId="22C91BD4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Saifan C, et al. Anemia in chronic liver disease. Clin Liver Dis. 2013;17(2):399–413.</w:t>
      </w:r>
    </w:p>
    <w:p w14:paraId="183D54C2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Population Commission (NPC). Population statistics. Abuja; </w:t>
      </w:r>
      <w:r>
        <w:rPr>
          <w:rFonts w:ascii="Times New Roman" w:hAnsi="Times New Roman" w:cs="Times New Roman"/>
          <w:sz w:val="24"/>
          <w:szCs w:val="24"/>
        </w:rPr>
        <w:t>2016.</w:t>
      </w:r>
    </w:p>
    <w:p w14:paraId="03E9478F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Wallerstein RO. Laboratory evaluation of anemia. Clin Haematol. </w:t>
      </w:r>
      <w:proofErr w:type="gramStart"/>
      <w:r>
        <w:rPr>
          <w:rFonts w:ascii="Times New Roman" w:hAnsi="Times New Roman" w:cs="Times New Roman"/>
          <w:sz w:val="24"/>
          <w:szCs w:val="24"/>
        </w:rPr>
        <w:t>1987;16:635</w:t>
      </w:r>
      <w:proofErr w:type="gramEnd"/>
      <w:r>
        <w:rPr>
          <w:rFonts w:ascii="Times New Roman" w:hAnsi="Times New Roman" w:cs="Times New Roman"/>
          <w:sz w:val="24"/>
          <w:szCs w:val="24"/>
        </w:rPr>
        <w:t>–649.</w:t>
      </w:r>
    </w:p>
    <w:p w14:paraId="276AEB74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Salignac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et al. Manual platelet counting methods. Int J Lab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</w:t>
      </w:r>
      <w:proofErr w:type="spellEnd"/>
      <w:r>
        <w:rPr>
          <w:rFonts w:ascii="Times New Roman" w:hAnsi="Times New Roman" w:cs="Times New Roman"/>
          <w:sz w:val="24"/>
          <w:szCs w:val="24"/>
        </w:rPr>
        <w:t>. 2013;35(1):27–34.</w:t>
      </w:r>
    </w:p>
    <w:p w14:paraId="4BD784F3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Chung M, et al. White blood cell counting techniques. Lab Med. 2015;46(3</w:t>
      </w:r>
      <w:proofErr w:type="gramStart"/>
      <w:r>
        <w:rPr>
          <w:rFonts w:ascii="Times New Roman" w:hAnsi="Times New Roman" w:cs="Times New Roman"/>
          <w:sz w:val="24"/>
          <w:szCs w:val="24"/>
        </w:rPr>
        <w:t>):e</w:t>
      </w:r>
      <w:proofErr w:type="gramEnd"/>
      <w:r>
        <w:rPr>
          <w:rFonts w:ascii="Times New Roman" w:hAnsi="Times New Roman" w:cs="Times New Roman"/>
          <w:sz w:val="24"/>
          <w:szCs w:val="24"/>
        </w:rPr>
        <w:t>23–e</w:t>
      </w:r>
      <w:r>
        <w:rPr>
          <w:rFonts w:ascii="Times New Roman" w:hAnsi="Times New Roman" w:cs="Times New Roman"/>
          <w:sz w:val="24"/>
          <w:szCs w:val="24"/>
        </w:rPr>
        <w:t>28.</w:t>
      </w:r>
    </w:p>
    <w:p w14:paraId="261446E1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D. Hematological manifestations of chronic hepatitis C. Clin Liver Dis. 2006;10(3):661–670.</w:t>
      </w:r>
    </w:p>
    <w:p w14:paraId="72EFEF17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Audu RA, et al. Hematological changes in HCV infection. </w:t>
      </w:r>
      <w:proofErr w:type="spellStart"/>
      <w:r>
        <w:rPr>
          <w:rFonts w:ascii="Times New Roman" w:hAnsi="Times New Roman" w:cs="Times New Roman"/>
          <w:sz w:val="24"/>
          <w:szCs w:val="24"/>
        </w:rPr>
        <w:t>Afr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Sci. 2020;49(2):145–152.</w:t>
      </w:r>
    </w:p>
    <w:p w14:paraId="79B43EE3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 L, et al. Hepatitis C and anemia. World J Gastroentero</w:t>
      </w:r>
      <w:r>
        <w:rPr>
          <w:rFonts w:ascii="Times New Roman" w:hAnsi="Times New Roman" w:cs="Times New Roman"/>
          <w:sz w:val="24"/>
          <w:szCs w:val="24"/>
        </w:rPr>
        <w:t>l. 2019;25(30):4170–4181.</w:t>
      </w:r>
    </w:p>
    <w:p w14:paraId="12DD7C49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>
        <w:rPr>
          <w:rFonts w:ascii="Times New Roman" w:hAnsi="Times New Roman" w:cs="Times New Roman"/>
          <w:sz w:val="24"/>
          <w:szCs w:val="24"/>
        </w:rPr>
        <w:t>Nwokediuko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Hematological profile of HCV patients. Niger J Clin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</w:t>
      </w:r>
      <w:proofErr w:type="spellEnd"/>
      <w:r>
        <w:rPr>
          <w:rFonts w:ascii="Times New Roman" w:hAnsi="Times New Roman" w:cs="Times New Roman"/>
          <w:sz w:val="24"/>
          <w:szCs w:val="24"/>
        </w:rPr>
        <w:t>. 2011;14(4):442–445.</w:t>
      </w:r>
    </w:p>
    <w:p w14:paraId="55F5ACB3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Tremeau-Bravard A, et al. Thrombocytopenia in chronic hepatitis. J Viral Hepat. 2012;19(10</w:t>
      </w:r>
      <w:proofErr w:type="gramStart"/>
      <w:r>
        <w:rPr>
          <w:rFonts w:ascii="Times New Roman" w:hAnsi="Times New Roman" w:cs="Times New Roman"/>
          <w:sz w:val="24"/>
          <w:szCs w:val="24"/>
        </w:rPr>
        <w:t>):e</w:t>
      </w:r>
      <w:proofErr w:type="gramEnd"/>
      <w:r>
        <w:rPr>
          <w:rFonts w:ascii="Times New Roman" w:hAnsi="Times New Roman" w:cs="Times New Roman"/>
          <w:sz w:val="24"/>
          <w:szCs w:val="24"/>
        </w:rPr>
        <w:t>230–e239.</w:t>
      </w:r>
    </w:p>
    <w:p w14:paraId="4CEF2100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Okonkwo UC, et al. Plate</w:t>
      </w:r>
      <w:r>
        <w:rPr>
          <w:rFonts w:ascii="Times New Roman" w:hAnsi="Times New Roman" w:cs="Times New Roman"/>
          <w:sz w:val="24"/>
          <w:szCs w:val="24"/>
        </w:rPr>
        <w:t>let abnormalities in Nigerian HCV patients. Niger J Med. 2017;26(1):45–50.</w:t>
      </w:r>
    </w:p>
    <w:p w14:paraId="0CD1CBE7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Bagheri H, et al. Leukocyte changes in hepatitis C.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Mon. 2024;24(2</w:t>
      </w:r>
      <w:proofErr w:type="gramStart"/>
      <w:r>
        <w:rPr>
          <w:rFonts w:ascii="Times New Roman" w:hAnsi="Times New Roman" w:cs="Times New Roman"/>
          <w:sz w:val="24"/>
          <w:szCs w:val="24"/>
        </w:rPr>
        <w:t>):e</w:t>
      </w:r>
      <w:proofErr w:type="gramEnd"/>
      <w:r>
        <w:rPr>
          <w:rFonts w:ascii="Times New Roman" w:hAnsi="Times New Roman" w:cs="Times New Roman"/>
          <w:sz w:val="24"/>
          <w:szCs w:val="24"/>
        </w:rPr>
        <w:t>135678.</w:t>
      </w:r>
    </w:p>
    <w:p w14:paraId="67881AA8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Sheehan M, et al. Neutropenia in chronic viral hepatitis. Clin Infect Dis. 2013;56(8):1232–1239.</w:t>
      </w:r>
    </w:p>
    <w:p w14:paraId="6B7392A5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hweikeh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F, et al. Immune dysregulation in HCV infection. Immunol Rev. 2025;315(1):45–60.</w:t>
      </w:r>
    </w:p>
    <w:p w14:paraId="4BCDA832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Tsai JF, et al. Gender differences in hepatitis C outcomes. J Gastroenterol Hepatol. 2015;30(2):304–310.</w:t>
      </w:r>
    </w:p>
    <w:p w14:paraId="2BBA6181" w14:textId="77777777" w:rsidR="00806170" w:rsidRDefault="008F422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Tsai JF, Jeng JE, Ho MS, Chang WY, Hsieh MY, Lin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ZY,Tsai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JH. Sex differences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clinical outcomes of chronic hepatitis C virus infection. Journal of Gastroenterology and Hepatology. 2015; 30(2): 304-310. doi:10.1111/jgh.12787.</w:t>
      </w:r>
    </w:p>
    <w:p w14:paraId="283B5573" w14:textId="77777777" w:rsidR="00806170" w:rsidRDefault="00806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9F07A" w14:textId="77777777" w:rsidR="00806170" w:rsidRDefault="00806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6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FE39" w14:textId="77777777" w:rsidR="008F422F" w:rsidRDefault="008F422F">
      <w:pPr>
        <w:spacing w:line="240" w:lineRule="auto"/>
      </w:pPr>
      <w:r>
        <w:separator/>
      </w:r>
    </w:p>
  </w:endnote>
  <w:endnote w:type="continuationSeparator" w:id="0">
    <w:p w14:paraId="1FC561E0" w14:textId="77777777" w:rsidR="008F422F" w:rsidRDefault="008F4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4472" w14:textId="77777777" w:rsidR="00B63C61" w:rsidRDefault="00B63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9DC3" w14:textId="77777777" w:rsidR="00B63C61" w:rsidRDefault="00B63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1B551" w14:textId="77777777" w:rsidR="00B63C61" w:rsidRDefault="00B63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B9F08" w14:textId="77777777" w:rsidR="008F422F" w:rsidRDefault="008F422F">
      <w:pPr>
        <w:spacing w:after="0"/>
      </w:pPr>
      <w:r>
        <w:separator/>
      </w:r>
    </w:p>
  </w:footnote>
  <w:footnote w:type="continuationSeparator" w:id="0">
    <w:p w14:paraId="393BE54C" w14:textId="77777777" w:rsidR="008F422F" w:rsidRDefault="008F42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E3DE" w14:textId="3E4B6BD5" w:rsidR="00B63C61" w:rsidRDefault="00B63C61">
    <w:pPr>
      <w:pStyle w:val="Header"/>
    </w:pPr>
    <w:r>
      <w:rPr>
        <w:noProof/>
      </w:rPr>
      <w:pict w14:anchorId="245DD1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651298" o:spid="_x0000_s2053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F375" w14:textId="75A3E07F" w:rsidR="00B63C61" w:rsidRDefault="00B63C61">
    <w:pPr>
      <w:pStyle w:val="Header"/>
    </w:pPr>
    <w:r>
      <w:rPr>
        <w:noProof/>
      </w:rPr>
      <w:pict w14:anchorId="5221CC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651299" o:spid="_x0000_s2054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CCE2" w14:textId="017022BF" w:rsidR="00B63C61" w:rsidRDefault="00B63C61">
    <w:pPr>
      <w:pStyle w:val="Header"/>
    </w:pPr>
    <w:r>
      <w:rPr>
        <w:noProof/>
      </w:rPr>
      <w:pict w14:anchorId="1648C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651297" o:spid="_x0000_s2052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BCF9"/>
    <w:multiLevelType w:val="singleLevel"/>
    <w:tmpl w:val="083BBCF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6C7047"/>
    <w:multiLevelType w:val="multilevel"/>
    <w:tmpl w:val="0B6C70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B2C01"/>
    <w:multiLevelType w:val="multilevel"/>
    <w:tmpl w:val="386B2C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52C8"/>
    <w:multiLevelType w:val="multilevel"/>
    <w:tmpl w:val="40D452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0425A"/>
    <w:multiLevelType w:val="multilevel"/>
    <w:tmpl w:val="4A9042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8406D"/>
    <w:multiLevelType w:val="multilevel"/>
    <w:tmpl w:val="4E5840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61D63"/>
    <w:multiLevelType w:val="multilevel"/>
    <w:tmpl w:val="51961D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95C57"/>
    <w:multiLevelType w:val="multilevel"/>
    <w:tmpl w:val="60195C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24D26"/>
    <w:multiLevelType w:val="multilevel"/>
    <w:tmpl w:val="63D24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02B70"/>
    <w:multiLevelType w:val="multilevel"/>
    <w:tmpl w:val="6A702B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40"/>
    <w:rsid w:val="00056B20"/>
    <w:rsid w:val="00185D06"/>
    <w:rsid w:val="001F713F"/>
    <w:rsid w:val="00362C19"/>
    <w:rsid w:val="00806170"/>
    <w:rsid w:val="00830640"/>
    <w:rsid w:val="008F422F"/>
    <w:rsid w:val="00AF21DD"/>
    <w:rsid w:val="00B63C61"/>
    <w:rsid w:val="00BA3DF0"/>
    <w:rsid w:val="00C763DA"/>
    <w:rsid w:val="00E30C8B"/>
    <w:rsid w:val="00E67876"/>
    <w:rsid w:val="00FD4C9D"/>
    <w:rsid w:val="0C25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9EDA66B"/>
  <w15:docId w15:val="{CB4E9F4A-9E86-4C28-A28D-36501ED4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6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1084</cp:lastModifiedBy>
  <cp:revision>4</cp:revision>
  <dcterms:created xsi:type="dcterms:W3CDTF">2026-03-02T19:50:00Z</dcterms:created>
  <dcterms:modified xsi:type="dcterms:W3CDTF">2026-03-04T09:54:00Z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7BD32F563D874A4F8A7042F4141204E1_12</vt:lpwstr>
  </property>
</Properties>
</file>