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0F9AF403" w:rsidR="000F2AFD" w:rsidRPr="00067224" w:rsidRDefault="00A2611D" w:rsidP="00CB119E">
            <w:pPr>
              <w:rPr>
                <w:b/>
                <w:bCs/>
                <w:color w:val="0000FF"/>
                <w:sz w:val="20"/>
                <w:szCs w:val="20"/>
                <w:lang w:val="en-GB"/>
              </w:rPr>
            </w:pPr>
            <w:hyperlink r:id="rId7" w:history="1">
              <w:r w:rsidRPr="00A2611D">
                <w:rPr>
                  <w:rFonts w:ascii="Arial" w:hAnsi="Arial" w:cs="Arial"/>
                  <w:bCs/>
                  <w:noProof/>
                  <w:color w:val="0000FF"/>
                  <w:sz w:val="20"/>
                  <w:szCs w:val="20"/>
                </w:rPr>
                <w:t xml:space="preserve">Asian Journal of Fisheries and Aquatic Research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45802F2E" w:rsidR="000F2AFD" w:rsidRPr="00067224" w:rsidRDefault="00094A64" w:rsidP="00067224">
            <w:pPr>
              <w:pStyle w:val="NormalWeb"/>
              <w:spacing w:before="0" w:beforeAutospacing="0" w:after="0" w:afterAutospacing="0"/>
              <w:rPr>
                <w:rFonts w:ascii="Times New Roman" w:hAnsi="Times New Roman" w:cs="Times New Roman"/>
                <w:b/>
                <w:bCs/>
                <w:sz w:val="20"/>
                <w:szCs w:val="20"/>
                <w:lang w:val="en-GB"/>
              </w:rPr>
            </w:pPr>
            <w:r w:rsidRPr="00094A64">
              <w:rPr>
                <w:rFonts w:ascii="Times New Roman" w:hAnsi="Times New Roman" w:cs="Times New Roman"/>
                <w:b/>
                <w:bCs/>
                <w:sz w:val="20"/>
                <w:szCs w:val="20"/>
                <w:lang w:val="en-GB"/>
              </w:rPr>
              <w:t>Ms_AJFAR_158666</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25161BAE" w:rsidR="000F2AFD" w:rsidRPr="00067224" w:rsidRDefault="00094A64" w:rsidP="00067224">
            <w:pPr>
              <w:pStyle w:val="NormalWeb"/>
              <w:spacing w:before="0" w:beforeAutospacing="0" w:after="0" w:afterAutospacing="0"/>
              <w:rPr>
                <w:rFonts w:ascii="Times New Roman" w:hAnsi="Times New Roman" w:cs="Times New Roman"/>
                <w:b/>
                <w:sz w:val="20"/>
                <w:szCs w:val="20"/>
                <w:lang w:val="en-GB"/>
              </w:rPr>
            </w:pPr>
            <w:r w:rsidRPr="00094A64">
              <w:rPr>
                <w:rFonts w:ascii="Times New Roman" w:hAnsi="Times New Roman" w:cs="Times New Roman"/>
                <w:b/>
                <w:sz w:val="20"/>
                <w:szCs w:val="20"/>
                <w:lang w:val="en-GB"/>
              </w:rPr>
              <w:t>Development of Smart Monitoring Technology in Floating Net Cages to Support sustainable Aquaculture</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14FB2F49" w14:textId="77777777" w:rsidR="000F2AFD" w:rsidRPr="00CB119E" w:rsidRDefault="000F2AFD">
      <w:pPr>
        <w:jc w:val="both"/>
        <w:rPr>
          <w:rFonts w:eastAsia="MS Mincho"/>
          <w:sz w:val="20"/>
          <w:szCs w:val="20"/>
          <w:lang w:val="en-GB" w:eastAsia="x-none"/>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41F56155" w:rsidR="000F2AFD" w:rsidRPr="00067224" w:rsidRDefault="001E32A2" w:rsidP="00CB119E">
            <w:pPr>
              <w:contextualSpacing/>
              <w:rPr>
                <w:b/>
                <w:bCs/>
                <w:sz w:val="20"/>
                <w:szCs w:val="20"/>
                <w:lang w:val="en-GB"/>
              </w:rPr>
            </w:pPr>
            <w:r>
              <w:rPr>
                <w:bCs/>
                <w:sz w:val="20"/>
                <w:szCs w:val="20"/>
                <w:lang w:val="en-GB"/>
              </w:rPr>
              <w:t>This manuscript presents a timely and well-structured systematic review of smart monitoring technologies applied to floating net cage (FNC) aquaculture, addressing a critical gap in the integration of IoT, automated feeding, and machine learning within open-water aquaculture systems. The study synthesizes 50 peer-reviewed publications (2019–2025) using the PRISMA framework, providing a rigorous and replicable evidence base that is highly valuable to both researchers and industry practitioners. Its findings on real-time water quality monitoring, feed efficiency optimization, and adaptive system integration are directly relevant to global efforts toward sustainable aquaculture and blue food security. Furthermore, by explicitly identifying implementation challenges such as sensor reliability, network stability, and human resource capacity, this review provides actionable guidance for policy-makers and technology developers working to scale smart aquaculture systems.</w:t>
            </w:r>
          </w:p>
        </w:tc>
        <w:tc>
          <w:tcPr>
            <w:tcW w:w="1667" w:type="pct"/>
          </w:tcPr>
          <w:p w14:paraId="6A84AF84" w14:textId="0AF35539"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reviewer’s positive evaluation and constructive comments. We appreciate the recognition of the manuscript’s relevance and contribution to smart monitoring technologies in floating net cage aquaculture. The manuscript has been revised to improve terminology consistency, critical analysis, language clarity, and the discussion of research gaps and limitations.</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2A68FC2C" w14:textId="77777777" w:rsidR="006E6473" w:rsidRPr="006E6473" w:rsidRDefault="006E6473" w:rsidP="006E6473">
      <w:pPr>
        <w:rPr>
          <w:rFonts w:eastAsia="MS Mincho"/>
          <w:b/>
          <w:bCs/>
          <w:sz w:val="20"/>
          <w:szCs w:val="20"/>
          <w:highlight w:val="yellow"/>
          <w:u w:val="single"/>
          <w:lang w:val="en-GB"/>
        </w:rPr>
      </w:pPr>
      <w:r w:rsidRPr="006E6473">
        <w:rPr>
          <w:rFonts w:eastAsia="MS Mincho"/>
          <w:b/>
          <w:bCs/>
          <w:sz w:val="20"/>
          <w:szCs w:val="20"/>
          <w:highlight w:val="yellow"/>
          <w:u w:val="single"/>
          <w:lang w:val="en-GB"/>
        </w:rPr>
        <w:t>PART 2.1 (Objective Evaluation)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4EED0C01" w:rsidR="000F2AFD" w:rsidRPr="00067224" w:rsidRDefault="001E32A2" w:rsidP="00067224">
            <w:pPr>
              <w:ind w:left="360"/>
              <w:rPr>
                <w:b/>
                <w:bCs/>
                <w:sz w:val="20"/>
                <w:szCs w:val="20"/>
                <w:lang w:val="en-GB"/>
              </w:rPr>
            </w:pPr>
            <w:r>
              <w:rPr>
                <w:b/>
                <w:bCs/>
                <w:sz w:val="20"/>
                <w:szCs w:val="20"/>
                <w:lang w:val="en-GB"/>
              </w:rPr>
              <w:t>4</w:t>
            </w:r>
          </w:p>
        </w:tc>
        <w:tc>
          <w:tcPr>
            <w:tcW w:w="1667" w:type="pct"/>
          </w:tcPr>
          <w:p w14:paraId="3593B2DC" w14:textId="43C1A4F2"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positive assessment. The title has been retained with minor capitalization correction.</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3955E43C" w:rsidR="000F2AFD" w:rsidRPr="00067224" w:rsidRDefault="001E32A2" w:rsidP="00067224">
            <w:pPr>
              <w:ind w:left="360"/>
              <w:rPr>
                <w:b/>
                <w:bCs/>
                <w:sz w:val="20"/>
                <w:szCs w:val="20"/>
                <w:lang w:val="en-GB"/>
              </w:rPr>
            </w:pPr>
            <w:r>
              <w:rPr>
                <w:b/>
                <w:bCs/>
                <w:sz w:val="20"/>
                <w:szCs w:val="20"/>
                <w:lang w:val="en-GB"/>
              </w:rPr>
              <w:t>4</w:t>
            </w:r>
          </w:p>
        </w:tc>
        <w:tc>
          <w:tcPr>
            <w:tcW w:w="1667" w:type="pct"/>
          </w:tcPr>
          <w:p w14:paraId="1BDA5D40" w14:textId="2CC08A85"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comment. The abstract has been revised to improve clarity and consistency with the revised manuscript.</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6B5DF008" w:rsidR="000F2AFD" w:rsidRPr="00067224" w:rsidRDefault="001E32A2" w:rsidP="00067224">
            <w:pPr>
              <w:ind w:left="360"/>
              <w:rPr>
                <w:b/>
                <w:bCs/>
                <w:sz w:val="20"/>
                <w:szCs w:val="20"/>
                <w:lang w:val="en-GB"/>
              </w:rPr>
            </w:pPr>
            <w:r>
              <w:rPr>
                <w:b/>
                <w:bCs/>
                <w:sz w:val="20"/>
                <w:szCs w:val="20"/>
                <w:lang w:val="en-GB"/>
              </w:rPr>
              <w:t>4</w:t>
            </w:r>
          </w:p>
        </w:tc>
        <w:tc>
          <w:tcPr>
            <w:tcW w:w="1667" w:type="pct"/>
          </w:tcPr>
          <w:p w14:paraId="199D64B9" w14:textId="37F9B0E8"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positive assessment. The keywords have been retained as they reflect the main focus of the manuscript.</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527CC5BA" w:rsidR="000F2AFD" w:rsidRPr="00067224" w:rsidRDefault="001E32A2" w:rsidP="00067224">
            <w:pPr>
              <w:ind w:left="360"/>
              <w:rPr>
                <w:b/>
                <w:bCs/>
                <w:sz w:val="20"/>
                <w:szCs w:val="20"/>
                <w:lang w:val="en-GB"/>
              </w:rPr>
            </w:pPr>
            <w:r>
              <w:rPr>
                <w:b/>
                <w:bCs/>
                <w:sz w:val="20"/>
                <w:szCs w:val="20"/>
                <w:lang w:val="en-GB"/>
              </w:rPr>
              <w:t>3</w:t>
            </w:r>
          </w:p>
        </w:tc>
        <w:tc>
          <w:tcPr>
            <w:tcW w:w="1667" w:type="pct"/>
          </w:tcPr>
          <w:p w14:paraId="2B145DAB" w14:textId="111259B8"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positive assessment. The keywords have been retained as they reflect the main focus of the manuscript.</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482E21AE" w:rsidR="000F2AFD" w:rsidRPr="00067224" w:rsidRDefault="001E32A2" w:rsidP="00067224">
            <w:pPr>
              <w:ind w:left="360"/>
              <w:rPr>
                <w:b/>
                <w:bCs/>
                <w:sz w:val="20"/>
                <w:szCs w:val="20"/>
                <w:lang w:val="en-GB"/>
              </w:rPr>
            </w:pPr>
            <w:r>
              <w:rPr>
                <w:b/>
                <w:bCs/>
                <w:sz w:val="20"/>
                <w:szCs w:val="20"/>
                <w:lang w:val="en-GB"/>
              </w:rPr>
              <w:t>4</w:t>
            </w:r>
          </w:p>
        </w:tc>
        <w:tc>
          <w:tcPr>
            <w:tcW w:w="1667" w:type="pct"/>
          </w:tcPr>
          <w:p w14:paraId="11583622" w14:textId="05FF95AB"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comment. The background section has been revised to improve organization, clarity, and relevance to smart monitoring in floating net cage aquaculture.</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5858EA40" w:rsidR="000F2AFD" w:rsidRPr="00067224" w:rsidRDefault="001E32A2" w:rsidP="00067224">
            <w:pPr>
              <w:ind w:left="360"/>
              <w:rPr>
                <w:b/>
                <w:bCs/>
                <w:sz w:val="20"/>
                <w:szCs w:val="20"/>
                <w:lang w:val="en-GB"/>
              </w:rPr>
            </w:pPr>
            <w:r>
              <w:rPr>
                <w:b/>
                <w:bCs/>
                <w:sz w:val="20"/>
                <w:szCs w:val="20"/>
                <w:lang w:val="en-GB"/>
              </w:rPr>
              <w:t>3</w:t>
            </w:r>
          </w:p>
        </w:tc>
        <w:tc>
          <w:tcPr>
            <w:tcW w:w="1667" w:type="pct"/>
          </w:tcPr>
          <w:p w14:paraId="521B890F" w14:textId="5DD691F2"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comment. The literature review has been strengthened by improving the synthesis of relevant studies and removing or replacing invalid references.</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78887052" w:rsidR="000F2AFD" w:rsidRPr="00067224" w:rsidRDefault="001E32A2" w:rsidP="00067224">
            <w:pPr>
              <w:ind w:left="360"/>
              <w:rPr>
                <w:b/>
                <w:bCs/>
                <w:sz w:val="20"/>
                <w:szCs w:val="20"/>
                <w:lang w:val="en-GB"/>
              </w:rPr>
            </w:pPr>
            <w:r>
              <w:rPr>
                <w:b/>
                <w:bCs/>
                <w:sz w:val="20"/>
                <w:szCs w:val="20"/>
                <w:lang w:val="en-GB"/>
              </w:rPr>
              <w:t>4</w:t>
            </w:r>
          </w:p>
        </w:tc>
        <w:tc>
          <w:tcPr>
            <w:tcW w:w="1667" w:type="pct"/>
          </w:tcPr>
          <w:p w14:paraId="7F405CA4" w14:textId="5F953710"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assessment. The reference list has been updated by retaining recent and valid sources and replacing unverifiable references with traceable peer-reviewed publications.</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7E8F5A9C" w:rsidR="000F2AFD" w:rsidRPr="00067224" w:rsidRDefault="001E32A2" w:rsidP="00067224">
            <w:pPr>
              <w:ind w:left="360"/>
              <w:rPr>
                <w:b/>
                <w:bCs/>
                <w:sz w:val="20"/>
                <w:szCs w:val="20"/>
                <w:lang w:val="en-GB"/>
              </w:rPr>
            </w:pPr>
            <w:r>
              <w:rPr>
                <w:b/>
                <w:bCs/>
                <w:sz w:val="20"/>
                <w:szCs w:val="20"/>
                <w:lang w:val="en-GB"/>
              </w:rPr>
              <w:t>4</w:t>
            </w:r>
          </w:p>
        </w:tc>
        <w:tc>
          <w:tcPr>
            <w:tcW w:w="1667" w:type="pct"/>
          </w:tcPr>
          <w:p w14:paraId="05DF9C30" w14:textId="0B105F8B"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positive assessment. The methodology section has been clarified to better describe the literature search, screening, and synthesis process.</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3EBCB0AB" w:rsidR="000F2AFD" w:rsidRPr="00067224" w:rsidRDefault="001E32A2" w:rsidP="00067224">
            <w:pPr>
              <w:ind w:left="360"/>
              <w:rPr>
                <w:b/>
                <w:bCs/>
                <w:sz w:val="20"/>
                <w:szCs w:val="20"/>
                <w:lang w:val="en-GB"/>
              </w:rPr>
            </w:pPr>
            <w:r>
              <w:rPr>
                <w:b/>
                <w:bCs/>
                <w:sz w:val="20"/>
                <w:szCs w:val="20"/>
                <w:lang w:val="en-GB"/>
              </w:rPr>
              <w:t>4</w:t>
            </w:r>
          </w:p>
        </w:tc>
        <w:tc>
          <w:tcPr>
            <w:tcW w:w="1667" w:type="pct"/>
          </w:tcPr>
          <w:p w14:paraId="30133A88" w14:textId="322F28B8"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assessment. The critical analysis section has been strengthened by adding synthesis across studies, including comparative discussion of technology performance, implementation challenges, methodological limitations, and unresolved research gaps.</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5DD8E6F8" w:rsidR="000F2AFD" w:rsidRPr="001E32A2" w:rsidRDefault="001E32A2" w:rsidP="001E32A2">
            <w:pPr>
              <w:contextualSpacing/>
              <w:rPr>
                <w:b/>
                <w:bCs/>
                <w:sz w:val="20"/>
                <w:szCs w:val="20"/>
                <w:lang w:val="en-GB"/>
              </w:rPr>
            </w:pPr>
            <w:r>
              <w:rPr>
                <w:bCs/>
                <w:sz w:val="20"/>
                <w:szCs w:val="20"/>
                <w:lang w:val="en-GB"/>
              </w:rPr>
              <w:t xml:space="preserve">       </w:t>
            </w:r>
            <w:r w:rsidRPr="001E32A2">
              <w:rPr>
                <w:b/>
                <w:bCs/>
                <w:sz w:val="20"/>
                <w:szCs w:val="20"/>
                <w:lang w:val="en-GB"/>
              </w:rPr>
              <w:t>4</w:t>
            </w:r>
          </w:p>
        </w:tc>
        <w:tc>
          <w:tcPr>
            <w:tcW w:w="1667" w:type="pct"/>
          </w:tcPr>
          <w:p w14:paraId="2885C4A1" w14:textId="55C72AC9"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positive assessment. A dedicated subsection on research gaps, future directions, and review limitations has been added to make this aspect clearer.</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 xml:space="preserve">5 = Excellent 4 = Good 3 = Satisfactory 2 = Needs </w:t>
            </w:r>
            <w:r w:rsidRPr="00067224">
              <w:rPr>
                <w:color w:val="404040"/>
                <w:sz w:val="20"/>
                <w:szCs w:val="20"/>
                <w:shd w:val="clear" w:color="auto" w:fill="FFFFFF"/>
                <w:lang w:val="en-GB"/>
              </w:rPr>
              <w:lastRenderedPageBreak/>
              <w:t>Improvement 1 = Poor N/A = Not Applicable</w:t>
            </w:r>
          </w:p>
        </w:tc>
        <w:tc>
          <w:tcPr>
            <w:tcW w:w="1667" w:type="pct"/>
          </w:tcPr>
          <w:p w14:paraId="2CDEB9D1" w14:textId="7C2608F8" w:rsidR="000F2AFD" w:rsidRPr="001E32A2" w:rsidRDefault="001E32A2" w:rsidP="00CB119E">
            <w:pPr>
              <w:contextualSpacing/>
              <w:rPr>
                <w:b/>
                <w:bCs/>
                <w:sz w:val="20"/>
                <w:szCs w:val="20"/>
                <w:lang w:val="en-GB"/>
              </w:rPr>
            </w:pPr>
            <w:r>
              <w:rPr>
                <w:b/>
                <w:bCs/>
                <w:sz w:val="20"/>
                <w:szCs w:val="20"/>
                <w:lang w:val="en-GB"/>
              </w:rPr>
              <w:lastRenderedPageBreak/>
              <w:t xml:space="preserve">         3</w:t>
            </w:r>
          </w:p>
        </w:tc>
        <w:tc>
          <w:tcPr>
            <w:tcW w:w="1667" w:type="pct"/>
          </w:tcPr>
          <w:p w14:paraId="778B438A" w14:textId="756A9858"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 xml:space="preserve">Thank you for the comment. The conclusion has been revised to better reflect the findings, limitations, and future development needs of smart monitoring </w:t>
            </w:r>
            <w:r w:rsidRPr="000F6910">
              <w:rPr>
                <w:rFonts w:eastAsia="MS Mincho"/>
                <w:bCs/>
                <w:sz w:val="20"/>
                <w:szCs w:val="20"/>
                <w:lang w:val="en-GB"/>
              </w:rPr>
              <w:lastRenderedPageBreak/>
              <w:t>technologies in FNC aquaculture.</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lastRenderedPageBreak/>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13C4D94B" w:rsidR="000F2AFD" w:rsidRPr="001E32A2" w:rsidRDefault="001E32A2" w:rsidP="00CB119E">
            <w:pPr>
              <w:contextualSpacing/>
              <w:rPr>
                <w:b/>
                <w:bCs/>
                <w:sz w:val="20"/>
                <w:szCs w:val="20"/>
                <w:lang w:val="en-GB"/>
              </w:rPr>
            </w:pPr>
            <w:r>
              <w:rPr>
                <w:bCs/>
                <w:sz w:val="20"/>
                <w:szCs w:val="20"/>
                <w:lang w:val="en-GB"/>
              </w:rPr>
              <w:t xml:space="preserve">         </w:t>
            </w:r>
            <w:r>
              <w:rPr>
                <w:b/>
                <w:bCs/>
                <w:sz w:val="20"/>
                <w:szCs w:val="20"/>
                <w:lang w:val="en-GB"/>
              </w:rPr>
              <w:t>4</w:t>
            </w:r>
          </w:p>
        </w:tc>
        <w:tc>
          <w:tcPr>
            <w:tcW w:w="1667" w:type="pct"/>
          </w:tcPr>
          <w:p w14:paraId="0B48DF06" w14:textId="4ABAEB7D"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assessment. The limitations of the review have been expanded, including limitations related to literature coverage, study heterogeneity, technology maturity, and field implementation.</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3952F714" w:rsidR="000F2AFD" w:rsidRPr="001E32A2" w:rsidRDefault="001E32A2" w:rsidP="00CB119E">
            <w:pPr>
              <w:contextualSpacing/>
              <w:rPr>
                <w:b/>
                <w:bCs/>
                <w:sz w:val="20"/>
                <w:szCs w:val="20"/>
                <w:lang w:val="en-GB"/>
              </w:rPr>
            </w:pPr>
            <w:r>
              <w:rPr>
                <w:bCs/>
                <w:sz w:val="20"/>
                <w:szCs w:val="20"/>
                <w:lang w:val="en-GB"/>
              </w:rPr>
              <w:t xml:space="preserve">          </w:t>
            </w:r>
            <w:r>
              <w:rPr>
                <w:b/>
                <w:bCs/>
                <w:sz w:val="20"/>
                <w:szCs w:val="20"/>
                <w:lang w:val="en-GB"/>
              </w:rPr>
              <w:t>4</w:t>
            </w:r>
          </w:p>
        </w:tc>
        <w:tc>
          <w:tcPr>
            <w:tcW w:w="1667" w:type="pct"/>
          </w:tcPr>
          <w:p w14:paraId="605211B3" w14:textId="391F38A5" w:rsidR="000F6910" w:rsidRPr="00067224" w:rsidRDefault="000F6910" w:rsidP="000F6910">
            <w:pPr>
              <w:outlineLvl w:val="1"/>
              <w:rPr>
                <w:rFonts w:eastAsia="MS Mincho"/>
                <w:bCs/>
                <w:sz w:val="20"/>
                <w:szCs w:val="20"/>
                <w:lang w:val="en-GB"/>
              </w:rPr>
            </w:pPr>
            <w:r w:rsidRPr="000F6910">
              <w:rPr>
                <w:rFonts w:eastAsia="MS Mincho"/>
                <w:bCs/>
                <w:sz w:val="20"/>
                <w:szCs w:val="20"/>
                <w:lang w:val="en-GB"/>
              </w:rPr>
              <w:t>Thank you for the assessment. The reference list has been carefully revised. Invalid or unverifiable references have been removed or replaced with valid and traceable peer-reviewed sources, while mismatched references have been corrected based on verified metadata.</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4E010259" w:rsidR="000F2AFD" w:rsidRPr="001E32A2" w:rsidRDefault="001E32A2" w:rsidP="00CB119E">
            <w:pPr>
              <w:contextualSpacing/>
              <w:rPr>
                <w:b/>
                <w:bCs/>
                <w:sz w:val="20"/>
                <w:szCs w:val="20"/>
                <w:lang w:val="en-GB"/>
              </w:rPr>
            </w:pPr>
            <w:r>
              <w:rPr>
                <w:bCs/>
                <w:sz w:val="20"/>
                <w:szCs w:val="20"/>
                <w:lang w:val="en-GB"/>
              </w:rPr>
              <w:t xml:space="preserve">          </w:t>
            </w:r>
            <w:r>
              <w:rPr>
                <w:b/>
                <w:bCs/>
                <w:sz w:val="20"/>
                <w:szCs w:val="20"/>
                <w:lang w:val="en-GB"/>
              </w:rPr>
              <w:t>4</w:t>
            </w:r>
          </w:p>
        </w:tc>
        <w:tc>
          <w:tcPr>
            <w:tcW w:w="1667" w:type="pct"/>
          </w:tcPr>
          <w:p w14:paraId="46D664FC" w14:textId="604884CC"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assessment. The manuscript has undergone English language revision to improve grammar, sentence structure, readability, and terminology consistency.</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7872782E" w:rsidR="000F2AFD" w:rsidRPr="00067224" w:rsidRDefault="001E32A2" w:rsidP="001E32A2">
            <w:pPr>
              <w:rPr>
                <w:b/>
                <w:bCs/>
                <w:sz w:val="20"/>
                <w:szCs w:val="20"/>
                <w:lang w:val="en-GB"/>
              </w:rPr>
            </w:pPr>
            <w:r>
              <w:rPr>
                <w:bCs/>
                <w:sz w:val="20"/>
                <w:szCs w:val="20"/>
                <w:lang w:val="en-GB"/>
              </w:rPr>
              <w:t>YES. The title is clear, concise, and accurately reflects the scope and focus of the manuscript.</w:t>
            </w:r>
          </w:p>
        </w:tc>
        <w:tc>
          <w:tcPr>
            <w:tcW w:w="1667" w:type="pct"/>
          </w:tcPr>
          <w:p w14:paraId="36438AAB" w14:textId="40F3D138"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positive assessment. The title has been retained, with minor capitalization correction to improve consistency.</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26CCB5FA" w:rsidR="000F2AFD" w:rsidRPr="00067224" w:rsidRDefault="001E32A2" w:rsidP="001E32A2">
            <w:pPr>
              <w:rPr>
                <w:b/>
                <w:bCs/>
                <w:sz w:val="20"/>
                <w:szCs w:val="20"/>
                <w:lang w:val="en-GB"/>
              </w:rPr>
            </w:pPr>
            <w:r>
              <w:rPr>
                <w:bCs/>
                <w:sz w:val="20"/>
                <w:szCs w:val="20"/>
                <w:lang w:val="en-GB"/>
              </w:rPr>
              <w:t>YES. The abstract adequately summarizes the background, methodology, key findings, and conclusions.</w:t>
            </w:r>
          </w:p>
        </w:tc>
        <w:tc>
          <w:tcPr>
            <w:tcW w:w="1667" w:type="pct"/>
          </w:tcPr>
          <w:p w14:paraId="1D3D6950" w14:textId="2B7F0E12"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constructive comment. We have revised the manuscript by strengthening the critical analysis and synthesis across studies, particularly in the discussion section. Grammatical errors have also been corrected, and terminology has been standardized by consistently using “Floating Net Cages (FNCs)” throughout the manuscript. The term “</w:t>
            </w:r>
            <w:proofErr w:type="spellStart"/>
            <w:r w:rsidRPr="000F6910">
              <w:rPr>
                <w:rFonts w:eastAsia="MS Mincho"/>
                <w:bCs/>
                <w:sz w:val="20"/>
                <w:szCs w:val="20"/>
                <w:lang w:val="en-GB"/>
              </w:rPr>
              <w:t>Keramba</w:t>
            </w:r>
            <w:proofErr w:type="spellEnd"/>
            <w:r w:rsidRPr="000F6910">
              <w:rPr>
                <w:rFonts w:eastAsia="MS Mincho"/>
                <w:bCs/>
                <w:sz w:val="20"/>
                <w:szCs w:val="20"/>
                <w:lang w:val="en-GB"/>
              </w:rPr>
              <w:t xml:space="preserve"> </w:t>
            </w:r>
            <w:proofErr w:type="spellStart"/>
            <w:r w:rsidRPr="000F6910">
              <w:rPr>
                <w:rFonts w:eastAsia="MS Mincho"/>
                <w:bCs/>
                <w:sz w:val="20"/>
                <w:szCs w:val="20"/>
                <w:lang w:val="en-GB"/>
              </w:rPr>
              <w:t>Jaring</w:t>
            </w:r>
            <w:proofErr w:type="spellEnd"/>
            <w:r w:rsidRPr="000F6910">
              <w:rPr>
                <w:rFonts w:eastAsia="MS Mincho"/>
                <w:bCs/>
                <w:sz w:val="20"/>
                <w:szCs w:val="20"/>
                <w:lang w:val="en-GB"/>
              </w:rPr>
              <w:t xml:space="preserve"> </w:t>
            </w:r>
            <w:proofErr w:type="spellStart"/>
            <w:r w:rsidRPr="000F6910">
              <w:rPr>
                <w:rFonts w:eastAsia="MS Mincho"/>
                <w:bCs/>
                <w:sz w:val="20"/>
                <w:szCs w:val="20"/>
                <w:lang w:val="en-GB"/>
              </w:rPr>
              <w:t>Apung</w:t>
            </w:r>
            <w:proofErr w:type="spellEnd"/>
            <w:r w:rsidRPr="000F6910">
              <w:rPr>
                <w:rFonts w:eastAsia="MS Mincho"/>
                <w:bCs/>
                <w:sz w:val="20"/>
                <w:szCs w:val="20"/>
                <w:lang w:val="en-GB"/>
              </w:rPr>
              <w:t xml:space="preserve"> (KJA)” is now explained only as the Indonesian equivalent of FNCs.</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5576BAF1" w:rsidR="000F2AFD" w:rsidRPr="00067224" w:rsidRDefault="001E32A2" w:rsidP="00CB119E">
            <w:pPr>
              <w:contextualSpacing/>
              <w:rPr>
                <w:bCs/>
                <w:sz w:val="20"/>
                <w:szCs w:val="20"/>
                <w:lang w:val="en-GB"/>
              </w:rPr>
            </w:pPr>
            <w:r>
              <w:rPr>
                <w:bCs/>
                <w:sz w:val="20"/>
                <w:szCs w:val="20"/>
                <w:lang w:val="en-GB"/>
              </w:rPr>
              <w:t>YES, with minor revisions. The scientific content is generally sound and well-supported. However, some sections would benefit from deeper critical analysis rather than descriptive summaries of cited studies. Additionally, minor grammatical errors and inconsistent use of abbreviations (e.g., FNC vs. KJA vs. CFCs) should be corrected throughout the manuscript.</w:t>
            </w:r>
          </w:p>
        </w:tc>
        <w:tc>
          <w:tcPr>
            <w:tcW w:w="1667" w:type="pct"/>
          </w:tcPr>
          <w:p w14:paraId="70C3150A" w14:textId="6B98A296"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constructive comment. We have revised the manuscript by strengthening the critical analysis and synthesis across studies, particularly in the discussion section. Grammatical errors have also been corrected, and terminology has been standardized by consistently using “Floating Net Cages (FNCs)” throughout the manuscript. The term “</w:t>
            </w:r>
            <w:proofErr w:type="spellStart"/>
            <w:r w:rsidRPr="000F6910">
              <w:rPr>
                <w:rFonts w:eastAsia="MS Mincho"/>
                <w:bCs/>
                <w:sz w:val="20"/>
                <w:szCs w:val="20"/>
                <w:lang w:val="en-GB"/>
              </w:rPr>
              <w:t>Keramba</w:t>
            </w:r>
            <w:proofErr w:type="spellEnd"/>
            <w:r w:rsidRPr="000F6910">
              <w:rPr>
                <w:rFonts w:eastAsia="MS Mincho"/>
                <w:bCs/>
                <w:sz w:val="20"/>
                <w:szCs w:val="20"/>
                <w:lang w:val="en-GB"/>
              </w:rPr>
              <w:t xml:space="preserve"> </w:t>
            </w:r>
            <w:proofErr w:type="spellStart"/>
            <w:r w:rsidRPr="000F6910">
              <w:rPr>
                <w:rFonts w:eastAsia="MS Mincho"/>
                <w:bCs/>
                <w:sz w:val="20"/>
                <w:szCs w:val="20"/>
                <w:lang w:val="en-GB"/>
              </w:rPr>
              <w:t>Jaring</w:t>
            </w:r>
            <w:proofErr w:type="spellEnd"/>
            <w:r w:rsidRPr="000F6910">
              <w:rPr>
                <w:rFonts w:eastAsia="MS Mincho"/>
                <w:bCs/>
                <w:sz w:val="20"/>
                <w:szCs w:val="20"/>
                <w:lang w:val="en-GB"/>
              </w:rPr>
              <w:t xml:space="preserve"> </w:t>
            </w:r>
            <w:proofErr w:type="spellStart"/>
            <w:r w:rsidRPr="000F6910">
              <w:rPr>
                <w:rFonts w:eastAsia="MS Mincho"/>
                <w:bCs/>
                <w:sz w:val="20"/>
                <w:szCs w:val="20"/>
                <w:lang w:val="en-GB"/>
              </w:rPr>
              <w:t>Apung</w:t>
            </w:r>
            <w:proofErr w:type="spellEnd"/>
            <w:r w:rsidRPr="000F6910">
              <w:rPr>
                <w:rFonts w:eastAsia="MS Mincho"/>
                <w:bCs/>
                <w:sz w:val="20"/>
                <w:szCs w:val="20"/>
                <w:lang w:val="en-GB"/>
              </w:rPr>
              <w:t xml:space="preserve"> (KJA)” is now explained only as the Indonesian equivalent of FNCs.</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6D65592E" w:rsidR="000F2AFD" w:rsidRPr="00067224" w:rsidRDefault="001E32A2" w:rsidP="00CB119E">
            <w:pPr>
              <w:contextualSpacing/>
              <w:rPr>
                <w:bCs/>
                <w:sz w:val="20"/>
                <w:szCs w:val="20"/>
                <w:lang w:val="en-GB"/>
              </w:rPr>
            </w:pPr>
            <w:r>
              <w:rPr>
                <w:bCs/>
                <w:sz w:val="20"/>
                <w:szCs w:val="20"/>
                <w:lang w:val="en-GB"/>
              </w:rPr>
              <w:t>YES. The reference list is largely sufficient and recent (2019–2025). However, it is recommended to include a few additional seminal works in precision aquaculture and IoT sensor calibration for completeness.</w:t>
            </w:r>
          </w:p>
        </w:tc>
        <w:tc>
          <w:tcPr>
            <w:tcW w:w="1667" w:type="pct"/>
          </w:tcPr>
          <w:p w14:paraId="78052020" w14:textId="474B83C5"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suggestion. We have carefully reviewed and updated the reference list. Invalid or unverifiable references have been removed or replaced with valid, traceable, and peer-reviewed sources. Additional relevant references related to precision aquaculture, IoT-based monitoring, and sensor reliability have also been incorporated where appropriate.</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4F4523B7" w:rsidR="000F2AFD" w:rsidRPr="00067224" w:rsidRDefault="006D32A1" w:rsidP="00CB119E">
            <w:pPr>
              <w:contextualSpacing/>
              <w:rPr>
                <w:bCs/>
                <w:sz w:val="20"/>
                <w:szCs w:val="20"/>
                <w:lang w:val="en-GB"/>
              </w:rPr>
            </w:pPr>
            <w:r>
              <w:rPr>
                <w:bCs/>
                <w:sz w:val="20"/>
                <w:szCs w:val="20"/>
                <w:lang w:val="en-GB"/>
              </w:rPr>
              <w:t>NO</w:t>
            </w:r>
          </w:p>
        </w:tc>
        <w:tc>
          <w:tcPr>
            <w:tcW w:w="1667" w:type="pct"/>
          </w:tcPr>
          <w:p w14:paraId="25AB90B1" w14:textId="4A89C294" w:rsidR="000F2AFD" w:rsidRPr="00067224" w:rsidRDefault="000F6910" w:rsidP="00067224">
            <w:pPr>
              <w:outlineLvl w:val="1"/>
              <w:rPr>
                <w:rFonts w:eastAsia="MS Mincho"/>
                <w:bCs/>
                <w:sz w:val="20"/>
                <w:szCs w:val="20"/>
                <w:lang w:val="en-GB"/>
              </w:rPr>
            </w:pPr>
            <w:r w:rsidRPr="000F6910">
              <w:rPr>
                <w:rFonts w:eastAsia="MS Mincho"/>
                <w:bCs/>
                <w:sz w:val="20"/>
                <w:szCs w:val="20"/>
                <w:lang w:val="en-GB"/>
              </w:rPr>
              <w:t>Thank you for the assessment. We confirm that there are no ethical issues in this manuscript, as this study is a literature review and does not involve experiments on humans or animals.</w:t>
            </w:r>
          </w:p>
        </w:tc>
      </w:tr>
    </w:tbl>
    <w:p w14:paraId="78B35FA6" w14:textId="77777777" w:rsidR="000F2AFD" w:rsidRPr="00CB119E" w:rsidRDefault="000F2AFD">
      <w:pPr>
        <w:rPr>
          <w:sz w:val="20"/>
          <w:szCs w:val="20"/>
          <w:lang w:val="en-GB"/>
        </w:rPr>
      </w:pPr>
    </w:p>
    <w:p w14:paraId="14696D40" w14:textId="518A7CA5" w:rsidR="000F2AFD" w:rsidRDefault="000F2AFD">
      <w:pPr>
        <w:jc w:val="both"/>
        <w:rPr>
          <w:rFonts w:eastAsia="MS Mincho"/>
          <w:b/>
          <w:bCs/>
          <w:sz w:val="20"/>
          <w:szCs w:val="20"/>
          <w:u w:val="single"/>
          <w:lang w:val="en-GB" w:eastAsia="x-none"/>
        </w:rPr>
      </w:pPr>
    </w:p>
    <w:p w14:paraId="5D669DCA" w14:textId="77777777" w:rsidR="000F2AFD" w:rsidRPr="00CB119E" w:rsidRDefault="000F2AFD" w:rsidP="00A44C93">
      <w:pPr>
        <w:jc w:val="both"/>
        <w:rPr>
          <w:b/>
          <w:bCs/>
          <w:sz w:val="20"/>
          <w:szCs w:val="20"/>
          <w:u w:val="single"/>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D3D96" w14:textId="77777777" w:rsidR="00FE02BC" w:rsidRDefault="00FE02BC">
      <w:r>
        <w:separator/>
      </w:r>
    </w:p>
  </w:endnote>
  <w:endnote w:type="continuationSeparator" w:id="0">
    <w:p w14:paraId="19FAF189" w14:textId="77777777" w:rsidR="00FE02BC" w:rsidRDefault="00FE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43176E85"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A123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A1239">
      <w:rPr>
        <w:b/>
        <w:noProof/>
        <w:sz w:val="20"/>
      </w:rPr>
      <w:t>3</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851FE" w14:textId="77777777" w:rsidR="00FE02BC" w:rsidRDefault="00FE02BC">
      <w:r>
        <w:separator/>
      </w:r>
    </w:p>
  </w:footnote>
  <w:footnote w:type="continuationSeparator" w:id="0">
    <w:p w14:paraId="20E7E77B" w14:textId="77777777" w:rsidR="00FE02BC" w:rsidRDefault="00FE0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18168053">
    <w:abstractNumId w:val="4"/>
  </w:num>
  <w:num w:numId="2" w16cid:durableId="174616791">
    <w:abstractNumId w:val="8"/>
  </w:num>
  <w:num w:numId="3" w16cid:durableId="257838709">
    <w:abstractNumId w:val="7"/>
  </w:num>
  <w:num w:numId="4" w16cid:durableId="1308822337">
    <w:abstractNumId w:val="9"/>
  </w:num>
  <w:num w:numId="5" w16cid:durableId="1915043779">
    <w:abstractNumId w:val="6"/>
  </w:num>
  <w:num w:numId="6" w16cid:durableId="406458983">
    <w:abstractNumId w:val="0"/>
  </w:num>
  <w:num w:numId="7" w16cid:durableId="641929704">
    <w:abstractNumId w:val="3"/>
  </w:num>
  <w:num w:numId="8" w16cid:durableId="301690325">
    <w:abstractNumId w:val="11"/>
  </w:num>
  <w:num w:numId="9" w16cid:durableId="548029293">
    <w:abstractNumId w:val="10"/>
  </w:num>
  <w:num w:numId="10" w16cid:durableId="1260328609">
    <w:abstractNumId w:val="2"/>
  </w:num>
  <w:num w:numId="11" w16cid:durableId="1423064664">
    <w:abstractNumId w:val="1"/>
  </w:num>
  <w:num w:numId="12" w16cid:durableId="17521926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67224"/>
    <w:rsid w:val="00094A64"/>
    <w:rsid w:val="000A1239"/>
    <w:rsid w:val="000B58C7"/>
    <w:rsid w:val="000F2AFD"/>
    <w:rsid w:val="000F6910"/>
    <w:rsid w:val="00194A81"/>
    <w:rsid w:val="001C2A46"/>
    <w:rsid w:val="001E32A2"/>
    <w:rsid w:val="00206283"/>
    <w:rsid w:val="00270EB9"/>
    <w:rsid w:val="002952E4"/>
    <w:rsid w:val="002958D7"/>
    <w:rsid w:val="00480561"/>
    <w:rsid w:val="004871CD"/>
    <w:rsid w:val="00542E73"/>
    <w:rsid w:val="005A12C6"/>
    <w:rsid w:val="00655F2E"/>
    <w:rsid w:val="0069157E"/>
    <w:rsid w:val="006D32A1"/>
    <w:rsid w:val="006E6473"/>
    <w:rsid w:val="00A02ACA"/>
    <w:rsid w:val="00A2611D"/>
    <w:rsid w:val="00A26D2E"/>
    <w:rsid w:val="00A44C93"/>
    <w:rsid w:val="00A51853"/>
    <w:rsid w:val="00A54C25"/>
    <w:rsid w:val="00B124EE"/>
    <w:rsid w:val="00B41BD1"/>
    <w:rsid w:val="00B95977"/>
    <w:rsid w:val="00B96050"/>
    <w:rsid w:val="00BF3E4D"/>
    <w:rsid w:val="00CB119E"/>
    <w:rsid w:val="00CD37A5"/>
    <w:rsid w:val="00CF2993"/>
    <w:rsid w:val="00D13140"/>
    <w:rsid w:val="00D94D16"/>
    <w:rsid w:val="00E24527"/>
    <w:rsid w:val="00EE3E18"/>
    <w:rsid w:val="00F0266B"/>
    <w:rsid w:val="00FD46C5"/>
    <w:rsid w:val="00FE02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A02ACA"/>
    <w:pPr>
      <w:widowControl w:val="0"/>
      <w:autoSpaceDE w:val="0"/>
      <w:autoSpaceDN w:val="0"/>
      <w:ind w:left="107"/>
    </w:pPr>
    <w:rPr>
      <w:sz w:val="22"/>
      <w:szCs w:val="22"/>
    </w:rPr>
  </w:style>
  <w:style w:type="character" w:styleId="UnresolvedMention">
    <w:name w:val="Unresolved Mention"/>
    <w:uiPriority w:val="99"/>
    <w:semiHidden/>
    <w:unhideWhenUsed/>
    <w:rsid w:val="004871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210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f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1467</Words>
  <Characters>8364</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44</cp:revision>
  <dcterms:created xsi:type="dcterms:W3CDTF">2026-03-24T06:32:00Z</dcterms:created>
  <dcterms:modified xsi:type="dcterms:W3CDTF">2026-06-01T07:25:00Z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