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ECA55" w14:textId="77777777" w:rsidR="006C48B7" w:rsidRDefault="006C48B7" w:rsidP="00E47F58">
      <w:pPr>
        <w:pStyle w:val="Heading1"/>
      </w:pPr>
      <w:bookmarkStart w:id="0" w:name="_Toc50652434"/>
      <w:bookmarkStart w:id="1" w:name="_Toc49955743"/>
      <w:r w:rsidRPr="006C48B7">
        <w:t xml:space="preserve">Original Research Article </w:t>
      </w:r>
    </w:p>
    <w:bookmarkEnd w:id="0"/>
    <w:bookmarkEnd w:id="1"/>
    <w:p w14:paraId="071CEC56" w14:textId="6A35C612" w:rsidR="00755B4F" w:rsidRDefault="002A2C62" w:rsidP="002A2C62">
      <w:pPr>
        <w:ind w:firstLine="720"/>
        <w:jc w:val="right"/>
        <w:rPr>
          <w:rFonts w:ascii="Times New Roman" w:hAnsi="Times New Roman" w:cs="Times New Roman"/>
          <w:b/>
          <w:sz w:val="20"/>
          <w:szCs w:val="20"/>
          <w:lang w:val="en-GB"/>
        </w:rPr>
      </w:pPr>
      <w:r w:rsidRPr="002A2C62">
        <w:rPr>
          <w:rFonts w:ascii="Arial" w:eastAsia="Times New Roman" w:hAnsi="Arial" w:cs="Arial"/>
          <w:b/>
          <w:iCs/>
          <w:color w:val="000000" w:themeColor="text1"/>
          <w:sz w:val="36"/>
          <w:szCs w:val="36"/>
          <w:highlight w:val="yellow"/>
        </w:rPr>
        <w:t xml:space="preserve">Dietary Supplementation with </w:t>
      </w:r>
      <w:r w:rsidRPr="002A2C62">
        <w:rPr>
          <w:rFonts w:ascii="Arial" w:eastAsia="Times New Roman" w:hAnsi="Arial" w:cs="Arial"/>
          <w:b/>
          <w:i/>
          <w:iCs/>
          <w:color w:val="000000" w:themeColor="text1"/>
          <w:sz w:val="36"/>
          <w:szCs w:val="36"/>
          <w:highlight w:val="yellow"/>
        </w:rPr>
        <w:t>Chlorella vulgaris</w:t>
      </w:r>
      <w:r w:rsidRPr="002A2C62">
        <w:rPr>
          <w:rFonts w:ascii="Arial" w:eastAsia="Times New Roman" w:hAnsi="Arial" w:cs="Arial"/>
          <w:b/>
          <w:iCs/>
          <w:color w:val="000000" w:themeColor="text1"/>
          <w:sz w:val="36"/>
          <w:szCs w:val="36"/>
          <w:highlight w:val="yellow"/>
        </w:rPr>
        <w:t xml:space="preserve"> Confers Protection against </w:t>
      </w:r>
      <w:r w:rsidRPr="002A2C62">
        <w:rPr>
          <w:rFonts w:ascii="Arial" w:eastAsia="Times New Roman" w:hAnsi="Arial" w:cs="Arial"/>
          <w:b/>
          <w:i/>
          <w:iCs/>
          <w:color w:val="000000" w:themeColor="text1"/>
          <w:sz w:val="36"/>
          <w:szCs w:val="36"/>
          <w:highlight w:val="yellow"/>
        </w:rPr>
        <w:t>Streptococcus agalactiae</w:t>
      </w:r>
      <w:r w:rsidRPr="002A2C62">
        <w:rPr>
          <w:rFonts w:ascii="Arial" w:eastAsia="Times New Roman" w:hAnsi="Arial" w:cs="Arial"/>
          <w:b/>
          <w:iCs/>
          <w:color w:val="000000" w:themeColor="text1"/>
          <w:sz w:val="36"/>
          <w:szCs w:val="36"/>
          <w:highlight w:val="yellow"/>
        </w:rPr>
        <w:t xml:space="preserve"> in Nile Tilapia: An NMR-Based Metabolomics Approach</w:t>
      </w:r>
    </w:p>
    <w:p w14:paraId="274A3D20" w14:textId="77777777" w:rsidR="00250BE8" w:rsidRPr="00755B4F" w:rsidRDefault="00250BE8" w:rsidP="00755B4F">
      <w:pPr>
        <w:ind w:firstLine="720"/>
        <w:jc w:val="both"/>
        <w:rPr>
          <w:rFonts w:ascii="Times New Roman" w:hAnsi="Times New Roman" w:cs="Times New Roman"/>
          <w:b/>
          <w:sz w:val="20"/>
          <w:szCs w:val="20"/>
          <w:lang w:val="en-GB"/>
        </w:rPr>
      </w:pPr>
    </w:p>
    <w:p w14:paraId="7BA34694" w14:textId="77777777" w:rsidR="00AC2D0A" w:rsidRPr="00E47F58" w:rsidRDefault="00AC2D0A" w:rsidP="00E47F58">
      <w:pPr>
        <w:pStyle w:val="Heading3"/>
      </w:pPr>
      <w:r w:rsidRPr="00E47F58">
        <w:t>ABSTRACT</w:t>
      </w:r>
    </w:p>
    <w:p w14:paraId="41D78377"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Background:</w:t>
      </w:r>
      <w:r w:rsidRPr="00E47F58">
        <w:rPr>
          <w:rFonts w:ascii="Arial" w:hAnsi="Arial" w:cs="Arial"/>
          <w:sz w:val="20"/>
          <w:szCs w:val="20"/>
        </w:rPr>
        <w:t xml:space="preserve"> Disease outbreaks, particularly those caused by </w:t>
      </w:r>
      <w:r w:rsidRPr="00E47F58">
        <w:rPr>
          <w:rFonts w:ascii="Arial" w:hAnsi="Arial" w:cs="Arial"/>
          <w:i/>
          <w:iCs/>
          <w:sz w:val="20"/>
          <w:szCs w:val="20"/>
        </w:rPr>
        <w:t>Streptococcus agalactiae</w:t>
      </w:r>
      <w:r w:rsidRPr="00E47F58">
        <w:rPr>
          <w:rFonts w:ascii="Arial" w:hAnsi="Arial" w:cs="Arial"/>
          <w:sz w:val="20"/>
          <w:szCs w:val="20"/>
        </w:rPr>
        <w:t>, represent a significant challenge in Nile tilapia (</w:t>
      </w:r>
      <w:r w:rsidRPr="00E47F58">
        <w:rPr>
          <w:rFonts w:ascii="Arial" w:hAnsi="Arial" w:cs="Arial"/>
          <w:i/>
          <w:iCs/>
          <w:sz w:val="20"/>
          <w:szCs w:val="20"/>
        </w:rPr>
        <w:t>Oreochromis niloticus</w:t>
      </w:r>
      <w:r w:rsidRPr="00E47F58">
        <w:rPr>
          <w:rFonts w:ascii="Arial" w:hAnsi="Arial" w:cs="Arial"/>
          <w:sz w:val="20"/>
          <w:szCs w:val="20"/>
        </w:rPr>
        <w:t xml:space="preserve">) aquaculture. While </w:t>
      </w:r>
      <w:r w:rsidRPr="00E47F58">
        <w:rPr>
          <w:rFonts w:ascii="Arial" w:hAnsi="Arial" w:cs="Arial"/>
          <w:i/>
          <w:iCs/>
          <w:sz w:val="20"/>
          <w:szCs w:val="20"/>
        </w:rPr>
        <w:t>Chlorella vulgaris</w:t>
      </w:r>
      <w:r w:rsidRPr="00E47F58">
        <w:rPr>
          <w:rFonts w:ascii="Arial" w:hAnsi="Arial" w:cs="Arial"/>
          <w:sz w:val="20"/>
          <w:szCs w:val="20"/>
        </w:rPr>
        <w:t xml:space="preserve"> is recognized as a promising immunostimulant due to its rich nutrient profile, the molecular mechanisms underlying its protective effects during a live bacterial challenge require further elucidation. </w:t>
      </w:r>
    </w:p>
    <w:p w14:paraId="03DB550F"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Objective:</w:t>
      </w:r>
      <w:r w:rsidRPr="00E47F58">
        <w:rPr>
          <w:rFonts w:ascii="Arial" w:hAnsi="Arial" w:cs="Arial"/>
          <w:sz w:val="20"/>
          <w:szCs w:val="20"/>
        </w:rPr>
        <w:t xml:space="preserve"> This study aimed to evaluate the efficacy of a prophylactic diet incorporated with </w:t>
      </w:r>
      <w:r w:rsidRPr="00E47F58">
        <w:rPr>
          <w:rFonts w:ascii="Arial" w:hAnsi="Arial" w:cs="Arial"/>
          <w:i/>
          <w:iCs/>
          <w:sz w:val="20"/>
          <w:szCs w:val="20"/>
        </w:rPr>
        <w:t>C. vulgaris</w:t>
      </w:r>
      <w:r w:rsidRPr="00E47F58">
        <w:rPr>
          <w:rFonts w:ascii="Arial" w:hAnsi="Arial" w:cs="Arial"/>
          <w:sz w:val="20"/>
          <w:szCs w:val="20"/>
        </w:rPr>
        <w:t xml:space="preserve"> in enhancing the survival of Nile tilapia challenged with </w:t>
      </w:r>
      <w:r w:rsidRPr="00E47F58">
        <w:rPr>
          <w:rFonts w:ascii="Arial" w:hAnsi="Arial" w:cs="Arial"/>
          <w:i/>
          <w:iCs/>
          <w:sz w:val="20"/>
          <w:szCs w:val="20"/>
        </w:rPr>
        <w:t>Streptococcus agalactiae</w:t>
      </w:r>
      <w:r w:rsidRPr="00E47F58">
        <w:rPr>
          <w:rFonts w:ascii="Arial" w:hAnsi="Arial" w:cs="Arial"/>
          <w:sz w:val="20"/>
          <w:szCs w:val="20"/>
        </w:rPr>
        <w:t xml:space="preserve"> and to characterize the associated metabolic signatures using an NMR-based metabolomics approach. </w:t>
      </w:r>
    </w:p>
    <w:p w14:paraId="5DE700FD" w14:textId="1A7F7951" w:rsidR="00E201AF" w:rsidRPr="00E201AF" w:rsidRDefault="00AC2D0A" w:rsidP="00E201AF">
      <w:pPr>
        <w:pStyle w:val="single"/>
        <w:rPr>
          <w:rFonts w:ascii="Arial" w:hAnsi="Arial" w:cs="Arial"/>
          <w:sz w:val="20"/>
          <w:szCs w:val="20"/>
        </w:rPr>
      </w:pPr>
      <w:r w:rsidRPr="00E47F58">
        <w:rPr>
          <w:rFonts w:ascii="Arial" w:hAnsi="Arial" w:cs="Arial"/>
          <w:b/>
          <w:bCs/>
          <w:sz w:val="20"/>
          <w:szCs w:val="20"/>
        </w:rPr>
        <w:t>Methodology:</w:t>
      </w:r>
      <w:r w:rsidRPr="00E47F58">
        <w:rPr>
          <w:rFonts w:ascii="Arial" w:hAnsi="Arial" w:cs="Arial"/>
          <w:sz w:val="20"/>
          <w:szCs w:val="20"/>
        </w:rPr>
        <w:t xml:space="preserve"> Juvenile Nile tilapia were fed a commercial diet supplemented with 125 mg/kg body weight of </w:t>
      </w:r>
      <w:r w:rsidRPr="00E47F58">
        <w:rPr>
          <w:rFonts w:ascii="Arial" w:hAnsi="Arial" w:cs="Arial"/>
          <w:i/>
          <w:iCs/>
          <w:sz w:val="20"/>
          <w:szCs w:val="20"/>
        </w:rPr>
        <w:t>C. vulgaris</w:t>
      </w:r>
      <w:r w:rsidRPr="00E47F58">
        <w:rPr>
          <w:rFonts w:ascii="Arial" w:hAnsi="Arial" w:cs="Arial"/>
          <w:sz w:val="20"/>
          <w:szCs w:val="20"/>
        </w:rPr>
        <w:t xml:space="preserve"> biomass for 21 days. </w:t>
      </w:r>
      <w:r w:rsidR="00CA3B53">
        <w:rPr>
          <w:rFonts w:ascii="Arial" w:hAnsi="Arial" w:cs="Arial"/>
          <w:sz w:val="20"/>
          <w:szCs w:val="20"/>
          <w:highlight w:val="yellow"/>
        </w:rPr>
        <w:t>E</w:t>
      </w:r>
      <w:r w:rsidR="00CA3B53" w:rsidRPr="008B5925">
        <w:rPr>
          <w:rFonts w:ascii="Arial" w:hAnsi="Arial" w:cs="Arial"/>
          <w:sz w:val="20"/>
          <w:szCs w:val="20"/>
          <w:highlight w:val="yellow"/>
        </w:rPr>
        <w:t xml:space="preserve">ach group </w:t>
      </w:r>
      <w:r w:rsidR="00CA3B53">
        <w:rPr>
          <w:rFonts w:ascii="Arial" w:hAnsi="Arial" w:cs="Arial"/>
          <w:sz w:val="20"/>
          <w:szCs w:val="20"/>
          <w:highlight w:val="yellow"/>
        </w:rPr>
        <w:t xml:space="preserve">of fish receiving treatment and the control group </w:t>
      </w:r>
      <w:r w:rsidR="00CA3B53" w:rsidRPr="008B5925">
        <w:rPr>
          <w:rFonts w:ascii="Arial" w:hAnsi="Arial" w:cs="Arial"/>
          <w:sz w:val="20"/>
          <w:szCs w:val="20"/>
          <w:highlight w:val="yellow"/>
        </w:rPr>
        <w:t>consist of six (6) fish and replicated three (3)</w:t>
      </w:r>
      <w:r w:rsidR="00CA3B53">
        <w:rPr>
          <w:rFonts w:ascii="Arial" w:hAnsi="Arial" w:cs="Arial"/>
          <w:sz w:val="20"/>
          <w:szCs w:val="20"/>
          <w:highlight w:val="yellow"/>
        </w:rPr>
        <w:t xml:space="preserve"> times </w:t>
      </w:r>
      <w:r w:rsidR="00CA3B53" w:rsidRPr="00322815">
        <w:rPr>
          <w:rFonts w:ascii="Arial" w:hAnsi="Arial" w:cs="Arial"/>
          <w:sz w:val="20"/>
          <w:szCs w:val="20"/>
          <w:highlight w:val="yellow"/>
        </w:rPr>
        <w:t xml:space="preserve">and </w:t>
      </w:r>
      <w:r w:rsidR="00BB551C" w:rsidRPr="00322815">
        <w:rPr>
          <w:rFonts w:ascii="Arial" w:hAnsi="Arial" w:cs="Arial"/>
          <w:sz w:val="20"/>
          <w:szCs w:val="20"/>
          <w:highlight w:val="yellow"/>
        </w:rPr>
        <w:t>o</w:t>
      </w:r>
      <w:r w:rsidR="00D16558">
        <w:rPr>
          <w:rFonts w:ascii="Arial" w:hAnsi="Arial" w:cs="Arial"/>
          <w:sz w:val="20"/>
          <w:szCs w:val="20"/>
          <w:highlight w:val="yellow"/>
        </w:rPr>
        <w:t>ne-</w:t>
      </w:r>
      <w:r w:rsidR="00BB551C" w:rsidRPr="00322815">
        <w:rPr>
          <w:rFonts w:ascii="Arial" w:hAnsi="Arial" w:cs="Arial"/>
          <w:sz w:val="20"/>
          <w:szCs w:val="20"/>
          <w:highlight w:val="yellow"/>
        </w:rPr>
        <w:t>way ANOVA was used</w:t>
      </w:r>
      <w:r w:rsidR="00322815" w:rsidRPr="00322815">
        <w:rPr>
          <w:rFonts w:ascii="Arial" w:hAnsi="Arial" w:cs="Arial"/>
          <w:sz w:val="20"/>
          <w:szCs w:val="20"/>
          <w:highlight w:val="yellow"/>
        </w:rPr>
        <w:t xml:space="preserve"> for statistical analysis</w:t>
      </w:r>
      <w:r w:rsidR="00CA3B53">
        <w:rPr>
          <w:rFonts w:ascii="Arial" w:hAnsi="Arial" w:cs="Arial"/>
          <w:sz w:val="20"/>
          <w:szCs w:val="20"/>
        </w:rPr>
        <w:t xml:space="preserve">. </w:t>
      </w:r>
      <w:r w:rsidRPr="00E47F58">
        <w:rPr>
          <w:rFonts w:ascii="Arial" w:hAnsi="Arial" w:cs="Arial"/>
          <w:sz w:val="20"/>
          <w:szCs w:val="20"/>
        </w:rPr>
        <w:t xml:space="preserve">Following the feeding period, the fish were subjected to a bacterial challenge via the immersion method using a 1x10⁸ CFU/mL concentration of </w:t>
      </w:r>
      <w:r w:rsidRPr="00E47F58">
        <w:rPr>
          <w:rFonts w:ascii="Arial" w:hAnsi="Arial" w:cs="Arial"/>
          <w:i/>
          <w:iCs/>
          <w:sz w:val="20"/>
          <w:szCs w:val="20"/>
        </w:rPr>
        <w:t>S. agalactiae</w:t>
      </w:r>
      <w:r w:rsidRPr="00E47F58">
        <w:rPr>
          <w:rFonts w:ascii="Arial" w:hAnsi="Arial" w:cs="Arial"/>
          <w:sz w:val="20"/>
          <w:szCs w:val="20"/>
        </w:rPr>
        <w:t xml:space="preserve"> (exceeding the calculated LC</w:t>
      </w:r>
      <w:r w:rsidRPr="00E47F58">
        <w:rPr>
          <w:rFonts w:ascii="Cambria Math" w:hAnsi="Cambria Math" w:cs="Cambria Math"/>
          <w:sz w:val="20"/>
          <w:szCs w:val="20"/>
        </w:rPr>
        <w:t>₅₀</w:t>
      </w:r>
      <w:r w:rsidRPr="00E47F58">
        <w:rPr>
          <w:rFonts w:ascii="Arial" w:hAnsi="Arial" w:cs="Arial"/>
          <w:sz w:val="20"/>
          <w:szCs w:val="20"/>
        </w:rPr>
        <w:t xml:space="preserve"> of 9x10⁷ CFU/mL). Spleen samples were collected on day 29 for ¹H NMR spectroscopy and multivariate data analysis (MVDA), including PCA and OPLS-DA, to identify differentiating biomarkers between control and treated groups. </w:t>
      </w:r>
      <w:r w:rsidR="00E201AF">
        <w:rPr>
          <w:rFonts w:ascii="Arial" w:hAnsi="Arial" w:cs="Arial"/>
          <w:sz w:val="20"/>
          <w:szCs w:val="20"/>
          <w:highlight w:val="green"/>
        </w:rPr>
        <w:t>Data were</w:t>
      </w:r>
      <w:r w:rsidR="00E201AF" w:rsidRPr="00E201AF">
        <w:rPr>
          <w:rFonts w:ascii="Arial" w:hAnsi="Arial" w:cs="Arial"/>
          <w:sz w:val="20"/>
          <w:szCs w:val="20"/>
          <w:highlight w:val="green"/>
        </w:rPr>
        <w:t xml:space="preserve"> expressed as Mean ± Standard Error of the Mean (SEM). Survival rates were analyzed using the Kaplan-Meier method and compared via the Log-Rank test. For metabolomics data, normalized spectral intensities were subjected to one-way ANOVA followed by Tukey's HSD post-hoc test (q &lt; 0.05). MVDA models (PCA and OPLS-DA) were validated using 7-fold cross-validation (Q</w:t>
      </w:r>
      <w:r w:rsidR="00E201AF" w:rsidRPr="00E201AF">
        <w:rPr>
          <w:rFonts w:ascii="Arial" w:hAnsi="Arial" w:cs="Arial"/>
          <w:sz w:val="20"/>
          <w:szCs w:val="20"/>
          <w:highlight w:val="green"/>
          <w:vertAlign w:val="superscript"/>
        </w:rPr>
        <w:t>2</w:t>
      </w:r>
      <w:r w:rsidR="00E201AF" w:rsidRPr="00E201AF">
        <w:rPr>
          <w:rFonts w:ascii="Arial" w:hAnsi="Arial" w:cs="Arial"/>
          <w:sz w:val="20"/>
          <w:szCs w:val="20"/>
          <w:highlight w:val="green"/>
        </w:rPr>
        <w:t xml:space="preserve">) and a 100-fold permutation test. All univariate statistical analyses were performed using Software, SPSS </w:t>
      </w:r>
      <w:r w:rsidR="00E201AF" w:rsidRPr="00E201AF">
        <w:rPr>
          <w:rFonts w:ascii="Arial" w:hAnsi="Arial" w:cs="Arial"/>
          <w:bCs/>
          <w:sz w:val="20"/>
          <w:szCs w:val="20"/>
          <w:highlight w:val="green"/>
        </w:rPr>
        <w:t>Version 17.0 (SPSS Inc., Chicago, IL, USA)</w:t>
      </w:r>
      <w:r w:rsidR="00E201AF" w:rsidRPr="00E201AF">
        <w:rPr>
          <w:rFonts w:ascii="Arial" w:hAnsi="Arial" w:cs="Arial"/>
          <w:sz w:val="20"/>
          <w:szCs w:val="20"/>
          <w:highlight w:val="green"/>
        </w:rPr>
        <w:t xml:space="preserve">, and multivariate modeling was conducted using Software, SIMCA </w:t>
      </w:r>
      <w:proofErr w:type="spellStart"/>
      <w:r w:rsidR="00E201AF" w:rsidRPr="00E201AF">
        <w:rPr>
          <w:rFonts w:ascii="Arial" w:hAnsi="Arial" w:cs="Arial"/>
          <w:sz w:val="20"/>
          <w:szCs w:val="20"/>
          <w:highlight w:val="green"/>
        </w:rPr>
        <w:t>Umetrics</w:t>
      </w:r>
      <w:proofErr w:type="spellEnd"/>
      <w:r w:rsidR="00E201AF" w:rsidRPr="00E201AF">
        <w:rPr>
          <w:rFonts w:ascii="Arial" w:hAnsi="Arial" w:cs="Arial"/>
          <w:sz w:val="20"/>
          <w:szCs w:val="20"/>
          <w:highlight w:val="green"/>
        </w:rPr>
        <w:t xml:space="preserve"> 14.1 (Sartorius Stedim Biotech, Sweden) and an online database, </w:t>
      </w:r>
      <w:proofErr w:type="spellStart"/>
      <w:r w:rsidR="00E201AF" w:rsidRPr="00E201AF">
        <w:rPr>
          <w:rFonts w:ascii="Arial" w:hAnsi="Arial" w:cs="Arial"/>
          <w:sz w:val="20"/>
          <w:szCs w:val="20"/>
          <w:highlight w:val="green"/>
        </w:rPr>
        <w:t>MetaboAnalyst</w:t>
      </w:r>
      <w:proofErr w:type="spellEnd"/>
      <w:r w:rsidR="00E201AF" w:rsidRPr="00E201AF">
        <w:rPr>
          <w:rFonts w:ascii="Arial" w:hAnsi="Arial" w:cs="Arial"/>
          <w:sz w:val="20"/>
          <w:szCs w:val="20"/>
          <w:highlight w:val="green"/>
        </w:rPr>
        <w:t xml:space="preserve"> 6.0.</w:t>
      </w:r>
    </w:p>
    <w:p w14:paraId="082A9525"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Results:</w:t>
      </w:r>
      <w:r w:rsidRPr="00E47F58">
        <w:rPr>
          <w:rFonts w:ascii="Arial" w:hAnsi="Arial" w:cs="Arial"/>
          <w:sz w:val="20"/>
          <w:szCs w:val="20"/>
        </w:rPr>
        <w:t xml:space="preserve"> The </w:t>
      </w:r>
      <w:r w:rsidRPr="00E47F58">
        <w:rPr>
          <w:rFonts w:ascii="Arial" w:hAnsi="Arial" w:cs="Arial"/>
          <w:i/>
          <w:iCs/>
          <w:sz w:val="20"/>
          <w:szCs w:val="20"/>
        </w:rPr>
        <w:t>C. vulgaris</w:t>
      </w:r>
      <w:r w:rsidRPr="00E47F58">
        <w:rPr>
          <w:rFonts w:ascii="Arial" w:hAnsi="Arial" w:cs="Arial"/>
          <w:sz w:val="20"/>
          <w:szCs w:val="20"/>
        </w:rPr>
        <w:t xml:space="preserve"> treatment significantly improved survival rates, with the treated challenged group (CVC) exhibiting a 90% survival rate compared to only 13.3% in the control challenged group (CFC). Metabolomics analysis identified 21 metabolites in the spleen, with significant up-regulation of key biomarkers in </w:t>
      </w:r>
      <w:r w:rsidRPr="00E47F58">
        <w:rPr>
          <w:rFonts w:ascii="Arial" w:hAnsi="Arial" w:cs="Arial"/>
          <w:i/>
          <w:iCs/>
          <w:sz w:val="20"/>
          <w:szCs w:val="20"/>
        </w:rPr>
        <w:t>C. vulgaris</w:t>
      </w:r>
      <w:r w:rsidRPr="00E47F58">
        <w:rPr>
          <w:rFonts w:ascii="Arial" w:hAnsi="Arial" w:cs="Arial"/>
          <w:sz w:val="20"/>
          <w:szCs w:val="20"/>
        </w:rPr>
        <w:t xml:space="preserve">-fed fish, including palmitic acid (11.55-fold), riboflavin (6.51-fold), arginine (2.62-fold), and alanine (2.12-fold). Conversely, </w:t>
      </w:r>
      <w:r w:rsidRPr="00E47F58">
        <w:rPr>
          <w:rFonts w:ascii="Arial" w:hAnsi="Arial" w:cs="Arial"/>
          <w:i/>
          <w:iCs/>
          <w:sz w:val="20"/>
          <w:szCs w:val="20"/>
        </w:rPr>
        <w:t>S. agalactiae</w:t>
      </w:r>
      <w:r w:rsidRPr="00E47F58">
        <w:rPr>
          <w:rFonts w:ascii="Arial" w:hAnsi="Arial" w:cs="Arial"/>
          <w:sz w:val="20"/>
          <w:szCs w:val="20"/>
        </w:rPr>
        <w:t xml:space="preserve"> challenge in control fish led to a severe down-regulation of essential metabolites, most notably linoleic acid (33.28-fold reduction) and stearic acid (18.46-fold reduction). This drastic metabolic depletion was effectively mitigated in fish previously fed with </w:t>
      </w:r>
      <w:r w:rsidRPr="00E47F58">
        <w:rPr>
          <w:rFonts w:ascii="Arial" w:hAnsi="Arial" w:cs="Arial"/>
          <w:i/>
          <w:iCs/>
          <w:sz w:val="20"/>
          <w:szCs w:val="20"/>
        </w:rPr>
        <w:t>C. vulgaris</w:t>
      </w:r>
      <w:r w:rsidRPr="00E47F58">
        <w:rPr>
          <w:rFonts w:ascii="Arial" w:hAnsi="Arial" w:cs="Arial"/>
          <w:sz w:val="20"/>
          <w:szCs w:val="20"/>
        </w:rPr>
        <w:t xml:space="preserve">, where metabolite levels remained stable despite the bacterial challenge. </w:t>
      </w:r>
    </w:p>
    <w:p w14:paraId="64A85281" w14:textId="77777777" w:rsidR="00AC2D0A" w:rsidRPr="00E47F58" w:rsidRDefault="00AC2D0A" w:rsidP="00AC2D0A">
      <w:pPr>
        <w:jc w:val="both"/>
        <w:rPr>
          <w:rFonts w:ascii="Arial" w:hAnsi="Arial" w:cs="Arial"/>
          <w:sz w:val="20"/>
          <w:szCs w:val="20"/>
        </w:rPr>
      </w:pPr>
      <w:r w:rsidRPr="00E47F58">
        <w:rPr>
          <w:rFonts w:ascii="Arial" w:hAnsi="Arial" w:cs="Arial"/>
          <w:b/>
          <w:bCs/>
          <w:sz w:val="20"/>
          <w:szCs w:val="20"/>
        </w:rPr>
        <w:t>Conclusion:</w:t>
      </w:r>
      <w:r w:rsidRPr="00E47F58">
        <w:rPr>
          <w:rFonts w:ascii="Arial" w:hAnsi="Arial" w:cs="Arial"/>
          <w:sz w:val="20"/>
          <w:szCs w:val="20"/>
        </w:rPr>
        <w:t xml:space="preserve"> Prophylactic supplementation with </w:t>
      </w:r>
      <w:r w:rsidRPr="00E47F58">
        <w:rPr>
          <w:rFonts w:ascii="Arial" w:hAnsi="Arial" w:cs="Arial"/>
          <w:i/>
          <w:iCs/>
          <w:sz w:val="20"/>
          <w:szCs w:val="20"/>
        </w:rPr>
        <w:t>C. vulgaris</w:t>
      </w:r>
      <w:r w:rsidRPr="00E47F58">
        <w:rPr>
          <w:rFonts w:ascii="Arial" w:hAnsi="Arial" w:cs="Arial"/>
          <w:sz w:val="20"/>
          <w:szCs w:val="20"/>
        </w:rPr>
        <w:t xml:space="preserve"> at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effectively primes the innate immune system of Nile tilapia, providing robust protection against </w:t>
      </w:r>
      <w:r w:rsidRPr="00E47F58">
        <w:rPr>
          <w:rFonts w:ascii="Arial" w:hAnsi="Arial" w:cs="Arial"/>
          <w:i/>
          <w:iCs/>
          <w:sz w:val="20"/>
          <w:szCs w:val="20"/>
        </w:rPr>
        <w:t>S. agalactiae</w:t>
      </w:r>
      <w:r w:rsidRPr="00E47F58">
        <w:rPr>
          <w:rFonts w:ascii="Arial" w:hAnsi="Arial" w:cs="Arial"/>
          <w:sz w:val="20"/>
          <w:szCs w:val="20"/>
        </w:rPr>
        <w:t xml:space="preserve"> infection. The sustained </w:t>
      </w:r>
      <w:r w:rsidRPr="00E47F58">
        <w:rPr>
          <w:rFonts w:ascii="Arial" w:hAnsi="Arial" w:cs="Arial"/>
          <w:sz w:val="20"/>
          <w:szCs w:val="20"/>
        </w:rPr>
        <w:lastRenderedPageBreak/>
        <w:t xml:space="preserve">levels of vital amino acids and fatty acids in treated fish suggest that </w:t>
      </w:r>
      <w:r w:rsidRPr="00E47F58">
        <w:rPr>
          <w:rFonts w:ascii="Arial" w:hAnsi="Arial" w:cs="Arial"/>
          <w:i/>
          <w:iCs/>
          <w:sz w:val="20"/>
          <w:szCs w:val="20"/>
        </w:rPr>
        <w:t>C. vulgaris</w:t>
      </w:r>
      <w:r w:rsidRPr="00E47F58">
        <w:rPr>
          <w:rFonts w:ascii="Arial" w:hAnsi="Arial" w:cs="Arial"/>
          <w:sz w:val="20"/>
          <w:szCs w:val="20"/>
        </w:rPr>
        <w:t xml:space="preserve"> maintains metabolic homeostasis and immune cell viability, offering a sustainable alternative to traditional disease management in aquaculture. </w:t>
      </w:r>
    </w:p>
    <w:p w14:paraId="28720332" w14:textId="5DA3379C" w:rsidR="00AC2D0A" w:rsidRPr="00E47F58" w:rsidRDefault="00AC2D0A" w:rsidP="00AC2D0A">
      <w:pPr>
        <w:jc w:val="both"/>
        <w:rPr>
          <w:rFonts w:ascii="Arial" w:hAnsi="Arial" w:cs="Arial"/>
          <w:sz w:val="20"/>
          <w:szCs w:val="20"/>
        </w:rPr>
      </w:pPr>
      <w:r w:rsidRPr="00E47F58">
        <w:rPr>
          <w:rFonts w:ascii="Arial" w:hAnsi="Arial" w:cs="Arial"/>
          <w:b/>
          <w:bCs/>
          <w:sz w:val="20"/>
          <w:szCs w:val="20"/>
        </w:rPr>
        <w:t xml:space="preserve">Keywords: </w:t>
      </w:r>
      <w:r w:rsidRPr="00E47F58">
        <w:rPr>
          <w:rFonts w:ascii="Arial" w:hAnsi="Arial" w:cs="Arial"/>
          <w:i/>
          <w:iCs/>
          <w:sz w:val="20"/>
          <w:szCs w:val="20"/>
        </w:rPr>
        <w:t>Chlorella vulgaris</w:t>
      </w:r>
      <w:r w:rsidRPr="00E47F58">
        <w:rPr>
          <w:rFonts w:ascii="Arial" w:hAnsi="Arial" w:cs="Arial"/>
          <w:sz w:val="20"/>
          <w:szCs w:val="20"/>
        </w:rPr>
        <w:t xml:space="preserve">; </w:t>
      </w:r>
      <w:r w:rsidRPr="00E47F58">
        <w:rPr>
          <w:rFonts w:ascii="Arial" w:hAnsi="Arial" w:cs="Arial"/>
          <w:i/>
          <w:iCs/>
          <w:sz w:val="20"/>
          <w:szCs w:val="20"/>
        </w:rPr>
        <w:t>Streptococcus agalactiae</w:t>
      </w:r>
      <w:r w:rsidRPr="00E47F58">
        <w:rPr>
          <w:rFonts w:ascii="Arial" w:hAnsi="Arial" w:cs="Arial"/>
          <w:sz w:val="20"/>
          <w:szCs w:val="20"/>
        </w:rPr>
        <w:t>; Nile tilapia; NMR-based metabolomics; Prophylactic treatment</w:t>
      </w:r>
      <w:r w:rsidR="0025262C">
        <w:rPr>
          <w:rFonts w:ascii="Arial" w:hAnsi="Arial" w:cs="Arial"/>
          <w:sz w:val="20"/>
          <w:szCs w:val="20"/>
        </w:rPr>
        <w:t xml:space="preserve">; </w:t>
      </w:r>
      <w:r w:rsidR="0025262C" w:rsidRPr="0025262C">
        <w:rPr>
          <w:rFonts w:ascii="Arial" w:hAnsi="Arial" w:cs="Arial"/>
          <w:sz w:val="20"/>
          <w:szCs w:val="20"/>
          <w:highlight w:val="yellow"/>
        </w:rPr>
        <w:t>Innate immunity.</w:t>
      </w:r>
    </w:p>
    <w:p w14:paraId="38F150F5" w14:textId="77777777" w:rsidR="00AC2D0A" w:rsidRPr="00C4167B" w:rsidRDefault="00AC2D0A" w:rsidP="00C4167B">
      <w:pPr>
        <w:rPr>
          <w:lang w:val="en-GB"/>
        </w:rPr>
      </w:pPr>
    </w:p>
    <w:p w14:paraId="1CBB9EE6" w14:textId="77777777" w:rsidR="00EB6AE8" w:rsidRPr="00E47F58" w:rsidRDefault="00982E49" w:rsidP="002C772B">
      <w:pPr>
        <w:pStyle w:val="Heading2"/>
      </w:pPr>
      <w:bookmarkStart w:id="2" w:name="_Toc49955744"/>
      <w:bookmarkStart w:id="3" w:name="_Toc50652435"/>
      <w:r w:rsidRPr="00E47F58">
        <w:t>1.0</w:t>
      </w:r>
      <w:r w:rsidRPr="00E47F58">
        <w:tab/>
      </w:r>
      <w:r w:rsidR="00123C53" w:rsidRPr="00E47F58">
        <w:t>INTRODUCTION</w:t>
      </w:r>
      <w:bookmarkEnd w:id="2"/>
      <w:bookmarkEnd w:id="3"/>
    </w:p>
    <w:p w14:paraId="64CB9380" w14:textId="11A5E113" w:rsidR="005769C4" w:rsidRDefault="000F209F" w:rsidP="005769C4">
      <w:pPr>
        <w:pStyle w:val="single"/>
        <w:rPr>
          <w:rFonts w:ascii="Arial" w:hAnsi="Arial" w:cs="Arial"/>
          <w:sz w:val="20"/>
          <w:szCs w:val="20"/>
        </w:rPr>
      </w:pPr>
      <w:r w:rsidRPr="000F209F">
        <w:rPr>
          <w:rFonts w:ascii="Arial" w:hAnsi="Arial" w:cs="Arial"/>
          <w:sz w:val="20"/>
          <w:szCs w:val="20"/>
        </w:rPr>
        <w:t xml:space="preserve">Microalgae are increasingly </w:t>
      </w:r>
      <w:proofErr w:type="spellStart"/>
      <w:r w:rsidRPr="000F209F">
        <w:rPr>
          <w:rFonts w:ascii="Arial" w:hAnsi="Arial" w:cs="Arial"/>
          <w:sz w:val="20"/>
          <w:szCs w:val="20"/>
        </w:rPr>
        <w:t>recognised</w:t>
      </w:r>
      <w:proofErr w:type="spellEnd"/>
      <w:r w:rsidRPr="000F209F">
        <w:rPr>
          <w:rFonts w:ascii="Arial" w:hAnsi="Arial" w:cs="Arial"/>
          <w:sz w:val="20"/>
          <w:szCs w:val="20"/>
        </w:rPr>
        <w:t xml:space="preserve"> as innovative and promising food ingredients due to their rich nutritional composition, which includes high-value proteins, polyunsaturated fatty acids, carotenoids, vitamins, minerals, chlorophylls, phenolic compounds, and a wide range of other bioactive constituents (Batista et al., 2017; </w:t>
      </w:r>
      <w:proofErr w:type="spellStart"/>
      <w:r w:rsidRPr="000F209F">
        <w:rPr>
          <w:rFonts w:ascii="Arial" w:hAnsi="Arial" w:cs="Arial"/>
          <w:sz w:val="20"/>
          <w:szCs w:val="20"/>
        </w:rPr>
        <w:t>Pantami</w:t>
      </w:r>
      <w:proofErr w:type="spellEnd"/>
      <w:r w:rsidRPr="000F209F">
        <w:rPr>
          <w:rFonts w:ascii="Arial" w:hAnsi="Arial" w:cs="Arial"/>
          <w:sz w:val="20"/>
          <w:szCs w:val="20"/>
        </w:rPr>
        <w:t xml:space="preserve"> et al., 2020).</w:t>
      </w:r>
      <w:r>
        <w:rPr>
          <w:rFonts w:ascii="Arial" w:hAnsi="Arial" w:cs="Arial"/>
          <w:sz w:val="20"/>
          <w:szCs w:val="20"/>
        </w:rPr>
        <w:t xml:space="preserve"> </w:t>
      </w:r>
      <w:r w:rsidR="00245B80" w:rsidRPr="00E47F58">
        <w:rPr>
          <w:rFonts w:ascii="Arial" w:hAnsi="Arial" w:cs="Arial"/>
          <w:sz w:val="20"/>
          <w:szCs w:val="20"/>
        </w:rPr>
        <w:t xml:space="preserve">In the previous years some researches focused on innovative and healthy food products integrated with micro algal biomass such as pasta, biscuits and vegetarian dessert </w:t>
      </w:r>
      <w:r w:rsidR="00245B80"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{"citationItems":[{"id":"ITEM-1","itemData":{"DOI":"10.1016/j.jfoodeng.2011.05.044","ISSN":"02608774","abstract":"Microalgae represent an alternative and innovative source of natural ingredients that can be used in the development of novel food products. Biologically active compounds (e.g. carotenoids) are naturally encapsulated within microalgal cells, being able to resist harsh technological conditions involved in food technology processes. The aim of this work was to study the effect of adding Haematococcus pluvialis and Spirulina maxima microalgal biomass on the linear viscoelastic behaviour of vegetarian food gels prepared from pea protein, j-carrageenan and starch. The gelation process was monitored in situ through dynamic oscillatory measurements, under different thermal profile conditions. Increasing temperature (70-90 °C, 5 min) resulted in more structured gels, while the effect of time (5-30 min, at 90 °C) was less pronounced. The effect of heating and cooling rates on gel setting was also studied. Haematococcus gels were highly structured and less dependent on gel setting conditions. Spirulina gels presented lower values of viscoelastic functions than the control (gel matrix without microalgae), but this was overcome when using lower heating/cooling rates. © 2011 Elsevier Ltd. All rights reserved.","author":[{"dropping-particle":"","family":"Batista","given":"Ana Paula","non-dropping-particle":"","parse-names":false,"suffix":""},{"dropping-particle":"","family":"Nunes","given":"Ma Cristiana","non-dropping-particle":"","parse-names":false,"suffix":""},{"dropping-particle":"","family":"Fradinho","given":"Patrícia","non-dropping-particle":"","parse-names":false,"suffix":""},{"dropping-particle":"","family":"Gouveia","given":"Luísa","non-dropping-particle":"","parse-names":false,"suffix":""},{"dropping-particle":"","family":"Sousa","given":"Isabel","non-dropping-particle":"","parse-names":false,"suffix":""},{"dropping-particle":"","family":"Raymundo","given":"Anabela","non-dropping-particle":"","parse-names":false,"suffix":""},{"dropping-particle":"","family":"Franco","given":"José M.","non-dropping-particle":"","parse-names":false,"suffix":""}],"container-title":"Journal of Food Engineering","id":"ITEM-1","issue":"2","issued":{"date-parts":[["2012"]]},"page":"182-189","publisher":"Elsevier Ltd","title":"Novel foods with microalgal ingredients - Effect of gel setting conditions on the linear viscoelasticity of Spirulina and Haematococcus gels","type":"article-journal","volume":"110"},"uris":["http://www.mendeley.com/documents/?uuid=38307e62-6e3c-4199-882d-a33b9138f8ab"]}],"mendeley":{"formattedCitation":"(Batista et al., 2012)","plainTextFormattedCitation":"(Batista et al., 2012)","previouslyFormattedCitation":"(Batista et al. 2012)"},"properties":{"noteIndex":0},"schema":"https://github.com/citation-style-language/schema/raw/master/csl-citation.json"}</w:instrText>
      </w:r>
      <w:r w:rsidR="00245B80" w:rsidRPr="00E47F58">
        <w:rPr>
          <w:rFonts w:ascii="Arial" w:hAnsi="Arial" w:cs="Arial"/>
          <w:sz w:val="20"/>
          <w:szCs w:val="20"/>
        </w:rPr>
        <w:fldChar w:fldCharType="separate"/>
      </w:r>
      <w:r w:rsidR="00E51220" w:rsidRPr="00E51220">
        <w:rPr>
          <w:rFonts w:ascii="Arial" w:hAnsi="Arial" w:cs="Arial"/>
          <w:noProof/>
          <w:sz w:val="20"/>
          <w:szCs w:val="20"/>
        </w:rPr>
        <w:t>(Batista et al., 2012)</w:t>
      </w:r>
      <w:r w:rsidR="00245B80" w:rsidRPr="00E47F58">
        <w:rPr>
          <w:rFonts w:ascii="Arial" w:hAnsi="Arial" w:cs="Arial"/>
          <w:sz w:val="20"/>
          <w:szCs w:val="20"/>
        </w:rPr>
        <w:fldChar w:fldCharType="end"/>
      </w:r>
      <w:r w:rsidR="00245B80" w:rsidRPr="00E47F58">
        <w:rPr>
          <w:rFonts w:ascii="Arial" w:hAnsi="Arial" w:cs="Arial"/>
          <w:sz w:val="20"/>
          <w:szCs w:val="20"/>
        </w:rPr>
        <w:t xml:space="preserve">. </w:t>
      </w:r>
      <w:r w:rsidR="005769C4" w:rsidRPr="00E47F58">
        <w:rPr>
          <w:rFonts w:ascii="Arial" w:hAnsi="Arial" w:cs="Arial"/>
          <w:sz w:val="20"/>
          <w:szCs w:val="20"/>
        </w:rPr>
        <w:t xml:space="preserve">High value microalgae species produce an array of different classes of compounds that contribute to improvement of immunity in </w:t>
      </w:r>
      <w:r w:rsidR="005769C4" w:rsidRPr="00C574BD">
        <w:rPr>
          <w:rFonts w:ascii="Arial" w:hAnsi="Arial" w:cs="Arial"/>
          <w:sz w:val="20"/>
          <w:szCs w:val="20"/>
          <w:highlight w:val="green"/>
        </w:rPr>
        <w:t>living orga</w:t>
      </w:r>
      <w:r w:rsidR="00C574BD">
        <w:rPr>
          <w:rFonts w:ascii="Arial" w:hAnsi="Arial" w:cs="Arial"/>
          <w:sz w:val="20"/>
          <w:szCs w:val="20"/>
          <w:highlight w:val="green"/>
        </w:rPr>
        <w:t>ni</w:t>
      </w:r>
      <w:r w:rsidR="005769C4" w:rsidRPr="00C574BD">
        <w:rPr>
          <w:rFonts w:ascii="Arial" w:hAnsi="Arial" w:cs="Arial"/>
          <w:sz w:val="20"/>
          <w:szCs w:val="20"/>
          <w:highlight w:val="green"/>
        </w:rPr>
        <w:t>sms</w:t>
      </w:r>
      <w:r w:rsidR="005769C4" w:rsidRPr="00E47F58">
        <w:rPr>
          <w:rFonts w:ascii="Arial" w:hAnsi="Arial" w:cs="Arial"/>
          <w:sz w:val="20"/>
          <w:szCs w:val="20"/>
        </w:rPr>
        <w:t xml:space="preserve">. In this regard, economic affordability and pharmacological potentials of microalgae-derived drugs, have gain prominent and current research interest worldwide especially in tropical countries due to suitability of culturing conditions. Metabolomics as a science field that characterizes endogenous and exogenous low molecular mass metabolites within various samples, is also applicable in studies involving cells, tissues, and bio fluids of an organism in response to external stimuli such as diseases, contaminants, nutritional imbalance and immune stimulants </w:t>
      </w:r>
      <w:r w:rsidR="005769C4"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{"citationItems":[{"id":"ITEM-1","itemData":{"author":[{"dropping-particle":"","family":"Lankadurai","given":"Brian P","non-dropping-particle":"","parse-names":false,"suffix":""},{"dropping-particle":"","family":"Nagato","given":"Edward G","non-dropping-particle":"","parse-names":false,"suffix":""},{"dropping-particle":"","family":"Simpson","given":"Myrna J","non-dropping-particle":"","parse-names":false,"suffix":""}],"container-title":"Environmental Review","id":"ITEM-1","issue":"21","issued":{"date-parts":[["2013"]]},"page":"180-205","title":"Environmental metabolomics : an emerging approach to study organism responses to environmental stressors","type":"article-journal","volume":"205"},"uris":["http://www.mendeley.com/documents/?uuid=b4cfbe68-cbdd-4dd4-9a2d-ac3b02453953"]}],"mendeley":{"formattedCitation":"(Lankadurai et al., 2013)","plainTextFormattedCitation":"(Lankadurai et al., 2013)","previouslyFormattedCitation":"(Lankadurai, Nagato, and Simpson 2013)"},"properties":{"noteIndex":0},"schema":"https://github.com/citation-style-language/schema/raw/master/csl-citation.json"}</w:instrText>
      </w:r>
      <w:r w:rsidR="005769C4" w:rsidRPr="00E47F58">
        <w:rPr>
          <w:rFonts w:ascii="Arial" w:hAnsi="Arial" w:cs="Arial"/>
          <w:sz w:val="20"/>
          <w:szCs w:val="20"/>
        </w:rPr>
        <w:fldChar w:fldCharType="separate"/>
      </w:r>
      <w:r w:rsidR="00E51220" w:rsidRPr="00E51220">
        <w:rPr>
          <w:rFonts w:ascii="Arial" w:hAnsi="Arial" w:cs="Arial"/>
          <w:noProof/>
          <w:sz w:val="20"/>
          <w:szCs w:val="20"/>
        </w:rPr>
        <w:t>(Lankadurai et al., 2013)</w:t>
      </w:r>
      <w:r w:rsidR="005769C4" w:rsidRPr="00E47F58">
        <w:rPr>
          <w:rFonts w:ascii="Arial" w:hAnsi="Arial" w:cs="Arial"/>
          <w:sz w:val="20"/>
          <w:szCs w:val="20"/>
        </w:rPr>
        <w:fldChar w:fldCharType="end"/>
      </w:r>
      <w:r w:rsidR="005769C4" w:rsidRPr="00E47F58">
        <w:rPr>
          <w:rFonts w:ascii="Arial" w:hAnsi="Arial" w:cs="Arial"/>
          <w:sz w:val="20"/>
          <w:szCs w:val="20"/>
        </w:rPr>
        <w:t xml:space="preserve">. Metabolomics approach can generate comprehensive data sets of the sample being analyzed. This is simply because the metabolites within a cell, tissue, organ, biological fluid or the entire organism constitute the metabolome </w:t>
      </w:r>
      <w:r w:rsidR="005769C4"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{"citationItems":[{"id":"ITEM-1","itemData":{"DOI":"10.1016/j.jpba.2005.05.012","author":[{"dropping-particle":"","family":"Webb-robertson","given":"Bobbie-jo M","non-dropping-particle":"","parse-names":false,"suffix":""},{"dropping-particle":"","family":"Lowry","given":"David F","non-dropping-particle":"","parse-names":false,"suffix":""},{"dropping-particle":"","family":"Jarman","given":"Kristin H","non-dropping-particle":"","parse-names":false,"suffix":""},{"dropping-particle":"","family":"Harbo","given":"Sam J","non-dropping-particle":"","parse-names":false,"suffix":""},{"dropping-particle":"","family":"Meng","given":"Q Ryan","non-dropping-particle":"","parse-names":false,"suffix":""},{"dropping-particle":"","family":"Fuciarelli","given":"Alfred F","non-dropping-particle":"","parse-names":false,"suffix":""},{"dropping-particle":"","family":"Pounds","given":"Joel G","non-dropping-particle":"","parse-names":false,"suffix":""},{"dropping-particle":"","family":"Lee","given":"K Monica","non-dropping-particle":"","parse-names":false,"suffix":""}],"container-title":"Journal of Pharmaceutical and Biomedical Analysis","id":"ITEM-1","issued":{"date-parts":[["2005"]]},"page":"830-836","title":"A Study of spectral integration and normalization in NMR-based metabonomic analyses","type":"article-journal","volume":"39"},"uris":["http://www.mendeley.com/documents/?uuid=2524683a-6695-45cc-acc4-7b06b75ab86b"]}],"mendeley":{"formattedCitation":"(Webb-robertson et al., 2005)","plainTextFormattedCitation":"(Webb-robertson et al., 2005)","previouslyFormattedCitation":"(Webb-robertson et al. 2005)"},"properties":{"noteIndex":0},"schema":"https://github.com/citation-style-language/schema/raw/master/csl-citation.json"}</w:instrText>
      </w:r>
      <w:r w:rsidR="005769C4" w:rsidRPr="00E47F58">
        <w:rPr>
          <w:rFonts w:ascii="Arial" w:hAnsi="Arial" w:cs="Arial"/>
          <w:sz w:val="20"/>
          <w:szCs w:val="20"/>
        </w:rPr>
        <w:fldChar w:fldCharType="separate"/>
      </w:r>
      <w:r w:rsidR="00E51220" w:rsidRPr="00E51220">
        <w:rPr>
          <w:rFonts w:ascii="Arial" w:hAnsi="Arial" w:cs="Arial"/>
          <w:noProof/>
          <w:sz w:val="20"/>
          <w:szCs w:val="20"/>
        </w:rPr>
        <w:t>(Webb-robertson et al., 2005)</w:t>
      </w:r>
      <w:r w:rsidR="005769C4" w:rsidRPr="00E47F58">
        <w:rPr>
          <w:rFonts w:ascii="Arial" w:hAnsi="Arial" w:cs="Arial"/>
          <w:sz w:val="20"/>
          <w:szCs w:val="20"/>
        </w:rPr>
        <w:fldChar w:fldCharType="end"/>
      </w:r>
      <w:r w:rsidR="005769C4" w:rsidRPr="00E47F58">
        <w:rPr>
          <w:rFonts w:ascii="Arial" w:hAnsi="Arial" w:cs="Arial"/>
          <w:sz w:val="20"/>
          <w:szCs w:val="20"/>
        </w:rPr>
        <w:t>.</w:t>
      </w:r>
    </w:p>
    <w:p w14:paraId="4BC0EC52" w14:textId="555218A3" w:rsidR="006B7BC9" w:rsidRDefault="000F209F" w:rsidP="006B7BC9">
      <w:pPr>
        <w:jc w:val="both"/>
        <w:rPr>
          <w:rFonts w:ascii="Arial" w:hAnsi="Arial" w:cs="Arial"/>
          <w:sz w:val="20"/>
          <w:szCs w:val="20"/>
          <w:lang w:val="en-GB"/>
        </w:rPr>
      </w:pPr>
      <w:r w:rsidRPr="000F209F">
        <w:rPr>
          <w:rFonts w:ascii="Arial" w:hAnsi="Arial" w:cs="Arial"/>
          <w:sz w:val="20"/>
          <w:szCs w:val="20"/>
          <w:lang w:val="en-GB"/>
        </w:rPr>
        <w:t xml:space="preserve">The principal bioactive constituents of C. vulgaris include pigments, fatty acids/lipids, amino acids, vitamins, and simple sugars. Among these, pigments are broadly categorised into three major groups: carotenoids, chlorophylls, and </w:t>
      </w:r>
      <w:proofErr w:type="spellStart"/>
      <w:r w:rsidRPr="000F209F">
        <w:rPr>
          <w:rFonts w:ascii="Arial" w:hAnsi="Arial" w:cs="Arial"/>
          <w:sz w:val="20"/>
          <w:szCs w:val="20"/>
          <w:lang w:val="en-GB"/>
        </w:rPr>
        <w:t>phycobilins</w:t>
      </w:r>
      <w:proofErr w:type="spellEnd"/>
      <w:r w:rsidRPr="000F209F">
        <w:rPr>
          <w:rFonts w:ascii="Arial" w:hAnsi="Arial" w:cs="Arial"/>
          <w:sz w:val="20"/>
          <w:szCs w:val="20"/>
          <w:lang w:val="en-GB"/>
        </w:rPr>
        <w:t xml:space="preserve">. Carotenoids are widely distributed among various microalgal species, whereas chlorophylls are synthesised by both green microalgae and higher plants. In contrast, </w:t>
      </w:r>
      <w:proofErr w:type="spellStart"/>
      <w:r w:rsidRPr="000F209F">
        <w:rPr>
          <w:rFonts w:ascii="Arial" w:hAnsi="Arial" w:cs="Arial"/>
          <w:sz w:val="20"/>
          <w:szCs w:val="20"/>
          <w:lang w:val="en-GB"/>
        </w:rPr>
        <w:t>phycobilins</w:t>
      </w:r>
      <w:proofErr w:type="spellEnd"/>
      <w:r w:rsidRPr="000F209F">
        <w:rPr>
          <w:rFonts w:ascii="Arial" w:hAnsi="Arial" w:cs="Arial"/>
          <w:sz w:val="20"/>
          <w:szCs w:val="20"/>
          <w:lang w:val="en-GB"/>
        </w:rPr>
        <w:t xml:space="preserve"> are predominantly associated with cyanobacteria and certain species of red algae (Markou &amp; </w:t>
      </w:r>
      <w:proofErr w:type="spellStart"/>
      <w:r w:rsidRPr="000F209F">
        <w:rPr>
          <w:rFonts w:ascii="Arial" w:hAnsi="Arial" w:cs="Arial"/>
          <w:sz w:val="20"/>
          <w:szCs w:val="20"/>
          <w:lang w:val="en-GB"/>
        </w:rPr>
        <w:t>Nerantzis</w:t>
      </w:r>
      <w:proofErr w:type="spellEnd"/>
      <w:r w:rsidRPr="000F209F">
        <w:rPr>
          <w:rFonts w:ascii="Arial" w:hAnsi="Arial" w:cs="Arial"/>
          <w:sz w:val="20"/>
          <w:szCs w:val="20"/>
          <w:lang w:val="en-GB"/>
        </w:rPr>
        <w:t>, 2013).</w:t>
      </w:r>
      <w:r>
        <w:rPr>
          <w:rFonts w:ascii="Arial" w:hAnsi="Arial" w:cs="Arial"/>
          <w:sz w:val="20"/>
          <w:szCs w:val="20"/>
          <w:lang w:val="en-GB"/>
        </w:rPr>
        <w:t xml:space="preserve"> </w:t>
      </w:r>
      <w:r w:rsidR="006B7BC9" w:rsidRPr="006B7BC9">
        <w:rPr>
          <w:rFonts w:ascii="Arial" w:hAnsi="Arial" w:cs="Arial"/>
          <w:sz w:val="20"/>
          <w:szCs w:val="20"/>
          <w:highlight w:val="yellow"/>
          <w:lang w:val="en-GB"/>
        </w:rPr>
        <w:t xml:space="preserve">Carotenoid composition in the </w:t>
      </w:r>
      <w:r w:rsidR="006B7BC9" w:rsidRPr="006B7BC9">
        <w:rPr>
          <w:rFonts w:ascii="Arial" w:hAnsi="Arial" w:cs="Arial"/>
          <w:i/>
          <w:sz w:val="20"/>
          <w:szCs w:val="20"/>
          <w:highlight w:val="yellow"/>
          <w:lang w:val="en-GB"/>
        </w:rPr>
        <w:t>Chlorophyceae</w:t>
      </w:r>
      <w:r w:rsidR="006B7BC9" w:rsidRPr="006B7BC9">
        <w:rPr>
          <w:rFonts w:ascii="Arial" w:hAnsi="Arial" w:cs="Arial"/>
          <w:sz w:val="20"/>
          <w:szCs w:val="20"/>
          <w:highlight w:val="yellow"/>
          <w:lang w:val="en-GB"/>
        </w:rPr>
        <w:t xml:space="preserve"> is like that of higher plants, and includes α-carotene, β-carotene, neoxanthin, lutein, violaxanthin, antheraxanthin and zeaxanthin, integrated in chloroplast and generally considered as primary carotenoids </w:t>
      </w:r>
      <w:r w:rsidR="006B7BC9"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{"citationItems":[{"id":"ITEM-1","itemData":{"DOI":"10.1016/0960-8524(96)00058-2","ISBN":"0960-8524","ISSN":"09608524","PMID":"645","abstract":"The onset of carotenogenesis in Chlorella vulgaris and the change in nature and concentration of pigments with time was studied. The succession of pigments observed was interpreted in terms of relative efficiencies of carotenoid interconversion pathways, and this might be used to monitor the progress of the carotenogenic process. This work is relevant to the use of dry Chlorella biomass, as an naturally encapsulated form of a natural colouring ingredient in animal feed.","author":[{"dropping-particle":"","family":"Gouveia","given":"L.","non-dropping-particle":"","parse-names":false,"suffix":""},{"dropping-particle":"","family":"Veloso","given":"V.","non-dropping-particle":"","parse-names":false,"suffix":""},{"dropping-particle":"","family":"Reis","given":"A.","non-dropping-particle":"","parse-names":false,"suffix":""},{"dropping-particle":"","family":"Fernandes","given":"H.","non-dropping-particle":"","parse-names":false,"suffix":""},{"dropping-particle":"","family":"Novais","given":"J.","non-dropping-particle":"","parse-names":false,"suffix":""},{"dropping-particle":"","family":"Empis","given":"J.","non-dropping-particle":"","parse-names":false,"suffix":""}],"container-title":"Bioresource Technology","id":"ITEM-1","issue":"2","issued":{"date-parts":[["1996"]]},"page":"157-163","title":"Evolution of pigment composition in Chlorella vulgaris","type":"article-journal","volume":"57"},"uris":["http://www.mendeley.com/documents/?uuid=33e19626-4833-4b79-9ccb-162cf7629e13"]}],"mendeley":{"formattedCitation":"(Gouveia et al., 1996)","manualFormatting":"(Gouveia et al., 1996)","plainTextFormattedCitation":"(Gouveia et al., 1996)","previouslyFormattedCitation":"(L. Gouveia et al., 1996)"},"properties":{"noteIndex":0},"schema":"https://github.com/citation-style-language/schema/raw/master/csl-citation.json"}</w:instrText>
      </w:r>
      <w:r w:rsidR="006B7BC9" w:rsidRPr="006B7BC9">
        <w:rPr>
          <w:rFonts w:ascii="Arial" w:hAnsi="Arial" w:cs="Arial"/>
          <w:sz w:val="20"/>
          <w:szCs w:val="20"/>
          <w:highlight w:val="yellow"/>
          <w:lang w:val="en-GB"/>
        </w:rPr>
        <w:fldChar w:fldCharType="separate"/>
      </w:r>
      <w:r w:rsidR="006B7BC9" w:rsidRPr="006B7BC9">
        <w:rPr>
          <w:rFonts w:ascii="Arial" w:hAnsi="Arial" w:cs="Arial"/>
          <w:noProof/>
          <w:sz w:val="20"/>
          <w:szCs w:val="20"/>
          <w:highlight w:val="yellow"/>
          <w:lang w:val="en-GB"/>
        </w:rPr>
        <w:t>(Gouveia et al., 1996)</w:t>
      </w:r>
      <w:r w:rsidR="006B7BC9" w:rsidRPr="006B7BC9">
        <w:rPr>
          <w:rFonts w:ascii="Arial" w:hAnsi="Arial" w:cs="Arial"/>
          <w:sz w:val="20"/>
          <w:szCs w:val="20"/>
          <w:highlight w:val="yellow"/>
        </w:rPr>
        <w:fldChar w:fldCharType="end"/>
      </w:r>
      <w:r w:rsidR="006B7BC9" w:rsidRPr="006B7BC9">
        <w:rPr>
          <w:rFonts w:ascii="Arial" w:hAnsi="Arial" w:cs="Arial"/>
          <w:sz w:val="20"/>
          <w:szCs w:val="20"/>
          <w:highlight w:val="yellow"/>
          <w:lang w:val="en-GB"/>
        </w:rPr>
        <w:t xml:space="preserve">. </w:t>
      </w:r>
      <w:r w:rsidR="006B7BC9" w:rsidRPr="006B7BC9">
        <w:rPr>
          <w:rFonts w:ascii="Arial" w:hAnsi="Arial" w:cs="Arial"/>
          <w:i/>
          <w:sz w:val="20"/>
          <w:szCs w:val="20"/>
          <w:highlight w:val="yellow"/>
          <w:lang w:val="en-GB"/>
        </w:rPr>
        <w:t>Chlorella</w:t>
      </w:r>
      <w:r w:rsidR="006B7BC9" w:rsidRPr="006B7BC9">
        <w:rPr>
          <w:rFonts w:ascii="Arial" w:hAnsi="Arial" w:cs="Arial"/>
          <w:sz w:val="20"/>
          <w:szCs w:val="20"/>
          <w:highlight w:val="yellow"/>
          <w:lang w:val="en-GB"/>
        </w:rPr>
        <w:t xml:space="preserve"> spp.  are found to be high in lutein and chlorophylls a, b, composition amounting to about 0.45% and 4.5% dry weight respectively, which make them suitable for commercial production of pigments </w:t>
      </w:r>
      <w:r w:rsidR="006B7BC9"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{"citationItems":[{"id":"ITEM-1","itemData":{"author":[{"dropping-particle":"","family":"Kim","given":"Se-kwon","non-dropping-particle":"","parse-names":false,"suffix":""}],"edition":"2015th","id":"ITEM-1","issued":{"date-parts":[["2015"]]},"publisher":"Elsevier Academic Press","publisher-place":"Oxford, UK","title":"Handbook of marine microalgae biotechnology advances","type":"book"},"uris":["http://www.mendeley.com/documents/?uuid=51375a09-9d53-4dba-93cf-7bb0a31ef127"]}],"mendeley":{"formattedCitation":"(Kim, 2015)","manualFormatting":"(Kim, 2015)","plainTextFormattedCitation":"(Kim, 2015)","previouslyFormattedCitation":"(S. Kim, 2015)"},"properties":{"noteIndex":0},"schema":"https://github.com/citation-style-language/schema/raw/master/csl-citation.json"}</w:instrText>
      </w:r>
      <w:r w:rsidR="006B7BC9" w:rsidRPr="006B7BC9">
        <w:rPr>
          <w:rFonts w:ascii="Arial" w:hAnsi="Arial" w:cs="Arial"/>
          <w:sz w:val="20"/>
          <w:szCs w:val="20"/>
          <w:highlight w:val="yellow"/>
          <w:lang w:val="en-GB"/>
        </w:rPr>
        <w:fldChar w:fldCharType="separate"/>
      </w:r>
      <w:r w:rsidR="006B7BC9" w:rsidRPr="006B7BC9">
        <w:rPr>
          <w:rFonts w:ascii="Arial" w:hAnsi="Arial" w:cs="Arial"/>
          <w:noProof/>
          <w:sz w:val="20"/>
          <w:szCs w:val="20"/>
          <w:highlight w:val="yellow"/>
          <w:lang w:val="en-GB"/>
        </w:rPr>
        <w:t>(Kim, 2015)</w:t>
      </w:r>
      <w:r w:rsidR="006B7BC9" w:rsidRPr="006B7BC9">
        <w:rPr>
          <w:rFonts w:ascii="Arial" w:hAnsi="Arial" w:cs="Arial"/>
          <w:sz w:val="20"/>
          <w:szCs w:val="20"/>
          <w:highlight w:val="yellow"/>
        </w:rPr>
        <w:fldChar w:fldCharType="end"/>
      </w:r>
      <w:r w:rsidR="006B7BC9" w:rsidRPr="006B7BC9">
        <w:rPr>
          <w:rFonts w:ascii="Arial" w:hAnsi="Arial" w:cs="Arial"/>
          <w:sz w:val="20"/>
          <w:szCs w:val="20"/>
          <w:highlight w:val="yellow"/>
          <w:lang w:val="en-GB"/>
        </w:rPr>
        <w:t xml:space="preserve">. In addition to primary carotenoids; </w:t>
      </w:r>
      <w:r w:rsidR="006B7BC9" w:rsidRPr="006B7BC9">
        <w:rPr>
          <w:rFonts w:ascii="Arial" w:hAnsi="Arial" w:cs="Arial"/>
          <w:i/>
          <w:sz w:val="20"/>
          <w:szCs w:val="20"/>
          <w:highlight w:val="yellow"/>
          <w:lang w:val="en-GB"/>
        </w:rPr>
        <w:t>C. vulgaris</w:t>
      </w:r>
      <w:r w:rsidR="006B7BC9" w:rsidRPr="006B7BC9">
        <w:rPr>
          <w:rFonts w:ascii="Arial" w:hAnsi="Arial" w:cs="Arial"/>
          <w:sz w:val="20"/>
          <w:szCs w:val="20"/>
          <w:highlight w:val="yellow"/>
          <w:lang w:val="en-GB"/>
        </w:rPr>
        <w:t xml:space="preserve"> biomass also accumulates a high level of secondary carotenoids </w:t>
      </w:r>
      <w:r w:rsidR="006B7BC9" w:rsidRPr="006B7BC9">
        <w:rPr>
          <w:rFonts w:ascii="Arial" w:hAnsi="Arial" w:cs="Arial"/>
          <w:sz w:val="20"/>
          <w:szCs w:val="20"/>
          <w:highlight w:val="yellow"/>
          <w:lang w:val="en-GB"/>
        </w:rPr>
        <w:fldChar w:fldCharType="begin" w:fldLock="1"/>
      </w:r>
      <w:r w:rsidR="00E51220">
        <w:rPr>
          <w:rFonts w:ascii="Arial" w:hAnsi="Arial" w:cs="Arial"/>
          <w:sz w:val="20"/>
          <w:szCs w:val="20"/>
          <w:highlight w:val="yellow"/>
          <w:lang w:val="en-GB"/>
        </w:rPr>
        <w:instrText>ADDIN CSL_CITATION {"citationItems":[{"id":"ITEM-1","itemData":{"author":[{"dropping-particle":"","family":"Gupta","given":"S K","non-dropping-particle":"","parse-names":false,"suffix":""},{"dropping-particle":"","family":"Jha","given":"A K","non-dropping-particle":"","parse-names":false,"suffix":""},{"dropping-particle":"","family":"Pal","given":"A K","non-dropping-particle":"","parse-names":false,"suffix":""},{"dropping-particle":"","family":"Venkateshwarlu","given":"G","non-dropping-particle":"","parse-names":false,"suffix":""}],"id":"ITEM-1","issue":"1","issued":{"date-parts":[["2007"]]},"page":"46-49","title":"Use of natural carotenoids for pigmentation in fishes","type":"article-journal","volume":"6"},"uris":["http://www.mendeley.com/documents/?uuid=3fc2c9d2-d443-4693-9de5-87a0318b748a"]}],"mendeley":{"formattedCitation":"(Gupta et al., 2007)","manualFormatting":"(Gupta et al., 2007)","plainTextFormattedCitation":"(Gupta et al., 2007)","previouslyFormattedCitation":"(Gupta, Jha, Pal, &amp; Venkateshwarlu, 2007)"},"properties":{"noteIndex":0},"schema":"https://github.com/citation-style-language/schema/raw/master/csl-citation.json"}</w:instrText>
      </w:r>
      <w:r w:rsidR="006B7BC9" w:rsidRPr="006B7BC9">
        <w:rPr>
          <w:rFonts w:ascii="Arial" w:hAnsi="Arial" w:cs="Arial"/>
          <w:sz w:val="20"/>
          <w:szCs w:val="20"/>
          <w:highlight w:val="yellow"/>
          <w:lang w:val="en-GB"/>
        </w:rPr>
        <w:fldChar w:fldCharType="separate"/>
      </w:r>
      <w:r w:rsidR="006B7BC9" w:rsidRPr="006B7BC9">
        <w:rPr>
          <w:rFonts w:ascii="Arial" w:hAnsi="Arial" w:cs="Arial"/>
          <w:noProof/>
          <w:sz w:val="20"/>
          <w:szCs w:val="20"/>
          <w:highlight w:val="yellow"/>
          <w:lang w:val="en-GB"/>
        </w:rPr>
        <w:t>(Gupta et al., 2007)</w:t>
      </w:r>
      <w:r w:rsidR="006B7BC9" w:rsidRPr="006B7BC9">
        <w:rPr>
          <w:rFonts w:ascii="Arial" w:hAnsi="Arial" w:cs="Arial"/>
          <w:sz w:val="20"/>
          <w:szCs w:val="20"/>
          <w:highlight w:val="yellow"/>
        </w:rPr>
        <w:fldChar w:fldCharType="end"/>
      </w:r>
      <w:r w:rsidR="006B7BC9" w:rsidRPr="006B7BC9">
        <w:rPr>
          <w:rFonts w:ascii="Arial" w:hAnsi="Arial" w:cs="Arial"/>
          <w:sz w:val="20"/>
          <w:szCs w:val="20"/>
          <w:highlight w:val="yellow"/>
          <w:lang w:val="en-GB"/>
        </w:rPr>
        <w:t>.</w:t>
      </w:r>
    </w:p>
    <w:p w14:paraId="3DA9EC49" w14:textId="19331E7A" w:rsidR="000F209F" w:rsidRDefault="000F209F" w:rsidP="006B7BC9">
      <w:pPr>
        <w:jc w:val="both"/>
        <w:rPr>
          <w:rFonts w:ascii="Arial" w:hAnsi="Arial" w:cs="Arial"/>
          <w:sz w:val="20"/>
          <w:szCs w:val="20"/>
          <w:lang w:val="en-GB"/>
        </w:rPr>
      </w:pPr>
      <w:r w:rsidRPr="000F209F">
        <w:rPr>
          <w:rFonts w:ascii="Arial" w:hAnsi="Arial" w:cs="Arial"/>
          <w:sz w:val="20"/>
          <w:szCs w:val="20"/>
          <w:lang w:val="en-GB"/>
        </w:rPr>
        <w:t>It has been demonstrated that the level of microalgal supplementation in fish diets constitutes a major determinant of its effects on fish performance. Several studies have reported reductions in fish growth and overall performance at elevated inclusion levels of C. vulgaris (</w:t>
      </w:r>
      <w:proofErr w:type="spellStart"/>
      <w:r w:rsidRPr="000F209F">
        <w:rPr>
          <w:rFonts w:ascii="Arial" w:hAnsi="Arial" w:cs="Arial"/>
          <w:sz w:val="20"/>
          <w:szCs w:val="20"/>
          <w:lang w:val="en-GB"/>
        </w:rPr>
        <w:t>Enyidi</w:t>
      </w:r>
      <w:proofErr w:type="spellEnd"/>
      <w:r w:rsidRPr="000F209F">
        <w:rPr>
          <w:rFonts w:ascii="Arial" w:hAnsi="Arial" w:cs="Arial"/>
          <w:sz w:val="20"/>
          <w:szCs w:val="20"/>
          <w:lang w:val="en-GB"/>
        </w:rPr>
        <w:t>, 2017). Nevertheless, the underlying mechanisms responsible for the decline in growth performance at higher C. vulgaris inclusion levels remain unclear. Previous investigations have indicated that beneficial effects on growth performance, fillet quality, physiological functions, disease resistance, and related attributes are generally achieved only when microalgae are incorporated at relatively low dietary levels (below 12.5%) (Valente et al., 2006; Dallaire et al., 2007). A similar trend has also been observed with respect to gut microbiota modulation (</w:t>
      </w:r>
      <w:proofErr w:type="spellStart"/>
      <w:r w:rsidRPr="000F209F">
        <w:rPr>
          <w:rFonts w:ascii="Arial" w:hAnsi="Arial" w:cs="Arial"/>
          <w:sz w:val="20"/>
          <w:szCs w:val="20"/>
          <w:lang w:val="en-GB"/>
        </w:rPr>
        <w:t>Norambuena</w:t>
      </w:r>
      <w:proofErr w:type="spellEnd"/>
      <w:r w:rsidRPr="000F209F">
        <w:rPr>
          <w:rFonts w:ascii="Arial" w:hAnsi="Arial" w:cs="Arial"/>
          <w:sz w:val="20"/>
          <w:szCs w:val="20"/>
          <w:lang w:val="en-GB"/>
        </w:rPr>
        <w:t xml:space="preserve"> et al., 2015). In practical aquaculture applications, and largely for economic considerations, microalgae are typically included in fish feeds at low concentrations (2.5–10%) to optimise positive effects on fish health and nutritional performance (</w:t>
      </w:r>
      <w:proofErr w:type="spellStart"/>
      <w:r w:rsidRPr="000F209F">
        <w:rPr>
          <w:rFonts w:ascii="Arial" w:hAnsi="Arial" w:cs="Arial"/>
          <w:sz w:val="20"/>
          <w:szCs w:val="20"/>
          <w:lang w:val="en-GB"/>
        </w:rPr>
        <w:t>Norambuena</w:t>
      </w:r>
      <w:proofErr w:type="spellEnd"/>
      <w:r w:rsidRPr="000F209F">
        <w:rPr>
          <w:rFonts w:ascii="Arial" w:hAnsi="Arial" w:cs="Arial"/>
          <w:sz w:val="20"/>
          <w:szCs w:val="20"/>
          <w:lang w:val="en-GB"/>
        </w:rPr>
        <w:t xml:space="preserve"> et al., 2015).</w:t>
      </w:r>
    </w:p>
    <w:p w14:paraId="1375958D" w14:textId="77777777" w:rsidR="000F209F" w:rsidRDefault="000F209F" w:rsidP="006B7BC9">
      <w:pPr>
        <w:jc w:val="both"/>
        <w:rPr>
          <w:rFonts w:ascii="Arial" w:hAnsi="Arial" w:cs="Arial"/>
          <w:sz w:val="20"/>
          <w:szCs w:val="20"/>
          <w:highlight w:val="yellow"/>
          <w:lang w:val="en-GB"/>
        </w:rPr>
      </w:pPr>
    </w:p>
    <w:p w14:paraId="1F267C87" w14:textId="6F88FADF" w:rsidR="00D86841" w:rsidRPr="006B7BC9" w:rsidRDefault="000F209F" w:rsidP="006B7BC9">
      <w:pPr>
        <w:jc w:val="both"/>
        <w:rPr>
          <w:rFonts w:ascii="Arial" w:hAnsi="Arial" w:cs="Arial"/>
          <w:sz w:val="20"/>
          <w:szCs w:val="20"/>
        </w:rPr>
      </w:pPr>
      <w:r w:rsidRPr="000F209F">
        <w:rPr>
          <w:rFonts w:ascii="Arial" w:hAnsi="Arial" w:cs="Arial"/>
          <w:sz w:val="20"/>
          <w:szCs w:val="20"/>
        </w:rPr>
        <w:t xml:space="preserve">Streptococcus agalactiae is a pathogenic bacterium that infects tilapia and causes </w:t>
      </w:r>
      <w:proofErr w:type="spellStart"/>
      <w:r w:rsidRPr="000F209F">
        <w:rPr>
          <w:rFonts w:ascii="Arial" w:hAnsi="Arial" w:cs="Arial"/>
          <w:sz w:val="20"/>
          <w:szCs w:val="20"/>
        </w:rPr>
        <w:t>streptococcosis</w:t>
      </w:r>
      <w:proofErr w:type="spellEnd"/>
      <w:r w:rsidRPr="000F209F">
        <w:rPr>
          <w:rFonts w:ascii="Arial" w:hAnsi="Arial" w:cs="Arial"/>
          <w:sz w:val="20"/>
          <w:szCs w:val="20"/>
        </w:rPr>
        <w:t xml:space="preserve"> across all developmental stages, from larvae to adulthood, often resulting in high mortality rates (</w:t>
      </w:r>
      <w:proofErr w:type="spellStart"/>
      <w:r w:rsidRPr="000F209F">
        <w:rPr>
          <w:rFonts w:ascii="Arial" w:hAnsi="Arial" w:cs="Arial"/>
          <w:sz w:val="20"/>
          <w:szCs w:val="20"/>
        </w:rPr>
        <w:t>Sukenda</w:t>
      </w:r>
      <w:proofErr w:type="spellEnd"/>
      <w:r w:rsidRPr="000F209F">
        <w:rPr>
          <w:rFonts w:ascii="Arial" w:hAnsi="Arial" w:cs="Arial"/>
          <w:sz w:val="20"/>
          <w:szCs w:val="20"/>
        </w:rPr>
        <w:t xml:space="preserve"> &amp; Rahman, 2018; </w:t>
      </w:r>
      <w:proofErr w:type="spellStart"/>
      <w:r w:rsidRPr="000F209F">
        <w:rPr>
          <w:rFonts w:ascii="Arial" w:hAnsi="Arial" w:cs="Arial"/>
          <w:sz w:val="20"/>
          <w:szCs w:val="20"/>
        </w:rPr>
        <w:t>Ahmadifar</w:t>
      </w:r>
      <w:proofErr w:type="spellEnd"/>
      <w:r w:rsidRPr="000F209F">
        <w:rPr>
          <w:rFonts w:ascii="Arial" w:hAnsi="Arial" w:cs="Arial"/>
          <w:sz w:val="20"/>
          <w:szCs w:val="20"/>
        </w:rPr>
        <w:t xml:space="preserve"> et al., 2021). No developmental stage of tilapia is entirely exempt from susceptibility to infection by this virulent pathogen. However, mortality is particularly pronounced in younger fish, whose immune systems are not yet fully developed. At these early growth stages, tilapia possess limited immunological competence and are therefore less capable of mounting effective immune responses against pathogenic challenges (</w:t>
      </w:r>
      <w:proofErr w:type="spellStart"/>
      <w:r w:rsidRPr="000F209F">
        <w:rPr>
          <w:rFonts w:ascii="Arial" w:hAnsi="Arial" w:cs="Arial"/>
          <w:sz w:val="20"/>
          <w:szCs w:val="20"/>
        </w:rPr>
        <w:t>Magnadottir</w:t>
      </w:r>
      <w:proofErr w:type="spellEnd"/>
      <w:r w:rsidRPr="000F209F">
        <w:rPr>
          <w:rFonts w:ascii="Arial" w:hAnsi="Arial" w:cs="Arial"/>
          <w:sz w:val="20"/>
          <w:szCs w:val="20"/>
        </w:rPr>
        <w:t xml:space="preserve"> et al., 2005; Elshopakey &amp; El-Gohary, 2021).</w:t>
      </w:r>
      <w:r>
        <w:rPr>
          <w:rFonts w:ascii="Arial" w:hAnsi="Arial" w:cs="Arial"/>
          <w:sz w:val="20"/>
          <w:szCs w:val="20"/>
        </w:rPr>
        <w:t xml:space="preserve"> </w:t>
      </w:r>
      <w:r w:rsidR="00D86841" w:rsidRPr="00D86841">
        <w:rPr>
          <w:rFonts w:ascii="Arial" w:hAnsi="Arial" w:cs="Arial"/>
          <w:sz w:val="20"/>
          <w:szCs w:val="20"/>
          <w:highlight w:val="yellow"/>
        </w:rPr>
        <w:t xml:space="preserve">The physical symptoms associated with </w:t>
      </w:r>
      <w:r w:rsidR="00D86841" w:rsidRPr="00D86841">
        <w:rPr>
          <w:rFonts w:ascii="Arial" w:hAnsi="Arial" w:cs="Arial"/>
          <w:i/>
          <w:iCs/>
          <w:sz w:val="20"/>
          <w:szCs w:val="20"/>
          <w:highlight w:val="yellow"/>
        </w:rPr>
        <w:t xml:space="preserve">S. agalactiae </w:t>
      </w:r>
      <w:r w:rsidR="00D86841" w:rsidRPr="00D86841">
        <w:rPr>
          <w:rFonts w:ascii="Arial" w:hAnsi="Arial" w:cs="Arial"/>
          <w:sz w:val="20"/>
          <w:szCs w:val="20"/>
          <w:highlight w:val="yellow"/>
        </w:rPr>
        <w:t>infection include the lack of appetite, slow or no movement at the bottom of the tank, appearance of whitish mucus on the skin, gills and eyes (corneal opacity) of tilapia fish.</w:t>
      </w:r>
    </w:p>
    <w:p w14:paraId="70E68D4F" w14:textId="351B3BAC" w:rsidR="00123C53" w:rsidRPr="00E47F58" w:rsidRDefault="00123C53" w:rsidP="00EB6AE8">
      <w:pPr>
        <w:pStyle w:val="single"/>
        <w:rPr>
          <w:rFonts w:ascii="Arial" w:hAnsi="Arial" w:cs="Arial"/>
          <w:sz w:val="20"/>
          <w:szCs w:val="20"/>
          <w:lang w:val="en-GB"/>
        </w:rPr>
      </w:pPr>
      <w:r w:rsidRPr="00E47F58">
        <w:rPr>
          <w:rFonts w:ascii="Arial" w:hAnsi="Arial" w:cs="Arial"/>
          <w:sz w:val="20"/>
          <w:szCs w:val="20"/>
        </w:rPr>
        <w:t xml:space="preserve">Incorporation of immunostimulants such as microalgal biomass into fish feed is one of the recent developments in mitigating disease outbreak in fish </w:t>
      </w:r>
      <w:r w:rsidRPr="00E47F58">
        <w:rPr>
          <w:rFonts w:ascii="Arial" w:hAnsi="Arial" w:cs="Arial"/>
          <w:sz w:val="20"/>
          <w:szCs w:val="20"/>
        </w:rPr>
        <w:fldChar w:fldCharType="begin" w:fldLock="1"/>
      </w:r>
      <w:r w:rsidR="00D46013">
        <w:rPr>
          <w:rFonts w:ascii="Arial" w:hAnsi="Arial" w:cs="Arial"/>
          <w:sz w:val="20"/>
          <w:szCs w:val="20"/>
        </w:rPr>
        <w:instrText>ADDIN CSL_CITATION {"citationItems":[{"id":"ITEM-1","itemData":{"DOI":"10.1111/raq.12320","ISSN":"17535131","abstract":"Microalgae biomass is used in aquaculture as feed, growth enhancers and immunostimulants. Chlorella vulgaris is an important species with a good biomolecular composition. Commercially, it is one of the most commonly used microalga in aquaculture. Several studies confirmed its ability to improve nutrition , immunity, aquatic bioremediation, amelioration of stress, disease resistance of fish and inhibits bacterial quorum sensing when used appropriately. Despite claims of its benefits, C. vulgaris is reported to have unfavourable effects when incorporated in diets at higher inclusion levels. In addition, its rigid cell wall might restrict the access of digestive enzymes to the intracellular components for proper digestion and assimilation. Thus, this review discusses the role of C. vul-garis and its importance in aquaculture with emphasis on its environmental requirements, morphology, pigments, digestibility, dynamics on growth performance , antibacterial activity, bacterial quorum sensing, immunomodulatory effect, anti-stress effect, gut microbiome, aquatic bioremediation and its safety as food or feed.","author":[{"dropping-particle":"","family":"Ahmad","given":"Muhammad Talba","non-dropping-particle":"","parse-names":false,"suffix":""},{"dropping-particle":"","family":"Shariff","given":"Mohamed","non-dropping-particle":"","parse-names":false,"suffix":""},{"dropping-particle":"","family":"Md. Yusoff","given":"Fatimah","non-dropping-particle":"","parse-names":false,"suffix":""},{"dropping-particle":"","family":"Goh","given":"Yong Meng","non-dropping-particle":"","parse-names":false,"suffix":""},{"dropping-particle":"","family":"Banerjee","given":"Sanjoy","non-dropping-particle":"","parse-names":false,"suffix":""}],"container-title":"Reviews in Aquaculture","id":"ITEM-1","issued":{"date-parts":[["2018"]]},"page":"1-19","title":"Applications of microalga Chlorella vulgaris in aquaculture","type":"article-journal"},"uris":["http://www.mendeley.com/documents/?uuid=4b4274a3-1f8a-4375-8944-168d31e8cbfe"]}],"mendeley":{"formattedCitation":"(Ahmad et al., 2018)","manualFormatting":"(Ahmad et al., 2018; Abdel-Latif et al., 2022)","plainTextFormattedCitation":"(Ahmad et al., 2018)","previouslyFormattedCitation":"(Ahmad et al. 2018)"},"properties":{"noteIndex":0},"schema":"https://github.com/citation-style-language/schema/raw/master/csl-citation.json"}</w:instrText>
      </w:r>
      <w:r w:rsidRPr="00E47F58">
        <w:rPr>
          <w:rFonts w:ascii="Arial" w:hAnsi="Arial" w:cs="Arial"/>
          <w:sz w:val="20"/>
          <w:szCs w:val="20"/>
        </w:rPr>
        <w:fldChar w:fldCharType="separate"/>
      </w:r>
      <w:r w:rsidR="00E51220" w:rsidRPr="00E51220">
        <w:rPr>
          <w:rFonts w:ascii="Arial" w:hAnsi="Arial" w:cs="Arial"/>
          <w:noProof/>
          <w:sz w:val="20"/>
          <w:szCs w:val="20"/>
        </w:rPr>
        <w:t>(Ahmad et al., 2018</w:t>
      </w:r>
      <w:r w:rsidR="00D46013">
        <w:rPr>
          <w:rFonts w:ascii="Arial" w:hAnsi="Arial" w:cs="Arial"/>
          <w:noProof/>
          <w:sz w:val="20"/>
          <w:szCs w:val="20"/>
        </w:rPr>
        <w:t xml:space="preserve">; </w:t>
      </w:r>
      <w:r w:rsidR="00D46013" w:rsidRPr="0008476C">
        <w:rPr>
          <w:rFonts w:ascii="Arial" w:hAnsi="Arial" w:cs="Arial"/>
          <w:noProof/>
          <w:sz w:val="20"/>
          <w:szCs w:val="20"/>
          <w:highlight w:val="magenta"/>
        </w:rPr>
        <w:t>Abdel-Latif et al., 2022</w:t>
      </w:r>
      <w:r w:rsidR="00E51220" w:rsidRPr="00E51220">
        <w:rPr>
          <w:rFonts w:ascii="Arial" w:hAnsi="Arial" w:cs="Arial"/>
          <w:noProof/>
          <w:sz w:val="20"/>
          <w:szCs w:val="20"/>
        </w:rPr>
        <w:t>)</w:t>
      </w:r>
      <w:r w:rsidRPr="00E47F58">
        <w:rPr>
          <w:rFonts w:ascii="Arial" w:hAnsi="Arial" w:cs="Arial"/>
          <w:sz w:val="20"/>
          <w:szCs w:val="20"/>
          <w:lang w:val="en-GB"/>
        </w:rPr>
        <w:fldChar w:fldCharType="end"/>
      </w:r>
      <w:r w:rsidRPr="00E47F58">
        <w:rPr>
          <w:rFonts w:ascii="Arial" w:hAnsi="Arial" w:cs="Arial"/>
          <w:sz w:val="20"/>
          <w:szCs w:val="20"/>
        </w:rPr>
        <w:t xml:space="preserve">. Nevertheless, the available scientific evidence in using microalgae as immunostimulants depends largely on </w:t>
      </w:r>
      <w:r w:rsidRPr="00DF2568">
        <w:rPr>
          <w:rFonts w:ascii="Arial" w:hAnsi="Arial" w:cs="Arial"/>
          <w:sz w:val="20"/>
          <w:szCs w:val="20"/>
          <w:highlight w:val="magenta"/>
        </w:rPr>
        <w:t>reports of</w:t>
      </w:r>
      <w:r w:rsidR="00DF2568" w:rsidRPr="00DF2568">
        <w:rPr>
          <w:rFonts w:ascii="Arial" w:hAnsi="Arial" w:cs="Arial"/>
          <w:sz w:val="20"/>
          <w:szCs w:val="20"/>
          <w:highlight w:val="magenta"/>
        </w:rPr>
        <w:t xml:space="preserve"> conducted</w:t>
      </w:r>
      <w:r w:rsidRPr="00DF2568">
        <w:rPr>
          <w:rFonts w:ascii="Arial" w:hAnsi="Arial" w:cs="Arial"/>
          <w:sz w:val="20"/>
          <w:szCs w:val="20"/>
          <w:highlight w:val="magenta"/>
        </w:rPr>
        <w:t xml:space="preserve"> immune assays</w:t>
      </w:r>
      <w:r w:rsidR="0008476C">
        <w:rPr>
          <w:rFonts w:ascii="Arial" w:hAnsi="Arial" w:cs="Arial"/>
          <w:sz w:val="20"/>
          <w:szCs w:val="20"/>
        </w:rPr>
        <w:t xml:space="preserve"> (</w:t>
      </w:r>
      <w:r w:rsidR="0008476C" w:rsidRPr="0008476C">
        <w:rPr>
          <w:rFonts w:ascii="Arial" w:hAnsi="Arial" w:cs="Arial"/>
          <w:sz w:val="20"/>
          <w:szCs w:val="20"/>
          <w:highlight w:val="magenta"/>
        </w:rPr>
        <w:t>Dawood, 2021</w:t>
      </w:r>
      <w:r w:rsidR="0008476C">
        <w:rPr>
          <w:rFonts w:ascii="Arial" w:hAnsi="Arial" w:cs="Arial"/>
          <w:sz w:val="20"/>
          <w:szCs w:val="20"/>
        </w:rPr>
        <w:t>)</w:t>
      </w:r>
      <w:r w:rsidRPr="00E47F58">
        <w:rPr>
          <w:rFonts w:ascii="Arial" w:hAnsi="Arial" w:cs="Arial"/>
          <w:sz w:val="20"/>
          <w:szCs w:val="20"/>
        </w:rPr>
        <w:t xml:space="preserve">. </w:t>
      </w:r>
      <w:r w:rsidR="00DF2568" w:rsidRPr="00DF2568">
        <w:rPr>
          <w:rFonts w:ascii="Arial" w:hAnsi="Arial" w:cs="Arial"/>
          <w:sz w:val="20"/>
          <w:szCs w:val="20"/>
          <w:highlight w:val="magenta"/>
        </w:rPr>
        <w:t>Most</w:t>
      </w:r>
      <w:r w:rsidRPr="00E47F58">
        <w:rPr>
          <w:rFonts w:ascii="Arial" w:hAnsi="Arial" w:cs="Arial"/>
          <w:sz w:val="20"/>
          <w:szCs w:val="20"/>
        </w:rPr>
        <w:t xml:space="preserve"> of the knowledge of the mechanisms </w:t>
      </w:r>
      <w:r w:rsidR="00DF2568" w:rsidRPr="00DF2568">
        <w:rPr>
          <w:rFonts w:ascii="Arial" w:hAnsi="Arial" w:cs="Arial"/>
          <w:sz w:val="20"/>
          <w:szCs w:val="20"/>
          <w:highlight w:val="magenta"/>
        </w:rPr>
        <w:t>involved with the actual immunogenesis</w:t>
      </w:r>
      <w:r w:rsidR="00DF2568">
        <w:rPr>
          <w:rFonts w:ascii="Arial" w:hAnsi="Arial" w:cs="Arial"/>
          <w:sz w:val="20"/>
          <w:szCs w:val="20"/>
        </w:rPr>
        <w:t xml:space="preserve"> at molecular level is</w:t>
      </w:r>
      <w:r w:rsidRPr="00E47F58">
        <w:rPr>
          <w:rFonts w:ascii="Arial" w:hAnsi="Arial" w:cs="Arial"/>
          <w:sz w:val="20"/>
          <w:szCs w:val="20"/>
        </w:rPr>
        <w:t xml:space="preserve"> still </w:t>
      </w:r>
      <w:r w:rsidR="00DF2568">
        <w:rPr>
          <w:rFonts w:ascii="Arial" w:hAnsi="Arial" w:cs="Arial"/>
          <w:sz w:val="20"/>
          <w:szCs w:val="20"/>
        </w:rPr>
        <w:t xml:space="preserve">largely </w:t>
      </w:r>
      <w:r w:rsidR="00DF2568" w:rsidRPr="00DF2568">
        <w:rPr>
          <w:rFonts w:ascii="Arial" w:hAnsi="Arial" w:cs="Arial"/>
          <w:sz w:val="20"/>
          <w:szCs w:val="20"/>
          <w:highlight w:val="magenta"/>
        </w:rPr>
        <w:t>undiscovered</w:t>
      </w:r>
      <w:r w:rsidRPr="00E47F58">
        <w:rPr>
          <w:rFonts w:ascii="Arial" w:hAnsi="Arial" w:cs="Arial"/>
          <w:sz w:val="20"/>
          <w:szCs w:val="20"/>
        </w:rPr>
        <w:t>.</w:t>
      </w:r>
      <w:r w:rsidR="00575C7B">
        <w:rPr>
          <w:rFonts w:ascii="Arial" w:hAnsi="Arial" w:cs="Arial"/>
          <w:sz w:val="20"/>
          <w:szCs w:val="20"/>
        </w:rPr>
        <w:t xml:space="preserve"> </w:t>
      </w:r>
      <w:r w:rsidR="00575C7B" w:rsidRPr="00575C7B">
        <w:rPr>
          <w:rFonts w:ascii="Arial" w:hAnsi="Arial" w:cs="Arial"/>
          <w:sz w:val="20"/>
          <w:szCs w:val="20"/>
          <w:highlight w:val="green"/>
        </w:rPr>
        <w:t>Metabolomics studies of endogenous biomarkers involved in immune enhancement, together with pathway analysis, hold significant promise for advancing future research</w:t>
      </w:r>
      <w:r w:rsidRPr="00E47F58">
        <w:rPr>
          <w:rFonts w:ascii="Arial" w:hAnsi="Arial" w:cs="Arial"/>
          <w:sz w:val="20"/>
          <w:szCs w:val="20"/>
        </w:rPr>
        <w:t xml:space="preserve"> in understanding and regulating the mechanisms involved in immunogenesis leading to mitigating disease outbreak</w:t>
      </w:r>
      <w:r w:rsidR="008B4CCD" w:rsidRPr="00E47F58">
        <w:rPr>
          <w:rFonts w:ascii="Arial" w:hAnsi="Arial" w:cs="Arial"/>
          <w:sz w:val="20"/>
          <w:szCs w:val="20"/>
        </w:rPr>
        <w:t>.</w:t>
      </w:r>
    </w:p>
    <w:p w14:paraId="57C7FA8C" w14:textId="2EEE8564" w:rsidR="00EB6AE8" w:rsidRPr="00E47F58" w:rsidRDefault="00F4346E" w:rsidP="00EB6AE8">
      <w:pPr>
        <w:pStyle w:val="single"/>
        <w:rPr>
          <w:rFonts w:ascii="Arial" w:hAnsi="Arial" w:cs="Arial"/>
          <w:sz w:val="20"/>
          <w:szCs w:val="20"/>
          <w:lang w:val="en-GB"/>
        </w:rPr>
      </w:pPr>
      <w:r w:rsidRPr="00E47F58">
        <w:rPr>
          <w:rFonts w:ascii="Arial" w:hAnsi="Arial" w:cs="Arial"/>
          <w:sz w:val="20"/>
          <w:szCs w:val="20"/>
          <w:lang w:val="en-GB"/>
        </w:rPr>
        <w:t>In previous research</w:t>
      </w:r>
      <w:r w:rsidR="00EB6AE8" w:rsidRPr="00E47F58">
        <w:rPr>
          <w:rFonts w:ascii="Arial" w:hAnsi="Arial" w:cs="Arial"/>
          <w:sz w:val="20"/>
          <w:szCs w:val="20"/>
          <w:lang w:val="en-GB"/>
        </w:rPr>
        <w:t xml:space="preserve">, it was evidently proven that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incorporation into fish feed enhances innate immunity of tilapia fish via regulation of some biochemical pathways</w:t>
      </w:r>
      <w:r w:rsidR="0022766E" w:rsidRPr="00E47F58">
        <w:rPr>
          <w:rFonts w:ascii="Arial" w:hAnsi="Arial" w:cs="Arial"/>
          <w:sz w:val="20"/>
          <w:szCs w:val="20"/>
          <w:lang w:val="en-GB"/>
        </w:rPr>
        <w:t xml:space="preserve"> </w:t>
      </w:r>
      <w:r w:rsidR="0022766E" w:rsidRPr="00E47F58">
        <w:rPr>
          <w:rFonts w:ascii="Arial" w:hAnsi="Arial" w:cs="Arial"/>
          <w:sz w:val="20"/>
          <w:szCs w:val="20"/>
          <w:lang w:val="en-GB"/>
        </w:rPr>
        <w:fldChar w:fldCharType="begin" w:fldLock="1"/>
      </w:r>
      <w:r w:rsidR="00FE4907">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2023)","manualFormatting":"(Pantami et al., 2023; Lulijwa et al., 2020)","plainTextFormattedCitation":"(Pantami et al., 2023)","previouslyFormattedCitation":"(Pantami et al. 2023)"},"properties":{"noteIndex":0},"schema":"https://github.com/citation-style-language/schema/raw/master/csl-citation.json"}</w:instrText>
      </w:r>
      <w:r w:rsidR="0022766E" w:rsidRPr="00E47F58">
        <w:rPr>
          <w:rFonts w:ascii="Arial" w:hAnsi="Arial" w:cs="Arial"/>
          <w:sz w:val="20"/>
          <w:szCs w:val="20"/>
          <w:lang w:val="en-GB"/>
        </w:rPr>
        <w:fldChar w:fldCharType="separate"/>
      </w:r>
      <w:r w:rsidR="00E51220" w:rsidRPr="00E51220">
        <w:rPr>
          <w:rFonts w:ascii="Arial" w:hAnsi="Arial" w:cs="Arial"/>
          <w:noProof/>
          <w:sz w:val="20"/>
          <w:szCs w:val="20"/>
          <w:lang w:val="en-GB"/>
        </w:rPr>
        <w:t>(Pantami et al., 2023</w:t>
      </w:r>
      <w:r w:rsidR="00FE4907">
        <w:rPr>
          <w:rFonts w:ascii="Arial" w:hAnsi="Arial" w:cs="Arial"/>
          <w:noProof/>
          <w:sz w:val="20"/>
          <w:szCs w:val="20"/>
          <w:lang w:val="en-GB"/>
        </w:rPr>
        <w:t>; Lulijwa et al., 2020</w:t>
      </w:r>
      <w:r w:rsidR="00E51220" w:rsidRPr="00E51220">
        <w:rPr>
          <w:rFonts w:ascii="Arial" w:hAnsi="Arial" w:cs="Arial"/>
          <w:noProof/>
          <w:sz w:val="20"/>
          <w:szCs w:val="20"/>
          <w:lang w:val="en-GB"/>
        </w:rPr>
        <w:t>)</w:t>
      </w:r>
      <w:r w:rsidR="0022766E" w:rsidRPr="00E47F58">
        <w:rPr>
          <w:rFonts w:ascii="Arial" w:hAnsi="Arial" w:cs="Arial"/>
          <w:sz w:val="20"/>
          <w:szCs w:val="20"/>
          <w:lang w:val="en-GB"/>
        </w:rPr>
        <w:fldChar w:fldCharType="end"/>
      </w:r>
      <w:r w:rsidR="00EB6AE8" w:rsidRPr="00E47F58">
        <w:rPr>
          <w:rFonts w:ascii="Arial" w:hAnsi="Arial" w:cs="Arial"/>
          <w:sz w:val="20"/>
          <w:szCs w:val="20"/>
          <w:lang w:val="en-GB"/>
        </w:rPr>
        <w:t>. But that was not enough to justify that</w:t>
      </w:r>
      <w:r w:rsidR="00DF2568">
        <w:rPr>
          <w:rFonts w:ascii="Arial" w:hAnsi="Arial" w:cs="Arial"/>
          <w:sz w:val="20"/>
          <w:szCs w:val="20"/>
          <w:lang w:val="en-GB"/>
        </w:rPr>
        <w:t xml:space="preserve"> </w:t>
      </w:r>
      <w:r w:rsidR="00DF2568" w:rsidRPr="00DF2568">
        <w:rPr>
          <w:rFonts w:ascii="Arial" w:hAnsi="Arial" w:cs="Arial"/>
          <w:sz w:val="20"/>
          <w:szCs w:val="20"/>
          <w:highlight w:val="magenta"/>
          <w:lang w:val="en-GB"/>
        </w:rPr>
        <w:t>the</w:t>
      </w:r>
      <w:r w:rsidR="00EB6AE8" w:rsidRPr="00E47F58">
        <w:rPr>
          <w:rFonts w:ascii="Arial" w:hAnsi="Arial" w:cs="Arial"/>
          <w:sz w:val="20"/>
          <w:szCs w:val="20"/>
          <w:lang w:val="en-GB"/>
        </w:rPr>
        <w:t xml:space="preserve"> immunity boosted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w:t>
      </w:r>
      <w:r w:rsidR="00DF2568" w:rsidRPr="00DF2568">
        <w:rPr>
          <w:rFonts w:ascii="Arial" w:hAnsi="Arial" w:cs="Arial"/>
          <w:sz w:val="20"/>
          <w:szCs w:val="20"/>
          <w:highlight w:val="magenta"/>
          <w:lang w:val="en-GB"/>
        </w:rPr>
        <w:t>was responsible in preventing</w:t>
      </w:r>
      <w:r w:rsidR="00EB6AE8" w:rsidRPr="00E47F58">
        <w:rPr>
          <w:rFonts w:ascii="Arial" w:hAnsi="Arial" w:cs="Arial"/>
          <w:sz w:val="20"/>
          <w:szCs w:val="20"/>
          <w:lang w:val="en-GB"/>
        </w:rPr>
        <w:t xml:space="preserve"> the treated fish from massive death unless a real bacterial challenge is carried out. </w:t>
      </w:r>
      <w:r w:rsidR="00EB6AE8" w:rsidRPr="00E47F58">
        <w:rPr>
          <w:rFonts w:ascii="Arial" w:hAnsi="Arial" w:cs="Arial"/>
          <w:i/>
          <w:iCs/>
          <w:sz w:val="20"/>
          <w:szCs w:val="20"/>
          <w:lang w:val="en-GB"/>
        </w:rPr>
        <w:t>Streptococcus agalactiae</w:t>
      </w:r>
      <w:r w:rsidR="00EB6AE8" w:rsidRPr="00E47F58">
        <w:rPr>
          <w:rFonts w:ascii="Arial" w:hAnsi="Arial" w:cs="Arial"/>
          <w:sz w:val="20"/>
          <w:szCs w:val="20"/>
          <w:lang w:val="en-GB"/>
        </w:rPr>
        <w:t>, a considerably strong virulent</w:t>
      </w:r>
      <w:r w:rsidR="00EB6AE8" w:rsidRPr="00E47F58">
        <w:rPr>
          <w:rFonts w:ascii="Arial" w:hAnsi="Arial" w:cs="Arial"/>
          <w:i/>
          <w:iCs/>
          <w:sz w:val="20"/>
          <w:szCs w:val="20"/>
          <w:lang w:val="en-GB"/>
        </w:rPr>
        <w:t xml:space="preserve"> </w:t>
      </w:r>
      <w:r w:rsidR="00EB6AE8" w:rsidRPr="00E47F58">
        <w:rPr>
          <w:rFonts w:ascii="Arial" w:hAnsi="Arial" w:cs="Arial"/>
          <w:sz w:val="20"/>
          <w:szCs w:val="20"/>
          <w:lang w:val="en-GB"/>
        </w:rPr>
        <w:t xml:space="preserve">bacteria, is one of the major concern of possible infections in most of tilapia fish culture farms </w:t>
      </w:r>
      <w:r w:rsidR="00EB6AE8" w:rsidRPr="00E47F58">
        <w:rPr>
          <w:rFonts w:ascii="Arial" w:hAnsi="Arial" w:cs="Arial"/>
          <w:sz w:val="20"/>
          <w:szCs w:val="20"/>
          <w:lang w:val="en-GB"/>
        </w:rPr>
        <w:fldChar w:fldCharType="begin" w:fldLock="1"/>
      </w:r>
      <w:r w:rsidR="00E51220">
        <w:rPr>
          <w:rFonts w:ascii="Arial" w:hAnsi="Arial" w:cs="Arial"/>
          <w:sz w:val="20"/>
          <w:szCs w:val="20"/>
          <w:lang w:val="en-GB"/>
        </w:rPr>
        <w:instrText>ADDIN CSL_CITATION {"citationItems":[{"id":"ITEM-1","itemData":{"DOI":"10.1016/j.jcpa.2010.01.020","ISSN":"00219975","PMID":"20334871","abstract":"The pathological changes present in 300 red tilapias (Oreochromis spp.) naturally infected by Streptococcus agalactiae are described. The most consistent gross findings were marked congestion of internal organs, particularly the liver, spleen and kidneys. Other features included exophthalmos, softening of the brain and the occasional accumulation of fluid within the abdominal cavity. Microscopical examination confirmed the presence of marked congestion of the liver, spleen and kidneys. The endothelial cells lining major blood vessels of the liver and occasionally the spleen were swollen and vacuolated. There was evidence of vascular thrombosis with infarction of surrounding tissue. Bacterial colonies were noted within and immediately surrounding the affected blood vessels. The meninges were thickened by the infiltration of numerous heterophils. Similar infiltrates of heterophils and lymphocytes were observed in the lamina propria of the intestine. The kidneys were severely congested and haemorrhagic, with extensive interstitial nephritis. © 2010 Elsevier Ltd.","author":[{"dropping-particle":"","family":"Zamri-Saad","given":"M.","non-dropping-particle":"","parse-names":false,"suffix":""},{"dropping-particle":"","family":"Amal","given":"M. N.A.","non-dropping-particle":"","parse-names":false,"suffix":""},{"dropping-particle":"","family":"Siti-Zahrah","given":"A.","non-dropping-particle":"","parse-names":false,"suffix":""}],"container-title":"Journal of Comparative Pathology","id":"ITEM-1","issue":"2-3","issued":{"date-parts":[["2010"]]},"page":"227-229","publisher":"Elsevier Ltd","title":"Pathological changes in red tilapias (Oreochromis spp.) naturally infected by Streptococcus agalactiae","type":"article-journal","volume":"143"},"uris":["http://www.mendeley.com/documents/?uuid=23cfc099-f5e4-4e0f-b281-bc6ed5dc5bbc","http://www.mendeley.com/documents/?uuid=be920a56-c0f1-4260-8be6-a536829849a1"]}],"mendeley":{"formattedCitation":"(Zamri-Saad et al., 2010)","manualFormatting":"(Zamri-Saad et al., 2010","plainTextFormattedCitation":"(Zamri-Saad et al., 2010)","previouslyFormattedCitation":"(Zamri-Saad, Amal, and Siti-Zahrah 2010)"},"properties":{"noteIndex":0},"schema":"https://github.com/citation-style-language/schema/raw/master/csl-citation.json"}</w:instrText>
      </w:r>
      <w:r w:rsidR="00EB6AE8" w:rsidRPr="00E47F58">
        <w:rPr>
          <w:rFonts w:ascii="Arial" w:hAnsi="Arial" w:cs="Arial"/>
          <w:sz w:val="20"/>
          <w:szCs w:val="20"/>
          <w:lang w:val="en-GB"/>
        </w:rPr>
        <w:fldChar w:fldCharType="separate"/>
      </w:r>
      <w:r w:rsidR="00EB6AE8" w:rsidRPr="00E47F58">
        <w:rPr>
          <w:rFonts w:ascii="Arial" w:hAnsi="Arial" w:cs="Arial"/>
          <w:noProof/>
          <w:sz w:val="20"/>
          <w:szCs w:val="20"/>
          <w:lang w:val="en-GB"/>
        </w:rPr>
        <w:t>(Zamri-Saad et al., 2010</w:t>
      </w:r>
      <w:r w:rsidR="00EB6AE8" w:rsidRPr="00E47F58">
        <w:rPr>
          <w:rFonts w:ascii="Arial" w:hAnsi="Arial" w:cs="Arial"/>
          <w:sz w:val="20"/>
          <w:szCs w:val="20"/>
          <w:lang w:val="en-GB"/>
        </w:rPr>
        <w:fldChar w:fldCharType="end"/>
      </w:r>
      <w:r w:rsidR="00EB6AE8" w:rsidRPr="00E47F58">
        <w:rPr>
          <w:rFonts w:ascii="Arial" w:hAnsi="Arial" w:cs="Arial"/>
          <w:sz w:val="20"/>
          <w:szCs w:val="20"/>
          <w:lang w:val="en-GB"/>
        </w:rPr>
        <w:t xml:space="preserve">; </w:t>
      </w:r>
      <w:r w:rsidR="00EB6AE8" w:rsidRPr="00E47F58">
        <w:rPr>
          <w:rFonts w:ascii="Arial" w:hAnsi="Arial" w:cs="Arial"/>
          <w:sz w:val="20"/>
          <w:szCs w:val="20"/>
          <w:lang w:val="en-GB"/>
        </w:rPr>
        <w:fldChar w:fldCharType="begin" w:fldLock="1"/>
      </w:r>
      <w:r w:rsidR="00E51220">
        <w:rPr>
          <w:rFonts w:ascii="Arial" w:hAnsi="Arial" w:cs="Arial"/>
          <w:sz w:val="20"/>
          <w:szCs w:val="20"/>
          <w:lang w:val="en-GB"/>
        </w:rPr>
        <w:instrText>ADDIN CSL_CITATION {"citationItems":[{"id":"ITEM-1","itemData":{"DOI":"10.1016/j.aquaculture.2017.11.019","ISSN":"00448486","abstract":"This paper reports a case of natural co-infection of Tilapia Lake Virus (TiLV) and Aeromonas veronii in a Malaysian red hybrid tilapia (Oreochromis niloticus × O. mossambicus) farm. In May 2017, a tilapia farm operator reported a mass mortality among cultured red hybrid tilapia juveniles, approximately 45 days after introduction into earthen ponds. Affected fish showed lethargy, loss of appetite, swim near the pond edge, pale and isolated from schooling group. There were skin redness and haemorrhages, particularly at the operculum area and at the base of dorsal, caudal and anal fins. Histopathological examinations revealed swollen hepatocytes, haemorrhagic spleens and perivascular cuffing consisted of mononuclear cells in the brains. PCR and sequence analyses confirmed the presence of TiLV and A. veronii in the diseased fish. Phylogenetic tree revealed that Malaysian's TiLV strain was more closely related with the virus isolated in Israel than in Egypt or Thailand, while Malaysian's A. veronii strain 5L was closely related with strains from China. TiLV infection is a significant threat to global tilapia industry. However, synergistic co-infection of TiLV and other bacterial might aggravate the problem.","author":[{"dropping-particle":"","family":"Amal","given":"M. N.A.","non-dropping-particle":"","parse-names":false,"suffix":""},{"dropping-particle":"","family":"Koh","given":"C. B.","non-dropping-particle":"","parse-names":false,"suffix":""},{"dropping-particle":"","family":"Nurliyana","given":"M.","non-dropping-particle":"","parse-names":false,"suffix":""},{"dropping-particle":"","family":"Suhaiba","given":"M.","non-dropping-particle":"","parse-names":false,"suffix":""},{"dropping-particle":"","family":"Nor-Amalina","given":"Z.","non-dropping-particle":"","parse-names":false,"suffix":""},{"dropping-particle":"","family":"Santha","given":"S.","non-dropping-particle":"","parse-names":false,"suffix":""},{"dropping-particle":"","family":"Diyana-Nadhirah","given":"K. P.","non-dropping-particle":"","parse-names":false,"suffix":""},{"dropping-particle":"","family":"Yusof","given":"M. T.","non-dropping-particle":"","parse-names":false,"suffix":""},{"dropping-particle":"","family":"Ina-Salwany","given":"M. Y.","non-dropping-particle":"","parse-names":false,"suffix":""},{"dropping-particle":"","family":"Zamri-Saad","given":"M.","non-dropping-particle":"","parse-names":false,"suffix":""}],"container-title":"Aquaculture","id":"ITEM-1","issue":"July 2017","issued":{"date-parts":[["2018"]]},"page":"12-16","publisher":"Elsevier","title":"A case of natural co-infection of Tilapia Lake Virus and Aeromonas veronii in a Malaysian red hybrid tilapia (Oreochromis niloticus × O. mossambicus) farm experiencing high mortality","type":"article-journal","volume":"485"},"uris":["http://www.mendeley.com/documents/?uuid=ed481209-8d68-4ce1-9229-d9bea92cd902"]}],"mendeley":{"formattedCitation":"(Amal et al., 2018)","manualFormatting":"Amal et al., 2018)","plainTextFormattedCitation":"(Amal et al., 2018)","previouslyFormattedCitation":"(Amal et al. 2018)"},"properties":{"noteIndex":0},"schema":"https://github.com/citation-style-language/schema/raw/master/csl-citation.json"}</w:instrText>
      </w:r>
      <w:r w:rsidR="00EB6AE8" w:rsidRPr="00E47F58">
        <w:rPr>
          <w:rFonts w:ascii="Arial" w:hAnsi="Arial" w:cs="Arial"/>
          <w:sz w:val="20"/>
          <w:szCs w:val="20"/>
          <w:lang w:val="en-GB"/>
        </w:rPr>
        <w:fldChar w:fldCharType="separate"/>
      </w:r>
      <w:r w:rsidR="00EB6AE8" w:rsidRPr="00E47F58">
        <w:rPr>
          <w:rFonts w:ascii="Arial" w:hAnsi="Arial" w:cs="Arial"/>
          <w:noProof/>
          <w:sz w:val="20"/>
          <w:szCs w:val="20"/>
          <w:lang w:val="en-GB"/>
        </w:rPr>
        <w:t>Amal et al., 2018</w:t>
      </w:r>
      <w:r w:rsidR="00D46013">
        <w:rPr>
          <w:rFonts w:ascii="Arial" w:hAnsi="Arial" w:cs="Arial"/>
          <w:noProof/>
          <w:sz w:val="20"/>
          <w:szCs w:val="20"/>
          <w:lang w:val="en-GB"/>
        </w:rPr>
        <w:t xml:space="preserve">; </w:t>
      </w:r>
      <w:r w:rsidR="00D46013" w:rsidRPr="0008476C">
        <w:rPr>
          <w:rFonts w:ascii="Arial" w:hAnsi="Arial" w:cs="Arial"/>
          <w:noProof/>
          <w:sz w:val="20"/>
          <w:szCs w:val="20"/>
          <w:highlight w:val="magenta"/>
          <w:lang w:val="en-GB"/>
        </w:rPr>
        <w:t>Hoseinifar</w:t>
      </w:r>
      <w:r w:rsidR="0008476C" w:rsidRPr="0008476C">
        <w:rPr>
          <w:rFonts w:ascii="Arial" w:hAnsi="Arial" w:cs="Arial"/>
          <w:noProof/>
          <w:sz w:val="20"/>
          <w:szCs w:val="20"/>
          <w:highlight w:val="magenta"/>
          <w:lang w:val="en-GB"/>
        </w:rPr>
        <w:t xml:space="preserve"> et al.,</w:t>
      </w:r>
      <w:r w:rsidR="0008476C">
        <w:rPr>
          <w:rFonts w:ascii="Arial" w:hAnsi="Arial" w:cs="Arial"/>
          <w:noProof/>
          <w:sz w:val="20"/>
          <w:szCs w:val="20"/>
          <w:lang w:val="en-GB"/>
        </w:rPr>
        <w:t xml:space="preserve"> </w:t>
      </w:r>
      <w:r w:rsidR="0008476C" w:rsidRPr="0008476C">
        <w:rPr>
          <w:rFonts w:ascii="Arial" w:hAnsi="Arial" w:cs="Arial"/>
          <w:noProof/>
          <w:sz w:val="20"/>
          <w:szCs w:val="20"/>
          <w:highlight w:val="magenta"/>
          <w:lang w:val="en-GB"/>
        </w:rPr>
        <w:t>2020</w:t>
      </w:r>
      <w:r w:rsidR="00EB6AE8" w:rsidRPr="0008476C">
        <w:rPr>
          <w:rFonts w:ascii="Arial" w:hAnsi="Arial" w:cs="Arial"/>
          <w:noProof/>
          <w:sz w:val="20"/>
          <w:szCs w:val="20"/>
          <w:highlight w:val="magenta"/>
          <w:lang w:val="en-GB"/>
        </w:rPr>
        <w:t>)</w:t>
      </w:r>
      <w:r w:rsidR="00EB6AE8" w:rsidRPr="00E47F58">
        <w:rPr>
          <w:rFonts w:ascii="Arial" w:hAnsi="Arial" w:cs="Arial"/>
          <w:sz w:val="20"/>
          <w:szCs w:val="20"/>
          <w:lang w:val="en-GB"/>
        </w:rPr>
        <w:fldChar w:fldCharType="end"/>
      </w:r>
      <w:r w:rsidR="00EB6AE8" w:rsidRPr="00E47F58">
        <w:rPr>
          <w:rFonts w:ascii="Arial" w:hAnsi="Arial" w:cs="Arial"/>
          <w:sz w:val="20"/>
          <w:szCs w:val="20"/>
          <w:lang w:val="en-GB"/>
        </w:rPr>
        <w:t>. And hence</w:t>
      </w:r>
      <w:r w:rsidR="0022766E" w:rsidRPr="00E47F58">
        <w:rPr>
          <w:rFonts w:ascii="Arial" w:hAnsi="Arial" w:cs="Arial"/>
          <w:sz w:val="20"/>
          <w:szCs w:val="20"/>
          <w:lang w:val="en-GB"/>
        </w:rPr>
        <w:t xml:space="preserve"> it</w:t>
      </w:r>
      <w:r w:rsidR="00EB6AE8" w:rsidRPr="00E47F58">
        <w:rPr>
          <w:rFonts w:ascii="Arial" w:hAnsi="Arial" w:cs="Arial"/>
          <w:sz w:val="20"/>
          <w:szCs w:val="20"/>
          <w:lang w:val="en-GB"/>
        </w:rPr>
        <w:t xml:space="preserve"> was used in bacterial challenge in this study.</w:t>
      </w:r>
    </w:p>
    <w:p w14:paraId="2DE3A799" w14:textId="73B04610" w:rsidR="00EB6AE8" w:rsidRDefault="0022766E" w:rsidP="00EB6AE8">
      <w:pPr>
        <w:pStyle w:val="single"/>
        <w:rPr>
          <w:rFonts w:ascii="Arial" w:hAnsi="Arial" w:cs="Arial"/>
          <w:sz w:val="20"/>
          <w:szCs w:val="20"/>
          <w:lang w:val="en-GB"/>
        </w:rPr>
      </w:pPr>
      <w:r w:rsidRPr="00E47F58">
        <w:rPr>
          <w:rFonts w:ascii="Arial" w:hAnsi="Arial" w:cs="Arial"/>
          <w:sz w:val="20"/>
          <w:szCs w:val="20"/>
          <w:lang w:val="en-GB"/>
        </w:rPr>
        <w:t>In this research</w:t>
      </w:r>
      <w:r w:rsidR="00EB6AE8" w:rsidRPr="00E47F58">
        <w:rPr>
          <w:rFonts w:ascii="Arial" w:hAnsi="Arial" w:cs="Arial"/>
          <w:sz w:val="20"/>
          <w:szCs w:val="20"/>
          <w:lang w:val="en-GB"/>
        </w:rPr>
        <w:t xml:space="preserve">, we also </w:t>
      </w:r>
      <w:r w:rsidR="00EB6AE8" w:rsidRPr="00DF2568">
        <w:rPr>
          <w:rFonts w:ascii="Arial" w:hAnsi="Arial" w:cs="Arial"/>
          <w:sz w:val="20"/>
          <w:szCs w:val="20"/>
          <w:highlight w:val="magenta"/>
          <w:lang w:val="en-GB"/>
        </w:rPr>
        <w:t>consider</w:t>
      </w:r>
      <w:r w:rsidR="00DF2568" w:rsidRPr="00DF2568">
        <w:rPr>
          <w:rFonts w:ascii="Arial" w:hAnsi="Arial" w:cs="Arial"/>
          <w:sz w:val="20"/>
          <w:szCs w:val="20"/>
          <w:highlight w:val="magenta"/>
          <w:lang w:val="en-GB"/>
        </w:rPr>
        <w:t>ed</w:t>
      </w:r>
      <w:r w:rsidR="00DF2568">
        <w:rPr>
          <w:rFonts w:ascii="Arial" w:hAnsi="Arial" w:cs="Arial"/>
          <w:sz w:val="20"/>
          <w:szCs w:val="20"/>
          <w:lang w:val="en-GB"/>
        </w:rPr>
        <w:t xml:space="preserve"> </w:t>
      </w:r>
      <w:r w:rsidR="00DF2568" w:rsidRPr="00DF2568">
        <w:rPr>
          <w:rFonts w:ascii="Arial" w:hAnsi="Arial" w:cs="Arial"/>
          <w:sz w:val="20"/>
          <w:szCs w:val="20"/>
          <w:highlight w:val="magenta"/>
          <w:lang w:val="en-GB"/>
        </w:rPr>
        <w:t>a</w:t>
      </w:r>
      <w:r w:rsidR="00EB6AE8" w:rsidRPr="00E47F58">
        <w:rPr>
          <w:rFonts w:ascii="Arial" w:hAnsi="Arial" w:cs="Arial"/>
          <w:sz w:val="20"/>
          <w:szCs w:val="20"/>
          <w:lang w:val="en-GB"/>
        </w:rPr>
        <w:t xml:space="preserve"> pressing </w:t>
      </w:r>
      <w:r w:rsidR="00EB6AE8" w:rsidRPr="00967C3F">
        <w:rPr>
          <w:rFonts w:ascii="Arial" w:hAnsi="Arial" w:cs="Arial"/>
          <w:sz w:val="20"/>
          <w:szCs w:val="20"/>
          <w:highlight w:val="magenta"/>
          <w:lang w:val="en-GB"/>
        </w:rPr>
        <w:t>issue</w:t>
      </w:r>
      <w:r w:rsidR="00EB6AE8" w:rsidRPr="00E47F58">
        <w:rPr>
          <w:rFonts w:ascii="Arial" w:hAnsi="Arial" w:cs="Arial"/>
          <w:sz w:val="20"/>
          <w:szCs w:val="20"/>
          <w:lang w:val="en-GB"/>
        </w:rPr>
        <w:t xml:space="preserve"> which may arise from the concept of the overall studies. </w:t>
      </w:r>
      <w:r w:rsidR="00967C3F" w:rsidRPr="00967C3F">
        <w:rPr>
          <w:rFonts w:ascii="Arial" w:hAnsi="Arial" w:cs="Arial"/>
          <w:sz w:val="20"/>
          <w:szCs w:val="20"/>
          <w:highlight w:val="magenta"/>
          <w:lang w:val="en-GB"/>
        </w:rPr>
        <w:t>T</w:t>
      </w:r>
      <w:r w:rsidR="00DF2568" w:rsidRPr="00967C3F">
        <w:rPr>
          <w:rFonts w:ascii="Arial" w:hAnsi="Arial" w:cs="Arial"/>
          <w:sz w:val="20"/>
          <w:szCs w:val="20"/>
          <w:highlight w:val="magenta"/>
          <w:lang w:val="en-GB"/>
        </w:rPr>
        <w:t>h</w:t>
      </w:r>
      <w:r w:rsidR="00967C3F" w:rsidRPr="00967C3F">
        <w:rPr>
          <w:rFonts w:ascii="Arial" w:hAnsi="Arial" w:cs="Arial"/>
          <w:sz w:val="20"/>
          <w:szCs w:val="20"/>
          <w:highlight w:val="magenta"/>
          <w:lang w:val="en-GB"/>
        </w:rPr>
        <w:t>is issue</w:t>
      </w:r>
      <w:r w:rsidR="00967C3F">
        <w:rPr>
          <w:rFonts w:ascii="Arial" w:hAnsi="Arial" w:cs="Arial"/>
          <w:sz w:val="20"/>
          <w:szCs w:val="20"/>
          <w:highlight w:val="magenta"/>
          <w:lang w:val="en-GB"/>
        </w:rPr>
        <w:t>s</w:t>
      </w:r>
      <w:r w:rsidR="00967C3F" w:rsidRPr="00967C3F">
        <w:rPr>
          <w:rFonts w:ascii="Arial" w:hAnsi="Arial" w:cs="Arial"/>
          <w:sz w:val="20"/>
          <w:szCs w:val="20"/>
          <w:highlight w:val="magenta"/>
          <w:lang w:val="en-GB"/>
        </w:rPr>
        <w:t xml:space="preserve"> arises from the q</w:t>
      </w:r>
      <w:r w:rsidR="00967C3F">
        <w:rPr>
          <w:rFonts w:ascii="Arial" w:hAnsi="Arial" w:cs="Arial"/>
          <w:sz w:val="20"/>
          <w:szCs w:val="20"/>
          <w:highlight w:val="magenta"/>
          <w:lang w:val="en-GB"/>
        </w:rPr>
        <w:t>ueries;</w:t>
      </w:r>
      <w:r w:rsidR="00EB6AE8" w:rsidRPr="00E47F58">
        <w:rPr>
          <w:rFonts w:ascii="Arial" w:hAnsi="Arial" w:cs="Arial"/>
          <w:sz w:val="20"/>
          <w:szCs w:val="20"/>
          <w:lang w:val="en-GB"/>
        </w:rPr>
        <w:t xml:space="preserve"> whether the inna</w:t>
      </w:r>
      <w:r w:rsidR="00967C3F">
        <w:rPr>
          <w:rFonts w:ascii="Arial" w:hAnsi="Arial" w:cs="Arial"/>
          <w:sz w:val="20"/>
          <w:szCs w:val="20"/>
          <w:lang w:val="en-GB"/>
        </w:rPr>
        <w:t xml:space="preserve">te immune boost in fish </w:t>
      </w:r>
      <w:r w:rsidR="00967C3F" w:rsidRPr="00967C3F">
        <w:rPr>
          <w:rFonts w:ascii="Arial" w:hAnsi="Arial" w:cs="Arial"/>
          <w:sz w:val="20"/>
          <w:szCs w:val="20"/>
          <w:highlight w:val="magenta"/>
          <w:lang w:val="en-GB"/>
        </w:rPr>
        <w:t>will be</w:t>
      </w:r>
      <w:r w:rsidR="00EB6AE8" w:rsidRPr="00E47F58">
        <w:rPr>
          <w:rFonts w:ascii="Arial" w:hAnsi="Arial" w:cs="Arial"/>
          <w:sz w:val="20"/>
          <w:szCs w:val="20"/>
          <w:lang w:val="en-GB"/>
        </w:rPr>
        <w:t xml:space="preserve"> sustained when </w:t>
      </w:r>
      <w:r w:rsidR="00EB6AE8" w:rsidRPr="00E47F58">
        <w:rPr>
          <w:rFonts w:ascii="Arial" w:hAnsi="Arial" w:cs="Arial"/>
          <w:i/>
          <w:iCs/>
          <w:sz w:val="20"/>
          <w:szCs w:val="20"/>
          <w:lang w:val="en-GB"/>
        </w:rPr>
        <w:t xml:space="preserve">C. vulgaris </w:t>
      </w:r>
      <w:r w:rsidR="00967C3F" w:rsidRPr="00967C3F">
        <w:rPr>
          <w:rFonts w:ascii="Arial" w:hAnsi="Arial" w:cs="Arial"/>
          <w:iCs/>
          <w:sz w:val="20"/>
          <w:szCs w:val="20"/>
          <w:highlight w:val="magenta"/>
          <w:lang w:val="en-GB"/>
        </w:rPr>
        <w:t>incorporated diet</w:t>
      </w:r>
      <w:r w:rsidR="00967C3F">
        <w:rPr>
          <w:rFonts w:ascii="Arial" w:hAnsi="Arial" w:cs="Arial"/>
          <w:iCs/>
          <w:sz w:val="20"/>
          <w:szCs w:val="20"/>
          <w:lang w:val="en-GB"/>
        </w:rPr>
        <w:t xml:space="preserve"> </w:t>
      </w:r>
      <w:r w:rsidR="00967C3F">
        <w:rPr>
          <w:rFonts w:ascii="Arial" w:hAnsi="Arial" w:cs="Arial"/>
          <w:sz w:val="20"/>
          <w:szCs w:val="20"/>
          <w:lang w:val="en-GB"/>
        </w:rPr>
        <w:t xml:space="preserve">feeding is </w:t>
      </w:r>
      <w:r w:rsidR="00967C3F" w:rsidRPr="00967C3F">
        <w:rPr>
          <w:rFonts w:ascii="Arial" w:hAnsi="Arial" w:cs="Arial"/>
          <w:sz w:val="20"/>
          <w:szCs w:val="20"/>
          <w:highlight w:val="magenta"/>
          <w:lang w:val="en-GB"/>
        </w:rPr>
        <w:t>terminated</w:t>
      </w:r>
      <w:r w:rsidR="00EB6AE8" w:rsidRPr="00E47F58">
        <w:rPr>
          <w:rFonts w:ascii="Arial" w:hAnsi="Arial" w:cs="Arial"/>
          <w:sz w:val="20"/>
          <w:szCs w:val="20"/>
          <w:lang w:val="en-GB"/>
        </w:rPr>
        <w:t xml:space="preserve">, and the </w:t>
      </w:r>
      <w:r w:rsidR="00967C3F" w:rsidRPr="00967C3F">
        <w:rPr>
          <w:rFonts w:ascii="Arial" w:hAnsi="Arial" w:cs="Arial"/>
          <w:sz w:val="20"/>
          <w:szCs w:val="20"/>
          <w:highlight w:val="magenta"/>
          <w:lang w:val="en-GB"/>
        </w:rPr>
        <w:t>experimental</w:t>
      </w:r>
      <w:r w:rsidR="00967C3F">
        <w:rPr>
          <w:rFonts w:ascii="Arial" w:hAnsi="Arial" w:cs="Arial"/>
          <w:sz w:val="20"/>
          <w:szCs w:val="20"/>
          <w:lang w:val="en-GB"/>
        </w:rPr>
        <w:t xml:space="preserve"> </w:t>
      </w:r>
      <w:r w:rsidR="00EB6AE8" w:rsidRPr="00E47F58">
        <w:rPr>
          <w:rFonts w:ascii="Arial" w:hAnsi="Arial" w:cs="Arial"/>
          <w:sz w:val="20"/>
          <w:szCs w:val="20"/>
          <w:lang w:val="en-GB"/>
        </w:rPr>
        <w:t xml:space="preserve">fish </w:t>
      </w:r>
      <w:r w:rsidR="00967C3F" w:rsidRPr="00967C3F">
        <w:rPr>
          <w:rFonts w:ascii="Arial" w:hAnsi="Arial" w:cs="Arial"/>
          <w:sz w:val="20"/>
          <w:szCs w:val="20"/>
          <w:highlight w:val="magenta"/>
          <w:lang w:val="en-GB"/>
        </w:rPr>
        <w:t>are</w:t>
      </w:r>
      <w:r w:rsidR="00967C3F">
        <w:rPr>
          <w:rFonts w:ascii="Arial" w:hAnsi="Arial" w:cs="Arial"/>
          <w:sz w:val="20"/>
          <w:szCs w:val="20"/>
          <w:lang w:val="en-GB"/>
        </w:rPr>
        <w:t xml:space="preserve"> </w:t>
      </w:r>
      <w:r w:rsidR="00EB6AE8" w:rsidRPr="00E47F58">
        <w:rPr>
          <w:rFonts w:ascii="Arial" w:hAnsi="Arial" w:cs="Arial"/>
          <w:sz w:val="20"/>
          <w:szCs w:val="20"/>
          <w:lang w:val="en-GB"/>
        </w:rPr>
        <w:t>challenged with bacteria</w:t>
      </w:r>
      <w:r w:rsidR="00EB6AE8" w:rsidRPr="00E47F58">
        <w:rPr>
          <w:rFonts w:ascii="Arial" w:hAnsi="Arial" w:cs="Arial"/>
          <w:i/>
          <w:iCs/>
          <w:sz w:val="20"/>
          <w:szCs w:val="20"/>
          <w:lang w:val="en-GB"/>
        </w:rPr>
        <w:t>.</w:t>
      </w:r>
      <w:r w:rsidR="00967C3F">
        <w:rPr>
          <w:rFonts w:ascii="Arial" w:hAnsi="Arial" w:cs="Arial"/>
          <w:sz w:val="20"/>
          <w:szCs w:val="20"/>
          <w:lang w:val="en-GB"/>
        </w:rPr>
        <w:t xml:space="preserve"> </w:t>
      </w:r>
      <w:r w:rsidR="00967C3F" w:rsidRPr="00967C3F">
        <w:rPr>
          <w:rFonts w:ascii="Arial" w:hAnsi="Arial" w:cs="Arial"/>
          <w:sz w:val="20"/>
          <w:szCs w:val="20"/>
          <w:highlight w:val="magenta"/>
          <w:lang w:val="en-GB"/>
        </w:rPr>
        <w:t>This</w:t>
      </w:r>
      <w:r w:rsidR="00EB6AE8" w:rsidRPr="00E47F58">
        <w:rPr>
          <w:rFonts w:ascii="Arial" w:hAnsi="Arial" w:cs="Arial"/>
          <w:sz w:val="20"/>
          <w:szCs w:val="20"/>
          <w:lang w:val="en-GB"/>
        </w:rPr>
        <w:t xml:space="preserve"> has to do with trying to see the actual effect of bacterial challenge on the experimental fish, </w:t>
      </w:r>
      <w:r w:rsidR="00967C3F" w:rsidRPr="00967C3F">
        <w:rPr>
          <w:rFonts w:ascii="Arial" w:hAnsi="Arial" w:cs="Arial"/>
          <w:sz w:val="20"/>
          <w:szCs w:val="20"/>
          <w:highlight w:val="magenta"/>
          <w:lang w:val="en-GB"/>
        </w:rPr>
        <w:t>evaluation of</w:t>
      </w:r>
      <w:r w:rsidR="00967C3F">
        <w:rPr>
          <w:rFonts w:ascii="Arial" w:hAnsi="Arial" w:cs="Arial"/>
          <w:sz w:val="20"/>
          <w:szCs w:val="20"/>
          <w:lang w:val="en-GB"/>
        </w:rPr>
        <w:t xml:space="preserve"> </w:t>
      </w:r>
      <w:r w:rsidR="00EB6AE8" w:rsidRPr="00E47F58">
        <w:rPr>
          <w:rFonts w:ascii="Arial" w:hAnsi="Arial" w:cs="Arial"/>
          <w:sz w:val="20"/>
          <w:szCs w:val="20"/>
          <w:lang w:val="en-GB"/>
        </w:rPr>
        <w:t xml:space="preserve">the metabolite fold changes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in fish, the effect of environment on the fish with respect to zero day-point and lastly, the effect of bacterial challenge on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fed fish. These were achieved via the metabolomics </w:t>
      </w:r>
      <w:r w:rsidRPr="00E47F58">
        <w:rPr>
          <w:rFonts w:ascii="Arial" w:hAnsi="Arial" w:cs="Arial"/>
          <w:sz w:val="20"/>
          <w:szCs w:val="20"/>
          <w:lang w:val="en-GB"/>
        </w:rPr>
        <w:t>multivariate data analysis (</w:t>
      </w:r>
      <w:r w:rsidR="00EB6AE8" w:rsidRPr="00E47F58">
        <w:rPr>
          <w:rFonts w:ascii="Arial" w:hAnsi="Arial" w:cs="Arial"/>
          <w:sz w:val="20"/>
          <w:szCs w:val="20"/>
          <w:lang w:val="en-GB"/>
        </w:rPr>
        <w:t>MVDA</w:t>
      </w:r>
      <w:r w:rsidRPr="00E47F58">
        <w:rPr>
          <w:rFonts w:ascii="Arial" w:hAnsi="Arial" w:cs="Arial"/>
          <w:sz w:val="20"/>
          <w:szCs w:val="20"/>
          <w:lang w:val="en-GB"/>
        </w:rPr>
        <w:t>)</w:t>
      </w:r>
      <w:r w:rsidR="00EB6AE8" w:rsidRPr="00E47F58">
        <w:rPr>
          <w:rFonts w:ascii="Arial" w:hAnsi="Arial" w:cs="Arial"/>
          <w:sz w:val="20"/>
          <w:szCs w:val="20"/>
          <w:lang w:val="en-GB"/>
        </w:rPr>
        <w:t xml:space="preserve"> of the resulting spleen samples from 0 day-point fish, bacterial challenged fish, control fish and treated fish groups.</w:t>
      </w:r>
      <w:r w:rsidRPr="00E47F58">
        <w:rPr>
          <w:rFonts w:ascii="Arial" w:hAnsi="Arial" w:cs="Arial"/>
          <w:sz w:val="20"/>
          <w:szCs w:val="20"/>
          <w:lang w:val="en-GB"/>
        </w:rPr>
        <w:t xml:space="preserve"> Hence t</w:t>
      </w:r>
      <w:r w:rsidR="00EB6AE8" w:rsidRPr="00E47F58">
        <w:rPr>
          <w:rFonts w:ascii="Arial" w:hAnsi="Arial" w:cs="Arial"/>
          <w:sz w:val="20"/>
          <w:szCs w:val="20"/>
          <w:lang w:val="en-GB"/>
        </w:rPr>
        <w:t>he sp</w:t>
      </w:r>
      <w:r w:rsidRPr="00E47F58">
        <w:rPr>
          <w:rFonts w:ascii="Arial" w:hAnsi="Arial" w:cs="Arial"/>
          <w:sz w:val="20"/>
          <w:szCs w:val="20"/>
          <w:lang w:val="en-GB"/>
        </w:rPr>
        <w:t xml:space="preserve">ecific </w:t>
      </w:r>
      <w:r w:rsidR="00967C3F" w:rsidRPr="00967C3F">
        <w:rPr>
          <w:rFonts w:ascii="Arial" w:hAnsi="Arial" w:cs="Arial"/>
          <w:sz w:val="20"/>
          <w:szCs w:val="20"/>
          <w:highlight w:val="magenta"/>
          <w:lang w:val="en-GB"/>
        </w:rPr>
        <w:t>aim</w:t>
      </w:r>
      <w:r w:rsidRPr="00E47F58">
        <w:rPr>
          <w:rFonts w:ascii="Arial" w:hAnsi="Arial" w:cs="Arial"/>
          <w:sz w:val="20"/>
          <w:szCs w:val="20"/>
          <w:lang w:val="en-GB"/>
        </w:rPr>
        <w:t xml:space="preserve"> of this study</w:t>
      </w:r>
      <w:r w:rsidR="00EB6AE8" w:rsidRPr="00E47F58">
        <w:rPr>
          <w:rFonts w:ascii="Arial" w:hAnsi="Arial" w:cs="Arial"/>
          <w:sz w:val="20"/>
          <w:szCs w:val="20"/>
          <w:lang w:val="en-GB"/>
        </w:rPr>
        <w:t xml:space="preserve"> was to confirm the immune signatures of </w:t>
      </w:r>
      <w:r w:rsidR="00EB6AE8" w:rsidRPr="00E47F58">
        <w:rPr>
          <w:rFonts w:ascii="Arial" w:hAnsi="Arial" w:cs="Arial"/>
          <w:i/>
          <w:iCs/>
          <w:sz w:val="20"/>
          <w:szCs w:val="20"/>
          <w:lang w:val="en-GB"/>
        </w:rPr>
        <w:t xml:space="preserve">C. vulgaris </w:t>
      </w:r>
      <w:r w:rsidRPr="00E47F58">
        <w:rPr>
          <w:rFonts w:ascii="Arial" w:hAnsi="Arial" w:cs="Arial"/>
          <w:sz w:val="20"/>
          <w:szCs w:val="20"/>
          <w:lang w:val="en-GB"/>
        </w:rPr>
        <w:t>in tilapia fish assessed in previous studies</w:t>
      </w:r>
      <w:r w:rsidR="00EB6AE8" w:rsidRPr="00E47F58">
        <w:rPr>
          <w:rFonts w:ascii="Arial" w:hAnsi="Arial" w:cs="Arial"/>
          <w:sz w:val="20"/>
          <w:szCs w:val="20"/>
          <w:lang w:val="en-GB"/>
        </w:rPr>
        <w:t xml:space="preserve"> via prophylaxis and bacterial challenge studies.</w:t>
      </w:r>
    </w:p>
    <w:p w14:paraId="16EABCDC" w14:textId="47028FD6" w:rsidR="00600E86" w:rsidRPr="00600E86" w:rsidRDefault="00600E86" w:rsidP="00600E86">
      <w:pPr>
        <w:jc w:val="both"/>
        <w:rPr>
          <w:rFonts w:ascii="Arial" w:hAnsi="Arial" w:cs="Arial"/>
          <w:sz w:val="20"/>
          <w:szCs w:val="20"/>
        </w:rPr>
      </w:pPr>
      <w:r w:rsidRPr="00600E86">
        <w:rPr>
          <w:rFonts w:ascii="Arial" w:hAnsi="Arial" w:cs="Arial"/>
          <w:sz w:val="20"/>
          <w:szCs w:val="20"/>
          <w:highlight w:val="yellow"/>
        </w:rPr>
        <w:t xml:space="preserve">NMR-based metabolomics have some advantages in analysis of bio fluids such as blood serum and plasma, especially in researches involving disease diagnostics. It is a nondestructive method and there is no physical contact between the sample and the sensor. NMR data interpretation may be simpler compared to MS but mostly require additional information by running two-dimensional spectra such as heteronuclear single quantum correlation (HSQC), heteronuclear multiple bond correlation (HMBC), correlation spectroscopy (COSY), </w:t>
      </w:r>
      <w:r w:rsidRPr="00600E86">
        <w:rPr>
          <w:rFonts w:ascii="Arial" w:hAnsi="Arial" w:cs="Arial"/>
          <w:i/>
          <w:sz w:val="20"/>
          <w:szCs w:val="20"/>
          <w:highlight w:val="yellow"/>
        </w:rPr>
        <w:t>J-</w:t>
      </w:r>
      <w:r w:rsidRPr="00600E86">
        <w:rPr>
          <w:rFonts w:ascii="Arial" w:hAnsi="Arial" w:cs="Arial"/>
          <w:sz w:val="20"/>
          <w:szCs w:val="20"/>
          <w:highlight w:val="yellow"/>
        </w:rPr>
        <w:t xml:space="preserve">resolved etc. especially when dealing with complex samples. This is because more details about mixture composition are necessary for comparison with databases. The resulting data from NMR can always be simply interpreted directly when compared to the analysis done by MS on the same sample. The main steps in NMR-based metabolomics are sample storage, sample preparation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10.1016/j.aca.2012.05.049","ISSN":"0003-2670","author":[{"dropping-particle":"","family":"Smolinska","given":"Agnieszka","non-dropping-particle":"","parse-names":false,"suffix":""},{"dropping-particle":"","family":"Blanchet","given":"Lionel","non-dropping-particle":"","parse-names":false,"suffix":""},{"dropping-particle":"","family":"Buydens","given":"Lutgarde M C","non-dropping-particle":"","parse-names":false,"suffix":""},{"dropping-particle":"","family":"Wijmenga","given":"Sybren S","non-dropping-particle":"","parse-names":false,"suffix":""}],"container-title":"Analytica Chimica Acta","id":"ITEM-1","issued":{"date-parts":[["2012"]]},"page":"82-97","publisher":"Elsevier B.V.","title":"NMR and pattern recognition methods in metabolomics : From data acquisition to biomarker discovery : A review","type":"article-journal","volume":"750"},"uris":["http://www.mendeley.com/documents/?uuid=23b6217e-525a-4688-b732-e1d811302342"]}],"mendeley":{"formattedCitation":"(Smolinska et al., 2012)","manualFormatting":"(Smolinska et al., 2012","plainTextFormattedCitation":"(Smolinska et al., 2012)","previouslyFormattedCitation":"(Smolinska, Blanchet, Buydens, &amp; Wijmenga, 2012)"},"properties":{"noteIndex":0},"schema":"https://github.com/citation-style-language/schema/raw/master/csl-citation.json"}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(Smolinska et al., 2012</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{"citationItems":[{"id":"ITEM-1","itemData":{"DOI":"10.1038/nprot.2007.376","ISSN":"17502799","abstract":"Metabolic profiling, metabolomic and metabonomic studies mainly involve the multicomponent analysis of biological fluids, tissue and cell extracts using NMR spectroscopy and/or mass spectrometry (MS). We summarize the main NMR spectroscopic applications in modern metabolic research, and provide detailed protocols for biofluid (urine, serum/plasma) and tissue sample collection and preparation, including the extraction of polar and lipophilic metabolites from tissues. 1H NMR spectroscopic techniques such as standard 1D spectroscopy, relaxation-edited, diffusion-edited and 2D J-resolved pulse sequences are widely used at the analysis stage to monitor different groups of metabolites and are described here. They are often followed by more detailed statistical analysis or additional 2D NMR analysis for biomarker discovery. The standard acquisition time per sample is 4-5 min for a simple 1D spectrum, and both preparation and analysis can be automated to allow application to high-throughput screening for clinical diagnostic and toxicological studies, as well as molecular phenotyping and functional genomics.","author":[{"dropping-particle":"","family":"Beckonert","given":"Olaf","non-dropping-particle":"","parse-names":false,"suffix":""},{"dropping-particle":"","family":"Keun","given":"Hector C.","non-dropping-particle":"","parse-names":false,"suffix":""},{"dropping-particle":"","family":"Ebbels","given":"Timothy M.D.","non-dropping-particle":"","parse-names":false,"suffix":""},{"dropping-particle":"","family":"Bundy","given":"Jacob","non-dropping-particle":"","parse-names":false,"suffix":""},{"dropping-particle":"","family":"Holmes","given":"Elaine","non-dropping-particle":"","parse-names":false,"suffix":""},{"dropping-particle":"","family":"Lindon","given":"John C.","non-dropping-particle":"","parse-names":false,"suffix":""},{"dropping-particle":"","family":"Nicholson","given":"Jeremy K.","non-dropping-particle":"","parse-names":false,"suffix":""}],"container-title":"Nature protocols","id":"ITEM-1","issue":"11","issued":{"date-parts":[["2007"]]},"page":"2692-2703","title":"Metabolic profiling, metabolomic and metabonomic procedures for NMR spectroscopy of urine, plasma, serum and tissue extracts.","type":"article-journal","volume":"2"},"uris":["http://www.mendeley.com/documents/?uuid=5bfa475a-de23-4623-beaa-55a6abcc5228"]}],"mendeley":{"formattedCitation":"(Beckonert et al., 2007)","manualFormatting":"Beckonert et al., 2007","plainTextFormattedCitation":"(Beckonert et al., 2007)","previouslyFormattedCitation":"(Beckonert et al., 2007)"},"properties":{"noteIndex":0},"schema":"https://github.com/citation-style-language/schema/raw/master/csl-citation.json"}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Beckonert et al., 2007</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10.1007/s10858-011-9489-1","author":[{"dropping-particle":"","family":"Bernini","given":"Patrizia","non-dropping-particle":"","parse-names":false,"suffix":""},{"dropping-particle":"","family":"Bertini","given":"Ivano","non-dropping-particle":"","parse-names":false,"suffix":""},{"dropping-particle":"","family":"Luchinat","given":"Claudio","non-dropping-particle":"","parse-names":false,"suffix":""},{"dropping-particle":"","family":"Turano","given":"Paola","non-dropping-particle":"","parse-names":false,"suffix":""}],"container-title":"Journal of Biomolecular NMR","id":"ITEM-1","issued":{"date-parts":[["2011"]]},"page":"231-243","title":"Standard operating procedures for pre-analytical handling of blood and urine for metabolomic studies and biobanks","type":"article-journal","volume":"49"},"uris":["http://www.mendeley.com/documents/?uuid=26d04b08-9ccb-4bd2-b4c1-cba82de726b6"]}],"mendeley":{"formattedCitation":"(Bernini et al., 2011)","manualFormatting":"Bernini et al., 2011)","plainTextFormattedCitation":"(Bernini et al., 2011)","previouslyFormattedCitation":"(Bernini, Bertini, Luchinat, &amp; Turano, 2011)"},"properties":{"noteIndex":0},"schema":"https://github.com/citation-style-language/schema/raw/master/csl-citation.json"}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Bernini et al., 2011)</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data acquisition and processing of spectra </w:t>
      </w:r>
      <w:r w:rsidRPr="00600E86">
        <w:rPr>
          <w:rFonts w:ascii="Arial" w:hAnsi="Arial" w:cs="Arial"/>
          <w:sz w:val="20"/>
          <w:szCs w:val="20"/>
          <w:highlight w:val="yellow"/>
        </w:rPr>
        <w:lastRenderedPageBreak/>
        <w:fldChar w:fldCharType="begin" w:fldLock="1"/>
      </w:r>
      <w:r w:rsidR="00E51220">
        <w:rPr>
          <w:rFonts w:ascii="Arial" w:hAnsi="Arial" w:cs="Arial"/>
          <w:sz w:val="20"/>
          <w:szCs w:val="20"/>
          <w:highlight w:val="yellow"/>
        </w:rPr>
        <w:instrText>ADDIN CSL_CITATION {"citationItems":[{"id":"ITEM-1","itemData":{"DOI":"10.1016/j.pnmrs.2011.02.001","author":[{"dropping-particle":"","family":"Izquierdo-garcía","given":"Jose L","non-dropping-particle":"","parse-names":false,"suffix":""},{"dropping-particle":"","family":"Villa","given":"Palmira","non-dropping-particle":"","parse-names":false,"suffix":""},{"dropping-particle":"","family":"Kyriazis","given":"Angelos","non-dropping-particle":"","parse-names":false,"suffix":""},{"dropping-particle":"","family":"Puerto-nevado","given":"Laura","non-dropping-particle":"","parse-names":false,"suffix":""},{"dropping-particle":"","family":"Pérez-rial","given":"Sandra","non-dropping-particle":"","parse-names":false,"suffix":""},{"dropping-particle":"","family":"Rodriguez","given":"Ignacio","non-dropping-particle":"","parse-names":false,"suffix":""},{"dropping-particle":"","family":"Hernandez","given":"Natalia","non-dropping-particle":"","parse-names":false,"suffix":""},{"dropping-particle":"","family":"Ruiz-cabello","given":"Jesús","non-dropping-particle":"","parse-names":false,"suffix":""}],"container-title":"Progress in Nuclear Magnetic Resonance Spectroscopy","id":"ITEM-1","issued":{"date-parts":[["2011"]]},"page":"263-270","title":"Descriptive review of current NMR-based metabolomic data analysis packages","type":"article-journal","volume":"59"},"uris":["http://www.mendeley.com/documents/?uuid=53cecc53-4335-430c-85d9-0e8ed09cf41b"]}],"mendeley":{"formattedCitation":"(Izquierdo-garcía et al., 2011)","manualFormatting":"(Izquierdo-garcía et al., 2011","plainTextFormattedCitation":"(Izquierdo-garcía et al., 2011)","previouslyFormattedCitation":"(Izquierdo-garcía et al., 2011)"},"properties":{"noteIndex":0},"schema":"https://github.com/citation-style-language/schema/raw/master/csl-citation.json"}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(Izquierdo-garcía et al., 2011</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{"citationItems":[{"id":"ITEM-1","itemData":{"DOI":"10.3109/00365513.2014.1003593","author":[{"dropping-particle":"","family":"Euceda","given":"Leslie R","non-dropping-particle":"","parse-names":false,"suffix":""},{"dropping-particle":"","family":"Giskeødegård","given":"Guro F","non-dropping-particle":"","parse-names":false,"suffix":""},{"dropping-particle":"","family":"Bathen","given":"Tone F","non-dropping-particle":"","parse-names":false,"suffix":""}],"container-title":"Scandinavian Journal of Clinical &amp; Laboratory Investigation","id":"ITEM-1","issued":{"date-parts":[["2015"]]},"page":"193-203","title":"Preprocessing of NMR metabolomics data","type":"article-journal","volume":"75"},"uris":["http://www.mendeley.com/documents/?uuid=a1e9eff1-8c8e-4cd2-a4a5-668ffa716fd2"]}],"mendeley":{"formattedCitation":"(Euceda et al., 2015)","manualFormatting":"Euceda et al., 2015)","plainTextFormattedCitation":"(Euceda et al., 2015)","previouslyFormattedCitation":"(Euceda, Giskeødegård, &amp; Bathen, 2015)"},"properties":{"noteIndex":0},"schema":"https://github.com/citation-style-language/schema/raw/master/csl-citation.json"}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Euceda et al., 2015)</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xml:space="preserve">, multivariate statistical data analysis </w:t>
      </w:r>
      <w:r w:rsidRPr="00600E86">
        <w:rPr>
          <w:rFonts w:ascii="Arial" w:hAnsi="Arial" w:cs="Arial"/>
          <w:sz w:val="20"/>
          <w:szCs w:val="20"/>
          <w:highlight w:val="yellow"/>
        </w:rPr>
        <w:fldChar w:fldCharType="begin" w:fldLock="1"/>
      </w:r>
      <w:r w:rsidR="00E51220">
        <w:rPr>
          <w:rFonts w:ascii="Arial" w:hAnsi="Arial" w:cs="Arial"/>
          <w:sz w:val="20"/>
          <w:szCs w:val="20"/>
          <w:highlight w:val="yellow"/>
        </w:rPr>
        <w:instrText>ADDIN CSL_CITATION {"citationItems":[{"id":"ITEM-1","itemData":{"DOI":"10.2174/2213235X11301010092.Multivariate","author":[{"dropping-particle":"","family":"Worley","given":"Bradley","non-dropping-particle":"","parse-names":false,"suffix":""},{"dropping-particle":"","family":"Powers","given":"Robert","non-dropping-particle":"","parse-names":false,"suffix":""}],"container-title":"Current Metabolomics","id":"ITEM-1","issue":"1","issued":{"date-parts":[["2015"]]},"page":"92-107","title":"HHS Public Access","type":"article-journal","volume":"1"},"uris":["http://www.mendeley.com/documents/?uuid=80284b52-22b1-4a24-983f-cd33e3d967bd"]}],"mendeley":{"formattedCitation":"(Worley &amp; Powers, 2015)","plainTextFormattedCitation":"(Worley &amp; Powers, 2015)","previouslyFormattedCitation":"(Worley &amp; Powers, 2015)"},"properties":{"noteIndex":0},"schema":"https://github.com/citation-style-language/schema/raw/master/csl-citation.json"}</w:instrText>
      </w:r>
      <w:r w:rsidRPr="00600E86">
        <w:rPr>
          <w:rFonts w:ascii="Arial" w:hAnsi="Arial" w:cs="Arial"/>
          <w:sz w:val="20"/>
          <w:szCs w:val="20"/>
          <w:highlight w:val="yellow"/>
        </w:rPr>
        <w:fldChar w:fldCharType="separate"/>
      </w:r>
      <w:r w:rsidRPr="00600E86">
        <w:rPr>
          <w:rFonts w:ascii="Arial" w:hAnsi="Arial" w:cs="Arial"/>
          <w:noProof/>
          <w:sz w:val="20"/>
          <w:szCs w:val="20"/>
          <w:highlight w:val="yellow"/>
        </w:rPr>
        <w:t>(Worley &amp; Powers, 2015)</w:t>
      </w:r>
      <w:r w:rsidRPr="00600E86">
        <w:rPr>
          <w:rFonts w:ascii="Arial" w:hAnsi="Arial" w:cs="Arial"/>
          <w:sz w:val="20"/>
          <w:szCs w:val="20"/>
          <w:highlight w:val="yellow"/>
          <w:lang w:val="en-GB"/>
        </w:rPr>
        <w:fldChar w:fldCharType="end"/>
      </w:r>
      <w:r w:rsidRPr="00600E86">
        <w:rPr>
          <w:rFonts w:ascii="Arial" w:hAnsi="Arial" w:cs="Arial"/>
          <w:sz w:val="20"/>
          <w:szCs w:val="20"/>
          <w:highlight w:val="yellow"/>
        </w:rPr>
        <w:t>, search for key-metabolites by metabolic profiling and finally identification of potential biomarkers.</w:t>
      </w:r>
    </w:p>
    <w:p w14:paraId="444ADE68" w14:textId="77777777" w:rsidR="00600E86" w:rsidRPr="00600E86" w:rsidRDefault="00600E86" w:rsidP="00600E86">
      <w:pPr>
        <w:jc w:val="both"/>
        <w:rPr>
          <w:rFonts w:ascii="Arial" w:hAnsi="Arial" w:cs="Arial"/>
          <w:sz w:val="20"/>
          <w:szCs w:val="20"/>
          <w:lang w:val="en-GB"/>
        </w:rPr>
      </w:pPr>
    </w:p>
    <w:p w14:paraId="212E7D76" w14:textId="77777777" w:rsidR="006B7BC9" w:rsidRPr="006B7BC9" w:rsidRDefault="006B7BC9" w:rsidP="006B7BC9">
      <w:pPr>
        <w:rPr>
          <w:lang w:val="en-GB"/>
        </w:rPr>
      </w:pPr>
    </w:p>
    <w:p w14:paraId="2CFDDF99" w14:textId="66D3306E" w:rsidR="00EB6AE8" w:rsidRPr="00E47F58" w:rsidRDefault="00982E49" w:rsidP="002C772B">
      <w:pPr>
        <w:pStyle w:val="Heading2"/>
      </w:pPr>
      <w:bookmarkStart w:id="4" w:name="_Toc49955748"/>
      <w:bookmarkStart w:id="5" w:name="_Toc50652439"/>
      <w:r w:rsidRPr="00E47F58">
        <w:t>2.0</w:t>
      </w:r>
      <w:r w:rsidRPr="00E47F58">
        <w:tab/>
        <w:t xml:space="preserve">MATERIALS AND </w:t>
      </w:r>
      <w:r w:rsidR="00123C53" w:rsidRPr="00E47F58">
        <w:t>METH</w:t>
      </w:r>
      <w:bookmarkEnd w:id="4"/>
      <w:bookmarkEnd w:id="5"/>
      <w:r w:rsidRPr="00E47F58">
        <w:t>ODS</w:t>
      </w:r>
    </w:p>
    <w:p w14:paraId="2DA6656E" w14:textId="1AA26CC2" w:rsidR="00A60DD7" w:rsidRPr="00925661" w:rsidRDefault="00A60DD7" w:rsidP="002C772B">
      <w:pPr>
        <w:pStyle w:val="Heading2"/>
        <w:rPr>
          <w:highlight w:val="yellow"/>
        </w:rPr>
      </w:pPr>
      <w:bookmarkStart w:id="6" w:name="_Toc49955746"/>
      <w:bookmarkStart w:id="7" w:name="_Toc50652437"/>
      <w:r w:rsidRPr="00925661">
        <w:rPr>
          <w:highlight w:val="yellow"/>
        </w:rPr>
        <w:t>2.1</w:t>
      </w:r>
      <w:r w:rsidRPr="00925661">
        <w:rPr>
          <w:highlight w:val="yellow"/>
        </w:rPr>
        <w:tab/>
        <w:t>Instruments</w:t>
      </w:r>
      <w:bookmarkEnd w:id="6"/>
      <w:bookmarkEnd w:id="7"/>
    </w:p>
    <w:p w14:paraId="638DF3C4" w14:textId="77777777" w:rsidR="00A60DD7" w:rsidRPr="00925661" w:rsidRDefault="00A60DD7" w:rsidP="00A60DD7">
      <w:pPr>
        <w:pStyle w:val="single"/>
        <w:rPr>
          <w:rFonts w:ascii="Arial" w:hAnsi="Arial" w:cs="Arial"/>
          <w:sz w:val="20"/>
          <w:szCs w:val="20"/>
          <w:highlight w:val="yellow"/>
          <w:lang w:val="en-GB"/>
        </w:rPr>
      </w:pPr>
      <w:r w:rsidRPr="00925661">
        <w:rPr>
          <w:rFonts w:ascii="Arial" w:hAnsi="Arial" w:cs="Arial"/>
          <w:sz w:val="20"/>
          <w:szCs w:val="20"/>
          <w:highlight w:val="yellow"/>
        </w:rPr>
        <w:t xml:space="preserve">700 MHz Bruker Ascend Nuclear Magnetic Resonance Spectrometer (NMR) with cryo-probe (Bruker Inc., </w:t>
      </w:r>
      <w:hyperlink r:id="rId8" w:tooltip="Billerica, Massachusetts" w:history="1">
        <w:r w:rsidRPr="00925661">
          <w:rPr>
            <w:rStyle w:val="Hyperlink"/>
            <w:rFonts w:ascii="Arial" w:hAnsi="Arial" w:cs="Arial"/>
            <w:color w:val="auto"/>
            <w:sz w:val="20"/>
            <w:szCs w:val="20"/>
            <w:highlight w:val="yellow"/>
            <w:u w:val="none"/>
            <w:lang w:val="en-SG"/>
          </w:rPr>
          <w:t>Billerica, Massachusetts</w:t>
        </w:r>
      </w:hyperlink>
      <w:r w:rsidRPr="00925661">
        <w:rPr>
          <w:rFonts w:ascii="Arial" w:hAnsi="Arial" w:cs="Arial"/>
          <w:color w:val="auto"/>
          <w:sz w:val="20"/>
          <w:szCs w:val="20"/>
          <w:highlight w:val="yellow"/>
          <w:lang w:val="en-SG"/>
        </w:rPr>
        <w:t xml:space="preserve">, </w:t>
      </w:r>
      <w:r w:rsidRPr="00925661">
        <w:rPr>
          <w:rFonts w:ascii="Arial" w:hAnsi="Arial" w:cs="Arial"/>
          <w:sz w:val="20"/>
          <w:szCs w:val="20"/>
          <w:highlight w:val="yellow"/>
          <w:lang w:val="en-SG"/>
        </w:rPr>
        <w:t>USA) for spleen analysis</w:t>
      </w:r>
      <w:r w:rsidRPr="00925661">
        <w:rPr>
          <w:rFonts w:ascii="Arial" w:hAnsi="Arial" w:cs="Arial"/>
          <w:sz w:val="20"/>
          <w:szCs w:val="20"/>
          <w:highlight w:val="yellow"/>
        </w:rPr>
        <w:t xml:space="preserve">, </w:t>
      </w:r>
      <w:proofErr w:type="spellStart"/>
      <w:r w:rsidRPr="00925661">
        <w:rPr>
          <w:rFonts w:ascii="Arial" w:hAnsi="Arial" w:cs="Arial"/>
          <w:sz w:val="20"/>
          <w:szCs w:val="20"/>
          <w:highlight w:val="yellow"/>
          <w:lang w:val="en-GB"/>
        </w:rPr>
        <w:t>Chenomx</w:t>
      </w:r>
      <w:proofErr w:type="spellEnd"/>
      <w:r w:rsidRPr="00925661">
        <w:rPr>
          <w:rFonts w:ascii="Arial" w:hAnsi="Arial" w:cs="Arial"/>
          <w:sz w:val="20"/>
          <w:szCs w:val="20"/>
          <w:highlight w:val="yellow"/>
          <w:lang w:val="en-GB"/>
        </w:rPr>
        <w:t xml:space="preserve"> NMR Suite (</w:t>
      </w:r>
      <w:proofErr w:type="spellStart"/>
      <w:r w:rsidRPr="00925661">
        <w:rPr>
          <w:rFonts w:ascii="Arial" w:hAnsi="Arial" w:cs="Arial"/>
          <w:sz w:val="20"/>
          <w:szCs w:val="20"/>
          <w:highlight w:val="yellow"/>
          <w:lang w:val="en-GB"/>
        </w:rPr>
        <w:t>Chenomx</w:t>
      </w:r>
      <w:proofErr w:type="spellEnd"/>
      <w:r w:rsidRPr="00925661">
        <w:rPr>
          <w:rFonts w:ascii="Arial" w:hAnsi="Arial" w:cs="Arial"/>
          <w:sz w:val="20"/>
          <w:szCs w:val="20"/>
          <w:highlight w:val="yellow"/>
          <w:lang w:val="en-GB"/>
        </w:rPr>
        <w:t xml:space="preserve"> Inc.,</w:t>
      </w:r>
      <w:r w:rsidRPr="00925661">
        <w:rPr>
          <w:rFonts w:ascii="Arial" w:hAnsi="Arial" w:cs="Arial"/>
          <w:sz w:val="20"/>
          <w:szCs w:val="20"/>
          <w:highlight w:val="yellow"/>
        </w:rPr>
        <w:t xml:space="preserve"> Edmonton, Canada), </w:t>
      </w:r>
      <w:proofErr w:type="spellStart"/>
      <w:r w:rsidRPr="00925661">
        <w:rPr>
          <w:rFonts w:ascii="Arial" w:hAnsi="Arial" w:cs="Arial"/>
          <w:sz w:val="20"/>
          <w:szCs w:val="20"/>
          <w:highlight w:val="yellow"/>
          <w:lang w:val="en-GB"/>
        </w:rPr>
        <w:t>MestRenova</w:t>
      </w:r>
      <w:proofErr w:type="spellEnd"/>
      <w:r w:rsidRPr="00925661">
        <w:rPr>
          <w:rFonts w:ascii="Arial" w:hAnsi="Arial" w:cs="Arial"/>
          <w:sz w:val="20"/>
          <w:szCs w:val="20"/>
          <w:highlight w:val="yellow"/>
          <w:lang w:val="en-GB"/>
        </w:rPr>
        <w:t xml:space="preserve"> (version 6.02-5475 </w:t>
      </w:r>
      <w:proofErr w:type="spellStart"/>
      <w:r w:rsidRPr="00925661">
        <w:rPr>
          <w:rFonts w:ascii="Arial" w:hAnsi="Arial" w:cs="Arial"/>
          <w:sz w:val="20"/>
          <w:szCs w:val="20"/>
          <w:highlight w:val="yellow"/>
          <w:lang w:val="en-GB"/>
        </w:rPr>
        <w:t>Mestrelab</w:t>
      </w:r>
      <w:proofErr w:type="spellEnd"/>
      <w:r w:rsidRPr="00925661">
        <w:rPr>
          <w:rFonts w:ascii="Arial" w:hAnsi="Arial" w:cs="Arial"/>
          <w:sz w:val="20"/>
          <w:szCs w:val="20"/>
          <w:highlight w:val="yellow"/>
          <w:lang w:val="en-GB"/>
        </w:rPr>
        <w:t xml:space="preserve"> Research, Santiago de Compostella, Spain) for NMR data processing</w:t>
      </w:r>
      <w:r w:rsidRPr="00925661">
        <w:rPr>
          <w:rFonts w:ascii="Arial" w:hAnsi="Arial" w:cs="Arial"/>
          <w:sz w:val="20"/>
          <w:szCs w:val="20"/>
          <w:highlight w:val="yellow"/>
        </w:rPr>
        <w:t xml:space="preserve">, SIMCA </w:t>
      </w:r>
      <w:proofErr w:type="spellStart"/>
      <w:r w:rsidRPr="00925661">
        <w:rPr>
          <w:rFonts w:ascii="Arial" w:hAnsi="Arial" w:cs="Arial"/>
          <w:sz w:val="20"/>
          <w:szCs w:val="20"/>
          <w:highlight w:val="yellow"/>
        </w:rPr>
        <w:t>Umetrics</w:t>
      </w:r>
      <w:proofErr w:type="spellEnd"/>
      <w:r w:rsidRPr="00925661">
        <w:rPr>
          <w:rFonts w:ascii="Arial" w:hAnsi="Arial" w:cs="Arial"/>
          <w:sz w:val="20"/>
          <w:szCs w:val="20"/>
          <w:highlight w:val="yellow"/>
        </w:rPr>
        <w:t xml:space="preserve"> 14.1 (Sartorius Stedim Biotech, Sweden) for MVA.</w:t>
      </w:r>
    </w:p>
    <w:p w14:paraId="57CD98FE" w14:textId="13FB7E06" w:rsidR="00A60DD7" w:rsidRPr="00925661" w:rsidRDefault="00A60DD7" w:rsidP="002C772B">
      <w:pPr>
        <w:pStyle w:val="Heading2"/>
        <w:rPr>
          <w:highlight w:val="yellow"/>
        </w:rPr>
      </w:pPr>
      <w:bookmarkStart w:id="8" w:name="_Toc49955747"/>
      <w:bookmarkStart w:id="9" w:name="_Toc50652438"/>
      <w:r w:rsidRPr="00925661">
        <w:rPr>
          <w:highlight w:val="yellow"/>
        </w:rPr>
        <w:t>2.2</w:t>
      </w:r>
      <w:r w:rsidRPr="00925661">
        <w:rPr>
          <w:highlight w:val="yellow"/>
        </w:rPr>
        <w:tab/>
        <w:t>Chemicals</w:t>
      </w:r>
      <w:bookmarkEnd w:id="8"/>
      <w:bookmarkEnd w:id="9"/>
    </w:p>
    <w:p w14:paraId="4EF5CAE5" w14:textId="4C5663A7" w:rsidR="00A60DD7" w:rsidRDefault="00A60DD7" w:rsidP="00A60DD7">
      <w:pPr>
        <w:pStyle w:val="single"/>
        <w:rPr>
          <w:sz w:val="20"/>
          <w:szCs w:val="20"/>
        </w:rPr>
      </w:pPr>
      <w:r w:rsidRPr="00925661">
        <w:rPr>
          <w:rFonts w:ascii="Arial" w:hAnsi="Arial" w:cs="Arial"/>
          <w:sz w:val="20"/>
          <w:szCs w:val="20"/>
          <w:highlight w:val="yellow"/>
        </w:rPr>
        <w:t xml:space="preserve">MS2, Methanol, Deuterated water, Phosphate buffer, Sodium </w:t>
      </w:r>
      <w:proofErr w:type="spellStart"/>
      <w:r w:rsidRPr="00925661">
        <w:rPr>
          <w:rFonts w:ascii="Arial" w:hAnsi="Arial" w:cs="Arial"/>
          <w:sz w:val="20"/>
          <w:szCs w:val="20"/>
          <w:highlight w:val="yellow"/>
        </w:rPr>
        <w:t>azide</w:t>
      </w:r>
      <w:proofErr w:type="spellEnd"/>
      <w:r w:rsidRPr="00925661">
        <w:rPr>
          <w:rFonts w:ascii="Arial" w:hAnsi="Arial" w:cs="Arial"/>
          <w:sz w:val="20"/>
          <w:szCs w:val="20"/>
          <w:highlight w:val="yellow"/>
        </w:rPr>
        <w:t xml:space="preserve"> (NaN</w:t>
      </w:r>
      <w:r w:rsidRPr="00925661">
        <w:rPr>
          <w:rFonts w:ascii="Arial" w:hAnsi="Arial" w:cs="Arial"/>
          <w:sz w:val="20"/>
          <w:szCs w:val="20"/>
          <w:highlight w:val="yellow"/>
          <w:vertAlign w:val="subscript"/>
        </w:rPr>
        <w:t>3</w:t>
      </w:r>
      <w:r w:rsidRPr="00925661">
        <w:rPr>
          <w:rFonts w:ascii="Arial" w:hAnsi="Arial" w:cs="Arial"/>
          <w:sz w:val="20"/>
          <w:szCs w:val="20"/>
          <w:highlight w:val="yellow"/>
        </w:rPr>
        <w:t>), Trimethylsilyl propanoic acid (TSP).</w:t>
      </w:r>
    </w:p>
    <w:p w14:paraId="2277C1BB" w14:textId="6A601551" w:rsidR="00586825" w:rsidRPr="00E47F58" w:rsidRDefault="00982E49" w:rsidP="00E47F58">
      <w:pPr>
        <w:pStyle w:val="Heading3"/>
        <w:rPr>
          <w:sz w:val="20"/>
          <w:szCs w:val="20"/>
        </w:rPr>
      </w:pPr>
      <w:r w:rsidRPr="00E47F58">
        <w:rPr>
          <w:sz w:val="20"/>
          <w:szCs w:val="20"/>
        </w:rPr>
        <w:t>2</w:t>
      </w:r>
      <w:r w:rsidR="00A60DD7">
        <w:rPr>
          <w:sz w:val="20"/>
          <w:szCs w:val="20"/>
        </w:rPr>
        <w:t>.3</w:t>
      </w:r>
      <w:r w:rsidRPr="00E47F58">
        <w:rPr>
          <w:sz w:val="20"/>
          <w:szCs w:val="20"/>
        </w:rPr>
        <w:tab/>
      </w:r>
      <w:r w:rsidR="00586825" w:rsidRPr="00E47F58">
        <w:rPr>
          <w:sz w:val="20"/>
          <w:szCs w:val="20"/>
        </w:rPr>
        <w:t xml:space="preserve">Fish acclimatization </w:t>
      </w:r>
    </w:p>
    <w:p w14:paraId="674FF1E8" w14:textId="4B146C92" w:rsidR="00EB6AE8" w:rsidRPr="00E47F58" w:rsidRDefault="00EB6AE8" w:rsidP="00EB6AE8">
      <w:pPr>
        <w:pStyle w:val="single"/>
        <w:rPr>
          <w:rFonts w:ascii="Arial" w:hAnsi="Arial" w:cs="Arial"/>
          <w:sz w:val="20"/>
          <w:szCs w:val="20"/>
        </w:rPr>
      </w:pPr>
      <w:r w:rsidRPr="00E47F58">
        <w:rPr>
          <w:rFonts w:ascii="Arial" w:hAnsi="Arial" w:cs="Arial"/>
          <w:sz w:val="20"/>
          <w:szCs w:val="20"/>
        </w:rPr>
        <w:t xml:space="preserve">One hundred and ten juvenile Nile tilapia </w:t>
      </w:r>
      <w:r w:rsidR="00967C3F" w:rsidRPr="00967C3F">
        <w:rPr>
          <w:rFonts w:ascii="Arial" w:hAnsi="Arial" w:cs="Arial"/>
          <w:sz w:val="20"/>
          <w:szCs w:val="20"/>
          <w:highlight w:val="magenta"/>
        </w:rPr>
        <w:t>O</w:t>
      </w:r>
      <w:r w:rsidR="0022766E" w:rsidRPr="00E47F58">
        <w:rPr>
          <w:rFonts w:ascii="Arial" w:hAnsi="Arial" w:cs="Arial"/>
          <w:i/>
          <w:sz w:val="20"/>
          <w:szCs w:val="20"/>
        </w:rPr>
        <w:t xml:space="preserve">reochromis niloticus </w:t>
      </w:r>
      <w:r w:rsidRPr="00E47F58">
        <w:rPr>
          <w:rFonts w:ascii="Arial" w:hAnsi="Arial" w:cs="Arial"/>
          <w:sz w:val="20"/>
          <w:szCs w:val="20"/>
        </w:rPr>
        <w:t>(</w:t>
      </w:r>
      <w:r w:rsidRPr="00E47F58">
        <w:rPr>
          <w:rFonts w:ascii="Arial" w:hAnsi="Arial" w:cs="Arial"/>
          <w:i/>
          <w:sz w:val="20"/>
          <w:szCs w:val="20"/>
        </w:rPr>
        <w:t>O.  niloticus</w:t>
      </w:r>
      <w:r w:rsidRPr="00E47F58">
        <w:rPr>
          <w:rFonts w:ascii="Arial" w:hAnsi="Arial" w:cs="Arial"/>
          <w:sz w:val="20"/>
          <w:szCs w:val="20"/>
        </w:rPr>
        <w:t xml:space="preserve">) with an average weight of 60 ± 0.5 g (mean ± SE) were obtained from Taman </w:t>
      </w:r>
      <w:proofErr w:type="spellStart"/>
      <w:r w:rsidRPr="00E47F58">
        <w:rPr>
          <w:rFonts w:ascii="Arial" w:hAnsi="Arial" w:cs="Arial"/>
          <w:sz w:val="20"/>
          <w:szCs w:val="20"/>
        </w:rPr>
        <w:t>Pertanian</w:t>
      </w:r>
      <w:proofErr w:type="spellEnd"/>
      <w:r w:rsidRPr="00E47F58">
        <w:rPr>
          <w:rFonts w:ascii="Arial" w:hAnsi="Arial" w:cs="Arial"/>
          <w:sz w:val="20"/>
          <w:szCs w:val="20"/>
        </w:rPr>
        <w:t xml:space="preserve"> Universiti (TPU), Universiti Putra Malaysia. The fish were acclimatized in glass aquaria (80 x 40 x 30 cm) for 2 weeks and fed a 1% body weight (</w:t>
      </w:r>
      <w:proofErr w:type="spellStart"/>
      <w:r w:rsidRPr="00E47F58">
        <w:rPr>
          <w:rFonts w:ascii="Arial" w:hAnsi="Arial" w:cs="Arial"/>
          <w:sz w:val="20"/>
          <w:szCs w:val="20"/>
        </w:rPr>
        <w:t>bw</w:t>
      </w:r>
      <w:proofErr w:type="spellEnd"/>
      <w:r w:rsidRPr="00E47F58">
        <w:rPr>
          <w:rFonts w:ascii="Arial" w:hAnsi="Arial" w:cs="Arial"/>
          <w:sz w:val="20"/>
          <w:szCs w:val="20"/>
        </w:rPr>
        <w:t xml:space="preserve">) commercial diet daily before the initiation of the experiment. The water temperature was kept at 25-28 °C, while pH and dissolved oxygen were maintained at 6.9-7.3 and 9-12 mg/L, respectively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{"citationItems":[{"id":"ITEM-1","itemData":{"DOI":"10.2105/AJPH.56.3.387","ISSN":"00029572","PMID":"5948695","author":[{"dropping-particle":"","family":"Gilcreas","given":"F. W.","non-dropping-particle":"","parse-names":false,"suffix":""}],"container-title":"American journal of public health and the nation's health","id":"ITEM-1","issue":"3","issued":{"date-parts":[["1966"]]},"page":"387-388","title":"Standard methods for the examination of water and waste water.","type":"article-journal","volume":"56"},"uris":["http://www.mendeley.com/documents/?uuid=5adfd6ab-b3a1-45e3-bd7f-2e007f9ac92f","http://www.mendeley.com/documents/?uuid=58993a2f-4362-40ec-a891-dcfe0ceed07e"]}],"mendeley":{"formattedCitation":"(Gilcreas, 1966)","plainTextFormattedCitation":"(Gilcreas, 1966)","previouslyFormattedCitation":"(Gilcreas 1966)"},"properties":{"noteIndex":0},"schema":"https://github.com/citation-style-language/schema/raw/master/csl-citation.json"}</w:instrText>
      </w:r>
      <w:r w:rsidRPr="00E47F58">
        <w:rPr>
          <w:rFonts w:ascii="Arial" w:hAnsi="Arial" w:cs="Arial"/>
          <w:sz w:val="20"/>
          <w:szCs w:val="20"/>
        </w:rPr>
        <w:fldChar w:fldCharType="separate"/>
      </w:r>
      <w:r w:rsidR="00E51220" w:rsidRPr="00E51220">
        <w:rPr>
          <w:rFonts w:ascii="Arial" w:hAnsi="Arial" w:cs="Arial"/>
          <w:noProof/>
          <w:sz w:val="20"/>
          <w:szCs w:val="20"/>
        </w:rPr>
        <w:t>(Gilcreas, 1966)</w:t>
      </w:r>
      <w:r w:rsidRPr="00E47F58">
        <w:rPr>
          <w:rFonts w:ascii="Arial" w:hAnsi="Arial" w:cs="Arial"/>
          <w:sz w:val="20"/>
          <w:szCs w:val="20"/>
        </w:rPr>
        <w:fldChar w:fldCharType="end"/>
      </w:r>
      <w:r w:rsidRPr="00E47F58">
        <w:rPr>
          <w:rFonts w:ascii="Arial" w:hAnsi="Arial" w:cs="Arial"/>
          <w:sz w:val="20"/>
          <w:szCs w:val="20"/>
        </w:rPr>
        <w:t xml:space="preserve">. </w:t>
      </w:r>
    </w:p>
    <w:p w14:paraId="01003C5C" w14:textId="482FA4CA" w:rsidR="00EB6AE8" w:rsidRPr="00E47F58" w:rsidRDefault="00A60DD7" w:rsidP="00E47F58">
      <w:pPr>
        <w:pStyle w:val="Heading3"/>
        <w:rPr>
          <w:sz w:val="20"/>
          <w:szCs w:val="20"/>
        </w:rPr>
      </w:pPr>
      <w:bookmarkStart w:id="10" w:name="_Toc49955749"/>
      <w:bookmarkStart w:id="11" w:name="_Toc50652440"/>
      <w:r>
        <w:rPr>
          <w:sz w:val="20"/>
          <w:szCs w:val="20"/>
        </w:rPr>
        <w:t>2.4</w:t>
      </w:r>
      <w:r w:rsidR="00982E49" w:rsidRPr="00E47F58">
        <w:rPr>
          <w:sz w:val="20"/>
          <w:szCs w:val="20"/>
        </w:rPr>
        <w:tab/>
      </w:r>
      <w:r w:rsidR="00EB6AE8" w:rsidRPr="00E47F58">
        <w:rPr>
          <w:sz w:val="20"/>
          <w:szCs w:val="20"/>
        </w:rPr>
        <w:t>Bacterial challenge LC</w:t>
      </w:r>
      <w:r w:rsidR="00EB6AE8" w:rsidRPr="00E47F58">
        <w:rPr>
          <w:sz w:val="20"/>
          <w:szCs w:val="20"/>
          <w:vertAlign w:val="subscript"/>
        </w:rPr>
        <w:t>50</w:t>
      </w:r>
      <w:bookmarkEnd w:id="10"/>
      <w:bookmarkEnd w:id="11"/>
    </w:p>
    <w:p w14:paraId="01183831"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rPr>
        <w:t>The bacteria used for challenge test was</w:t>
      </w:r>
      <w:r w:rsidR="006412F3" w:rsidRPr="00E47F58">
        <w:rPr>
          <w:rFonts w:ascii="Arial" w:hAnsi="Arial" w:cs="Arial"/>
          <w:sz w:val="20"/>
          <w:szCs w:val="20"/>
        </w:rPr>
        <w:t xml:space="preserve"> </w:t>
      </w:r>
      <w:r w:rsidR="006412F3" w:rsidRPr="00E47F58">
        <w:rPr>
          <w:rFonts w:ascii="Arial" w:hAnsi="Arial" w:cs="Arial"/>
          <w:i/>
          <w:sz w:val="20"/>
          <w:szCs w:val="20"/>
        </w:rPr>
        <w:t>Streptococcus agalactiae</w:t>
      </w:r>
      <w:r w:rsidRPr="00E47F58">
        <w:rPr>
          <w:rFonts w:ascii="Arial" w:hAnsi="Arial" w:cs="Arial"/>
          <w:sz w:val="20"/>
          <w:szCs w:val="20"/>
        </w:rPr>
        <w:t xml:space="preserve"> </w:t>
      </w:r>
      <w:r w:rsidR="006412F3" w:rsidRPr="00E47F58">
        <w:rPr>
          <w:rFonts w:ascii="Arial" w:hAnsi="Arial" w:cs="Arial"/>
          <w:sz w:val="20"/>
          <w:szCs w:val="20"/>
        </w:rPr>
        <w:t>(</w:t>
      </w:r>
      <w:r w:rsidRPr="00E47F58">
        <w:rPr>
          <w:rFonts w:ascii="Arial" w:hAnsi="Arial" w:cs="Arial"/>
          <w:i/>
          <w:iCs/>
          <w:sz w:val="20"/>
          <w:szCs w:val="20"/>
        </w:rPr>
        <w:t>S. agalactiae</w:t>
      </w:r>
      <w:r w:rsidR="006412F3" w:rsidRPr="00E47F58">
        <w:rPr>
          <w:rFonts w:ascii="Arial" w:hAnsi="Arial" w:cs="Arial"/>
          <w:i/>
          <w:iCs/>
          <w:sz w:val="20"/>
          <w:szCs w:val="20"/>
        </w:rPr>
        <w:t>)</w:t>
      </w:r>
      <w:r w:rsidRPr="00E47F58">
        <w:rPr>
          <w:rFonts w:ascii="Arial" w:hAnsi="Arial" w:cs="Arial"/>
          <w:i/>
          <w:iCs/>
          <w:sz w:val="20"/>
          <w:szCs w:val="20"/>
        </w:rPr>
        <w:t xml:space="preserve"> </w:t>
      </w:r>
      <w:r w:rsidRPr="00E47F58">
        <w:rPr>
          <w:rFonts w:ascii="Arial" w:hAnsi="Arial" w:cs="Arial"/>
          <w:sz w:val="20"/>
          <w:szCs w:val="20"/>
        </w:rPr>
        <w:t>and its concentration used was assessed by first determining the 50% lethal concentration (LC</w:t>
      </w:r>
      <w:r w:rsidRPr="00E47F58">
        <w:rPr>
          <w:rFonts w:ascii="Arial" w:hAnsi="Arial" w:cs="Arial"/>
          <w:sz w:val="20"/>
          <w:szCs w:val="20"/>
          <w:vertAlign w:val="subscript"/>
        </w:rPr>
        <w:t>50</w:t>
      </w:r>
      <w:r w:rsidRPr="00E47F58">
        <w:rPr>
          <w:rFonts w:ascii="Arial" w:hAnsi="Arial" w:cs="Arial"/>
          <w:sz w:val="20"/>
          <w:szCs w:val="20"/>
        </w:rPr>
        <w:t>) via immersion</w:t>
      </w:r>
      <w:r w:rsidR="006412F3" w:rsidRPr="00E47F58">
        <w:rPr>
          <w:rFonts w:ascii="Arial" w:hAnsi="Arial" w:cs="Arial"/>
          <w:sz w:val="20"/>
          <w:szCs w:val="20"/>
        </w:rPr>
        <w:t xml:space="preserve"> method</w:t>
      </w:r>
      <w:r w:rsidRPr="00E47F58">
        <w:rPr>
          <w:rFonts w:ascii="Arial" w:hAnsi="Arial" w:cs="Arial"/>
          <w:sz w:val="20"/>
          <w:szCs w:val="20"/>
        </w:rPr>
        <w:t>.</w:t>
      </w:r>
    </w:p>
    <w:p w14:paraId="497EAFCB" w14:textId="16294802" w:rsidR="000F209F" w:rsidRPr="000F209F" w:rsidRDefault="00A60DD7" w:rsidP="000F209F">
      <w:pPr>
        <w:pStyle w:val="Heading4"/>
        <w:rPr>
          <w:rFonts w:ascii="Arial" w:hAnsi="Arial" w:cs="Arial"/>
          <w:sz w:val="20"/>
          <w:szCs w:val="20"/>
          <w:lang w:val="en-SG"/>
        </w:rPr>
      </w:pPr>
      <w:bookmarkStart w:id="12" w:name="_Toc49955750"/>
      <w:bookmarkStart w:id="13" w:name="_Toc50652441"/>
      <w:r>
        <w:rPr>
          <w:rFonts w:ascii="Arial" w:hAnsi="Arial" w:cs="Arial"/>
          <w:sz w:val="20"/>
          <w:szCs w:val="20"/>
          <w:lang w:val="en-SG"/>
        </w:rPr>
        <w:t>2.5</w:t>
      </w:r>
      <w:r w:rsidR="00982E49" w:rsidRPr="00E47F58">
        <w:rPr>
          <w:rFonts w:ascii="Arial" w:hAnsi="Arial" w:cs="Arial"/>
          <w:sz w:val="20"/>
          <w:szCs w:val="20"/>
          <w:lang w:val="en-SG"/>
        </w:rPr>
        <w:tab/>
      </w:r>
      <w:r w:rsidR="00EB6AE8" w:rsidRPr="00E47F58">
        <w:rPr>
          <w:rFonts w:ascii="Arial" w:hAnsi="Arial" w:cs="Arial"/>
          <w:sz w:val="20"/>
          <w:szCs w:val="20"/>
          <w:lang w:val="en-SG"/>
        </w:rPr>
        <w:t>Bacterial strain</w:t>
      </w:r>
      <w:bookmarkEnd w:id="12"/>
      <w:bookmarkEnd w:id="13"/>
    </w:p>
    <w:p w14:paraId="344D9273" w14:textId="785B2D72" w:rsidR="000F209F" w:rsidRDefault="000F209F" w:rsidP="000F209F">
      <w:pPr>
        <w:rPr>
          <w:lang w:val="en-SG"/>
        </w:rPr>
      </w:pPr>
      <w:r w:rsidRPr="000F209F">
        <w:rPr>
          <w:lang w:val="en-SG"/>
        </w:rPr>
        <w:t xml:space="preserve">The pathogenic strain of S. agalactiae SAK2 was obtained from a previous study conducted by </w:t>
      </w:r>
      <w:proofErr w:type="spellStart"/>
      <w:r w:rsidRPr="000F209F">
        <w:rPr>
          <w:lang w:val="en-SG"/>
        </w:rPr>
        <w:t>Kahieshesfandiari</w:t>
      </w:r>
      <w:proofErr w:type="spellEnd"/>
      <w:r w:rsidRPr="000F209F">
        <w:rPr>
          <w:lang w:val="en-SG"/>
        </w:rPr>
        <w:t xml:space="preserve"> et al. (2019). The bacterium was </w:t>
      </w:r>
      <w:proofErr w:type="spellStart"/>
      <w:r w:rsidRPr="000F209F">
        <w:rPr>
          <w:lang w:val="en-SG"/>
        </w:rPr>
        <w:t>subcultured</w:t>
      </w:r>
      <w:proofErr w:type="spellEnd"/>
      <w:r w:rsidRPr="000F209F">
        <w:rPr>
          <w:lang w:val="en-SG"/>
        </w:rPr>
        <w:t xml:space="preserve"> on blood agar (Oxoid, Basingstoke, Hampshire, UK), and a single pure colony was subsequently inoculated into 1.5% (w/v) tryptone soya broth (TSB; </w:t>
      </w:r>
      <w:proofErr w:type="spellStart"/>
      <w:r w:rsidRPr="000F209F">
        <w:rPr>
          <w:lang w:val="en-SG"/>
        </w:rPr>
        <w:t>HiMedia</w:t>
      </w:r>
      <w:proofErr w:type="spellEnd"/>
      <w:r w:rsidRPr="000F209F">
        <w:rPr>
          <w:lang w:val="en-SG"/>
        </w:rPr>
        <w:t xml:space="preserve">, Mumbai, India). The culture was incubated overnight at 37 °C in a shaking incubator. Bacterial cells were then harvested by centrifugation at 10,000 rpm for 10 min. The resulting pellet was resuspended in 1.5% TSB supplemented with 18% glycerol to prepare stock cultures, which were stored at −20 °C until further use. Prior to the commencement of the experiment, the identity of </w:t>
      </w:r>
      <w:r w:rsidRPr="000F209F">
        <w:rPr>
          <w:lang w:val="en-SG"/>
        </w:rPr>
        <w:lastRenderedPageBreak/>
        <w:t>the isolates was confirmed through biochemical characterisation using the API Rapid ID Strep32 system and 16S rRNA gene sequencing, following the manufacturer’s instructions.</w:t>
      </w:r>
    </w:p>
    <w:p w14:paraId="5396CE8A" w14:textId="77777777" w:rsidR="000F209F" w:rsidRPr="000F209F" w:rsidRDefault="000F209F" w:rsidP="000F209F">
      <w:pPr>
        <w:rPr>
          <w:lang w:val="en-SG"/>
        </w:rPr>
      </w:pPr>
    </w:p>
    <w:p w14:paraId="546BA005" w14:textId="75E2C217" w:rsidR="00EB6AE8" w:rsidRPr="00E47F58" w:rsidRDefault="00A60DD7" w:rsidP="006412F3">
      <w:pPr>
        <w:pStyle w:val="Heading4"/>
        <w:rPr>
          <w:rFonts w:ascii="Arial" w:hAnsi="Arial" w:cs="Arial"/>
          <w:sz w:val="20"/>
          <w:szCs w:val="20"/>
          <w:lang w:val="en-SG"/>
        </w:rPr>
      </w:pPr>
      <w:bookmarkStart w:id="14" w:name="_Toc49955751"/>
      <w:bookmarkStart w:id="15" w:name="_Toc50652442"/>
      <w:r>
        <w:rPr>
          <w:rFonts w:ascii="Arial" w:hAnsi="Arial" w:cs="Arial"/>
          <w:sz w:val="20"/>
          <w:szCs w:val="20"/>
          <w:lang w:val="en-SG"/>
        </w:rPr>
        <w:t>2.6</w:t>
      </w:r>
      <w:r w:rsidR="00982E49" w:rsidRPr="00E47F58">
        <w:rPr>
          <w:rFonts w:ascii="Arial" w:hAnsi="Arial" w:cs="Arial"/>
          <w:sz w:val="20"/>
          <w:szCs w:val="20"/>
          <w:lang w:val="en-SG"/>
        </w:rPr>
        <w:tab/>
      </w:r>
      <w:r w:rsidR="00EB6AE8" w:rsidRPr="00E47F58">
        <w:rPr>
          <w:rFonts w:ascii="Arial" w:hAnsi="Arial" w:cs="Arial"/>
          <w:sz w:val="20"/>
          <w:szCs w:val="20"/>
          <w:lang w:val="en-SG"/>
        </w:rPr>
        <w:t>Preparation of live bacteria inoculums and preparation of its different concentrations for challenge</w:t>
      </w:r>
      <w:bookmarkEnd w:id="14"/>
      <w:bookmarkEnd w:id="15"/>
    </w:p>
    <w:p w14:paraId="3FE6C725" w14:textId="048D905C" w:rsidR="00EB6AE8" w:rsidRPr="00E47F58" w:rsidRDefault="00EB6AE8" w:rsidP="00EB6AE8">
      <w:pPr>
        <w:pStyle w:val="single"/>
        <w:rPr>
          <w:rFonts w:ascii="Arial" w:hAnsi="Arial" w:cs="Arial"/>
          <w:sz w:val="20"/>
          <w:szCs w:val="20"/>
          <w:lang w:val="en-SG"/>
        </w:rPr>
      </w:pPr>
      <w:r w:rsidRPr="00E47F58">
        <w:rPr>
          <w:rFonts w:ascii="Arial" w:hAnsi="Arial" w:cs="Arial"/>
          <w:i/>
          <w:iCs/>
          <w:sz w:val="20"/>
          <w:szCs w:val="20"/>
          <w:lang w:val="en-SG"/>
        </w:rPr>
        <w:t>Streptococcus agalactiae</w:t>
      </w:r>
      <w:r w:rsidRPr="00E47F58">
        <w:rPr>
          <w:rFonts w:ascii="Arial" w:hAnsi="Arial" w:cs="Arial"/>
          <w:sz w:val="20"/>
          <w:szCs w:val="20"/>
          <w:lang w:val="en-SG"/>
        </w:rPr>
        <w:t xml:space="preserve"> was </w:t>
      </w:r>
      <w:r w:rsidR="006412F3" w:rsidRPr="00E47F58">
        <w:rPr>
          <w:rFonts w:ascii="Arial" w:hAnsi="Arial" w:cs="Arial"/>
          <w:sz w:val="20"/>
          <w:szCs w:val="20"/>
          <w:lang w:val="en-SG"/>
        </w:rPr>
        <w:t>sub cultured</w:t>
      </w:r>
      <w:r w:rsidRPr="00E47F58">
        <w:rPr>
          <w:rFonts w:ascii="Arial" w:hAnsi="Arial" w:cs="Arial"/>
          <w:sz w:val="20"/>
          <w:szCs w:val="20"/>
          <w:lang w:val="en-SG"/>
        </w:rPr>
        <w:t xml:space="preserve"> in blood agar and incubated at 37 °C for 24 h, before </w:t>
      </w:r>
      <w:r w:rsidR="006412F3" w:rsidRPr="00E47F58">
        <w:rPr>
          <w:rFonts w:ascii="Arial" w:hAnsi="Arial" w:cs="Arial"/>
          <w:sz w:val="20"/>
          <w:szCs w:val="20"/>
          <w:lang w:val="en-SG"/>
        </w:rPr>
        <w:t>sub culturing</w:t>
      </w:r>
      <w:r w:rsidRPr="00E47F58">
        <w:rPr>
          <w:rFonts w:ascii="Arial" w:hAnsi="Arial" w:cs="Arial"/>
          <w:sz w:val="20"/>
          <w:szCs w:val="20"/>
          <w:lang w:val="en-SG"/>
        </w:rPr>
        <w:t xml:space="preserve"> further in brain heart infusion broth (BHIB) at the same temperature for the next 18 h with gentle shaking. To activate the virulence of the bacteria, about 3 mL of broth was passed into the tilapia by intraperitoneal inoculation. </w:t>
      </w:r>
      <w:r w:rsidRPr="00E47F58">
        <w:rPr>
          <w:rFonts w:ascii="Arial" w:hAnsi="Arial" w:cs="Arial"/>
          <w:i/>
          <w:iCs/>
          <w:sz w:val="20"/>
          <w:szCs w:val="20"/>
          <w:lang w:val="en-SG"/>
        </w:rPr>
        <w:t>Streptococcus agalactiae</w:t>
      </w:r>
      <w:r w:rsidRPr="00E47F58">
        <w:rPr>
          <w:rFonts w:ascii="Arial" w:hAnsi="Arial" w:cs="Arial"/>
          <w:sz w:val="20"/>
          <w:szCs w:val="20"/>
          <w:lang w:val="en-SG"/>
        </w:rPr>
        <w:t xml:space="preserve"> was then isolated from the eye, brain and kidney of the dead tilapia within 24 h. The identity of the isolates were confirmed by biochemical tests and </w:t>
      </w:r>
      <w:r w:rsidR="00296D5B" w:rsidRPr="00E47F58">
        <w:rPr>
          <w:rFonts w:ascii="Arial" w:hAnsi="Arial" w:cs="Arial"/>
          <w:sz w:val="20"/>
          <w:szCs w:val="20"/>
          <w:lang w:val="en-SG"/>
        </w:rPr>
        <w:t>inoculated</w:t>
      </w:r>
      <w:r w:rsidRPr="00E47F58">
        <w:rPr>
          <w:rFonts w:ascii="Arial" w:hAnsi="Arial" w:cs="Arial"/>
          <w:sz w:val="20"/>
          <w:szCs w:val="20"/>
          <w:lang w:val="en-SG"/>
        </w:rPr>
        <w:t xml:space="preserve"> into 100 mL of BHIB until the logarithmic phase. Subsequently, a tenfold serial dilution and colony counting technique were performed to determine the bacterial concentration. Briefly, 1 mL of </w:t>
      </w:r>
      <w:r w:rsidRPr="00E47F58">
        <w:rPr>
          <w:rFonts w:ascii="Arial" w:hAnsi="Arial" w:cs="Arial"/>
          <w:i/>
          <w:iCs/>
          <w:sz w:val="20"/>
          <w:szCs w:val="20"/>
          <w:lang w:val="en-SG"/>
        </w:rPr>
        <w:t xml:space="preserve">S. agalactiae </w:t>
      </w:r>
      <w:r w:rsidRPr="00E47F58">
        <w:rPr>
          <w:rFonts w:ascii="Arial" w:hAnsi="Arial" w:cs="Arial"/>
          <w:sz w:val="20"/>
          <w:szCs w:val="20"/>
          <w:lang w:val="en-SG"/>
        </w:rPr>
        <w:t xml:space="preserve">broth was added into 9 mL of peptone water with a series of highest dilution (101) to the lowest (109). Again, blood agar was used to spread 0.1 mL of each dilution before incubation at 37 °C for 24 h. Colonies between 25 and 250 were counted before the concentration was expressed as colony-forming unit per millilitre (CFU/mL) </w:t>
      </w:r>
      <w:r w:rsidRPr="00E47F58">
        <w:rPr>
          <w:rFonts w:ascii="Arial" w:hAnsi="Arial" w:cs="Arial"/>
          <w:sz w:val="20"/>
          <w:szCs w:val="20"/>
          <w:lang w:val="en-SG"/>
        </w:rPr>
        <w:fldChar w:fldCharType="begin" w:fldLock="1"/>
      </w:r>
      <w:r w:rsidR="00E51220">
        <w:rPr>
          <w:rFonts w:ascii="Arial" w:hAnsi="Arial" w:cs="Arial"/>
          <w:sz w:val="20"/>
          <w:szCs w:val="20"/>
          <w:lang w:val="en-SG"/>
        </w:rPr>
        <w:instrText>ADDIN CSL_CITATION {"citationItems":[{"id":"ITEM-1","itemData":{"DOI":"10.1007/s10499-019-00372-8","ISSN":"1573143X","abstract":"This study was carried out to determine the potential of a biofilm vaccine of Streptococcus agalactiae in protecting tilapia from streptococcocal infection. The tilapia were vaccinated orally using the biofilm vaccine with 10 9 10 10 CFU/g (FBV) incorporated in feed and killed whole-cell vaccine (FCV) of S. agalactiae also prepared in feed, and the unvaccinated control group (Cx) was fed with standard feed formulation. Throughout the study, serum, mucus and gut lavage fluid were collected to evaluate the antibody responses among the groups. The results showed that tilapia vaccinated with FBV exhibited significantly (p &lt; 0.05) stronger immune response and high protection with the relative percentage survival (RPS) of more than 70% (85%) compared with the FCV group, which was only 56%. None of the tilapia in the Cx group survived (0%) post-challenge. Thus, the study revealed that the feed-based biofilm vaccine (FBV) significantly confers the immune protection against the high-dose challenge of S. agalactiae by secretion of the protective immunity in the mucosal and humoral in tilapia.","author":[{"dropping-particle":"","family":"Kahieshesfandiari","given":"M.","non-dropping-particle":"","parse-names":false,"suffix":""},{"dropping-particle":"","family":"Sabri","given":"M. Y.","non-dropping-particle":"","parse-names":false,"suffix":""},{"dropping-particle":"","family":"Ina-salwany","given":"M. Y.","non-dropping-particle":"","parse-names":false,"suffix":""},{"dropping-particle":"","family":"Hassan","given":"M. D.","non-dropping-particle":"","parse-names":false,"suffix":""},{"dropping-particle":"","family":"Noraini","given":"O.","non-dropping-particle":"","parse-names":false,"suffix":""},{"dropping-particle":"","family":"Ajadi","given":"A. A.","non-dropping-particle":"","parse-names":false,"suffix":""},{"dropping-particle":"","family":"Isiaku","given":"A. I.","non-dropping-particle":"","parse-names":false,"suffix":""}],"container-title":"Aquaculture International","id":"ITEM-1","issued":{"date-parts":[["2019"]]},"page":"817–832","title":"Streptococcosis in Oreochromis sp.: is feed-based biofilm vaccine of Streptococcus agalactiae effective?","type":"article-journal","volume":"27"},"uris":["http://www.mendeley.com/documents/?uuid=04052a03-bcff-4d3e-accd-1a3f95f5dbd6","http://www.mendeley.com/documents/?uuid=9bc17a05-9957-4df1-aebc-14e51ed38ed8"]}],"mendeley":{"formattedCitation":"(Kahieshesfandiari et al., 2019)","plainTextFormattedCitation":"(Kahieshesfandiari et al., 2019)","previouslyFormattedCitation":"(Kahieshesfandiari et al. 2019)"},"properties":{"noteIndex":0},"schema":"https://github.com/citation-style-language/schema/raw/master/csl-citation.json"}</w:instrText>
      </w:r>
      <w:r w:rsidRPr="00E47F58">
        <w:rPr>
          <w:rFonts w:ascii="Arial" w:hAnsi="Arial" w:cs="Arial"/>
          <w:sz w:val="20"/>
          <w:szCs w:val="20"/>
          <w:lang w:val="en-SG"/>
        </w:rPr>
        <w:fldChar w:fldCharType="separate"/>
      </w:r>
      <w:r w:rsidR="00E51220" w:rsidRPr="00E51220">
        <w:rPr>
          <w:rFonts w:ascii="Arial" w:hAnsi="Arial" w:cs="Arial"/>
          <w:noProof/>
          <w:sz w:val="20"/>
          <w:szCs w:val="20"/>
          <w:lang w:val="en-SG"/>
        </w:rPr>
        <w:t>(Kahieshesfandiari et al., 2019)</w:t>
      </w:r>
      <w:r w:rsidRPr="00E47F58">
        <w:rPr>
          <w:rFonts w:ascii="Arial" w:hAnsi="Arial" w:cs="Arial"/>
          <w:sz w:val="20"/>
          <w:szCs w:val="20"/>
          <w:lang w:val="en-SG"/>
        </w:rPr>
        <w:fldChar w:fldCharType="end"/>
      </w:r>
      <w:r w:rsidRPr="00E47F58">
        <w:rPr>
          <w:rFonts w:ascii="Arial" w:hAnsi="Arial" w:cs="Arial"/>
          <w:sz w:val="20"/>
          <w:szCs w:val="20"/>
          <w:lang w:val="en-SG"/>
        </w:rPr>
        <w:t>. The different concentrations of the bacteria; 10</w:t>
      </w:r>
      <w:r w:rsidRPr="00E47F58">
        <w:rPr>
          <w:rFonts w:ascii="Arial" w:hAnsi="Arial" w:cs="Arial"/>
          <w:sz w:val="20"/>
          <w:szCs w:val="20"/>
          <w:vertAlign w:val="superscript"/>
          <w:lang w:val="en-SG"/>
        </w:rPr>
        <w:t>5</w:t>
      </w:r>
      <w:r w:rsidRPr="00E47F58">
        <w:rPr>
          <w:rFonts w:ascii="Arial" w:hAnsi="Arial" w:cs="Arial"/>
          <w:sz w:val="20"/>
          <w:szCs w:val="20"/>
          <w:lang w:val="en-SG"/>
        </w:rPr>
        <w:t>, 10</w:t>
      </w:r>
      <w:r w:rsidRPr="00E47F58">
        <w:rPr>
          <w:rFonts w:ascii="Arial" w:hAnsi="Arial" w:cs="Arial"/>
          <w:sz w:val="20"/>
          <w:szCs w:val="20"/>
          <w:vertAlign w:val="superscript"/>
          <w:lang w:val="en-SG"/>
        </w:rPr>
        <w:t>6</w:t>
      </w:r>
      <w:r w:rsidRPr="00E47F58">
        <w:rPr>
          <w:rFonts w:ascii="Arial" w:hAnsi="Arial" w:cs="Arial"/>
          <w:sz w:val="20"/>
          <w:szCs w:val="20"/>
          <w:lang w:val="en-SG"/>
        </w:rPr>
        <w:t>, 10</w:t>
      </w:r>
      <w:r w:rsidRPr="00E47F58">
        <w:rPr>
          <w:rFonts w:ascii="Arial" w:hAnsi="Arial" w:cs="Arial"/>
          <w:sz w:val="20"/>
          <w:szCs w:val="20"/>
          <w:vertAlign w:val="superscript"/>
          <w:lang w:val="en-SG"/>
        </w:rPr>
        <w:t>7</w:t>
      </w:r>
      <w:r w:rsidRPr="00E47F58">
        <w:rPr>
          <w:rFonts w:ascii="Arial" w:hAnsi="Arial" w:cs="Arial"/>
          <w:sz w:val="20"/>
          <w:szCs w:val="20"/>
          <w:lang w:val="en-SG"/>
        </w:rPr>
        <w:t xml:space="preserve"> and 10</w:t>
      </w:r>
      <w:r w:rsidRPr="00E47F58">
        <w:rPr>
          <w:rFonts w:ascii="Arial" w:hAnsi="Arial" w:cs="Arial"/>
          <w:sz w:val="20"/>
          <w:szCs w:val="20"/>
          <w:vertAlign w:val="superscript"/>
          <w:lang w:val="en-SG"/>
        </w:rPr>
        <w:t>8</w:t>
      </w:r>
      <w:r w:rsidRPr="00E47F58">
        <w:rPr>
          <w:rFonts w:ascii="Arial" w:hAnsi="Arial" w:cs="Arial"/>
          <w:sz w:val="20"/>
          <w:szCs w:val="20"/>
          <w:lang w:val="en-SG"/>
        </w:rPr>
        <w:t xml:space="preserve"> CFU/mL was prepared by referencing to MacFarland standard of the same concentration and used for the bacterial challenge via immersion method. The choice of immersion method of bacterial challenge over intraperitoneal injection was due to consideration that in practical fish contract diseases via contact with water.</w:t>
      </w:r>
    </w:p>
    <w:p w14:paraId="13729C6D" w14:textId="6FF34885" w:rsidR="00EB6AE8" w:rsidRPr="00E47F58" w:rsidRDefault="00EB6AE8" w:rsidP="00EB6AE8">
      <w:pPr>
        <w:pStyle w:val="single"/>
        <w:rPr>
          <w:rFonts w:ascii="Arial" w:hAnsi="Arial" w:cs="Arial"/>
          <w:sz w:val="20"/>
          <w:szCs w:val="20"/>
        </w:rPr>
      </w:pPr>
      <w:r w:rsidRPr="00E47F58">
        <w:rPr>
          <w:rFonts w:ascii="Arial" w:hAnsi="Arial" w:cs="Arial"/>
          <w:sz w:val="20"/>
          <w:szCs w:val="20"/>
        </w:rPr>
        <w:t>The LC</w:t>
      </w:r>
      <w:r w:rsidRPr="00E47F58">
        <w:rPr>
          <w:rFonts w:ascii="Arial" w:hAnsi="Arial" w:cs="Arial"/>
          <w:sz w:val="20"/>
          <w:szCs w:val="20"/>
          <w:vertAlign w:val="subscript"/>
        </w:rPr>
        <w:t xml:space="preserve">50 </w:t>
      </w:r>
      <w:r w:rsidRPr="00E47F58">
        <w:rPr>
          <w:rFonts w:ascii="Arial" w:hAnsi="Arial" w:cs="Arial"/>
          <w:sz w:val="20"/>
          <w:szCs w:val="20"/>
        </w:rPr>
        <w:t xml:space="preserve">was conducted </w:t>
      </w:r>
      <w:r w:rsidR="006A3EA6" w:rsidRPr="006A3EA6">
        <w:rPr>
          <w:rFonts w:ascii="Arial" w:hAnsi="Arial" w:cs="Arial"/>
          <w:sz w:val="20"/>
          <w:szCs w:val="20"/>
          <w:highlight w:val="magenta"/>
        </w:rPr>
        <w:t>using</w:t>
      </w:r>
      <w:r w:rsidRPr="00E47F58">
        <w:rPr>
          <w:rFonts w:ascii="Arial" w:hAnsi="Arial" w:cs="Arial"/>
          <w:sz w:val="20"/>
          <w:szCs w:val="20"/>
        </w:rPr>
        <w:t xml:space="preserve"> the varying bacterial concentrations ranging from 1x10</w:t>
      </w:r>
      <w:r w:rsidRPr="00E47F58">
        <w:rPr>
          <w:rFonts w:ascii="Arial" w:hAnsi="Arial" w:cs="Arial"/>
          <w:sz w:val="20"/>
          <w:szCs w:val="20"/>
          <w:vertAlign w:val="superscript"/>
        </w:rPr>
        <w:t>5</w:t>
      </w:r>
      <w:r w:rsidRPr="00E47F58">
        <w:rPr>
          <w:rFonts w:ascii="Arial" w:hAnsi="Arial" w:cs="Arial"/>
          <w:sz w:val="20"/>
          <w:szCs w:val="20"/>
        </w:rPr>
        <w:t>–1x10</w:t>
      </w:r>
      <w:r w:rsidRPr="00E47F58">
        <w:rPr>
          <w:rFonts w:ascii="Arial" w:hAnsi="Arial" w:cs="Arial"/>
          <w:sz w:val="20"/>
          <w:szCs w:val="20"/>
          <w:vertAlign w:val="superscript"/>
        </w:rPr>
        <w:t xml:space="preserve">8 </w:t>
      </w:r>
      <w:r w:rsidRPr="00E47F58">
        <w:rPr>
          <w:rFonts w:ascii="Arial" w:hAnsi="Arial" w:cs="Arial"/>
          <w:sz w:val="20"/>
          <w:szCs w:val="20"/>
        </w:rPr>
        <w:t>CFU/mL and each test was performed with 10 fish group in 3 replicates and a control (also 10 fish). The plot of bacterial concentrations against the corresponding mortality was generated and the linear equation of the plot was used to calculate the LC</w:t>
      </w:r>
      <w:r w:rsidRPr="00E47F58">
        <w:rPr>
          <w:rFonts w:ascii="Arial" w:hAnsi="Arial" w:cs="Arial"/>
          <w:sz w:val="20"/>
          <w:szCs w:val="20"/>
          <w:vertAlign w:val="subscript"/>
        </w:rPr>
        <w:t>50</w:t>
      </w:r>
      <w:r w:rsidRPr="00E47F58">
        <w:rPr>
          <w:rFonts w:ascii="Arial" w:hAnsi="Arial" w:cs="Arial"/>
          <w:sz w:val="20"/>
          <w:szCs w:val="20"/>
        </w:rPr>
        <w:t>.</w:t>
      </w:r>
    </w:p>
    <w:p w14:paraId="2EE7CE1A" w14:textId="13A8A59A" w:rsidR="00EB6AE8" w:rsidRPr="00E47F58" w:rsidRDefault="00A60DD7" w:rsidP="00E47F58">
      <w:pPr>
        <w:pStyle w:val="Heading3"/>
        <w:rPr>
          <w:sz w:val="20"/>
          <w:szCs w:val="20"/>
        </w:rPr>
      </w:pPr>
      <w:bookmarkStart w:id="16" w:name="_Toc49955752"/>
      <w:bookmarkStart w:id="17" w:name="_Toc50652443"/>
      <w:r>
        <w:rPr>
          <w:sz w:val="20"/>
          <w:szCs w:val="20"/>
        </w:rPr>
        <w:t>2.7</w:t>
      </w:r>
      <w:r w:rsidR="00982E49" w:rsidRPr="00E47F58">
        <w:rPr>
          <w:sz w:val="20"/>
          <w:szCs w:val="20"/>
        </w:rPr>
        <w:tab/>
      </w:r>
      <w:r w:rsidR="00EB6AE8" w:rsidRPr="00E47F58">
        <w:rPr>
          <w:sz w:val="20"/>
          <w:szCs w:val="20"/>
        </w:rPr>
        <w:t>Prophylactic treatment and bacterial challenge</w:t>
      </w:r>
      <w:bookmarkEnd w:id="16"/>
      <w:bookmarkEnd w:id="17"/>
    </w:p>
    <w:p w14:paraId="4106E8A7" w14:textId="3494DBFF" w:rsidR="008B5925" w:rsidRDefault="008B5925" w:rsidP="00EB6AE8">
      <w:pPr>
        <w:pStyle w:val="single"/>
        <w:rPr>
          <w:rFonts w:ascii="Arial" w:hAnsi="Arial" w:cs="Arial"/>
          <w:sz w:val="20"/>
          <w:szCs w:val="20"/>
        </w:rPr>
      </w:pPr>
      <w:r w:rsidRPr="008B5925">
        <w:rPr>
          <w:rFonts w:ascii="Arial" w:hAnsi="Arial" w:cs="Arial"/>
          <w:sz w:val="20"/>
          <w:szCs w:val="20"/>
          <w:highlight w:val="yellow"/>
        </w:rPr>
        <w:t xml:space="preserve">For the prophylactic treatment with </w:t>
      </w:r>
      <w:r w:rsidRPr="008B5925">
        <w:rPr>
          <w:rFonts w:ascii="Arial" w:hAnsi="Arial" w:cs="Arial"/>
          <w:i/>
          <w:sz w:val="20"/>
          <w:szCs w:val="20"/>
          <w:highlight w:val="yellow"/>
        </w:rPr>
        <w:t xml:space="preserve">C. vulgaris </w:t>
      </w:r>
      <w:r w:rsidRPr="008B5925">
        <w:rPr>
          <w:rFonts w:ascii="Arial" w:hAnsi="Arial" w:cs="Arial"/>
          <w:sz w:val="20"/>
          <w:szCs w:val="20"/>
          <w:highlight w:val="yellow"/>
        </w:rPr>
        <w:t xml:space="preserve">incorporated diet and the bacterial challenge with </w:t>
      </w:r>
      <w:r w:rsidRPr="008B5925">
        <w:rPr>
          <w:rFonts w:ascii="Arial" w:hAnsi="Arial" w:cs="Arial"/>
          <w:i/>
          <w:sz w:val="20"/>
          <w:szCs w:val="20"/>
          <w:highlight w:val="yellow"/>
        </w:rPr>
        <w:t>S. agalactiae</w:t>
      </w:r>
      <w:r w:rsidRPr="008B5925">
        <w:rPr>
          <w:rFonts w:ascii="Arial" w:hAnsi="Arial" w:cs="Arial"/>
          <w:sz w:val="20"/>
          <w:szCs w:val="20"/>
          <w:highlight w:val="yellow"/>
        </w:rPr>
        <w:t>, all experimental fish were grouped according to overall schematic diagram shown in Figure 1. In addition, for statistical MVDA to be valid, each group consist of six (6) fish and replicated three (3) times and then a randomized sampling was exercised in selecting representative fish for analysis from each group</w:t>
      </w:r>
      <w:r>
        <w:rPr>
          <w:rFonts w:ascii="Arial" w:hAnsi="Arial" w:cs="Arial"/>
          <w:sz w:val="20"/>
          <w:szCs w:val="20"/>
        </w:rPr>
        <w:t>.</w:t>
      </w:r>
    </w:p>
    <w:p w14:paraId="0DDA8062" w14:textId="6FF09B07" w:rsidR="00EB6AE8" w:rsidRPr="00E47F58" w:rsidRDefault="00EB6AE8" w:rsidP="00EB6AE8">
      <w:pPr>
        <w:pStyle w:val="single"/>
        <w:rPr>
          <w:rFonts w:ascii="Arial" w:hAnsi="Arial" w:cs="Arial"/>
          <w:sz w:val="20"/>
          <w:szCs w:val="20"/>
        </w:rPr>
      </w:pPr>
      <w:r w:rsidRPr="008B5925">
        <w:rPr>
          <w:rFonts w:ascii="Arial" w:hAnsi="Arial" w:cs="Arial"/>
          <w:sz w:val="20"/>
          <w:szCs w:val="20"/>
        </w:rPr>
        <w:t>To</w:t>
      </w:r>
      <w:r w:rsidRPr="00E47F58">
        <w:rPr>
          <w:rFonts w:ascii="Arial" w:hAnsi="Arial" w:cs="Arial"/>
          <w:sz w:val="20"/>
          <w:szCs w:val="20"/>
        </w:rPr>
        <w:t xml:space="preserve"> evaluate the effect of environment on the experimental fish, 6 fish were sacrificed at zero-day (0D) point, and their spleen was sampled for NMR and MV</w:t>
      </w:r>
      <w:r w:rsidR="006A3EA6" w:rsidRPr="006A3EA6">
        <w:rPr>
          <w:rFonts w:ascii="Arial" w:hAnsi="Arial" w:cs="Arial"/>
          <w:sz w:val="20"/>
          <w:szCs w:val="20"/>
          <w:highlight w:val="magenta"/>
        </w:rPr>
        <w:t>D</w:t>
      </w:r>
      <w:r w:rsidRPr="00E47F58">
        <w:rPr>
          <w:rFonts w:ascii="Arial" w:hAnsi="Arial" w:cs="Arial"/>
          <w:sz w:val="20"/>
          <w:szCs w:val="20"/>
        </w:rPr>
        <w:t xml:space="preserve">A for correlation with control fish at the end of prophylactic experiment </w:t>
      </w:r>
      <w:r w:rsidRPr="006A3EA6">
        <w:rPr>
          <w:rFonts w:ascii="Arial" w:hAnsi="Arial" w:cs="Arial"/>
          <w:sz w:val="20"/>
          <w:szCs w:val="20"/>
          <w:highlight w:val="magenta"/>
        </w:rPr>
        <w:t xml:space="preserve">and </w:t>
      </w:r>
      <w:r w:rsidR="006A3EA6">
        <w:rPr>
          <w:rFonts w:ascii="Arial" w:hAnsi="Arial" w:cs="Arial"/>
          <w:sz w:val="20"/>
          <w:szCs w:val="20"/>
          <w:highlight w:val="magenta"/>
        </w:rPr>
        <w:t xml:space="preserve">also </w:t>
      </w:r>
      <w:r w:rsidR="006A3EA6" w:rsidRPr="006A3EA6">
        <w:rPr>
          <w:rFonts w:ascii="Arial" w:hAnsi="Arial" w:cs="Arial"/>
          <w:sz w:val="20"/>
          <w:szCs w:val="20"/>
          <w:highlight w:val="magenta"/>
        </w:rPr>
        <w:t xml:space="preserve">for correlation with bacterial </w:t>
      </w:r>
      <w:r w:rsidRPr="006A3EA6">
        <w:rPr>
          <w:rFonts w:ascii="Arial" w:hAnsi="Arial" w:cs="Arial"/>
          <w:sz w:val="20"/>
          <w:szCs w:val="20"/>
          <w:highlight w:val="magenta"/>
        </w:rPr>
        <w:t>challenge</w:t>
      </w:r>
      <w:r w:rsidR="006A3EA6" w:rsidRPr="006A3EA6">
        <w:rPr>
          <w:rFonts w:ascii="Arial" w:hAnsi="Arial" w:cs="Arial"/>
          <w:sz w:val="20"/>
          <w:szCs w:val="20"/>
          <w:highlight w:val="magenta"/>
        </w:rPr>
        <w:t>d fish</w:t>
      </w:r>
      <w:r w:rsidRPr="006A3EA6">
        <w:rPr>
          <w:rFonts w:ascii="Arial" w:hAnsi="Arial" w:cs="Arial"/>
          <w:sz w:val="20"/>
          <w:szCs w:val="20"/>
          <w:highlight w:val="magenta"/>
        </w:rPr>
        <w:t xml:space="preserve"> </w:t>
      </w:r>
      <w:r w:rsidR="006A3EA6" w:rsidRPr="006A3EA6">
        <w:rPr>
          <w:rFonts w:ascii="Arial" w:hAnsi="Arial" w:cs="Arial"/>
          <w:sz w:val="20"/>
          <w:szCs w:val="20"/>
          <w:highlight w:val="magenta"/>
        </w:rPr>
        <w:t>which was carried out</w:t>
      </w:r>
      <w:r w:rsidR="006A3EA6">
        <w:rPr>
          <w:rFonts w:ascii="Arial" w:hAnsi="Arial" w:cs="Arial"/>
          <w:sz w:val="20"/>
          <w:szCs w:val="20"/>
        </w:rPr>
        <w:t xml:space="preserve"> v</w:t>
      </w:r>
      <w:r w:rsidRPr="00E47F58">
        <w:rPr>
          <w:rFonts w:ascii="Arial" w:hAnsi="Arial" w:cs="Arial"/>
          <w:sz w:val="20"/>
          <w:szCs w:val="20"/>
        </w:rPr>
        <w:t xml:space="preserve">ia immersion method. The control fish were further categorized into 2 groups, the control fish (CF) and the control fish challenged (CFC). CF was fed with commercial diet and was not challenged with bacteria while CFC was fed with commercial diet and challenged with bacteria after feeding duration. Similarly, the </w:t>
      </w:r>
      <w:r w:rsidRPr="00E47F58">
        <w:rPr>
          <w:rFonts w:ascii="Arial" w:hAnsi="Arial" w:cs="Arial"/>
          <w:i/>
          <w:iCs/>
          <w:sz w:val="20"/>
          <w:szCs w:val="20"/>
        </w:rPr>
        <w:t xml:space="preserve">C. vulgaris </w:t>
      </w:r>
      <w:r w:rsidRPr="00E47F58">
        <w:rPr>
          <w:rFonts w:ascii="Arial" w:hAnsi="Arial" w:cs="Arial"/>
          <w:sz w:val="20"/>
          <w:szCs w:val="20"/>
        </w:rPr>
        <w:t xml:space="preserve">fed fish were also categorized into </w:t>
      </w:r>
      <w:r w:rsidRPr="00E47F58">
        <w:rPr>
          <w:rFonts w:ascii="Arial" w:hAnsi="Arial" w:cs="Arial"/>
          <w:i/>
          <w:iCs/>
          <w:sz w:val="20"/>
          <w:szCs w:val="20"/>
        </w:rPr>
        <w:t xml:space="preserve">C. vulgaris </w:t>
      </w:r>
      <w:r w:rsidRPr="00E47F58">
        <w:rPr>
          <w:rFonts w:ascii="Arial" w:hAnsi="Arial" w:cs="Arial"/>
          <w:sz w:val="20"/>
          <w:szCs w:val="20"/>
        </w:rPr>
        <w:t xml:space="preserve">(CV) fish group and </w:t>
      </w:r>
      <w:r w:rsidRPr="00E47F58">
        <w:rPr>
          <w:rFonts w:ascii="Arial" w:hAnsi="Arial" w:cs="Arial"/>
          <w:i/>
          <w:iCs/>
          <w:sz w:val="20"/>
          <w:szCs w:val="20"/>
        </w:rPr>
        <w:t xml:space="preserve">C. vulgaris </w:t>
      </w:r>
      <w:r w:rsidRPr="00E47F58">
        <w:rPr>
          <w:rFonts w:ascii="Arial" w:hAnsi="Arial" w:cs="Arial"/>
          <w:sz w:val="20"/>
          <w:szCs w:val="20"/>
        </w:rPr>
        <w:t>challenged (CVC) fish</w:t>
      </w:r>
      <w:r w:rsidR="006A3EA6">
        <w:rPr>
          <w:rFonts w:ascii="Arial" w:hAnsi="Arial" w:cs="Arial"/>
          <w:sz w:val="20"/>
          <w:szCs w:val="20"/>
        </w:rPr>
        <w:t xml:space="preserve"> </w:t>
      </w:r>
      <w:r w:rsidR="006A3EA6" w:rsidRPr="006A3EA6">
        <w:rPr>
          <w:rFonts w:ascii="Arial" w:hAnsi="Arial" w:cs="Arial"/>
          <w:sz w:val="20"/>
          <w:szCs w:val="20"/>
          <w:highlight w:val="magenta"/>
        </w:rPr>
        <w:t>group</w:t>
      </w:r>
      <w:r w:rsidRPr="00E47F58">
        <w:rPr>
          <w:rFonts w:ascii="Arial" w:hAnsi="Arial" w:cs="Arial"/>
          <w:sz w:val="20"/>
          <w:szCs w:val="20"/>
        </w:rPr>
        <w:t xml:space="preserve">. The categorization was to understand the effect of variable experimental factors such as the </w:t>
      </w:r>
      <w:r w:rsidRPr="00E47F58">
        <w:rPr>
          <w:rFonts w:ascii="Arial" w:hAnsi="Arial" w:cs="Arial"/>
          <w:i/>
          <w:iCs/>
          <w:sz w:val="20"/>
          <w:szCs w:val="20"/>
        </w:rPr>
        <w:t xml:space="preserve">C. vulgaris </w:t>
      </w:r>
      <w:r w:rsidRPr="00E47F58">
        <w:rPr>
          <w:rFonts w:ascii="Arial" w:hAnsi="Arial" w:cs="Arial"/>
          <w:sz w:val="20"/>
          <w:szCs w:val="20"/>
        </w:rPr>
        <w:t>feeding, bacteria</w:t>
      </w:r>
      <w:r w:rsidR="006A3EA6" w:rsidRPr="006A3EA6">
        <w:rPr>
          <w:rFonts w:ascii="Arial" w:hAnsi="Arial" w:cs="Arial"/>
          <w:sz w:val="20"/>
          <w:szCs w:val="20"/>
          <w:highlight w:val="magenta"/>
        </w:rPr>
        <w:t>l</w:t>
      </w:r>
      <w:r w:rsidRPr="00E47F58">
        <w:rPr>
          <w:rFonts w:ascii="Arial" w:hAnsi="Arial" w:cs="Arial"/>
          <w:sz w:val="20"/>
          <w:szCs w:val="20"/>
        </w:rPr>
        <w:t xml:space="preserve"> challenge and environment as mentioned earlier. CV was fed with commercial diet incorporated with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w:t>
      </w:r>
      <w:r w:rsidR="00296D5B" w:rsidRPr="00E47F58">
        <w:rPr>
          <w:rFonts w:ascii="Arial" w:hAnsi="Arial" w:cs="Arial"/>
          <w:i/>
          <w:iCs/>
          <w:sz w:val="20"/>
          <w:szCs w:val="20"/>
        </w:rPr>
        <w:t xml:space="preserve">C. vulgaris </w:t>
      </w:r>
      <w:r w:rsidR="00296D5B" w:rsidRPr="00E47F58">
        <w:rPr>
          <w:rFonts w:ascii="Arial" w:hAnsi="Arial" w:cs="Arial"/>
          <w:sz w:val="20"/>
          <w:szCs w:val="20"/>
        </w:rPr>
        <w:t xml:space="preserve">biomass as this concentration proved to be more efficient from previous study </w:t>
      </w:r>
      <w:r w:rsidR="00296D5B"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296D5B" w:rsidRPr="00E47F58">
        <w:rPr>
          <w:rFonts w:ascii="Arial" w:hAnsi="Arial" w:cs="Arial"/>
          <w:sz w:val="20"/>
          <w:szCs w:val="20"/>
        </w:rPr>
        <w:fldChar w:fldCharType="separate"/>
      </w:r>
      <w:r w:rsidR="00E51220" w:rsidRPr="00E51220">
        <w:rPr>
          <w:rFonts w:ascii="Arial" w:hAnsi="Arial" w:cs="Arial"/>
          <w:noProof/>
          <w:sz w:val="20"/>
          <w:szCs w:val="20"/>
        </w:rPr>
        <w:t>(Pantami et al., 2023)</w:t>
      </w:r>
      <w:r w:rsidR="00296D5B" w:rsidRPr="00E47F58">
        <w:rPr>
          <w:rFonts w:ascii="Arial" w:hAnsi="Arial" w:cs="Arial"/>
          <w:sz w:val="20"/>
          <w:szCs w:val="20"/>
        </w:rPr>
        <w:fldChar w:fldCharType="end"/>
      </w:r>
      <w:r w:rsidR="00296D5B" w:rsidRPr="00E47F58">
        <w:rPr>
          <w:rFonts w:ascii="Arial" w:hAnsi="Arial" w:cs="Arial"/>
          <w:sz w:val="20"/>
          <w:szCs w:val="20"/>
        </w:rPr>
        <w:t xml:space="preserve"> </w:t>
      </w:r>
      <w:r w:rsidRPr="00E47F58">
        <w:rPr>
          <w:rFonts w:ascii="Arial" w:hAnsi="Arial" w:cs="Arial"/>
          <w:sz w:val="20"/>
          <w:szCs w:val="20"/>
        </w:rPr>
        <w:t xml:space="preserve">while CVC was fed with commercial diet incorporated with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w:t>
      </w:r>
      <w:r w:rsidRPr="00E47F58">
        <w:rPr>
          <w:rFonts w:ascii="Arial" w:hAnsi="Arial" w:cs="Arial"/>
          <w:i/>
          <w:iCs/>
          <w:sz w:val="20"/>
          <w:szCs w:val="20"/>
        </w:rPr>
        <w:t xml:space="preserve">C. vulgaris </w:t>
      </w:r>
      <w:r w:rsidRPr="00E47F58">
        <w:rPr>
          <w:rFonts w:ascii="Arial" w:hAnsi="Arial" w:cs="Arial"/>
          <w:sz w:val="20"/>
          <w:szCs w:val="20"/>
        </w:rPr>
        <w:t xml:space="preserve">biomass and </w:t>
      </w:r>
      <w:r w:rsidR="006A3EA6" w:rsidRPr="006A3EA6">
        <w:rPr>
          <w:rFonts w:ascii="Arial" w:hAnsi="Arial" w:cs="Arial"/>
          <w:sz w:val="20"/>
          <w:szCs w:val="20"/>
          <w:highlight w:val="magenta"/>
        </w:rPr>
        <w:t>subsequently</w:t>
      </w:r>
      <w:r w:rsidR="006A3EA6">
        <w:rPr>
          <w:rFonts w:ascii="Arial" w:hAnsi="Arial" w:cs="Arial"/>
          <w:sz w:val="20"/>
          <w:szCs w:val="20"/>
        </w:rPr>
        <w:t xml:space="preserve"> </w:t>
      </w:r>
      <w:r w:rsidRPr="00E47F58">
        <w:rPr>
          <w:rFonts w:ascii="Arial" w:hAnsi="Arial" w:cs="Arial"/>
          <w:sz w:val="20"/>
          <w:szCs w:val="20"/>
        </w:rPr>
        <w:t xml:space="preserve">challenged with bacteria </w:t>
      </w:r>
      <w:r w:rsidRPr="006A3EA6">
        <w:rPr>
          <w:rFonts w:ascii="Arial" w:hAnsi="Arial" w:cs="Arial"/>
          <w:sz w:val="20"/>
          <w:szCs w:val="20"/>
          <w:highlight w:val="magenta"/>
        </w:rPr>
        <w:t xml:space="preserve">after </w:t>
      </w:r>
      <w:r w:rsidR="00D258E4" w:rsidRPr="006A3EA6">
        <w:rPr>
          <w:rFonts w:ascii="Arial" w:hAnsi="Arial" w:cs="Arial"/>
          <w:sz w:val="20"/>
          <w:szCs w:val="20"/>
          <w:highlight w:val="magenta"/>
        </w:rPr>
        <w:t>the feeding</w:t>
      </w:r>
      <w:r w:rsidR="006A3EA6" w:rsidRPr="006A3EA6">
        <w:rPr>
          <w:rFonts w:ascii="Arial" w:hAnsi="Arial" w:cs="Arial"/>
          <w:sz w:val="20"/>
          <w:szCs w:val="20"/>
          <w:highlight w:val="magenta"/>
        </w:rPr>
        <w:t xml:space="preserve"> duration of 21 days</w:t>
      </w:r>
      <w:r w:rsidR="00D258E4" w:rsidRPr="00E47F58">
        <w:rPr>
          <w:rFonts w:ascii="Arial" w:hAnsi="Arial" w:cs="Arial"/>
          <w:sz w:val="20"/>
          <w:szCs w:val="20"/>
        </w:rPr>
        <w:t xml:space="preserve">. </w:t>
      </w:r>
      <w:r w:rsidRPr="00E47F58">
        <w:rPr>
          <w:rFonts w:ascii="Arial" w:hAnsi="Arial" w:cs="Arial"/>
          <w:i/>
          <w:iCs/>
          <w:sz w:val="20"/>
          <w:szCs w:val="20"/>
        </w:rPr>
        <w:t xml:space="preserve">Chlorella vulgaris </w:t>
      </w:r>
      <w:r w:rsidRPr="00E47F58">
        <w:rPr>
          <w:rFonts w:ascii="Arial" w:hAnsi="Arial" w:cs="Arial"/>
          <w:sz w:val="20"/>
          <w:szCs w:val="20"/>
        </w:rPr>
        <w:t xml:space="preserve">concentration of 125 mg/kg </w:t>
      </w:r>
      <w:proofErr w:type="spellStart"/>
      <w:r w:rsidRPr="00E47F58">
        <w:rPr>
          <w:rFonts w:ascii="Arial" w:hAnsi="Arial" w:cs="Arial"/>
          <w:sz w:val="20"/>
          <w:szCs w:val="20"/>
        </w:rPr>
        <w:t>bw</w:t>
      </w:r>
      <w:proofErr w:type="spellEnd"/>
      <w:r w:rsidRPr="00E47F58">
        <w:rPr>
          <w:rFonts w:ascii="Arial" w:hAnsi="Arial" w:cs="Arial"/>
          <w:sz w:val="20"/>
          <w:szCs w:val="20"/>
        </w:rPr>
        <w:t xml:space="preserve"> was used in this research by referring to the findings of </w:t>
      </w:r>
      <w:r w:rsidRPr="00E47F58">
        <w:rPr>
          <w:rFonts w:ascii="Arial" w:hAnsi="Arial" w:cs="Arial"/>
          <w:sz w:val="20"/>
          <w:szCs w:val="20"/>
        </w:rPr>
        <w:lastRenderedPageBreak/>
        <w:t xml:space="preserve">recent researches on </w:t>
      </w:r>
      <w:r w:rsidRPr="00E47F58">
        <w:rPr>
          <w:rFonts w:ascii="Arial" w:hAnsi="Arial" w:cs="Arial"/>
          <w:i/>
          <w:iCs/>
          <w:sz w:val="20"/>
          <w:szCs w:val="20"/>
        </w:rPr>
        <w:t xml:space="preserve">C. vulgaris </w:t>
      </w:r>
      <w:r w:rsidRPr="00E47F58">
        <w:rPr>
          <w:rFonts w:ascii="Arial" w:hAnsi="Arial" w:cs="Arial"/>
          <w:sz w:val="20"/>
          <w:szCs w:val="20"/>
        </w:rPr>
        <w:t>which suggests its incorporation into diet at lower concentrations, probably due to its hard cell wall which makes it difficult</w:t>
      </w:r>
      <w:r w:rsidR="00D258E4" w:rsidRPr="00E47F58">
        <w:rPr>
          <w:rFonts w:ascii="Arial" w:hAnsi="Arial" w:cs="Arial"/>
          <w:sz w:val="20"/>
          <w:szCs w:val="20"/>
        </w:rPr>
        <w:t xml:space="preserve"> to</w:t>
      </w:r>
      <w:r w:rsidRPr="00E47F58">
        <w:rPr>
          <w:rFonts w:ascii="Arial" w:hAnsi="Arial" w:cs="Arial"/>
          <w:sz w:val="20"/>
          <w:szCs w:val="20"/>
        </w:rPr>
        <w:t xml:space="preserve"> digestion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{"citationItems":[{"id":"ITEM-1","itemData":{"DOI":"10.1111/raq.12320","ISSN":"17535131","abstract":"Microalgae biomass is used in aquaculture as feed, growth enhancers and immunostimulants. Chlorella vulgaris is an important species with a good biomolecular composition. Commercially, it is one of the most commonly used microalga in aquaculture. Several studies confirmed its ability to improve nutrition , immunity, aquatic bioremediation, amelioration of stress, disease resistance of fish and inhibits bacterial quorum sensing when used appropriately. Despite claims of its benefits, C. vulgaris is reported to have unfavourable effects when incorporated in diets at higher inclusion levels. In addition, its rigid cell wall might restrict the access of digestive enzymes to the intracellular components for proper digestion and assimilation. Thus, this review discusses the role of C. vul-garis and its importance in aquaculture with emphasis on its environmental requirements, morphology, pigments, digestibility, dynamics on growth performance , antibacterial activity, bacterial quorum sensing, immunomodulatory effect, anti-stress effect, gut microbiome, aquatic bioremediation and its safety as food or feed.","author":[{"dropping-particle":"","family":"Ahmad","given":"Muhammad Talba","non-dropping-particle":"","parse-names":false,"suffix":""},{"dropping-particle":"","family":"Shariff","given":"Mohamed","non-dropping-particle":"","parse-names":false,"suffix":""},{"dropping-particle":"","family":"Md. Yusoff","given":"Fatimah","non-dropping-particle":"","parse-names":false,"suffix":""},{"dropping-particle":"","family":"Goh","given":"Yong Meng","non-dropping-particle":"","parse-names":false,"suffix":""},{"dropping-particle":"","family":"Banerjee","given":"Sanjoy","non-dropping-particle":"","parse-names":false,"suffix":""}],"container-title":"Reviews in Aquaculture","id":"ITEM-1","issued":{"date-parts":[["2018"]]},"page":"1-19","title":"Applications of microalga Chlorella vulgaris in aquaculture","type":"article-journal"},"uris":["http://www.mendeley.com/documents/?uuid=4b4274a3-1f8a-4375-8944-168d31e8cbfe"]}],"mendeley":{"formattedCitation":"(Ahmad et al., 2018)","plainTextFormattedCitation":"(Ahmad et al., 2018)","previouslyFormattedCitation":"(Ahmad et al. 2018)"},"properties":{"noteIndex":0},"schema":"https://github.com/citation-style-language/schema/raw/master/csl-citation.json"}</w:instrText>
      </w:r>
      <w:r w:rsidRPr="00E47F58">
        <w:rPr>
          <w:rFonts w:ascii="Arial" w:hAnsi="Arial" w:cs="Arial"/>
          <w:sz w:val="20"/>
          <w:szCs w:val="20"/>
        </w:rPr>
        <w:fldChar w:fldCharType="separate"/>
      </w:r>
      <w:r w:rsidR="00E51220" w:rsidRPr="00E51220">
        <w:rPr>
          <w:rFonts w:ascii="Arial" w:hAnsi="Arial" w:cs="Arial"/>
          <w:noProof/>
          <w:sz w:val="20"/>
          <w:szCs w:val="20"/>
        </w:rPr>
        <w:t>(Ahmad et al., 2018)</w:t>
      </w:r>
      <w:r w:rsidRPr="00E47F58">
        <w:rPr>
          <w:rFonts w:ascii="Arial" w:hAnsi="Arial" w:cs="Arial"/>
          <w:sz w:val="20"/>
          <w:szCs w:val="20"/>
        </w:rPr>
        <w:fldChar w:fldCharType="end"/>
      </w:r>
      <w:r w:rsidRPr="00E47F58">
        <w:rPr>
          <w:rFonts w:ascii="Arial" w:hAnsi="Arial" w:cs="Arial"/>
          <w:sz w:val="20"/>
          <w:szCs w:val="20"/>
        </w:rPr>
        <w:t>.</w:t>
      </w:r>
    </w:p>
    <w:p w14:paraId="127BE747"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drawing>
          <wp:inline distT="0" distB="0" distL="0" distR="0" wp14:anchorId="6B699FA4" wp14:editId="4E1E441F">
            <wp:extent cx="4711847" cy="258966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2289" cy="2639371"/>
                    </a:xfrm>
                    <a:prstGeom prst="rect">
                      <a:avLst/>
                    </a:prstGeom>
                    <a:noFill/>
                  </pic:spPr>
                </pic:pic>
              </a:graphicData>
            </a:graphic>
          </wp:inline>
        </w:drawing>
      </w:r>
    </w:p>
    <w:p w14:paraId="366440B2" w14:textId="0D7F0CCE" w:rsidR="00EB6AE8" w:rsidRPr="00507B49" w:rsidRDefault="00EB6AE8" w:rsidP="00EB6AE8">
      <w:pPr>
        <w:pStyle w:val="Caption"/>
        <w:rPr>
          <w:rFonts w:ascii="Arial" w:hAnsi="Arial" w:cs="Arial"/>
          <w:sz w:val="20"/>
          <w:szCs w:val="20"/>
        </w:rPr>
      </w:pPr>
      <w:bookmarkStart w:id="18" w:name="_Toc50653937"/>
      <w:r w:rsidRPr="00E47F58">
        <w:rPr>
          <w:rFonts w:ascii="Arial" w:hAnsi="Arial" w:cs="Arial"/>
          <w:sz w:val="20"/>
          <w:szCs w:val="20"/>
        </w:rPr>
        <w:t>Figure</w:t>
      </w:r>
      <w:r w:rsidR="00D258E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1</w:t>
      </w:r>
      <w:r w:rsidR="0022766E" w:rsidRPr="00E47F58">
        <w:rPr>
          <w:rFonts w:ascii="Arial" w:hAnsi="Arial" w:cs="Arial"/>
          <w:noProof/>
          <w:sz w:val="20"/>
          <w:szCs w:val="20"/>
        </w:rPr>
        <w:fldChar w:fldCharType="end"/>
      </w:r>
      <w:r w:rsidRPr="00E47F58">
        <w:rPr>
          <w:rFonts w:ascii="Arial" w:hAnsi="Arial" w:cs="Arial"/>
          <w:sz w:val="20"/>
          <w:szCs w:val="20"/>
        </w:rPr>
        <w:t xml:space="preserve"> : Overall schematic diagram of the </w:t>
      </w:r>
      <w:bookmarkEnd w:id="18"/>
      <w:r w:rsidR="00D258E4" w:rsidRPr="00E47F58">
        <w:rPr>
          <w:rFonts w:ascii="Arial" w:hAnsi="Arial" w:cs="Arial"/>
          <w:sz w:val="20"/>
          <w:szCs w:val="20"/>
        </w:rPr>
        <w:t>methodology</w:t>
      </w:r>
      <w:r w:rsidR="00507B49">
        <w:rPr>
          <w:rFonts w:ascii="Arial" w:hAnsi="Arial" w:cs="Arial"/>
          <w:sz w:val="20"/>
          <w:szCs w:val="20"/>
        </w:rPr>
        <w:t xml:space="preserve"> </w:t>
      </w:r>
      <w:r w:rsidR="00507B49" w:rsidRPr="00507B49">
        <w:rPr>
          <w:rFonts w:ascii="Arial" w:hAnsi="Arial" w:cs="Arial"/>
          <w:sz w:val="20"/>
          <w:szCs w:val="20"/>
          <w:highlight w:val="yellow"/>
        </w:rPr>
        <w:t xml:space="preserve">showing fish groupings, </w:t>
      </w:r>
      <w:r w:rsidR="00507B49" w:rsidRPr="00507B49">
        <w:rPr>
          <w:rFonts w:ascii="Arial" w:hAnsi="Arial" w:cs="Arial"/>
          <w:i/>
          <w:sz w:val="20"/>
          <w:szCs w:val="20"/>
          <w:highlight w:val="yellow"/>
        </w:rPr>
        <w:t xml:space="preserve">C. vulgaris </w:t>
      </w:r>
      <w:r w:rsidR="00507B49" w:rsidRPr="00507B49">
        <w:rPr>
          <w:rFonts w:ascii="Arial" w:hAnsi="Arial" w:cs="Arial"/>
          <w:sz w:val="20"/>
          <w:szCs w:val="20"/>
          <w:highlight w:val="yellow"/>
        </w:rPr>
        <w:t>treatment concentration, bacterial challenge, and sacrifice day.</w:t>
      </w:r>
    </w:p>
    <w:p w14:paraId="3F12C574" w14:textId="77777777" w:rsidR="00EB6AE8" w:rsidRPr="00E47F58" w:rsidRDefault="00EB6AE8" w:rsidP="00EB6AE8">
      <w:pPr>
        <w:pStyle w:val="j"/>
        <w:rPr>
          <w:rFonts w:ascii="Arial" w:hAnsi="Arial" w:cs="Arial"/>
          <w:sz w:val="20"/>
          <w:szCs w:val="20"/>
          <w:lang w:val="en-GB"/>
        </w:rPr>
      </w:pPr>
    </w:p>
    <w:p w14:paraId="4E2DD658" w14:textId="77777777" w:rsidR="00EB6AE8" w:rsidRPr="00E47F58" w:rsidRDefault="00EB6AE8" w:rsidP="00EB6AE8">
      <w:pPr>
        <w:pStyle w:val="j"/>
        <w:rPr>
          <w:rFonts w:ascii="Arial" w:hAnsi="Arial" w:cs="Arial"/>
          <w:sz w:val="20"/>
          <w:szCs w:val="20"/>
          <w:lang w:val="en-GB"/>
        </w:rPr>
      </w:pPr>
    </w:p>
    <w:p w14:paraId="4F84DAB0" w14:textId="1DDC41ED" w:rsidR="00EB6AE8" w:rsidRPr="00E47F58" w:rsidRDefault="00EB6AE8" w:rsidP="00EB6AE8">
      <w:pPr>
        <w:pStyle w:val="single"/>
        <w:rPr>
          <w:rFonts w:ascii="Arial" w:hAnsi="Arial" w:cs="Arial"/>
          <w:sz w:val="20"/>
          <w:szCs w:val="20"/>
        </w:rPr>
      </w:pPr>
      <w:r w:rsidRPr="00E47F58">
        <w:rPr>
          <w:rFonts w:ascii="Arial" w:hAnsi="Arial" w:cs="Arial"/>
          <w:sz w:val="20"/>
          <w:szCs w:val="20"/>
        </w:rPr>
        <w:t>The prophylactic experiment was conducted according</w:t>
      </w:r>
      <w:r w:rsidR="00D258E4" w:rsidRPr="00E47F58">
        <w:rPr>
          <w:rFonts w:ascii="Arial" w:hAnsi="Arial" w:cs="Arial"/>
          <w:sz w:val="20"/>
          <w:szCs w:val="20"/>
        </w:rPr>
        <w:t xml:space="preserve"> to the illustration in Figure </w:t>
      </w:r>
      <w:r w:rsidRPr="00E47F58">
        <w:rPr>
          <w:rFonts w:ascii="Arial" w:hAnsi="Arial" w:cs="Arial"/>
          <w:sz w:val="20"/>
          <w:szCs w:val="20"/>
        </w:rPr>
        <w:t xml:space="preserve">1. Feeding control fish groups with commercial diet and treatment groups with </w:t>
      </w:r>
      <w:r w:rsidRPr="00E47F58">
        <w:rPr>
          <w:rFonts w:ascii="Arial" w:hAnsi="Arial" w:cs="Arial"/>
          <w:i/>
          <w:iCs/>
          <w:sz w:val="20"/>
          <w:szCs w:val="20"/>
        </w:rPr>
        <w:t xml:space="preserve">C. vulgaris </w:t>
      </w:r>
      <w:r w:rsidRPr="00E47F58">
        <w:rPr>
          <w:rFonts w:ascii="Arial" w:hAnsi="Arial" w:cs="Arial"/>
          <w:sz w:val="20"/>
          <w:szCs w:val="20"/>
        </w:rPr>
        <w:t xml:space="preserve">lasted for 21 days and preceded with bacterial challenge </w:t>
      </w:r>
      <w:r w:rsidRPr="005C17C2">
        <w:rPr>
          <w:rFonts w:ascii="Arial" w:hAnsi="Arial" w:cs="Arial"/>
          <w:sz w:val="20"/>
          <w:szCs w:val="20"/>
          <w:highlight w:val="magenta"/>
        </w:rPr>
        <w:t xml:space="preserve">with </w:t>
      </w:r>
      <w:r w:rsidR="005C17C2" w:rsidRPr="005C17C2">
        <w:rPr>
          <w:rFonts w:ascii="Arial" w:hAnsi="Arial" w:cs="Arial"/>
          <w:i/>
          <w:iCs/>
          <w:sz w:val="20"/>
          <w:szCs w:val="20"/>
          <w:highlight w:val="magenta"/>
        </w:rPr>
        <w:t xml:space="preserve">S. </w:t>
      </w:r>
      <w:proofErr w:type="spellStart"/>
      <w:r w:rsidR="005C17C2" w:rsidRPr="005C17C2">
        <w:rPr>
          <w:rFonts w:ascii="Arial" w:hAnsi="Arial" w:cs="Arial"/>
          <w:i/>
          <w:iCs/>
          <w:sz w:val="20"/>
          <w:szCs w:val="20"/>
          <w:highlight w:val="magenta"/>
        </w:rPr>
        <w:t>agalatiae</w:t>
      </w:r>
      <w:proofErr w:type="spellEnd"/>
      <w:r w:rsidR="005C17C2" w:rsidRPr="005C17C2">
        <w:rPr>
          <w:rFonts w:ascii="Arial" w:hAnsi="Arial" w:cs="Arial"/>
          <w:sz w:val="20"/>
          <w:szCs w:val="20"/>
          <w:highlight w:val="magenta"/>
        </w:rPr>
        <w:t xml:space="preserve"> concentration of </w:t>
      </w:r>
      <w:r w:rsidRPr="005C17C2">
        <w:rPr>
          <w:rFonts w:ascii="Arial" w:hAnsi="Arial" w:cs="Arial"/>
          <w:sz w:val="20"/>
          <w:szCs w:val="20"/>
          <w:highlight w:val="magenta"/>
        </w:rPr>
        <w:t>1x10</w:t>
      </w:r>
      <w:r w:rsidRPr="005C17C2">
        <w:rPr>
          <w:rFonts w:ascii="Arial" w:hAnsi="Arial" w:cs="Arial"/>
          <w:sz w:val="20"/>
          <w:szCs w:val="20"/>
          <w:highlight w:val="magenta"/>
          <w:vertAlign w:val="superscript"/>
        </w:rPr>
        <w:t>8</w:t>
      </w:r>
      <w:r w:rsidRPr="005C17C2">
        <w:rPr>
          <w:rFonts w:ascii="Arial" w:hAnsi="Arial" w:cs="Arial"/>
          <w:sz w:val="20"/>
          <w:szCs w:val="20"/>
          <w:highlight w:val="magenta"/>
        </w:rPr>
        <w:t xml:space="preserve"> CFU/mL (&gt; LC</w:t>
      </w:r>
      <w:r w:rsidRPr="005C17C2">
        <w:rPr>
          <w:rFonts w:ascii="Arial" w:hAnsi="Arial" w:cs="Arial"/>
          <w:sz w:val="20"/>
          <w:szCs w:val="20"/>
          <w:highlight w:val="magenta"/>
          <w:vertAlign w:val="subscript"/>
        </w:rPr>
        <w:t>50</w:t>
      </w:r>
      <w:r w:rsidR="005C17C2" w:rsidRPr="005C17C2">
        <w:rPr>
          <w:rFonts w:ascii="Arial" w:hAnsi="Arial" w:cs="Arial"/>
          <w:sz w:val="20"/>
          <w:szCs w:val="20"/>
          <w:highlight w:val="magenta"/>
        </w:rPr>
        <w:t>). Mortality was observed on</w:t>
      </w:r>
      <w:r w:rsidRPr="005C17C2">
        <w:rPr>
          <w:rFonts w:ascii="Arial" w:hAnsi="Arial" w:cs="Arial"/>
          <w:sz w:val="20"/>
          <w:szCs w:val="20"/>
          <w:highlight w:val="magenta"/>
        </w:rPr>
        <w:t xml:space="preserve"> </w:t>
      </w:r>
      <w:r w:rsidR="005C17C2" w:rsidRPr="005C17C2">
        <w:rPr>
          <w:rFonts w:ascii="Arial" w:hAnsi="Arial" w:cs="Arial"/>
          <w:sz w:val="20"/>
          <w:szCs w:val="20"/>
          <w:highlight w:val="magenta"/>
        </w:rPr>
        <w:t xml:space="preserve">the </w:t>
      </w:r>
      <w:r w:rsidRPr="005C17C2">
        <w:rPr>
          <w:rFonts w:ascii="Arial" w:hAnsi="Arial" w:cs="Arial"/>
          <w:sz w:val="20"/>
          <w:szCs w:val="20"/>
          <w:highlight w:val="magenta"/>
        </w:rPr>
        <w:t>22</w:t>
      </w:r>
      <w:r w:rsidRPr="005C17C2">
        <w:rPr>
          <w:rFonts w:ascii="Arial" w:hAnsi="Arial" w:cs="Arial"/>
          <w:sz w:val="20"/>
          <w:szCs w:val="20"/>
          <w:highlight w:val="magenta"/>
          <w:vertAlign w:val="superscript"/>
        </w:rPr>
        <w:t>nd</w:t>
      </w:r>
      <w:r w:rsidRPr="005C17C2">
        <w:rPr>
          <w:rFonts w:ascii="Arial" w:hAnsi="Arial" w:cs="Arial"/>
          <w:sz w:val="20"/>
          <w:szCs w:val="20"/>
          <w:highlight w:val="magenta"/>
        </w:rPr>
        <w:t>–28</w:t>
      </w:r>
      <w:r w:rsidRPr="005C17C2">
        <w:rPr>
          <w:rFonts w:ascii="Arial" w:hAnsi="Arial" w:cs="Arial"/>
          <w:sz w:val="20"/>
          <w:szCs w:val="20"/>
          <w:highlight w:val="magenta"/>
          <w:vertAlign w:val="superscript"/>
        </w:rPr>
        <w:t>th</w:t>
      </w:r>
      <w:r w:rsidRPr="005C17C2">
        <w:rPr>
          <w:rFonts w:ascii="Arial" w:hAnsi="Arial" w:cs="Arial"/>
          <w:sz w:val="20"/>
          <w:szCs w:val="20"/>
          <w:highlight w:val="magenta"/>
        </w:rPr>
        <w:t xml:space="preserve"> day</w:t>
      </w:r>
      <w:r w:rsidR="005C17C2" w:rsidRPr="005C17C2">
        <w:rPr>
          <w:rFonts w:ascii="Arial" w:hAnsi="Arial" w:cs="Arial"/>
          <w:sz w:val="20"/>
          <w:szCs w:val="20"/>
          <w:highlight w:val="magenta"/>
        </w:rPr>
        <w:t>s</w:t>
      </w:r>
      <w:r w:rsidRPr="005C17C2">
        <w:rPr>
          <w:rFonts w:ascii="Arial" w:hAnsi="Arial" w:cs="Arial"/>
          <w:sz w:val="20"/>
          <w:szCs w:val="20"/>
          <w:highlight w:val="magenta"/>
        </w:rPr>
        <w:t xml:space="preserve"> and all experimental fish </w:t>
      </w:r>
      <w:r w:rsidR="005C17C2" w:rsidRPr="005C17C2">
        <w:rPr>
          <w:rFonts w:ascii="Arial" w:hAnsi="Arial" w:cs="Arial"/>
          <w:sz w:val="20"/>
          <w:szCs w:val="20"/>
          <w:highlight w:val="magenta"/>
        </w:rPr>
        <w:t xml:space="preserve">were </w:t>
      </w:r>
      <w:r w:rsidRPr="005C17C2">
        <w:rPr>
          <w:rFonts w:ascii="Arial" w:hAnsi="Arial" w:cs="Arial"/>
          <w:sz w:val="20"/>
          <w:szCs w:val="20"/>
          <w:highlight w:val="magenta"/>
        </w:rPr>
        <w:t>sacrificed on the 29</w:t>
      </w:r>
      <w:r w:rsidRPr="005C17C2">
        <w:rPr>
          <w:rFonts w:ascii="Arial" w:hAnsi="Arial" w:cs="Arial"/>
          <w:sz w:val="20"/>
          <w:szCs w:val="20"/>
          <w:highlight w:val="magenta"/>
          <w:vertAlign w:val="superscript"/>
        </w:rPr>
        <w:t>th</w:t>
      </w:r>
      <w:r w:rsidR="00D258E4" w:rsidRPr="005C17C2">
        <w:rPr>
          <w:rFonts w:ascii="Arial" w:hAnsi="Arial" w:cs="Arial"/>
          <w:sz w:val="20"/>
          <w:szCs w:val="20"/>
          <w:highlight w:val="magenta"/>
        </w:rPr>
        <w:t xml:space="preserve"> day</w:t>
      </w:r>
      <w:r w:rsidR="00D258E4" w:rsidRPr="00E47F58">
        <w:rPr>
          <w:rFonts w:ascii="Arial" w:hAnsi="Arial" w:cs="Arial"/>
          <w:sz w:val="20"/>
          <w:szCs w:val="20"/>
        </w:rPr>
        <w:t xml:space="preserve"> (Figure </w:t>
      </w:r>
      <w:r w:rsidRPr="00E47F58">
        <w:rPr>
          <w:rFonts w:ascii="Arial" w:hAnsi="Arial" w:cs="Arial"/>
          <w:sz w:val="20"/>
          <w:szCs w:val="20"/>
        </w:rPr>
        <w:t>1) and samples were taken for metabolomics studies.</w:t>
      </w:r>
    </w:p>
    <w:p w14:paraId="36C68148" w14:textId="52BB7A96" w:rsidR="00EB6AE8" w:rsidRPr="00E47F58" w:rsidRDefault="00A60DD7" w:rsidP="00E47F58">
      <w:pPr>
        <w:pStyle w:val="Heading3"/>
        <w:rPr>
          <w:sz w:val="20"/>
          <w:szCs w:val="20"/>
        </w:rPr>
      </w:pPr>
      <w:bookmarkStart w:id="19" w:name="_Toc49955753"/>
      <w:bookmarkStart w:id="20" w:name="_Toc50652444"/>
      <w:r>
        <w:rPr>
          <w:sz w:val="20"/>
          <w:szCs w:val="20"/>
        </w:rPr>
        <w:t>2.8</w:t>
      </w:r>
      <w:r w:rsidR="00982E49" w:rsidRPr="00E47F58">
        <w:rPr>
          <w:sz w:val="20"/>
          <w:szCs w:val="20"/>
        </w:rPr>
        <w:tab/>
      </w:r>
      <w:r w:rsidR="00EB6AE8" w:rsidRPr="00E47F58">
        <w:rPr>
          <w:sz w:val="20"/>
          <w:szCs w:val="20"/>
        </w:rPr>
        <w:t>Spleen preparation for NMR analysis</w:t>
      </w:r>
      <w:bookmarkEnd w:id="19"/>
      <w:bookmarkEnd w:id="20"/>
    </w:p>
    <w:p w14:paraId="785A7DD8" w14:textId="0EEDE9F4" w:rsidR="00EB6AE8" w:rsidRPr="00E47F58" w:rsidRDefault="00EB6AE8" w:rsidP="00EB6AE8">
      <w:pPr>
        <w:pStyle w:val="single"/>
        <w:rPr>
          <w:rFonts w:ascii="Arial" w:hAnsi="Arial" w:cs="Arial"/>
          <w:sz w:val="20"/>
          <w:szCs w:val="20"/>
        </w:rPr>
      </w:pPr>
      <w:r w:rsidRPr="00E47F58">
        <w:rPr>
          <w:rFonts w:ascii="Arial" w:hAnsi="Arial" w:cs="Arial"/>
          <w:sz w:val="20"/>
          <w:szCs w:val="20"/>
        </w:rPr>
        <w:t xml:space="preserve">Spleen (10 mg) was added </w:t>
      </w:r>
      <w:r w:rsidR="00CC0D20" w:rsidRPr="00CC0D20">
        <w:rPr>
          <w:rFonts w:ascii="Arial" w:hAnsi="Arial" w:cs="Arial"/>
          <w:sz w:val="20"/>
          <w:szCs w:val="20"/>
          <w:highlight w:val="magenta"/>
        </w:rPr>
        <w:t>a</w:t>
      </w:r>
      <w:r w:rsidR="00CC0D20">
        <w:rPr>
          <w:rFonts w:ascii="Arial" w:hAnsi="Arial" w:cs="Arial"/>
          <w:sz w:val="20"/>
          <w:szCs w:val="20"/>
        </w:rPr>
        <w:t xml:space="preserve"> </w:t>
      </w:r>
      <w:r w:rsidRPr="00E47F58">
        <w:rPr>
          <w:rFonts w:ascii="Arial" w:hAnsi="Arial" w:cs="Arial"/>
          <w:sz w:val="20"/>
          <w:szCs w:val="20"/>
        </w:rPr>
        <w:t>250 µL 0.2 M Na</w:t>
      </w:r>
      <w:r w:rsidRPr="00E47F58">
        <w:rPr>
          <w:rFonts w:ascii="Arial" w:hAnsi="Arial" w:cs="Arial"/>
          <w:sz w:val="20"/>
          <w:szCs w:val="20"/>
          <w:vertAlign w:val="subscript"/>
        </w:rPr>
        <w:t>2</w:t>
      </w:r>
      <w:r w:rsidRPr="00E47F58">
        <w:rPr>
          <w:rFonts w:ascii="Arial" w:hAnsi="Arial" w:cs="Arial"/>
          <w:sz w:val="20"/>
          <w:szCs w:val="20"/>
        </w:rPr>
        <w:t>HPO</w:t>
      </w:r>
      <w:r w:rsidRPr="00E47F58">
        <w:rPr>
          <w:rFonts w:ascii="Arial" w:hAnsi="Arial" w:cs="Arial"/>
          <w:sz w:val="20"/>
          <w:szCs w:val="20"/>
          <w:vertAlign w:val="subscript"/>
        </w:rPr>
        <w:t>4</w:t>
      </w:r>
      <w:r w:rsidRPr="00E47F58">
        <w:rPr>
          <w:rFonts w:ascii="Arial" w:hAnsi="Arial" w:cs="Arial"/>
          <w:sz w:val="20"/>
          <w:szCs w:val="20"/>
        </w:rPr>
        <w:t>, 0.175 M NaH</w:t>
      </w:r>
      <w:r w:rsidRPr="00E47F58">
        <w:rPr>
          <w:rFonts w:ascii="Arial" w:hAnsi="Arial" w:cs="Arial"/>
          <w:sz w:val="20"/>
          <w:szCs w:val="20"/>
          <w:vertAlign w:val="subscript"/>
        </w:rPr>
        <w:t>2</w:t>
      </w:r>
      <w:r w:rsidRPr="00E47F58">
        <w:rPr>
          <w:rFonts w:ascii="Arial" w:hAnsi="Arial" w:cs="Arial"/>
          <w:sz w:val="20"/>
          <w:szCs w:val="20"/>
        </w:rPr>
        <w:t>PO</w:t>
      </w:r>
      <w:r w:rsidRPr="00E47F58">
        <w:rPr>
          <w:rFonts w:ascii="Arial" w:hAnsi="Arial" w:cs="Arial"/>
          <w:sz w:val="20"/>
          <w:szCs w:val="20"/>
          <w:vertAlign w:val="subscript"/>
        </w:rPr>
        <w:t>4</w:t>
      </w:r>
      <w:r w:rsidRPr="00E47F58">
        <w:rPr>
          <w:rFonts w:ascii="Arial" w:hAnsi="Arial" w:cs="Arial"/>
          <w:sz w:val="20"/>
          <w:szCs w:val="20"/>
        </w:rPr>
        <w:t>, 0.25% TSP and 0.75 mM NaN</w:t>
      </w:r>
      <w:r w:rsidRPr="00E47F58">
        <w:rPr>
          <w:rFonts w:ascii="Arial" w:hAnsi="Arial" w:cs="Arial"/>
          <w:sz w:val="20"/>
          <w:szCs w:val="20"/>
          <w:vertAlign w:val="subscript"/>
        </w:rPr>
        <w:t>3</w:t>
      </w:r>
      <w:r w:rsidRPr="00E47F58">
        <w:rPr>
          <w:rFonts w:ascii="Arial" w:hAnsi="Arial" w:cs="Arial"/>
          <w:sz w:val="20"/>
          <w:szCs w:val="20"/>
        </w:rPr>
        <w:t xml:space="preserve"> in D</w:t>
      </w:r>
      <w:r w:rsidRPr="00E47F58">
        <w:rPr>
          <w:rFonts w:ascii="Arial" w:hAnsi="Arial" w:cs="Arial"/>
          <w:sz w:val="20"/>
          <w:szCs w:val="20"/>
          <w:vertAlign w:val="subscript"/>
        </w:rPr>
        <w:t>2</w:t>
      </w:r>
      <w:r w:rsidRPr="00E47F58">
        <w:rPr>
          <w:rFonts w:ascii="Arial" w:hAnsi="Arial" w:cs="Arial"/>
          <w:sz w:val="20"/>
          <w:szCs w:val="20"/>
        </w:rPr>
        <w:t xml:space="preserve">O (pH 7.4), homogenized, vortexed for 1 min, centrifuged at 1800 rpm and </w:t>
      </w:r>
      <w:r w:rsidR="00CC0D20" w:rsidRPr="00CC0D20">
        <w:rPr>
          <w:rFonts w:ascii="Arial" w:hAnsi="Arial" w:cs="Arial"/>
          <w:sz w:val="20"/>
          <w:szCs w:val="20"/>
          <w:highlight w:val="magenta"/>
        </w:rPr>
        <w:t>the</w:t>
      </w:r>
      <w:r w:rsidR="00CC0D20">
        <w:rPr>
          <w:rFonts w:ascii="Arial" w:hAnsi="Arial" w:cs="Arial"/>
          <w:sz w:val="20"/>
          <w:szCs w:val="20"/>
        </w:rPr>
        <w:t xml:space="preserve"> </w:t>
      </w:r>
      <w:r w:rsidRPr="00E47F58">
        <w:rPr>
          <w:rFonts w:ascii="Arial" w:hAnsi="Arial" w:cs="Arial"/>
          <w:sz w:val="20"/>
          <w:szCs w:val="20"/>
        </w:rPr>
        <w:t xml:space="preserve">supernatant </w:t>
      </w:r>
      <w:r w:rsidR="00CC0D20" w:rsidRPr="00CC0D20">
        <w:rPr>
          <w:rFonts w:ascii="Arial" w:hAnsi="Arial" w:cs="Arial"/>
          <w:sz w:val="20"/>
          <w:szCs w:val="20"/>
          <w:highlight w:val="magenta"/>
        </w:rPr>
        <w:t>was</w:t>
      </w:r>
      <w:r w:rsidR="00CC0D20">
        <w:rPr>
          <w:rFonts w:ascii="Arial" w:hAnsi="Arial" w:cs="Arial"/>
          <w:sz w:val="20"/>
          <w:szCs w:val="20"/>
        </w:rPr>
        <w:t xml:space="preserve"> </w:t>
      </w:r>
      <w:r w:rsidRPr="00E47F58">
        <w:rPr>
          <w:rFonts w:ascii="Arial" w:hAnsi="Arial" w:cs="Arial"/>
          <w:sz w:val="20"/>
          <w:szCs w:val="20"/>
        </w:rPr>
        <w:t xml:space="preserve">dispensed into 3 mm NMR tubes for analysis. All spleen samples were made </w:t>
      </w:r>
      <w:r w:rsidR="00CC0D20" w:rsidRPr="00CC0D20">
        <w:rPr>
          <w:rFonts w:ascii="Arial" w:hAnsi="Arial" w:cs="Arial"/>
          <w:sz w:val="20"/>
          <w:szCs w:val="20"/>
          <w:highlight w:val="magenta"/>
        </w:rPr>
        <w:t>into</w:t>
      </w:r>
      <w:r w:rsidR="00CC0D20">
        <w:rPr>
          <w:rFonts w:ascii="Arial" w:hAnsi="Arial" w:cs="Arial"/>
          <w:sz w:val="20"/>
          <w:szCs w:val="20"/>
        </w:rPr>
        <w:t xml:space="preserve"> </w:t>
      </w:r>
      <w:r w:rsidRPr="00E47F58">
        <w:rPr>
          <w:rFonts w:ascii="Arial" w:hAnsi="Arial" w:cs="Arial"/>
          <w:sz w:val="20"/>
          <w:szCs w:val="20"/>
        </w:rPr>
        <w:t xml:space="preserve">six replicates from biological replicates and ran with 700 MHz Bruker Ascend NMR spectrometer (Bruker Inc., </w:t>
      </w:r>
      <w:hyperlink r:id="rId10" w:tooltip="Billerica, Massachusetts" w:history="1">
        <w:r w:rsidRPr="00E47F58">
          <w:rPr>
            <w:rStyle w:val="Hyperlink"/>
            <w:rFonts w:ascii="Arial" w:hAnsi="Arial" w:cs="Arial"/>
            <w:color w:val="auto"/>
            <w:sz w:val="20"/>
            <w:szCs w:val="20"/>
            <w:u w:val="none"/>
            <w:lang w:val="en-SG"/>
          </w:rPr>
          <w:t>Billerica, Massachusetts</w:t>
        </w:r>
      </w:hyperlink>
      <w:r w:rsidRPr="00E47F58">
        <w:rPr>
          <w:rFonts w:ascii="Arial" w:hAnsi="Arial" w:cs="Arial"/>
          <w:color w:val="auto"/>
          <w:sz w:val="20"/>
          <w:szCs w:val="20"/>
          <w:lang w:val="en-SG"/>
        </w:rPr>
        <w:t xml:space="preserve">, </w:t>
      </w:r>
      <w:r w:rsidRPr="00E47F58">
        <w:rPr>
          <w:rFonts w:ascii="Arial" w:hAnsi="Arial" w:cs="Arial"/>
          <w:sz w:val="20"/>
          <w:szCs w:val="20"/>
          <w:lang w:val="en-SG"/>
        </w:rPr>
        <w:t>USA</w:t>
      </w:r>
      <w:r w:rsidRPr="00E47F58">
        <w:rPr>
          <w:rFonts w:ascii="Arial" w:hAnsi="Arial" w:cs="Arial"/>
          <w:sz w:val="20"/>
          <w:szCs w:val="20"/>
        </w:rPr>
        <w:t xml:space="preserve">) for multivariate analysis. In addition, </w:t>
      </w:r>
      <w:r w:rsidRPr="00E47F58">
        <w:rPr>
          <w:rFonts w:ascii="Arial" w:hAnsi="Arial" w:cs="Arial"/>
          <w:sz w:val="20"/>
          <w:szCs w:val="20"/>
          <w:lang w:val="en-GB"/>
        </w:rPr>
        <w:t>2D NMR; (</w:t>
      </w:r>
      <w:r w:rsidRPr="00E47F58">
        <w:rPr>
          <w:rFonts w:ascii="Arial" w:hAnsi="Arial" w:cs="Arial"/>
          <w:i/>
          <w:iCs/>
          <w:sz w:val="20"/>
          <w:szCs w:val="20"/>
          <w:lang w:val="en-GB"/>
        </w:rPr>
        <w:t>J-</w:t>
      </w:r>
      <w:r w:rsidRPr="00E47F58">
        <w:rPr>
          <w:rFonts w:ascii="Arial" w:hAnsi="Arial" w:cs="Arial"/>
          <w:sz w:val="20"/>
          <w:szCs w:val="20"/>
          <w:lang w:val="en-GB"/>
        </w:rPr>
        <w:t>resolved),</w:t>
      </w:r>
      <w:r w:rsidRPr="00E47F58">
        <w:rPr>
          <w:rFonts w:ascii="Arial" w:hAnsi="Arial" w:cs="Arial"/>
          <w:sz w:val="20"/>
          <w:szCs w:val="20"/>
          <w:vertAlign w:val="superscript"/>
          <w:lang w:val="en-GB"/>
        </w:rPr>
        <w:t xml:space="preserve"> 1</w:t>
      </w:r>
      <w:r w:rsidRPr="00E47F58">
        <w:rPr>
          <w:rFonts w:ascii="Arial" w:hAnsi="Arial" w:cs="Arial"/>
          <w:sz w:val="20"/>
          <w:szCs w:val="20"/>
          <w:lang w:val="en-GB"/>
        </w:rPr>
        <w:t>H-</w:t>
      </w:r>
      <w:r w:rsidRPr="00E47F58">
        <w:rPr>
          <w:rFonts w:ascii="Arial" w:hAnsi="Arial" w:cs="Arial"/>
          <w:sz w:val="20"/>
          <w:szCs w:val="20"/>
        </w:rPr>
        <w:t>Hetero-nuclear Single Quantum Coherence (HSQC) and Hetero-nuclear Multiple Bond Coherence (</w:t>
      </w:r>
      <w:r w:rsidRPr="00E47F58">
        <w:rPr>
          <w:rFonts w:ascii="Arial" w:hAnsi="Arial" w:cs="Arial"/>
          <w:bCs/>
          <w:sz w:val="20"/>
          <w:szCs w:val="20"/>
        </w:rPr>
        <w:t>HMBC</w:t>
      </w:r>
      <w:r w:rsidRPr="00E47F58">
        <w:rPr>
          <w:rFonts w:ascii="Arial" w:hAnsi="Arial" w:cs="Arial"/>
          <w:sz w:val="20"/>
          <w:szCs w:val="20"/>
        </w:rPr>
        <w:t xml:space="preserve">) </w:t>
      </w:r>
      <w:r w:rsidRPr="00E47F58">
        <w:rPr>
          <w:rFonts w:ascii="Arial" w:hAnsi="Arial" w:cs="Arial"/>
          <w:sz w:val="20"/>
          <w:szCs w:val="20"/>
          <w:lang w:val="en-GB"/>
        </w:rPr>
        <w:t>were perfo</w:t>
      </w:r>
      <w:r w:rsidR="00CC0D20">
        <w:rPr>
          <w:rFonts w:ascii="Arial" w:hAnsi="Arial" w:cs="Arial"/>
          <w:sz w:val="20"/>
          <w:szCs w:val="20"/>
          <w:lang w:val="en-GB"/>
        </w:rPr>
        <w:t xml:space="preserve">rmed on representative sample </w:t>
      </w:r>
      <w:r w:rsidR="00CC0D20" w:rsidRPr="00CC0D20">
        <w:rPr>
          <w:rFonts w:ascii="Arial" w:hAnsi="Arial" w:cs="Arial"/>
          <w:sz w:val="20"/>
          <w:szCs w:val="20"/>
          <w:highlight w:val="magenta"/>
          <w:lang w:val="en-GB"/>
        </w:rPr>
        <w:t>from</w:t>
      </w:r>
      <w:r w:rsidRPr="00E47F58">
        <w:rPr>
          <w:rFonts w:ascii="Arial" w:hAnsi="Arial" w:cs="Arial"/>
          <w:sz w:val="20"/>
          <w:szCs w:val="20"/>
          <w:lang w:val="en-GB"/>
        </w:rPr>
        <w:t xml:space="preserve"> each group and was used for metabolite detection and identification.</w:t>
      </w:r>
    </w:p>
    <w:p w14:paraId="429ACDBE" w14:textId="1BE22313" w:rsidR="00EB6AE8" w:rsidRPr="00E47F58" w:rsidRDefault="00A60DD7" w:rsidP="00E47F58">
      <w:pPr>
        <w:pStyle w:val="Heading3"/>
        <w:rPr>
          <w:sz w:val="20"/>
          <w:szCs w:val="20"/>
        </w:rPr>
      </w:pPr>
      <w:bookmarkStart w:id="21" w:name="_Toc49955754"/>
      <w:bookmarkStart w:id="22" w:name="_Toc50652445"/>
      <w:r>
        <w:rPr>
          <w:sz w:val="20"/>
          <w:szCs w:val="20"/>
        </w:rPr>
        <w:t>2.9</w:t>
      </w:r>
      <w:r w:rsidR="00982E49" w:rsidRPr="00E47F58">
        <w:rPr>
          <w:sz w:val="20"/>
          <w:szCs w:val="20"/>
        </w:rPr>
        <w:tab/>
      </w:r>
      <w:r w:rsidR="00EB6AE8" w:rsidRPr="00E47F58">
        <w:rPr>
          <w:sz w:val="20"/>
          <w:szCs w:val="20"/>
          <w:vertAlign w:val="superscript"/>
        </w:rPr>
        <w:t>1</w:t>
      </w:r>
      <w:r w:rsidR="00EB6AE8" w:rsidRPr="00E47F58">
        <w:rPr>
          <w:sz w:val="20"/>
          <w:szCs w:val="20"/>
        </w:rPr>
        <w:t>H NMR spectra processing and multivariate analysis</w:t>
      </w:r>
      <w:bookmarkEnd w:id="21"/>
      <w:bookmarkEnd w:id="22"/>
    </w:p>
    <w:p w14:paraId="47D3B8AE" w14:textId="77777777" w:rsidR="0026604E" w:rsidRPr="00E47F58" w:rsidRDefault="0026604E" w:rsidP="0026604E">
      <w:pPr>
        <w:pStyle w:val="single"/>
        <w:rPr>
          <w:rFonts w:ascii="Arial" w:hAnsi="Arial" w:cs="Arial"/>
          <w:sz w:val="20"/>
          <w:szCs w:val="20"/>
          <w:lang w:val="en-GB"/>
        </w:rPr>
      </w:pPr>
      <w:r w:rsidRPr="00E47F58">
        <w:rPr>
          <w:rFonts w:ascii="Arial" w:hAnsi="Arial" w:cs="Arial"/>
          <w:sz w:val="20"/>
          <w:szCs w:val="20"/>
          <w:lang w:val="en-GB"/>
        </w:rPr>
        <w:t xml:space="preserve">The </w:t>
      </w:r>
      <w:r w:rsidRPr="00E47F58">
        <w:rPr>
          <w:rFonts w:ascii="Arial" w:hAnsi="Arial" w:cs="Arial"/>
          <w:sz w:val="20"/>
          <w:szCs w:val="20"/>
          <w:vertAlign w:val="superscript"/>
          <w:lang w:val="en-GB"/>
        </w:rPr>
        <w:t>1</w:t>
      </w:r>
      <w:r w:rsidRPr="00E47F58">
        <w:rPr>
          <w:rFonts w:ascii="Arial" w:hAnsi="Arial" w:cs="Arial"/>
          <w:sz w:val="20"/>
          <w:szCs w:val="20"/>
          <w:lang w:val="en-GB"/>
        </w:rPr>
        <w:t xml:space="preserve">H NMR spectra of all replicate samples were binned to ASCII files using </w:t>
      </w:r>
      <w:proofErr w:type="spellStart"/>
      <w:r w:rsidRPr="00E47F58">
        <w:rPr>
          <w:rFonts w:ascii="Arial" w:hAnsi="Arial" w:cs="Arial"/>
          <w:sz w:val="20"/>
          <w:szCs w:val="20"/>
          <w:lang w:val="en-GB"/>
        </w:rPr>
        <w:t>Chenomx</w:t>
      </w:r>
      <w:proofErr w:type="spellEnd"/>
      <w:r w:rsidRPr="00E47F58">
        <w:rPr>
          <w:rFonts w:ascii="Arial" w:hAnsi="Arial" w:cs="Arial"/>
          <w:sz w:val="20"/>
          <w:szCs w:val="20"/>
          <w:lang w:val="en-GB"/>
        </w:rPr>
        <w:t xml:space="preserve"> software (version 6.2, Edmonton, Alberta, Canada). The spectral region 0.50 to 14.00 ppm was bucketed into integrated regions with spectral width of δ 0.04. The residual signals for water, chloroform and methanol in the ranges 4.68 - 4.88 ppm, 3.29 - 3.32 ppm and 7.50 - 7.60 ppm respectively, were excluded from the analysis. The standardized bucketed data were then pareto-scaled (Par) and subjected to principal component analysis (PCA) and partial least square discriminant analysis (PLS-DA) using SIMCA-P+ software (version 12.0.1.0, </w:t>
      </w:r>
      <w:proofErr w:type="spellStart"/>
      <w:r w:rsidRPr="00E47F58">
        <w:rPr>
          <w:rFonts w:ascii="Arial" w:hAnsi="Arial" w:cs="Arial"/>
          <w:sz w:val="20"/>
          <w:szCs w:val="20"/>
          <w:lang w:val="en-GB"/>
        </w:rPr>
        <w:t>Umetrics</w:t>
      </w:r>
      <w:proofErr w:type="spellEnd"/>
      <w:r w:rsidRPr="00E47F58">
        <w:rPr>
          <w:rFonts w:ascii="Arial" w:hAnsi="Arial" w:cs="Arial"/>
          <w:sz w:val="20"/>
          <w:szCs w:val="20"/>
          <w:lang w:val="en-GB"/>
        </w:rPr>
        <w:t xml:space="preserve"> AB, Umea, Sweden). The 2D NMR spectra was viewed using </w:t>
      </w:r>
      <w:proofErr w:type="spellStart"/>
      <w:r w:rsidRPr="00E47F58">
        <w:rPr>
          <w:rFonts w:ascii="Arial" w:hAnsi="Arial" w:cs="Arial"/>
          <w:sz w:val="20"/>
          <w:szCs w:val="20"/>
          <w:lang w:val="en-GB"/>
        </w:rPr>
        <w:t>MestRenova</w:t>
      </w:r>
      <w:proofErr w:type="spellEnd"/>
      <w:r w:rsidRPr="00E47F58">
        <w:rPr>
          <w:rFonts w:ascii="Arial" w:hAnsi="Arial" w:cs="Arial"/>
          <w:sz w:val="20"/>
          <w:szCs w:val="20"/>
          <w:lang w:val="en-GB"/>
        </w:rPr>
        <w:t xml:space="preserve"> (version 6.02-5475, </w:t>
      </w:r>
      <w:proofErr w:type="spellStart"/>
      <w:r w:rsidRPr="00E47F58">
        <w:rPr>
          <w:rFonts w:ascii="Arial" w:hAnsi="Arial" w:cs="Arial"/>
          <w:sz w:val="20"/>
          <w:szCs w:val="20"/>
          <w:lang w:val="en-GB"/>
        </w:rPr>
        <w:t>Mestrelab</w:t>
      </w:r>
      <w:proofErr w:type="spellEnd"/>
      <w:r w:rsidRPr="00E47F58">
        <w:rPr>
          <w:rFonts w:ascii="Arial" w:hAnsi="Arial" w:cs="Arial"/>
          <w:sz w:val="20"/>
          <w:szCs w:val="20"/>
          <w:lang w:val="en-GB"/>
        </w:rPr>
        <w:t xml:space="preserve"> Research, Santiago de Compostella, Spain).</w:t>
      </w:r>
    </w:p>
    <w:p w14:paraId="2060D011" w14:textId="5834F69A"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lastRenderedPageBreak/>
        <w:t>In general, the variable importance of projec</w:t>
      </w:r>
      <w:r w:rsidR="0026604E" w:rsidRPr="00E47F58">
        <w:rPr>
          <w:rFonts w:ascii="Arial" w:hAnsi="Arial" w:cs="Arial"/>
          <w:sz w:val="20"/>
          <w:szCs w:val="20"/>
          <w:lang w:val="en-GB"/>
        </w:rPr>
        <w:t>tion (VIP) plots in this research</w:t>
      </w:r>
      <w:r w:rsidRPr="00E47F58">
        <w:rPr>
          <w:rFonts w:ascii="Arial" w:hAnsi="Arial" w:cs="Arial"/>
          <w:sz w:val="20"/>
          <w:szCs w:val="20"/>
          <w:lang w:val="en-GB"/>
        </w:rPr>
        <w:t xml:space="preserve"> suggests </w:t>
      </w:r>
      <w:r w:rsidR="00CC0D20" w:rsidRPr="00CC0D20">
        <w:rPr>
          <w:rFonts w:ascii="Arial" w:hAnsi="Arial" w:cs="Arial"/>
          <w:sz w:val="20"/>
          <w:szCs w:val="20"/>
          <w:highlight w:val="magenta"/>
          <w:lang w:val="en-GB"/>
        </w:rPr>
        <w:t>the</w:t>
      </w:r>
      <w:r w:rsidR="00CC0D20">
        <w:rPr>
          <w:rFonts w:ascii="Arial" w:hAnsi="Arial" w:cs="Arial"/>
          <w:sz w:val="20"/>
          <w:szCs w:val="20"/>
          <w:lang w:val="en-GB"/>
        </w:rPr>
        <w:t xml:space="preserve"> </w:t>
      </w:r>
      <w:r w:rsidRPr="00E47F58">
        <w:rPr>
          <w:rFonts w:ascii="Arial" w:hAnsi="Arial" w:cs="Arial"/>
          <w:sz w:val="20"/>
          <w:szCs w:val="20"/>
          <w:lang w:val="en-GB"/>
        </w:rPr>
        <w:t>most contributing metabolites responsible for the separation of comparable samples within an OPLS-DA model: metabolites with VIP ≥ 1 were considered the most contributors for the separation of groups by PC1 and or PC2 in a given OPLS-DA model. The detected me</w:t>
      </w:r>
      <w:r w:rsidR="0026604E" w:rsidRPr="00E47F58">
        <w:rPr>
          <w:rFonts w:ascii="Arial" w:hAnsi="Arial" w:cs="Arial"/>
          <w:sz w:val="20"/>
          <w:szCs w:val="20"/>
          <w:lang w:val="en-GB"/>
        </w:rPr>
        <w:t xml:space="preserve">tabolites </w:t>
      </w:r>
      <w:r w:rsidRPr="00E47F58">
        <w:rPr>
          <w:rFonts w:ascii="Arial" w:hAnsi="Arial" w:cs="Arial"/>
          <w:sz w:val="20"/>
          <w:szCs w:val="20"/>
          <w:lang w:val="en-GB"/>
        </w:rPr>
        <w:t xml:space="preserve">were sorted out with reference </w:t>
      </w:r>
      <w:r w:rsidR="0026604E" w:rsidRPr="00E47F58">
        <w:rPr>
          <w:rFonts w:ascii="Arial" w:hAnsi="Arial" w:cs="Arial"/>
          <w:sz w:val="20"/>
          <w:szCs w:val="20"/>
          <w:lang w:val="en-GB"/>
        </w:rPr>
        <w:t>to compounds which were</w:t>
      </w:r>
      <w:r w:rsidRPr="00E47F58">
        <w:rPr>
          <w:rFonts w:ascii="Arial" w:hAnsi="Arial" w:cs="Arial"/>
          <w:sz w:val="20"/>
          <w:szCs w:val="20"/>
          <w:lang w:val="en-GB"/>
        </w:rPr>
        <w:t xml:space="preserve"> reported to contribute to immune improvements</w:t>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{"citationItems":[{"id":"ITEM-1","itemData":{"DOI":"10.1186/s13567-014-0138-z","author":[{"dropping-particle":"","family":"Gray","given":"Darren W","non-dropping-particle":"","parse-names":false,"suffix":""},{"dropping-particle":"","family":"Welsh","given":"Michael D","non-dropping-particle":"","parse-names":false,"suffix":""},{"dropping-particle":"","family":"Doherty","given":"Simon","non-dropping-particle":"","parse-names":false,"suffix":""},{"dropping-particle":"","family":"Mansoor","given":"Fawad","non-dropping-particle":"","parse-names":false,"suffix":""},{"dropping-particle":"","family":"Chevallier","given":"Olivier P","non-dropping-particle":"","parse-names":false,"suffix":""},{"dropping-particle":"","family":"Elliott","given":"Christopher T","non-dropping-particle":"","parse-names":false,"suffix":""},{"dropping-particle":"","family":"Mooney","given":"Mark H","non-dropping-particle":"","parse-names":false,"suffix":""}],"container-title":"Veterinary Research","id":"ITEM-1","issue":"7","issued":{"date-parts":[["2015"]]},"page":"1-16","title":"Identification of systemic immune response markers through metabolomic profiling of plasma from calves given an intra-nasally delivered respiratory vaccine","type":"article-journal","volume":"46"},"uris":["http://www.mendeley.com/documents/?uuid=9b07609b-9838-4e1a-ad19-1ef424a7a53f","http://www.mendeley.com/documents/?uuid=d5d6d89c-1f07-47c6-8c76-c64ee1c8c451"]}],"mendeley":{"formattedCitation":"(Gray et al., 2015)","manualFormatting":"(Gray et al., 2015","plainTextFormattedCitation":"(Gray et al., 2015)","previouslyFormattedCitation":"(Gray et al.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(Gray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2018)","manualFormatting":"Everts, 2018","plainTextFormattedCitation":"(Everts,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Everts,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{"citationItems":[{"id":"ITEM-1","itemData":{"DOI":"10.3390/vaccines7040142","ISSN":"2076393X","abstract":"Honey bee venom has been established to have significant effect in immunotherapy. In the present study, (Z)-11-eicosenol-a major constituent of bee venom, along with its derivations methyl cis-11-eicosenoate and cis-11-eicosenoic acid, were synthesised to investigate their immune stimulatory effect and possible use as vaccine adjuvants. Stimuli that prime and activate the immune system have exerted profound effects on immune cells, particularly macrophages; however, the effectiveness of bee venom constituents as immune stimulants has not yet been established. Here, the abilities of these compounds to act as pro-inflammatory stimuli were assessed, either alone or in combination with lipopolysaccharide (LPS), by examining the secretion of tumour necrosis factor-α (TNF-α) and the cytokines interleukin-1β (IL-1β), IL-6 and IL-10 by THP-1 macrophages. The compounds clearly increased the levels of IL-1β and decreased IL-10, whereas a decrease in IL-6 levels suggested a complex mechanism of action. A more in-depth profile of macrophage behaviour was therefore obtained by comprehensive untargeted metabolic profiling of the cells using liquid chromatography mass spectrometry (LC-MS) to confirm the ability of the eicosanoids to trigger the immune system. The level of 358 polar and 315 non-polar metabolites were changed significantly (p &lt; 0.05) by all treatments. The LPS-stimulated production of most of the inflammatory metabolite biomarkers in glycolysis, the tricarboxylic acid (TCA) cycle, the pentose phosphate pathway, purine, pyrimidine and fatty acids metabolism were significantly enhanced by all three compounds, and particularly by methyl cis-11-eicosenoate and cis-11-eicosenoic acid. These findings support the proposed actions of (Z)-11-eicosenol, methyl cis-11-eicosenoate and cis-11-eicosenoic acid as immune system stimulators.","author":[{"dropping-particle":"","family":"Alqarni","given":"Abdulmalik M.","non-dropping-particle":"","parse-names":false,"suffix":""},{"dropping-particle":"","family":"Dissanayake","given":"Tharushi","non-dropping-particle":"","parse-names":false,"suffix":""},{"dropping-particle":"","family":"Nelson","given":"David J.","non-dropping-particle":"","parse-names":false,"suffix":""},{"dropping-particle":"","family":"Parkinson","given":"John A.","non-dropping-particle":"","parse-names":false,"suffix":""},{"dropping-particle":"","family":"Dufton","given":"Mark J.","non-dropping-particle":"","parse-names":false,"suffix":""},{"dropping-particle":"","family":"Ferro","given":"Valerie A.","non-dropping-particle":"","parse-names":false,"suffix":""},{"dropping-particle":"","family":"Watson","given":"David G.","non-dropping-particle":"","parse-names":false,"suffix":""}],"container-title":"Vaccines","id":"ITEM-1","issue":"4","issued":{"date-parts":[["2019"]]},"title":"Metabolomic profiling of the immune stimulatory effect of eicosenoids on PMA-differentiated THP-1 cells","type":"article-journal","volume":"7"},"uris":["http://www.mendeley.com/documents/?uuid=eb005b79-f50a-4f1f-8a87-ef2a16b2ce6b","http://www.mendeley.com/documents/?uuid=e5bd9657-c6cb-47d5-a82d-d3e1be3d1ff4"]}],"mendeley":{"formattedCitation":"(Alqarni et al., 2019)","manualFormatting":"Alqarni et al., 2019","plainTextFormattedCitation":"(Alqarni et al., 2019)","previouslyFormattedCitation":"(Alqarni et al. 2019)"},"properties":{"noteIndex":0},"schema":"https://github.com/citation-style-language/schema/raw/master/csl-citation.json"}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Alqarni et al., 2019</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{"citationItems":[{"id":"ITEM-1","itemData":{"DOI":"10.1007/s00726-012-1361-4","ISBN":"0072601213","ISSN":"09394451","abstract":"Taurine (2-aminoethanesulfonic acid) is the most abundant free amino acid in humans and plays an important role in several essential biological processes such as bile acid conjugation, maintenance of calcium homeostasis, osmoregulation and membrane stabilization. Moreover, attenuation of apoptosis and its antioxidant activity seem to be crucial for the cytoprotective effects of taurine. Although these properties are not tissue specific, taurine reaches particularly high concentrations in tissues exposed to elevated levels of oxidants (e.g., inflammatory cells). It suggests that taurine may play an important role in inflammation associated with oxidative stress. Indeed, at the site of inflammation, taurine is known to react with and detoxify hypochlorous acid generated by the neutrophil myeloperoxidase (MPO)-halide system. This reaction results in the formation of less toxic taurine chloramine (TauCl). Both haloamines, TauCl and taurine bromamine (TauBr), the product of taurine reaction with hypobromous acid (HOBr), exert antimicrobial and anti-inflammatory properties. In contrast to a well-documented regulatory role of taurine and taurine haloamines (TauCl, TauBr) in acute inflammation, their role in the pathogenesis of inflammatory diseases is not clear. This review summarizes our current knowledge concerning the role of taurine, TauCl and TauBr in the pathogenesis of inflammatory diseases initiated or propagated by MPO-derived oxidants. The aim of this paper is to show links between inflammation, neutrophils, MPO, oxidative stress and taurine. We will discuss the possible contribution of taurine and taurine haloamines to the pathogenesis of inflammatory diseases, especially in the best studied example of rheumatoid arthritis. © 2012 The Author(s).","author":[{"dropping-particle":"","family":"Marcinkiewicz","given":"Janusz","non-dropping-particle":"","parse-names":false,"suffix":""},{"dropping-particle":"","family":"Kontny","given":"Ewa","non-dropping-particle":"","parse-names":false,"suffix":""}],"container-title":"Amino Acids","id":"ITEM-1","issue":"1","issued":{"date-parts":[["2014"]]},"page":"7-20","title":"Taurine and inflammatory diseases","type":"article-journal","volume":"46"},"uris":["http://www.mendeley.com/documents/?uuid=11d9da89-7674-40d3-8378-bf6d3d652452","http://www.mendeley.com/documents/?uuid=bde01f47-3706-4ea3-aa64-cf9bee57cbca"]}],"mendeley":{"formattedCitation":"(Marcinkiewicz &amp; Kontny, 2014)","manualFormatting":"Marcinkiewicz &amp; Kontny, 2014","plainTextFormattedCitation":"(Marcinkiewicz &amp; Kontny, 2014)","previouslyFormattedCitation":"(Marcinkiewicz and Kontny 2014)"},"properties":{"noteIndex":0},"schema":"https://github.com/citation-style-language/schema/raw/master/csl-citation.json"}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Marcinkiewicz &amp; Kontny, 2014</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{"citationItems":[{"id":"ITEM-1","itemData":{"DOI":"10.1186/s41110-016-0016-8","ISSN":"2316-7874","abstract":"This article aims to review glutamine metabolism and its effects on the immune response. Selected topics are addressed, particularly the effect of glutamine on cell survival and proliferation, as well as its importance in some biochemical pathways. The impact of glutamine on muscle, intestine, and liver metabolism are described, and a special section about glutamine regulation of the immune response is included. In this context, the modulation of glutamine on relevant signaling pathways as nuclear factor kappa B (NF-kB), mitogen-activated protein kinases (MAPKs), and heat shock protein and the influence of this amino acid on cell migration and adhesion molecules are highlighted. Some important immune response pathways modulated by glutamine were described as its action in critically ill patients. In summary, this review describes some important actions of glutamine, and a range of reactions and modulatory effects in different organs, which may inform new therapeutic strategies. However, further studies are necessary to provide information about glutamine use, especially about situations in which it can be better used as well as fine-tuning dose and administration.","author":[{"dropping-particle":"","family":"Oliveira","given":"Dalila Cunha","non-dropping-particle":"de","parse-names":false,"suffix":""},{"dropping-particle":"","family":"Silva Lima","given":"Fabiana","non-dropping-particle":"da","parse-names":false,"suffix":""},{"dropping-particle":"","family":"Sartori","given":"Talita","non-dropping-particle":"","parse-names":false,"suffix":""},{"dropping-particle":"","family":"Santos","given":"Andressa Cristina Antunes","non-dropping-particle":"","parse-names":false,"suffix":""},{"dropping-particle":"","family":"Rogero","given":"Marcelo Macedo","non-dropping-particle":"","parse-names":false,"suffix":""},{"dropping-particle":"","family":"Fock","given":"Ricardo Ambrosio","non-dropping-particle":"","parse-names":false,"suffix":""}],"container-title":"Nutrire","id":"ITEM-1","issue":"1","issued":{"date-parts":[["2016"]]},"page":"1-10","publisher":"Nutrire","title":"Glutamine metabolism and its effects on immune response: molecular mechanism and gene expression","type":"article-journal","volume":"41"},"uris":["http://www.mendeley.com/documents/?uuid=0a8f53be-0e12-4485-9bf5-bed640fce63e","http://www.mendeley.com/documents/?uuid=1393826f-3535-4d9b-a2ab-0cc8c51f14f8"]}],"mendeley":{"formattedCitation":"(de Oliveira et al., 2016)","manualFormatting":"De Oliveira et al., 2016","plainTextFormattedCitation":"(de Oliveira et al., 2016)","previouslyFormattedCitation":"(de Oliveira et al. 2016)"},"properties":{"noteIndex":0},"schema":"https://github.com/citation-style-language/schema/raw/master/csl-citation.json"}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De Oliveira et al., 2016</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{"citationItems":[{"id":"ITEM-1","itemData":{"DOI":"10.1016/j.burns.2012.11.008","ISSN":"03054179","abstract":"Background: During critical illness, the demand for glutamine may exceed that which can be mobilized from muscle stores. Infections increase mortality, morbidity, length-of-stay, antibiotic usage and the cost of care. This is a major health care issue. Methods: RCTs were identified from the electronic databases: the Cochrane Library, MEDLINE, PubMed web of knowledge and hand searching journals. The trials compared the supplementation with glutamine and non-supplementation in burn. Statistical analysis was performed using RevMan5.1 software, from Cochrane Collaboration. Results: 216 papers showed a match, in the keyword search. Upon screening the title, reading the abstract and the entire article, only four RCTs, involving 155 patients, were included. For both the glutamine group and control group, total burn surface area (TBSA) (MD = 2.02, 95% CI -2.17, 6.21, p = 0.34) was similar. Glutamine supplementation was associated with a statistically significant decrease in the number of patients with gram-negative bacteremia (OR 0.27, 95% CI 0.08-0.92, p = 0.04) and hospital mortality (OR = 0.13, 95% CI 0.03, 0.51, p = 0.004), however, no statistical difference was noted between groups, for the other results. Conclusion: Glutamine supplemented nutrition can be associated with a reduction in mortality in hospital, complications due to gram-negative bacteremia in burn patients. Further larger and better quality trials are required, in order to determine whether any differences are statistically and clinically important. © 2012 Elsevier Ltd and ISBI.","author":[{"dropping-particle":"","family":"Lin","given":"Jiun Jie","non-dropping-particle":"","parse-names":false,"suffix":""},{"dropping-particle":"","family":"Chung","given":"Xiu Juan","non-dropping-particle":"","parse-names":false,"suffix":""},{"dropping-particle":"","family":"Yang","given":"Chung Yih","non-dropping-particle":"","parse-names":false,"suffix":""},{"dropping-particle":"","family":"Lau","given":"Hui Ling","non-dropping-particle":"","parse-names":false,"suffix":""}],"container-title":"Burns","id":"ITEM-1","issue":"4","issued":{"date-parts":[["2013"]]},"page":"565-570","publisher":"Elsevier Ltd and International Society of Burns Injuries","title":"A meta-analysis of trials using the intention to treat principle for glutamine supplementation in critically ill patients with burn","type":"article-journal","volume":"39"},"uris":["http://www.mendeley.com/documents/?uuid=7bc03b5f-5124-40c8-ba8e-693e8caa47cf","http://www.mendeley.com/documents/?uuid=4a2c50db-bf7e-4b38-b9a5-bdf7856b2331"]}],"mendeley":{"formattedCitation":"(Lin et al., 2013)","manualFormatting":"Lin et al., 2013","plainTextFormattedCitation":"(Lin et al., 2013)","previouslyFormattedCitation":"(Lin et al. 2013)"},"properties":{"noteIndex":0},"schema":"https://github.com/citation-style-language/schema/raw/master/csl-citation.json"}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Lin et al., 2013</w:t>
      </w:r>
      <w:r w:rsidRPr="00E47F58">
        <w:rPr>
          <w:rFonts w:ascii="Arial" w:hAnsi="Arial" w:cs="Arial"/>
          <w:sz w:val="20"/>
          <w:szCs w:val="20"/>
        </w:rPr>
        <w:fldChar w:fldCharType="end"/>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{"citationItems":[{"id":"ITEM-1","itemData":{"DOI":"10.1186/s13054-015-1002-x","ISSN":"1466609X","abstract":"Introduction: Glutamine (GLN) has been suggested to have a beneficial influence on outcomes of critically ill patients. However, recent large-scale trials have suggested harm associated with GLN supplementation. Recently, systematic reviews on the use of parenteral GLN have been published; however, less information is available on the role of enteral GLN. Therefore, the aim of this systematic review was to study the effects of enteral GLN supplementation in patients with critical illness. Methods: We identified randomized controlled trials conducted from 1980 to 2014 with enterally administered GLN in adult critically ill patients. Studies of parenteral GLN only or combined enteral-parenteral GLN were excluded. The methodological quality of studies was scored, and trial data were statistically combined. We examined a priori the treatment effects in subgroups of trials of burn and trauma patients. Results: A total of 11 studies involving 1079 adult critically ill patients and enteral GLN supplementation were identified. Enteral GLN supplementation was not associated with a reduction of hospital mortality (risk ratio [RR] 0.94, 95 % confidence interval [CI] 0.65-1.36; p =0.74), infectious complications (RR 0.93, 95 % CI 0.79-1.10; p =0.39) or stay in the intensive care unit (weighted mean difference [WMD] -1.36 days, 95 % CI -5.51 to 2.78; p =0.52). However, there was a significant reduction in hospital stay (WMD 4.73 days, 95 % CI -8.53 to -0.90; p =0.02). In the subset of studies of patients with burns, enteral GLN supplementation was associated with significant reductions in hospital mortality (RR 0.19, 95 % 0.06-0.67; p =0.010) and hospital stay (WMD -9.16, 95 % CI -15.06 to -3.26; p =0.002). There was no effect in trauma patients. Conclusions: Enteral GLN supplementation does not confer significant clinical benefit in critically ill patients, with the exception of reduced hospital stay. There may be a significant benefit in patients with burns, but data are sparse and larger randomized trials are warranted to confirm this effect.","author":[{"dropping-particle":"","family":"Zanten","given":"Arthur R.H.","non-dropping-particle":"van","parse-names":false,"suffix":""},{"dropping-particle":"","family":"Dhaliwal","given":"Rupinder","non-dropping-particle":"","parse-names":false,"suffix":""},{"dropping-particle":"","family":"Garrel","given":"Dominique","non-dropping-particle":"","parse-names":false,"suffix":""},{"dropping-particle":"","family":"Heyland","given":"Daren K.","non-dropping-particle":"","parse-names":false,"suffix":""}],"container-title":"Critical Care","id":"ITEM-1","issue":"1","issued":{"date-parts":[["2015"]]},"publisher":"Critical Care","title":"Enteral glutamine supplementation in critically ill patients: A systematic review and meta-analysis","type":"article-journal","volume":"19"},"uris":["http://www.mendeley.com/documents/?uuid=88bf9ecd-e3e1-4fce-983c-f9cf84f024d6","http://www.mendeley.com/documents/?uuid=aefe5371-9b74-446c-8a50-e06c07c7e634"]}],"mendeley":{"formattedCitation":"(van Zanten et al., 2015)","manualFormatting":"; Van Zanten et al., 2015","plainTextFormattedCitation":"(van Zanten et al., 2015)","previouslyFormattedCitation":"(van Zanten et al.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 Van Zanten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{"citationItems":[{"id":"ITEM-1","itemData":{"author":[{"dropping-particle":"","family":"Bettina","given":"Mittendorfer","non-dropping-particle":"","parse-names":false,"suffix":""},{"dropping-particle":"","family":"Dennis","given":"C. Gore","non-dropping-particle":"","parse-names":false,"suffix":""},{"dropping-particle":"","family":"Herndon","given":"David N.","non-dropping-particle":"","parse-names":false,"suffix":""},{"dropping-particle":"","family":"Wolfe","given":"Robert R.","non-dropping-particle":"","parse-names":false,"suffix":""}],"container-title":"Journal of Parenteral and Enteral Nutrition","id":"ITEM-1","issue":"5","issued":{"date-parts":[["1999"]]},"page":"243-252","title":"Accelerated Glutamine Synthesis in Critically [I] Patients Cannot Maintain Normal Intramuscular Free Glutamine Concentration","type":"article-journal","volume":"23"},"uris":["http://www.mendeley.com/documents/?uuid=12ebcf0c-cc34-41df-aae7-46da675ef040","http://www.mendeley.com/documents/?uuid=fef96aee-c199-44c4-a4c6-43dc4eb5ed77"]}],"mendeley":{"formattedCitation":"(Bettina et al., 1999)","manualFormatting":"Bettina et al., 1999","plainTextFormattedCitation":"(Bettina et al., 1999)","previouslyFormattedCitation":"(Bettina et al. 1999)"},"properties":{"noteIndex":0},"schema":"https://github.com/citation-style-language/schema/raw/master/csl-citation.json"}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Bettina et al., 1999</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{"citationItems":[{"id":"ITEM-1","itemData":{"ISSN":"18991505","abstract":"Ariboflavinosis, that is, vitamin B2 deficiency, is a common problem affecting the populations of both developing and affluent countries. Teenagers, elderly people, pregnant women, and alcohol abusers represent groups that are particularly susceptible to this condition. This study was aimed to determine the effect of different riboflavin concentrations (deficiency and supplementation) on macrophages response induced by bacteria or yeast-derived factors i.e. lipopolysaccharide (LPS) and zymosan, respectively. Mouse macrophage RAW 264.7 cells were cultured for 5 days in a medium with a riboflavin concentration corresponding to moderate riboflavin deficiency (3.1 nM), physiological state (10.4 nM), or vitamin pill supplementation (300 nM). On the third or fourth day of deprivation, the medium in some groups was supplemented with riboflavin (300 nM). Macrophages activation were assessed after LPS or zymosan stimulation. Short-term (5 days) riboflavin deprivation resulted in the pathological macrophages activation, manifested especially in a reduction of cell viability and excess release of tumor necrosis factor-α (TNF-α) and high-mobility group box 1 (HMGB1) protein. Moreover, the levels of inducible nitric oxide synthase (iNOS), nitric oxide (NO), heat shock protein (Hsp72), interleukin 1β (IL-1β), monocyte chemoattractant protein-1 (MCP-1), and interleukin 10 (IL-10) decreased after riboflavin deprivation, but medium enrichment with riboflavin (300 nM) on the third or fourth day reversed this effect. In the riboflavin-supplemented group, LPS-stimulated macrophages showed lower mortality accompanied by higher Hsp72 expression, reduction of Toll-like receptor 4 (TLR4) and TNF-α, and elevation of NO, IL-6, and IL-10. Moreover, the TLR6, NO, iNOS, IL-1β, MCP-1, and the keratinocyte chemoattractant (KC) levels significantly decreased in the zymosan-stimulated groups maintained in riboflavin-enriched medium. We conclude that short-term riboflavin deficiency significantly impairs the ability of macrophages to induce proper immune response, while riboflavin enrichment decreases the proinflammatory activation of macrophages.","author":[{"dropping-particle":"","family":"Mazur-Bialy","given":"Agnieszka I.","non-dropping-particle":"","parse-names":false,"suffix":""},{"dropping-particle":"","family":"Pochec","given":"E.","non-dropping-particle":"","parse-names":false,"suffix":""},{"dropping-particle":"","family":"Plytycz","given":"B.","non-dropping-particle":"","parse-names":false,"suffix":""}],"container-title":"Journal of Physiology and Pharmacology","id":"ITEM-1","issue":"6","issued":{"date-parts":[["2015"]]},"page":"793-802","title":"Immunomodulatory effect of riboflavin deficiency and enrichment - Reversible pathological response versus silencing of inflammatory activation","type":"article-journal","volume":"66"},"uris":["http://www.mendeley.com/documents/?uuid=52e693d3-ae73-4303-9004-372a1f9034b3","http://www.mendeley.com/documents/?uuid=24053baa-a699-4697-97c7-93b9f1bd4e78"]}],"mendeley":{"formattedCitation":"(Mazur-Bialy et al., 2015)","manualFormatting":"Mazur-Bialy et al., 2015","plainTextFormattedCitation":"(Mazur-Bialy et al., 2015)","previouslyFormattedCitation":"(Mazur-Bialy, Pochec, and Plytycz 2015)"},"properties":{"noteIndex":0},"schema":"https://github.com/citation-style-language/schema/raw/master/csl-citation.json"}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Mazur-Bialy et al., 2015</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{"citationItems":[{"id":"ITEM-1","itemData":{"DOI":"10.1155/2018/9524075","ISSN":"14661861","abstract":"Inflammatory mediators, including cytokines, histamine, bradykinin, prostaglandins, and leukotrienes, impact the immune system, usually as proinflammatory factors. Other mediators act as regulatory components to establish homeostasis after injury or prevent the inflammatory process. Histamine, a biogenic vasoactive amine, causes symptoms such as allergies and has a pleiotropic effect that is dependent on its interaction with its four histamine receptors. In this review, we discuss the dualistic effects of histamine: how histamine affects inflammation of the immune system through the activation of intracellular pathways that induce the production of inflammatory mediators and cytokines in different immune cells and how histamine exerts regulatory functions in innate and adaptive immune responses. We also evaluate the interactions between these effects.","author":[{"dropping-particle":"","family":"Branco","given":"Anna Cláudia Calvielli Castelo","non-dropping-particle":"","parse-names":false,"suffix":""},{"dropping-particle":"","family":"Yoshikawa","given":"Fábio Seiti Yamada","non-dropping-particle":"","parse-names":false,"suffix":""},{"dropping-particle":"","family":"Pietrobon","given":"Anna Julia","non-dropping-particle":"","parse-names":false,"suffix":""},{"dropping-particle":"","family":"Sato","given":"Maria Notomi","non-dropping-particle":"","parse-names":false,"suffix":""}],"container-title":"Mediators of Inflammation","id":"ITEM-1","issued":{"date-parts":[["2018"]]},"title":"Role of Histamine in Modulating the Immune Response and Inflammation","type":"article-journal","volume":"2018"},"uris":["http://www.mendeley.com/documents/?uuid=171a47b0-16b3-401b-b807-6cb190f0692e","http://www.mendeley.com/documents/?uuid=a200c4e5-a6b7-4370-b6e4-8051e8318ae7"]}],"mendeley":{"formattedCitation":"(Branco et al., 2018)","manualFormatting":"Branco et al., 2018","plainTextFormattedCitation":"(Branco et al., 2018)","previouslyFormattedCitation":"(Branco et al.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Branco et al., 2018</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10.1016/j.jaci.2011.07.026","ISSN":"00916749","author":[{"dropping-particle":"","family":"Owens","given":"Gregory","non-dropping-particle":"","parse-names":false,"suffix":""},{"dropping-particle":"","family":"Rao","given":"Chitra","non-dropping-particle":"","parse-names":false,"suffix":""},{"dropping-particle":"","family":"Traister","given":"Russell","non-dropping-particle":"","parse-names":false,"suffix":""}],"container-title":"Journal of Allergy and Clinical Immunology","id":"ITEM-1","issue":"6","issued":{"date-parts":[["2011"]]},"page":"1163-1164","title":"Regulation of the immune response and inflammation by histamine and histamine receptors","type":"article-journal","volume":"128"},"uris":["http://www.mendeley.com/documents/?uuid=b310ed60-ca1f-4e39-ac65-ac5ea4b7151d","http://www.mendeley.com/documents/?uuid=1c641057-cb2e-4944-9861-c846872cd230"]}],"mendeley":{"formattedCitation":"(Owens et al., 2011)","manualFormatting":"Owens et al., 2011","plainTextFormattedCitation":"(Owens et al., 2011)","previouslyFormattedCitation":"(Owens, Rao, and Traister 2011)"},"properties":{"noteIndex":0},"schema":"https://github.com/citation-style-language/schema/raw/master/csl-citation.json"}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Owens et al., 2011</w:t>
      </w:r>
      <w:r w:rsidRPr="00E47F58">
        <w:rPr>
          <w:rFonts w:ascii="Arial" w:hAnsi="Arial" w:cs="Arial"/>
          <w:sz w:val="20"/>
          <w:szCs w:val="20"/>
        </w:rPr>
        <w:fldChar w:fldCharType="end"/>
      </w:r>
      <w:r w:rsidRPr="00E47F58">
        <w:rPr>
          <w:rFonts w:ascii="Arial" w:hAnsi="Arial" w:cs="Arial"/>
          <w:bCs/>
          <w:sz w:val="20"/>
          <w:szCs w:val="20"/>
          <w:lang w:val="en-GB"/>
        </w:rPr>
        <w:t xml:space="preserve">;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{"citationItems":[{"id":"ITEM-1","itemData":{"DOI":"10.1016/j.cmet.2018.03.019","ISSN":"19327420","abstract":"To fight infections, macrophages undergo a metabolic shift whereby increased glycolysis fuels antimicrobial inflammation and killing of pathogens. Here we demonstrate that the pathogen Candida albicans turns this metabolic reprogramming into an Achilles' heel for macrophages. During Candida-macrophage interactions intertwined metabolic shifts occur, with concomitant upregulation of glycolysis in both host and pathogen setting up glucose competition. Candida thrives on multiple carbon sources, but infected macrophages are metabolically trapped in glycolysis and depend on glucose for viability: Candida exploits this limitation by depleting glucose, triggering rapid macrophage death. Using pharmacological or genetic means to modulate glucose metabolism of host and/or pathogen, we show that Candida infection perturbs host glucose homeostasis in the murine candidemia model and demonstrate that glucose supplementation improves host outcomes. Our results support the importance of maintaining glucose homeostasis for immune cell survival during Candida challenge and for host survival in systemic infection. Glucose is essential for innate immune cells to mount effective anti-fungal responses. Tucey et al. show that, for infected macrophages, dependence on glucose becomes their downfall: the human fungal pathogen Candida albicans rapidly consumes glucose, causing macrophages to die. In mice, maintaining host glucose homeostasis is important to prevent life-threatening fungal infection.","author":[{"dropping-particle":"","family":"Tucey","given":"Timothy M.","non-dropping-particle":"","parse-names":false,"suffix":""},{"dropping-particle":"","family":"Verma","given":"Jiyoti","non-dropping-particle":"","parse-names":false,"suffix":""},{"dropping-particle":"","family":"Harrison","given":"Paul F.","non-dropping-particle":"","parse-names":false,"suffix":""},{"dropping-particle":"","family":"Snelgrove","given":"Sarah L.","non-dropping-particle":"","parse-names":false,"suffix":""},{"dropping-particle":"","family":"Lo","given":"Tricia L.","non-dropping-particle":"","parse-names":false,"suffix":""},{"dropping-particle":"","family":"Scherer","given":"Allison K.","non-dropping-particle":"","parse-names":false,"suffix":""},{"dropping-particle":"","family":"Barugahare","given":"Adele A.","non-dropping-particle":"","parse-names":false,"suffix":""},{"dropping-particle":"","family":"Powell","given":"David R.","non-dropping-particle":"","parse-names":false,"suffix":""},{"dropping-particle":"","family":"Wheeler","given":"Robert T.","non-dropping-particle":"","parse-names":false,"suffix":""},{"dropping-particle":"","family":"Hickey","given":"Michael J.","non-dropping-particle":"","parse-names":false,"suffix":""},{"dropping-particle":"","family":"Beilharz","given":"Traude H.","non-dropping-particle":"","parse-names":false,"suffix":""},{"dropping-particle":"","family":"Naderer","given":"Thomas","non-dropping-particle":"","parse-names":false,"suffix":""},{"dropping-particle":"","family":"Traven","given":"Ana","non-dropping-particle":"","parse-names":false,"suffix":""}],"container-title":"Cell Metabolism","id":"ITEM-1","issue":"5","issued":{"date-parts":[["2018"]]},"page":"988-1006.e7","publisher":"Elsevier Inc.","title":"Glucose Homeostasis Is Important for Immune Cell Viability during Candida Challenge and Host Survival of Systemic Fungal Infection","type":"article-journal","volume":"27"},"uris":["http://www.mendeley.com/documents/?uuid=c88ecb21-d5fd-4a9c-8d79-784b1a5bba27","http://www.mendeley.com/documents/?uuid=005ffb75-30b7-4a1e-b07e-83c60d7ca01b"]}],"mendeley":{"formattedCitation":"(Tucey et al., 2018)","manualFormatting":"Tucey et al., 2018)","plainTextFormattedCitation":"(Tucey et al., 2018)","previouslyFormattedCitation":"(Tucey et al. 2018)"},"properties":{"noteIndex":0},"schema":"https://github.com/citation-style-language/schema/raw/master/csl-citation.json"}</w:instrText>
      </w:r>
      <w:r w:rsidRPr="00E47F58">
        <w:rPr>
          <w:rFonts w:ascii="Arial" w:hAnsi="Arial" w:cs="Arial"/>
          <w:bCs/>
          <w:sz w:val="20"/>
          <w:szCs w:val="20"/>
          <w:lang w:val="en-GB"/>
        </w:rPr>
        <w:fldChar w:fldCharType="separate"/>
      </w:r>
      <w:r w:rsidRPr="00E47F58">
        <w:rPr>
          <w:rFonts w:ascii="Arial" w:hAnsi="Arial" w:cs="Arial"/>
          <w:bCs/>
          <w:noProof/>
          <w:sz w:val="20"/>
          <w:szCs w:val="20"/>
          <w:lang w:val="en-GB"/>
        </w:rPr>
        <w:t>Tucey et al., 2018)</w:t>
      </w:r>
      <w:r w:rsidRPr="00E47F58">
        <w:rPr>
          <w:rFonts w:ascii="Arial" w:hAnsi="Arial" w:cs="Arial"/>
          <w:sz w:val="20"/>
          <w:szCs w:val="20"/>
        </w:rPr>
        <w:fldChar w:fldCharType="end"/>
      </w:r>
      <w:r w:rsidRPr="00E47F58">
        <w:rPr>
          <w:rFonts w:ascii="Arial" w:hAnsi="Arial" w:cs="Arial"/>
          <w:bCs/>
          <w:sz w:val="20"/>
          <w:szCs w:val="20"/>
          <w:lang w:val="en-GB"/>
        </w:rPr>
        <w:t>.</w:t>
      </w:r>
    </w:p>
    <w:p w14:paraId="3D1AE262" w14:textId="77777777" w:rsidR="00EB6AE8" w:rsidRPr="00E47F58" w:rsidRDefault="00982E49" w:rsidP="002C772B">
      <w:pPr>
        <w:pStyle w:val="Heading2"/>
      </w:pPr>
      <w:bookmarkStart w:id="23" w:name="_Toc49955755"/>
      <w:bookmarkStart w:id="24" w:name="_Toc50652446"/>
      <w:r w:rsidRPr="00E47F58">
        <w:t>3.0</w:t>
      </w:r>
      <w:r w:rsidRPr="00E47F58">
        <w:tab/>
      </w:r>
      <w:r w:rsidR="00123C53" w:rsidRPr="00E47F58">
        <w:t>RESULTS AND DISCUSSION</w:t>
      </w:r>
      <w:bookmarkEnd w:id="23"/>
      <w:bookmarkEnd w:id="24"/>
    </w:p>
    <w:p w14:paraId="4B6BAB02" w14:textId="38B07B14" w:rsidR="00EB6AE8" w:rsidRPr="00E47F58" w:rsidRDefault="00A60DD7" w:rsidP="00E47F58">
      <w:pPr>
        <w:pStyle w:val="Heading3"/>
        <w:rPr>
          <w:sz w:val="20"/>
          <w:szCs w:val="20"/>
          <w:vertAlign w:val="subscript"/>
          <w:lang w:val="en-GB"/>
        </w:rPr>
      </w:pPr>
      <w:bookmarkStart w:id="25" w:name="_Toc49955756"/>
      <w:bookmarkStart w:id="26" w:name="_Toc50652447"/>
      <w:r>
        <w:rPr>
          <w:sz w:val="20"/>
          <w:szCs w:val="20"/>
          <w:lang w:val="en-GB"/>
        </w:rPr>
        <w:t>3.</w:t>
      </w:r>
      <w:r w:rsidR="00982E49" w:rsidRPr="00E47F58">
        <w:rPr>
          <w:sz w:val="20"/>
          <w:szCs w:val="20"/>
          <w:lang w:val="en-GB"/>
        </w:rPr>
        <w:t>1</w:t>
      </w:r>
      <w:r w:rsidR="00982E49" w:rsidRPr="00E47F58">
        <w:rPr>
          <w:sz w:val="20"/>
          <w:szCs w:val="20"/>
          <w:lang w:val="en-GB"/>
        </w:rPr>
        <w:tab/>
      </w:r>
      <w:r w:rsidR="00EB6AE8" w:rsidRPr="00E47F58">
        <w:rPr>
          <w:sz w:val="20"/>
          <w:szCs w:val="20"/>
          <w:lang w:val="en-GB"/>
        </w:rPr>
        <w:t>LC</w:t>
      </w:r>
      <w:r w:rsidR="00EB6AE8" w:rsidRPr="00E47F58">
        <w:rPr>
          <w:sz w:val="20"/>
          <w:szCs w:val="20"/>
          <w:vertAlign w:val="subscript"/>
          <w:lang w:val="en-GB"/>
        </w:rPr>
        <w:t>50</w:t>
      </w:r>
      <w:bookmarkEnd w:id="25"/>
      <w:bookmarkEnd w:id="26"/>
    </w:p>
    <w:p w14:paraId="7C8C4AA8" w14:textId="540866B4"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 xml:space="preserve">The symptoms observed with </w:t>
      </w:r>
      <w:r w:rsidRPr="00E47F58">
        <w:rPr>
          <w:rFonts w:ascii="Arial" w:hAnsi="Arial" w:cs="Arial"/>
          <w:i/>
          <w:iCs/>
          <w:sz w:val="20"/>
          <w:szCs w:val="20"/>
        </w:rPr>
        <w:t xml:space="preserve">S. agalactiae </w:t>
      </w:r>
      <w:r w:rsidRPr="00E47F58">
        <w:rPr>
          <w:rFonts w:ascii="Arial" w:hAnsi="Arial" w:cs="Arial"/>
          <w:sz w:val="20"/>
          <w:szCs w:val="20"/>
        </w:rPr>
        <w:t>infected fish include lack of appetite, movement at the bottom of the tank, appearance of whitish mucus on the skin, gills, and eyes (corneal opacity)</w:t>
      </w:r>
      <w:r w:rsidR="00096F70">
        <w:rPr>
          <w:rFonts w:ascii="Arial" w:hAnsi="Arial" w:cs="Arial"/>
          <w:sz w:val="20"/>
          <w:szCs w:val="20"/>
        </w:rPr>
        <w:t xml:space="preserve"> </w:t>
      </w:r>
      <w:r w:rsidR="00096F70" w:rsidRPr="00096F70">
        <w:rPr>
          <w:rFonts w:ascii="Arial" w:hAnsi="Arial" w:cs="Arial"/>
          <w:sz w:val="20"/>
          <w:szCs w:val="20"/>
          <w:highlight w:val="magenta"/>
        </w:rPr>
        <w:t>(Fazio, 2022)</w:t>
      </w:r>
      <w:r w:rsidRPr="00E47F58">
        <w:rPr>
          <w:rFonts w:ascii="Arial" w:hAnsi="Arial" w:cs="Arial"/>
          <w:sz w:val="20"/>
          <w:szCs w:val="20"/>
        </w:rPr>
        <w:t>. In addition, many of the affected tilapias were observed to show red discoloration of the internal organs along with acute inf</w:t>
      </w:r>
      <w:r w:rsidR="00851556" w:rsidRPr="00E47F58">
        <w:rPr>
          <w:rFonts w:ascii="Arial" w:hAnsi="Arial" w:cs="Arial"/>
          <w:sz w:val="20"/>
          <w:szCs w:val="20"/>
        </w:rPr>
        <w:t xml:space="preserve">lammations as shown in Figure </w:t>
      </w:r>
      <w:r w:rsidRPr="00E47F58">
        <w:rPr>
          <w:rFonts w:ascii="Arial" w:hAnsi="Arial" w:cs="Arial"/>
          <w:sz w:val="20"/>
          <w:szCs w:val="20"/>
        </w:rPr>
        <w:t>2.</w:t>
      </w:r>
    </w:p>
    <w:p w14:paraId="2D19148E" w14:textId="2E4E92EF" w:rsidR="00EB6AE8" w:rsidRPr="00E47F58" w:rsidRDefault="00EB6AE8" w:rsidP="00C02871">
      <w:pPr>
        <w:pStyle w:val="single"/>
        <w:spacing w:after="0"/>
        <w:jc w:val="center"/>
        <w:rPr>
          <w:rFonts w:ascii="Arial" w:hAnsi="Arial" w:cs="Arial"/>
          <w:sz w:val="20"/>
          <w:szCs w:val="20"/>
        </w:rPr>
      </w:pPr>
      <w:r w:rsidRPr="00E47F58">
        <w:rPr>
          <w:rFonts w:ascii="Arial" w:hAnsi="Arial" w:cs="Arial"/>
          <w:noProof/>
          <w:sz w:val="20"/>
          <w:szCs w:val="20"/>
        </w:rPr>
        <w:drawing>
          <wp:inline distT="0" distB="0" distL="0" distR="0" wp14:anchorId="7A2848AD" wp14:editId="767918DE">
            <wp:extent cx="5029200" cy="20407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331" cy="2141854"/>
                    </a:xfrm>
                    <a:prstGeom prst="rect">
                      <a:avLst/>
                    </a:prstGeom>
                    <a:noFill/>
                  </pic:spPr>
                </pic:pic>
              </a:graphicData>
            </a:graphic>
          </wp:inline>
        </w:drawing>
      </w:r>
    </w:p>
    <w:p w14:paraId="36365970" w14:textId="77777777" w:rsidR="00EB6AE8" w:rsidRPr="00E47F58" w:rsidRDefault="00EB6AE8" w:rsidP="00EB6AE8">
      <w:pPr>
        <w:pStyle w:val="Caption"/>
        <w:rPr>
          <w:rFonts w:ascii="Arial" w:hAnsi="Arial" w:cs="Arial"/>
          <w:sz w:val="20"/>
          <w:szCs w:val="20"/>
        </w:rPr>
      </w:pPr>
      <w:bookmarkStart w:id="27" w:name="_Toc50653938"/>
      <w:r w:rsidRPr="00E47F58">
        <w:rPr>
          <w:rFonts w:ascii="Arial" w:hAnsi="Arial" w:cs="Arial"/>
          <w:sz w:val="20"/>
          <w:szCs w:val="20"/>
        </w:rPr>
        <w:t xml:space="preserve">Figure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2</w:t>
      </w:r>
      <w:r w:rsidR="0022766E" w:rsidRPr="00E47F58">
        <w:rPr>
          <w:rFonts w:ascii="Arial" w:hAnsi="Arial" w:cs="Arial"/>
          <w:noProof/>
          <w:sz w:val="20"/>
          <w:szCs w:val="20"/>
        </w:rPr>
        <w:fldChar w:fldCharType="end"/>
      </w:r>
      <w:r w:rsidRPr="00E47F58">
        <w:rPr>
          <w:rFonts w:ascii="Arial" w:hAnsi="Arial" w:cs="Arial"/>
          <w:sz w:val="20"/>
          <w:szCs w:val="20"/>
        </w:rPr>
        <w:t xml:space="preserve"> : Tilapia infected by </w:t>
      </w:r>
      <w:r w:rsidRPr="00E47F58">
        <w:rPr>
          <w:rFonts w:ascii="Arial" w:hAnsi="Arial" w:cs="Arial"/>
          <w:i/>
          <w:iCs/>
          <w:sz w:val="20"/>
          <w:szCs w:val="20"/>
        </w:rPr>
        <w:t>S. agalactiae</w:t>
      </w:r>
      <w:r w:rsidRPr="00E47F58">
        <w:rPr>
          <w:rFonts w:ascii="Arial" w:hAnsi="Arial" w:cs="Arial"/>
          <w:sz w:val="20"/>
          <w:szCs w:val="20"/>
        </w:rPr>
        <w:t xml:space="preserve"> showing: A; corneal opacity, B; darkening of internal organs and C; swelling of spleen and liver</w:t>
      </w:r>
      <w:bookmarkEnd w:id="27"/>
    </w:p>
    <w:p w14:paraId="5E11ECF6" w14:textId="77777777" w:rsidR="00851556" w:rsidRPr="00E47F58" w:rsidRDefault="00851556" w:rsidP="00851556">
      <w:pPr>
        <w:rPr>
          <w:rFonts w:ascii="Arial" w:hAnsi="Arial" w:cs="Arial"/>
          <w:sz w:val="20"/>
          <w:szCs w:val="20"/>
        </w:rPr>
      </w:pPr>
    </w:p>
    <w:p w14:paraId="70BC79F2" w14:textId="77777777" w:rsidR="00851556" w:rsidRPr="00E47F58" w:rsidRDefault="00851556" w:rsidP="00851556">
      <w:pPr>
        <w:pStyle w:val="single"/>
        <w:rPr>
          <w:rFonts w:ascii="Arial" w:hAnsi="Arial" w:cs="Arial"/>
          <w:sz w:val="20"/>
          <w:szCs w:val="20"/>
          <w:lang w:val="en-GB"/>
        </w:rPr>
      </w:pPr>
      <w:r w:rsidRPr="00E47F58">
        <w:rPr>
          <w:rFonts w:ascii="Arial" w:hAnsi="Arial" w:cs="Arial"/>
          <w:sz w:val="20"/>
          <w:szCs w:val="20"/>
          <w:lang w:val="en-GB"/>
        </w:rPr>
        <w:t xml:space="preserve">The following Figure 3 shows the plot of bacterial concentrations against observed mortality from bacterial challenged test. The linear equation was used to calculate the </w:t>
      </w:r>
      <w:r w:rsidRPr="00E47F58">
        <w:rPr>
          <w:rFonts w:ascii="Arial" w:hAnsi="Arial" w:cs="Arial"/>
          <w:i/>
          <w:iCs/>
          <w:sz w:val="20"/>
          <w:szCs w:val="20"/>
          <w:lang w:val="en-GB"/>
        </w:rPr>
        <w:t>S. agalactiae</w:t>
      </w:r>
      <w:r w:rsidRPr="00E47F58">
        <w:rPr>
          <w:rFonts w:ascii="Arial" w:hAnsi="Arial" w:cs="Arial"/>
          <w:sz w:val="20"/>
          <w:szCs w:val="20"/>
          <w:lang w:val="en-GB"/>
        </w:rPr>
        <w:t xml:space="preserve"> concentration responsible for 50% mortality of the experimental fish from 3 replicates of each concentration, LC</w:t>
      </w:r>
      <w:r w:rsidRPr="00E47F58">
        <w:rPr>
          <w:rFonts w:ascii="Arial" w:hAnsi="Arial" w:cs="Arial"/>
          <w:sz w:val="20"/>
          <w:szCs w:val="20"/>
          <w:vertAlign w:val="subscript"/>
          <w:lang w:val="en-GB"/>
        </w:rPr>
        <w:t>50</w:t>
      </w:r>
      <w:r w:rsidRPr="00E47F58">
        <w:rPr>
          <w:rFonts w:ascii="Arial" w:hAnsi="Arial" w:cs="Arial"/>
          <w:sz w:val="20"/>
          <w:szCs w:val="20"/>
          <w:lang w:val="en-GB"/>
        </w:rPr>
        <w:t>. The calculated LC</w:t>
      </w:r>
      <w:r w:rsidRPr="00E47F58">
        <w:rPr>
          <w:rFonts w:ascii="Arial" w:hAnsi="Arial" w:cs="Arial"/>
          <w:sz w:val="20"/>
          <w:szCs w:val="20"/>
          <w:vertAlign w:val="subscript"/>
          <w:lang w:val="en-GB"/>
        </w:rPr>
        <w:t xml:space="preserve">50 </w:t>
      </w:r>
      <w:r w:rsidRPr="00E47F58">
        <w:rPr>
          <w:rFonts w:ascii="Arial" w:hAnsi="Arial" w:cs="Arial"/>
          <w:sz w:val="20"/>
          <w:szCs w:val="20"/>
          <w:lang w:val="en-GB"/>
        </w:rPr>
        <w:t>= 9x10</w:t>
      </w:r>
      <w:r w:rsidRPr="00E47F58">
        <w:rPr>
          <w:rFonts w:ascii="Arial" w:hAnsi="Arial" w:cs="Arial"/>
          <w:sz w:val="20"/>
          <w:szCs w:val="20"/>
          <w:vertAlign w:val="superscript"/>
          <w:lang w:val="en-GB"/>
        </w:rPr>
        <w:t xml:space="preserve">7 </w:t>
      </w:r>
      <w:r w:rsidRPr="00E47F58">
        <w:rPr>
          <w:rFonts w:ascii="Arial" w:hAnsi="Arial" w:cs="Arial"/>
          <w:sz w:val="20"/>
          <w:szCs w:val="20"/>
          <w:lang w:val="en-GB"/>
        </w:rPr>
        <w:t>CFU/</w:t>
      </w:r>
      <w:proofErr w:type="spellStart"/>
      <w:r w:rsidRPr="00E47F58">
        <w:rPr>
          <w:rFonts w:ascii="Arial" w:hAnsi="Arial" w:cs="Arial"/>
          <w:sz w:val="20"/>
          <w:szCs w:val="20"/>
          <w:lang w:val="en-GB"/>
        </w:rPr>
        <w:t>mL.</w:t>
      </w:r>
      <w:proofErr w:type="spellEnd"/>
    </w:p>
    <w:p w14:paraId="099F3E4A"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1EBBFEF3" wp14:editId="2D308553">
            <wp:extent cx="4722495" cy="257245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6672" cy="2574728"/>
                    </a:xfrm>
                    <a:prstGeom prst="rect">
                      <a:avLst/>
                    </a:prstGeom>
                    <a:noFill/>
                  </pic:spPr>
                </pic:pic>
              </a:graphicData>
            </a:graphic>
          </wp:inline>
        </w:drawing>
      </w:r>
    </w:p>
    <w:p w14:paraId="3D255CA6" w14:textId="77777777" w:rsidR="00EB6AE8" w:rsidRPr="00E47F58" w:rsidRDefault="00EB6AE8" w:rsidP="00EB6AE8">
      <w:pPr>
        <w:pStyle w:val="Caption"/>
        <w:rPr>
          <w:rFonts w:ascii="Arial" w:hAnsi="Arial" w:cs="Arial"/>
          <w:sz w:val="20"/>
          <w:szCs w:val="20"/>
          <w:lang w:val="en-GB"/>
        </w:rPr>
      </w:pPr>
      <w:bookmarkStart w:id="28" w:name="_Toc50653939"/>
      <w:r w:rsidRPr="00E47F58">
        <w:rPr>
          <w:rFonts w:ascii="Arial" w:hAnsi="Arial" w:cs="Arial"/>
          <w:sz w:val="20"/>
          <w:szCs w:val="20"/>
        </w:rPr>
        <w:t>Figure</w:t>
      </w:r>
      <w:r w:rsidR="0026604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3</w:t>
      </w:r>
      <w:r w:rsidR="0022766E" w:rsidRPr="00E47F58">
        <w:rPr>
          <w:rFonts w:ascii="Arial" w:hAnsi="Arial" w:cs="Arial"/>
          <w:noProof/>
          <w:sz w:val="20"/>
          <w:szCs w:val="20"/>
        </w:rPr>
        <w:fldChar w:fldCharType="end"/>
      </w:r>
      <w:r w:rsidRPr="00E47F58">
        <w:rPr>
          <w:rFonts w:ascii="Arial" w:hAnsi="Arial" w:cs="Arial"/>
          <w:sz w:val="20"/>
          <w:szCs w:val="20"/>
        </w:rPr>
        <w:t xml:space="preserve"> : Plot of bacterial concentration and mortality for determination of </w:t>
      </w:r>
      <w:r w:rsidRPr="00E47F58">
        <w:rPr>
          <w:rFonts w:ascii="Arial" w:hAnsi="Arial" w:cs="Arial"/>
          <w:sz w:val="20"/>
          <w:szCs w:val="20"/>
          <w:lang w:val="en-GB"/>
        </w:rPr>
        <w:t>LC</w:t>
      </w:r>
      <w:r w:rsidRPr="00E47F58">
        <w:rPr>
          <w:rFonts w:ascii="Arial" w:hAnsi="Arial" w:cs="Arial"/>
          <w:sz w:val="20"/>
          <w:szCs w:val="20"/>
          <w:vertAlign w:val="subscript"/>
          <w:lang w:val="en-GB"/>
        </w:rPr>
        <w:t>50</w:t>
      </w:r>
      <w:bookmarkEnd w:id="28"/>
    </w:p>
    <w:p w14:paraId="5D6015E2" w14:textId="77777777" w:rsidR="00EB6AE8" w:rsidRPr="00E47F58" w:rsidRDefault="00EB6AE8" w:rsidP="00EB6AE8">
      <w:pPr>
        <w:pStyle w:val="j"/>
        <w:rPr>
          <w:rFonts w:ascii="Arial" w:hAnsi="Arial" w:cs="Arial"/>
          <w:sz w:val="20"/>
          <w:szCs w:val="20"/>
          <w:lang w:val="en-GB"/>
        </w:rPr>
      </w:pPr>
    </w:p>
    <w:p w14:paraId="4A34672D" w14:textId="77777777" w:rsidR="00EB6AE8" w:rsidRPr="00E47F58" w:rsidRDefault="00EB6AE8" w:rsidP="00EB6AE8">
      <w:pPr>
        <w:pStyle w:val="j"/>
        <w:rPr>
          <w:rFonts w:ascii="Arial" w:hAnsi="Arial" w:cs="Arial"/>
          <w:sz w:val="20"/>
          <w:szCs w:val="20"/>
          <w:lang w:val="en-SG"/>
        </w:rPr>
      </w:pPr>
    </w:p>
    <w:p w14:paraId="57670EA6" w14:textId="59322A77" w:rsidR="00EB6AE8" w:rsidRPr="00E47F58" w:rsidRDefault="00A60DD7" w:rsidP="00E47F58">
      <w:pPr>
        <w:pStyle w:val="Heading3"/>
        <w:rPr>
          <w:sz w:val="20"/>
          <w:szCs w:val="20"/>
          <w:lang w:val="en-GB"/>
        </w:rPr>
      </w:pPr>
      <w:bookmarkStart w:id="29" w:name="_Toc49955757"/>
      <w:bookmarkStart w:id="30" w:name="_Toc50652448"/>
      <w:r>
        <w:rPr>
          <w:sz w:val="20"/>
          <w:szCs w:val="20"/>
          <w:lang w:val="en-GB"/>
        </w:rPr>
        <w:t>3.</w:t>
      </w:r>
      <w:r w:rsidR="00982E49" w:rsidRPr="00E47F58">
        <w:rPr>
          <w:sz w:val="20"/>
          <w:szCs w:val="20"/>
          <w:lang w:val="en-GB"/>
        </w:rPr>
        <w:t>2</w:t>
      </w:r>
      <w:r w:rsidR="00982E49" w:rsidRPr="00E47F58">
        <w:rPr>
          <w:sz w:val="20"/>
          <w:szCs w:val="20"/>
          <w:lang w:val="en-GB"/>
        </w:rPr>
        <w:tab/>
      </w:r>
      <w:r w:rsidR="00EB6AE8" w:rsidRPr="00E47F58">
        <w:rPr>
          <w:sz w:val="20"/>
          <w:szCs w:val="20"/>
          <w:lang w:val="en-GB"/>
        </w:rPr>
        <w:t>Bacterial challenge mortality and survival rate</w:t>
      </w:r>
      <w:bookmarkEnd w:id="29"/>
      <w:bookmarkEnd w:id="30"/>
    </w:p>
    <w:p w14:paraId="27A9E653"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The mortality results after 7 days of bacteria challenge test with </w:t>
      </w:r>
      <w:r w:rsidRPr="00E47F58">
        <w:rPr>
          <w:rFonts w:ascii="Arial" w:hAnsi="Arial" w:cs="Arial"/>
          <w:i/>
          <w:iCs/>
          <w:sz w:val="20"/>
          <w:szCs w:val="20"/>
          <w:lang w:val="en-GB"/>
        </w:rPr>
        <w:t xml:space="preserve">S. agalactiae </w:t>
      </w:r>
      <w:r w:rsidRPr="00E47F58">
        <w:rPr>
          <w:rFonts w:ascii="Arial" w:hAnsi="Arial" w:cs="Arial"/>
          <w:sz w:val="20"/>
          <w:szCs w:val="20"/>
          <w:lang w:val="en-GB"/>
        </w:rPr>
        <w:t>concentration of 1x10</w:t>
      </w:r>
      <w:r w:rsidRPr="00E47F58">
        <w:rPr>
          <w:rFonts w:ascii="Arial" w:hAnsi="Arial" w:cs="Arial"/>
          <w:sz w:val="20"/>
          <w:szCs w:val="20"/>
          <w:vertAlign w:val="superscript"/>
          <w:lang w:val="en-GB"/>
        </w:rPr>
        <w:t>8</w:t>
      </w:r>
      <w:r w:rsidRPr="00E47F58">
        <w:rPr>
          <w:rFonts w:ascii="Arial" w:hAnsi="Arial" w:cs="Arial"/>
          <w:sz w:val="20"/>
          <w:szCs w:val="20"/>
          <w:lang w:val="en-GB"/>
        </w:rPr>
        <w:t xml:space="preserve"> CFU/mL (&gt; LC</w:t>
      </w:r>
      <w:r w:rsidRPr="00E47F58">
        <w:rPr>
          <w:rFonts w:ascii="Arial" w:hAnsi="Arial" w:cs="Arial"/>
          <w:sz w:val="20"/>
          <w:szCs w:val="20"/>
          <w:vertAlign w:val="subscript"/>
          <w:lang w:val="en-GB"/>
        </w:rPr>
        <w:t>50</w:t>
      </w:r>
      <w:r w:rsidRPr="00E47F58">
        <w:rPr>
          <w:rFonts w:ascii="Arial" w:hAnsi="Arial" w:cs="Arial"/>
          <w:sz w:val="20"/>
          <w:szCs w:val="20"/>
          <w:lang w:val="en-GB"/>
        </w:rPr>
        <w:t xml:space="preserve">) via immersion method from 3 replicates of each fish </w:t>
      </w:r>
      <w:r w:rsidR="0026604E" w:rsidRPr="00E47F58">
        <w:rPr>
          <w:rFonts w:ascii="Arial" w:hAnsi="Arial" w:cs="Arial"/>
          <w:sz w:val="20"/>
          <w:szCs w:val="20"/>
          <w:lang w:val="en-GB"/>
        </w:rPr>
        <w:t xml:space="preserve">group was summarized in Table </w:t>
      </w:r>
      <w:r w:rsidRPr="00E47F58">
        <w:rPr>
          <w:rFonts w:ascii="Arial" w:hAnsi="Arial" w:cs="Arial"/>
          <w:sz w:val="20"/>
          <w:szCs w:val="20"/>
          <w:lang w:val="en-GB"/>
        </w:rPr>
        <w:t>1.</w:t>
      </w:r>
    </w:p>
    <w:p w14:paraId="3BF5C6D5" w14:textId="77777777" w:rsidR="00EB6AE8" w:rsidRPr="00E47F58" w:rsidRDefault="00EB6AE8" w:rsidP="00EB6AE8">
      <w:pPr>
        <w:pStyle w:val="Caption"/>
        <w:keepNext/>
        <w:rPr>
          <w:rFonts w:ascii="Arial" w:hAnsi="Arial" w:cs="Arial"/>
          <w:sz w:val="20"/>
          <w:szCs w:val="20"/>
        </w:rPr>
      </w:pPr>
      <w:bookmarkStart w:id="31" w:name="_Toc50652950"/>
      <w:r w:rsidRPr="00E47F58">
        <w:rPr>
          <w:rFonts w:ascii="Arial" w:hAnsi="Arial" w:cs="Arial"/>
          <w:sz w:val="20"/>
          <w:szCs w:val="20"/>
        </w:rPr>
        <w:t>Table</w:t>
      </w:r>
      <w:r w:rsidR="006E116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1</w:t>
      </w:r>
      <w:r w:rsidR="0022766E" w:rsidRPr="00E47F58">
        <w:rPr>
          <w:rFonts w:ascii="Arial" w:hAnsi="Arial" w:cs="Arial"/>
          <w:noProof/>
          <w:sz w:val="20"/>
          <w:szCs w:val="20"/>
        </w:rPr>
        <w:fldChar w:fldCharType="end"/>
      </w:r>
      <w:r w:rsidR="006E116E" w:rsidRPr="00E47F58">
        <w:rPr>
          <w:rFonts w:ascii="Arial" w:hAnsi="Arial" w:cs="Arial"/>
          <w:sz w:val="20"/>
          <w:szCs w:val="20"/>
        </w:rPr>
        <w:t xml:space="preserve"> : P</w:t>
      </w:r>
      <w:r w:rsidRPr="00E47F58">
        <w:rPr>
          <w:rFonts w:ascii="Arial" w:hAnsi="Arial" w:cs="Arial"/>
          <w:sz w:val="20"/>
          <w:szCs w:val="20"/>
        </w:rPr>
        <w:t>ercentage mortality from bacterial challenge test</w:t>
      </w:r>
      <w:bookmarkEnd w:id="31"/>
    </w:p>
    <w:p w14:paraId="5ED9BA8F"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3117"/>
        <w:gridCol w:w="2923"/>
        <w:gridCol w:w="3310"/>
      </w:tblGrid>
      <w:tr w:rsidR="00EB6AE8" w:rsidRPr="00E47F58" w14:paraId="73BD9993" w14:textId="77777777" w:rsidTr="0026604E">
        <w:trPr>
          <w:jc w:val="center"/>
        </w:trPr>
        <w:tc>
          <w:tcPr>
            <w:tcW w:w="1667" w:type="pct"/>
          </w:tcPr>
          <w:p w14:paraId="61D6F057"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Fish group</w:t>
            </w:r>
          </w:p>
        </w:tc>
        <w:tc>
          <w:tcPr>
            <w:tcW w:w="1563" w:type="pct"/>
          </w:tcPr>
          <w:p w14:paraId="0DCF2522"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Replicate</w:t>
            </w:r>
          </w:p>
        </w:tc>
        <w:tc>
          <w:tcPr>
            <w:tcW w:w="1770" w:type="pct"/>
          </w:tcPr>
          <w:p w14:paraId="5ED02F90"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Number of dead fish (%)</w:t>
            </w:r>
          </w:p>
        </w:tc>
      </w:tr>
      <w:tr w:rsidR="00EB6AE8" w:rsidRPr="00E47F58" w14:paraId="5BF40768" w14:textId="77777777" w:rsidTr="0026604E">
        <w:trPr>
          <w:jc w:val="center"/>
        </w:trPr>
        <w:tc>
          <w:tcPr>
            <w:tcW w:w="1667" w:type="pct"/>
            <w:vMerge w:val="restart"/>
          </w:tcPr>
          <w:p w14:paraId="4BB99CAE" w14:textId="77777777" w:rsidR="00EB6AE8" w:rsidRPr="00E47F58" w:rsidRDefault="003C2E9F" w:rsidP="003C2E9F">
            <w:pPr>
              <w:spacing w:after="0" w:line="240" w:lineRule="auto"/>
              <w:jc w:val="center"/>
              <w:rPr>
                <w:rFonts w:ascii="Arial" w:hAnsi="Arial" w:cs="Arial"/>
                <w:color w:val="000000" w:themeColor="text1"/>
                <w:lang w:val="en-GB"/>
              </w:rPr>
            </w:pPr>
            <w:bookmarkStart w:id="32" w:name="_Hlk49781982"/>
            <w:r w:rsidRPr="00E47F58">
              <w:rPr>
                <w:rFonts w:ascii="Arial" w:hAnsi="Arial" w:cs="Arial"/>
                <w:color w:val="000000" w:themeColor="text1"/>
                <w:lang w:val="en-GB"/>
              </w:rPr>
              <w:t xml:space="preserve">Control </w:t>
            </w:r>
            <w:r w:rsidR="00EB6AE8" w:rsidRPr="00E47F58">
              <w:rPr>
                <w:rFonts w:ascii="Arial" w:hAnsi="Arial" w:cs="Arial"/>
                <w:color w:val="000000" w:themeColor="text1"/>
                <w:lang w:val="en-GB"/>
              </w:rPr>
              <w:t>Fish</w:t>
            </w:r>
          </w:p>
          <w:p w14:paraId="2ABC97D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Challenged</w:t>
            </w:r>
          </w:p>
          <w:p w14:paraId="201A5B77"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(CFC)</w:t>
            </w:r>
          </w:p>
        </w:tc>
        <w:tc>
          <w:tcPr>
            <w:tcW w:w="1563" w:type="pct"/>
          </w:tcPr>
          <w:p w14:paraId="2E33B2D5"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tc>
        <w:tc>
          <w:tcPr>
            <w:tcW w:w="1770" w:type="pct"/>
          </w:tcPr>
          <w:p w14:paraId="10605D9D"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10</w:t>
            </w:r>
          </w:p>
        </w:tc>
      </w:tr>
      <w:tr w:rsidR="00EB6AE8" w:rsidRPr="00E47F58" w14:paraId="3280A0D6" w14:textId="77777777" w:rsidTr="0026604E">
        <w:trPr>
          <w:jc w:val="center"/>
        </w:trPr>
        <w:tc>
          <w:tcPr>
            <w:tcW w:w="1667" w:type="pct"/>
            <w:vMerge/>
          </w:tcPr>
          <w:p w14:paraId="3BCD038A"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430D880B"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tc>
        <w:tc>
          <w:tcPr>
            <w:tcW w:w="1770" w:type="pct"/>
          </w:tcPr>
          <w:p w14:paraId="7928EFB3"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10</w:t>
            </w:r>
          </w:p>
        </w:tc>
      </w:tr>
      <w:tr w:rsidR="00EB6AE8" w:rsidRPr="00E47F58" w14:paraId="312D7F81" w14:textId="77777777" w:rsidTr="0026604E">
        <w:trPr>
          <w:jc w:val="center"/>
        </w:trPr>
        <w:tc>
          <w:tcPr>
            <w:tcW w:w="1667" w:type="pct"/>
            <w:vMerge/>
          </w:tcPr>
          <w:p w14:paraId="0BA7007F"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20CAB7F1"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1BFF6E0C"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6</w:t>
            </w:r>
          </w:p>
        </w:tc>
      </w:tr>
      <w:tr w:rsidR="00EB6AE8" w:rsidRPr="00E47F58" w14:paraId="1DA72303" w14:textId="77777777" w:rsidTr="0026604E">
        <w:trPr>
          <w:jc w:val="center"/>
        </w:trPr>
        <w:tc>
          <w:tcPr>
            <w:tcW w:w="1667" w:type="pct"/>
          </w:tcPr>
          <w:p w14:paraId="398133B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2CAA6BC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20F622F0"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86.7%</w:t>
            </w:r>
          </w:p>
        </w:tc>
      </w:tr>
      <w:bookmarkEnd w:id="32"/>
      <w:tr w:rsidR="00EB6AE8" w:rsidRPr="00E47F58" w14:paraId="61129B67" w14:textId="77777777" w:rsidTr="0026604E">
        <w:trPr>
          <w:jc w:val="center"/>
        </w:trPr>
        <w:tc>
          <w:tcPr>
            <w:tcW w:w="1667" w:type="pct"/>
            <w:vMerge w:val="restart"/>
          </w:tcPr>
          <w:p w14:paraId="2FF6EB0E" w14:textId="77777777" w:rsidR="00EB6AE8" w:rsidRPr="00E47F58" w:rsidRDefault="00EB6AE8" w:rsidP="00EB6AE8">
            <w:pPr>
              <w:spacing w:after="0" w:line="240" w:lineRule="auto"/>
              <w:jc w:val="center"/>
              <w:rPr>
                <w:rFonts w:ascii="Arial" w:hAnsi="Arial" w:cs="Arial"/>
                <w:i/>
                <w:iCs/>
                <w:color w:val="000000" w:themeColor="text1"/>
                <w:lang w:val="en-GB"/>
              </w:rPr>
            </w:pPr>
            <w:r w:rsidRPr="00E47F58">
              <w:rPr>
                <w:rFonts w:ascii="Arial" w:hAnsi="Arial" w:cs="Arial"/>
                <w:i/>
                <w:iCs/>
                <w:color w:val="000000" w:themeColor="text1"/>
                <w:lang w:val="en-GB"/>
              </w:rPr>
              <w:t>C. vulgaris</w:t>
            </w:r>
          </w:p>
          <w:p w14:paraId="2EA43E12"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Challenged</w:t>
            </w:r>
          </w:p>
          <w:p w14:paraId="6DEE050A" w14:textId="77777777" w:rsidR="00EB6AE8" w:rsidRPr="00E47F58" w:rsidRDefault="00EB6AE8" w:rsidP="00EB6AE8">
            <w:pPr>
              <w:spacing w:after="0" w:line="240" w:lineRule="auto"/>
              <w:jc w:val="center"/>
              <w:rPr>
                <w:rFonts w:ascii="Arial" w:hAnsi="Arial" w:cs="Arial"/>
                <w:b/>
                <w:i/>
                <w:iCs/>
                <w:color w:val="000000" w:themeColor="text1"/>
                <w:lang w:val="en-GB"/>
              </w:rPr>
            </w:pPr>
            <w:r w:rsidRPr="00E47F58">
              <w:rPr>
                <w:rFonts w:ascii="Arial" w:hAnsi="Arial" w:cs="Arial"/>
                <w:b/>
                <w:color w:val="000000" w:themeColor="text1"/>
                <w:lang w:val="en-GB"/>
              </w:rPr>
              <w:t>(CVC)</w:t>
            </w:r>
          </w:p>
        </w:tc>
        <w:tc>
          <w:tcPr>
            <w:tcW w:w="1563" w:type="pct"/>
          </w:tcPr>
          <w:p w14:paraId="5F443BEE"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tc>
        <w:tc>
          <w:tcPr>
            <w:tcW w:w="1770" w:type="pct"/>
          </w:tcPr>
          <w:p w14:paraId="57BBF77F"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3</w:t>
            </w:r>
          </w:p>
        </w:tc>
      </w:tr>
      <w:tr w:rsidR="00EB6AE8" w:rsidRPr="00E47F58" w14:paraId="5EBD620D" w14:textId="77777777" w:rsidTr="0026604E">
        <w:trPr>
          <w:jc w:val="center"/>
        </w:trPr>
        <w:tc>
          <w:tcPr>
            <w:tcW w:w="1667" w:type="pct"/>
            <w:vMerge/>
          </w:tcPr>
          <w:p w14:paraId="21E09736"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4015AF76"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tc>
        <w:tc>
          <w:tcPr>
            <w:tcW w:w="1770" w:type="pct"/>
          </w:tcPr>
          <w:p w14:paraId="1AF9083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087D93FA" w14:textId="77777777" w:rsidTr="0026604E">
        <w:trPr>
          <w:jc w:val="center"/>
        </w:trPr>
        <w:tc>
          <w:tcPr>
            <w:tcW w:w="1667" w:type="pct"/>
            <w:vMerge/>
          </w:tcPr>
          <w:p w14:paraId="2267636B" w14:textId="77777777" w:rsidR="00EB6AE8" w:rsidRPr="00E47F58" w:rsidRDefault="00EB6AE8" w:rsidP="00EB6AE8">
            <w:pPr>
              <w:spacing w:after="0" w:line="240" w:lineRule="auto"/>
              <w:jc w:val="center"/>
              <w:rPr>
                <w:rFonts w:ascii="Arial" w:hAnsi="Arial" w:cs="Arial"/>
                <w:color w:val="000000" w:themeColor="text1"/>
                <w:lang w:val="en-GB"/>
              </w:rPr>
            </w:pPr>
          </w:p>
        </w:tc>
        <w:tc>
          <w:tcPr>
            <w:tcW w:w="1563" w:type="pct"/>
          </w:tcPr>
          <w:p w14:paraId="735DB96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6D9F048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266CD019" w14:textId="77777777" w:rsidTr="0026604E">
        <w:trPr>
          <w:jc w:val="center"/>
        </w:trPr>
        <w:tc>
          <w:tcPr>
            <w:tcW w:w="1667" w:type="pct"/>
          </w:tcPr>
          <w:p w14:paraId="54A284B5"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79C9F801"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543C3FEA"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10%</w:t>
            </w:r>
          </w:p>
        </w:tc>
      </w:tr>
      <w:tr w:rsidR="00EB6AE8" w:rsidRPr="00E47F58" w14:paraId="56852206" w14:textId="77777777" w:rsidTr="0026604E">
        <w:trPr>
          <w:jc w:val="center"/>
        </w:trPr>
        <w:tc>
          <w:tcPr>
            <w:tcW w:w="1667" w:type="pct"/>
          </w:tcPr>
          <w:p w14:paraId="37780BA0"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Control</w:t>
            </w:r>
          </w:p>
          <w:p w14:paraId="1362C9FA"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Fish</w:t>
            </w:r>
          </w:p>
          <w:p w14:paraId="4FEB2EEC"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(CF)</w:t>
            </w:r>
          </w:p>
        </w:tc>
        <w:tc>
          <w:tcPr>
            <w:tcW w:w="1563" w:type="pct"/>
          </w:tcPr>
          <w:p w14:paraId="0C73E8EE"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R1 = 10</w:t>
            </w:r>
          </w:p>
          <w:p w14:paraId="55BBBA1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R2 = 10</w:t>
            </w:r>
          </w:p>
          <w:p w14:paraId="1DDEF713"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R3 = 10</w:t>
            </w:r>
          </w:p>
        </w:tc>
        <w:tc>
          <w:tcPr>
            <w:tcW w:w="1770" w:type="pct"/>
          </w:tcPr>
          <w:p w14:paraId="0DB94AE7"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p w14:paraId="187B3FD6"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p w14:paraId="4B4CA5E5" w14:textId="77777777" w:rsidR="00EB6AE8" w:rsidRPr="00E47F58" w:rsidRDefault="00EB6AE8" w:rsidP="00EB6AE8">
            <w:pPr>
              <w:spacing w:after="0" w:line="240" w:lineRule="auto"/>
              <w:jc w:val="center"/>
              <w:rPr>
                <w:rFonts w:ascii="Arial" w:hAnsi="Arial" w:cs="Arial"/>
                <w:color w:val="000000" w:themeColor="text1"/>
                <w:lang w:val="en-GB"/>
              </w:rPr>
            </w:pPr>
            <w:r w:rsidRPr="00E47F58">
              <w:rPr>
                <w:rFonts w:ascii="Arial" w:hAnsi="Arial" w:cs="Arial"/>
                <w:color w:val="000000" w:themeColor="text1"/>
                <w:lang w:val="en-GB"/>
              </w:rPr>
              <w:t>0</w:t>
            </w:r>
          </w:p>
        </w:tc>
      </w:tr>
      <w:tr w:rsidR="00EB6AE8" w:rsidRPr="00E47F58" w14:paraId="288AB6C0" w14:textId="77777777" w:rsidTr="0026604E">
        <w:trPr>
          <w:jc w:val="center"/>
        </w:trPr>
        <w:tc>
          <w:tcPr>
            <w:tcW w:w="1667" w:type="pct"/>
          </w:tcPr>
          <w:p w14:paraId="4C77263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i/>
                <w:iCs/>
                <w:color w:val="000000" w:themeColor="text1"/>
                <w:lang w:val="en-GB"/>
              </w:rPr>
              <w:t xml:space="preserve">% </w:t>
            </w:r>
            <w:r w:rsidRPr="00E47F58">
              <w:rPr>
                <w:rFonts w:ascii="Arial" w:hAnsi="Arial" w:cs="Arial"/>
                <w:b/>
                <w:color w:val="000000" w:themeColor="text1"/>
                <w:lang w:val="en-GB"/>
              </w:rPr>
              <w:t>Mortality</w:t>
            </w:r>
          </w:p>
        </w:tc>
        <w:tc>
          <w:tcPr>
            <w:tcW w:w="1563" w:type="pct"/>
          </w:tcPr>
          <w:p w14:paraId="12028E69"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30</w:t>
            </w:r>
          </w:p>
        </w:tc>
        <w:tc>
          <w:tcPr>
            <w:tcW w:w="1770" w:type="pct"/>
          </w:tcPr>
          <w:p w14:paraId="071E17FB" w14:textId="77777777" w:rsidR="00EB6AE8" w:rsidRPr="00E47F58" w:rsidRDefault="00EB6AE8" w:rsidP="00EB6AE8">
            <w:pPr>
              <w:spacing w:after="0" w:line="240" w:lineRule="auto"/>
              <w:jc w:val="center"/>
              <w:rPr>
                <w:rFonts w:ascii="Arial" w:hAnsi="Arial" w:cs="Arial"/>
                <w:b/>
                <w:color w:val="000000" w:themeColor="text1"/>
                <w:lang w:val="en-GB"/>
              </w:rPr>
            </w:pPr>
            <w:r w:rsidRPr="00E47F58">
              <w:rPr>
                <w:rFonts w:ascii="Arial" w:hAnsi="Arial" w:cs="Arial"/>
                <w:b/>
                <w:color w:val="000000" w:themeColor="text1"/>
                <w:lang w:val="en-GB"/>
              </w:rPr>
              <w:t>0%</w:t>
            </w:r>
          </w:p>
        </w:tc>
      </w:tr>
    </w:tbl>
    <w:p w14:paraId="6C91B0EC" w14:textId="77777777" w:rsidR="00851556" w:rsidRPr="00E47F58" w:rsidRDefault="00851556" w:rsidP="00EB6AE8">
      <w:pPr>
        <w:jc w:val="center"/>
        <w:rPr>
          <w:rFonts w:ascii="Arial" w:hAnsi="Arial" w:cs="Arial"/>
          <w:color w:val="000000" w:themeColor="text1"/>
          <w:sz w:val="20"/>
          <w:szCs w:val="20"/>
        </w:rPr>
      </w:pPr>
    </w:p>
    <w:p w14:paraId="2C3D5163" w14:textId="77777777" w:rsidR="00EB6AE8" w:rsidRPr="00E47F58" w:rsidRDefault="00EB6AE8" w:rsidP="00851556">
      <w:pPr>
        <w:spacing w:after="0"/>
        <w:jc w:val="center"/>
        <w:rPr>
          <w:rFonts w:ascii="Arial" w:hAnsi="Arial" w:cs="Arial"/>
          <w:color w:val="000000" w:themeColor="text1"/>
          <w:sz w:val="20"/>
          <w:szCs w:val="20"/>
        </w:rPr>
      </w:pPr>
      <w:r w:rsidRPr="00E47F58">
        <w:rPr>
          <w:rFonts w:ascii="Arial" w:hAnsi="Arial" w:cs="Arial"/>
          <w:noProof/>
          <w:color w:val="000000" w:themeColor="text1"/>
          <w:sz w:val="20"/>
          <w:szCs w:val="20"/>
        </w:rPr>
        <w:lastRenderedPageBreak/>
        <w:drawing>
          <wp:inline distT="0" distB="0" distL="0" distR="0" wp14:anchorId="39777AD9" wp14:editId="37B0AB6D">
            <wp:extent cx="4730750" cy="26730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348" cy="2683606"/>
                    </a:xfrm>
                    <a:prstGeom prst="rect">
                      <a:avLst/>
                    </a:prstGeom>
                    <a:noFill/>
                  </pic:spPr>
                </pic:pic>
              </a:graphicData>
            </a:graphic>
          </wp:inline>
        </w:drawing>
      </w:r>
    </w:p>
    <w:p w14:paraId="4767FBFC" w14:textId="48C5674A" w:rsidR="00EB6AE8" w:rsidRPr="00E47F58" w:rsidRDefault="00EB6AE8" w:rsidP="00EB6AE8">
      <w:pPr>
        <w:pStyle w:val="Caption"/>
        <w:rPr>
          <w:rFonts w:ascii="Arial" w:hAnsi="Arial" w:cs="Arial"/>
          <w:sz w:val="20"/>
          <w:szCs w:val="20"/>
        </w:rPr>
      </w:pPr>
      <w:bookmarkStart w:id="33" w:name="_Toc50653940"/>
      <w:r w:rsidRPr="00E47F58">
        <w:rPr>
          <w:rFonts w:ascii="Arial" w:hAnsi="Arial" w:cs="Arial"/>
          <w:sz w:val="20"/>
          <w:szCs w:val="20"/>
        </w:rPr>
        <w:t>Figure</w:t>
      </w:r>
      <w:r w:rsidR="003C2E9F"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4</w:t>
      </w:r>
      <w:r w:rsidR="0022766E" w:rsidRPr="00E47F58">
        <w:rPr>
          <w:rFonts w:ascii="Arial" w:hAnsi="Arial" w:cs="Arial"/>
          <w:noProof/>
          <w:sz w:val="20"/>
          <w:szCs w:val="20"/>
        </w:rPr>
        <w:fldChar w:fldCharType="end"/>
      </w:r>
      <w:r w:rsidRPr="00E47F58">
        <w:rPr>
          <w:rFonts w:ascii="Arial" w:hAnsi="Arial" w:cs="Arial"/>
          <w:sz w:val="20"/>
          <w:szCs w:val="20"/>
        </w:rPr>
        <w:t xml:space="preserve"> : Survival percentage rate of challenged experimental fish with </w:t>
      </w:r>
      <w:r w:rsidRPr="00E47F58">
        <w:rPr>
          <w:rFonts w:ascii="Arial" w:hAnsi="Arial" w:cs="Arial"/>
          <w:i/>
          <w:iCs/>
          <w:sz w:val="20"/>
          <w:szCs w:val="20"/>
        </w:rPr>
        <w:t xml:space="preserve">S. agalactiae </w:t>
      </w:r>
      <w:r w:rsidRPr="00E47F58">
        <w:rPr>
          <w:rFonts w:ascii="Arial" w:hAnsi="Arial" w:cs="Arial"/>
          <w:sz w:val="20"/>
          <w:szCs w:val="20"/>
        </w:rPr>
        <w:t>concentration of 10</w:t>
      </w:r>
      <w:r w:rsidRPr="00E47F58">
        <w:rPr>
          <w:rFonts w:ascii="Arial" w:hAnsi="Arial" w:cs="Arial"/>
          <w:sz w:val="20"/>
          <w:szCs w:val="20"/>
          <w:vertAlign w:val="superscript"/>
        </w:rPr>
        <w:t>8</w:t>
      </w:r>
      <w:bookmarkEnd w:id="33"/>
      <w:r w:rsidR="003C2E9F" w:rsidRPr="00E47F58">
        <w:rPr>
          <w:rFonts w:ascii="Arial" w:hAnsi="Arial" w:cs="Arial"/>
          <w:sz w:val="20"/>
          <w:szCs w:val="20"/>
          <w:vertAlign w:val="superscript"/>
        </w:rPr>
        <w:t xml:space="preserve"> </w:t>
      </w:r>
      <w:r w:rsidR="005B02B1">
        <w:rPr>
          <w:rFonts w:ascii="Arial" w:hAnsi="Arial" w:cs="Arial"/>
          <w:sz w:val="20"/>
          <w:szCs w:val="20"/>
          <w:lang w:val="en-GB"/>
        </w:rPr>
        <w:t xml:space="preserve">CFU/mL </w:t>
      </w:r>
      <w:r w:rsidR="005B02B1" w:rsidRPr="005B02B1">
        <w:rPr>
          <w:rFonts w:ascii="Arial" w:hAnsi="Arial" w:cs="Arial"/>
          <w:sz w:val="20"/>
          <w:szCs w:val="20"/>
          <w:highlight w:val="yellow"/>
          <w:lang w:val="en-GB"/>
        </w:rPr>
        <w:t>(p≤0.005)</w:t>
      </w:r>
    </w:p>
    <w:p w14:paraId="7B3AD526" w14:textId="77777777" w:rsidR="00EB6AE8" w:rsidRPr="00E47F58" w:rsidRDefault="00EB6AE8" w:rsidP="00EB6AE8">
      <w:pPr>
        <w:pStyle w:val="j"/>
        <w:rPr>
          <w:rFonts w:ascii="Arial" w:hAnsi="Arial" w:cs="Arial"/>
          <w:sz w:val="20"/>
          <w:szCs w:val="20"/>
        </w:rPr>
      </w:pPr>
    </w:p>
    <w:p w14:paraId="1B101482" w14:textId="77777777" w:rsidR="00EB6AE8" w:rsidRPr="00E47F58" w:rsidRDefault="00EB6AE8" w:rsidP="00EB6AE8">
      <w:pPr>
        <w:pStyle w:val="j"/>
        <w:rPr>
          <w:rFonts w:ascii="Arial" w:hAnsi="Arial" w:cs="Arial"/>
          <w:sz w:val="20"/>
          <w:szCs w:val="20"/>
        </w:rPr>
      </w:pPr>
    </w:p>
    <w:p w14:paraId="52EF82E3" w14:textId="3132770D" w:rsidR="00EB6AE8" w:rsidRPr="00E47F58" w:rsidRDefault="00EB6AE8" w:rsidP="00EB6AE8">
      <w:pPr>
        <w:pStyle w:val="single"/>
        <w:rPr>
          <w:rFonts w:ascii="Arial" w:hAnsi="Arial" w:cs="Arial"/>
          <w:sz w:val="20"/>
          <w:szCs w:val="20"/>
        </w:rPr>
      </w:pPr>
      <w:r w:rsidRPr="00E47F58">
        <w:rPr>
          <w:rFonts w:ascii="Arial" w:hAnsi="Arial" w:cs="Arial"/>
          <w:sz w:val="20"/>
          <w:szCs w:val="20"/>
          <w:lang w:val="en-GB"/>
        </w:rPr>
        <w:t xml:space="preserve">The bacterial challenge test results </w:t>
      </w:r>
      <w:r w:rsidRPr="00CC0D20">
        <w:rPr>
          <w:rFonts w:ascii="Arial" w:hAnsi="Arial" w:cs="Arial"/>
          <w:sz w:val="20"/>
          <w:szCs w:val="20"/>
          <w:highlight w:val="magenta"/>
          <w:lang w:val="en-GB"/>
        </w:rPr>
        <w:t>show</w:t>
      </w:r>
      <w:r w:rsidR="00CC0D20" w:rsidRPr="00CC0D20">
        <w:rPr>
          <w:rFonts w:ascii="Arial" w:hAnsi="Arial" w:cs="Arial"/>
          <w:sz w:val="20"/>
          <w:szCs w:val="20"/>
          <w:highlight w:val="magenta"/>
          <w:lang w:val="en-GB"/>
        </w:rPr>
        <w:t>ed</w:t>
      </w:r>
      <w:r w:rsidR="00CC0D20">
        <w:rPr>
          <w:rFonts w:ascii="Arial" w:hAnsi="Arial" w:cs="Arial"/>
          <w:sz w:val="20"/>
          <w:szCs w:val="20"/>
          <w:lang w:val="en-GB"/>
        </w:rPr>
        <w:t xml:space="preserve"> 90% survival rate </w:t>
      </w:r>
      <w:r w:rsidR="00CC0D20" w:rsidRPr="00CC0D20">
        <w:rPr>
          <w:rFonts w:ascii="Arial" w:hAnsi="Arial" w:cs="Arial"/>
          <w:sz w:val="20"/>
          <w:szCs w:val="20"/>
          <w:highlight w:val="magenta"/>
          <w:lang w:val="en-GB"/>
        </w:rPr>
        <w:t>with respect to</w:t>
      </w:r>
      <w:r w:rsidRPr="00E47F58">
        <w:rPr>
          <w:rFonts w:ascii="Arial" w:hAnsi="Arial" w:cs="Arial"/>
          <w:sz w:val="20"/>
          <w:szCs w:val="20"/>
          <w:lang w:val="en-GB"/>
        </w:rPr>
        <w:t xml:space="preserve"> </w:t>
      </w:r>
      <w:r w:rsidR="006E116E" w:rsidRPr="00E47F58">
        <w:rPr>
          <w:rFonts w:ascii="Arial" w:hAnsi="Arial" w:cs="Arial"/>
          <w:sz w:val="20"/>
          <w:szCs w:val="20"/>
          <w:lang w:val="en-GB"/>
        </w:rPr>
        <w:t xml:space="preserve">challenged </w:t>
      </w:r>
      <w:r w:rsidRPr="00E47F58">
        <w:rPr>
          <w:rFonts w:ascii="Arial" w:hAnsi="Arial" w:cs="Arial"/>
          <w:sz w:val="20"/>
          <w:szCs w:val="20"/>
          <w:lang w:val="en-GB"/>
        </w:rPr>
        <w:t xml:space="preserve">fish </w:t>
      </w:r>
      <w:r w:rsidR="0070353A" w:rsidRPr="0070353A">
        <w:rPr>
          <w:rFonts w:ascii="Arial" w:hAnsi="Arial" w:cs="Arial"/>
          <w:sz w:val="20"/>
          <w:szCs w:val="20"/>
          <w:highlight w:val="magenta"/>
          <w:lang w:val="en-GB"/>
        </w:rPr>
        <w:t>which were previously</w:t>
      </w:r>
      <w:r w:rsidR="0070353A">
        <w:rPr>
          <w:rFonts w:ascii="Arial" w:hAnsi="Arial" w:cs="Arial"/>
          <w:sz w:val="20"/>
          <w:szCs w:val="20"/>
          <w:lang w:val="en-GB"/>
        </w:rPr>
        <w:t xml:space="preserve"> </w:t>
      </w:r>
      <w:r w:rsidRPr="00E47F58">
        <w:rPr>
          <w:rFonts w:ascii="Arial" w:hAnsi="Arial" w:cs="Arial"/>
          <w:sz w:val="20"/>
          <w:szCs w:val="20"/>
          <w:lang w:val="en-GB"/>
        </w:rPr>
        <w:t xml:space="preserve">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(CVC)</w:t>
      </w:r>
      <w:r w:rsidR="0070353A">
        <w:rPr>
          <w:rFonts w:ascii="Arial" w:hAnsi="Arial" w:cs="Arial"/>
          <w:sz w:val="20"/>
          <w:szCs w:val="20"/>
          <w:lang w:val="en-GB"/>
        </w:rPr>
        <w:t xml:space="preserve">. </w:t>
      </w:r>
      <w:r w:rsidR="0070353A" w:rsidRPr="0070353A">
        <w:rPr>
          <w:rFonts w:ascii="Arial" w:hAnsi="Arial" w:cs="Arial"/>
          <w:sz w:val="20"/>
          <w:szCs w:val="20"/>
          <w:highlight w:val="magenta"/>
          <w:lang w:val="en-GB"/>
        </w:rPr>
        <w:t>The result suggested</w:t>
      </w:r>
      <w:r w:rsidR="0070353A">
        <w:rPr>
          <w:rFonts w:ascii="Arial" w:hAnsi="Arial" w:cs="Arial"/>
          <w:sz w:val="20"/>
          <w:szCs w:val="20"/>
          <w:lang w:val="en-GB"/>
        </w:rPr>
        <w:t xml:space="preserve"> </w:t>
      </w:r>
      <w:r w:rsidRPr="00E47F58">
        <w:rPr>
          <w:rFonts w:ascii="Arial" w:hAnsi="Arial" w:cs="Arial"/>
          <w:sz w:val="20"/>
          <w:szCs w:val="20"/>
          <w:lang w:val="en-GB"/>
        </w:rPr>
        <w:t xml:space="preserve">no significant difference </w:t>
      </w:r>
      <w:r w:rsidRPr="0070353A">
        <w:rPr>
          <w:rFonts w:ascii="Arial" w:hAnsi="Arial" w:cs="Arial"/>
          <w:sz w:val="20"/>
          <w:szCs w:val="20"/>
          <w:highlight w:val="magenta"/>
          <w:lang w:val="en-GB"/>
        </w:rPr>
        <w:t xml:space="preserve">with </w:t>
      </w:r>
      <w:r w:rsidR="0070353A" w:rsidRPr="0070353A">
        <w:rPr>
          <w:rFonts w:ascii="Arial" w:hAnsi="Arial" w:cs="Arial"/>
          <w:sz w:val="20"/>
          <w:szCs w:val="20"/>
          <w:highlight w:val="magenta"/>
          <w:lang w:val="en-GB"/>
        </w:rPr>
        <w:t>that of</w:t>
      </w:r>
      <w:r w:rsidR="0070353A">
        <w:rPr>
          <w:rFonts w:ascii="Arial" w:hAnsi="Arial" w:cs="Arial"/>
          <w:sz w:val="20"/>
          <w:szCs w:val="20"/>
          <w:lang w:val="en-GB"/>
        </w:rPr>
        <w:t xml:space="preserve"> </w:t>
      </w:r>
      <w:r w:rsidRPr="00E47F58">
        <w:rPr>
          <w:rFonts w:ascii="Arial" w:hAnsi="Arial" w:cs="Arial"/>
          <w:sz w:val="20"/>
          <w:szCs w:val="20"/>
          <w:lang w:val="en-GB"/>
        </w:rPr>
        <w:t xml:space="preserve">control fish </w:t>
      </w:r>
      <w:r w:rsidR="0070353A" w:rsidRPr="0070353A">
        <w:rPr>
          <w:rFonts w:ascii="Arial" w:hAnsi="Arial" w:cs="Arial"/>
          <w:sz w:val="20"/>
          <w:szCs w:val="20"/>
          <w:highlight w:val="magenta"/>
          <w:lang w:val="en-GB"/>
        </w:rPr>
        <w:t xml:space="preserve">which was </w:t>
      </w:r>
      <w:r w:rsidRPr="0070353A">
        <w:rPr>
          <w:rFonts w:ascii="Arial" w:hAnsi="Arial" w:cs="Arial"/>
          <w:sz w:val="20"/>
          <w:szCs w:val="20"/>
          <w:highlight w:val="magenta"/>
          <w:lang w:val="en-GB"/>
        </w:rPr>
        <w:t xml:space="preserve">without </w:t>
      </w:r>
      <w:r w:rsidR="0070353A" w:rsidRPr="0070353A">
        <w:rPr>
          <w:rFonts w:ascii="Arial" w:hAnsi="Arial" w:cs="Arial"/>
          <w:sz w:val="20"/>
          <w:szCs w:val="20"/>
          <w:highlight w:val="magenta"/>
          <w:lang w:val="en-GB"/>
        </w:rPr>
        <w:t xml:space="preserve">bacterial </w:t>
      </w:r>
      <w:r w:rsidRPr="0070353A">
        <w:rPr>
          <w:rFonts w:ascii="Arial" w:hAnsi="Arial" w:cs="Arial"/>
          <w:sz w:val="20"/>
          <w:szCs w:val="20"/>
          <w:highlight w:val="magenta"/>
          <w:lang w:val="en-GB"/>
        </w:rPr>
        <w:t>challenge</w:t>
      </w:r>
      <w:r w:rsidR="0070353A">
        <w:rPr>
          <w:rFonts w:ascii="Arial" w:hAnsi="Arial" w:cs="Arial"/>
          <w:sz w:val="20"/>
          <w:szCs w:val="20"/>
          <w:lang w:val="en-GB"/>
        </w:rPr>
        <w:t xml:space="preserve"> (CF). </w:t>
      </w:r>
      <w:r w:rsidR="0070353A" w:rsidRPr="0070353A">
        <w:rPr>
          <w:rFonts w:ascii="Arial" w:hAnsi="Arial" w:cs="Arial"/>
          <w:sz w:val="20"/>
          <w:szCs w:val="20"/>
          <w:highlight w:val="magenta"/>
          <w:lang w:val="en-GB"/>
        </w:rPr>
        <w:t>The results also showed</w:t>
      </w:r>
      <w:r w:rsidRPr="00E47F58">
        <w:rPr>
          <w:rFonts w:ascii="Arial" w:hAnsi="Arial" w:cs="Arial"/>
          <w:sz w:val="20"/>
          <w:szCs w:val="20"/>
          <w:lang w:val="en-GB"/>
        </w:rPr>
        <w:t xml:space="preserve"> only 13.3% survival rate of control </w:t>
      </w:r>
      <w:r w:rsidR="00851556" w:rsidRPr="00E47F58">
        <w:rPr>
          <w:rFonts w:ascii="Arial" w:hAnsi="Arial" w:cs="Arial"/>
          <w:sz w:val="20"/>
          <w:szCs w:val="20"/>
          <w:lang w:val="en-GB"/>
        </w:rPr>
        <w:t xml:space="preserve">fish challenged (CFC) (Figure </w:t>
      </w:r>
      <w:r w:rsidRPr="00E47F58">
        <w:rPr>
          <w:rFonts w:ascii="Arial" w:hAnsi="Arial" w:cs="Arial"/>
          <w:sz w:val="20"/>
          <w:szCs w:val="20"/>
          <w:lang w:val="en-GB"/>
        </w:rPr>
        <w:t>4). This indicate high immune impr</w:t>
      </w:r>
      <w:r w:rsidR="0070353A">
        <w:rPr>
          <w:rFonts w:ascii="Arial" w:hAnsi="Arial" w:cs="Arial"/>
          <w:sz w:val="20"/>
          <w:szCs w:val="20"/>
          <w:lang w:val="en-GB"/>
        </w:rPr>
        <w:t xml:space="preserve">ovements in treated fish </w:t>
      </w:r>
      <w:r w:rsidR="0070353A" w:rsidRPr="0070353A">
        <w:rPr>
          <w:rFonts w:ascii="Arial" w:hAnsi="Arial" w:cs="Arial"/>
          <w:sz w:val="20"/>
          <w:szCs w:val="20"/>
          <w:highlight w:val="magenta"/>
          <w:lang w:val="en-GB"/>
        </w:rPr>
        <w:t>as a result</w:t>
      </w:r>
      <w:r w:rsidRPr="00E47F58">
        <w:rPr>
          <w:rFonts w:ascii="Arial" w:hAnsi="Arial" w:cs="Arial"/>
          <w:sz w:val="20"/>
          <w:szCs w:val="20"/>
          <w:lang w:val="en-GB"/>
        </w:rPr>
        <w:t xml:space="preserve"> of feeding with </w:t>
      </w:r>
      <w:r w:rsidRPr="00E47F58">
        <w:rPr>
          <w:rFonts w:ascii="Arial" w:hAnsi="Arial" w:cs="Arial"/>
          <w:i/>
          <w:iCs/>
          <w:sz w:val="20"/>
          <w:szCs w:val="20"/>
          <w:lang w:val="en-GB"/>
        </w:rPr>
        <w:t xml:space="preserve">C. vulgaris </w:t>
      </w:r>
      <w:r w:rsidRPr="00E47F58">
        <w:rPr>
          <w:rFonts w:ascii="Arial" w:hAnsi="Arial" w:cs="Arial"/>
          <w:sz w:val="20"/>
          <w:szCs w:val="20"/>
          <w:lang w:val="en-GB"/>
        </w:rPr>
        <w:t>incorporated diet. The control fish without been challenged (CF) showed 100% survival rate.</w:t>
      </w:r>
    </w:p>
    <w:p w14:paraId="497D1921" w14:textId="6EAA6222" w:rsidR="00EB6AE8" w:rsidRPr="00E47F58" w:rsidRDefault="00A60DD7" w:rsidP="00E47F58">
      <w:pPr>
        <w:pStyle w:val="Heading3"/>
        <w:rPr>
          <w:sz w:val="20"/>
          <w:szCs w:val="20"/>
          <w:lang w:val="en-GB"/>
        </w:rPr>
      </w:pPr>
      <w:bookmarkStart w:id="34" w:name="_Toc49955758"/>
      <w:bookmarkStart w:id="35" w:name="_Toc50652449"/>
      <w:r>
        <w:rPr>
          <w:sz w:val="20"/>
          <w:szCs w:val="20"/>
          <w:lang w:val="en-GB"/>
        </w:rPr>
        <w:t>3.</w:t>
      </w:r>
      <w:r w:rsidR="004B090C" w:rsidRPr="00E47F58">
        <w:rPr>
          <w:sz w:val="20"/>
          <w:szCs w:val="20"/>
          <w:lang w:val="en-GB"/>
        </w:rPr>
        <w:t>3</w:t>
      </w:r>
      <w:r w:rsidR="004B090C" w:rsidRPr="00E47F58">
        <w:rPr>
          <w:sz w:val="20"/>
          <w:szCs w:val="20"/>
          <w:lang w:val="en-GB"/>
        </w:rPr>
        <w:tab/>
      </w:r>
      <w:r w:rsidR="006E116E" w:rsidRPr="00E47F58">
        <w:rPr>
          <w:sz w:val="20"/>
          <w:szCs w:val="20"/>
          <w:lang w:val="en-GB"/>
        </w:rPr>
        <w:t>Identification of metabolites</w:t>
      </w:r>
      <w:r w:rsidR="00EB6AE8" w:rsidRPr="00E47F58">
        <w:rPr>
          <w:sz w:val="20"/>
          <w:szCs w:val="20"/>
          <w:lang w:val="en-GB"/>
        </w:rPr>
        <w:t xml:space="preserve"> from spleen samples</w:t>
      </w:r>
      <w:bookmarkEnd w:id="34"/>
      <w:bookmarkEnd w:id="35"/>
    </w:p>
    <w:p w14:paraId="5F39D895" w14:textId="6AA9667F" w:rsidR="00EB6AE8" w:rsidRPr="00E47F58" w:rsidRDefault="00EB6AE8" w:rsidP="00851556">
      <w:pPr>
        <w:pStyle w:val="single"/>
        <w:rPr>
          <w:rFonts w:ascii="Arial" w:hAnsi="Arial" w:cs="Arial"/>
          <w:sz w:val="20"/>
          <w:szCs w:val="20"/>
        </w:rPr>
      </w:pPr>
      <w:r w:rsidRPr="00E47F58">
        <w:rPr>
          <w:rFonts w:ascii="Arial" w:hAnsi="Arial" w:cs="Arial"/>
          <w:sz w:val="20"/>
          <w:szCs w:val="20"/>
        </w:rPr>
        <w:t xml:space="preserve">Analysis of spleen samples using </w:t>
      </w:r>
      <w:r w:rsidRPr="00E47F58">
        <w:rPr>
          <w:rFonts w:ascii="Arial" w:hAnsi="Arial" w:cs="Arial"/>
          <w:sz w:val="20"/>
          <w:szCs w:val="20"/>
          <w:vertAlign w:val="superscript"/>
        </w:rPr>
        <w:t>1</w:t>
      </w:r>
      <w:r w:rsidRPr="00E47F58">
        <w:rPr>
          <w:rFonts w:ascii="Arial" w:hAnsi="Arial" w:cs="Arial"/>
          <w:sz w:val="20"/>
          <w:szCs w:val="20"/>
        </w:rPr>
        <w:t xml:space="preserve">H NMR spectroscopy was carried out to study the possible metabolic variation related to immune improvement signals. The metabolites detected in spleen samples were identified based on the </w:t>
      </w:r>
      <w:r w:rsidRPr="00E47F58">
        <w:rPr>
          <w:rFonts w:ascii="Arial" w:hAnsi="Arial" w:cs="Arial"/>
          <w:sz w:val="20"/>
          <w:szCs w:val="20"/>
          <w:vertAlign w:val="superscript"/>
        </w:rPr>
        <w:t>1</w:t>
      </w:r>
      <w:r w:rsidRPr="00E47F58">
        <w:rPr>
          <w:rFonts w:ascii="Arial" w:hAnsi="Arial" w:cs="Arial"/>
          <w:sz w:val="20"/>
          <w:szCs w:val="20"/>
        </w:rPr>
        <w:t xml:space="preserve">H NMR spectra of both control and microalgae fed fish spleen, collected through the experimental period. In total, 21 metabolites were successfully identified. The metabolites were assigned by referring to </w:t>
      </w:r>
      <w:proofErr w:type="spellStart"/>
      <w:r w:rsidRPr="00E47F58">
        <w:rPr>
          <w:rFonts w:ascii="Arial" w:hAnsi="Arial" w:cs="Arial"/>
          <w:sz w:val="20"/>
          <w:szCs w:val="20"/>
        </w:rPr>
        <w:t>Chenomx</w:t>
      </w:r>
      <w:proofErr w:type="spellEnd"/>
      <w:r w:rsidRPr="00E47F58">
        <w:rPr>
          <w:rFonts w:ascii="Arial" w:hAnsi="Arial" w:cs="Arial"/>
          <w:sz w:val="20"/>
          <w:szCs w:val="20"/>
        </w:rPr>
        <w:t xml:space="preserve"> software database (Version 8.3, Alberta, Canada), the human metabolome database (HMDB) (http://www.hmdb.ca/)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{"citationItems":[{"id":"ITEM-1","itemData":{"DOI":"10.1093/nar/gkl923","ISSN":"03051048","abstract":"The Human Metabolome Database (HMDB) is currently the most complete and comprehensive curated collection of human metabolite and human metabolism data in the world. It contains records for more than 2180 endogenous metabolites with information gathered from thousands of books, journal articles and electronic databases. In addition to its comprehensive literature-derived data, the HMDB also contains an extensive collection of experimental metabolite concentration data compiled from hundreds of mass spectra (MS) and Nuclear Magnetic resonance (NMR) metabolomic analyses performed on urine, blood and cerebrospinal fluid samples. This is further supplemented with thousands of NMR and MS spectra collected on purified, reference metabolites. Each metabolite entry in the HMDB contains an average of 90 separate data fields including a comprehensive compound description, names and synonyms, structural information, physico-chemical data, reference NMR and MS spectra, biofluid concentrations, disease associations, pathway information, enzyme data, gene sequence data, SNP and mutation data as well as extensive links to images, references and other public databases. Extensive searching, relational querying and data browsing tools are also provided. The HMDB is designed to address the broad needs of biochemists, clinical chemists, physicians, medical geneticists, nutritionists and members of the metabolomics community. The HMDB is available at: www.hmdb.ca © 2007 Oxford University Press.","author":[{"dropping-particle":"","family":"Wishart","given":"David S.","non-dropping-particle":"","parse-names":false,"suffix":""},{"dropping-particle":"","family":"Tzur","given":"Dan","non-dropping-particle":"","parse-names":false,"suffix":""},{"dropping-particle":"","family":"Knox","given":"Craig","non-dropping-particle":"","parse-names":false,"suffix":""},{"dropping-particle":"","family":"Eisner","given":"Roman","non-dropping-particle":"","parse-names":false,"suffix":""},{"dropping-particle":"","family":"Guo","given":"An Chi","non-dropping-particle":"","parse-names":false,"suffix":""},{"dropping-particle":"","family":"Young","given":"Nelson","non-dropping-particle":"","parse-names":false,"suffix":""},{"dropping-particle":"","family":"Cheng","given":"Dean","non-dropping-particle":"","parse-names":false,"suffix":""},{"dropping-particle":"","family":"Jewell","given":"Kevin","non-dropping-particle":"","parse-names":false,"suffix":""},{"dropping-particle":"","family":"Arndt","given":"David","non-dropping-particle":"","parse-names":false,"suffix":""},{"dropping-particle":"","family":"Sawhney","given":"Summit","non-dropping-particle":"","parse-names":false,"suffix":""},{"dropping-particle":"","family":"Fung","given":"Chris","non-dropping-particle":"","parse-names":false,"suffix":""},{"dropping-particle":"","family":"Nikolai","given":"Lisa","non-dropping-particle":"","parse-names":false,"suffix":""},{"dropping-particle":"","family":"Lewis","given":"Mike","non-dropping-particle":"","parse-names":false,"suffix":""},{"dropping-particle":"","family":"Coutouly","given":"Marie Aude","non-dropping-particle":"","parse-names":false,"suffix":""},{"dropping-particle":"","family":"Forsythe","given":"Ian","non-dropping-particle":"","parse-names":false,"suffix":""},{"dropping-particle":"","family":"Tang","given":"Peter","non-dropping-particle":"","parse-names":false,"suffix":""},{"dropping-particle":"","family":"Shrivastava","given":"Savita","non-dropping-particle":"","parse-names":false,"suffix":""},{"dropping-particle":"","family":"Jeroncic","given":"Kevin","non-dropping-particle":"","parse-names":false,"suffix":""},{"dropping-particle":"","family":"Stothard","given":"Paul","non-dropping-particle":"","parse-names":false,"suffix":""},{"dropping-particle":"","family":"Amegbey","given":"Godwin","non-dropping-particle":"","parse-names":false,"suffix":""},{"dropping-particle":"","family":"Block","given":"David","non-dropping-particle":"","parse-names":false,"suffix":""},{"dropping-particle":"","family":"Hau","given":"David D.","non-dropping-particle":"","parse-names":false,"suffix":""},{"dropping-particle":"","family":"Wagner","given":"James","non-dropping-particle":"","parse-names":false,"suffix":""},{"dropping-particle":"","family":"Miniaci","given":"Jessica","non-dropping-particle":"","parse-names":false,"suffix":""},{"dropping-particle":"","family":"Clements","given":"Melisa","non-dropping-particle":"","parse-names":false,"suffix":""},{"dropping-particle":"","family":"Gebremedhin","given":"Mulu","non-dropping-particle":"","parse-names":false,"suffix":""},{"dropping-particle":"","family":"Guo","given":"Natalie","non-dropping-particle":"","parse-names":false,"suffix":""},{"dropping-particle":"","family":"Zhang","given":"Ying","non-dropping-particle":"","parse-names":false,"suffix":""},{"dropping-particle":"","family":"Duggan","given":"Gavin E.","non-dropping-particle":"","parse-names":false,"suffix":""},{"dropping-particle":"","family":"MacInnis","given":"Glen D.","non-dropping-particle":"","parse-names":false,"suffix":""},{"dropping-particle":"","family":"Weljie","given":"Alim M.","non-dropping-particle":"","parse-names":false,"suffix":""},{"dropping-particle":"","family":"Dowlatabadi","given":"Reza","non-dropping-particle":"","parse-names":false,"suffix":""},{"dropping-particle":"","family":"Bamforth","given":"Fiona","non-dropping-particle":"","parse-names":false,"suffix":""},{"dropping-particle":"","family":"Clive","given":"Derrick","non-dropping-particle":"","parse-names":false,"suffix":""},{"dropping-particle":"","family":"Greiner","given":"Russ","non-dropping-particle":"","parse-names":false,"suffix":""},{"dropping-particle":"","family":"Li","given":"Liang","non-dropping-particle":"","parse-names":false,"suffix":""},{"dropping-particle":"","family":"Marrie","given":"Tom","non-dropping-particle":"","parse-names":false,"suffix":""},{"dropping-particle":"","family":"Sykes","given":"Brian D.","non-dropping-particle":"","parse-names":false,"suffix":""},{"dropping-particle":"","family":"Vogel","given":"Hans J.","non-dropping-particle":"","parse-names":false,"suffix":""},{"dropping-particle":"","family":"Querengesser","given":"Lori","non-dropping-particle":"","parse-names":false,"suffix":""}],"container-title":"Nucleic Acids Research","id":"ITEM-1","issue":"SUPPL. 1","issued":{"date-parts":[["2007"]]},"page":"521-526","title":"HMDB: The human metabolome database","type":"article-journal","volume":"35"},"uris":["http://www.mendeley.com/documents/?uuid=ba9eb3c2-1e7d-4ecb-8c61-3fc5dbbd0559","http://www.mendeley.com/documents/?uuid=e433f56b-ba12-42ee-bc27-df7bc95fe506"]}],"mendeley":{"formattedCitation":"(Wishart et al., 2007)","plainTextFormattedCitation":"(Wishart et al., 2007)","previouslyFormattedCitation":"(Wishart et al. 2007)"},"properties":{"noteIndex":0},"schema":"https://github.com/citation-style-language/schema/raw/master/csl-citation.json"}</w:instrText>
      </w:r>
      <w:r w:rsidRPr="00E47F58">
        <w:rPr>
          <w:rFonts w:ascii="Arial" w:hAnsi="Arial" w:cs="Arial"/>
          <w:sz w:val="20"/>
          <w:szCs w:val="20"/>
        </w:rPr>
        <w:fldChar w:fldCharType="separate"/>
      </w:r>
      <w:r w:rsidR="00E51220" w:rsidRPr="00E51220">
        <w:rPr>
          <w:rFonts w:ascii="Arial" w:hAnsi="Arial" w:cs="Arial"/>
          <w:noProof/>
          <w:sz w:val="20"/>
          <w:szCs w:val="20"/>
        </w:rPr>
        <w:t>(Wishart et al., 2007)</w:t>
      </w:r>
      <w:r w:rsidRPr="00E47F58">
        <w:rPr>
          <w:rFonts w:ascii="Arial" w:hAnsi="Arial" w:cs="Arial"/>
          <w:sz w:val="20"/>
          <w:szCs w:val="20"/>
        </w:rPr>
        <w:fldChar w:fldCharType="end"/>
      </w:r>
      <w:r w:rsidRPr="00E47F58">
        <w:rPr>
          <w:rFonts w:ascii="Arial" w:hAnsi="Arial" w:cs="Arial"/>
          <w:sz w:val="20"/>
          <w:szCs w:val="20"/>
        </w:rPr>
        <w:t>,</w:t>
      </w:r>
      <w:r w:rsidRPr="00E47F58">
        <w:rPr>
          <w:rFonts w:ascii="Arial" w:hAnsi="Arial" w:cs="Arial"/>
          <w:sz w:val="20"/>
          <w:szCs w:val="20"/>
          <w:lang w:val="en-GB"/>
        </w:rPr>
        <w:t xml:space="preserve"> Nuclear Magnetic Resonance database (NMRDB) (</w:t>
      </w:r>
      <w:hyperlink r:id="rId14" w:history="1">
        <w:r w:rsidRPr="00E47F58">
          <w:rPr>
            <w:rStyle w:val="Hyperlink"/>
            <w:rFonts w:ascii="Arial" w:hAnsi="Arial" w:cs="Arial"/>
            <w:sz w:val="20"/>
            <w:szCs w:val="20"/>
            <w:lang w:val="en-GB"/>
          </w:rPr>
          <w:t>http://www.nmrdb.org/</w:t>
        </w:r>
      </w:hyperlink>
      <w:r w:rsidRPr="00E47F58">
        <w:rPr>
          <w:rFonts w:ascii="Arial" w:hAnsi="Arial" w:cs="Arial"/>
          <w:sz w:val="20"/>
          <w:szCs w:val="20"/>
          <w:lang w:val="en-GB"/>
        </w:rPr>
        <w:t>), PubChem (</w:t>
      </w:r>
      <w:hyperlink r:id="rId15" w:history="1">
        <w:r w:rsidRPr="00E47F58">
          <w:rPr>
            <w:rStyle w:val="Hyperlink"/>
            <w:rFonts w:ascii="Arial" w:hAnsi="Arial" w:cs="Arial"/>
            <w:sz w:val="20"/>
            <w:szCs w:val="20"/>
            <w:lang w:val="en-GB"/>
          </w:rPr>
          <w:t>https://pubchem.ncbi.nlm.nih.gov/</w:t>
        </w:r>
      </w:hyperlink>
      <w:r w:rsidRPr="00E47F58">
        <w:rPr>
          <w:rFonts w:ascii="Arial" w:hAnsi="Arial" w:cs="Arial"/>
          <w:sz w:val="20"/>
          <w:szCs w:val="20"/>
          <w:lang w:val="en-GB"/>
        </w:rPr>
        <w:t>)</w:t>
      </w:r>
      <w:r w:rsidR="00355A2E" w:rsidRPr="00E47F58">
        <w:rPr>
          <w:rFonts w:ascii="Arial" w:hAnsi="Arial" w:cs="Arial"/>
          <w:sz w:val="20"/>
          <w:szCs w:val="20"/>
        </w:rPr>
        <w:t xml:space="preserve"> and literature data. Table </w:t>
      </w:r>
      <w:r w:rsidRPr="00E47F58">
        <w:rPr>
          <w:rFonts w:ascii="Arial" w:hAnsi="Arial" w:cs="Arial"/>
          <w:sz w:val="20"/>
          <w:szCs w:val="20"/>
        </w:rPr>
        <w:t>2 shows the identified metabolites and their corresponding chemical shifts.</w:t>
      </w:r>
    </w:p>
    <w:p w14:paraId="4936C4EA" w14:textId="77777777" w:rsidR="00EB6AE8" w:rsidRPr="00E47F58" w:rsidRDefault="00EB6AE8" w:rsidP="00EB6AE8">
      <w:pPr>
        <w:pStyle w:val="Caption"/>
        <w:keepNext/>
        <w:rPr>
          <w:rFonts w:ascii="Arial" w:hAnsi="Arial" w:cs="Arial"/>
          <w:sz w:val="20"/>
          <w:szCs w:val="20"/>
        </w:rPr>
      </w:pPr>
      <w:bookmarkStart w:id="36" w:name="_Toc50652951"/>
      <w:r w:rsidRPr="00E47F58">
        <w:rPr>
          <w:rFonts w:ascii="Arial" w:hAnsi="Arial" w:cs="Arial"/>
          <w:sz w:val="20"/>
          <w:szCs w:val="20"/>
        </w:rPr>
        <w:t>Table</w:t>
      </w:r>
      <w:r w:rsidR="00355A2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2</w:t>
      </w:r>
      <w:r w:rsidR="0022766E" w:rsidRPr="00E47F58">
        <w:rPr>
          <w:rFonts w:ascii="Arial" w:hAnsi="Arial" w:cs="Arial"/>
          <w:noProof/>
          <w:sz w:val="20"/>
          <w:szCs w:val="20"/>
        </w:rPr>
        <w:fldChar w:fldCharType="end"/>
      </w:r>
      <w:r w:rsidRPr="00E47F58">
        <w:rPr>
          <w:rFonts w:ascii="Arial" w:hAnsi="Arial" w:cs="Arial"/>
          <w:sz w:val="20"/>
          <w:szCs w:val="20"/>
        </w:rPr>
        <w:t xml:space="preserve"> : Identified metabolites from spleen samples of experimental fish and their corresponding 700 MHz </w:t>
      </w:r>
      <w:r w:rsidRPr="00E47F58">
        <w:rPr>
          <w:rFonts w:ascii="Arial" w:hAnsi="Arial" w:cs="Arial"/>
          <w:sz w:val="20"/>
          <w:szCs w:val="20"/>
          <w:vertAlign w:val="superscript"/>
        </w:rPr>
        <w:t>1</w:t>
      </w:r>
      <w:r w:rsidRPr="00E47F58">
        <w:rPr>
          <w:rFonts w:ascii="Arial" w:hAnsi="Arial" w:cs="Arial"/>
          <w:sz w:val="20"/>
          <w:szCs w:val="20"/>
        </w:rPr>
        <w:t>H NMR chemical shifts</w:t>
      </w:r>
      <w:bookmarkEnd w:id="36"/>
    </w:p>
    <w:p w14:paraId="552D175A"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1759"/>
        <w:gridCol w:w="4477"/>
        <w:gridCol w:w="3114"/>
      </w:tblGrid>
      <w:tr w:rsidR="00EB6AE8" w:rsidRPr="00E47F58" w14:paraId="5A5FABF5" w14:textId="77777777" w:rsidTr="003C2E9F">
        <w:trPr>
          <w:jc w:val="center"/>
        </w:trPr>
        <w:tc>
          <w:tcPr>
            <w:tcW w:w="941" w:type="pct"/>
          </w:tcPr>
          <w:p w14:paraId="3DE5C9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S/No.</w:t>
            </w:r>
          </w:p>
        </w:tc>
        <w:tc>
          <w:tcPr>
            <w:tcW w:w="2394" w:type="pct"/>
          </w:tcPr>
          <w:p w14:paraId="336D9D3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Metabolites</w:t>
            </w:r>
          </w:p>
        </w:tc>
        <w:tc>
          <w:tcPr>
            <w:tcW w:w="1665" w:type="pct"/>
          </w:tcPr>
          <w:p w14:paraId="0F3409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Chemical shifts (ppm)</w:t>
            </w:r>
          </w:p>
        </w:tc>
      </w:tr>
      <w:tr w:rsidR="00EB6AE8" w:rsidRPr="00E47F58" w14:paraId="78B20FFC" w14:textId="77777777" w:rsidTr="003C2E9F">
        <w:trPr>
          <w:jc w:val="center"/>
        </w:trPr>
        <w:tc>
          <w:tcPr>
            <w:tcW w:w="941" w:type="pct"/>
          </w:tcPr>
          <w:p w14:paraId="2354BD4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w:t>
            </w:r>
          </w:p>
        </w:tc>
        <w:tc>
          <w:tcPr>
            <w:tcW w:w="2394" w:type="pct"/>
          </w:tcPr>
          <w:p w14:paraId="04ED4BF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Linoleic acid</w:t>
            </w:r>
          </w:p>
        </w:tc>
        <w:tc>
          <w:tcPr>
            <w:tcW w:w="1665" w:type="pct"/>
          </w:tcPr>
          <w:p w14:paraId="1E891FE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0D997F1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1.26(m)</w:t>
            </w:r>
          </w:p>
          <w:p w14:paraId="54AE5D1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4036283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5.35(m)</w:t>
            </w:r>
          </w:p>
        </w:tc>
      </w:tr>
      <w:tr w:rsidR="00EB6AE8" w:rsidRPr="00E47F58" w14:paraId="44AC0E45" w14:textId="77777777" w:rsidTr="003C2E9F">
        <w:trPr>
          <w:jc w:val="center"/>
        </w:trPr>
        <w:tc>
          <w:tcPr>
            <w:tcW w:w="941" w:type="pct"/>
          </w:tcPr>
          <w:p w14:paraId="621C2B5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2</w:t>
            </w:r>
          </w:p>
        </w:tc>
        <w:tc>
          <w:tcPr>
            <w:tcW w:w="2394" w:type="pct"/>
          </w:tcPr>
          <w:p w14:paraId="6DB8492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Riboflavin</w:t>
            </w:r>
          </w:p>
        </w:tc>
        <w:tc>
          <w:tcPr>
            <w:tcW w:w="1665" w:type="pct"/>
          </w:tcPr>
          <w:p w14:paraId="51DB4A1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0.91(t)</w:t>
            </w:r>
          </w:p>
          <w:p w14:paraId="64B718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1.65(m)</w:t>
            </w:r>
          </w:p>
          <w:p w14:paraId="5F36714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1.68(m)</w:t>
            </w:r>
          </w:p>
          <w:p w14:paraId="46A5962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597D2CD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δ 2.34(s)</w:t>
            </w:r>
          </w:p>
          <w:p w14:paraId="322DADB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4.33(d)</w:t>
            </w:r>
          </w:p>
          <w:p w14:paraId="1D6EF4A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4.47(d)</w:t>
            </w:r>
          </w:p>
        </w:tc>
      </w:tr>
      <w:tr w:rsidR="00EB6AE8" w:rsidRPr="00E47F58" w14:paraId="6E65AF11" w14:textId="77777777" w:rsidTr="003C2E9F">
        <w:trPr>
          <w:jc w:val="center"/>
        </w:trPr>
        <w:tc>
          <w:tcPr>
            <w:tcW w:w="941" w:type="pct"/>
          </w:tcPr>
          <w:p w14:paraId="17AC4CF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3</w:t>
            </w:r>
          </w:p>
        </w:tc>
        <w:tc>
          <w:tcPr>
            <w:tcW w:w="2394" w:type="pct"/>
          </w:tcPr>
          <w:p w14:paraId="4811D97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Proline</w:t>
            </w:r>
          </w:p>
        </w:tc>
        <w:tc>
          <w:tcPr>
            <w:tcW w:w="1665" w:type="pct"/>
          </w:tcPr>
          <w:p w14:paraId="6FD1022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4.14(m)</w:t>
            </w:r>
          </w:p>
          <w:p w14:paraId="404D3E8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4.22(s)</w:t>
            </w:r>
          </w:p>
        </w:tc>
      </w:tr>
      <w:tr w:rsidR="00EB6AE8" w:rsidRPr="00E47F58" w14:paraId="3E259781" w14:textId="77777777" w:rsidTr="003C2E9F">
        <w:trPr>
          <w:jc w:val="center"/>
        </w:trPr>
        <w:tc>
          <w:tcPr>
            <w:tcW w:w="941" w:type="pct"/>
          </w:tcPr>
          <w:p w14:paraId="4DFA051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4</w:t>
            </w:r>
          </w:p>
        </w:tc>
        <w:tc>
          <w:tcPr>
            <w:tcW w:w="2394" w:type="pct"/>
          </w:tcPr>
          <w:p w14:paraId="0BA1AB4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Glucose</w:t>
            </w:r>
          </w:p>
        </w:tc>
        <w:tc>
          <w:tcPr>
            <w:tcW w:w="1665" w:type="pct"/>
          </w:tcPr>
          <w:p w14:paraId="54359D6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5.22(s)</w:t>
            </w:r>
          </w:p>
          <w:p w14:paraId="27E4A95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4.62(s)</w:t>
            </w:r>
          </w:p>
          <w:p w14:paraId="0A40A96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3.82(m)</w:t>
            </w:r>
          </w:p>
          <w:p w14:paraId="6DAE81A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3.46(m)</w:t>
            </w:r>
          </w:p>
          <w:p w14:paraId="5AB0728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3.23(d)</w:t>
            </w:r>
          </w:p>
        </w:tc>
      </w:tr>
      <w:tr w:rsidR="00EB6AE8" w:rsidRPr="00E47F58" w14:paraId="63E8EFBF" w14:textId="77777777" w:rsidTr="003C2E9F">
        <w:trPr>
          <w:jc w:val="center"/>
        </w:trPr>
        <w:tc>
          <w:tcPr>
            <w:tcW w:w="941" w:type="pct"/>
          </w:tcPr>
          <w:p w14:paraId="4332052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5</w:t>
            </w:r>
          </w:p>
        </w:tc>
        <w:tc>
          <w:tcPr>
            <w:tcW w:w="2394" w:type="pct"/>
          </w:tcPr>
          <w:p w14:paraId="70FBB7F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Glycolate</w:t>
            </w:r>
          </w:p>
        </w:tc>
        <w:tc>
          <w:tcPr>
            <w:tcW w:w="1665" w:type="pct"/>
          </w:tcPr>
          <w:p w14:paraId="03CCD3E0" w14:textId="77777777" w:rsidR="00EB6AE8" w:rsidRPr="00E47F58" w:rsidRDefault="00EB6AE8" w:rsidP="00EB6AE8">
            <w:pPr>
              <w:pStyle w:val="NoSpacing"/>
              <w:rPr>
                <w:rFonts w:ascii="Arial" w:hAnsi="Arial" w:cs="Arial"/>
                <w:color w:val="000000" w:themeColor="text1"/>
              </w:rPr>
            </w:pPr>
            <w:r w:rsidRPr="00E47F58">
              <w:rPr>
                <w:rFonts w:ascii="Arial" w:hAnsi="Arial" w:cs="Arial"/>
                <w:i/>
                <w:color w:val="000000" w:themeColor="text1"/>
              </w:rPr>
              <w:t>δ</w:t>
            </w:r>
            <w:r w:rsidRPr="00E47F58">
              <w:rPr>
                <w:rFonts w:ascii="Arial" w:hAnsi="Arial" w:cs="Arial"/>
                <w:color w:val="000000" w:themeColor="text1"/>
              </w:rPr>
              <w:t xml:space="preserve"> 3.92(s)</w:t>
            </w:r>
          </w:p>
        </w:tc>
      </w:tr>
      <w:tr w:rsidR="00EB6AE8" w:rsidRPr="00E47F58" w14:paraId="346A66DA" w14:textId="77777777" w:rsidTr="003C2E9F">
        <w:trPr>
          <w:jc w:val="center"/>
        </w:trPr>
        <w:tc>
          <w:tcPr>
            <w:tcW w:w="941" w:type="pct"/>
          </w:tcPr>
          <w:p w14:paraId="7A42552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6</w:t>
            </w:r>
          </w:p>
        </w:tc>
        <w:tc>
          <w:tcPr>
            <w:tcW w:w="2394" w:type="pct"/>
          </w:tcPr>
          <w:p w14:paraId="5DC92F5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Isoleucine</w:t>
            </w:r>
          </w:p>
        </w:tc>
        <w:tc>
          <w:tcPr>
            <w:tcW w:w="1665" w:type="pct"/>
          </w:tcPr>
          <w:p w14:paraId="0A2A717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0.84(t)</w:t>
            </w:r>
          </w:p>
          <w:p w14:paraId="195030B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3.43(d)</w:t>
            </w:r>
          </w:p>
        </w:tc>
      </w:tr>
      <w:tr w:rsidR="00EB6AE8" w:rsidRPr="00E47F58" w14:paraId="7D27325B" w14:textId="77777777" w:rsidTr="003C2E9F">
        <w:trPr>
          <w:jc w:val="center"/>
        </w:trPr>
        <w:tc>
          <w:tcPr>
            <w:tcW w:w="941" w:type="pct"/>
          </w:tcPr>
          <w:p w14:paraId="70F888C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7</w:t>
            </w:r>
          </w:p>
        </w:tc>
        <w:tc>
          <w:tcPr>
            <w:tcW w:w="2394" w:type="pct"/>
          </w:tcPr>
          <w:p w14:paraId="09A3C3A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Choline</w:t>
            </w:r>
          </w:p>
        </w:tc>
        <w:tc>
          <w:tcPr>
            <w:tcW w:w="1665" w:type="pct"/>
          </w:tcPr>
          <w:p w14:paraId="6A95F8F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4.00(m)</w:t>
            </w:r>
          </w:p>
          <w:p w14:paraId="167E16D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3.50(dd)</w:t>
            </w:r>
          </w:p>
          <w:p w14:paraId="7E40206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3.20(s)</w:t>
            </w:r>
          </w:p>
        </w:tc>
      </w:tr>
      <w:tr w:rsidR="00EB6AE8" w:rsidRPr="00E47F58" w14:paraId="173CC229" w14:textId="77777777" w:rsidTr="003C2E9F">
        <w:trPr>
          <w:jc w:val="center"/>
        </w:trPr>
        <w:tc>
          <w:tcPr>
            <w:tcW w:w="941" w:type="pct"/>
          </w:tcPr>
          <w:p w14:paraId="63C3B67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8</w:t>
            </w:r>
          </w:p>
        </w:tc>
        <w:tc>
          <w:tcPr>
            <w:tcW w:w="2394" w:type="pct"/>
          </w:tcPr>
          <w:p w14:paraId="663C7C6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Glycine</w:t>
            </w:r>
          </w:p>
        </w:tc>
        <w:tc>
          <w:tcPr>
            <w:tcW w:w="1665" w:type="pct"/>
          </w:tcPr>
          <w:p w14:paraId="397D4E97" w14:textId="77777777" w:rsidR="00EB6AE8" w:rsidRPr="00E47F58" w:rsidRDefault="00EB6AE8" w:rsidP="00EB6AE8">
            <w:pPr>
              <w:pStyle w:val="NoSpacing"/>
              <w:rPr>
                <w:rFonts w:ascii="Arial" w:hAnsi="Arial" w:cs="Arial"/>
                <w:color w:val="000000" w:themeColor="text1"/>
              </w:rPr>
            </w:pPr>
            <w:r w:rsidRPr="00E47F58">
              <w:rPr>
                <w:rFonts w:ascii="Arial" w:hAnsi="Arial" w:cs="Arial"/>
                <w:i/>
                <w:color w:val="000000" w:themeColor="text1"/>
              </w:rPr>
              <w:t>δ</w:t>
            </w:r>
            <w:r w:rsidRPr="00E47F58">
              <w:rPr>
                <w:rFonts w:ascii="Arial" w:hAnsi="Arial" w:cs="Arial"/>
                <w:color w:val="000000" w:themeColor="text1"/>
              </w:rPr>
              <w:t xml:space="preserve"> 3.60(s)</w:t>
            </w:r>
          </w:p>
        </w:tc>
      </w:tr>
      <w:tr w:rsidR="00EB6AE8" w:rsidRPr="00E47F58" w14:paraId="37692DF2" w14:textId="77777777" w:rsidTr="003C2E9F">
        <w:trPr>
          <w:jc w:val="center"/>
        </w:trPr>
        <w:tc>
          <w:tcPr>
            <w:tcW w:w="941" w:type="pct"/>
          </w:tcPr>
          <w:p w14:paraId="10F1676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9</w:t>
            </w:r>
          </w:p>
        </w:tc>
        <w:tc>
          <w:tcPr>
            <w:tcW w:w="2394" w:type="pct"/>
          </w:tcPr>
          <w:p w14:paraId="181993D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Leucine</w:t>
            </w:r>
          </w:p>
        </w:tc>
        <w:tc>
          <w:tcPr>
            <w:tcW w:w="1665" w:type="pct"/>
          </w:tcPr>
          <w:p w14:paraId="284997B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1.51(m)</w:t>
            </w:r>
          </w:p>
          <w:p w14:paraId="2A4F186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3.44(t)</w:t>
            </w:r>
          </w:p>
        </w:tc>
      </w:tr>
      <w:tr w:rsidR="00EB6AE8" w:rsidRPr="00E47F58" w14:paraId="11774687" w14:textId="77777777" w:rsidTr="003C2E9F">
        <w:trPr>
          <w:jc w:val="center"/>
        </w:trPr>
        <w:tc>
          <w:tcPr>
            <w:tcW w:w="941" w:type="pct"/>
          </w:tcPr>
          <w:p w14:paraId="59146BA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10</w:t>
            </w:r>
          </w:p>
        </w:tc>
        <w:tc>
          <w:tcPr>
            <w:tcW w:w="2394" w:type="pct"/>
          </w:tcPr>
          <w:p w14:paraId="7F732EE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Taurine</w:t>
            </w:r>
          </w:p>
        </w:tc>
        <w:tc>
          <w:tcPr>
            <w:tcW w:w="1665" w:type="pct"/>
          </w:tcPr>
          <w:p w14:paraId="00DC0F9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3.42(t)</w:t>
            </w:r>
          </w:p>
          <w:p w14:paraId="154EF7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3.25(t)</w:t>
            </w:r>
          </w:p>
        </w:tc>
      </w:tr>
      <w:tr w:rsidR="00EB6AE8" w:rsidRPr="00E47F58" w14:paraId="0BC485C7" w14:textId="77777777" w:rsidTr="003C2E9F">
        <w:trPr>
          <w:jc w:val="center"/>
        </w:trPr>
        <w:tc>
          <w:tcPr>
            <w:tcW w:w="941" w:type="pct"/>
          </w:tcPr>
          <w:p w14:paraId="27D968E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11</w:t>
            </w:r>
          </w:p>
        </w:tc>
        <w:tc>
          <w:tcPr>
            <w:tcW w:w="2394" w:type="pct"/>
          </w:tcPr>
          <w:p w14:paraId="5A9AE69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Histamine</w:t>
            </w:r>
          </w:p>
        </w:tc>
        <w:tc>
          <w:tcPr>
            <w:tcW w:w="1665" w:type="pct"/>
          </w:tcPr>
          <w:p w14:paraId="038CD73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8.0(s)</w:t>
            </w:r>
          </w:p>
          <w:p w14:paraId="4D28CBC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7.9(s)</w:t>
            </w:r>
          </w:p>
          <w:p w14:paraId="311F05C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7.1(s)</w:t>
            </w:r>
          </w:p>
          <w:p w14:paraId="0E2DBE1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3.3(t)</w:t>
            </w:r>
          </w:p>
          <w:p w14:paraId="0BE282E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3.0(m)</w:t>
            </w:r>
          </w:p>
        </w:tc>
      </w:tr>
      <w:tr w:rsidR="00EB6AE8" w:rsidRPr="00E47F58" w14:paraId="5BAB6999" w14:textId="77777777" w:rsidTr="003C2E9F">
        <w:trPr>
          <w:jc w:val="center"/>
        </w:trPr>
        <w:tc>
          <w:tcPr>
            <w:tcW w:w="941" w:type="pct"/>
          </w:tcPr>
          <w:p w14:paraId="0D4CDD1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12</w:t>
            </w:r>
          </w:p>
        </w:tc>
        <w:tc>
          <w:tcPr>
            <w:tcW w:w="2394" w:type="pct"/>
          </w:tcPr>
          <w:p w14:paraId="58C98A6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Methionine</w:t>
            </w:r>
          </w:p>
        </w:tc>
        <w:tc>
          <w:tcPr>
            <w:tcW w:w="1665" w:type="pct"/>
          </w:tcPr>
          <w:p w14:paraId="46CE5D5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3.85(dd)</w:t>
            </w:r>
          </w:p>
          <w:p w14:paraId="75E0A67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2.63(t)</w:t>
            </w:r>
          </w:p>
          <w:p w14:paraId="465F938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2.15(m)</w:t>
            </w:r>
          </w:p>
        </w:tc>
      </w:tr>
      <w:tr w:rsidR="00EB6AE8" w:rsidRPr="00E47F58" w14:paraId="3E3BD80F" w14:textId="77777777" w:rsidTr="003C2E9F">
        <w:trPr>
          <w:jc w:val="center"/>
        </w:trPr>
        <w:tc>
          <w:tcPr>
            <w:tcW w:w="941" w:type="pct"/>
          </w:tcPr>
          <w:p w14:paraId="59FEFE5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13</w:t>
            </w:r>
          </w:p>
        </w:tc>
        <w:tc>
          <w:tcPr>
            <w:tcW w:w="2394" w:type="pct"/>
          </w:tcPr>
          <w:p w14:paraId="266FBE0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Creatine</w:t>
            </w:r>
          </w:p>
        </w:tc>
        <w:tc>
          <w:tcPr>
            <w:tcW w:w="1665" w:type="pct"/>
          </w:tcPr>
          <w:p w14:paraId="27D8C58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3.9(s)</w:t>
            </w:r>
          </w:p>
          <w:p w14:paraId="421F1A2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3.0(s)</w:t>
            </w:r>
          </w:p>
        </w:tc>
      </w:tr>
      <w:tr w:rsidR="00EB6AE8" w:rsidRPr="00E47F58" w14:paraId="6DB29F57" w14:textId="77777777" w:rsidTr="003C2E9F">
        <w:trPr>
          <w:jc w:val="center"/>
        </w:trPr>
        <w:tc>
          <w:tcPr>
            <w:tcW w:w="941" w:type="pct"/>
          </w:tcPr>
          <w:p w14:paraId="18DC9BA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14</w:t>
            </w:r>
          </w:p>
        </w:tc>
        <w:tc>
          <w:tcPr>
            <w:tcW w:w="2394" w:type="pct"/>
          </w:tcPr>
          <w:p w14:paraId="624B43B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Glutamic acid</w:t>
            </w:r>
            <w:r w:rsidRPr="00E47F58">
              <w:rPr>
                <w:rFonts w:ascii="Arial" w:hAnsi="Arial" w:cs="Arial"/>
                <w:color w:val="000000" w:themeColor="text1"/>
              </w:rPr>
              <w:tab/>
            </w:r>
          </w:p>
        </w:tc>
        <w:tc>
          <w:tcPr>
            <w:tcW w:w="1665" w:type="pct"/>
          </w:tcPr>
          <w:p w14:paraId="7C7156E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3.74(t)</w:t>
            </w:r>
          </w:p>
          <w:p w14:paraId="231F1E0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2.22(dd)</w:t>
            </w:r>
          </w:p>
          <w:p w14:paraId="7BCFCB2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2.04(m)</w:t>
            </w:r>
          </w:p>
        </w:tc>
      </w:tr>
      <w:tr w:rsidR="00EB6AE8" w:rsidRPr="00E47F58" w14:paraId="4EED8C14" w14:textId="77777777" w:rsidTr="003C2E9F">
        <w:trPr>
          <w:jc w:val="center"/>
        </w:trPr>
        <w:tc>
          <w:tcPr>
            <w:tcW w:w="941" w:type="pct"/>
          </w:tcPr>
          <w:p w14:paraId="7897C1B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15</w:t>
            </w:r>
          </w:p>
        </w:tc>
        <w:tc>
          <w:tcPr>
            <w:tcW w:w="2394" w:type="pct"/>
          </w:tcPr>
          <w:p w14:paraId="70EF861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Arginine</w:t>
            </w:r>
          </w:p>
        </w:tc>
        <w:tc>
          <w:tcPr>
            <w:tcW w:w="1665" w:type="pct"/>
          </w:tcPr>
          <w:p w14:paraId="2FF7D68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3.76(d)</w:t>
            </w:r>
          </w:p>
          <w:p w14:paraId="51EDDF7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3.23(t)</w:t>
            </w:r>
          </w:p>
          <w:p w14:paraId="2DA2E40C"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1.93(t)</w:t>
            </w:r>
          </w:p>
          <w:p w14:paraId="5D1377F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1.76(m)</w:t>
            </w:r>
          </w:p>
        </w:tc>
      </w:tr>
      <w:tr w:rsidR="00EB6AE8" w:rsidRPr="00E47F58" w14:paraId="4A13E298" w14:textId="77777777" w:rsidTr="003C2E9F">
        <w:trPr>
          <w:jc w:val="center"/>
        </w:trPr>
        <w:tc>
          <w:tcPr>
            <w:tcW w:w="941" w:type="pct"/>
          </w:tcPr>
          <w:p w14:paraId="0A23BD3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16</w:t>
            </w:r>
          </w:p>
        </w:tc>
        <w:tc>
          <w:tcPr>
            <w:tcW w:w="2394" w:type="pct"/>
          </w:tcPr>
          <w:p w14:paraId="181E108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Alanine</w:t>
            </w:r>
          </w:p>
        </w:tc>
        <w:tc>
          <w:tcPr>
            <w:tcW w:w="1665" w:type="pct"/>
          </w:tcPr>
          <w:p w14:paraId="546C5A4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1.5(d)</w:t>
            </w:r>
          </w:p>
          <w:p w14:paraId="5BCFB30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3.8(m)</w:t>
            </w:r>
          </w:p>
        </w:tc>
      </w:tr>
      <w:tr w:rsidR="00EB6AE8" w:rsidRPr="00E47F58" w14:paraId="4C2F10DA" w14:textId="77777777" w:rsidTr="003C2E9F">
        <w:trPr>
          <w:jc w:val="center"/>
        </w:trPr>
        <w:tc>
          <w:tcPr>
            <w:tcW w:w="941" w:type="pct"/>
          </w:tcPr>
          <w:p w14:paraId="77E8ACE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17</w:t>
            </w:r>
          </w:p>
        </w:tc>
        <w:tc>
          <w:tcPr>
            <w:tcW w:w="2394" w:type="pct"/>
          </w:tcPr>
          <w:p w14:paraId="343DB8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Valine</w:t>
            </w:r>
          </w:p>
        </w:tc>
        <w:tc>
          <w:tcPr>
            <w:tcW w:w="1665" w:type="pct"/>
          </w:tcPr>
          <w:p w14:paraId="3EDE5164"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3.6(d)</w:t>
            </w:r>
          </w:p>
          <w:p w14:paraId="71E544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12.3(m)</w:t>
            </w:r>
          </w:p>
          <w:p w14:paraId="037F781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1.0(d)</w:t>
            </w:r>
          </w:p>
        </w:tc>
      </w:tr>
      <w:tr w:rsidR="00EB6AE8" w:rsidRPr="00E47F58" w14:paraId="60484B28" w14:textId="77777777" w:rsidTr="003C2E9F">
        <w:trPr>
          <w:jc w:val="center"/>
        </w:trPr>
        <w:tc>
          <w:tcPr>
            <w:tcW w:w="941" w:type="pct"/>
          </w:tcPr>
          <w:p w14:paraId="44A656C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18</w:t>
            </w:r>
          </w:p>
        </w:tc>
        <w:tc>
          <w:tcPr>
            <w:tcW w:w="2394" w:type="pct"/>
          </w:tcPr>
          <w:p w14:paraId="3C5B28F8"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Stearic acid</w:t>
            </w:r>
          </w:p>
        </w:tc>
        <w:tc>
          <w:tcPr>
            <w:tcW w:w="1665" w:type="pct"/>
          </w:tcPr>
          <w:p w14:paraId="103F796E"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6E22217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2E69B389"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28194D5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1.55(m)</w:t>
            </w:r>
          </w:p>
          <w:p w14:paraId="6DB8A96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tc>
      </w:tr>
      <w:tr w:rsidR="00EB6AE8" w:rsidRPr="00E47F58" w14:paraId="1C086596" w14:textId="77777777" w:rsidTr="003C2E9F">
        <w:trPr>
          <w:jc w:val="center"/>
        </w:trPr>
        <w:tc>
          <w:tcPr>
            <w:tcW w:w="941" w:type="pct"/>
          </w:tcPr>
          <w:p w14:paraId="50781CE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19</w:t>
            </w:r>
          </w:p>
        </w:tc>
        <w:tc>
          <w:tcPr>
            <w:tcW w:w="2394" w:type="pct"/>
          </w:tcPr>
          <w:p w14:paraId="2AFA1F9D"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Linolenic acid</w:t>
            </w:r>
          </w:p>
        </w:tc>
        <w:tc>
          <w:tcPr>
            <w:tcW w:w="1665" w:type="pct"/>
          </w:tcPr>
          <w:p w14:paraId="589BA55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6624177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1.26(m)</w:t>
            </w:r>
          </w:p>
          <w:p w14:paraId="11A4DD9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7CD4B307"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5.30(m)</w:t>
            </w:r>
          </w:p>
          <w:p w14:paraId="06E50BF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5.34(m)</w:t>
            </w:r>
          </w:p>
        </w:tc>
      </w:tr>
      <w:tr w:rsidR="00EB6AE8" w:rsidRPr="00E47F58" w14:paraId="60D028D0" w14:textId="77777777" w:rsidTr="003C2E9F">
        <w:trPr>
          <w:jc w:val="center"/>
        </w:trPr>
        <w:tc>
          <w:tcPr>
            <w:tcW w:w="941" w:type="pct"/>
          </w:tcPr>
          <w:p w14:paraId="092DEC16"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20</w:t>
            </w:r>
          </w:p>
        </w:tc>
        <w:tc>
          <w:tcPr>
            <w:tcW w:w="2394" w:type="pct"/>
          </w:tcPr>
          <w:p w14:paraId="41C6AB2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Oleic acid</w:t>
            </w:r>
          </w:p>
        </w:tc>
        <w:tc>
          <w:tcPr>
            <w:tcW w:w="1665" w:type="pct"/>
          </w:tcPr>
          <w:p w14:paraId="7DA01875"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01D729E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367058D1"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δ 1.25(m)</w:t>
            </w:r>
          </w:p>
          <w:p w14:paraId="0F0C1D1A"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1.26(m)</w:t>
            </w:r>
          </w:p>
          <w:p w14:paraId="5EC52A6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p w14:paraId="4CF7FDC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5.33(m)</w:t>
            </w:r>
          </w:p>
        </w:tc>
      </w:tr>
      <w:tr w:rsidR="00EB6AE8" w:rsidRPr="00E47F58" w14:paraId="007B8268" w14:textId="77777777" w:rsidTr="003C2E9F">
        <w:trPr>
          <w:jc w:val="center"/>
        </w:trPr>
        <w:tc>
          <w:tcPr>
            <w:tcW w:w="941" w:type="pct"/>
          </w:tcPr>
          <w:p w14:paraId="2CBAAC2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lastRenderedPageBreak/>
              <w:t>21</w:t>
            </w:r>
          </w:p>
        </w:tc>
        <w:tc>
          <w:tcPr>
            <w:tcW w:w="2394" w:type="pct"/>
          </w:tcPr>
          <w:p w14:paraId="106A051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Palmitic acid</w:t>
            </w:r>
            <w:r w:rsidRPr="00E47F58">
              <w:rPr>
                <w:rFonts w:ascii="Arial" w:hAnsi="Arial" w:cs="Arial"/>
                <w:color w:val="000000" w:themeColor="text1"/>
              </w:rPr>
              <w:tab/>
            </w:r>
          </w:p>
        </w:tc>
        <w:tc>
          <w:tcPr>
            <w:tcW w:w="1665" w:type="pct"/>
          </w:tcPr>
          <w:p w14:paraId="4E5134EB"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0.86(t)</w:t>
            </w:r>
          </w:p>
          <w:p w14:paraId="1C67E9C0"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1.24(m)</w:t>
            </w:r>
          </w:p>
          <w:p w14:paraId="597F1E13"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1.25(m)</w:t>
            </w:r>
          </w:p>
          <w:p w14:paraId="7CB1A8FF"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1.55(m)</w:t>
            </w:r>
          </w:p>
          <w:p w14:paraId="46AD46A2" w14:textId="77777777" w:rsidR="00EB6AE8" w:rsidRPr="00E47F58" w:rsidRDefault="00EB6AE8" w:rsidP="00EB6AE8">
            <w:pPr>
              <w:pStyle w:val="NoSpacing"/>
              <w:rPr>
                <w:rFonts w:ascii="Arial" w:hAnsi="Arial" w:cs="Arial"/>
                <w:color w:val="000000" w:themeColor="text1"/>
              </w:rPr>
            </w:pPr>
            <w:r w:rsidRPr="00E47F58">
              <w:rPr>
                <w:rFonts w:ascii="Arial" w:hAnsi="Arial" w:cs="Arial"/>
                <w:color w:val="000000" w:themeColor="text1"/>
              </w:rPr>
              <w:t>δ 2.30(t)</w:t>
            </w:r>
          </w:p>
        </w:tc>
      </w:tr>
    </w:tbl>
    <w:p w14:paraId="1D46832F" w14:textId="77777777" w:rsidR="00EB6AE8" w:rsidRPr="00E47F58" w:rsidRDefault="00EB6AE8" w:rsidP="00EB6AE8">
      <w:pPr>
        <w:pStyle w:val="j"/>
        <w:rPr>
          <w:rFonts w:ascii="Arial" w:hAnsi="Arial" w:cs="Arial"/>
          <w:sz w:val="20"/>
          <w:szCs w:val="20"/>
        </w:rPr>
      </w:pPr>
    </w:p>
    <w:p w14:paraId="35236CC8" w14:textId="77777777" w:rsidR="00EB6AE8" w:rsidRPr="00E47F58" w:rsidRDefault="00EB6AE8" w:rsidP="00EB6AE8">
      <w:pPr>
        <w:pStyle w:val="j"/>
        <w:rPr>
          <w:rFonts w:ascii="Arial" w:hAnsi="Arial" w:cs="Arial"/>
          <w:sz w:val="20"/>
          <w:szCs w:val="20"/>
        </w:rPr>
      </w:pPr>
    </w:p>
    <w:p w14:paraId="2B10F74E" w14:textId="6BC4CA93" w:rsidR="00EB6AE8" w:rsidRPr="00E47F58" w:rsidRDefault="00A60DD7" w:rsidP="00E47F58">
      <w:pPr>
        <w:pStyle w:val="Heading3"/>
        <w:rPr>
          <w:sz w:val="20"/>
          <w:szCs w:val="20"/>
          <w:lang w:val="en-GB"/>
        </w:rPr>
      </w:pPr>
      <w:bookmarkStart w:id="37" w:name="_Toc49955759"/>
      <w:bookmarkStart w:id="38" w:name="_Toc50652450"/>
      <w:r>
        <w:rPr>
          <w:sz w:val="20"/>
          <w:szCs w:val="20"/>
          <w:lang w:val="en-GB"/>
        </w:rPr>
        <w:t>3.</w:t>
      </w:r>
      <w:r w:rsidR="004B090C" w:rsidRPr="00E47F58">
        <w:rPr>
          <w:sz w:val="20"/>
          <w:szCs w:val="20"/>
          <w:lang w:val="en-GB"/>
        </w:rPr>
        <w:t>4</w:t>
      </w:r>
      <w:r w:rsidR="004B090C" w:rsidRPr="00E47F58">
        <w:rPr>
          <w:sz w:val="20"/>
          <w:szCs w:val="20"/>
          <w:lang w:val="en-GB"/>
        </w:rPr>
        <w:tab/>
      </w:r>
      <w:r w:rsidR="00EB6AE8" w:rsidRPr="00E47F58">
        <w:rPr>
          <w:sz w:val="20"/>
          <w:szCs w:val="20"/>
          <w:lang w:val="en-GB"/>
        </w:rPr>
        <w:t>Effect of environment on the experimental fish</w:t>
      </w:r>
      <w:bookmarkEnd w:id="37"/>
      <w:bookmarkEnd w:id="38"/>
    </w:p>
    <w:p w14:paraId="44EC47D6" w14:textId="77777777" w:rsidR="00EB6AE8" w:rsidRPr="00E47F58" w:rsidRDefault="00EB6AE8" w:rsidP="00851556">
      <w:pPr>
        <w:pStyle w:val="single"/>
        <w:rPr>
          <w:rFonts w:ascii="Arial" w:hAnsi="Arial" w:cs="Arial"/>
          <w:sz w:val="20"/>
          <w:szCs w:val="20"/>
          <w:lang w:val="en-GB"/>
        </w:rPr>
      </w:pPr>
      <w:r w:rsidRPr="00E47F58">
        <w:rPr>
          <w:rFonts w:ascii="Arial" w:hAnsi="Arial" w:cs="Arial"/>
          <w:sz w:val="20"/>
          <w:szCs w:val="20"/>
          <w:lang w:val="en-GB"/>
        </w:rPr>
        <w:t>In order to rule out the possibility of environmental factors that might have affected observations during the experiment with fish, a set of randomly selected 6 fish were sacrificed at zero-day (0D) point and was sampled for NMR analysis before the beginning of the experiment. The results of NMR analysis from these fish spleen (0D) were then compared with that of control fish (CF) at the e</w:t>
      </w:r>
      <w:r w:rsidR="00355A2E" w:rsidRPr="00E47F58">
        <w:rPr>
          <w:rFonts w:ascii="Arial" w:hAnsi="Arial" w:cs="Arial"/>
          <w:sz w:val="20"/>
          <w:szCs w:val="20"/>
          <w:lang w:val="en-GB"/>
        </w:rPr>
        <w:t>nd of the experiment. Figure 5</w:t>
      </w:r>
      <w:r w:rsidRPr="00E47F58">
        <w:rPr>
          <w:rFonts w:ascii="Arial" w:hAnsi="Arial" w:cs="Arial"/>
          <w:sz w:val="20"/>
          <w:szCs w:val="20"/>
          <w:lang w:val="en-GB"/>
        </w:rPr>
        <w:t xml:space="preserve"> shows the PCA score plot of the zero-day fish (0D) and the control fish (CF). The model gives a total fitness, R2X of 0.92 and predictability, Q2 of 0.501.</w:t>
      </w:r>
    </w:p>
    <w:p w14:paraId="378CAC6E" w14:textId="2145557C" w:rsidR="00EB6AE8" w:rsidRPr="00E47F58" w:rsidRDefault="00455D82" w:rsidP="00851556">
      <w:pPr>
        <w:spacing w:after="0"/>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BE39517" wp14:editId="3C5FA509">
            <wp:extent cx="5886964" cy="33761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8742" cy="3388652"/>
                    </a:xfrm>
                    <a:prstGeom prst="rect">
                      <a:avLst/>
                    </a:prstGeom>
                    <a:noFill/>
                  </pic:spPr>
                </pic:pic>
              </a:graphicData>
            </a:graphic>
          </wp:inline>
        </w:drawing>
      </w:r>
    </w:p>
    <w:p w14:paraId="2ABFC54A" w14:textId="77777777" w:rsidR="00EB6AE8" w:rsidRPr="00E47F58" w:rsidRDefault="00EB6AE8" w:rsidP="00851556">
      <w:pPr>
        <w:pStyle w:val="Caption"/>
        <w:rPr>
          <w:rFonts w:ascii="Arial" w:hAnsi="Arial" w:cs="Arial"/>
          <w:sz w:val="20"/>
          <w:szCs w:val="20"/>
          <w:lang w:val="en-GB"/>
        </w:rPr>
      </w:pPr>
      <w:bookmarkStart w:id="39" w:name="_Toc50653941"/>
      <w:r w:rsidRPr="00E47F58">
        <w:rPr>
          <w:rFonts w:ascii="Arial" w:hAnsi="Arial" w:cs="Arial"/>
          <w:sz w:val="20"/>
          <w:szCs w:val="20"/>
        </w:rPr>
        <w:t>Figure</w:t>
      </w:r>
      <w:r w:rsidR="00355A2E"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5</w:t>
      </w:r>
      <w:r w:rsidR="0022766E" w:rsidRPr="00E47F58">
        <w:rPr>
          <w:rFonts w:ascii="Arial" w:hAnsi="Arial" w:cs="Arial"/>
          <w:noProof/>
          <w:sz w:val="20"/>
          <w:szCs w:val="20"/>
        </w:rPr>
        <w:fldChar w:fldCharType="end"/>
      </w:r>
      <w:r w:rsidRPr="00E47F58">
        <w:rPr>
          <w:rFonts w:ascii="Arial" w:hAnsi="Arial" w:cs="Arial"/>
          <w:sz w:val="20"/>
          <w:szCs w:val="20"/>
        </w:rPr>
        <w:t xml:space="preserve"> : </w:t>
      </w:r>
      <w:r w:rsidRPr="00E47F58">
        <w:rPr>
          <w:rFonts w:ascii="Arial" w:hAnsi="Arial" w:cs="Arial"/>
          <w:sz w:val="20"/>
          <w:szCs w:val="20"/>
          <w:lang w:val="en-GB"/>
        </w:rPr>
        <w:t>PCA score plot of the zero-day fish (0-D) and the c</w:t>
      </w:r>
      <w:r w:rsidR="004737B8" w:rsidRPr="00E47F58">
        <w:rPr>
          <w:rFonts w:ascii="Arial" w:hAnsi="Arial" w:cs="Arial"/>
          <w:sz w:val="20"/>
          <w:szCs w:val="20"/>
          <w:lang w:val="en-GB"/>
        </w:rPr>
        <w:t>ontrol fish (CF) showing no</w:t>
      </w:r>
      <w:r w:rsidRPr="00E47F58">
        <w:rPr>
          <w:rFonts w:ascii="Arial" w:hAnsi="Arial" w:cs="Arial"/>
          <w:sz w:val="20"/>
          <w:szCs w:val="20"/>
          <w:lang w:val="en-GB"/>
        </w:rPr>
        <w:t xml:space="preserve"> effect of environment on the experimental fish</w:t>
      </w:r>
      <w:bookmarkEnd w:id="39"/>
      <w:r w:rsidR="00851556" w:rsidRPr="00E47F58">
        <w:rPr>
          <w:rFonts w:ascii="Arial" w:hAnsi="Arial" w:cs="Arial"/>
          <w:sz w:val="20"/>
          <w:szCs w:val="20"/>
          <w:lang w:val="en-GB"/>
        </w:rPr>
        <w:t>.</w:t>
      </w:r>
    </w:p>
    <w:p w14:paraId="1A006CBF" w14:textId="77777777" w:rsidR="00EB6AE8" w:rsidRPr="00E47F58" w:rsidRDefault="00EB6AE8" w:rsidP="00EB6AE8">
      <w:pPr>
        <w:pStyle w:val="j"/>
        <w:rPr>
          <w:rFonts w:ascii="Arial" w:hAnsi="Arial" w:cs="Arial"/>
          <w:sz w:val="20"/>
          <w:szCs w:val="20"/>
          <w:lang w:val="en-GB"/>
        </w:rPr>
      </w:pPr>
    </w:p>
    <w:p w14:paraId="1D588C18" w14:textId="56D4AE02"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From the PCA score plot, it can be observed that th</w:t>
      </w:r>
      <w:r w:rsidR="0070353A">
        <w:rPr>
          <w:rFonts w:ascii="Arial" w:hAnsi="Arial" w:cs="Arial"/>
          <w:sz w:val="20"/>
          <w:szCs w:val="20"/>
        </w:rPr>
        <w:t xml:space="preserve">e fish from 0D and CF groups </w:t>
      </w:r>
      <w:r w:rsidR="0070353A" w:rsidRPr="0070353A">
        <w:rPr>
          <w:rFonts w:ascii="Arial" w:hAnsi="Arial" w:cs="Arial"/>
          <w:sz w:val="20"/>
          <w:szCs w:val="20"/>
          <w:highlight w:val="magenta"/>
        </w:rPr>
        <w:t>were clustered</w:t>
      </w:r>
      <w:r w:rsidR="00355A2E" w:rsidRPr="00E47F58">
        <w:rPr>
          <w:rFonts w:ascii="Arial" w:hAnsi="Arial" w:cs="Arial"/>
          <w:sz w:val="20"/>
          <w:szCs w:val="20"/>
        </w:rPr>
        <w:t xml:space="preserve"> together near the origin without</w:t>
      </w:r>
      <w:r w:rsidRPr="00E47F58">
        <w:rPr>
          <w:rFonts w:ascii="Arial" w:hAnsi="Arial" w:cs="Arial"/>
          <w:sz w:val="20"/>
          <w:szCs w:val="20"/>
        </w:rPr>
        <w:t xml:space="preserve"> obvious separation between them. This indicate</w:t>
      </w:r>
      <w:r w:rsidR="00355A2E" w:rsidRPr="00E47F58">
        <w:rPr>
          <w:rFonts w:ascii="Arial" w:hAnsi="Arial" w:cs="Arial"/>
          <w:sz w:val="20"/>
          <w:szCs w:val="20"/>
        </w:rPr>
        <w:t>s</w:t>
      </w:r>
      <w:r w:rsidRPr="00E47F58">
        <w:rPr>
          <w:rFonts w:ascii="Arial" w:hAnsi="Arial" w:cs="Arial"/>
          <w:sz w:val="20"/>
          <w:szCs w:val="20"/>
        </w:rPr>
        <w:t xml:space="preserve"> that there was no difference in the metabolome of fish </w:t>
      </w:r>
      <w:r w:rsidRPr="00E47F58">
        <w:rPr>
          <w:rFonts w:ascii="Arial" w:hAnsi="Arial" w:cs="Arial"/>
          <w:sz w:val="20"/>
          <w:szCs w:val="20"/>
          <w:lang w:val="en-GB"/>
        </w:rPr>
        <w:t xml:space="preserve">at the beginning and </w:t>
      </w:r>
      <w:r w:rsidR="00355A2E" w:rsidRPr="00E47F58">
        <w:rPr>
          <w:rFonts w:ascii="Arial" w:hAnsi="Arial" w:cs="Arial"/>
          <w:sz w:val="20"/>
          <w:szCs w:val="20"/>
          <w:lang w:val="en-GB"/>
        </w:rPr>
        <w:t xml:space="preserve">at the </w:t>
      </w:r>
      <w:r w:rsidRPr="00E47F58">
        <w:rPr>
          <w:rFonts w:ascii="Arial" w:hAnsi="Arial" w:cs="Arial"/>
          <w:sz w:val="20"/>
          <w:szCs w:val="20"/>
          <w:lang w:val="en-GB"/>
        </w:rPr>
        <w:t>end</w:t>
      </w:r>
      <w:r w:rsidRPr="00E47F58">
        <w:rPr>
          <w:rFonts w:ascii="Arial" w:hAnsi="Arial" w:cs="Arial"/>
          <w:sz w:val="20"/>
          <w:szCs w:val="20"/>
        </w:rPr>
        <w:t xml:space="preserve"> </w:t>
      </w:r>
      <w:r w:rsidRPr="00E47F58">
        <w:rPr>
          <w:rFonts w:ascii="Arial" w:hAnsi="Arial" w:cs="Arial"/>
          <w:sz w:val="20"/>
          <w:szCs w:val="20"/>
          <w:lang w:val="en-GB"/>
        </w:rPr>
        <w:t>of the experiment</w:t>
      </w:r>
      <w:r w:rsidRPr="00E47F58" w:rsidDel="004017E5">
        <w:rPr>
          <w:rFonts w:ascii="Arial" w:hAnsi="Arial" w:cs="Arial"/>
          <w:sz w:val="20"/>
          <w:szCs w:val="20"/>
          <w:lang w:val="en-GB"/>
        </w:rPr>
        <w:t xml:space="preserve"> </w:t>
      </w:r>
      <w:r w:rsidR="00355A2E" w:rsidRPr="00E47F58">
        <w:rPr>
          <w:rFonts w:ascii="Arial" w:hAnsi="Arial" w:cs="Arial"/>
          <w:sz w:val="20"/>
          <w:szCs w:val="20"/>
          <w:lang w:val="en-GB"/>
        </w:rPr>
        <w:t xml:space="preserve">regardless of group (Figure </w:t>
      </w:r>
      <w:r w:rsidRPr="00E47F58">
        <w:rPr>
          <w:rFonts w:ascii="Arial" w:hAnsi="Arial" w:cs="Arial"/>
          <w:sz w:val="20"/>
          <w:szCs w:val="20"/>
          <w:lang w:val="en-GB"/>
        </w:rPr>
        <w:t xml:space="preserve">5). Hence, there was no effect of environment on the overall experimental fish and none </w:t>
      </w:r>
      <w:r w:rsidR="0070353A" w:rsidRPr="0070353A">
        <w:rPr>
          <w:rFonts w:ascii="Arial" w:hAnsi="Arial" w:cs="Arial"/>
          <w:sz w:val="20"/>
          <w:szCs w:val="20"/>
          <w:highlight w:val="magenta"/>
          <w:lang w:val="en-GB"/>
        </w:rPr>
        <w:t>has</w:t>
      </w:r>
      <w:r w:rsidR="0070353A">
        <w:rPr>
          <w:rFonts w:ascii="Arial" w:hAnsi="Arial" w:cs="Arial"/>
          <w:sz w:val="20"/>
          <w:szCs w:val="20"/>
          <w:lang w:val="en-GB"/>
        </w:rPr>
        <w:t xml:space="preserve"> </w:t>
      </w:r>
      <w:r w:rsidRPr="00E47F58">
        <w:rPr>
          <w:rFonts w:ascii="Arial" w:hAnsi="Arial" w:cs="Arial"/>
          <w:sz w:val="20"/>
          <w:szCs w:val="20"/>
          <w:lang w:val="en-GB"/>
        </w:rPr>
        <w:t>affected the results generated at the end of the experiment</w:t>
      </w:r>
      <w:r w:rsidR="00211438" w:rsidRPr="00E47F58">
        <w:rPr>
          <w:rFonts w:ascii="Arial" w:hAnsi="Arial" w:cs="Arial"/>
          <w:sz w:val="20"/>
          <w:szCs w:val="20"/>
          <w:lang w:val="en-GB"/>
        </w:rPr>
        <w:t xml:space="preserve"> (all experimental fish were not affected by the environ</w:t>
      </w:r>
      <w:r w:rsidR="0070353A">
        <w:rPr>
          <w:rFonts w:ascii="Arial" w:hAnsi="Arial" w:cs="Arial"/>
          <w:sz w:val="20"/>
          <w:szCs w:val="20"/>
          <w:lang w:val="en-GB"/>
        </w:rPr>
        <w:t xml:space="preserve">ment </w:t>
      </w:r>
      <w:r w:rsidR="0070353A" w:rsidRPr="0070353A">
        <w:rPr>
          <w:rFonts w:ascii="Arial" w:hAnsi="Arial" w:cs="Arial"/>
          <w:sz w:val="20"/>
          <w:szCs w:val="20"/>
          <w:highlight w:val="magenta"/>
          <w:lang w:val="en-GB"/>
        </w:rPr>
        <w:t>throughout</w:t>
      </w:r>
      <w:r w:rsidR="0070353A">
        <w:rPr>
          <w:rFonts w:ascii="Arial" w:hAnsi="Arial" w:cs="Arial"/>
          <w:sz w:val="20"/>
          <w:szCs w:val="20"/>
          <w:lang w:val="en-GB"/>
        </w:rPr>
        <w:t xml:space="preserve"> </w:t>
      </w:r>
      <w:r w:rsidR="00211438" w:rsidRPr="00E47F58">
        <w:rPr>
          <w:rFonts w:ascii="Arial" w:hAnsi="Arial" w:cs="Arial"/>
          <w:sz w:val="20"/>
          <w:szCs w:val="20"/>
          <w:lang w:val="en-GB"/>
        </w:rPr>
        <w:t>the experiment)</w:t>
      </w:r>
      <w:r w:rsidRPr="00E47F58">
        <w:rPr>
          <w:rFonts w:ascii="Arial" w:hAnsi="Arial" w:cs="Arial"/>
          <w:sz w:val="20"/>
          <w:szCs w:val="20"/>
          <w:lang w:val="en-GB"/>
        </w:rPr>
        <w:t>.</w:t>
      </w:r>
    </w:p>
    <w:p w14:paraId="69032ABD" w14:textId="41DD870F" w:rsidR="00EB6AE8" w:rsidRPr="00E47F58" w:rsidRDefault="00A60DD7" w:rsidP="00E47F58">
      <w:pPr>
        <w:pStyle w:val="Heading3"/>
        <w:rPr>
          <w:sz w:val="20"/>
          <w:szCs w:val="20"/>
          <w:lang w:val="en-GB"/>
        </w:rPr>
      </w:pPr>
      <w:bookmarkStart w:id="40" w:name="_Toc49955760"/>
      <w:bookmarkStart w:id="41" w:name="_Toc50652451"/>
      <w:r>
        <w:rPr>
          <w:sz w:val="20"/>
          <w:szCs w:val="20"/>
          <w:lang w:val="en-GB"/>
        </w:rPr>
        <w:lastRenderedPageBreak/>
        <w:t>3.</w:t>
      </w:r>
      <w:r w:rsidR="004B090C" w:rsidRPr="00E47F58">
        <w:rPr>
          <w:sz w:val="20"/>
          <w:szCs w:val="20"/>
          <w:lang w:val="en-GB"/>
        </w:rPr>
        <w:t>5</w:t>
      </w:r>
      <w:r w:rsidR="004B090C" w:rsidRPr="00E47F58">
        <w:rPr>
          <w:sz w:val="20"/>
          <w:szCs w:val="20"/>
          <w:lang w:val="en-GB"/>
        </w:rPr>
        <w:tab/>
      </w:r>
      <w:r w:rsidR="00EB6AE8" w:rsidRPr="00E47F58">
        <w:rPr>
          <w:sz w:val="20"/>
          <w:szCs w:val="20"/>
          <w:lang w:val="en-GB"/>
        </w:rPr>
        <w:t xml:space="preserve">Effect of </w:t>
      </w:r>
      <w:r w:rsidR="00EB6AE8" w:rsidRPr="00E47F58">
        <w:rPr>
          <w:i/>
          <w:iCs/>
          <w:sz w:val="20"/>
          <w:szCs w:val="20"/>
          <w:lang w:val="en-GB"/>
        </w:rPr>
        <w:t>Chlorella vulgaris</w:t>
      </w:r>
      <w:r w:rsidR="00EB6AE8" w:rsidRPr="00E47F58">
        <w:rPr>
          <w:sz w:val="20"/>
          <w:szCs w:val="20"/>
          <w:lang w:val="en-GB"/>
        </w:rPr>
        <w:t xml:space="preserve"> on experimental fish</w:t>
      </w:r>
      <w:bookmarkEnd w:id="40"/>
      <w:bookmarkEnd w:id="41"/>
    </w:p>
    <w:p w14:paraId="398B9371" w14:textId="63DEAD36" w:rsidR="00EB6AE8" w:rsidRPr="00E47F58" w:rsidRDefault="00211438" w:rsidP="00EB6AE8">
      <w:pPr>
        <w:pStyle w:val="single"/>
        <w:rPr>
          <w:rFonts w:ascii="Arial" w:hAnsi="Arial" w:cs="Arial"/>
          <w:sz w:val="20"/>
          <w:szCs w:val="20"/>
          <w:lang w:val="en-GB"/>
        </w:rPr>
      </w:pPr>
      <w:r w:rsidRPr="00E47F58">
        <w:rPr>
          <w:rFonts w:ascii="Arial" w:hAnsi="Arial" w:cs="Arial"/>
          <w:sz w:val="20"/>
          <w:szCs w:val="20"/>
          <w:lang w:val="en-GB"/>
        </w:rPr>
        <w:t>It was previously established</w:t>
      </w:r>
      <w:r w:rsidR="00EB6AE8" w:rsidRPr="00E47F58">
        <w:rPr>
          <w:rFonts w:ascii="Arial" w:hAnsi="Arial" w:cs="Arial"/>
          <w:sz w:val="20"/>
          <w:szCs w:val="20"/>
          <w:lang w:val="en-GB"/>
        </w:rPr>
        <w:t xml:space="preserve"> that modulation of some biochemical pathways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w:t>
      </w:r>
      <w:r w:rsidR="00EB6AE8" w:rsidRPr="00E47F58">
        <w:rPr>
          <w:rFonts w:ascii="Arial" w:hAnsi="Arial" w:cs="Arial"/>
          <w:i/>
          <w:iCs/>
          <w:sz w:val="20"/>
          <w:szCs w:val="20"/>
          <w:lang w:val="en-GB"/>
        </w:rPr>
        <w:t xml:space="preserve"> </w:t>
      </w:r>
      <w:r w:rsidR="00EB6AE8" w:rsidRPr="00E47F58">
        <w:rPr>
          <w:rFonts w:ascii="Arial" w:hAnsi="Arial" w:cs="Arial"/>
          <w:sz w:val="20"/>
          <w:szCs w:val="20"/>
          <w:lang w:val="en-GB"/>
        </w:rPr>
        <w:t>led to immune improvements in tilapia</w:t>
      </w:r>
      <w:r w:rsidRPr="00E47F58">
        <w:rPr>
          <w:rFonts w:ascii="Arial" w:hAnsi="Arial" w:cs="Arial"/>
          <w:sz w:val="20"/>
          <w:szCs w:val="20"/>
          <w:lang w:val="en-GB"/>
        </w:rPr>
        <w:t xml:space="preserve"> </w:t>
      </w:r>
      <w:r w:rsidR="00B17C01" w:rsidRPr="00E47F58">
        <w:rPr>
          <w:rFonts w:ascii="Arial" w:hAnsi="Arial" w:cs="Arial"/>
          <w:sz w:val="20"/>
          <w:szCs w:val="20"/>
          <w:lang w:val="en-GB"/>
        </w:rPr>
        <w:fldChar w:fldCharType="begin" w:fldLock="1"/>
      </w:r>
      <w:r w:rsidR="00E51220">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B17C01" w:rsidRPr="00E47F58">
        <w:rPr>
          <w:rFonts w:ascii="Arial" w:hAnsi="Arial" w:cs="Arial"/>
          <w:sz w:val="20"/>
          <w:szCs w:val="20"/>
          <w:lang w:val="en-GB"/>
        </w:rPr>
        <w:fldChar w:fldCharType="separate"/>
      </w:r>
      <w:r w:rsidR="00E51220" w:rsidRPr="00E51220">
        <w:rPr>
          <w:rFonts w:ascii="Arial" w:hAnsi="Arial" w:cs="Arial"/>
          <w:noProof/>
          <w:sz w:val="20"/>
          <w:szCs w:val="20"/>
          <w:lang w:val="en-GB"/>
        </w:rPr>
        <w:t>(Pantami et al., 2023)</w:t>
      </w:r>
      <w:r w:rsidR="00B17C01" w:rsidRPr="00E47F58">
        <w:rPr>
          <w:rFonts w:ascii="Arial" w:hAnsi="Arial" w:cs="Arial"/>
          <w:sz w:val="20"/>
          <w:szCs w:val="20"/>
          <w:lang w:val="en-GB"/>
        </w:rPr>
        <w:fldChar w:fldCharType="end"/>
      </w:r>
      <w:r w:rsidR="00B17C01" w:rsidRPr="00E47F58">
        <w:rPr>
          <w:rFonts w:ascii="Arial" w:hAnsi="Arial" w:cs="Arial"/>
          <w:sz w:val="20"/>
          <w:szCs w:val="20"/>
          <w:lang w:val="en-GB"/>
        </w:rPr>
        <w:t>. In the present experiment</w:t>
      </w:r>
      <w:r w:rsidR="00EB6AE8" w:rsidRPr="00E47F58">
        <w:rPr>
          <w:rFonts w:ascii="Arial" w:hAnsi="Arial" w:cs="Arial"/>
          <w:sz w:val="20"/>
          <w:szCs w:val="20"/>
          <w:lang w:val="en-GB"/>
        </w:rPr>
        <w:t xml:space="preserve">, it was designed to show the </w:t>
      </w:r>
      <w:r w:rsidR="00B17C01" w:rsidRPr="00E47F58">
        <w:rPr>
          <w:rFonts w:ascii="Arial" w:hAnsi="Arial" w:cs="Arial"/>
          <w:sz w:val="20"/>
          <w:szCs w:val="20"/>
          <w:lang w:val="en-GB"/>
        </w:rPr>
        <w:t xml:space="preserve">detected </w:t>
      </w:r>
      <w:r w:rsidR="00EB6AE8" w:rsidRPr="00E47F58">
        <w:rPr>
          <w:rFonts w:ascii="Arial" w:hAnsi="Arial" w:cs="Arial"/>
          <w:sz w:val="20"/>
          <w:szCs w:val="20"/>
          <w:lang w:val="en-GB"/>
        </w:rPr>
        <w:t>metabolite fold changes as a result of incorporating a single concentration of</w:t>
      </w:r>
      <w:r w:rsidR="00B17C01" w:rsidRPr="00E47F58">
        <w:rPr>
          <w:rFonts w:ascii="Arial" w:hAnsi="Arial" w:cs="Arial"/>
          <w:sz w:val="20"/>
          <w:szCs w:val="20"/>
          <w:lang w:val="en-GB"/>
        </w:rPr>
        <w:t xml:space="preserve"> 125 mg/kg </w:t>
      </w:r>
      <w:proofErr w:type="spellStart"/>
      <w:r w:rsidR="00B17C01" w:rsidRPr="00E47F58">
        <w:rPr>
          <w:rFonts w:ascii="Arial" w:hAnsi="Arial" w:cs="Arial"/>
          <w:sz w:val="20"/>
          <w:szCs w:val="20"/>
          <w:lang w:val="en-GB"/>
        </w:rPr>
        <w:t>bw</w:t>
      </w:r>
      <w:proofErr w:type="spellEnd"/>
      <w:r w:rsidR="00B17C01" w:rsidRPr="00E47F58">
        <w:rPr>
          <w:rFonts w:ascii="Arial" w:hAnsi="Arial" w:cs="Arial"/>
          <w:sz w:val="20"/>
          <w:szCs w:val="20"/>
          <w:lang w:val="en-GB"/>
        </w:rPr>
        <w:t xml:space="preserve"> into fish feed</w:t>
      </w:r>
      <w:r w:rsidR="00EB6AE8" w:rsidRPr="00E47F58">
        <w:rPr>
          <w:rFonts w:ascii="Arial" w:hAnsi="Arial" w:cs="Arial"/>
          <w:sz w:val="20"/>
          <w:szCs w:val="20"/>
          <w:lang w:val="en-GB"/>
        </w:rPr>
        <w:t xml:space="preserve"> fed for 3 weeks in a prophylactic experiment. The MV</w:t>
      </w:r>
      <w:r w:rsidR="00B17C01" w:rsidRPr="00E47F58">
        <w:rPr>
          <w:rFonts w:ascii="Arial" w:hAnsi="Arial" w:cs="Arial"/>
          <w:sz w:val="20"/>
          <w:szCs w:val="20"/>
          <w:lang w:val="en-GB"/>
        </w:rPr>
        <w:t>D</w:t>
      </w:r>
      <w:r w:rsidR="00EB6AE8" w:rsidRPr="00E47F58">
        <w:rPr>
          <w:rFonts w:ascii="Arial" w:hAnsi="Arial" w:cs="Arial"/>
          <w:sz w:val="20"/>
          <w:szCs w:val="20"/>
          <w:lang w:val="en-GB"/>
        </w:rPr>
        <w:t>A was conducted with reference to the identified VIP metabolites because they have high hits and impact factors in the relevant analysed pathways</w:t>
      </w:r>
      <w:r w:rsidR="00B17C01" w:rsidRPr="00E47F58">
        <w:rPr>
          <w:rFonts w:ascii="Arial" w:hAnsi="Arial" w:cs="Arial"/>
          <w:sz w:val="20"/>
          <w:szCs w:val="20"/>
          <w:lang w:val="en-GB"/>
        </w:rPr>
        <w:t xml:space="preserve"> </w:t>
      </w:r>
      <w:r w:rsidR="00B17C01" w:rsidRPr="00E47F58">
        <w:rPr>
          <w:rFonts w:ascii="Arial" w:hAnsi="Arial" w:cs="Arial"/>
          <w:sz w:val="20"/>
          <w:szCs w:val="20"/>
          <w:lang w:val="en-GB"/>
        </w:rPr>
        <w:fldChar w:fldCharType="begin" w:fldLock="1"/>
      </w:r>
      <w:r w:rsidR="00E51220">
        <w:rPr>
          <w:rFonts w:ascii="Arial" w:hAnsi="Arial" w:cs="Arial"/>
          <w:sz w:val="20"/>
          <w:szCs w:val="20"/>
          <w:lang w:val="en-GB"/>
        </w:rPr>
        <w:instrText>ADDIN CSL_CITATION {"citationItems":[{"id":"ITEM-1","itemData":{"DOI":"10.56892/bima.v7i01.396","author":[{"dropping-particle":"","family":"Pantami","given":"Hamza Ahmed","non-dropping-particle":"","parse-names":false,"suffix":""},{"dropping-particle":"","family":"Safwan","given":"Muhammad","non-dropping-particle":"","parse-names":false,"suffix":""},{"dropping-particle":"","family":"Bustamam","given":"Ahamad","non-dropping-particle":"","parse-names":false,"suffix":""},{"dropping-particle":"","family":"Min","given":"Chong Chou","non-dropping-particle":"","parse-names":false,"suffix":""},{"dropping-particle":"","family":"Ismail","given":"Intan Safinar","non-dropping-particle":"","parse-names":false,"suffix":""},{"dropping-particle":"","family":"Lee","given":"Soo Yee","non-dropping-particle":"","parse-names":false,"suffix":""},{"dropping-particle":"","family":"Abubakar","given":"Samaila","non-dropping-particle":"","parse-names":false,"suffix":""},{"dropping-particle":"","family":"Mohammed","given":"Usman Yakubu","non-dropping-particle":"","parse-names":false,"suffix":""}],"container-title":"Bima Journal of Science and Technology","id":"ITEM-1","issue":"1","issued":{"date-parts":[["2023"]]},"page":"165-189","title":"Integration of Spleen 1H NMR-Based Metabolomics Revealed the Immunomodulatory Effect of Chlorella vulgaris on Nile Tilapia (Oreochromis niloticus)","type":"article-journal","volume":"7"},"uris":["http://www.mendeley.com/documents/?uuid=1bbcbe67-81d3-4c86-972d-12b5b9b8bb5e"]}],"mendeley":{"formattedCitation":"(Pantami et al., 2023)","plainTextFormattedCitation":"(Pantami et al., 2023)","previouslyFormattedCitation":"(Pantami et al. 2023)"},"properties":{"noteIndex":0},"schema":"https://github.com/citation-style-language/schema/raw/master/csl-citation.json"}</w:instrText>
      </w:r>
      <w:r w:rsidR="00B17C01" w:rsidRPr="00E47F58">
        <w:rPr>
          <w:rFonts w:ascii="Arial" w:hAnsi="Arial" w:cs="Arial"/>
          <w:sz w:val="20"/>
          <w:szCs w:val="20"/>
          <w:lang w:val="en-GB"/>
        </w:rPr>
        <w:fldChar w:fldCharType="separate"/>
      </w:r>
      <w:r w:rsidR="00E51220" w:rsidRPr="00E51220">
        <w:rPr>
          <w:rFonts w:ascii="Arial" w:hAnsi="Arial" w:cs="Arial"/>
          <w:noProof/>
          <w:sz w:val="20"/>
          <w:szCs w:val="20"/>
          <w:lang w:val="en-GB"/>
        </w:rPr>
        <w:t>(Pantami et al., 2023)</w:t>
      </w:r>
      <w:r w:rsidR="00B17C01" w:rsidRPr="00E47F58">
        <w:rPr>
          <w:rFonts w:ascii="Arial" w:hAnsi="Arial" w:cs="Arial"/>
          <w:sz w:val="20"/>
          <w:szCs w:val="20"/>
          <w:lang w:val="en-GB"/>
        </w:rPr>
        <w:fldChar w:fldCharType="end"/>
      </w:r>
      <w:r w:rsidR="00EB6AE8" w:rsidRPr="00E47F58">
        <w:rPr>
          <w:rFonts w:ascii="Arial" w:hAnsi="Arial" w:cs="Arial"/>
          <w:sz w:val="20"/>
          <w:szCs w:val="20"/>
          <w:lang w:val="en-GB"/>
        </w:rPr>
        <w:t>.</w:t>
      </w:r>
    </w:p>
    <w:p w14:paraId="3AA4166A" w14:textId="77777777" w:rsidR="00EB6AE8" w:rsidRPr="00E47F58" w:rsidRDefault="00EB6AE8" w:rsidP="00EB6AE8">
      <w:pPr>
        <w:rPr>
          <w:rFonts w:ascii="Arial" w:hAnsi="Arial" w:cs="Arial"/>
          <w:color w:val="000000" w:themeColor="text1"/>
          <w:sz w:val="20"/>
          <w:szCs w:val="20"/>
          <w:lang w:val="en-GB"/>
        </w:rPr>
      </w:pPr>
    </w:p>
    <w:p w14:paraId="43FCBB79" w14:textId="77777777" w:rsidR="00EB6AE8" w:rsidRPr="00E47F58" w:rsidRDefault="00EB6AE8" w:rsidP="00EB6AE8">
      <w:pPr>
        <w:rPr>
          <w:rFonts w:ascii="Arial" w:hAnsi="Arial" w:cs="Arial"/>
          <w:color w:val="000000" w:themeColor="text1"/>
          <w:sz w:val="20"/>
          <w:szCs w:val="20"/>
          <w:lang w:val="en-GB"/>
        </w:rPr>
      </w:pPr>
    </w:p>
    <w:p w14:paraId="51B0D810" w14:textId="77777777" w:rsidR="00EB6AE8" w:rsidRPr="00E47F58" w:rsidRDefault="00EB6AE8" w:rsidP="00EB6AE8">
      <w:pPr>
        <w:rPr>
          <w:rFonts w:ascii="Arial" w:hAnsi="Arial" w:cs="Arial"/>
          <w:color w:val="000000" w:themeColor="text1"/>
          <w:sz w:val="20"/>
          <w:szCs w:val="20"/>
          <w:lang w:val="en-GB"/>
        </w:rPr>
      </w:pPr>
    </w:p>
    <w:p w14:paraId="085DC61E" w14:textId="77777777" w:rsidR="00EB6AE8" w:rsidRPr="00E47F58" w:rsidRDefault="00EB6AE8" w:rsidP="00EB6AE8">
      <w:pPr>
        <w:rPr>
          <w:rFonts w:ascii="Arial" w:hAnsi="Arial" w:cs="Arial"/>
          <w:color w:val="000000" w:themeColor="text1"/>
          <w:sz w:val="20"/>
          <w:szCs w:val="20"/>
          <w:lang w:val="en-GB"/>
        </w:rPr>
      </w:pPr>
    </w:p>
    <w:p w14:paraId="10861A62" w14:textId="77777777" w:rsidR="00EB6AE8" w:rsidRPr="00E47F58" w:rsidRDefault="00EB6AE8" w:rsidP="00EB6AE8">
      <w:pPr>
        <w:rPr>
          <w:rFonts w:ascii="Arial" w:hAnsi="Arial" w:cs="Arial"/>
          <w:color w:val="000000" w:themeColor="text1"/>
          <w:sz w:val="20"/>
          <w:szCs w:val="20"/>
          <w:lang w:val="en-GB"/>
        </w:rPr>
      </w:pPr>
    </w:p>
    <w:p w14:paraId="03AEDEE6" w14:textId="069915B6" w:rsidR="00EB6AE8" w:rsidRPr="00E47F58" w:rsidRDefault="00455D82" w:rsidP="00151BFC">
      <w:pPr>
        <w:spacing w:after="0" w:line="240" w:lineRule="auto"/>
        <w:ind w:firstLine="720"/>
        <w:rPr>
          <w:rFonts w:ascii="Arial" w:hAnsi="Arial" w:cs="Arial"/>
          <w:color w:val="000000" w:themeColor="text1"/>
          <w:sz w:val="20"/>
          <w:szCs w:val="20"/>
          <w:lang w:val="en-GB"/>
        </w:rPr>
      </w:pPr>
      <w:r>
        <w:rPr>
          <w:rFonts w:ascii="Arial" w:hAnsi="Arial" w:cs="Arial"/>
          <w:noProof/>
          <w:color w:val="000000" w:themeColor="text1"/>
          <w:sz w:val="20"/>
          <w:szCs w:val="20"/>
        </w:rPr>
        <w:lastRenderedPageBreak/>
        <w:drawing>
          <wp:inline distT="0" distB="0" distL="0" distR="0" wp14:anchorId="103AE38C" wp14:editId="56F8D374">
            <wp:extent cx="4925695" cy="585279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5695" cy="5852795"/>
                    </a:xfrm>
                    <a:prstGeom prst="rect">
                      <a:avLst/>
                    </a:prstGeom>
                    <a:noFill/>
                  </pic:spPr>
                </pic:pic>
              </a:graphicData>
            </a:graphic>
          </wp:inline>
        </w:drawing>
      </w:r>
    </w:p>
    <w:p w14:paraId="66A9C0FE" w14:textId="2B1DF1F8" w:rsidR="00EB6AE8" w:rsidRPr="00E47F58" w:rsidRDefault="00EB6AE8" w:rsidP="00EB6AE8">
      <w:pPr>
        <w:pStyle w:val="Caption"/>
        <w:rPr>
          <w:rFonts w:ascii="Arial" w:hAnsi="Arial" w:cs="Arial"/>
          <w:sz w:val="20"/>
          <w:szCs w:val="20"/>
          <w:lang w:val="en-GB"/>
        </w:rPr>
      </w:pPr>
      <w:bookmarkStart w:id="42" w:name="_Toc50653942"/>
      <w:r w:rsidRPr="00E47F58">
        <w:rPr>
          <w:rFonts w:ascii="Arial" w:hAnsi="Arial" w:cs="Arial"/>
          <w:sz w:val="20"/>
          <w:szCs w:val="20"/>
        </w:rPr>
        <w:t>Figure</w:t>
      </w:r>
      <w:r w:rsidR="00B17C01"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6</w:t>
      </w:r>
      <w:r w:rsidR="0022766E" w:rsidRPr="00E47F58">
        <w:rPr>
          <w:rFonts w:ascii="Arial" w:hAnsi="Arial" w:cs="Arial"/>
          <w:noProof/>
          <w:sz w:val="20"/>
          <w:szCs w:val="20"/>
        </w:rPr>
        <w:fldChar w:fldCharType="end"/>
      </w:r>
      <w:r w:rsidRPr="00E47F58">
        <w:rPr>
          <w:rFonts w:ascii="Arial" w:hAnsi="Arial" w:cs="Arial"/>
          <w:sz w:val="20"/>
          <w:szCs w:val="20"/>
        </w:rPr>
        <w:t xml:space="preserve"> : </w:t>
      </w:r>
      <w:r w:rsidR="00B17C01" w:rsidRPr="00E47F58">
        <w:rPr>
          <w:rFonts w:ascii="Arial" w:hAnsi="Arial" w:cs="Arial"/>
          <w:sz w:val="20"/>
          <w:szCs w:val="20"/>
          <w:lang w:val="en-GB"/>
        </w:rPr>
        <w:t>OPLS-D</w:t>
      </w:r>
      <w:r w:rsidR="00BF1D2E" w:rsidRPr="00E47F58">
        <w:rPr>
          <w:rFonts w:ascii="Arial" w:hAnsi="Arial" w:cs="Arial"/>
          <w:sz w:val="20"/>
          <w:szCs w:val="20"/>
          <w:lang w:val="en-GB"/>
        </w:rPr>
        <w:t>A score plot (A) and S-plot (B)</w:t>
      </w:r>
      <w:r w:rsidRPr="00E47F58">
        <w:rPr>
          <w:rFonts w:ascii="Arial" w:hAnsi="Arial" w:cs="Arial"/>
          <w:sz w:val="20"/>
          <w:szCs w:val="20"/>
          <w:lang w:val="en-GB"/>
        </w:rPr>
        <w:t xml:space="preserve"> of </w:t>
      </w:r>
      <w:r w:rsidRPr="00E47F58">
        <w:rPr>
          <w:rFonts w:ascii="Arial" w:hAnsi="Arial" w:cs="Arial"/>
          <w:i/>
          <w:iCs/>
          <w:sz w:val="20"/>
          <w:szCs w:val="20"/>
          <w:lang w:val="en-GB"/>
        </w:rPr>
        <w:t xml:space="preserve">C. vulgaris </w:t>
      </w:r>
      <w:r w:rsidRPr="00E47F58">
        <w:rPr>
          <w:rFonts w:ascii="Arial" w:hAnsi="Arial" w:cs="Arial"/>
          <w:sz w:val="20"/>
          <w:szCs w:val="20"/>
          <w:lang w:val="en-GB"/>
        </w:rPr>
        <w:t>(CV) fish and the control fish (CF) showing their variability by PC1</w:t>
      </w:r>
      <w:bookmarkEnd w:id="42"/>
      <w:r w:rsidR="00507B49">
        <w:rPr>
          <w:rFonts w:ascii="Arial" w:hAnsi="Arial" w:cs="Arial"/>
          <w:sz w:val="20"/>
          <w:szCs w:val="20"/>
          <w:lang w:val="en-GB"/>
        </w:rPr>
        <w:t xml:space="preserve"> </w:t>
      </w:r>
      <w:r w:rsidR="00507B49" w:rsidRPr="00507B49">
        <w:rPr>
          <w:rFonts w:ascii="Arial" w:hAnsi="Arial" w:cs="Arial"/>
          <w:sz w:val="20"/>
          <w:szCs w:val="20"/>
          <w:highlight w:val="yellow"/>
          <w:lang w:val="en-GB"/>
        </w:rPr>
        <w:t>and up regulated/down regulated metabolites.</w:t>
      </w:r>
    </w:p>
    <w:p w14:paraId="195DCD42" w14:textId="77777777" w:rsidR="00EB6AE8" w:rsidRPr="00E47F58" w:rsidRDefault="00EB6AE8" w:rsidP="00EB6AE8">
      <w:pPr>
        <w:pStyle w:val="j"/>
        <w:rPr>
          <w:rFonts w:ascii="Arial" w:hAnsi="Arial" w:cs="Arial"/>
          <w:sz w:val="20"/>
          <w:szCs w:val="20"/>
          <w:lang w:val="en-GB"/>
        </w:rPr>
      </w:pPr>
    </w:p>
    <w:p w14:paraId="3E980F8E" w14:textId="77777777" w:rsidR="00EB6AE8" w:rsidRPr="00E47F58" w:rsidRDefault="00EB6AE8" w:rsidP="00EB6AE8">
      <w:pPr>
        <w:pStyle w:val="j"/>
        <w:rPr>
          <w:rFonts w:ascii="Arial" w:hAnsi="Arial" w:cs="Arial"/>
          <w:sz w:val="20"/>
          <w:szCs w:val="20"/>
          <w:lang w:val="en-GB"/>
        </w:rPr>
      </w:pPr>
    </w:p>
    <w:p w14:paraId="6A99855D" w14:textId="77777777" w:rsidR="00EB6AE8" w:rsidRPr="00E47F58" w:rsidRDefault="00BF1D2E" w:rsidP="00EB6AE8">
      <w:pPr>
        <w:pStyle w:val="single"/>
        <w:rPr>
          <w:rFonts w:ascii="Arial" w:hAnsi="Arial" w:cs="Arial"/>
          <w:sz w:val="20"/>
          <w:szCs w:val="20"/>
          <w:lang w:val="en-GB"/>
        </w:rPr>
      </w:pPr>
      <w:r w:rsidRPr="00E47F58">
        <w:rPr>
          <w:rFonts w:ascii="Arial" w:hAnsi="Arial" w:cs="Arial"/>
          <w:sz w:val="20"/>
          <w:szCs w:val="20"/>
          <w:lang w:val="en-GB"/>
        </w:rPr>
        <w:t xml:space="preserve">Figure </w:t>
      </w:r>
      <w:r w:rsidR="00EB6AE8" w:rsidRPr="00E47F58">
        <w:rPr>
          <w:rFonts w:ascii="Arial" w:hAnsi="Arial" w:cs="Arial"/>
          <w:sz w:val="20"/>
          <w:szCs w:val="20"/>
          <w:lang w:val="en-GB"/>
        </w:rPr>
        <w:t xml:space="preserve">6 shows the OPLS-DA score plot (A) and S-plot (B)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(CV) fed fish and the control fish (CF). The model exhibited a high fitness, R2X of 0.839 and predictability, Q2 of 0.784 in which the PC1 explained a total variance of 40.1% and PC2 16.7%. The biomarkers for immune improvements in tilapia fish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 xml:space="preserve">feeding was identified based on the chemical shift data of the standard compounds available in the </w:t>
      </w:r>
      <w:proofErr w:type="spellStart"/>
      <w:r w:rsidR="00EB6AE8" w:rsidRPr="00E47F58">
        <w:rPr>
          <w:rFonts w:ascii="Arial" w:hAnsi="Arial" w:cs="Arial"/>
          <w:sz w:val="20"/>
          <w:szCs w:val="20"/>
          <w:lang w:val="en-GB"/>
        </w:rPr>
        <w:t>Chenomx</w:t>
      </w:r>
      <w:proofErr w:type="spellEnd"/>
      <w:r w:rsidR="00EB6AE8" w:rsidRPr="00E47F58">
        <w:rPr>
          <w:rFonts w:ascii="Arial" w:hAnsi="Arial" w:cs="Arial"/>
          <w:sz w:val="20"/>
          <w:szCs w:val="20"/>
          <w:lang w:val="en-GB"/>
        </w:rPr>
        <w:t xml:space="preserve"> library. The supervised orthogonal projection to latent structure discriminant analysis (OPLS-DA) was applied to reveal the clear separation about the significant metabolites assoc</w:t>
      </w:r>
      <w:r w:rsidR="00AC7CB1" w:rsidRPr="00E47F58">
        <w:rPr>
          <w:rFonts w:ascii="Arial" w:hAnsi="Arial" w:cs="Arial"/>
          <w:sz w:val="20"/>
          <w:szCs w:val="20"/>
          <w:lang w:val="en-GB"/>
        </w:rPr>
        <w:t>iated with CV and CF (Figure 6</w:t>
      </w:r>
      <w:r w:rsidR="00EB6AE8" w:rsidRPr="00E47F58">
        <w:rPr>
          <w:rFonts w:ascii="Arial" w:hAnsi="Arial" w:cs="Arial"/>
          <w:sz w:val="20"/>
          <w:szCs w:val="20"/>
          <w:lang w:val="en-GB"/>
        </w:rPr>
        <w:t xml:space="preserve">A, </w:t>
      </w:r>
      <w:r w:rsidR="00AC7CB1" w:rsidRPr="00E47F58">
        <w:rPr>
          <w:rFonts w:ascii="Arial" w:hAnsi="Arial" w:cs="Arial"/>
          <w:sz w:val="20"/>
          <w:szCs w:val="20"/>
          <w:lang w:val="en-GB"/>
        </w:rPr>
        <w:t>6</w:t>
      </w:r>
      <w:r w:rsidR="00EB6AE8" w:rsidRPr="00E47F58">
        <w:rPr>
          <w:rFonts w:ascii="Arial" w:hAnsi="Arial" w:cs="Arial"/>
          <w:sz w:val="20"/>
          <w:szCs w:val="20"/>
          <w:lang w:val="en-GB"/>
        </w:rPr>
        <w:t xml:space="preserve">B). There was an obvious separation between CV and CF by PC1. This result provides the suggested metabolites that were significantly affected by the treatment. The S-plot is the covariance and correlation loading diagnostics of the OPLS-DA model, which provides an overview of the affecting variables on the model by filtering the important metabolites in the projection. The significantly increased metabolites by the treatment are found in the upper-right quadrant of the S-plot which have the positive correlation and </w:t>
      </w:r>
      <w:r w:rsidR="00AC7CB1" w:rsidRPr="00E47F58">
        <w:rPr>
          <w:rFonts w:ascii="Arial" w:hAnsi="Arial" w:cs="Arial"/>
          <w:sz w:val="20"/>
          <w:szCs w:val="20"/>
          <w:lang w:val="en-GB"/>
        </w:rPr>
        <w:t xml:space="preserve">covariance as shown in Figure </w:t>
      </w:r>
      <w:r w:rsidR="00EB6AE8" w:rsidRPr="00E47F58">
        <w:rPr>
          <w:rFonts w:ascii="Arial" w:hAnsi="Arial" w:cs="Arial"/>
          <w:sz w:val="20"/>
          <w:szCs w:val="20"/>
          <w:lang w:val="en-GB"/>
        </w:rPr>
        <w:t xml:space="preserve">6B. These are the suggested biomarkers </w:t>
      </w:r>
      <w:r w:rsidR="00EB6AE8" w:rsidRPr="00E47F58">
        <w:rPr>
          <w:rFonts w:ascii="Arial" w:hAnsi="Arial" w:cs="Arial"/>
          <w:sz w:val="20"/>
          <w:szCs w:val="20"/>
          <w:lang w:val="en-GB"/>
        </w:rPr>
        <w:lastRenderedPageBreak/>
        <w:t xml:space="preserve">of immune improvements in tilapia as a result of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feeding and they include alanine, riboflavin, methionine, choline, proline, valine, leucine, glutamic acid palmitic acid, arginine, creatine, taurine, isoleucine, linolenic acid and oleic acid. However, the very few decreased metabolites as a result of the same treatment are found in the lower-left quadrant of the same S-plot.</w:t>
      </w:r>
    </w:p>
    <w:p w14:paraId="1E9E2544" w14:textId="0AD02D7C"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rPr>
        <w:t>The CV and CF fish are well separated into 2 clusters by PC 1</w:t>
      </w:r>
      <w:r w:rsidR="00AC7CB1" w:rsidRPr="00E47F58">
        <w:rPr>
          <w:rFonts w:ascii="Arial" w:hAnsi="Arial" w:cs="Arial"/>
          <w:sz w:val="20"/>
          <w:szCs w:val="20"/>
        </w:rPr>
        <w:t>, which explained maximum</w:t>
      </w:r>
      <w:r w:rsidRPr="00E47F58">
        <w:rPr>
          <w:rFonts w:ascii="Arial" w:hAnsi="Arial" w:cs="Arial"/>
          <w:sz w:val="20"/>
          <w:szCs w:val="20"/>
        </w:rPr>
        <w:t xml:space="preserve"> </w:t>
      </w:r>
      <w:r w:rsidR="00AC7CB1" w:rsidRPr="00E47F58">
        <w:rPr>
          <w:rFonts w:ascii="Arial" w:hAnsi="Arial" w:cs="Arial"/>
          <w:sz w:val="20"/>
          <w:szCs w:val="20"/>
        </w:rPr>
        <w:t xml:space="preserve">metabolite </w:t>
      </w:r>
      <w:r w:rsidRPr="00E47F58">
        <w:rPr>
          <w:rFonts w:ascii="Arial" w:hAnsi="Arial" w:cs="Arial"/>
          <w:sz w:val="20"/>
          <w:szCs w:val="20"/>
        </w:rPr>
        <w:t xml:space="preserve">variability. </w:t>
      </w:r>
      <w:r w:rsidRPr="00E47F58">
        <w:rPr>
          <w:rFonts w:ascii="Arial" w:hAnsi="Arial" w:cs="Arial"/>
          <w:sz w:val="20"/>
          <w:szCs w:val="20"/>
          <w:lang w:val="en-GB"/>
        </w:rPr>
        <w:t>The importance of the metabolites resulting from the separation of these two groups are suggested by the variable importance of projection (VIP) analysis of the OPLS-DA model (Table</w:t>
      </w:r>
      <w:r w:rsidR="000B6EB2">
        <w:rPr>
          <w:rFonts w:ascii="Arial" w:hAnsi="Arial" w:cs="Arial"/>
          <w:sz w:val="20"/>
          <w:szCs w:val="20"/>
          <w:lang w:val="en-GB"/>
        </w:rPr>
        <w:t xml:space="preserve"> </w:t>
      </w:r>
      <w:r w:rsidRPr="00E47F58">
        <w:rPr>
          <w:rFonts w:ascii="Arial" w:hAnsi="Arial" w:cs="Arial"/>
          <w:sz w:val="20"/>
          <w:szCs w:val="20"/>
          <w:lang w:val="en-GB"/>
        </w:rPr>
        <w:t>3). Metabolites with VIP ≥ 1 were considered the most contributors for separation of the groups by PC1. The detected VIP metabolites were also used in the determination of metabolite’s fold changes.</w:t>
      </w:r>
    </w:p>
    <w:p w14:paraId="34086B6F" w14:textId="77777777" w:rsidR="00EB6AE8" w:rsidRPr="00E47F58" w:rsidRDefault="00EB6AE8" w:rsidP="00EB6AE8">
      <w:pPr>
        <w:pStyle w:val="Caption"/>
        <w:keepNext/>
        <w:rPr>
          <w:rFonts w:ascii="Arial" w:hAnsi="Arial" w:cs="Arial"/>
          <w:sz w:val="20"/>
          <w:szCs w:val="20"/>
        </w:rPr>
      </w:pPr>
      <w:bookmarkStart w:id="43" w:name="_Toc50652952"/>
      <w:r w:rsidRPr="00E47F58">
        <w:rPr>
          <w:rFonts w:ascii="Arial" w:hAnsi="Arial" w:cs="Arial"/>
          <w:sz w:val="20"/>
          <w:szCs w:val="20"/>
        </w:rPr>
        <w:t>Table</w:t>
      </w:r>
      <w:r w:rsidR="00AC7CB1"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3</w:t>
      </w:r>
      <w:r w:rsidR="0022766E" w:rsidRPr="00E47F58">
        <w:rPr>
          <w:rFonts w:ascii="Arial" w:hAnsi="Arial" w:cs="Arial"/>
          <w:noProof/>
          <w:sz w:val="20"/>
          <w:szCs w:val="20"/>
        </w:rPr>
        <w:fldChar w:fldCharType="end"/>
      </w:r>
      <w:r w:rsidRPr="00E47F58">
        <w:rPr>
          <w:rFonts w:ascii="Arial" w:hAnsi="Arial" w:cs="Arial"/>
          <w:sz w:val="20"/>
          <w:szCs w:val="20"/>
        </w:rPr>
        <w:t xml:space="preserve"> : OPLS-DA VIP analysis showing metabolites with VIP ≥ </w:t>
      </w:r>
      <w:r w:rsidR="00ED4590" w:rsidRPr="00E47F58">
        <w:rPr>
          <w:rFonts w:ascii="Arial" w:hAnsi="Arial" w:cs="Arial"/>
          <w:sz w:val="20"/>
          <w:szCs w:val="20"/>
        </w:rPr>
        <w:t xml:space="preserve">1 </w:t>
      </w:r>
      <w:r w:rsidRPr="00E47F58">
        <w:rPr>
          <w:rFonts w:ascii="Arial" w:hAnsi="Arial" w:cs="Arial"/>
          <w:sz w:val="20"/>
          <w:szCs w:val="20"/>
        </w:rPr>
        <w:t>resulting from the separation of CV and CF by PC1</w:t>
      </w:r>
      <w:bookmarkEnd w:id="43"/>
    </w:p>
    <w:p w14:paraId="420E50F9"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1175"/>
        <w:gridCol w:w="2790"/>
        <w:gridCol w:w="3076"/>
        <w:gridCol w:w="2309"/>
      </w:tblGrid>
      <w:tr w:rsidR="00EB6AE8" w:rsidRPr="00E47F58" w14:paraId="39D1A79D" w14:textId="77777777" w:rsidTr="00FB023F">
        <w:trPr>
          <w:jc w:val="center"/>
        </w:trPr>
        <w:tc>
          <w:tcPr>
            <w:tcW w:w="628" w:type="pct"/>
          </w:tcPr>
          <w:p w14:paraId="3A453D85" w14:textId="77777777" w:rsidR="00EB6AE8" w:rsidRPr="00E47F58" w:rsidRDefault="00EB6AE8" w:rsidP="00EB6AE8">
            <w:pPr>
              <w:spacing w:after="0" w:line="240" w:lineRule="auto"/>
              <w:rPr>
                <w:rFonts w:ascii="Arial" w:hAnsi="Arial" w:cs="Arial"/>
                <w:color w:val="000000" w:themeColor="text1"/>
              </w:rPr>
            </w:pPr>
            <w:proofErr w:type="spellStart"/>
            <w:r w:rsidRPr="00E47F58">
              <w:rPr>
                <w:rFonts w:ascii="Arial" w:hAnsi="Arial" w:cs="Arial"/>
                <w:color w:val="000000" w:themeColor="text1"/>
              </w:rPr>
              <w:t>S.No</w:t>
            </w:r>
            <w:proofErr w:type="spellEnd"/>
            <w:r w:rsidRPr="00E47F58">
              <w:rPr>
                <w:rFonts w:ascii="Arial" w:hAnsi="Arial" w:cs="Arial"/>
                <w:color w:val="000000" w:themeColor="text1"/>
              </w:rPr>
              <w:t>.</w:t>
            </w:r>
          </w:p>
        </w:tc>
        <w:tc>
          <w:tcPr>
            <w:tcW w:w="1492" w:type="pct"/>
          </w:tcPr>
          <w:p w14:paraId="0D55E1B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Metabolites</w:t>
            </w:r>
          </w:p>
        </w:tc>
        <w:tc>
          <w:tcPr>
            <w:tcW w:w="1645" w:type="pct"/>
          </w:tcPr>
          <w:p w14:paraId="32C137D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Chemical shifts (ppm)</w:t>
            </w:r>
          </w:p>
        </w:tc>
        <w:tc>
          <w:tcPr>
            <w:tcW w:w="1235" w:type="pct"/>
          </w:tcPr>
          <w:p w14:paraId="398837CE"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VIP values</w:t>
            </w:r>
          </w:p>
        </w:tc>
      </w:tr>
      <w:tr w:rsidR="00EB6AE8" w:rsidRPr="00E47F58" w14:paraId="68B84460" w14:textId="77777777" w:rsidTr="00FB023F">
        <w:trPr>
          <w:jc w:val="center"/>
        </w:trPr>
        <w:tc>
          <w:tcPr>
            <w:tcW w:w="628" w:type="pct"/>
          </w:tcPr>
          <w:p w14:paraId="3B17FA57"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w:t>
            </w:r>
          </w:p>
        </w:tc>
        <w:tc>
          <w:tcPr>
            <w:tcW w:w="1492" w:type="pct"/>
          </w:tcPr>
          <w:p w14:paraId="21EBC05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Histamine</w:t>
            </w:r>
          </w:p>
        </w:tc>
        <w:tc>
          <w:tcPr>
            <w:tcW w:w="1645" w:type="pct"/>
          </w:tcPr>
          <w:p w14:paraId="6C3D755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7.90(s)</w:t>
            </w:r>
          </w:p>
        </w:tc>
        <w:tc>
          <w:tcPr>
            <w:tcW w:w="1235" w:type="pct"/>
          </w:tcPr>
          <w:p w14:paraId="0CCB278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4.7</w:t>
            </w:r>
          </w:p>
        </w:tc>
      </w:tr>
      <w:tr w:rsidR="00EB6AE8" w:rsidRPr="00E47F58" w14:paraId="669433C5" w14:textId="77777777" w:rsidTr="00FB023F">
        <w:trPr>
          <w:jc w:val="center"/>
        </w:trPr>
        <w:tc>
          <w:tcPr>
            <w:tcW w:w="628" w:type="pct"/>
          </w:tcPr>
          <w:p w14:paraId="00240B0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2</w:t>
            </w:r>
          </w:p>
        </w:tc>
        <w:tc>
          <w:tcPr>
            <w:tcW w:w="1492" w:type="pct"/>
          </w:tcPr>
          <w:p w14:paraId="01C760C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Alanine</w:t>
            </w:r>
          </w:p>
        </w:tc>
        <w:tc>
          <w:tcPr>
            <w:tcW w:w="1645" w:type="pct"/>
          </w:tcPr>
          <w:p w14:paraId="58D7D72E"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3.89(m)</w:t>
            </w:r>
          </w:p>
        </w:tc>
        <w:tc>
          <w:tcPr>
            <w:tcW w:w="1235" w:type="pct"/>
          </w:tcPr>
          <w:p w14:paraId="6B66ECB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4.3</w:t>
            </w:r>
          </w:p>
        </w:tc>
      </w:tr>
      <w:tr w:rsidR="00EB6AE8" w:rsidRPr="00E47F58" w14:paraId="1A17A88B" w14:textId="77777777" w:rsidTr="00FB023F">
        <w:trPr>
          <w:jc w:val="center"/>
        </w:trPr>
        <w:tc>
          <w:tcPr>
            <w:tcW w:w="628" w:type="pct"/>
          </w:tcPr>
          <w:p w14:paraId="5E93002E"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3</w:t>
            </w:r>
          </w:p>
        </w:tc>
        <w:tc>
          <w:tcPr>
            <w:tcW w:w="1492" w:type="pct"/>
          </w:tcPr>
          <w:p w14:paraId="487AC8F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Valine </w:t>
            </w:r>
          </w:p>
        </w:tc>
        <w:tc>
          <w:tcPr>
            <w:tcW w:w="1645" w:type="pct"/>
          </w:tcPr>
          <w:p w14:paraId="297C86E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3.60(d)</w:t>
            </w:r>
          </w:p>
        </w:tc>
        <w:tc>
          <w:tcPr>
            <w:tcW w:w="1235" w:type="pct"/>
          </w:tcPr>
          <w:p w14:paraId="2950C16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2.6</w:t>
            </w:r>
          </w:p>
        </w:tc>
      </w:tr>
      <w:tr w:rsidR="00EB6AE8" w:rsidRPr="00E47F58" w14:paraId="20795900" w14:textId="77777777" w:rsidTr="00FB023F">
        <w:trPr>
          <w:jc w:val="center"/>
        </w:trPr>
        <w:tc>
          <w:tcPr>
            <w:tcW w:w="628" w:type="pct"/>
          </w:tcPr>
          <w:p w14:paraId="18A98B1B"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4</w:t>
            </w:r>
          </w:p>
        </w:tc>
        <w:tc>
          <w:tcPr>
            <w:tcW w:w="1492" w:type="pct"/>
          </w:tcPr>
          <w:p w14:paraId="3B4A3D8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Oleic acid </w:t>
            </w:r>
          </w:p>
        </w:tc>
        <w:tc>
          <w:tcPr>
            <w:tcW w:w="1645" w:type="pct"/>
          </w:tcPr>
          <w:p w14:paraId="2A27897C"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2.30(t)</w:t>
            </w:r>
          </w:p>
        </w:tc>
        <w:tc>
          <w:tcPr>
            <w:tcW w:w="1235" w:type="pct"/>
          </w:tcPr>
          <w:p w14:paraId="49D2364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2.1</w:t>
            </w:r>
          </w:p>
        </w:tc>
      </w:tr>
      <w:tr w:rsidR="00EB6AE8" w:rsidRPr="00E47F58" w14:paraId="67098E5B" w14:textId="77777777" w:rsidTr="00FB023F">
        <w:trPr>
          <w:jc w:val="center"/>
        </w:trPr>
        <w:tc>
          <w:tcPr>
            <w:tcW w:w="628" w:type="pct"/>
          </w:tcPr>
          <w:p w14:paraId="6A581D9A"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5</w:t>
            </w:r>
          </w:p>
        </w:tc>
        <w:tc>
          <w:tcPr>
            <w:tcW w:w="1492" w:type="pct"/>
          </w:tcPr>
          <w:p w14:paraId="51749D8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Choline </w:t>
            </w:r>
          </w:p>
        </w:tc>
        <w:tc>
          <w:tcPr>
            <w:tcW w:w="1645" w:type="pct"/>
          </w:tcPr>
          <w:p w14:paraId="01CBEBD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3.5(dd)</w:t>
            </w:r>
          </w:p>
        </w:tc>
        <w:tc>
          <w:tcPr>
            <w:tcW w:w="1235" w:type="pct"/>
          </w:tcPr>
          <w:p w14:paraId="07230F2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2.0</w:t>
            </w:r>
          </w:p>
        </w:tc>
      </w:tr>
      <w:tr w:rsidR="00EB6AE8" w:rsidRPr="00E47F58" w14:paraId="405E8761" w14:textId="77777777" w:rsidTr="00FB023F">
        <w:trPr>
          <w:jc w:val="center"/>
        </w:trPr>
        <w:tc>
          <w:tcPr>
            <w:tcW w:w="628" w:type="pct"/>
          </w:tcPr>
          <w:p w14:paraId="74A7308F"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6</w:t>
            </w:r>
          </w:p>
        </w:tc>
        <w:tc>
          <w:tcPr>
            <w:tcW w:w="1492" w:type="pct"/>
          </w:tcPr>
          <w:p w14:paraId="4CFEC40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Palmitic acid</w:t>
            </w:r>
          </w:p>
        </w:tc>
        <w:tc>
          <w:tcPr>
            <w:tcW w:w="1645" w:type="pct"/>
          </w:tcPr>
          <w:p w14:paraId="64B21D1F"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0.86(t)</w:t>
            </w:r>
          </w:p>
        </w:tc>
        <w:tc>
          <w:tcPr>
            <w:tcW w:w="1235" w:type="pct"/>
          </w:tcPr>
          <w:p w14:paraId="2014286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1.9</w:t>
            </w:r>
          </w:p>
        </w:tc>
      </w:tr>
      <w:tr w:rsidR="00EB6AE8" w:rsidRPr="00E47F58" w14:paraId="39CE755B" w14:textId="77777777" w:rsidTr="00FB023F">
        <w:trPr>
          <w:jc w:val="center"/>
        </w:trPr>
        <w:tc>
          <w:tcPr>
            <w:tcW w:w="628" w:type="pct"/>
          </w:tcPr>
          <w:p w14:paraId="057C622B"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7</w:t>
            </w:r>
          </w:p>
        </w:tc>
        <w:tc>
          <w:tcPr>
            <w:tcW w:w="1492" w:type="pct"/>
          </w:tcPr>
          <w:p w14:paraId="0FCEBB8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Riboflavin </w:t>
            </w:r>
          </w:p>
        </w:tc>
        <w:tc>
          <w:tcPr>
            <w:tcW w:w="1645" w:type="pct"/>
          </w:tcPr>
          <w:p w14:paraId="08FBF9F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1.65(m)</w:t>
            </w:r>
          </w:p>
        </w:tc>
        <w:tc>
          <w:tcPr>
            <w:tcW w:w="1235" w:type="pct"/>
          </w:tcPr>
          <w:p w14:paraId="45B131C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1.8</w:t>
            </w:r>
          </w:p>
        </w:tc>
      </w:tr>
      <w:tr w:rsidR="00EB6AE8" w:rsidRPr="00E47F58" w14:paraId="3596D4B9" w14:textId="77777777" w:rsidTr="00FB023F">
        <w:trPr>
          <w:jc w:val="center"/>
        </w:trPr>
        <w:tc>
          <w:tcPr>
            <w:tcW w:w="628" w:type="pct"/>
          </w:tcPr>
          <w:p w14:paraId="4078FF6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8</w:t>
            </w:r>
          </w:p>
        </w:tc>
        <w:tc>
          <w:tcPr>
            <w:tcW w:w="1492" w:type="pct"/>
          </w:tcPr>
          <w:p w14:paraId="7CEAAFA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Glycine </w:t>
            </w:r>
          </w:p>
        </w:tc>
        <w:tc>
          <w:tcPr>
            <w:tcW w:w="1645" w:type="pct"/>
          </w:tcPr>
          <w:p w14:paraId="5260FA4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3.60(s)</w:t>
            </w:r>
          </w:p>
        </w:tc>
        <w:tc>
          <w:tcPr>
            <w:tcW w:w="1235" w:type="pct"/>
          </w:tcPr>
          <w:p w14:paraId="6D6E253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1.8</w:t>
            </w:r>
          </w:p>
        </w:tc>
      </w:tr>
      <w:tr w:rsidR="00EB6AE8" w:rsidRPr="00E47F58" w14:paraId="30226B6D" w14:textId="77777777" w:rsidTr="00FB023F">
        <w:trPr>
          <w:jc w:val="center"/>
        </w:trPr>
        <w:tc>
          <w:tcPr>
            <w:tcW w:w="628" w:type="pct"/>
          </w:tcPr>
          <w:p w14:paraId="766B8EF3"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9</w:t>
            </w:r>
          </w:p>
        </w:tc>
        <w:tc>
          <w:tcPr>
            <w:tcW w:w="1492" w:type="pct"/>
          </w:tcPr>
          <w:p w14:paraId="1758070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Proline </w:t>
            </w:r>
          </w:p>
        </w:tc>
        <w:tc>
          <w:tcPr>
            <w:tcW w:w="1645" w:type="pct"/>
          </w:tcPr>
          <w:p w14:paraId="2711554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4.14(m)</w:t>
            </w:r>
          </w:p>
        </w:tc>
        <w:tc>
          <w:tcPr>
            <w:tcW w:w="1235" w:type="pct"/>
          </w:tcPr>
          <w:p w14:paraId="5F0078A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1.7</w:t>
            </w:r>
          </w:p>
        </w:tc>
      </w:tr>
      <w:tr w:rsidR="00EB6AE8" w:rsidRPr="00E47F58" w14:paraId="4A3F4C09" w14:textId="77777777" w:rsidTr="00FB023F">
        <w:trPr>
          <w:jc w:val="center"/>
        </w:trPr>
        <w:tc>
          <w:tcPr>
            <w:tcW w:w="628" w:type="pct"/>
          </w:tcPr>
          <w:p w14:paraId="338001A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10</w:t>
            </w:r>
          </w:p>
        </w:tc>
        <w:tc>
          <w:tcPr>
            <w:tcW w:w="1492" w:type="pct"/>
          </w:tcPr>
          <w:p w14:paraId="50CB267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Glucose </w:t>
            </w:r>
          </w:p>
        </w:tc>
        <w:tc>
          <w:tcPr>
            <w:tcW w:w="1645" w:type="pct"/>
          </w:tcPr>
          <w:p w14:paraId="1C8FD78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5.22(s)</w:t>
            </w:r>
          </w:p>
        </w:tc>
        <w:tc>
          <w:tcPr>
            <w:tcW w:w="1235" w:type="pct"/>
          </w:tcPr>
          <w:p w14:paraId="554B711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1.4</w:t>
            </w:r>
          </w:p>
        </w:tc>
      </w:tr>
      <w:tr w:rsidR="00EB6AE8" w:rsidRPr="00E47F58" w14:paraId="27C31FDA" w14:textId="77777777" w:rsidTr="00FB023F">
        <w:trPr>
          <w:jc w:val="center"/>
        </w:trPr>
        <w:tc>
          <w:tcPr>
            <w:tcW w:w="628" w:type="pct"/>
          </w:tcPr>
          <w:p w14:paraId="7954E1B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11</w:t>
            </w:r>
          </w:p>
        </w:tc>
        <w:tc>
          <w:tcPr>
            <w:tcW w:w="1492" w:type="pct"/>
          </w:tcPr>
          <w:p w14:paraId="486316C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Taurine </w:t>
            </w:r>
          </w:p>
        </w:tc>
        <w:tc>
          <w:tcPr>
            <w:tcW w:w="1645" w:type="pct"/>
          </w:tcPr>
          <w:p w14:paraId="1C6D6AE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3.42(t)</w:t>
            </w:r>
          </w:p>
        </w:tc>
        <w:tc>
          <w:tcPr>
            <w:tcW w:w="1235" w:type="pct"/>
          </w:tcPr>
          <w:p w14:paraId="2CAA992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1.3</w:t>
            </w:r>
          </w:p>
        </w:tc>
      </w:tr>
      <w:tr w:rsidR="00EB6AE8" w:rsidRPr="00E47F58" w14:paraId="11C18519" w14:textId="77777777" w:rsidTr="00FB023F">
        <w:trPr>
          <w:jc w:val="center"/>
        </w:trPr>
        <w:tc>
          <w:tcPr>
            <w:tcW w:w="628" w:type="pct"/>
          </w:tcPr>
          <w:p w14:paraId="03A9B322"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12</w:t>
            </w:r>
          </w:p>
        </w:tc>
        <w:tc>
          <w:tcPr>
            <w:tcW w:w="1492" w:type="pct"/>
          </w:tcPr>
          <w:p w14:paraId="2049D70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Isoleucine </w:t>
            </w:r>
          </w:p>
        </w:tc>
        <w:tc>
          <w:tcPr>
            <w:tcW w:w="1645" w:type="pct"/>
          </w:tcPr>
          <w:p w14:paraId="4BCAD97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3.43(d)</w:t>
            </w:r>
          </w:p>
        </w:tc>
        <w:tc>
          <w:tcPr>
            <w:tcW w:w="1235" w:type="pct"/>
          </w:tcPr>
          <w:p w14:paraId="4004C334"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5264604D" w14:textId="77777777" w:rsidTr="00FB023F">
        <w:trPr>
          <w:jc w:val="center"/>
        </w:trPr>
        <w:tc>
          <w:tcPr>
            <w:tcW w:w="628" w:type="pct"/>
          </w:tcPr>
          <w:p w14:paraId="481BD671"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13</w:t>
            </w:r>
          </w:p>
        </w:tc>
        <w:tc>
          <w:tcPr>
            <w:tcW w:w="1492" w:type="pct"/>
          </w:tcPr>
          <w:p w14:paraId="6EFE760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Arginine </w:t>
            </w:r>
          </w:p>
        </w:tc>
        <w:tc>
          <w:tcPr>
            <w:tcW w:w="1645" w:type="pct"/>
          </w:tcPr>
          <w:p w14:paraId="3302E799"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3.76(d)</w:t>
            </w:r>
          </w:p>
        </w:tc>
        <w:tc>
          <w:tcPr>
            <w:tcW w:w="1235" w:type="pct"/>
          </w:tcPr>
          <w:p w14:paraId="117BB89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6D30752F" w14:textId="77777777" w:rsidTr="00FB023F">
        <w:trPr>
          <w:jc w:val="center"/>
        </w:trPr>
        <w:tc>
          <w:tcPr>
            <w:tcW w:w="628" w:type="pct"/>
          </w:tcPr>
          <w:p w14:paraId="6FCF4AB4"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14</w:t>
            </w:r>
          </w:p>
        </w:tc>
        <w:tc>
          <w:tcPr>
            <w:tcW w:w="1492" w:type="pct"/>
          </w:tcPr>
          <w:p w14:paraId="7E71C85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Leucine </w:t>
            </w:r>
          </w:p>
        </w:tc>
        <w:tc>
          <w:tcPr>
            <w:tcW w:w="1645" w:type="pct"/>
          </w:tcPr>
          <w:p w14:paraId="6E1F6946"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3.44(t)</w:t>
            </w:r>
          </w:p>
        </w:tc>
        <w:tc>
          <w:tcPr>
            <w:tcW w:w="1235" w:type="pct"/>
          </w:tcPr>
          <w:p w14:paraId="4616A122"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1.2</w:t>
            </w:r>
          </w:p>
        </w:tc>
      </w:tr>
      <w:tr w:rsidR="00EB6AE8" w:rsidRPr="00E47F58" w14:paraId="1DFCD42F" w14:textId="77777777" w:rsidTr="00FB023F">
        <w:trPr>
          <w:jc w:val="center"/>
        </w:trPr>
        <w:tc>
          <w:tcPr>
            <w:tcW w:w="628" w:type="pct"/>
          </w:tcPr>
          <w:p w14:paraId="770C7220"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15</w:t>
            </w:r>
          </w:p>
        </w:tc>
        <w:tc>
          <w:tcPr>
            <w:tcW w:w="1492" w:type="pct"/>
          </w:tcPr>
          <w:p w14:paraId="33831EC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Creatine </w:t>
            </w:r>
          </w:p>
        </w:tc>
        <w:tc>
          <w:tcPr>
            <w:tcW w:w="1645" w:type="pct"/>
          </w:tcPr>
          <w:p w14:paraId="483F7F9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3.90(s)</w:t>
            </w:r>
          </w:p>
        </w:tc>
        <w:tc>
          <w:tcPr>
            <w:tcW w:w="1235" w:type="pct"/>
          </w:tcPr>
          <w:p w14:paraId="470ECDE0"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1.1</w:t>
            </w:r>
          </w:p>
        </w:tc>
      </w:tr>
      <w:tr w:rsidR="00EB6AE8" w:rsidRPr="00E47F58" w14:paraId="66F9B1F1" w14:textId="77777777" w:rsidTr="00FB023F">
        <w:trPr>
          <w:jc w:val="center"/>
        </w:trPr>
        <w:tc>
          <w:tcPr>
            <w:tcW w:w="628" w:type="pct"/>
          </w:tcPr>
          <w:p w14:paraId="0764BF55"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16</w:t>
            </w:r>
          </w:p>
        </w:tc>
        <w:tc>
          <w:tcPr>
            <w:tcW w:w="1492" w:type="pct"/>
          </w:tcPr>
          <w:p w14:paraId="3F0CD275"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 xml:space="preserve">Methionine </w:t>
            </w:r>
          </w:p>
        </w:tc>
        <w:tc>
          <w:tcPr>
            <w:tcW w:w="1645" w:type="pct"/>
          </w:tcPr>
          <w:p w14:paraId="69F29D48"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2.63(t)</w:t>
            </w:r>
          </w:p>
        </w:tc>
        <w:tc>
          <w:tcPr>
            <w:tcW w:w="1235" w:type="pct"/>
          </w:tcPr>
          <w:p w14:paraId="1B88B7A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1.1</w:t>
            </w:r>
          </w:p>
        </w:tc>
      </w:tr>
      <w:tr w:rsidR="00EB6AE8" w:rsidRPr="00E47F58" w14:paraId="42B8B315" w14:textId="77777777" w:rsidTr="00FB023F">
        <w:trPr>
          <w:jc w:val="center"/>
        </w:trPr>
        <w:tc>
          <w:tcPr>
            <w:tcW w:w="628" w:type="pct"/>
          </w:tcPr>
          <w:p w14:paraId="142C6091"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17</w:t>
            </w:r>
          </w:p>
        </w:tc>
        <w:tc>
          <w:tcPr>
            <w:tcW w:w="1492" w:type="pct"/>
          </w:tcPr>
          <w:p w14:paraId="05815161"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Glutamic acid</w:t>
            </w:r>
          </w:p>
        </w:tc>
        <w:tc>
          <w:tcPr>
            <w:tcW w:w="1645" w:type="pct"/>
          </w:tcPr>
          <w:p w14:paraId="4D1B9A4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2.04(m)</w:t>
            </w:r>
          </w:p>
        </w:tc>
        <w:tc>
          <w:tcPr>
            <w:tcW w:w="1235" w:type="pct"/>
          </w:tcPr>
          <w:p w14:paraId="36FA7DCB"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1.0</w:t>
            </w:r>
          </w:p>
        </w:tc>
      </w:tr>
      <w:tr w:rsidR="00EB6AE8" w:rsidRPr="00E47F58" w14:paraId="7A776C41" w14:textId="77777777" w:rsidTr="00FB023F">
        <w:trPr>
          <w:jc w:val="center"/>
        </w:trPr>
        <w:tc>
          <w:tcPr>
            <w:tcW w:w="628" w:type="pct"/>
          </w:tcPr>
          <w:p w14:paraId="42BAFA68" w14:textId="77777777" w:rsidR="00EB6AE8" w:rsidRPr="00E47F58" w:rsidRDefault="00EB6AE8" w:rsidP="00EB6AE8">
            <w:pPr>
              <w:spacing w:after="0" w:line="240" w:lineRule="auto"/>
              <w:rPr>
                <w:rFonts w:ascii="Arial" w:hAnsi="Arial" w:cs="Arial"/>
                <w:color w:val="000000" w:themeColor="text1"/>
              </w:rPr>
            </w:pPr>
            <w:r w:rsidRPr="00E47F58">
              <w:rPr>
                <w:rFonts w:ascii="Arial" w:hAnsi="Arial" w:cs="Arial"/>
                <w:color w:val="000000" w:themeColor="text1"/>
              </w:rPr>
              <w:t>18</w:t>
            </w:r>
          </w:p>
        </w:tc>
        <w:tc>
          <w:tcPr>
            <w:tcW w:w="1492" w:type="pct"/>
          </w:tcPr>
          <w:p w14:paraId="1A253017"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Linoleic acid</w:t>
            </w:r>
          </w:p>
        </w:tc>
        <w:tc>
          <w:tcPr>
            <w:tcW w:w="1645" w:type="pct"/>
          </w:tcPr>
          <w:p w14:paraId="1FB2A0B3"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δ 2.30(t)</w:t>
            </w:r>
          </w:p>
        </w:tc>
        <w:tc>
          <w:tcPr>
            <w:tcW w:w="1235" w:type="pct"/>
          </w:tcPr>
          <w:p w14:paraId="22CBAB4D" w14:textId="77777777" w:rsidR="00EB6AE8" w:rsidRPr="00E47F58" w:rsidRDefault="00EB6AE8" w:rsidP="00EB6AE8">
            <w:pPr>
              <w:keepNext/>
              <w:spacing w:after="0" w:line="240" w:lineRule="auto"/>
              <w:rPr>
                <w:rFonts w:ascii="Arial" w:hAnsi="Arial" w:cs="Arial"/>
                <w:color w:val="000000" w:themeColor="text1"/>
              </w:rPr>
            </w:pPr>
            <w:r w:rsidRPr="00E47F58">
              <w:rPr>
                <w:rFonts w:ascii="Arial" w:hAnsi="Arial" w:cs="Arial"/>
                <w:color w:val="000000" w:themeColor="text1"/>
              </w:rPr>
              <w:t>1.0</w:t>
            </w:r>
          </w:p>
        </w:tc>
      </w:tr>
    </w:tbl>
    <w:p w14:paraId="5280FE29" w14:textId="77777777" w:rsidR="00EB6AE8" w:rsidRPr="00E47F58" w:rsidRDefault="00EB6AE8" w:rsidP="00EB6AE8">
      <w:pPr>
        <w:pStyle w:val="Caption"/>
        <w:rPr>
          <w:rFonts w:ascii="Arial" w:hAnsi="Arial" w:cs="Arial"/>
          <w:b w:val="0"/>
          <w:bCs w:val="0"/>
          <w:sz w:val="20"/>
          <w:szCs w:val="20"/>
          <w:lang w:val="en-GB"/>
        </w:rPr>
      </w:pPr>
    </w:p>
    <w:p w14:paraId="39A3512C" w14:textId="77777777" w:rsidR="00EB6AE8" w:rsidRPr="00E47F58" w:rsidRDefault="00EB6AE8" w:rsidP="00EB6AE8">
      <w:pPr>
        <w:spacing w:after="0" w:line="240" w:lineRule="auto"/>
        <w:rPr>
          <w:rFonts w:ascii="Arial" w:hAnsi="Arial" w:cs="Arial"/>
          <w:color w:val="000000" w:themeColor="text1"/>
          <w:sz w:val="20"/>
          <w:szCs w:val="20"/>
          <w:lang w:val="en-GB"/>
        </w:rPr>
      </w:pPr>
    </w:p>
    <w:p w14:paraId="496DDC80"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Metabolite fold change is a measure describing how many times the quantity of a metabolite is changed between an original and a subsequent measurement with respect to the associated treatment. It is defined as a ratio between the two quantities; for example, the fold change of CV with respect to CF is CV/CF.</w:t>
      </w:r>
    </w:p>
    <w:p w14:paraId="16B0FA56" w14:textId="77777777" w:rsidR="00EB6AE8" w:rsidRPr="00E47F58" w:rsidRDefault="00EB6AE8" w:rsidP="00EB6AE8">
      <w:pPr>
        <w:rPr>
          <w:rFonts w:ascii="Arial" w:hAnsi="Arial" w:cs="Arial"/>
          <w:color w:val="000000" w:themeColor="text1"/>
          <w:sz w:val="20"/>
          <w:szCs w:val="20"/>
          <w:lang w:val="en-GB"/>
        </w:rPr>
      </w:pPr>
    </w:p>
    <w:p w14:paraId="1E8074EF" w14:textId="1C98B822"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Metabolite fold change (FC) of the VIP metabolites in the present research, was assessed using </w:t>
      </w:r>
      <w:proofErr w:type="spellStart"/>
      <w:r w:rsidRPr="00E47F58">
        <w:rPr>
          <w:rFonts w:ascii="Arial" w:hAnsi="Arial" w:cs="Arial"/>
          <w:sz w:val="20"/>
          <w:szCs w:val="20"/>
          <w:lang w:val="en-GB"/>
        </w:rPr>
        <w:t>MetaboAnalyst</w:t>
      </w:r>
      <w:proofErr w:type="spellEnd"/>
      <w:r w:rsidRPr="00E47F58">
        <w:rPr>
          <w:rFonts w:ascii="Arial" w:hAnsi="Arial" w:cs="Arial"/>
          <w:sz w:val="20"/>
          <w:szCs w:val="20"/>
          <w:lang w:val="en-GB"/>
        </w:rPr>
        <w:t xml:space="preserve"> 4.0 online tools for metabolomics data. The fold change (CV/CF) was found to be significantly high in four of the</w:t>
      </w:r>
      <w:r w:rsidR="00AC7CB1" w:rsidRPr="00E47F58">
        <w:rPr>
          <w:rFonts w:ascii="Arial" w:hAnsi="Arial" w:cs="Arial"/>
          <w:sz w:val="20"/>
          <w:szCs w:val="20"/>
          <w:lang w:val="en-GB"/>
        </w:rPr>
        <w:t xml:space="preserve"> subjected metabolites. Table </w:t>
      </w:r>
      <w:r w:rsidRPr="00E47F58">
        <w:rPr>
          <w:rFonts w:ascii="Arial" w:hAnsi="Arial" w:cs="Arial"/>
          <w:sz w:val="20"/>
          <w:szCs w:val="20"/>
          <w:lang w:val="en-GB"/>
        </w:rPr>
        <w:t xml:space="preserve">4 show the NMR signal assignment for major biomarkers of immune improvement by </w:t>
      </w:r>
      <w:r w:rsidRPr="00E47F58">
        <w:rPr>
          <w:rFonts w:ascii="Arial" w:hAnsi="Arial" w:cs="Arial"/>
          <w:i/>
          <w:iCs/>
          <w:sz w:val="20"/>
          <w:szCs w:val="20"/>
          <w:lang w:val="en-GB"/>
        </w:rPr>
        <w:t>C. vulgaris</w:t>
      </w:r>
      <w:r w:rsidRPr="00E47F58">
        <w:rPr>
          <w:rFonts w:ascii="Arial" w:hAnsi="Arial" w:cs="Arial"/>
          <w:sz w:val="20"/>
          <w:szCs w:val="20"/>
          <w:lang w:val="en-GB"/>
        </w:rPr>
        <w:t xml:space="preserve"> with the highest FC, their fold change values and the associated metabolic pathway</w:t>
      </w:r>
      <w:r w:rsidR="0025262C">
        <w:rPr>
          <w:rFonts w:ascii="Arial" w:hAnsi="Arial" w:cs="Arial"/>
          <w:sz w:val="20"/>
          <w:szCs w:val="20"/>
          <w:lang w:val="en-GB"/>
        </w:rPr>
        <w:t xml:space="preserve">s on day 28 after 21 days of </w:t>
      </w:r>
      <w:r w:rsidR="0025262C" w:rsidRPr="0025262C">
        <w:rPr>
          <w:rFonts w:ascii="Arial" w:hAnsi="Arial" w:cs="Arial"/>
          <w:sz w:val="20"/>
          <w:szCs w:val="20"/>
          <w:highlight w:val="yellow"/>
          <w:lang w:val="en-GB"/>
        </w:rPr>
        <w:t>125</w:t>
      </w:r>
      <w:r w:rsidRPr="0025262C">
        <w:rPr>
          <w:rFonts w:ascii="Arial" w:hAnsi="Arial" w:cs="Arial"/>
          <w:sz w:val="20"/>
          <w:szCs w:val="20"/>
          <w:highlight w:val="yellow"/>
          <w:lang w:val="en-GB"/>
        </w:rPr>
        <w:t xml:space="preserve"> mg/kg</w:t>
      </w:r>
      <w:r w:rsidR="00AC7CB1" w:rsidRPr="0025262C">
        <w:rPr>
          <w:rFonts w:ascii="Arial" w:hAnsi="Arial" w:cs="Arial"/>
          <w:sz w:val="20"/>
          <w:szCs w:val="20"/>
          <w:highlight w:val="yellow"/>
          <w:lang w:val="en-GB"/>
        </w:rPr>
        <w:t xml:space="preserve"> </w:t>
      </w:r>
      <w:proofErr w:type="spellStart"/>
      <w:r w:rsidR="00AC7CB1" w:rsidRPr="0025262C">
        <w:rPr>
          <w:rFonts w:ascii="Arial" w:hAnsi="Arial" w:cs="Arial"/>
          <w:sz w:val="20"/>
          <w:szCs w:val="20"/>
          <w:highlight w:val="yellow"/>
          <w:lang w:val="en-GB"/>
        </w:rPr>
        <w:t>bw</w:t>
      </w:r>
      <w:proofErr w:type="spellEnd"/>
      <w:r w:rsidR="00AC7CB1" w:rsidRPr="00E47F58">
        <w:rPr>
          <w:rFonts w:ascii="Arial" w:hAnsi="Arial" w:cs="Arial"/>
          <w:sz w:val="20"/>
          <w:szCs w:val="20"/>
          <w:lang w:val="en-GB"/>
        </w:rPr>
        <w:t xml:space="preserve"> treatment. These compounds we</w:t>
      </w:r>
      <w:r w:rsidRPr="00E47F58">
        <w:rPr>
          <w:rFonts w:ascii="Arial" w:hAnsi="Arial" w:cs="Arial"/>
          <w:sz w:val="20"/>
          <w:szCs w:val="20"/>
          <w:lang w:val="en-GB"/>
        </w:rPr>
        <w:t>re palmitic acid, riboflavin, arginine and alanine with palmitic acid having the highest FC of more than 11 times in CV fish population as compared to CF.</w:t>
      </w:r>
    </w:p>
    <w:p w14:paraId="4112B770" w14:textId="77777777" w:rsidR="00EB6AE8" w:rsidRPr="00E47F58" w:rsidRDefault="00EB6AE8" w:rsidP="00EB6AE8">
      <w:pPr>
        <w:pStyle w:val="Caption"/>
        <w:keepNext/>
        <w:rPr>
          <w:rFonts w:ascii="Arial" w:hAnsi="Arial" w:cs="Arial"/>
          <w:sz w:val="20"/>
          <w:szCs w:val="20"/>
        </w:rPr>
      </w:pPr>
      <w:bookmarkStart w:id="44" w:name="_Toc50652953"/>
      <w:r w:rsidRPr="00E47F58">
        <w:rPr>
          <w:rFonts w:ascii="Arial" w:hAnsi="Arial" w:cs="Arial"/>
          <w:sz w:val="20"/>
          <w:szCs w:val="20"/>
        </w:rPr>
        <w:t>Table</w:t>
      </w:r>
      <w:r w:rsidR="00FB023F"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4</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 xml:space="preserve">C. vulgaris </w:t>
      </w:r>
      <w:r w:rsidRPr="00E47F58">
        <w:rPr>
          <w:rFonts w:ascii="Arial" w:hAnsi="Arial" w:cs="Arial"/>
          <w:sz w:val="20"/>
          <w:szCs w:val="20"/>
        </w:rPr>
        <w:t>feeding (CV/CF)</w:t>
      </w:r>
      <w:bookmarkEnd w:id="44"/>
    </w:p>
    <w:p w14:paraId="06140986"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336"/>
        <w:gridCol w:w="2338"/>
        <w:gridCol w:w="2338"/>
        <w:gridCol w:w="2338"/>
      </w:tblGrid>
      <w:tr w:rsidR="00EB6AE8" w:rsidRPr="00E47F58" w14:paraId="28463131" w14:textId="77777777" w:rsidTr="00E239F2">
        <w:trPr>
          <w:jc w:val="center"/>
        </w:trPr>
        <w:tc>
          <w:tcPr>
            <w:tcW w:w="1249" w:type="pct"/>
          </w:tcPr>
          <w:p w14:paraId="49BE183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lastRenderedPageBreak/>
              <w:t>Metabolite</w:t>
            </w:r>
          </w:p>
        </w:tc>
        <w:tc>
          <w:tcPr>
            <w:tcW w:w="1250" w:type="pct"/>
          </w:tcPr>
          <w:p w14:paraId="1CB4F611"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Chemical shift (ppm)</w:t>
            </w:r>
          </w:p>
        </w:tc>
        <w:tc>
          <w:tcPr>
            <w:tcW w:w="1250" w:type="pct"/>
          </w:tcPr>
          <w:p w14:paraId="6550A119"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61411B64"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(CV/CF)</w:t>
            </w:r>
          </w:p>
        </w:tc>
        <w:tc>
          <w:tcPr>
            <w:tcW w:w="1250" w:type="pct"/>
          </w:tcPr>
          <w:p w14:paraId="19C4A6F8"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Metabolic pathway</w:t>
            </w:r>
          </w:p>
        </w:tc>
      </w:tr>
      <w:tr w:rsidR="00EB6AE8" w:rsidRPr="00E47F58" w14:paraId="1385FD07" w14:textId="77777777" w:rsidTr="00E239F2">
        <w:trPr>
          <w:jc w:val="center"/>
        </w:trPr>
        <w:tc>
          <w:tcPr>
            <w:tcW w:w="1249" w:type="pct"/>
          </w:tcPr>
          <w:p w14:paraId="27D9E80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tc>
        <w:tc>
          <w:tcPr>
            <w:tcW w:w="1250" w:type="pct"/>
          </w:tcPr>
          <w:p w14:paraId="6DA6924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0.74</w:t>
            </w:r>
          </w:p>
        </w:tc>
        <w:tc>
          <w:tcPr>
            <w:tcW w:w="1250" w:type="pct"/>
          </w:tcPr>
          <w:p w14:paraId="2A47A4A9"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11.554</w:t>
            </w:r>
          </w:p>
        </w:tc>
        <w:tc>
          <w:tcPr>
            <w:tcW w:w="1250" w:type="pct"/>
          </w:tcPr>
          <w:p w14:paraId="1984B7A5"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30997348" w14:textId="77777777" w:rsidTr="00E239F2">
        <w:trPr>
          <w:jc w:val="center"/>
        </w:trPr>
        <w:tc>
          <w:tcPr>
            <w:tcW w:w="1249" w:type="pct"/>
          </w:tcPr>
          <w:p w14:paraId="16489EF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Riboflavin</w:t>
            </w:r>
          </w:p>
        </w:tc>
        <w:tc>
          <w:tcPr>
            <w:tcW w:w="1250" w:type="pct"/>
          </w:tcPr>
          <w:p w14:paraId="7B07C7D1"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4.58</w:t>
            </w:r>
          </w:p>
        </w:tc>
        <w:tc>
          <w:tcPr>
            <w:tcW w:w="1250" w:type="pct"/>
          </w:tcPr>
          <w:p w14:paraId="7489857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6.5142</w:t>
            </w:r>
          </w:p>
        </w:tc>
        <w:tc>
          <w:tcPr>
            <w:tcW w:w="1250" w:type="pct"/>
          </w:tcPr>
          <w:p w14:paraId="5AD1759A"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Riboflavin metabolism</w:t>
            </w:r>
          </w:p>
        </w:tc>
      </w:tr>
      <w:tr w:rsidR="00EB6AE8" w:rsidRPr="00E47F58" w14:paraId="5658CF79" w14:textId="77777777" w:rsidTr="00E239F2">
        <w:trPr>
          <w:jc w:val="center"/>
        </w:trPr>
        <w:tc>
          <w:tcPr>
            <w:tcW w:w="1249" w:type="pct"/>
          </w:tcPr>
          <w:p w14:paraId="09E85EEF"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Arginine</w:t>
            </w:r>
          </w:p>
        </w:tc>
        <w:tc>
          <w:tcPr>
            <w:tcW w:w="1250" w:type="pct"/>
          </w:tcPr>
          <w:p w14:paraId="328EBF2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1.58</w:t>
            </w:r>
          </w:p>
        </w:tc>
        <w:tc>
          <w:tcPr>
            <w:tcW w:w="1250" w:type="pct"/>
          </w:tcPr>
          <w:p w14:paraId="294739B2"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2.6196</w:t>
            </w:r>
          </w:p>
        </w:tc>
        <w:tc>
          <w:tcPr>
            <w:tcW w:w="1250" w:type="pct"/>
          </w:tcPr>
          <w:p w14:paraId="2C7D19F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Arginine and proline metabolism</w:t>
            </w:r>
          </w:p>
        </w:tc>
      </w:tr>
      <w:tr w:rsidR="00EB6AE8" w:rsidRPr="00E47F58" w14:paraId="161B62A6" w14:textId="77777777" w:rsidTr="00E239F2">
        <w:trPr>
          <w:jc w:val="center"/>
        </w:trPr>
        <w:tc>
          <w:tcPr>
            <w:tcW w:w="1249" w:type="pct"/>
          </w:tcPr>
          <w:p w14:paraId="281C3325"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Alanine</w:t>
            </w:r>
          </w:p>
        </w:tc>
        <w:tc>
          <w:tcPr>
            <w:tcW w:w="1250" w:type="pct"/>
          </w:tcPr>
          <w:p w14:paraId="5CE2D247"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1.34</w:t>
            </w:r>
          </w:p>
        </w:tc>
        <w:tc>
          <w:tcPr>
            <w:tcW w:w="1250" w:type="pct"/>
          </w:tcPr>
          <w:p w14:paraId="04A9E4B5"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2.1184</w:t>
            </w:r>
          </w:p>
        </w:tc>
        <w:tc>
          <w:tcPr>
            <w:tcW w:w="1250" w:type="pct"/>
          </w:tcPr>
          <w:p w14:paraId="04B7B159"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Alanine, aspartate and glutamate metabolism</w:t>
            </w:r>
          </w:p>
        </w:tc>
      </w:tr>
    </w:tbl>
    <w:p w14:paraId="33A44070" w14:textId="77777777" w:rsidR="00EB6AE8" w:rsidRPr="00E47F58" w:rsidRDefault="00EB6AE8" w:rsidP="00EB6AE8">
      <w:pPr>
        <w:pStyle w:val="j"/>
        <w:rPr>
          <w:rFonts w:ascii="Arial" w:hAnsi="Arial" w:cs="Arial"/>
          <w:sz w:val="20"/>
          <w:szCs w:val="20"/>
          <w:lang w:val="en-GB"/>
        </w:rPr>
      </w:pPr>
    </w:p>
    <w:p w14:paraId="3F48E320" w14:textId="77777777" w:rsidR="00EB6AE8" w:rsidRPr="00E47F58" w:rsidRDefault="00EB6AE8" w:rsidP="00EB6AE8">
      <w:pPr>
        <w:pStyle w:val="j"/>
        <w:rPr>
          <w:rFonts w:ascii="Arial" w:hAnsi="Arial" w:cs="Arial"/>
          <w:sz w:val="20"/>
          <w:szCs w:val="20"/>
          <w:lang w:val="en-GB"/>
        </w:rPr>
      </w:pPr>
    </w:p>
    <w:p w14:paraId="6A3E25AE" w14:textId="3809B901" w:rsidR="00EB6AE8" w:rsidRPr="00E47F58" w:rsidRDefault="00EB6AE8" w:rsidP="00EB6AE8">
      <w:pPr>
        <w:pStyle w:val="single"/>
        <w:rPr>
          <w:rFonts w:ascii="Arial" w:hAnsi="Arial" w:cs="Arial"/>
          <w:bCs/>
          <w:sz w:val="20"/>
          <w:szCs w:val="20"/>
          <w:lang w:val="en-GB"/>
        </w:rPr>
      </w:pPr>
      <w:r w:rsidRPr="00E47F58">
        <w:rPr>
          <w:rFonts w:ascii="Arial" w:hAnsi="Arial" w:cs="Arial"/>
          <w:sz w:val="20"/>
          <w:szCs w:val="20"/>
          <w:lang w:val="en-GB"/>
        </w:rPr>
        <w:t>The high values of the FCs (CV/CF) in the m</w:t>
      </w:r>
      <w:r w:rsidR="00E239F2" w:rsidRPr="00E47F58">
        <w:rPr>
          <w:rFonts w:ascii="Arial" w:hAnsi="Arial" w:cs="Arial"/>
          <w:sz w:val="20"/>
          <w:szCs w:val="20"/>
          <w:lang w:val="en-GB"/>
        </w:rPr>
        <w:t xml:space="preserve">etabolites in Table </w:t>
      </w:r>
      <w:r w:rsidRPr="00E47F58">
        <w:rPr>
          <w:rFonts w:ascii="Arial" w:hAnsi="Arial" w:cs="Arial"/>
          <w:sz w:val="20"/>
          <w:szCs w:val="20"/>
          <w:lang w:val="en-GB"/>
        </w:rPr>
        <w:t xml:space="preserve">4 suggests that the 3 weeks treatment with </w:t>
      </w:r>
      <w:r w:rsidRPr="00E47F58">
        <w:rPr>
          <w:rFonts w:ascii="Arial" w:hAnsi="Arial" w:cs="Arial"/>
          <w:i/>
          <w:iCs/>
          <w:sz w:val="20"/>
          <w:szCs w:val="20"/>
          <w:lang w:val="en-GB"/>
        </w:rPr>
        <w:t xml:space="preserve">C. vulgaris </w:t>
      </w:r>
      <w:r w:rsidR="00E239F2" w:rsidRPr="00E47F58">
        <w:rPr>
          <w:rFonts w:ascii="Arial" w:hAnsi="Arial" w:cs="Arial"/>
          <w:sz w:val="20"/>
          <w:szCs w:val="20"/>
          <w:lang w:val="en-GB"/>
        </w:rPr>
        <w:t>indicated high</w:t>
      </w:r>
      <w:r w:rsidRPr="00E47F58">
        <w:rPr>
          <w:rFonts w:ascii="Arial" w:hAnsi="Arial" w:cs="Arial"/>
          <w:sz w:val="20"/>
          <w:szCs w:val="20"/>
          <w:lang w:val="en-GB"/>
        </w:rPr>
        <w:t xml:space="preserve"> significant improvement in the </w:t>
      </w:r>
      <w:r w:rsidR="00E239F2" w:rsidRPr="00E47F58">
        <w:rPr>
          <w:rFonts w:ascii="Arial" w:hAnsi="Arial" w:cs="Arial"/>
          <w:sz w:val="20"/>
          <w:szCs w:val="20"/>
          <w:lang w:val="en-GB"/>
        </w:rPr>
        <w:t>up regulation</w:t>
      </w:r>
      <w:r w:rsidRPr="00E47F58">
        <w:rPr>
          <w:rFonts w:ascii="Arial" w:hAnsi="Arial" w:cs="Arial"/>
          <w:sz w:val="20"/>
          <w:szCs w:val="20"/>
          <w:lang w:val="en-GB"/>
        </w:rPr>
        <w:t xml:space="preserve"> of important metabolites which were known to improve innate immunity in fish; </w:t>
      </w:r>
      <w:r w:rsidRPr="00E47F58">
        <w:rPr>
          <w:rFonts w:ascii="Arial" w:hAnsi="Arial" w:cs="Arial"/>
          <w:bCs/>
          <w:sz w:val="20"/>
          <w:szCs w:val="20"/>
          <w:lang w:val="en-GB"/>
        </w:rPr>
        <w:t xml:space="preserve">Intra cellular levels of many amino acids were reported to significantly enhanced, indicative of increased biosynthesis required for T-cells growth and proliferation </w:t>
      </w:r>
      <w:r w:rsidRPr="00E47F58">
        <w:rPr>
          <w:rFonts w:ascii="Arial" w:hAnsi="Arial" w:cs="Arial"/>
          <w:bCs/>
          <w:sz w:val="20"/>
          <w:szCs w:val="20"/>
          <w:lang w:val="en-GB"/>
        </w:rPr>
        <w:fldChar w:fldCharType="begin" w:fldLock="1"/>
      </w:r>
      <w:r w:rsidR="00096F70">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2018)","manualFormatting":"(Everts, 2018; Wei et al., 2024)","plainTextFormattedCitation":"(Everts,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00E51220" w:rsidRPr="00E51220">
        <w:rPr>
          <w:rFonts w:ascii="Arial" w:hAnsi="Arial" w:cs="Arial"/>
          <w:bCs/>
          <w:noProof/>
          <w:sz w:val="20"/>
          <w:szCs w:val="20"/>
          <w:lang w:val="en-GB"/>
        </w:rPr>
        <w:t>(Everts, 2018</w:t>
      </w:r>
      <w:r w:rsidR="00096F70">
        <w:rPr>
          <w:rFonts w:ascii="Arial" w:hAnsi="Arial" w:cs="Arial"/>
          <w:bCs/>
          <w:noProof/>
          <w:sz w:val="20"/>
          <w:szCs w:val="20"/>
          <w:lang w:val="en-GB"/>
        </w:rPr>
        <w:t xml:space="preserve">; </w:t>
      </w:r>
      <w:r w:rsidR="00096F70" w:rsidRPr="00096F70">
        <w:rPr>
          <w:rFonts w:ascii="Arial" w:hAnsi="Arial" w:cs="Arial"/>
          <w:bCs/>
          <w:noProof/>
          <w:sz w:val="20"/>
          <w:szCs w:val="20"/>
          <w:highlight w:val="magenta"/>
          <w:lang w:val="en-GB"/>
        </w:rPr>
        <w:t>Wei et al., 2024</w:t>
      </w:r>
      <w:r w:rsidR="00E51220" w:rsidRPr="00096F70">
        <w:rPr>
          <w:rFonts w:ascii="Arial" w:hAnsi="Arial" w:cs="Arial"/>
          <w:bCs/>
          <w:noProof/>
          <w:sz w:val="20"/>
          <w:szCs w:val="20"/>
          <w:highlight w:val="magenta"/>
          <w:lang w:val="en-GB"/>
        </w:rPr>
        <w:t>)</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In addition, intracellular pools of fatty acids like palmitic acid, are also elevated, presumably acting as a pool to generate cell membranes suitable for immune cells proliferation </w:t>
      </w:r>
      <w:r w:rsidRPr="00E47F58">
        <w:rPr>
          <w:rFonts w:ascii="Arial" w:hAnsi="Arial" w:cs="Arial"/>
          <w:bCs/>
          <w:sz w:val="20"/>
          <w:szCs w:val="20"/>
          <w:lang w:val="en-GB"/>
        </w:rPr>
        <w:fldChar w:fldCharType="begin" w:fldLock="1"/>
      </w:r>
      <w:r w:rsidR="00096F70">
        <w:rPr>
          <w:rFonts w:ascii="Arial" w:hAnsi="Arial" w:cs="Arial"/>
          <w:bCs/>
          <w:sz w:val="20"/>
          <w:szCs w:val="20"/>
          <w:lang w:val="en-GB"/>
        </w:rPr>
        <w:instrText>ADDIN CSL_CITATION {"citationItems":[{"id":"ITEM-1","itemData":{"ISBN":"9781493975921","author":[{"dropping-particle":"","family":"Everts","given":"Bart","non-dropping-particle":"","parse-names":false,"suffix":""}],"container-title":"Clinical Metabolomics: Methods and Protocols, Methods in Molecular Biology","id":"ITEM-1","issue":"Lc","issued":{"date-parts":[["2018"]]},"page":"29-42","title":"Chapter 2 Metabolomics in Immunology Research","type":"chapter","volume":"1730"},"uris":["http://www.mendeley.com/documents/?uuid=d7999bc2-9948-4708-bb64-1cb1a170ad69","http://www.mendeley.com/documents/?uuid=9df41288-59b4-47c8-889c-42157646d987"]}],"mendeley":{"formattedCitation":"(Everts, 2018)","manualFormatting":"(Everts, 2018; Sheikhzadeh et al., 2023)","plainTextFormattedCitation":"(Everts, 2018)","previouslyFormattedCitation":"(Everts 2018)"},"properties":{"noteIndex":0},"schema":"https://github.com/citation-style-language/schema/raw/master/csl-citation.json"}</w:instrText>
      </w:r>
      <w:r w:rsidRPr="00E47F58">
        <w:rPr>
          <w:rFonts w:ascii="Arial" w:hAnsi="Arial" w:cs="Arial"/>
          <w:bCs/>
          <w:sz w:val="20"/>
          <w:szCs w:val="20"/>
          <w:lang w:val="en-GB"/>
        </w:rPr>
        <w:fldChar w:fldCharType="separate"/>
      </w:r>
      <w:r w:rsidR="00E51220" w:rsidRPr="00E51220">
        <w:rPr>
          <w:rFonts w:ascii="Arial" w:hAnsi="Arial" w:cs="Arial"/>
          <w:bCs/>
          <w:noProof/>
          <w:sz w:val="20"/>
          <w:szCs w:val="20"/>
          <w:lang w:val="en-GB"/>
        </w:rPr>
        <w:t>(Everts, 2018</w:t>
      </w:r>
      <w:r w:rsidR="00096F70">
        <w:rPr>
          <w:rFonts w:ascii="Arial" w:hAnsi="Arial" w:cs="Arial"/>
          <w:bCs/>
          <w:noProof/>
          <w:sz w:val="20"/>
          <w:szCs w:val="20"/>
          <w:lang w:val="en-GB"/>
        </w:rPr>
        <w:t xml:space="preserve">; </w:t>
      </w:r>
      <w:r w:rsidR="00096F70" w:rsidRPr="00096F70">
        <w:rPr>
          <w:rFonts w:ascii="Arial" w:hAnsi="Arial" w:cs="Arial"/>
          <w:bCs/>
          <w:noProof/>
          <w:sz w:val="20"/>
          <w:szCs w:val="20"/>
          <w:highlight w:val="magenta"/>
          <w:lang w:val="en-GB"/>
        </w:rPr>
        <w:t>Sheikhzadeh et al., 2023</w:t>
      </w:r>
      <w:r w:rsidR="00E51220" w:rsidRPr="00E51220">
        <w:rPr>
          <w:rFonts w:ascii="Arial" w:hAnsi="Arial" w:cs="Arial"/>
          <w:bCs/>
          <w:noProof/>
          <w:sz w:val="20"/>
          <w:szCs w:val="20"/>
          <w:lang w:val="en-GB"/>
        </w:rPr>
        <w:t>)</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Thus, the levels of alanine, arginine and palmitic acid in this research, were noticed to greatly increase in the treated groups as compared to the control fish population. In addition, most member compounds from Krebs cycle (TCA cycle) especially the amino acids, their abundance is critically involved in inflammatory processes and immune responses of the cells </w:t>
      </w:r>
      <w:r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{"citationItems":[{"id":"ITEM-1","itemData":{"DOI":"10.3390/vaccines7040142","ISSN":"2076393X","abstract":"Honey bee venom has been established to have significant effect in immunotherapy. In the present study, (Z)-11-eicosenol-a major constituent of bee venom, along with its derivations methyl cis-11-eicosenoate and cis-11-eicosenoic acid, were synthesised to investigate their immune stimulatory effect and possible use as vaccine adjuvants. Stimuli that prime and activate the immune system have exerted profound effects on immune cells, particularly macrophages; however, the effectiveness of bee venom constituents as immune stimulants has not yet been established. Here, the abilities of these compounds to act as pro-inflammatory stimuli were assessed, either alone or in combination with lipopolysaccharide (LPS), by examining the secretion of tumour necrosis factor-α (TNF-α) and the cytokines interleukin-1β (IL-1β), IL-6 and IL-10 by THP-1 macrophages. The compounds clearly increased the levels of IL-1β and decreased IL-10, whereas a decrease in IL-6 levels suggested a complex mechanism of action. A more in-depth profile of macrophage behaviour was therefore obtained by comprehensive untargeted metabolic profiling of the cells using liquid chromatography mass spectrometry (LC-MS) to confirm the ability of the eicosanoids to trigger the immune system. The level of 358 polar and 315 non-polar metabolites were changed significantly (p &lt; 0.05) by all treatments. The LPS-stimulated production of most of the inflammatory metabolite biomarkers in glycolysis, the tricarboxylic acid (TCA) cycle, the pentose phosphate pathway, purine, pyrimidine and fatty acids metabolism were significantly enhanced by all three compounds, and particularly by methyl cis-11-eicosenoate and cis-11-eicosenoic acid. These findings support the proposed actions of (Z)-11-eicosenol, methyl cis-11-eicosenoate and cis-11-eicosenoic acid as immune system stimulators.","author":[{"dropping-particle":"","family":"Alqarni","given":"Abdulmalik M.","non-dropping-particle":"","parse-names":false,"suffix":""},{"dropping-particle":"","family":"Dissanayake","given":"Tharushi","non-dropping-particle":"","parse-names":false,"suffix":""},{"dropping-particle":"","family":"Nelson","given":"David J.","non-dropping-particle":"","parse-names":false,"suffix":""},{"dropping-particle":"","family":"Parkinson","given":"John A.","non-dropping-particle":"","parse-names":false,"suffix":""},{"dropping-particle":"","family":"Dufton","given":"Mark J.","non-dropping-particle":"","parse-names":false,"suffix":""},{"dropping-particle":"","family":"Ferro","given":"Valerie A.","non-dropping-particle":"","parse-names":false,"suffix":""},{"dropping-particle":"","family":"Watson","given":"David G.","non-dropping-particle":"","parse-names":false,"suffix":""}],"container-title":"Vaccines","id":"ITEM-1","issue":"4","issued":{"date-parts":[["2019"]]},"title":"Metabolomic profiling of the immune stimulatory effect of eicosenoids on PMA-differentiated THP-1 cells","type":"article-journal","volume":"7"},"uris":["http://www.mendeley.com/documents/?uuid=e5bd9657-c6cb-47d5-a82d-d3e1be3d1ff4","http://www.mendeley.com/documents/?uuid=eb005b79-f50a-4f1f-8a87-ef2a16b2ce6b"]}],"mendeley":{"formattedCitation":"(Alqarni et al., 2019)","plainTextFormattedCitation":"(Alqarni et al., 2019)","previouslyFormattedCitation":"(Alqarni et al. 2019)"},"properties":{"noteIndex":0},"schema":"https://github.com/citation-style-language/schema/raw/master/csl-citation.json"}</w:instrText>
      </w:r>
      <w:r w:rsidRPr="00E47F58">
        <w:rPr>
          <w:rFonts w:ascii="Arial" w:hAnsi="Arial" w:cs="Arial"/>
          <w:bCs/>
          <w:sz w:val="20"/>
          <w:szCs w:val="20"/>
          <w:lang w:val="en-GB"/>
        </w:rPr>
        <w:fldChar w:fldCharType="separate"/>
      </w:r>
      <w:r w:rsidR="00E51220" w:rsidRPr="00E51220">
        <w:rPr>
          <w:rFonts w:ascii="Arial" w:hAnsi="Arial" w:cs="Arial"/>
          <w:bCs/>
          <w:noProof/>
          <w:sz w:val="20"/>
          <w:szCs w:val="20"/>
          <w:lang w:val="en-GB"/>
        </w:rPr>
        <w:t>(Alqarni et al., 2019)</w:t>
      </w:r>
      <w:r w:rsidRPr="00E47F58">
        <w:rPr>
          <w:rFonts w:ascii="Arial" w:hAnsi="Arial" w:cs="Arial"/>
          <w:bCs/>
          <w:sz w:val="20"/>
          <w:szCs w:val="20"/>
          <w:lang w:val="en-GB"/>
        </w:rPr>
        <w:fldChar w:fldCharType="end"/>
      </w:r>
      <w:r w:rsidRPr="00E47F58">
        <w:rPr>
          <w:rFonts w:ascii="Arial" w:hAnsi="Arial" w:cs="Arial"/>
          <w:bCs/>
          <w:sz w:val="20"/>
          <w:szCs w:val="20"/>
          <w:lang w:val="en-GB"/>
        </w:rPr>
        <w:t xml:space="preserve">. </w:t>
      </w:r>
    </w:p>
    <w:p w14:paraId="6D3862FE" w14:textId="2ABE72BA" w:rsidR="00EB6AE8" w:rsidRPr="00E47F58" w:rsidRDefault="00A60DD7" w:rsidP="00E47F58">
      <w:pPr>
        <w:pStyle w:val="Heading3"/>
        <w:rPr>
          <w:sz w:val="20"/>
          <w:szCs w:val="20"/>
          <w:lang w:val="en-GB"/>
        </w:rPr>
      </w:pPr>
      <w:bookmarkStart w:id="45" w:name="_Toc49955761"/>
      <w:bookmarkStart w:id="46" w:name="_Toc50652452"/>
      <w:r>
        <w:rPr>
          <w:sz w:val="20"/>
          <w:szCs w:val="20"/>
          <w:lang w:val="en-GB"/>
        </w:rPr>
        <w:t>3.</w:t>
      </w:r>
      <w:r w:rsidR="004B090C" w:rsidRPr="00E47F58">
        <w:rPr>
          <w:sz w:val="20"/>
          <w:szCs w:val="20"/>
          <w:lang w:val="en-GB"/>
        </w:rPr>
        <w:t>6</w:t>
      </w:r>
      <w:r w:rsidR="004B090C" w:rsidRPr="00E47F58">
        <w:rPr>
          <w:sz w:val="20"/>
          <w:szCs w:val="20"/>
          <w:lang w:val="en-GB"/>
        </w:rPr>
        <w:tab/>
      </w:r>
      <w:r w:rsidR="00EB6AE8" w:rsidRPr="00E47F58">
        <w:rPr>
          <w:sz w:val="20"/>
          <w:szCs w:val="20"/>
          <w:lang w:val="en-GB"/>
        </w:rPr>
        <w:t xml:space="preserve">Effect of </w:t>
      </w:r>
      <w:r w:rsidR="00EB6AE8" w:rsidRPr="00E47F58">
        <w:rPr>
          <w:i/>
          <w:iCs/>
          <w:sz w:val="20"/>
          <w:szCs w:val="20"/>
          <w:lang w:val="en-GB"/>
        </w:rPr>
        <w:t xml:space="preserve">Streptococcus agalactiae </w:t>
      </w:r>
      <w:r w:rsidR="00EB6AE8" w:rsidRPr="00E47F58">
        <w:rPr>
          <w:sz w:val="20"/>
          <w:szCs w:val="20"/>
          <w:lang w:val="en-GB"/>
        </w:rPr>
        <w:t>bacteria on the experimental fish</w:t>
      </w:r>
      <w:bookmarkEnd w:id="45"/>
      <w:bookmarkEnd w:id="46"/>
    </w:p>
    <w:p w14:paraId="273AA1DC"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To evaluate the effect of the bacterial challenge on the experimental fish using MVA, spleen samples from control fish (CF) was plotted against spleen samples from control fish challenged (CFC) in an OPLS-DA score plot model</w:t>
      </w:r>
      <w:r w:rsidR="00DF376A" w:rsidRPr="00E47F58">
        <w:rPr>
          <w:rFonts w:ascii="Arial" w:hAnsi="Arial" w:cs="Arial"/>
          <w:sz w:val="20"/>
          <w:szCs w:val="20"/>
          <w:lang w:val="en-GB"/>
        </w:rPr>
        <w:t xml:space="preserve">. Figure </w:t>
      </w:r>
      <w:r w:rsidRPr="00E47F58">
        <w:rPr>
          <w:rFonts w:ascii="Arial" w:hAnsi="Arial" w:cs="Arial"/>
          <w:sz w:val="20"/>
          <w:szCs w:val="20"/>
          <w:lang w:val="en-GB"/>
        </w:rPr>
        <w:t>7A shows that there was clear obvious separation between CF and CFC as suggested by PC1, with great class discriminant statistical values of R2X and Q2 of 0.819 and  0.734 respectively, in which the PC1 explained a total variance of 27.4% and PC2 25.8%.</w:t>
      </w:r>
    </w:p>
    <w:p w14:paraId="0F604ADE"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most significant metabolites responsible for the variation of these two groups are shown in the S-plot</w:t>
      </w:r>
      <w:r w:rsidR="00DF376A" w:rsidRPr="00E47F58">
        <w:rPr>
          <w:rFonts w:ascii="Arial" w:hAnsi="Arial" w:cs="Arial"/>
          <w:sz w:val="20"/>
          <w:szCs w:val="20"/>
          <w:lang w:val="en-GB"/>
        </w:rPr>
        <w:t xml:space="preserve"> of the OPLS-DA model (Figure </w:t>
      </w:r>
      <w:r w:rsidRPr="00E47F58">
        <w:rPr>
          <w:rFonts w:ascii="Arial" w:hAnsi="Arial" w:cs="Arial"/>
          <w:sz w:val="20"/>
          <w:szCs w:val="20"/>
          <w:lang w:val="en-GB"/>
        </w:rPr>
        <w:t>7B).</w:t>
      </w:r>
    </w:p>
    <w:p w14:paraId="7C24E73C" w14:textId="1A4CCC5E" w:rsidR="00151BFC" w:rsidRPr="00E47F58" w:rsidRDefault="00455D82" w:rsidP="00151BFC">
      <w:pPr>
        <w:pStyle w:val="Caption"/>
        <w:jc w:val="center"/>
        <w:rPr>
          <w:rFonts w:ascii="Arial" w:hAnsi="Arial" w:cs="Arial"/>
          <w:sz w:val="20"/>
          <w:szCs w:val="20"/>
        </w:rPr>
      </w:pPr>
      <w:bookmarkStart w:id="47" w:name="_Toc50653943"/>
      <w:r>
        <w:rPr>
          <w:rFonts w:ascii="Arial" w:hAnsi="Arial" w:cs="Arial"/>
          <w:noProof/>
          <w:sz w:val="20"/>
          <w:szCs w:val="20"/>
        </w:rPr>
        <w:lastRenderedPageBreak/>
        <w:drawing>
          <wp:inline distT="0" distB="0" distL="0" distR="0" wp14:anchorId="33AC6D63" wp14:editId="71746B7F">
            <wp:extent cx="4925695" cy="5846445"/>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5695" cy="5846445"/>
                    </a:xfrm>
                    <a:prstGeom prst="rect">
                      <a:avLst/>
                    </a:prstGeom>
                    <a:noFill/>
                  </pic:spPr>
                </pic:pic>
              </a:graphicData>
            </a:graphic>
          </wp:inline>
        </w:drawing>
      </w:r>
    </w:p>
    <w:p w14:paraId="2EC7D8AB" w14:textId="1EE10B25" w:rsidR="00EB6AE8" w:rsidRPr="00E47F58" w:rsidRDefault="00EB6AE8" w:rsidP="00EB6AE8">
      <w:pPr>
        <w:pStyle w:val="Caption"/>
        <w:rPr>
          <w:rFonts w:ascii="Arial" w:hAnsi="Arial" w:cs="Arial"/>
          <w:sz w:val="20"/>
          <w:szCs w:val="20"/>
        </w:rPr>
      </w:pPr>
      <w:r w:rsidRPr="00E47F58">
        <w:rPr>
          <w:rFonts w:ascii="Arial" w:hAnsi="Arial" w:cs="Arial"/>
          <w:sz w:val="20"/>
          <w:szCs w:val="20"/>
        </w:rPr>
        <w:t>Figure</w:t>
      </w:r>
      <w:r w:rsidR="00DF376A"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7</w:t>
      </w:r>
      <w:r w:rsidR="0022766E" w:rsidRPr="00E47F58">
        <w:rPr>
          <w:rFonts w:ascii="Arial" w:hAnsi="Arial" w:cs="Arial"/>
          <w:noProof/>
          <w:sz w:val="20"/>
          <w:szCs w:val="20"/>
        </w:rPr>
        <w:fldChar w:fldCharType="end"/>
      </w:r>
      <w:r w:rsidRPr="00E47F58">
        <w:rPr>
          <w:rFonts w:ascii="Arial" w:hAnsi="Arial" w:cs="Arial"/>
          <w:sz w:val="20"/>
          <w:szCs w:val="20"/>
        </w:rPr>
        <w:t xml:space="preserve"> : A; O</w:t>
      </w:r>
      <w:r w:rsidRPr="00E47F58">
        <w:rPr>
          <w:rFonts w:ascii="Arial" w:hAnsi="Arial" w:cs="Arial"/>
          <w:sz w:val="20"/>
          <w:szCs w:val="20"/>
          <w:lang w:val="en-GB"/>
        </w:rPr>
        <w:t xml:space="preserve">PLS-DA score plot of control fish challenged (CFC) and the control fish (CF) showing their variability by PC1, </w:t>
      </w:r>
      <w:r w:rsidRPr="00E47F58">
        <w:rPr>
          <w:rFonts w:ascii="Arial" w:hAnsi="Arial" w:cs="Arial"/>
          <w:sz w:val="20"/>
          <w:szCs w:val="20"/>
        </w:rPr>
        <w:t>B; O</w:t>
      </w:r>
      <w:r w:rsidRPr="00E47F58">
        <w:rPr>
          <w:rFonts w:ascii="Arial" w:hAnsi="Arial" w:cs="Arial"/>
          <w:sz w:val="20"/>
          <w:szCs w:val="20"/>
          <w:lang w:val="en-GB"/>
        </w:rPr>
        <w:t>PLS-DA S-plot showing metabolites which are greatly affected by the bacterial challenge and which contributed for the separation of CFC and CF by PC1</w:t>
      </w:r>
      <w:bookmarkEnd w:id="47"/>
      <w:r w:rsidR="0092566B">
        <w:rPr>
          <w:rFonts w:ascii="Arial" w:hAnsi="Arial" w:cs="Arial"/>
          <w:sz w:val="20"/>
          <w:szCs w:val="20"/>
          <w:lang w:val="en-GB"/>
        </w:rPr>
        <w:t xml:space="preserve"> </w:t>
      </w:r>
      <w:r w:rsidR="0092566B" w:rsidRPr="00507B49">
        <w:rPr>
          <w:rFonts w:ascii="Arial" w:hAnsi="Arial" w:cs="Arial"/>
          <w:sz w:val="20"/>
          <w:szCs w:val="20"/>
          <w:highlight w:val="yellow"/>
          <w:lang w:val="en-GB"/>
        </w:rPr>
        <w:t xml:space="preserve">and </w:t>
      </w:r>
      <w:r w:rsidR="0092566B">
        <w:rPr>
          <w:rFonts w:ascii="Arial" w:hAnsi="Arial" w:cs="Arial"/>
          <w:sz w:val="20"/>
          <w:szCs w:val="20"/>
          <w:highlight w:val="yellow"/>
          <w:lang w:val="en-GB"/>
        </w:rPr>
        <w:t xml:space="preserve">suggested </w:t>
      </w:r>
      <w:r w:rsidR="0092566B" w:rsidRPr="00507B49">
        <w:rPr>
          <w:rFonts w:ascii="Arial" w:hAnsi="Arial" w:cs="Arial"/>
          <w:sz w:val="20"/>
          <w:szCs w:val="20"/>
          <w:highlight w:val="yellow"/>
          <w:lang w:val="en-GB"/>
        </w:rPr>
        <w:t>up regulated/down regulated metabolites.</w:t>
      </w:r>
      <w:r w:rsidR="00151BFC" w:rsidRPr="00E47F58">
        <w:rPr>
          <w:rFonts w:ascii="Arial" w:hAnsi="Arial" w:cs="Arial"/>
          <w:sz w:val="20"/>
          <w:szCs w:val="20"/>
          <w:lang w:val="en-GB"/>
        </w:rPr>
        <w:t>.</w:t>
      </w:r>
    </w:p>
    <w:p w14:paraId="43CFD2F1" w14:textId="77777777" w:rsidR="00EB6AE8" w:rsidRPr="00E47F58" w:rsidRDefault="00EB6AE8" w:rsidP="00EB6AE8">
      <w:pPr>
        <w:pStyle w:val="j"/>
        <w:rPr>
          <w:rFonts w:ascii="Arial" w:hAnsi="Arial" w:cs="Arial"/>
          <w:sz w:val="20"/>
          <w:szCs w:val="20"/>
          <w:lang w:val="en-GB"/>
        </w:rPr>
      </w:pPr>
    </w:p>
    <w:p w14:paraId="16DC3195"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It can be deduced fr</w:t>
      </w:r>
      <w:r w:rsidR="00DF376A" w:rsidRPr="00E47F58">
        <w:rPr>
          <w:rFonts w:ascii="Arial" w:hAnsi="Arial" w:cs="Arial"/>
          <w:sz w:val="20"/>
          <w:szCs w:val="20"/>
          <w:lang w:val="en-GB"/>
        </w:rPr>
        <w:t xml:space="preserve">om figure </w:t>
      </w:r>
      <w:r w:rsidRPr="00E47F58">
        <w:rPr>
          <w:rFonts w:ascii="Arial" w:hAnsi="Arial" w:cs="Arial"/>
          <w:sz w:val="20"/>
          <w:szCs w:val="20"/>
          <w:lang w:val="en-GB"/>
        </w:rPr>
        <w:t xml:space="preserve">7B that most distinguishing metabolites between CF and CFC are found in the lower left quadrant of the S-plot. This indicate that most of the important distinguishing metabolites were significantly decreased as a result of bacterial challenge on the experimental fish. This can be viewed as a negative effect of bacterial challenge on </w:t>
      </w:r>
      <w:r w:rsidR="00DF376A" w:rsidRPr="00E47F58">
        <w:rPr>
          <w:rFonts w:ascii="Arial" w:hAnsi="Arial" w:cs="Arial"/>
          <w:sz w:val="20"/>
          <w:szCs w:val="20"/>
          <w:lang w:val="en-GB"/>
        </w:rPr>
        <w:t xml:space="preserve">experimental </w:t>
      </w:r>
      <w:r w:rsidRPr="00E47F58">
        <w:rPr>
          <w:rFonts w:ascii="Arial" w:hAnsi="Arial" w:cs="Arial"/>
          <w:sz w:val="20"/>
          <w:szCs w:val="20"/>
          <w:lang w:val="en-GB"/>
        </w:rPr>
        <w:t>tilapia fish.</w:t>
      </w:r>
    </w:p>
    <w:p w14:paraId="1866E64A"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The metabolites which made the criteria for VIP due to bacterial challenge on the experimental fish in decreasing order of VIP values include oleic acid, histamine, valine, glucose, choline, alanine, palmitic acid, isoleucine, taurine, glycine, glycolate, proline, arginine, methionine, linoleic acid, glutamic acid, leucine, stearic acid, linolenic acid, creatine and riboflavin. These VIP metabolites which play the most important role in discriminating CFC from CF were also subjected to metabolite fold change assessment to investigate </w:t>
      </w:r>
      <w:r w:rsidRPr="00E47F58">
        <w:rPr>
          <w:rFonts w:ascii="Arial" w:hAnsi="Arial" w:cs="Arial"/>
          <w:sz w:val="20"/>
          <w:szCs w:val="20"/>
          <w:lang w:val="en-GB"/>
        </w:rPr>
        <w:lastRenderedPageBreak/>
        <w:t>their regulation as a</w:t>
      </w:r>
      <w:r w:rsidR="00DF376A" w:rsidRPr="00E47F58">
        <w:rPr>
          <w:rFonts w:ascii="Arial" w:hAnsi="Arial" w:cs="Arial"/>
          <w:sz w:val="20"/>
          <w:szCs w:val="20"/>
          <w:lang w:val="en-GB"/>
        </w:rPr>
        <w:t xml:space="preserve"> result of bacterial challenge. </w:t>
      </w:r>
      <w:r w:rsidRPr="00E47F58">
        <w:rPr>
          <w:rFonts w:ascii="Arial" w:hAnsi="Arial" w:cs="Arial"/>
          <w:sz w:val="20"/>
          <w:szCs w:val="20"/>
          <w:lang w:val="en-GB"/>
        </w:rPr>
        <w:t xml:space="preserve">The metabolite fold change as a result of bacterial challenge in control fish (CF/CFC) was found to be significantly high with five of the VIP metabolites. Table 5 shows the NMR signal assignment for major biomarkers of bacterial challenge by </w:t>
      </w:r>
      <w:r w:rsidRPr="00E47F58">
        <w:rPr>
          <w:rFonts w:ascii="Arial" w:hAnsi="Arial" w:cs="Arial"/>
          <w:i/>
          <w:iCs/>
          <w:sz w:val="20"/>
          <w:szCs w:val="20"/>
          <w:lang w:val="en-GB"/>
        </w:rPr>
        <w:t>S. agalactiae</w:t>
      </w:r>
      <w:r w:rsidRPr="00E47F58">
        <w:rPr>
          <w:rFonts w:ascii="Arial" w:hAnsi="Arial" w:cs="Arial"/>
          <w:sz w:val="20"/>
          <w:szCs w:val="20"/>
          <w:lang w:val="en-GB"/>
        </w:rPr>
        <w:t xml:space="preserve"> with the highest FC, their fold change values and the associated metabolic pathways on day 28 after 7 days of bacterial challenge with concentration of 1x10</w:t>
      </w:r>
      <w:r w:rsidRPr="00E47F58">
        <w:rPr>
          <w:rFonts w:ascii="Arial" w:hAnsi="Arial" w:cs="Arial"/>
          <w:sz w:val="20"/>
          <w:szCs w:val="20"/>
          <w:vertAlign w:val="superscript"/>
          <w:lang w:val="en-GB"/>
        </w:rPr>
        <w:t xml:space="preserve">8 </w:t>
      </w:r>
      <w:r w:rsidRPr="00E47F58">
        <w:rPr>
          <w:rFonts w:ascii="Arial" w:hAnsi="Arial" w:cs="Arial"/>
          <w:sz w:val="20"/>
          <w:szCs w:val="20"/>
          <w:lang w:val="en-GB"/>
        </w:rPr>
        <w:t xml:space="preserve">CFU/mL </w:t>
      </w:r>
      <w:r w:rsidRPr="00E47F58">
        <w:rPr>
          <w:rFonts w:ascii="Arial" w:hAnsi="Arial" w:cs="Arial"/>
          <w:i/>
          <w:iCs/>
          <w:sz w:val="20"/>
          <w:szCs w:val="20"/>
          <w:lang w:val="en-GB"/>
        </w:rPr>
        <w:t>S. agalactiae</w:t>
      </w:r>
      <w:r w:rsidRPr="00E47F58">
        <w:rPr>
          <w:rFonts w:ascii="Arial" w:hAnsi="Arial" w:cs="Arial"/>
          <w:sz w:val="20"/>
          <w:szCs w:val="20"/>
          <w:lang w:val="en-GB"/>
        </w:rPr>
        <w:t>. These compounds are linoleic acid, stearic acid, arginine, palmitic acid and linolenic acid with a high</w:t>
      </w:r>
      <w:r w:rsidR="00E40B22" w:rsidRPr="00E47F58">
        <w:rPr>
          <w:rFonts w:ascii="Arial" w:hAnsi="Arial" w:cs="Arial"/>
          <w:sz w:val="20"/>
          <w:szCs w:val="20"/>
          <w:lang w:val="en-GB"/>
        </w:rPr>
        <w:t>est</w:t>
      </w:r>
      <w:r w:rsidRPr="00E47F58">
        <w:rPr>
          <w:rFonts w:ascii="Arial" w:hAnsi="Arial" w:cs="Arial"/>
          <w:sz w:val="20"/>
          <w:szCs w:val="20"/>
          <w:lang w:val="en-GB"/>
        </w:rPr>
        <w:t xml:space="preserve"> down</w:t>
      </w:r>
      <w:r w:rsidR="00E40B22" w:rsidRPr="00E47F58">
        <w:rPr>
          <w:rFonts w:ascii="Arial" w:hAnsi="Arial" w:cs="Arial"/>
          <w:sz w:val="20"/>
          <w:szCs w:val="20"/>
          <w:lang w:val="en-GB"/>
        </w:rPr>
        <w:t xml:space="preserve"> </w:t>
      </w:r>
      <w:r w:rsidRPr="00E47F58">
        <w:rPr>
          <w:rFonts w:ascii="Arial" w:hAnsi="Arial" w:cs="Arial"/>
          <w:sz w:val="20"/>
          <w:szCs w:val="20"/>
          <w:lang w:val="en-GB"/>
        </w:rPr>
        <w:t>regulation in linoleic acid level of more than 33 times in CFC due to the bacterial chall</w:t>
      </w:r>
      <w:r w:rsidR="00E40B22" w:rsidRPr="00E47F58">
        <w:rPr>
          <w:rFonts w:ascii="Arial" w:hAnsi="Arial" w:cs="Arial"/>
          <w:sz w:val="20"/>
          <w:szCs w:val="20"/>
          <w:lang w:val="en-GB"/>
        </w:rPr>
        <w:t xml:space="preserve">enge as compared to CF (Table </w:t>
      </w:r>
      <w:r w:rsidRPr="00E47F58">
        <w:rPr>
          <w:rFonts w:ascii="Arial" w:hAnsi="Arial" w:cs="Arial"/>
          <w:sz w:val="20"/>
          <w:szCs w:val="20"/>
          <w:lang w:val="en-GB"/>
        </w:rPr>
        <w:t>5).</w:t>
      </w:r>
    </w:p>
    <w:p w14:paraId="3E9D7176" w14:textId="77777777" w:rsidR="00EB6AE8" w:rsidRPr="00E47F58" w:rsidRDefault="00EB6AE8" w:rsidP="00EB6AE8">
      <w:pPr>
        <w:pStyle w:val="Caption"/>
        <w:keepNext/>
        <w:rPr>
          <w:rFonts w:ascii="Arial" w:hAnsi="Arial" w:cs="Arial"/>
          <w:sz w:val="20"/>
          <w:szCs w:val="20"/>
        </w:rPr>
      </w:pPr>
      <w:bookmarkStart w:id="48" w:name="_Toc50652954"/>
      <w:r w:rsidRPr="00E47F58">
        <w:rPr>
          <w:rFonts w:ascii="Arial" w:hAnsi="Arial" w:cs="Arial"/>
          <w:sz w:val="20"/>
          <w:szCs w:val="20"/>
        </w:rPr>
        <w:t>Table</w:t>
      </w:r>
      <w:r w:rsidR="00E40B22"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5</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 xml:space="preserve">S. agalactiae </w:t>
      </w:r>
      <w:r w:rsidRPr="00E47F58">
        <w:rPr>
          <w:rFonts w:ascii="Arial" w:hAnsi="Arial" w:cs="Arial"/>
          <w:sz w:val="20"/>
          <w:szCs w:val="20"/>
        </w:rPr>
        <w:t>challenge on control fish</w:t>
      </w:r>
      <w:bookmarkEnd w:id="48"/>
    </w:p>
    <w:p w14:paraId="391687C5"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336"/>
        <w:gridCol w:w="2338"/>
        <w:gridCol w:w="2338"/>
        <w:gridCol w:w="2338"/>
      </w:tblGrid>
      <w:tr w:rsidR="00EB6AE8" w:rsidRPr="00E47F58" w14:paraId="0B2CEDFA" w14:textId="77777777" w:rsidTr="00E40B22">
        <w:trPr>
          <w:jc w:val="center"/>
        </w:trPr>
        <w:tc>
          <w:tcPr>
            <w:tcW w:w="1249" w:type="pct"/>
          </w:tcPr>
          <w:p w14:paraId="30636A7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250" w:type="pct"/>
          </w:tcPr>
          <w:p w14:paraId="70F8C95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Chemical shift (ppm)</w:t>
            </w:r>
          </w:p>
        </w:tc>
        <w:tc>
          <w:tcPr>
            <w:tcW w:w="1250" w:type="pct"/>
          </w:tcPr>
          <w:p w14:paraId="13504A6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0A43DFFD"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(CF/CFC)</w:t>
            </w:r>
          </w:p>
        </w:tc>
        <w:tc>
          <w:tcPr>
            <w:tcW w:w="1250" w:type="pct"/>
          </w:tcPr>
          <w:p w14:paraId="68F49CB6"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Metabolic pathway</w:t>
            </w:r>
          </w:p>
        </w:tc>
      </w:tr>
      <w:tr w:rsidR="00EB6AE8" w:rsidRPr="00E47F58" w14:paraId="5B23785A" w14:textId="77777777" w:rsidTr="00E40B22">
        <w:trPr>
          <w:jc w:val="center"/>
        </w:trPr>
        <w:tc>
          <w:tcPr>
            <w:tcW w:w="1249" w:type="pct"/>
          </w:tcPr>
          <w:p w14:paraId="55B24CF6"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Linoleic acid</w:t>
            </w:r>
          </w:p>
          <w:p w14:paraId="343F5B99"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7DA9DB7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0.78</w:t>
            </w:r>
          </w:p>
        </w:tc>
        <w:tc>
          <w:tcPr>
            <w:tcW w:w="1250" w:type="pct"/>
          </w:tcPr>
          <w:p w14:paraId="7854563D"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33.275</w:t>
            </w:r>
          </w:p>
          <w:p w14:paraId="567D5A6B"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2202A93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5D197E3A" w14:textId="77777777" w:rsidTr="00E40B22">
        <w:trPr>
          <w:jc w:val="center"/>
        </w:trPr>
        <w:tc>
          <w:tcPr>
            <w:tcW w:w="1249" w:type="pct"/>
          </w:tcPr>
          <w:p w14:paraId="7ACD03D0"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Stearic acid</w:t>
            </w:r>
          </w:p>
          <w:p w14:paraId="26182AB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082B748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1.14</w:t>
            </w:r>
          </w:p>
        </w:tc>
        <w:tc>
          <w:tcPr>
            <w:tcW w:w="1250" w:type="pct"/>
          </w:tcPr>
          <w:p w14:paraId="0622A59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18.457</w:t>
            </w:r>
          </w:p>
          <w:p w14:paraId="7A37EC1E"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4E6A3FA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Linoleic acid metabolism</w:t>
            </w:r>
          </w:p>
        </w:tc>
      </w:tr>
      <w:tr w:rsidR="00EB6AE8" w:rsidRPr="00E47F58" w14:paraId="60EA612F" w14:textId="77777777" w:rsidTr="00E40B22">
        <w:trPr>
          <w:jc w:val="center"/>
        </w:trPr>
        <w:tc>
          <w:tcPr>
            <w:tcW w:w="1249" w:type="pct"/>
          </w:tcPr>
          <w:p w14:paraId="360C619F"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Arginine</w:t>
            </w:r>
          </w:p>
          <w:p w14:paraId="1409CF7B"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5769566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1.58</w:t>
            </w:r>
          </w:p>
        </w:tc>
        <w:tc>
          <w:tcPr>
            <w:tcW w:w="1250" w:type="pct"/>
          </w:tcPr>
          <w:p w14:paraId="7F25B55D"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3.2914</w:t>
            </w:r>
          </w:p>
          <w:p w14:paraId="64ABB734"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2AA0410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Arginine and proline metabolism</w:t>
            </w:r>
          </w:p>
        </w:tc>
      </w:tr>
      <w:tr w:rsidR="00EB6AE8" w:rsidRPr="00E47F58" w14:paraId="45A60F44" w14:textId="77777777" w:rsidTr="00E40B22">
        <w:trPr>
          <w:jc w:val="center"/>
        </w:trPr>
        <w:tc>
          <w:tcPr>
            <w:tcW w:w="1249" w:type="pct"/>
          </w:tcPr>
          <w:p w14:paraId="1A9F2D28"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p w14:paraId="67940C4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35A7FB33"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0.90</w:t>
            </w:r>
          </w:p>
        </w:tc>
        <w:tc>
          <w:tcPr>
            <w:tcW w:w="1250" w:type="pct"/>
          </w:tcPr>
          <w:p w14:paraId="085CB397"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2.7551</w:t>
            </w:r>
          </w:p>
          <w:p w14:paraId="67625616"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250" w:type="pct"/>
          </w:tcPr>
          <w:p w14:paraId="428D669B"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Amino acid metabolism</w:t>
            </w:r>
          </w:p>
        </w:tc>
      </w:tr>
      <w:tr w:rsidR="00EB6AE8" w:rsidRPr="00E47F58" w14:paraId="661CF923" w14:textId="77777777" w:rsidTr="00E40B22">
        <w:trPr>
          <w:jc w:val="center"/>
        </w:trPr>
        <w:tc>
          <w:tcPr>
            <w:tcW w:w="1249" w:type="pct"/>
          </w:tcPr>
          <w:p w14:paraId="0EA47E12"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Linolenic acid</w:t>
            </w:r>
          </w:p>
          <w:p w14:paraId="57852E43" w14:textId="77777777" w:rsidR="00EB6AE8" w:rsidRPr="00E47F58" w:rsidRDefault="00EB6AE8" w:rsidP="00EB6AE8">
            <w:pPr>
              <w:spacing w:after="0" w:line="240" w:lineRule="auto"/>
              <w:jc w:val="both"/>
              <w:rPr>
                <w:rFonts w:ascii="Arial" w:hAnsi="Arial" w:cs="Arial"/>
                <w:color w:val="000000" w:themeColor="text1"/>
              </w:rPr>
            </w:pPr>
          </w:p>
        </w:tc>
        <w:tc>
          <w:tcPr>
            <w:tcW w:w="1250" w:type="pct"/>
          </w:tcPr>
          <w:p w14:paraId="2B4CA33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δ</w:t>
            </w:r>
            <w:r w:rsidRPr="00E47F58">
              <w:rPr>
                <w:rFonts w:ascii="Arial" w:hAnsi="Arial" w:cs="Arial"/>
                <w:color w:val="000000" w:themeColor="text1"/>
                <w:lang w:val="en-GB"/>
              </w:rPr>
              <w:t xml:space="preserve"> 1.10</w:t>
            </w:r>
          </w:p>
        </w:tc>
        <w:tc>
          <w:tcPr>
            <w:tcW w:w="1250" w:type="pct"/>
          </w:tcPr>
          <w:p w14:paraId="361F78BC"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2.0481</w:t>
            </w:r>
          </w:p>
          <w:p w14:paraId="70679DC2" w14:textId="77777777" w:rsidR="00EB6AE8" w:rsidRPr="00E47F58" w:rsidRDefault="00EB6AE8" w:rsidP="00EB6AE8">
            <w:pPr>
              <w:spacing w:after="0" w:line="240" w:lineRule="auto"/>
              <w:jc w:val="both"/>
              <w:rPr>
                <w:rFonts w:ascii="Arial" w:hAnsi="Arial" w:cs="Arial"/>
                <w:color w:val="000000" w:themeColor="text1"/>
              </w:rPr>
            </w:pPr>
          </w:p>
        </w:tc>
        <w:tc>
          <w:tcPr>
            <w:tcW w:w="1250" w:type="pct"/>
          </w:tcPr>
          <w:p w14:paraId="521C1708"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l-GR"/>
              </w:rPr>
              <w:t>α</w:t>
            </w:r>
            <w:r w:rsidRPr="00E47F58">
              <w:rPr>
                <w:rFonts w:ascii="Arial" w:hAnsi="Arial" w:cs="Arial"/>
                <w:color w:val="000000" w:themeColor="text1"/>
                <w:lang w:val="en-SG"/>
              </w:rPr>
              <w:t>-Linolenic acid</w:t>
            </w:r>
          </w:p>
          <w:p w14:paraId="1AAC7BFA"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n-SG"/>
              </w:rPr>
              <w:t>metabolism</w:t>
            </w:r>
          </w:p>
        </w:tc>
      </w:tr>
    </w:tbl>
    <w:p w14:paraId="008EB352" w14:textId="77777777" w:rsidR="00EB6AE8" w:rsidRPr="00E47F58" w:rsidRDefault="00EB6AE8" w:rsidP="00EB6AE8">
      <w:pPr>
        <w:pStyle w:val="j"/>
        <w:rPr>
          <w:rFonts w:ascii="Arial" w:hAnsi="Arial" w:cs="Arial"/>
          <w:sz w:val="20"/>
          <w:szCs w:val="20"/>
          <w:lang w:val="en-GB"/>
        </w:rPr>
      </w:pPr>
    </w:p>
    <w:p w14:paraId="7D821113" w14:textId="77777777" w:rsidR="00EB6AE8" w:rsidRPr="00E47F58" w:rsidRDefault="00EB6AE8" w:rsidP="00EB6AE8">
      <w:pPr>
        <w:pStyle w:val="j"/>
        <w:rPr>
          <w:rFonts w:ascii="Arial" w:hAnsi="Arial" w:cs="Arial"/>
          <w:sz w:val="20"/>
          <w:szCs w:val="20"/>
          <w:lang w:val="en-GB"/>
        </w:rPr>
      </w:pPr>
    </w:p>
    <w:p w14:paraId="01D60044"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high fold ch</w:t>
      </w:r>
      <w:r w:rsidR="00E40B22" w:rsidRPr="00E47F58">
        <w:rPr>
          <w:rFonts w:ascii="Arial" w:hAnsi="Arial" w:cs="Arial"/>
          <w:sz w:val="20"/>
          <w:szCs w:val="20"/>
          <w:lang w:val="en-GB"/>
        </w:rPr>
        <w:t xml:space="preserve">ange values (CF/CFC) in Table </w:t>
      </w:r>
      <w:r w:rsidRPr="00E47F58">
        <w:rPr>
          <w:rFonts w:ascii="Arial" w:hAnsi="Arial" w:cs="Arial"/>
          <w:sz w:val="20"/>
          <w:szCs w:val="20"/>
          <w:lang w:val="en-GB"/>
        </w:rPr>
        <w:t xml:space="preserve">5 which represent extreme </w:t>
      </w:r>
      <w:r w:rsidR="00E40B22" w:rsidRPr="00E47F58">
        <w:rPr>
          <w:rFonts w:ascii="Arial" w:hAnsi="Arial" w:cs="Arial"/>
          <w:sz w:val="20"/>
          <w:szCs w:val="20"/>
          <w:lang w:val="en-GB"/>
        </w:rPr>
        <w:t>down regulation</w:t>
      </w:r>
      <w:r w:rsidRPr="00E47F58">
        <w:rPr>
          <w:rFonts w:ascii="Arial" w:hAnsi="Arial" w:cs="Arial"/>
          <w:sz w:val="20"/>
          <w:szCs w:val="20"/>
          <w:lang w:val="en-GB"/>
        </w:rPr>
        <w:t xml:space="preserve"> of the corresponding metabolites in control fish as a result of bacterial challenge is an indication of severe negative effects of </w:t>
      </w:r>
      <w:r w:rsidRPr="00E47F58">
        <w:rPr>
          <w:rFonts w:ascii="Arial" w:hAnsi="Arial" w:cs="Arial"/>
          <w:i/>
          <w:iCs/>
          <w:sz w:val="20"/>
          <w:szCs w:val="20"/>
          <w:lang w:val="en-GB"/>
        </w:rPr>
        <w:t xml:space="preserve">S. agalactiae </w:t>
      </w:r>
      <w:r w:rsidRPr="00E47F58">
        <w:rPr>
          <w:rFonts w:ascii="Arial" w:hAnsi="Arial" w:cs="Arial"/>
          <w:sz w:val="20"/>
          <w:szCs w:val="20"/>
          <w:lang w:val="en-GB"/>
        </w:rPr>
        <w:t xml:space="preserve">bacteria on the control fish. This effect was seen to be negligible on fish previously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prior to bacterial challenge as discussed below.</w:t>
      </w:r>
    </w:p>
    <w:p w14:paraId="09D4E12F" w14:textId="3B0C9075" w:rsidR="00EB6AE8" w:rsidRPr="00E47F58" w:rsidRDefault="00A60DD7" w:rsidP="00E47F58">
      <w:pPr>
        <w:pStyle w:val="Heading3"/>
        <w:rPr>
          <w:sz w:val="20"/>
          <w:szCs w:val="20"/>
          <w:lang w:val="en-GB"/>
        </w:rPr>
      </w:pPr>
      <w:bookmarkStart w:id="49" w:name="_Toc49955762"/>
      <w:bookmarkStart w:id="50" w:name="_Toc50652453"/>
      <w:r>
        <w:rPr>
          <w:sz w:val="20"/>
          <w:szCs w:val="20"/>
          <w:lang w:val="en-GB"/>
        </w:rPr>
        <w:t>3.</w:t>
      </w:r>
      <w:r w:rsidR="004B090C" w:rsidRPr="00E47F58">
        <w:rPr>
          <w:sz w:val="20"/>
          <w:szCs w:val="20"/>
          <w:lang w:val="en-GB"/>
        </w:rPr>
        <w:t>7</w:t>
      </w:r>
      <w:r w:rsidR="004B090C" w:rsidRPr="00E47F58">
        <w:rPr>
          <w:sz w:val="20"/>
          <w:szCs w:val="20"/>
          <w:lang w:val="en-GB"/>
        </w:rPr>
        <w:tab/>
      </w:r>
      <w:r w:rsidR="00EB6AE8" w:rsidRPr="00E47F58">
        <w:rPr>
          <w:sz w:val="20"/>
          <w:szCs w:val="20"/>
          <w:lang w:val="en-GB"/>
        </w:rPr>
        <w:t>Effect of Streptococcus agalactiae bacteria on Chlorella vulgaris fed fish</w:t>
      </w:r>
      <w:bookmarkEnd w:id="49"/>
      <w:bookmarkEnd w:id="50"/>
    </w:p>
    <w:p w14:paraId="46CF8F8F" w14:textId="77777777"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 xml:space="preserve">Challenging the immunity of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fed fish with the bacteria </w:t>
      </w:r>
      <w:r w:rsidRPr="00E47F58">
        <w:rPr>
          <w:rFonts w:ascii="Arial" w:hAnsi="Arial" w:cs="Arial"/>
          <w:i/>
          <w:iCs/>
          <w:sz w:val="20"/>
          <w:szCs w:val="20"/>
          <w:lang w:val="en-GB"/>
        </w:rPr>
        <w:t xml:space="preserve">S. agalactiae </w:t>
      </w:r>
      <w:r w:rsidRPr="00E47F58">
        <w:rPr>
          <w:rFonts w:ascii="Arial" w:hAnsi="Arial" w:cs="Arial"/>
          <w:sz w:val="20"/>
          <w:szCs w:val="20"/>
          <w:lang w:val="en-GB"/>
        </w:rPr>
        <w:t xml:space="preserve">gives an insight to whether the improved innate immunity was sustained and prevent the occurrence of bacterial infection. This was achieved via the assessment of metabolites fold changes in the bacterial challenged </w:t>
      </w:r>
      <w:r w:rsidRPr="00E47F58">
        <w:rPr>
          <w:rFonts w:ascii="Arial" w:hAnsi="Arial" w:cs="Arial"/>
          <w:i/>
          <w:iCs/>
          <w:sz w:val="20"/>
          <w:szCs w:val="20"/>
          <w:lang w:val="en-GB"/>
        </w:rPr>
        <w:t>C. vulgaris</w:t>
      </w:r>
      <w:r w:rsidRPr="00E47F58">
        <w:rPr>
          <w:rFonts w:ascii="Arial" w:hAnsi="Arial" w:cs="Arial"/>
          <w:sz w:val="20"/>
          <w:szCs w:val="20"/>
          <w:lang w:val="en-GB"/>
        </w:rPr>
        <w:t xml:space="preserve"> fed fish (CVC) as compared to </w:t>
      </w:r>
      <w:r w:rsidRPr="00E47F58">
        <w:rPr>
          <w:rFonts w:ascii="Arial" w:hAnsi="Arial" w:cs="Arial"/>
          <w:i/>
          <w:iCs/>
          <w:sz w:val="20"/>
          <w:szCs w:val="20"/>
          <w:lang w:val="en-GB"/>
        </w:rPr>
        <w:t xml:space="preserve">C. vulgaris </w:t>
      </w:r>
      <w:r w:rsidRPr="00E47F58">
        <w:rPr>
          <w:rFonts w:ascii="Arial" w:hAnsi="Arial" w:cs="Arial"/>
          <w:sz w:val="20"/>
          <w:szCs w:val="20"/>
          <w:lang w:val="en-GB"/>
        </w:rPr>
        <w:t>(CV)</w:t>
      </w:r>
      <w:r w:rsidRPr="00E47F58">
        <w:rPr>
          <w:rFonts w:ascii="Arial" w:hAnsi="Arial" w:cs="Arial"/>
          <w:i/>
          <w:iCs/>
          <w:sz w:val="20"/>
          <w:szCs w:val="20"/>
          <w:lang w:val="en-GB"/>
        </w:rPr>
        <w:t xml:space="preserve"> </w:t>
      </w:r>
      <w:r w:rsidRPr="00E47F58">
        <w:rPr>
          <w:rFonts w:ascii="Arial" w:hAnsi="Arial" w:cs="Arial"/>
          <w:sz w:val="20"/>
          <w:szCs w:val="20"/>
          <w:lang w:val="en-GB"/>
        </w:rPr>
        <w:t>fed fish without bacterial challenge. An OPLS-DA score plot of CV and CVC shows that there are maximum variations between the two groups suggested by th</w:t>
      </w:r>
      <w:r w:rsidR="00E40B22" w:rsidRPr="00E47F58">
        <w:rPr>
          <w:rFonts w:ascii="Arial" w:hAnsi="Arial" w:cs="Arial"/>
          <w:sz w:val="20"/>
          <w:szCs w:val="20"/>
          <w:lang w:val="en-GB"/>
        </w:rPr>
        <w:t>eir separation by PC1 (Figure 8A). Figure 8</w:t>
      </w:r>
      <w:r w:rsidRPr="00E47F58">
        <w:rPr>
          <w:rFonts w:ascii="Arial" w:hAnsi="Arial" w:cs="Arial"/>
          <w:sz w:val="20"/>
          <w:szCs w:val="20"/>
          <w:lang w:val="en-GB"/>
        </w:rPr>
        <w:t xml:space="preserve">A shows the variation between CV and CVC in an </w:t>
      </w:r>
      <w:r w:rsidR="00E40B22" w:rsidRPr="00E47F58">
        <w:rPr>
          <w:rFonts w:ascii="Arial" w:hAnsi="Arial" w:cs="Arial"/>
          <w:sz w:val="20"/>
          <w:szCs w:val="20"/>
          <w:lang w:val="en-GB"/>
        </w:rPr>
        <w:t xml:space="preserve">OPLS-DA score plot and Figure </w:t>
      </w:r>
      <w:r w:rsidRPr="00E47F58">
        <w:rPr>
          <w:rFonts w:ascii="Arial" w:hAnsi="Arial" w:cs="Arial"/>
          <w:sz w:val="20"/>
          <w:szCs w:val="20"/>
          <w:lang w:val="en-GB"/>
        </w:rPr>
        <w:t>8B shows the regulated metabolites responsible for their separation by PC1 in an S-plot. The model exhibited a high fitness, R2X of 0.709 and predictability, Q2 of 0.835 in which the PC1 explained a total variance of 35.7% and PC2 35.1%.</w:t>
      </w:r>
    </w:p>
    <w:p w14:paraId="23C3365C" w14:textId="48832DC0" w:rsidR="00EB6AE8" w:rsidRPr="00E47F58" w:rsidRDefault="003216AD" w:rsidP="00151BFC">
      <w:pPr>
        <w:spacing w:after="0" w:line="240" w:lineRule="auto"/>
        <w:jc w:val="center"/>
        <w:rPr>
          <w:rFonts w:ascii="Arial" w:hAnsi="Arial" w:cs="Arial"/>
          <w:color w:val="000000" w:themeColor="text1"/>
          <w:sz w:val="20"/>
          <w:szCs w:val="20"/>
          <w:lang w:val="en-GB"/>
        </w:rPr>
      </w:pPr>
      <w:r>
        <w:rPr>
          <w:rFonts w:ascii="Arial" w:hAnsi="Arial" w:cs="Arial"/>
          <w:noProof/>
          <w:color w:val="000000" w:themeColor="text1"/>
          <w:sz w:val="20"/>
          <w:szCs w:val="20"/>
        </w:rPr>
        <w:lastRenderedPageBreak/>
        <w:drawing>
          <wp:inline distT="0" distB="0" distL="0" distR="0" wp14:anchorId="00FE19C7" wp14:editId="79122786">
            <wp:extent cx="4816475" cy="581025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6475" cy="5810250"/>
                    </a:xfrm>
                    <a:prstGeom prst="rect">
                      <a:avLst/>
                    </a:prstGeom>
                    <a:noFill/>
                  </pic:spPr>
                </pic:pic>
              </a:graphicData>
            </a:graphic>
          </wp:inline>
        </w:drawing>
      </w:r>
    </w:p>
    <w:p w14:paraId="130934AD" w14:textId="4C7C51C0" w:rsidR="00EB6AE8" w:rsidRPr="00E47F58" w:rsidRDefault="00EB6AE8" w:rsidP="00EB6AE8">
      <w:pPr>
        <w:pStyle w:val="Caption"/>
        <w:rPr>
          <w:rFonts w:ascii="Arial" w:hAnsi="Arial" w:cs="Arial"/>
          <w:sz w:val="20"/>
          <w:szCs w:val="20"/>
          <w:lang w:val="en-GB"/>
        </w:rPr>
      </w:pPr>
      <w:bookmarkStart w:id="51" w:name="_Toc50653944"/>
      <w:r w:rsidRPr="00E47F58">
        <w:rPr>
          <w:rFonts w:ascii="Arial" w:hAnsi="Arial" w:cs="Arial"/>
          <w:sz w:val="20"/>
          <w:szCs w:val="20"/>
        </w:rPr>
        <w:t>Figure</w:t>
      </w:r>
      <w:r w:rsidR="00E40B22"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8</w:t>
      </w:r>
      <w:r w:rsidR="0022766E" w:rsidRPr="00E47F58">
        <w:rPr>
          <w:rFonts w:ascii="Arial" w:hAnsi="Arial" w:cs="Arial"/>
          <w:noProof/>
          <w:sz w:val="20"/>
          <w:szCs w:val="20"/>
        </w:rPr>
        <w:fldChar w:fldCharType="end"/>
      </w:r>
      <w:r w:rsidRPr="00E47F58">
        <w:rPr>
          <w:rFonts w:ascii="Arial" w:hAnsi="Arial" w:cs="Arial"/>
          <w:sz w:val="20"/>
          <w:szCs w:val="20"/>
        </w:rPr>
        <w:t xml:space="preserve"> : A; O</w:t>
      </w:r>
      <w:r w:rsidRPr="00E47F58">
        <w:rPr>
          <w:rFonts w:ascii="Arial" w:hAnsi="Arial" w:cs="Arial"/>
          <w:sz w:val="20"/>
          <w:szCs w:val="20"/>
          <w:lang w:val="en-GB"/>
        </w:rPr>
        <w:t xml:space="preserve">PLS-DA score plot of </w:t>
      </w:r>
      <w:r w:rsidRPr="00E47F58">
        <w:rPr>
          <w:rFonts w:ascii="Arial" w:hAnsi="Arial" w:cs="Arial"/>
          <w:i/>
          <w:iCs/>
          <w:sz w:val="20"/>
          <w:szCs w:val="20"/>
          <w:lang w:val="en-GB"/>
        </w:rPr>
        <w:t>C. vulgaris</w:t>
      </w:r>
      <w:r w:rsidRPr="00E47F58">
        <w:rPr>
          <w:rFonts w:ascii="Arial" w:hAnsi="Arial" w:cs="Arial"/>
          <w:sz w:val="20"/>
          <w:szCs w:val="20"/>
          <w:lang w:val="en-GB"/>
        </w:rPr>
        <w:t xml:space="preserve"> (CV) fed fish and the </w:t>
      </w:r>
      <w:r w:rsidRPr="00E47F58">
        <w:rPr>
          <w:rFonts w:ascii="Arial" w:hAnsi="Arial" w:cs="Arial"/>
          <w:i/>
          <w:iCs/>
          <w:sz w:val="20"/>
          <w:szCs w:val="20"/>
          <w:lang w:val="en-GB"/>
        </w:rPr>
        <w:t>C. vulgaris</w:t>
      </w:r>
      <w:r w:rsidRPr="00E47F58">
        <w:rPr>
          <w:rFonts w:ascii="Arial" w:hAnsi="Arial" w:cs="Arial"/>
          <w:sz w:val="20"/>
          <w:szCs w:val="20"/>
          <w:lang w:val="en-GB"/>
        </w:rPr>
        <w:t xml:space="preserve"> challenged fish (CVC) showing their variability by PC1, </w:t>
      </w:r>
      <w:r w:rsidRPr="00E47F58">
        <w:rPr>
          <w:rFonts w:ascii="Arial" w:hAnsi="Arial" w:cs="Arial"/>
          <w:sz w:val="20"/>
          <w:szCs w:val="20"/>
        </w:rPr>
        <w:t>B; O</w:t>
      </w:r>
      <w:r w:rsidRPr="00E47F58">
        <w:rPr>
          <w:rFonts w:ascii="Arial" w:hAnsi="Arial" w:cs="Arial"/>
          <w:sz w:val="20"/>
          <w:szCs w:val="20"/>
          <w:lang w:val="en-GB"/>
        </w:rPr>
        <w:t>PLS-DA S-plot showing regulated metabolites which contributed for the separation of CV and CVC by PC1</w:t>
      </w:r>
      <w:bookmarkEnd w:id="51"/>
      <w:r w:rsidR="0092566B">
        <w:rPr>
          <w:rFonts w:ascii="Arial" w:hAnsi="Arial" w:cs="Arial"/>
          <w:sz w:val="20"/>
          <w:szCs w:val="20"/>
          <w:lang w:val="en-GB"/>
        </w:rPr>
        <w:t xml:space="preserve"> </w:t>
      </w:r>
      <w:r w:rsidR="0092566B" w:rsidRPr="00507B49">
        <w:rPr>
          <w:rFonts w:ascii="Arial" w:hAnsi="Arial" w:cs="Arial"/>
          <w:sz w:val="20"/>
          <w:szCs w:val="20"/>
          <w:highlight w:val="yellow"/>
          <w:lang w:val="en-GB"/>
        </w:rPr>
        <w:t xml:space="preserve">and </w:t>
      </w:r>
      <w:r w:rsidR="0092566B">
        <w:rPr>
          <w:rFonts w:ascii="Arial" w:hAnsi="Arial" w:cs="Arial"/>
          <w:sz w:val="20"/>
          <w:szCs w:val="20"/>
          <w:highlight w:val="yellow"/>
          <w:lang w:val="en-GB"/>
        </w:rPr>
        <w:t xml:space="preserve">suggested </w:t>
      </w:r>
      <w:r w:rsidR="0092566B" w:rsidRPr="00507B49">
        <w:rPr>
          <w:rFonts w:ascii="Arial" w:hAnsi="Arial" w:cs="Arial"/>
          <w:sz w:val="20"/>
          <w:szCs w:val="20"/>
          <w:highlight w:val="yellow"/>
          <w:lang w:val="en-GB"/>
        </w:rPr>
        <w:t>up regulated/down regulated metabolites.</w:t>
      </w:r>
      <w:r w:rsidR="00FA3541" w:rsidRPr="00E47F58">
        <w:rPr>
          <w:rFonts w:ascii="Arial" w:hAnsi="Arial" w:cs="Arial"/>
          <w:sz w:val="20"/>
          <w:szCs w:val="20"/>
          <w:lang w:val="en-GB"/>
        </w:rPr>
        <w:t>.</w:t>
      </w:r>
    </w:p>
    <w:p w14:paraId="63368EBD" w14:textId="77777777" w:rsidR="00FA3541" w:rsidRPr="00E47F58" w:rsidRDefault="00FA3541" w:rsidP="00FA3541">
      <w:pPr>
        <w:rPr>
          <w:rFonts w:ascii="Arial" w:hAnsi="Arial" w:cs="Arial"/>
          <w:sz w:val="20"/>
          <w:szCs w:val="20"/>
          <w:lang w:val="en-GB"/>
        </w:rPr>
      </w:pPr>
    </w:p>
    <w:p w14:paraId="3F0EC3D9" w14:textId="6957203D" w:rsidR="00EB6AE8" w:rsidRPr="00E47F58" w:rsidRDefault="00FA3541" w:rsidP="00EB6AE8">
      <w:pPr>
        <w:pStyle w:val="single"/>
        <w:rPr>
          <w:rFonts w:ascii="Arial" w:hAnsi="Arial" w:cs="Arial"/>
          <w:sz w:val="20"/>
          <w:szCs w:val="20"/>
          <w:lang w:val="en-GB"/>
        </w:rPr>
      </w:pPr>
      <w:r w:rsidRPr="00E47F58">
        <w:rPr>
          <w:rFonts w:ascii="Arial" w:hAnsi="Arial" w:cs="Arial"/>
          <w:sz w:val="20"/>
          <w:szCs w:val="20"/>
          <w:lang w:val="en-GB"/>
        </w:rPr>
        <w:t xml:space="preserve">From Figure </w:t>
      </w:r>
      <w:r w:rsidR="00EB6AE8" w:rsidRPr="00E47F58">
        <w:rPr>
          <w:rFonts w:ascii="Arial" w:hAnsi="Arial" w:cs="Arial"/>
          <w:sz w:val="20"/>
          <w:szCs w:val="20"/>
          <w:lang w:val="en-GB"/>
        </w:rPr>
        <w:t xml:space="preserve">8B, it is obvious that most of the metabolites that were altered as a result of bacterial challenge on fish initially fed with </w:t>
      </w:r>
      <w:r w:rsidR="00EB6AE8" w:rsidRPr="00E47F58">
        <w:rPr>
          <w:rFonts w:ascii="Arial" w:hAnsi="Arial" w:cs="Arial"/>
          <w:i/>
          <w:iCs/>
          <w:sz w:val="20"/>
          <w:szCs w:val="20"/>
          <w:lang w:val="en-GB"/>
        </w:rPr>
        <w:t>C. vulgaris</w:t>
      </w:r>
      <w:r w:rsidR="00EB6AE8" w:rsidRPr="00E47F58">
        <w:rPr>
          <w:rFonts w:ascii="Arial" w:hAnsi="Arial" w:cs="Arial"/>
          <w:sz w:val="20"/>
          <w:szCs w:val="20"/>
          <w:lang w:val="en-GB"/>
        </w:rPr>
        <w:t>, are in the upper-right quadrant of the S-plot with few in the lower-left quadrant. The result suggests that most of the discriminating metabolites were up</w:t>
      </w:r>
      <w:r w:rsidRPr="00E47F58">
        <w:rPr>
          <w:rFonts w:ascii="Arial" w:hAnsi="Arial" w:cs="Arial"/>
          <w:sz w:val="20"/>
          <w:szCs w:val="20"/>
          <w:lang w:val="en-GB"/>
        </w:rPr>
        <w:t xml:space="preserve"> </w:t>
      </w:r>
      <w:r w:rsidR="00EB6AE8" w:rsidRPr="00E47F58">
        <w:rPr>
          <w:rFonts w:ascii="Arial" w:hAnsi="Arial" w:cs="Arial"/>
          <w:sz w:val="20"/>
          <w:szCs w:val="20"/>
          <w:lang w:val="en-GB"/>
        </w:rPr>
        <w:t xml:space="preserve">regulated after 7 days of bacterial challenge, indicating the possibility of </w:t>
      </w:r>
      <w:r w:rsidR="00814B29" w:rsidRPr="00814B29">
        <w:rPr>
          <w:rFonts w:ascii="Arial" w:hAnsi="Arial" w:cs="Arial"/>
          <w:sz w:val="20"/>
          <w:szCs w:val="20"/>
          <w:highlight w:val="yellow"/>
          <w:lang w:val="en-GB"/>
        </w:rPr>
        <w:t>mild</w:t>
      </w:r>
      <w:r w:rsidR="00EB6AE8" w:rsidRPr="00814B29">
        <w:rPr>
          <w:rFonts w:ascii="Arial" w:hAnsi="Arial" w:cs="Arial"/>
          <w:sz w:val="20"/>
          <w:szCs w:val="20"/>
          <w:highlight w:val="yellow"/>
          <w:lang w:val="en-GB"/>
        </w:rPr>
        <w:t xml:space="preserve"> negative effect</w:t>
      </w:r>
      <w:r w:rsidR="00EB6AE8" w:rsidRPr="00E47F58">
        <w:rPr>
          <w:rFonts w:ascii="Arial" w:hAnsi="Arial" w:cs="Arial"/>
          <w:sz w:val="20"/>
          <w:szCs w:val="20"/>
          <w:lang w:val="en-GB"/>
        </w:rPr>
        <w:t xml:space="preserve"> of bacterial challenge on the experimental fish </w:t>
      </w:r>
      <w:r w:rsidRPr="00E47F58">
        <w:rPr>
          <w:rFonts w:ascii="Arial" w:hAnsi="Arial" w:cs="Arial"/>
          <w:sz w:val="20"/>
          <w:szCs w:val="20"/>
          <w:lang w:val="en-GB"/>
        </w:rPr>
        <w:t xml:space="preserve">which were </w:t>
      </w:r>
      <w:r w:rsidR="00EB6AE8" w:rsidRPr="00E47F58">
        <w:rPr>
          <w:rFonts w:ascii="Arial" w:hAnsi="Arial" w:cs="Arial"/>
          <w:sz w:val="20"/>
          <w:szCs w:val="20"/>
          <w:lang w:val="en-GB"/>
        </w:rPr>
        <w:t xml:space="preserve">initially fed with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(CVC). This suggestion was further verified via the assessment of metabolite regulation by bacterial challenge via VIP metabolite fold changes. The metabolites that made the VIP criteria in this regard in decreasing VIP values include histamine, alanine, glucose, creatine, linoleic acid, stearic acid, valine, choline, isoleucine, linolenic acid, oleic acid, glycine, methionine, taurine, riboflavin, leucine, palmitic acid, glycolate, proline, arginine and glutamic acid.</w:t>
      </w:r>
      <w:r w:rsidR="00FE4907">
        <w:rPr>
          <w:rFonts w:ascii="Arial" w:hAnsi="Arial" w:cs="Arial"/>
          <w:sz w:val="20"/>
          <w:szCs w:val="20"/>
          <w:lang w:val="en-GB"/>
        </w:rPr>
        <w:t xml:space="preserve"> This findings were in line with previously published results</w:t>
      </w:r>
      <w:r w:rsidR="00AC5585">
        <w:rPr>
          <w:rFonts w:ascii="Arial" w:hAnsi="Arial" w:cs="Arial"/>
          <w:sz w:val="20"/>
          <w:szCs w:val="20"/>
          <w:lang w:val="en-GB"/>
        </w:rPr>
        <w:t xml:space="preserve"> </w:t>
      </w:r>
      <w:r w:rsidR="00AC5585" w:rsidRPr="00AC5585">
        <w:rPr>
          <w:rFonts w:ascii="Arial" w:hAnsi="Arial" w:cs="Arial"/>
          <w:sz w:val="20"/>
          <w:szCs w:val="20"/>
          <w:highlight w:val="magenta"/>
          <w:lang w:val="en-GB"/>
        </w:rPr>
        <w:t>(Wang et al., 2020)</w:t>
      </w:r>
      <w:r w:rsidR="00AC5585">
        <w:rPr>
          <w:rFonts w:ascii="Arial" w:hAnsi="Arial" w:cs="Arial"/>
          <w:sz w:val="20"/>
          <w:szCs w:val="20"/>
          <w:lang w:val="en-GB"/>
        </w:rPr>
        <w:t>.</w:t>
      </w:r>
    </w:p>
    <w:p w14:paraId="347C37D8" w14:textId="6FC95829"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lastRenderedPageBreak/>
        <w:t xml:space="preserve">The metabolites fold changes as a result of bacterial challenge on fish previously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 xml:space="preserve">(CV/CVC) was found to be significantly lower in this case as compared to the FC noticed as a result of bacterial challenge on fish which was not initially fed with </w:t>
      </w:r>
      <w:r w:rsidRPr="00E47F58">
        <w:rPr>
          <w:rFonts w:ascii="Arial" w:hAnsi="Arial" w:cs="Arial"/>
          <w:i/>
          <w:iCs/>
          <w:sz w:val="20"/>
          <w:szCs w:val="20"/>
          <w:lang w:val="en-GB"/>
        </w:rPr>
        <w:t xml:space="preserve">C. vulgaris </w:t>
      </w:r>
      <w:r w:rsidR="00FA3541" w:rsidRPr="00E47F58">
        <w:rPr>
          <w:rFonts w:ascii="Arial" w:hAnsi="Arial" w:cs="Arial"/>
          <w:sz w:val="20"/>
          <w:szCs w:val="20"/>
          <w:lang w:val="en-GB"/>
        </w:rPr>
        <w:t xml:space="preserve">(CF/CFC). Table </w:t>
      </w:r>
      <w:r w:rsidRPr="00E47F58">
        <w:rPr>
          <w:rFonts w:ascii="Arial" w:hAnsi="Arial" w:cs="Arial"/>
          <w:sz w:val="20"/>
          <w:szCs w:val="20"/>
          <w:lang w:val="en-GB"/>
        </w:rPr>
        <w:t xml:space="preserve">6 shows the NMR signal assignment for major biomarkers of bacterial challenge by </w:t>
      </w:r>
      <w:r w:rsidRPr="00E47F58">
        <w:rPr>
          <w:rFonts w:ascii="Arial" w:hAnsi="Arial" w:cs="Arial"/>
          <w:i/>
          <w:iCs/>
          <w:sz w:val="20"/>
          <w:szCs w:val="20"/>
          <w:lang w:val="en-GB"/>
        </w:rPr>
        <w:t>S. agalactiae</w:t>
      </w:r>
      <w:r w:rsidRPr="00E47F58">
        <w:rPr>
          <w:rFonts w:ascii="Arial" w:hAnsi="Arial" w:cs="Arial"/>
          <w:sz w:val="20"/>
          <w:szCs w:val="20"/>
          <w:lang w:val="en-GB"/>
        </w:rPr>
        <w:t>, their fold change values and the associated metabolic pathways on day 28 after 7 days of bacterial challenge having concentration of 1x10</w:t>
      </w:r>
      <w:r w:rsidRPr="00E47F58">
        <w:rPr>
          <w:rFonts w:ascii="Arial" w:hAnsi="Arial" w:cs="Arial"/>
          <w:sz w:val="20"/>
          <w:szCs w:val="20"/>
          <w:vertAlign w:val="superscript"/>
          <w:lang w:val="en-GB"/>
        </w:rPr>
        <w:t xml:space="preserve">8 </w:t>
      </w:r>
      <w:r w:rsidRPr="00E47F58">
        <w:rPr>
          <w:rFonts w:ascii="Arial" w:hAnsi="Arial" w:cs="Arial"/>
          <w:sz w:val="20"/>
          <w:szCs w:val="20"/>
          <w:lang w:val="en-GB"/>
        </w:rPr>
        <w:t xml:space="preserve">CFU/mL over </w:t>
      </w:r>
      <w:r w:rsidRPr="00E47F58">
        <w:rPr>
          <w:rFonts w:ascii="Arial" w:hAnsi="Arial" w:cs="Arial"/>
          <w:i/>
          <w:iCs/>
          <w:sz w:val="20"/>
          <w:szCs w:val="20"/>
          <w:lang w:val="en-GB"/>
        </w:rPr>
        <w:t xml:space="preserve">C. vulgaris </w:t>
      </w:r>
      <w:r w:rsidRPr="00E47F58">
        <w:rPr>
          <w:rFonts w:ascii="Arial" w:hAnsi="Arial" w:cs="Arial"/>
          <w:sz w:val="20"/>
          <w:szCs w:val="20"/>
          <w:lang w:val="en-GB"/>
        </w:rPr>
        <w:t>fed fish. These compounds are linolenic acid, stearic acid, linoleic acid, palmitic acid, creatine, linoleic acid, riboflavin, taurine and alanine.</w:t>
      </w:r>
      <w:r w:rsidR="00AC5585">
        <w:rPr>
          <w:rFonts w:ascii="Arial" w:hAnsi="Arial" w:cs="Arial"/>
          <w:sz w:val="20"/>
          <w:szCs w:val="20"/>
          <w:lang w:val="en-GB"/>
        </w:rPr>
        <w:t xml:space="preserve"> This findings were in line with previously published results </w:t>
      </w:r>
      <w:r w:rsidR="00AC5585" w:rsidRPr="00AC5585">
        <w:rPr>
          <w:rFonts w:ascii="Arial" w:hAnsi="Arial" w:cs="Arial"/>
          <w:sz w:val="20"/>
          <w:szCs w:val="20"/>
          <w:highlight w:val="magenta"/>
          <w:lang w:val="en-GB"/>
        </w:rPr>
        <w:t>(Wang et al., 2020)</w:t>
      </w:r>
      <w:r w:rsidR="00AC5585">
        <w:rPr>
          <w:rFonts w:ascii="Arial" w:hAnsi="Arial" w:cs="Arial"/>
          <w:sz w:val="20"/>
          <w:szCs w:val="20"/>
          <w:lang w:val="en-GB"/>
        </w:rPr>
        <w:t>.</w:t>
      </w:r>
      <w:r w:rsidRPr="00E47F58">
        <w:rPr>
          <w:rFonts w:ascii="Arial" w:hAnsi="Arial" w:cs="Arial"/>
          <w:sz w:val="20"/>
          <w:szCs w:val="20"/>
          <w:lang w:val="en-GB"/>
        </w:rPr>
        <w:t xml:space="preserve"> The FC as a result of bacterial challenge on </w:t>
      </w:r>
      <w:r w:rsidRPr="00E47F58">
        <w:rPr>
          <w:rFonts w:ascii="Arial" w:hAnsi="Arial" w:cs="Arial"/>
          <w:i/>
          <w:iCs/>
          <w:sz w:val="20"/>
          <w:szCs w:val="20"/>
          <w:lang w:val="en-GB"/>
        </w:rPr>
        <w:t xml:space="preserve">C. vulgaris </w:t>
      </w:r>
      <w:r w:rsidR="00FA3541" w:rsidRPr="00E47F58">
        <w:rPr>
          <w:rFonts w:ascii="Arial" w:hAnsi="Arial" w:cs="Arial"/>
          <w:sz w:val="20"/>
          <w:szCs w:val="20"/>
          <w:lang w:val="en-GB"/>
        </w:rPr>
        <w:t>fed fish (CV/CVC) did not amount to a whole unit</w:t>
      </w:r>
      <w:r w:rsidRPr="00E47F58">
        <w:rPr>
          <w:rFonts w:ascii="Arial" w:hAnsi="Arial" w:cs="Arial"/>
          <w:sz w:val="20"/>
          <w:szCs w:val="20"/>
          <w:lang w:val="en-GB"/>
        </w:rPr>
        <w:t xml:space="preserve"> </w:t>
      </w:r>
      <w:r w:rsidR="00FA3541" w:rsidRPr="00E47F58">
        <w:rPr>
          <w:rFonts w:ascii="Arial" w:hAnsi="Arial" w:cs="Arial"/>
          <w:sz w:val="20"/>
          <w:szCs w:val="20"/>
          <w:lang w:val="en-GB"/>
        </w:rPr>
        <w:t>or whole number in</w:t>
      </w:r>
      <w:r w:rsidRPr="00E47F58">
        <w:rPr>
          <w:rFonts w:ascii="Arial" w:hAnsi="Arial" w:cs="Arial"/>
          <w:sz w:val="20"/>
          <w:szCs w:val="20"/>
          <w:lang w:val="en-GB"/>
        </w:rPr>
        <w:t xml:space="preserve"> all the affected metabolites.</w:t>
      </w:r>
    </w:p>
    <w:p w14:paraId="1C773569" w14:textId="77777777" w:rsidR="00EB6AE8" w:rsidRPr="00E47F58" w:rsidRDefault="00EB6AE8" w:rsidP="00EB6AE8">
      <w:pPr>
        <w:pStyle w:val="Caption"/>
        <w:keepNext/>
        <w:rPr>
          <w:rFonts w:ascii="Arial" w:hAnsi="Arial" w:cs="Arial"/>
          <w:sz w:val="20"/>
          <w:szCs w:val="20"/>
        </w:rPr>
      </w:pPr>
      <w:bookmarkStart w:id="52" w:name="_Toc50652955"/>
      <w:r w:rsidRPr="00E47F58">
        <w:rPr>
          <w:rFonts w:ascii="Arial" w:hAnsi="Arial" w:cs="Arial"/>
          <w:sz w:val="20"/>
          <w:szCs w:val="20"/>
        </w:rPr>
        <w:t>Table</w:t>
      </w:r>
      <w:r w:rsidR="00BD399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6</w:t>
      </w:r>
      <w:r w:rsidR="0022766E" w:rsidRPr="00E47F58">
        <w:rPr>
          <w:rFonts w:ascii="Arial" w:hAnsi="Arial" w:cs="Arial"/>
          <w:noProof/>
          <w:sz w:val="20"/>
          <w:szCs w:val="20"/>
        </w:rPr>
        <w:fldChar w:fldCharType="end"/>
      </w:r>
      <w:r w:rsidRPr="00E47F58">
        <w:rPr>
          <w:rFonts w:ascii="Arial" w:hAnsi="Arial" w:cs="Arial"/>
          <w:sz w:val="20"/>
          <w:szCs w:val="20"/>
        </w:rPr>
        <w:t xml:space="preserve"> : Metabolite fold changes as a result of </w:t>
      </w:r>
      <w:r w:rsidRPr="00E47F58">
        <w:rPr>
          <w:rFonts w:ascii="Arial" w:hAnsi="Arial" w:cs="Arial"/>
          <w:i/>
          <w:iCs/>
          <w:sz w:val="20"/>
          <w:szCs w:val="20"/>
        </w:rPr>
        <w:t>S. agalactiae</w:t>
      </w:r>
      <w:r w:rsidRPr="00E47F58">
        <w:rPr>
          <w:rFonts w:ascii="Arial" w:hAnsi="Arial" w:cs="Arial"/>
          <w:sz w:val="20"/>
          <w:szCs w:val="20"/>
        </w:rPr>
        <w:t xml:space="preserve"> challenge on </w:t>
      </w:r>
      <w:r w:rsidRPr="00E47F58">
        <w:rPr>
          <w:rFonts w:ascii="Arial" w:hAnsi="Arial" w:cs="Arial"/>
          <w:i/>
          <w:iCs/>
          <w:sz w:val="20"/>
          <w:szCs w:val="20"/>
        </w:rPr>
        <w:t xml:space="preserve">C. vulgaris </w:t>
      </w:r>
      <w:r w:rsidRPr="00E47F58">
        <w:rPr>
          <w:rFonts w:ascii="Arial" w:hAnsi="Arial" w:cs="Arial"/>
          <w:sz w:val="20"/>
          <w:szCs w:val="20"/>
        </w:rPr>
        <w:t>fed fish</w:t>
      </w:r>
      <w:bookmarkEnd w:id="52"/>
    </w:p>
    <w:p w14:paraId="2448ABC0"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2157"/>
        <w:gridCol w:w="2397"/>
        <w:gridCol w:w="1926"/>
        <w:gridCol w:w="2870"/>
      </w:tblGrid>
      <w:tr w:rsidR="00EB6AE8" w:rsidRPr="00E47F58" w14:paraId="7CC3ADBB" w14:textId="77777777" w:rsidTr="00BD3994">
        <w:trPr>
          <w:trHeight w:val="290"/>
          <w:jc w:val="center"/>
        </w:trPr>
        <w:tc>
          <w:tcPr>
            <w:tcW w:w="1153" w:type="pct"/>
            <w:noWrap/>
            <w:hideMark/>
          </w:tcPr>
          <w:p w14:paraId="12F1BDD8"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lang w:val="en-SG"/>
              </w:rPr>
              <w:t>Metabolite</w:t>
            </w:r>
          </w:p>
        </w:tc>
        <w:tc>
          <w:tcPr>
            <w:tcW w:w="1282" w:type="pct"/>
          </w:tcPr>
          <w:p w14:paraId="5F0CB9D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Chemical shift (ppm)</w:t>
            </w:r>
          </w:p>
        </w:tc>
        <w:tc>
          <w:tcPr>
            <w:tcW w:w="1030" w:type="pct"/>
            <w:noWrap/>
            <w:hideMark/>
          </w:tcPr>
          <w:p w14:paraId="0641898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Fold Change</w:t>
            </w:r>
          </w:p>
          <w:p w14:paraId="1B45CA8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(CV/CVC)</w:t>
            </w:r>
          </w:p>
        </w:tc>
        <w:tc>
          <w:tcPr>
            <w:tcW w:w="1535" w:type="pct"/>
          </w:tcPr>
          <w:p w14:paraId="5F773F49"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Metabolic pathway</w:t>
            </w:r>
          </w:p>
        </w:tc>
      </w:tr>
      <w:tr w:rsidR="00EB6AE8" w:rsidRPr="00E47F58" w14:paraId="1DED0BCE" w14:textId="77777777" w:rsidTr="00BD3994">
        <w:trPr>
          <w:trHeight w:val="290"/>
          <w:jc w:val="center"/>
        </w:trPr>
        <w:tc>
          <w:tcPr>
            <w:tcW w:w="1153" w:type="pct"/>
            <w:noWrap/>
            <w:hideMark/>
          </w:tcPr>
          <w:p w14:paraId="79ECD37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Linolenic acid</w:t>
            </w:r>
          </w:p>
        </w:tc>
        <w:tc>
          <w:tcPr>
            <w:tcW w:w="1282" w:type="pct"/>
          </w:tcPr>
          <w:p w14:paraId="0D78A7A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1.1</w:t>
            </w:r>
          </w:p>
        </w:tc>
        <w:tc>
          <w:tcPr>
            <w:tcW w:w="1030" w:type="pct"/>
            <w:noWrap/>
            <w:hideMark/>
          </w:tcPr>
          <w:p w14:paraId="68C3EF5B"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0.045015</w:t>
            </w:r>
          </w:p>
        </w:tc>
        <w:tc>
          <w:tcPr>
            <w:tcW w:w="1535" w:type="pct"/>
          </w:tcPr>
          <w:p w14:paraId="3FC2596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l-GR"/>
              </w:rPr>
              <w:t>α</w:t>
            </w:r>
            <w:r w:rsidRPr="00E47F58">
              <w:rPr>
                <w:rFonts w:ascii="Arial" w:hAnsi="Arial" w:cs="Arial"/>
                <w:color w:val="000000" w:themeColor="text1"/>
                <w:lang w:val="en-SG"/>
              </w:rPr>
              <w:t>-Linolenic acid metabolism</w:t>
            </w:r>
          </w:p>
        </w:tc>
      </w:tr>
      <w:tr w:rsidR="00EB6AE8" w:rsidRPr="00E47F58" w14:paraId="20810953" w14:textId="77777777" w:rsidTr="00BD3994">
        <w:trPr>
          <w:trHeight w:val="290"/>
          <w:jc w:val="center"/>
        </w:trPr>
        <w:tc>
          <w:tcPr>
            <w:tcW w:w="1153" w:type="pct"/>
            <w:noWrap/>
            <w:hideMark/>
          </w:tcPr>
          <w:p w14:paraId="29EA9E9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Stearic acid</w:t>
            </w:r>
          </w:p>
        </w:tc>
        <w:tc>
          <w:tcPr>
            <w:tcW w:w="1282" w:type="pct"/>
          </w:tcPr>
          <w:p w14:paraId="28D244D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1.14</w:t>
            </w:r>
          </w:p>
        </w:tc>
        <w:tc>
          <w:tcPr>
            <w:tcW w:w="1030" w:type="pct"/>
            <w:noWrap/>
            <w:hideMark/>
          </w:tcPr>
          <w:p w14:paraId="25A7EB5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0.046743</w:t>
            </w:r>
          </w:p>
        </w:tc>
        <w:tc>
          <w:tcPr>
            <w:tcW w:w="1535" w:type="pct"/>
          </w:tcPr>
          <w:p w14:paraId="35FC060E"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Linoleic acid metabolism</w:t>
            </w:r>
          </w:p>
        </w:tc>
      </w:tr>
      <w:tr w:rsidR="00EB6AE8" w:rsidRPr="00E47F58" w14:paraId="415728E3" w14:textId="77777777" w:rsidTr="00BD3994">
        <w:trPr>
          <w:trHeight w:val="290"/>
          <w:jc w:val="center"/>
        </w:trPr>
        <w:tc>
          <w:tcPr>
            <w:tcW w:w="1153" w:type="pct"/>
            <w:noWrap/>
            <w:hideMark/>
          </w:tcPr>
          <w:p w14:paraId="114F7E8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Linoleic acid</w:t>
            </w:r>
          </w:p>
        </w:tc>
        <w:tc>
          <w:tcPr>
            <w:tcW w:w="1282" w:type="pct"/>
          </w:tcPr>
          <w:p w14:paraId="31B51466"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0.74</w:t>
            </w:r>
          </w:p>
        </w:tc>
        <w:tc>
          <w:tcPr>
            <w:tcW w:w="1030" w:type="pct"/>
            <w:noWrap/>
            <w:hideMark/>
          </w:tcPr>
          <w:p w14:paraId="0ADC585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0.048606</w:t>
            </w:r>
          </w:p>
        </w:tc>
        <w:tc>
          <w:tcPr>
            <w:tcW w:w="1535" w:type="pct"/>
          </w:tcPr>
          <w:p w14:paraId="423689F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Linoleic acid metabolism</w:t>
            </w:r>
          </w:p>
        </w:tc>
      </w:tr>
      <w:tr w:rsidR="00EB6AE8" w:rsidRPr="00E47F58" w14:paraId="7F643E2E" w14:textId="77777777" w:rsidTr="00BD3994">
        <w:trPr>
          <w:trHeight w:val="290"/>
          <w:jc w:val="center"/>
        </w:trPr>
        <w:tc>
          <w:tcPr>
            <w:tcW w:w="1153" w:type="pct"/>
            <w:noWrap/>
            <w:hideMark/>
          </w:tcPr>
          <w:p w14:paraId="47C85EB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Palmitic acid</w:t>
            </w:r>
          </w:p>
        </w:tc>
        <w:tc>
          <w:tcPr>
            <w:tcW w:w="1282" w:type="pct"/>
          </w:tcPr>
          <w:p w14:paraId="6CE73D11"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0.90</w:t>
            </w:r>
          </w:p>
        </w:tc>
        <w:tc>
          <w:tcPr>
            <w:tcW w:w="1030" w:type="pct"/>
            <w:noWrap/>
            <w:hideMark/>
          </w:tcPr>
          <w:p w14:paraId="7E1EAF28"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0.057401</w:t>
            </w:r>
          </w:p>
        </w:tc>
        <w:tc>
          <w:tcPr>
            <w:tcW w:w="1535" w:type="pct"/>
          </w:tcPr>
          <w:p w14:paraId="7A3286A4"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lang w:val="en-GB"/>
              </w:rPr>
              <w:t>Amino acid metabolism</w:t>
            </w:r>
          </w:p>
        </w:tc>
      </w:tr>
      <w:tr w:rsidR="00EB6AE8" w:rsidRPr="00E47F58" w14:paraId="622C5739" w14:textId="77777777" w:rsidTr="00BD3994">
        <w:trPr>
          <w:trHeight w:val="290"/>
          <w:jc w:val="center"/>
        </w:trPr>
        <w:tc>
          <w:tcPr>
            <w:tcW w:w="1153" w:type="pct"/>
            <w:noWrap/>
            <w:hideMark/>
          </w:tcPr>
          <w:p w14:paraId="43B26D9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Creatine</w:t>
            </w:r>
          </w:p>
        </w:tc>
        <w:tc>
          <w:tcPr>
            <w:tcW w:w="1282" w:type="pct"/>
          </w:tcPr>
          <w:p w14:paraId="2F23E01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3.1</w:t>
            </w:r>
          </w:p>
        </w:tc>
        <w:tc>
          <w:tcPr>
            <w:tcW w:w="1030" w:type="pct"/>
            <w:noWrap/>
            <w:hideMark/>
          </w:tcPr>
          <w:p w14:paraId="0E59048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0.093333</w:t>
            </w:r>
          </w:p>
        </w:tc>
        <w:tc>
          <w:tcPr>
            <w:tcW w:w="1535" w:type="pct"/>
          </w:tcPr>
          <w:p w14:paraId="080FD35D"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Glycine, serine &amp; Threonine metabolism</w:t>
            </w:r>
          </w:p>
        </w:tc>
      </w:tr>
      <w:tr w:rsidR="00EB6AE8" w:rsidRPr="00E47F58" w14:paraId="308B1FD9" w14:textId="77777777" w:rsidTr="00BD3994">
        <w:trPr>
          <w:trHeight w:val="290"/>
          <w:jc w:val="center"/>
        </w:trPr>
        <w:tc>
          <w:tcPr>
            <w:tcW w:w="1153" w:type="pct"/>
            <w:noWrap/>
            <w:hideMark/>
          </w:tcPr>
          <w:p w14:paraId="5A1B07A3"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Riboflavin</w:t>
            </w:r>
          </w:p>
        </w:tc>
        <w:tc>
          <w:tcPr>
            <w:tcW w:w="1282" w:type="pct"/>
          </w:tcPr>
          <w:p w14:paraId="5A00E190"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4.58</w:t>
            </w:r>
          </w:p>
        </w:tc>
        <w:tc>
          <w:tcPr>
            <w:tcW w:w="1030" w:type="pct"/>
            <w:noWrap/>
            <w:hideMark/>
          </w:tcPr>
          <w:p w14:paraId="6EDA39F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0.28154</w:t>
            </w:r>
          </w:p>
        </w:tc>
        <w:tc>
          <w:tcPr>
            <w:tcW w:w="1535" w:type="pct"/>
          </w:tcPr>
          <w:p w14:paraId="44EF6F3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Riboflavin metabolism</w:t>
            </w:r>
          </w:p>
        </w:tc>
      </w:tr>
      <w:tr w:rsidR="00EB6AE8" w:rsidRPr="00E47F58" w14:paraId="25C67F75" w14:textId="77777777" w:rsidTr="00BD3994">
        <w:trPr>
          <w:trHeight w:val="290"/>
          <w:jc w:val="center"/>
        </w:trPr>
        <w:tc>
          <w:tcPr>
            <w:tcW w:w="1153" w:type="pct"/>
            <w:noWrap/>
            <w:hideMark/>
          </w:tcPr>
          <w:p w14:paraId="6451938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Taurine</w:t>
            </w:r>
          </w:p>
        </w:tc>
        <w:tc>
          <w:tcPr>
            <w:tcW w:w="1282" w:type="pct"/>
          </w:tcPr>
          <w:p w14:paraId="2894CD9A"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3.3</w:t>
            </w:r>
          </w:p>
        </w:tc>
        <w:tc>
          <w:tcPr>
            <w:tcW w:w="1030" w:type="pct"/>
            <w:noWrap/>
            <w:hideMark/>
          </w:tcPr>
          <w:p w14:paraId="6FA04B95"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0.43943</w:t>
            </w:r>
          </w:p>
        </w:tc>
        <w:tc>
          <w:tcPr>
            <w:tcW w:w="1535" w:type="pct"/>
          </w:tcPr>
          <w:p w14:paraId="73808DA2"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 xml:space="preserve">Taurine &amp; </w:t>
            </w:r>
            <w:proofErr w:type="spellStart"/>
            <w:r w:rsidRPr="00E47F58">
              <w:rPr>
                <w:rFonts w:ascii="Arial" w:hAnsi="Arial" w:cs="Arial"/>
                <w:color w:val="000000" w:themeColor="text1"/>
              </w:rPr>
              <w:t>hypotaurine</w:t>
            </w:r>
            <w:proofErr w:type="spellEnd"/>
            <w:r w:rsidRPr="00E47F58">
              <w:rPr>
                <w:rFonts w:ascii="Arial" w:hAnsi="Arial" w:cs="Arial"/>
                <w:color w:val="000000" w:themeColor="text1"/>
              </w:rPr>
              <w:t xml:space="preserve"> metabolism</w:t>
            </w:r>
          </w:p>
        </w:tc>
      </w:tr>
      <w:tr w:rsidR="00EB6AE8" w:rsidRPr="00E47F58" w14:paraId="771D8A14" w14:textId="77777777" w:rsidTr="00BD3994">
        <w:trPr>
          <w:trHeight w:val="290"/>
          <w:jc w:val="center"/>
        </w:trPr>
        <w:tc>
          <w:tcPr>
            <w:tcW w:w="1153" w:type="pct"/>
            <w:noWrap/>
            <w:hideMark/>
          </w:tcPr>
          <w:p w14:paraId="4B146BDE"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Alanine</w:t>
            </w:r>
          </w:p>
        </w:tc>
        <w:tc>
          <w:tcPr>
            <w:tcW w:w="1282" w:type="pct"/>
          </w:tcPr>
          <w:p w14:paraId="697AFE9C"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δ 1.34</w:t>
            </w:r>
          </w:p>
        </w:tc>
        <w:tc>
          <w:tcPr>
            <w:tcW w:w="1030" w:type="pct"/>
            <w:noWrap/>
            <w:hideMark/>
          </w:tcPr>
          <w:p w14:paraId="2E869425"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0.46334</w:t>
            </w:r>
          </w:p>
        </w:tc>
        <w:tc>
          <w:tcPr>
            <w:tcW w:w="1535" w:type="pct"/>
          </w:tcPr>
          <w:p w14:paraId="7BEE1160" w14:textId="77777777" w:rsidR="00EB6AE8" w:rsidRPr="00E47F58" w:rsidRDefault="00EB6AE8" w:rsidP="00EB6AE8">
            <w:pPr>
              <w:spacing w:after="0" w:line="240" w:lineRule="auto"/>
              <w:jc w:val="both"/>
              <w:rPr>
                <w:rFonts w:ascii="Arial" w:hAnsi="Arial" w:cs="Arial"/>
                <w:color w:val="000000" w:themeColor="text1"/>
              </w:rPr>
            </w:pPr>
            <w:r w:rsidRPr="00E47F58">
              <w:rPr>
                <w:rFonts w:ascii="Arial" w:hAnsi="Arial" w:cs="Arial"/>
                <w:color w:val="000000" w:themeColor="text1"/>
              </w:rPr>
              <w:t>Alanine, aspartate and glutamate metabolism</w:t>
            </w:r>
          </w:p>
        </w:tc>
      </w:tr>
    </w:tbl>
    <w:p w14:paraId="43472B5C" w14:textId="77777777" w:rsidR="00EB6AE8" w:rsidRPr="00E47F58" w:rsidRDefault="00EB6AE8" w:rsidP="00EB6AE8">
      <w:pPr>
        <w:pStyle w:val="j"/>
        <w:rPr>
          <w:rFonts w:ascii="Arial" w:hAnsi="Arial" w:cs="Arial"/>
          <w:sz w:val="20"/>
          <w:szCs w:val="20"/>
          <w:lang w:val="en-GB"/>
        </w:rPr>
      </w:pPr>
    </w:p>
    <w:p w14:paraId="1C573946" w14:textId="77777777" w:rsidR="00EB6AE8" w:rsidRPr="00E47F58" w:rsidRDefault="00EB6AE8" w:rsidP="00EB6AE8">
      <w:pPr>
        <w:pStyle w:val="j"/>
        <w:rPr>
          <w:rFonts w:ascii="Arial" w:hAnsi="Arial" w:cs="Arial"/>
          <w:sz w:val="20"/>
          <w:szCs w:val="20"/>
          <w:lang w:val="en-GB"/>
        </w:rPr>
      </w:pPr>
    </w:p>
    <w:p w14:paraId="593CE588" w14:textId="3641ED13" w:rsidR="00EB6AE8" w:rsidRPr="00E47F58" w:rsidRDefault="00BD3994" w:rsidP="00EB6AE8">
      <w:pPr>
        <w:pStyle w:val="single"/>
        <w:rPr>
          <w:rFonts w:ascii="Arial" w:hAnsi="Arial" w:cs="Arial"/>
          <w:sz w:val="20"/>
          <w:szCs w:val="20"/>
          <w:lang w:val="en-GB"/>
        </w:rPr>
      </w:pPr>
      <w:r w:rsidRPr="00E47F58">
        <w:rPr>
          <w:rFonts w:ascii="Arial" w:hAnsi="Arial" w:cs="Arial"/>
          <w:sz w:val="20"/>
          <w:szCs w:val="20"/>
          <w:lang w:val="en-GB"/>
        </w:rPr>
        <w:t xml:space="preserve">The FCs in Table </w:t>
      </w:r>
      <w:r w:rsidR="00EB6AE8" w:rsidRPr="00E47F58">
        <w:rPr>
          <w:rFonts w:ascii="Arial" w:hAnsi="Arial" w:cs="Arial"/>
          <w:sz w:val="20"/>
          <w:szCs w:val="20"/>
          <w:lang w:val="en-GB"/>
        </w:rPr>
        <w:t xml:space="preserve">6 which represent the effect of bacterial challenge on fish initially fed with </w:t>
      </w:r>
      <w:r w:rsidR="00EB6AE8" w:rsidRPr="00E47F58">
        <w:rPr>
          <w:rFonts w:ascii="Arial" w:hAnsi="Arial" w:cs="Arial"/>
          <w:i/>
          <w:iCs/>
          <w:sz w:val="20"/>
          <w:szCs w:val="20"/>
          <w:lang w:val="en-GB"/>
        </w:rPr>
        <w:t xml:space="preserve">C. vulgaris </w:t>
      </w:r>
      <w:r w:rsidR="00EB6AE8" w:rsidRPr="00E47F58">
        <w:rPr>
          <w:rFonts w:ascii="Arial" w:hAnsi="Arial" w:cs="Arial"/>
          <w:sz w:val="20"/>
          <w:szCs w:val="20"/>
          <w:lang w:val="en-GB"/>
        </w:rPr>
        <w:t>didn’t amount to whole numbers. This is a clear indication</w:t>
      </w:r>
      <w:r w:rsidR="00814B29">
        <w:rPr>
          <w:rFonts w:ascii="Arial" w:hAnsi="Arial" w:cs="Arial"/>
          <w:sz w:val="20"/>
          <w:szCs w:val="20"/>
          <w:lang w:val="en-GB"/>
        </w:rPr>
        <w:t xml:space="preserve"> that there was </w:t>
      </w:r>
      <w:r w:rsidR="00814B29" w:rsidRPr="00814B29">
        <w:rPr>
          <w:rFonts w:ascii="Arial" w:hAnsi="Arial" w:cs="Arial"/>
          <w:sz w:val="20"/>
          <w:szCs w:val="20"/>
          <w:highlight w:val="yellow"/>
          <w:lang w:val="en-GB"/>
        </w:rPr>
        <w:t xml:space="preserve">a mild </w:t>
      </w:r>
      <w:r w:rsidR="00EB6AE8" w:rsidRPr="00814B29">
        <w:rPr>
          <w:rFonts w:ascii="Arial" w:hAnsi="Arial" w:cs="Arial"/>
          <w:sz w:val="20"/>
          <w:szCs w:val="20"/>
          <w:highlight w:val="yellow"/>
          <w:lang w:val="en-GB"/>
        </w:rPr>
        <w:t>negative effect</w:t>
      </w:r>
      <w:r w:rsidR="00EB6AE8" w:rsidRPr="00E47F58">
        <w:rPr>
          <w:rFonts w:ascii="Arial" w:hAnsi="Arial" w:cs="Arial"/>
          <w:sz w:val="20"/>
          <w:szCs w:val="20"/>
          <w:lang w:val="en-GB"/>
        </w:rPr>
        <w:t xml:space="preserve"> of bacterial challenge on fish initially fed with </w:t>
      </w:r>
      <w:r w:rsidR="00EB6AE8" w:rsidRPr="00E47F58">
        <w:rPr>
          <w:rFonts w:ascii="Arial" w:hAnsi="Arial" w:cs="Arial"/>
          <w:i/>
          <w:iCs/>
          <w:sz w:val="20"/>
          <w:szCs w:val="20"/>
          <w:lang w:val="en-GB"/>
        </w:rPr>
        <w:t>C. vulgaris</w:t>
      </w:r>
      <w:r w:rsidRPr="00E47F58">
        <w:rPr>
          <w:rFonts w:ascii="Arial" w:hAnsi="Arial" w:cs="Arial"/>
          <w:i/>
          <w:iCs/>
          <w:sz w:val="20"/>
          <w:szCs w:val="20"/>
          <w:lang w:val="en-GB"/>
        </w:rPr>
        <w:t xml:space="preserve"> </w:t>
      </w:r>
      <w:r w:rsidRPr="00E47F58">
        <w:rPr>
          <w:rFonts w:ascii="Arial" w:hAnsi="Arial" w:cs="Arial"/>
          <w:iCs/>
          <w:sz w:val="20"/>
          <w:szCs w:val="20"/>
          <w:lang w:val="en-GB"/>
        </w:rPr>
        <w:t xml:space="preserve">before been challenged with </w:t>
      </w:r>
      <w:r w:rsidRPr="00E47F58">
        <w:rPr>
          <w:rFonts w:ascii="Arial" w:hAnsi="Arial" w:cs="Arial"/>
          <w:i/>
          <w:iCs/>
          <w:sz w:val="20"/>
          <w:szCs w:val="20"/>
          <w:lang w:val="en-GB"/>
        </w:rPr>
        <w:t>S. agalactiae</w:t>
      </w:r>
      <w:r w:rsidR="00EB6AE8" w:rsidRPr="00E47F58">
        <w:rPr>
          <w:rFonts w:ascii="Arial" w:hAnsi="Arial" w:cs="Arial"/>
          <w:sz w:val="20"/>
          <w:szCs w:val="20"/>
          <w:lang w:val="en-GB"/>
        </w:rPr>
        <w:t xml:space="preserve">. </w:t>
      </w:r>
      <w:r w:rsidR="00EB6AE8" w:rsidRPr="00E47F58">
        <w:rPr>
          <w:rFonts w:ascii="Arial" w:hAnsi="Arial" w:cs="Arial"/>
          <w:bCs/>
          <w:sz w:val="20"/>
          <w:szCs w:val="20"/>
          <w:lang w:val="en-GB"/>
        </w:rPr>
        <w:t>The deficiency of some selected vitamins like riboflavin (vitamin B</w:t>
      </w:r>
      <w:r w:rsidR="00EB6AE8" w:rsidRPr="00E47F58">
        <w:rPr>
          <w:rFonts w:ascii="Arial" w:hAnsi="Arial" w:cs="Arial"/>
          <w:bCs/>
          <w:sz w:val="20"/>
          <w:szCs w:val="20"/>
          <w:vertAlign w:val="subscript"/>
          <w:lang w:val="en-GB"/>
        </w:rPr>
        <w:t>2</w:t>
      </w:r>
      <w:r w:rsidR="00EB6AE8" w:rsidRPr="00E47F58">
        <w:rPr>
          <w:rFonts w:ascii="Arial" w:hAnsi="Arial" w:cs="Arial"/>
          <w:bCs/>
          <w:sz w:val="20"/>
          <w:szCs w:val="20"/>
          <w:lang w:val="en-GB"/>
        </w:rPr>
        <w:t xml:space="preserve">), could affect the induction of proper innate as well as adaptive immune responses. As a result of riboflavin deficiency, typical symptoms called </w:t>
      </w:r>
      <w:proofErr w:type="spellStart"/>
      <w:r w:rsidR="00EB6AE8" w:rsidRPr="00E47F58">
        <w:rPr>
          <w:rFonts w:ascii="Arial" w:hAnsi="Arial" w:cs="Arial"/>
          <w:bCs/>
          <w:sz w:val="20"/>
          <w:szCs w:val="20"/>
          <w:lang w:val="en-GB"/>
        </w:rPr>
        <w:t>oro</w:t>
      </w:r>
      <w:proofErr w:type="spellEnd"/>
      <w:r w:rsidR="00EB6AE8" w:rsidRPr="00E47F58">
        <w:rPr>
          <w:rFonts w:ascii="Arial" w:hAnsi="Arial" w:cs="Arial"/>
          <w:bCs/>
          <w:sz w:val="20"/>
          <w:szCs w:val="20"/>
          <w:lang w:val="en-GB"/>
        </w:rPr>
        <w:t xml:space="preserve">-oculo-genital syndrome are observed. In lymphoproliferation LPS-stimulation model, riboflavin deprived cells were reported to release significantly fewer anti-inflammatory agents. While reduction of the release of proinflammatory factors as well as enhancement of anti-inflammatory mediators were both recorded with riboflavin enriched model </w:t>
      </w:r>
      <w:r w:rsidR="00EB6AE8" w:rsidRPr="00E47F58">
        <w:rPr>
          <w:rFonts w:ascii="Arial" w:hAnsi="Arial" w:cs="Arial"/>
          <w:bCs/>
          <w:sz w:val="20"/>
          <w:szCs w:val="20"/>
          <w:lang w:val="en-GB"/>
        </w:rPr>
        <w:fldChar w:fldCharType="begin" w:fldLock="1"/>
      </w:r>
      <w:r w:rsidR="00E51220">
        <w:rPr>
          <w:rFonts w:ascii="Arial" w:hAnsi="Arial" w:cs="Arial"/>
          <w:bCs/>
          <w:sz w:val="20"/>
          <w:szCs w:val="20"/>
          <w:lang w:val="en-GB"/>
        </w:rPr>
        <w:instrText>ADDIN CSL_CITATION {"citationItems":[{"id":"ITEM-1","itemData":{"ISSN":"18991505","abstract":"Ariboflavinosis, that is, vitamin B2 deficiency, is a common problem affecting the populations of both developing and affluent countries. Teenagers, elderly people, pregnant women, and alcohol abusers represent groups that are particularly susceptible to this condition. This study was aimed to determine the effect of different riboflavin concentrations (deficiency and supplementation) on macrophages response induced by bacteria or yeast-derived factors i.e. lipopolysaccharide (LPS) and zymosan, respectively. Mouse macrophage RAW 264.7 cells were cultured for 5 days in a medium with a riboflavin concentration corresponding to moderate riboflavin deficiency (3.1 nM), physiological state (10.4 nM), or vitamin pill supplementation (300 nM). On the third or fourth day of deprivation, the medium in some groups was supplemented with riboflavin (300 nM). Macrophages activation were assessed after LPS or zymosan stimulation. Short-term (5 days) riboflavin deprivation resulted in the pathological macrophages activation, manifested especially in a reduction of cell viability and excess release of tumor necrosis factor-α (TNF-α) and high-mobility group box 1 (HMGB1) protein. Moreover, the levels of inducible nitric oxide synthase (iNOS), nitric oxide (NO), heat shock protein (Hsp72), interleukin 1β (IL-1β), monocyte chemoattractant protein-1 (MCP-1), and interleukin 10 (IL-10) decreased after riboflavin deprivation, but medium enrichment with riboflavin (300 nM) on the third or fourth day reversed this effect. In the riboflavin-supplemented group, LPS-stimulated macrophages showed lower mortality accompanied by higher Hsp72 expression, reduction of Toll-like receptor 4 (TLR4) and TNF-α, and elevation of NO, IL-6, and IL-10. Moreover, the TLR6, NO, iNOS, IL-1β, MCP-1, and the keratinocyte chemoattractant (KC) levels significantly decreased in the zymosan-stimulated groups maintained in riboflavin-enriched medium. We conclude that short-term riboflavin deficiency significantly impairs the ability of macrophages to induce proper immune response, while riboflavin enrichment decreases the proinflammatory activation of macrophages.","author":[{"dropping-particle":"","family":"Mazur-Bialy","given":"Agnieszka I.","non-dropping-particle":"","parse-names":false,"suffix":""},{"dropping-particle":"","family":"Pochec","given":"E.","non-dropping-particle":"","parse-names":false,"suffix":""},{"dropping-particle":"","family":"Plytycz","given":"B.","non-dropping-particle":"","parse-names":false,"suffix":""}],"container-title":"Journal of Physiology and Pharmacology","id":"ITEM-1","issue":"6","issued":{"date-parts":[["2015"]]},"page":"793-802","title":"Immunomodulatory effect of riboflavin deficiency and enrichment - Reversible pathological response versus silencing of inflammatory activation","type":"article-journal","volume":"66"},"uris":["http://www.mendeley.com/documents/?uuid=24053baa-a699-4697-97c7-93b9f1bd4e78","http://www.mendeley.com/documents/?uuid=52e693d3-ae73-4303-9004-372a1f9034b3"]}],"mendeley":{"formattedCitation":"(Mazur-Bialy et al., 2015)","manualFormatting":"(Mazur-Bialy et al., 2015)","plainTextFormattedCitation":"(Mazur-Bialy et al., 2015)","previouslyFormattedCitation":"(Mazur-Bialy, Pochec, and Plytycz 2015)"},"properties":{"noteIndex":0},"schema":"https://github.com/citation-style-language/schema/raw/master/csl-citation.json"}</w:instrText>
      </w:r>
      <w:r w:rsidR="00EB6AE8" w:rsidRPr="00E47F58">
        <w:rPr>
          <w:rFonts w:ascii="Arial" w:hAnsi="Arial" w:cs="Arial"/>
          <w:bCs/>
          <w:sz w:val="20"/>
          <w:szCs w:val="20"/>
          <w:lang w:val="en-GB"/>
        </w:rPr>
        <w:fldChar w:fldCharType="separate"/>
      </w:r>
      <w:r w:rsidR="00EB6AE8" w:rsidRPr="00E47F58">
        <w:rPr>
          <w:rFonts w:ascii="Arial" w:hAnsi="Arial" w:cs="Arial"/>
          <w:bCs/>
          <w:noProof/>
          <w:sz w:val="20"/>
          <w:szCs w:val="20"/>
          <w:lang w:val="en-GB"/>
        </w:rPr>
        <w:t>(Mazur-Bialy et al., 2015)</w:t>
      </w:r>
      <w:r w:rsidR="00EB6AE8" w:rsidRPr="00E47F58">
        <w:rPr>
          <w:rFonts w:ascii="Arial" w:hAnsi="Arial" w:cs="Arial"/>
          <w:bCs/>
          <w:sz w:val="20"/>
          <w:szCs w:val="20"/>
          <w:lang w:val="en-GB"/>
        </w:rPr>
        <w:fldChar w:fldCharType="end"/>
      </w:r>
      <w:r w:rsidR="00EB6AE8" w:rsidRPr="00E47F58">
        <w:rPr>
          <w:rFonts w:ascii="Arial" w:hAnsi="Arial" w:cs="Arial"/>
          <w:bCs/>
          <w:sz w:val="20"/>
          <w:szCs w:val="20"/>
          <w:lang w:val="en-GB"/>
        </w:rPr>
        <w:t xml:space="preserve">. It was observed in this study that the level of riboflavin was not </w:t>
      </w:r>
      <w:r w:rsidRPr="00E47F58">
        <w:rPr>
          <w:rFonts w:ascii="Arial" w:hAnsi="Arial" w:cs="Arial"/>
          <w:bCs/>
          <w:sz w:val="20"/>
          <w:szCs w:val="20"/>
          <w:lang w:val="en-GB"/>
        </w:rPr>
        <w:t xml:space="preserve">seriously </w:t>
      </w:r>
      <w:r w:rsidR="00EB6AE8" w:rsidRPr="00E47F58">
        <w:rPr>
          <w:rFonts w:ascii="Arial" w:hAnsi="Arial" w:cs="Arial"/>
          <w:bCs/>
          <w:sz w:val="20"/>
          <w:szCs w:val="20"/>
          <w:lang w:val="en-GB"/>
        </w:rPr>
        <w:t>down</w:t>
      </w:r>
      <w:r w:rsidRPr="00E47F58">
        <w:rPr>
          <w:rFonts w:ascii="Arial" w:hAnsi="Arial" w:cs="Arial"/>
          <w:bCs/>
          <w:sz w:val="20"/>
          <w:szCs w:val="20"/>
          <w:lang w:val="en-GB"/>
        </w:rPr>
        <w:t xml:space="preserve"> </w:t>
      </w:r>
      <w:r w:rsidR="00EB6AE8" w:rsidRPr="00E47F58">
        <w:rPr>
          <w:rFonts w:ascii="Arial" w:hAnsi="Arial" w:cs="Arial"/>
          <w:bCs/>
          <w:sz w:val="20"/>
          <w:szCs w:val="20"/>
          <w:lang w:val="en-GB"/>
        </w:rPr>
        <w:t xml:space="preserve">regulated due to bacterial challenge on fish initially fed with </w:t>
      </w:r>
      <w:r w:rsidR="00EB6AE8" w:rsidRPr="00E47F58">
        <w:rPr>
          <w:rFonts w:ascii="Arial" w:hAnsi="Arial" w:cs="Arial"/>
          <w:bCs/>
          <w:i/>
          <w:iCs/>
          <w:sz w:val="20"/>
          <w:szCs w:val="20"/>
          <w:lang w:val="en-GB"/>
        </w:rPr>
        <w:t>C. vulgaris</w:t>
      </w:r>
      <w:r w:rsidR="00EB6AE8" w:rsidRPr="00E47F58">
        <w:rPr>
          <w:rFonts w:ascii="Arial" w:hAnsi="Arial" w:cs="Arial"/>
          <w:bCs/>
          <w:sz w:val="20"/>
          <w:szCs w:val="20"/>
          <w:lang w:val="en-GB"/>
        </w:rPr>
        <w:t xml:space="preserve">. High level of taurine present in leucocytes, may hypothesise that taurine deficiency will affect the immune cell functions. In fact, prolonged taurine deficiency leads to profound abnormalities in the immune system including significant leukopenia; a decreased respiratory burst in neutrophils and depletion of B cells from lymph nodes and spleen </w:t>
      </w:r>
      <w:r w:rsidR="00EB6AE8" w:rsidRPr="00E47F58">
        <w:rPr>
          <w:rFonts w:ascii="Arial" w:hAnsi="Arial" w:cs="Arial"/>
          <w:bCs/>
          <w:sz w:val="20"/>
          <w:szCs w:val="20"/>
          <w:lang w:val="en-GB"/>
        </w:rPr>
        <w:fldChar w:fldCharType="begin" w:fldLock="1"/>
      </w:r>
      <w:r w:rsidR="00751A9B">
        <w:rPr>
          <w:rFonts w:ascii="Arial" w:hAnsi="Arial" w:cs="Arial"/>
          <w:bCs/>
          <w:sz w:val="20"/>
          <w:szCs w:val="20"/>
          <w:lang w:val="en-GB"/>
        </w:rPr>
        <w:instrText>ADDIN CSL_CITATION {"citationItems":[{"id":"ITEM-1","itemData":{"DOI":"10.1007/s00726-012-1361-4","ISBN":"0072601213","ISSN":"09394451","abstract":"Taurine (2-aminoethanesulfonic acid) is the most abundant free amino acid in humans and plays an important role in several essential biological processes such as bile acid conjugation, maintenance of calcium homeostasis, osmoregulation and membrane stabilization. Moreover, attenuation of apoptosis and its antioxidant activity seem to be crucial for the cytoprotective effects of taurine. Although these properties are not tissue specific, taurine reaches particularly high concentrations in tissues exposed to elevated levels of oxidants (e.g., inflammatory cells). It suggests that taurine may play an important role in inflammation associated with oxidative stress. Indeed, at the site of inflammation, taurine is known to react with and detoxify hypochlorous acid generated by the neutrophil myeloperoxidase (MPO)-halide system. This reaction results in the formation of less toxic taurine chloramine (TauCl). Both haloamines, TauCl and taurine bromamine (TauBr), the product of taurine reaction with hypobromous acid (HOBr), exert antimicrobial and anti-inflammatory properties. In contrast to a well-documented regulatory role of taurine and taurine haloamines (TauCl, TauBr) in acute inflammation, their role in the pathogenesis of inflammatory diseases is not clear. This review summarizes our current knowledge concerning the role of taurine, TauCl and TauBr in the pathogenesis of inflammatory diseases initiated or propagated by MPO-derived oxidants. The aim of this paper is to show links between inflammation, neutrophils, MPO, oxidative stress and taurine. We will discuss the possible contribution of taurine and taurine haloamines to the pathogenesis of inflammatory diseases, especially in the best studied example of rheumatoid arthritis. © 2012 The Author(s).","author":[{"dropping-particle":"","family":"Marcinkiewicz","given":"Janusz","non-dropping-particle":"","parse-names":false,"suffix":""},{"dropping-particle":"","family":"Kontny","given":"Ewa","non-dropping-particle":"","parse-names":false,"suffix":""}],"container-title":"Amino Acids","id":"ITEM-1","issue":"1","issued":{"date-parts":[["2014"]]},"page":"7-20","title":"Taurine and inflammatory diseases","type":"article-journal","volume":"46"},"uris":["http://www.mendeley.com/documents/?uuid=bde01f47-3706-4ea3-aa64-cf9bee57cbca","http://www.mendeley.com/documents/?uuid=11d9da89-7674-40d3-8378-bf6d3d652452"]}],"mendeley":{"formattedCitation":"(Marcinkiewicz &amp; Kontny, 2014)","manualFormatting":"(Marcinkiewicz &amp; Kontny, 2014; Wang et al., 2020; Sheikhzadeh et al., 2023)","plainTextFormattedCitation":"(Marcinkiewicz &amp; Kontny, 2014)","previouslyFormattedCitation":"(Marcinkiewicz and Kontny 2014)"},"properties":{"noteIndex":0},"schema":"https://github.com/citation-style-language/schema/raw/master/csl-citation.json"}</w:instrText>
      </w:r>
      <w:r w:rsidR="00EB6AE8" w:rsidRPr="00E47F58">
        <w:rPr>
          <w:rFonts w:ascii="Arial" w:hAnsi="Arial" w:cs="Arial"/>
          <w:bCs/>
          <w:sz w:val="20"/>
          <w:szCs w:val="20"/>
          <w:lang w:val="en-GB"/>
        </w:rPr>
        <w:fldChar w:fldCharType="separate"/>
      </w:r>
      <w:r w:rsidR="00E51220" w:rsidRPr="00E51220">
        <w:rPr>
          <w:rFonts w:ascii="Arial" w:hAnsi="Arial" w:cs="Arial"/>
          <w:bCs/>
          <w:noProof/>
          <w:sz w:val="20"/>
          <w:szCs w:val="20"/>
          <w:lang w:val="en-GB"/>
        </w:rPr>
        <w:t>(Marcinkiewicz &amp; Kontny, 2014</w:t>
      </w:r>
      <w:r w:rsidR="00751A9B">
        <w:rPr>
          <w:rFonts w:ascii="Arial" w:hAnsi="Arial" w:cs="Arial"/>
          <w:bCs/>
          <w:noProof/>
          <w:sz w:val="20"/>
          <w:szCs w:val="20"/>
          <w:lang w:val="en-GB"/>
        </w:rPr>
        <w:t xml:space="preserve">; </w:t>
      </w:r>
      <w:r w:rsidR="00751A9B" w:rsidRPr="00751A9B">
        <w:rPr>
          <w:rFonts w:ascii="Arial" w:hAnsi="Arial" w:cs="Arial"/>
          <w:bCs/>
          <w:noProof/>
          <w:sz w:val="20"/>
          <w:szCs w:val="20"/>
          <w:highlight w:val="magenta"/>
          <w:lang w:val="en-GB"/>
        </w:rPr>
        <w:t>Wang et al., 2020; Sheikhzadeh et al., 2023</w:t>
      </w:r>
      <w:r w:rsidR="00E51220" w:rsidRPr="00751A9B">
        <w:rPr>
          <w:rFonts w:ascii="Arial" w:hAnsi="Arial" w:cs="Arial"/>
          <w:bCs/>
          <w:noProof/>
          <w:sz w:val="20"/>
          <w:szCs w:val="20"/>
          <w:highlight w:val="magenta"/>
          <w:lang w:val="en-GB"/>
        </w:rPr>
        <w:t>)</w:t>
      </w:r>
      <w:r w:rsidR="00EB6AE8" w:rsidRPr="00E47F58">
        <w:rPr>
          <w:rFonts w:ascii="Arial" w:hAnsi="Arial" w:cs="Arial"/>
          <w:bCs/>
          <w:sz w:val="20"/>
          <w:szCs w:val="20"/>
          <w:lang w:val="en-GB"/>
        </w:rPr>
        <w:fldChar w:fldCharType="end"/>
      </w:r>
      <w:r w:rsidR="00EB6AE8" w:rsidRPr="00E47F58">
        <w:rPr>
          <w:rFonts w:ascii="Arial" w:hAnsi="Arial" w:cs="Arial"/>
          <w:bCs/>
          <w:sz w:val="20"/>
          <w:szCs w:val="20"/>
          <w:lang w:val="en-GB"/>
        </w:rPr>
        <w:t>. In addition to the above information, it was also reported that taurine upregulation is responsible for the smooth antioxidant activity, osmoregulation, membrane stability and maintenance of Ca</w:t>
      </w:r>
      <w:r w:rsidR="00EB6AE8" w:rsidRPr="00E47F58">
        <w:rPr>
          <w:rFonts w:ascii="Arial" w:hAnsi="Arial" w:cs="Arial"/>
          <w:bCs/>
          <w:sz w:val="20"/>
          <w:szCs w:val="20"/>
          <w:vertAlign w:val="superscript"/>
          <w:lang w:val="en-GB"/>
        </w:rPr>
        <w:t xml:space="preserve">2+ </w:t>
      </w:r>
      <w:r w:rsidR="00EB6AE8" w:rsidRPr="00E47F58">
        <w:rPr>
          <w:rFonts w:ascii="Arial" w:hAnsi="Arial" w:cs="Arial"/>
          <w:bCs/>
          <w:sz w:val="20"/>
          <w:szCs w:val="20"/>
          <w:lang w:val="en-GB"/>
        </w:rPr>
        <w:t>stability. Hence, the non-down</w:t>
      </w:r>
      <w:r w:rsidRPr="00E47F58">
        <w:rPr>
          <w:rFonts w:ascii="Arial" w:hAnsi="Arial" w:cs="Arial"/>
          <w:bCs/>
          <w:sz w:val="20"/>
          <w:szCs w:val="20"/>
          <w:lang w:val="en-GB"/>
        </w:rPr>
        <w:t xml:space="preserve"> </w:t>
      </w:r>
      <w:r w:rsidR="00EB6AE8" w:rsidRPr="00E47F58">
        <w:rPr>
          <w:rFonts w:ascii="Arial" w:hAnsi="Arial" w:cs="Arial"/>
          <w:bCs/>
          <w:sz w:val="20"/>
          <w:szCs w:val="20"/>
          <w:lang w:val="en-GB"/>
        </w:rPr>
        <w:t>regulation of taurine level in CVC treated group is an indication of maintained innate immunity.</w:t>
      </w:r>
    </w:p>
    <w:p w14:paraId="103E679A" w14:textId="1216D03B" w:rsidR="00EB6AE8" w:rsidRPr="00E47F58" w:rsidRDefault="00EB6AE8" w:rsidP="00EB6AE8">
      <w:pPr>
        <w:pStyle w:val="single"/>
        <w:rPr>
          <w:rFonts w:ascii="Arial" w:hAnsi="Arial" w:cs="Arial"/>
          <w:sz w:val="20"/>
          <w:szCs w:val="20"/>
          <w:lang w:val="en-GB"/>
        </w:rPr>
      </w:pPr>
      <w:r w:rsidRPr="00E47F58">
        <w:rPr>
          <w:rFonts w:ascii="Arial" w:hAnsi="Arial" w:cs="Arial"/>
          <w:sz w:val="20"/>
          <w:szCs w:val="20"/>
          <w:lang w:val="en-GB"/>
        </w:rPr>
        <w:t>The common affected metabolites</w:t>
      </w:r>
      <w:r w:rsidR="00441C2A" w:rsidRPr="00E47F58">
        <w:rPr>
          <w:rFonts w:ascii="Arial" w:hAnsi="Arial" w:cs="Arial"/>
          <w:sz w:val="20"/>
          <w:szCs w:val="20"/>
          <w:lang w:val="en-GB"/>
        </w:rPr>
        <w:t xml:space="preserve"> (in terms of down regulation)</w:t>
      </w:r>
      <w:r w:rsidRPr="00E47F58">
        <w:rPr>
          <w:rFonts w:ascii="Arial" w:hAnsi="Arial" w:cs="Arial"/>
          <w:sz w:val="20"/>
          <w:szCs w:val="20"/>
          <w:lang w:val="en-GB"/>
        </w:rPr>
        <w:t xml:space="preserve"> as a result of bacterial challenge with 1x10</w:t>
      </w:r>
      <w:r w:rsidRPr="00E47F58">
        <w:rPr>
          <w:rFonts w:ascii="Arial" w:hAnsi="Arial" w:cs="Arial"/>
          <w:sz w:val="20"/>
          <w:szCs w:val="20"/>
          <w:vertAlign w:val="superscript"/>
          <w:lang w:val="en-GB"/>
        </w:rPr>
        <w:t>8</w:t>
      </w:r>
      <w:r w:rsidRPr="00E47F58">
        <w:rPr>
          <w:rFonts w:ascii="Arial" w:hAnsi="Arial" w:cs="Arial"/>
          <w:sz w:val="20"/>
          <w:szCs w:val="20"/>
          <w:lang w:val="en-GB"/>
        </w:rPr>
        <w:t xml:space="preserve"> CFU/mL concentration of </w:t>
      </w:r>
      <w:r w:rsidRPr="00E47F58">
        <w:rPr>
          <w:rFonts w:ascii="Arial" w:hAnsi="Arial" w:cs="Arial"/>
          <w:i/>
          <w:iCs/>
          <w:sz w:val="20"/>
          <w:szCs w:val="20"/>
          <w:lang w:val="en-GB"/>
        </w:rPr>
        <w:t>S. agalactiae</w:t>
      </w:r>
      <w:r w:rsidRPr="00E47F58">
        <w:rPr>
          <w:rFonts w:ascii="Arial" w:hAnsi="Arial" w:cs="Arial"/>
          <w:sz w:val="20"/>
          <w:szCs w:val="20"/>
          <w:lang w:val="en-GB"/>
        </w:rPr>
        <w:t xml:space="preserve"> on both control fish challenged (CFC) and </w:t>
      </w:r>
      <w:r w:rsidRPr="00E47F58">
        <w:rPr>
          <w:rFonts w:ascii="Arial" w:hAnsi="Arial" w:cs="Arial"/>
          <w:i/>
          <w:iCs/>
          <w:sz w:val="20"/>
          <w:szCs w:val="20"/>
          <w:lang w:val="en-GB"/>
        </w:rPr>
        <w:t xml:space="preserve">C. vulgaris </w:t>
      </w:r>
      <w:r w:rsidR="00BD3994" w:rsidRPr="00E47F58">
        <w:rPr>
          <w:rFonts w:ascii="Arial" w:hAnsi="Arial" w:cs="Arial"/>
          <w:sz w:val="20"/>
          <w:szCs w:val="20"/>
          <w:lang w:val="en-GB"/>
        </w:rPr>
        <w:t xml:space="preserve">challenged (CVC) fish were summarized in Table </w:t>
      </w:r>
      <w:r w:rsidR="00814B29">
        <w:rPr>
          <w:rFonts w:ascii="Arial" w:hAnsi="Arial" w:cs="Arial"/>
          <w:sz w:val="20"/>
          <w:szCs w:val="20"/>
          <w:lang w:val="en-GB"/>
        </w:rPr>
        <w:t xml:space="preserve">7 to show the </w:t>
      </w:r>
      <w:r w:rsidR="00814B29" w:rsidRPr="00814B29">
        <w:rPr>
          <w:rFonts w:ascii="Arial" w:hAnsi="Arial" w:cs="Arial"/>
          <w:sz w:val="20"/>
          <w:szCs w:val="20"/>
          <w:highlight w:val="yellow"/>
          <w:lang w:val="en-GB"/>
        </w:rPr>
        <w:t>mild</w:t>
      </w:r>
      <w:r w:rsidRPr="00814B29">
        <w:rPr>
          <w:rFonts w:ascii="Arial" w:hAnsi="Arial" w:cs="Arial"/>
          <w:sz w:val="20"/>
          <w:szCs w:val="20"/>
          <w:highlight w:val="yellow"/>
          <w:lang w:val="en-GB"/>
        </w:rPr>
        <w:t xml:space="preserve"> negative</w:t>
      </w:r>
      <w:r w:rsidRPr="00E47F58">
        <w:rPr>
          <w:rFonts w:ascii="Arial" w:hAnsi="Arial" w:cs="Arial"/>
          <w:sz w:val="20"/>
          <w:szCs w:val="20"/>
          <w:lang w:val="en-GB"/>
        </w:rPr>
        <w:t xml:space="preserve"> bacterial effect on fish fed with </w:t>
      </w:r>
      <w:r w:rsidRPr="00E47F58">
        <w:rPr>
          <w:rFonts w:ascii="Arial" w:hAnsi="Arial" w:cs="Arial"/>
          <w:i/>
          <w:iCs/>
          <w:sz w:val="20"/>
          <w:szCs w:val="20"/>
          <w:lang w:val="en-GB"/>
        </w:rPr>
        <w:t xml:space="preserve">C. vulgaris </w:t>
      </w:r>
      <w:r w:rsidRPr="00E47F58">
        <w:rPr>
          <w:rFonts w:ascii="Arial" w:hAnsi="Arial" w:cs="Arial"/>
          <w:sz w:val="20"/>
          <w:szCs w:val="20"/>
          <w:lang w:val="en-GB"/>
        </w:rPr>
        <w:t>as compared to fish without treatment</w:t>
      </w:r>
    </w:p>
    <w:p w14:paraId="45194694" w14:textId="77777777" w:rsidR="00EB6AE8" w:rsidRPr="00E47F58" w:rsidRDefault="00EB6AE8" w:rsidP="00EB6AE8">
      <w:pPr>
        <w:pStyle w:val="Caption"/>
        <w:keepNext/>
        <w:rPr>
          <w:rFonts w:ascii="Arial" w:hAnsi="Arial" w:cs="Arial"/>
          <w:sz w:val="20"/>
          <w:szCs w:val="20"/>
        </w:rPr>
      </w:pPr>
      <w:bookmarkStart w:id="53" w:name="_Toc50652956"/>
      <w:r w:rsidRPr="00E47F58">
        <w:rPr>
          <w:rFonts w:ascii="Arial" w:hAnsi="Arial" w:cs="Arial"/>
          <w:sz w:val="20"/>
          <w:szCs w:val="20"/>
        </w:rPr>
        <w:lastRenderedPageBreak/>
        <w:t>Table</w:t>
      </w:r>
      <w:r w:rsidR="00BD3994"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Table \* ARABIC \s 1 </w:instrText>
      </w:r>
      <w:r w:rsidR="0022766E" w:rsidRPr="00E47F58">
        <w:rPr>
          <w:rFonts w:ascii="Arial" w:hAnsi="Arial" w:cs="Arial"/>
          <w:sz w:val="20"/>
          <w:szCs w:val="20"/>
        </w:rPr>
        <w:fldChar w:fldCharType="separate"/>
      </w:r>
      <w:r w:rsidRPr="00E47F58">
        <w:rPr>
          <w:rFonts w:ascii="Arial" w:hAnsi="Arial" w:cs="Arial"/>
          <w:noProof/>
          <w:sz w:val="20"/>
          <w:szCs w:val="20"/>
        </w:rPr>
        <w:t>7</w:t>
      </w:r>
      <w:r w:rsidR="0022766E" w:rsidRPr="00E47F58">
        <w:rPr>
          <w:rFonts w:ascii="Arial" w:hAnsi="Arial" w:cs="Arial"/>
          <w:noProof/>
          <w:sz w:val="20"/>
          <w:szCs w:val="20"/>
        </w:rPr>
        <w:fldChar w:fldCharType="end"/>
      </w:r>
      <w:r w:rsidRPr="00E47F58">
        <w:rPr>
          <w:rFonts w:ascii="Arial" w:hAnsi="Arial" w:cs="Arial"/>
          <w:sz w:val="20"/>
          <w:szCs w:val="20"/>
        </w:rPr>
        <w:t xml:space="preserve"> : Comparison between metabolite fold changes as a result of bacteria </w:t>
      </w:r>
      <w:r w:rsidRPr="00E47F58">
        <w:rPr>
          <w:rFonts w:ascii="Arial" w:hAnsi="Arial" w:cs="Arial"/>
          <w:i/>
          <w:iCs/>
          <w:sz w:val="20"/>
          <w:szCs w:val="20"/>
        </w:rPr>
        <w:t xml:space="preserve">S. agalactiae </w:t>
      </w:r>
      <w:r w:rsidRPr="00E47F58">
        <w:rPr>
          <w:rFonts w:ascii="Arial" w:hAnsi="Arial" w:cs="Arial"/>
          <w:sz w:val="20"/>
          <w:szCs w:val="20"/>
        </w:rPr>
        <w:t>challenge on control fish (CF</w:t>
      </w:r>
      <w:r w:rsidR="00441C2A" w:rsidRPr="00E47F58">
        <w:rPr>
          <w:rFonts w:ascii="Arial" w:hAnsi="Arial" w:cs="Arial"/>
          <w:sz w:val="20"/>
          <w:szCs w:val="20"/>
        </w:rPr>
        <w:t>C</w:t>
      </w:r>
      <w:r w:rsidRPr="00E47F58">
        <w:rPr>
          <w:rFonts w:ascii="Arial" w:hAnsi="Arial" w:cs="Arial"/>
          <w:sz w:val="20"/>
          <w:szCs w:val="20"/>
        </w:rPr>
        <w:t xml:space="preserve">) and on </w:t>
      </w:r>
      <w:r w:rsidRPr="00E47F58">
        <w:rPr>
          <w:rFonts w:ascii="Arial" w:hAnsi="Arial" w:cs="Arial"/>
          <w:i/>
          <w:iCs/>
          <w:sz w:val="20"/>
          <w:szCs w:val="20"/>
        </w:rPr>
        <w:t xml:space="preserve">C. vulgaris </w:t>
      </w:r>
      <w:r w:rsidR="00441C2A" w:rsidRPr="00E47F58">
        <w:rPr>
          <w:rFonts w:ascii="Arial" w:hAnsi="Arial" w:cs="Arial"/>
          <w:sz w:val="20"/>
          <w:szCs w:val="20"/>
        </w:rPr>
        <w:t>fed fish (CV</w:t>
      </w:r>
      <w:r w:rsidRPr="00E47F58">
        <w:rPr>
          <w:rFonts w:ascii="Arial" w:hAnsi="Arial" w:cs="Arial"/>
          <w:sz w:val="20"/>
          <w:szCs w:val="20"/>
        </w:rPr>
        <w:t>C)</w:t>
      </w:r>
      <w:bookmarkEnd w:id="53"/>
    </w:p>
    <w:p w14:paraId="75B5681D" w14:textId="77777777" w:rsidR="00EB6AE8" w:rsidRPr="00E47F58" w:rsidRDefault="00EB6AE8" w:rsidP="00EB6AE8">
      <w:pPr>
        <w:pStyle w:val="j"/>
        <w:rPr>
          <w:rFonts w:ascii="Arial" w:hAnsi="Arial" w:cs="Arial"/>
          <w:sz w:val="20"/>
          <w:szCs w:val="20"/>
        </w:rPr>
      </w:pPr>
    </w:p>
    <w:tbl>
      <w:tblPr>
        <w:tblStyle w:val="TableGrid"/>
        <w:tblW w:w="5000" w:type="pct"/>
        <w:jc w:val="center"/>
        <w:tblLook w:val="04A0" w:firstRow="1" w:lastRow="0" w:firstColumn="1" w:lastColumn="0" w:noHBand="0" w:noVBand="1"/>
      </w:tblPr>
      <w:tblGrid>
        <w:gridCol w:w="3116"/>
        <w:gridCol w:w="3117"/>
        <w:gridCol w:w="3117"/>
      </w:tblGrid>
      <w:tr w:rsidR="00EB6AE8" w:rsidRPr="00E47F58" w14:paraId="16D7DB41" w14:textId="77777777" w:rsidTr="00441C2A">
        <w:trPr>
          <w:jc w:val="center"/>
        </w:trPr>
        <w:tc>
          <w:tcPr>
            <w:tcW w:w="1666" w:type="pct"/>
          </w:tcPr>
          <w:p w14:paraId="4B682442"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Metabolite</w:t>
            </w:r>
          </w:p>
        </w:tc>
        <w:tc>
          <w:tcPr>
            <w:tcW w:w="1667" w:type="pct"/>
          </w:tcPr>
          <w:p w14:paraId="7543DE67"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47B7FADF"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(CF/CFC)</w:t>
            </w:r>
          </w:p>
        </w:tc>
        <w:tc>
          <w:tcPr>
            <w:tcW w:w="1667" w:type="pct"/>
          </w:tcPr>
          <w:p w14:paraId="782014C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Fold change</w:t>
            </w:r>
          </w:p>
          <w:p w14:paraId="01C8FE7E"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lang w:val="en-GB"/>
              </w:rPr>
              <w:t>(CV/CVC)</w:t>
            </w:r>
          </w:p>
        </w:tc>
      </w:tr>
      <w:tr w:rsidR="00EB6AE8" w:rsidRPr="00E47F58" w14:paraId="127421AC" w14:textId="77777777" w:rsidTr="00441C2A">
        <w:trPr>
          <w:jc w:val="center"/>
        </w:trPr>
        <w:tc>
          <w:tcPr>
            <w:tcW w:w="1666" w:type="pct"/>
          </w:tcPr>
          <w:p w14:paraId="7202F7EC"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Linoleic acid</w:t>
            </w:r>
          </w:p>
          <w:p w14:paraId="76EE0920"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24E0FC26"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33.275</w:t>
            </w:r>
          </w:p>
          <w:p w14:paraId="66360A74"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423BFD60"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0.048606</w:t>
            </w:r>
          </w:p>
        </w:tc>
      </w:tr>
      <w:tr w:rsidR="00EB6AE8" w:rsidRPr="00E47F58" w14:paraId="4D81DEC7" w14:textId="77777777" w:rsidTr="00441C2A">
        <w:trPr>
          <w:jc w:val="center"/>
        </w:trPr>
        <w:tc>
          <w:tcPr>
            <w:tcW w:w="1666" w:type="pct"/>
          </w:tcPr>
          <w:p w14:paraId="0C3C7624"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Stearic acid</w:t>
            </w:r>
          </w:p>
          <w:p w14:paraId="068CEE77"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67A50539"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18.457</w:t>
            </w:r>
          </w:p>
          <w:p w14:paraId="40C64C2D"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1265267A"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0.046743</w:t>
            </w:r>
          </w:p>
        </w:tc>
      </w:tr>
      <w:tr w:rsidR="00EB6AE8" w:rsidRPr="00E47F58" w14:paraId="3723A86B" w14:textId="77777777" w:rsidTr="00441C2A">
        <w:trPr>
          <w:jc w:val="center"/>
        </w:trPr>
        <w:tc>
          <w:tcPr>
            <w:tcW w:w="1666" w:type="pct"/>
          </w:tcPr>
          <w:p w14:paraId="0A4C4493"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Palmitic acid</w:t>
            </w:r>
          </w:p>
          <w:p w14:paraId="2AEF6B6F"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3DF9455C"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2.7551</w:t>
            </w:r>
          </w:p>
          <w:p w14:paraId="1EE6B191" w14:textId="77777777" w:rsidR="00EB6AE8" w:rsidRPr="00E47F58" w:rsidRDefault="00EB6AE8" w:rsidP="00EB6AE8">
            <w:pPr>
              <w:spacing w:after="0" w:line="240" w:lineRule="auto"/>
              <w:jc w:val="both"/>
              <w:rPr>
                <w:rFonts w:ascii="Arial" w:eastAsia="Times New Roman" w:hAnsi="Arial" w:cs="Arial"/>
                <w:color w:val="000000" w:themeColor="text1"/>
                <w:lang w:val="en-SG"/>
              </w:rPr>
            </w:pPr>
          </w:p>
        </w:tc>
        <w:tc>
          <w:tcPr>
            <w:tcW w:w="1667" w:type="pct"/>
          </w:tcPr>
          <w:p w14:paraId="1336C4AC" w14:textId="77777777" w:rsidR="00EB6AE8" w:rsidRPr="00E47F58" w:rsidRDefault="00EB6AE8" w:rsidP="00EB6AE8">
            <w:pPr>
              <w:spacing w:after="0" w:line="240" w:lineRule="auto"/>
              <w:jc w:val="both"/>
              <w:rPr>
                <w:rFonts w:ascii="Arial" w:hAnsi="Arial" w:cs="Arial"/>
                <w:color w:val="000000" w:themeColor="text1"/>
                <w:lang w:val="en-GB"/>
              </w:rPr>
            </w:pPr>
            <w:r w:rsidRPr="00E47F58">
              <w:rPr>
                <w:rFonts w:ascii="Arial" w:hAnsi="Arial" w:cs="Arial"/>
                <w:color w:val="000000" w:themeColor="text1"/>
              </w:rPr>
              <w:t>0.057401</w:t>
            </w:r>
          </w:p>
        </w:tc>
      </w:tr>
      <w:tr w:rsidR="00EB6AE8" w:rsidRPr="00E47F58" w14:paraId="63C1AA0A" w14:textId="77777777" w:rsidTr="00441C2A">
        <w:trPr>
          <w:jc w:val="center"/>
        </w:trPr>
        <w:tc>
          <w:tcPr>
            <w:tcW w:w="1666" w:type="pct"/>
          </w:tcPr>
          <w:p w14:paraId="6E00D19B" w14:textId="77777777" w:rsidR="00EB6AE8" w:rsidRPr="00E47F58" w:rsidRDefault="00EB6AE8" w:rsidP="00EB6AE8">
            <w:pPr>
              <w:spacing w:after="0" w:line="240" w:lineRule="auto"/>
              <w:jc w:val="both"/>
              <w:rPr>
                <w:rFonts w:ascii="Arial" w:eastAsia="Times New Roman" w:hAnsi="Arial" w:cs="Arial"/>
                <w:color w:val="000000" w:themeColor="text1"/>
                <w:lang w:val="en-SG"/>
              </w:rPr>
            </w:pPr>
            <w:r w:rsidRPr="00E47F58">
              <w:rPr>
                <w:rFonts w:ascii="Arial" w:hAnsi="Arial" w:cs="Arial"/>
                <w:color w:val="000000" w:themeColor="text1"/>
              </w:rPr>
              <w:t>Linolenic acid</w:t>
            </w:r>
          </w:p>
          <w:p w14:paraId="3076251D" w14:textId="77777777" w:rsidR="00EB6AE8" w:rsidRPr="00E47F58" w:rsidRDefault="00EB6AE8" w:rsidP="00EB6AE8">
            <w:pPr>
              <w:spacing w:after="0" w:line="240" w:lineRule="auto"/>
              <w:jc w:val="both"/>
              <w:rPr>
                <w:rFonts w:ascii="Arial" w:hAnsi="Arial" w:cs="Arial"/>
                <w:color w:val="000000" w:themeColor="text1"/>
              </w:rPr>
            </w:pPr>
          </w:p>
        </w:tc>
        <w:tc>
          <w:tcPr>
            <w:tcW w:w="1667" w:type="pct"/>
          </w:tcPr>
          <w:p w14:paraId="3F7AA27A"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2.0481</w:t>
            </w:r>
          </w:p>
          <w:p w14:paraId="5EB7ED19" w14:textId="77777777" w:rsidR="00EB6AE8" w:rsidRPr="00E47F58" w:rsidRDefault="00EB6AE8" w:rsidP="00EB6AE8">
            <w:pPr>
              <w:spacing w:after="0" w:line="240" w:lineRule="auto"/>
              <w:jc w:val="both"/>
              <w:rPr>
                <w:rFonts w:ascii="Arial" w:hAnsi="Arial" w:cs="Arial"/>
                <w:color w:val="000000" w:themeColor="text1"/>
              </w:rPr>
            </w:pPr>
          </w:p>
        </w:tc>
        <w:tc>
          <w:tcPr>
            <w:tcW w:w="1667" w:type="pct"/>
          </w:tcPr>
          <w:p w14:paraId="510FBC8F" w14:textId="77777777" w:rsidR="00EB6AE8" w:rsidRPr="00E47F58" w:rsidRDefault="00EB6AE8" w:rsidP="00EB6AE8">
            <w:pPr>
              <w:spacing w:after="0" w:line="240" w:lineRule="auto"/>
              <w:jc w:val="both"/>
              <w:rPr>
                <w:rFonts w:ascii="Arial" w:hAnsi="Arial" w:cs="Arial"/>
                <w:color w:val="000000" w:themeColor="text1"/>
                <w:lang w:val="en-SG"/>
              </w:rPr>
            </w:pPr>
            <w:r w:rsidRPr="00E47F58">
              <w:rPr>
                <w:rFonts w:ascii="Arial" w:hAnsi="Arial" w:cs="Arial"/>
                <w:color w:val="000000" w:themeColor="text1"/>
              </w:rPr>
              <w:t>0.045015</w:t>
            </w:r>
          </w:p>
        </w:tc>
      </w:tr>
    </w:tbl>
    <w:p w14:paraId="17A537A6" w14:textId="77777777" w:rsidR="00EB6AE8" w:rsidRPr="00E47F58" w:rsidRDefault="00EB6AE8" w:rsidP="00EB6AE8">
      <w:pPr>
        <w:pStyle w:val="j"/>
        <w:rPr>
          <w:rFonts w:ascii="Arial" w:hAnsi="Arial" w:cs="Arial"/>
          <w:sz w:val="20"/>
          <w:szCs w:val="20"/>
          <w:lang w:val="en-GB"/>
        </w:rPr>
      </w:pPr>
    </w:p>
    <w:p w14:paraId="38549201" w14:textId="77777777" w:rsidR="00EB6AE8" w:rsidRPr="00E47F58" w:rsidRDefault="00EB6AE8" w:rsidP="00EB6AE8">
      <w:pPr>
        <w:pStyle w:val="j"/>
        <w:rPr>
          <w:rFonts w:ascii="Arial" w:hAnsi="Arial" w:cs="Arial"/>
          <w:sz w:val="20"/>
          <w:szCs w:val="20"/>
          <w:lang w:val="en-GB"/>
        </w:rPr>
      </w:pPr>
    </w:p>
    <w:p w14:paraId="1F71FAC5" w14:textId="77777777" w:rsidR="00EB6AE8" w:rsidRPr="00E47F58" w:rsidRDefault="00EB6AE8" w:rsidP="00EB6AE8">
      <w:pPr>
        <w:pStyle w:val="single"/>
        <w:rPr>
          <w:rFonts w:ascii="Arial" w:hAnsi="Arial" w:cs="Arial"/>
          <w:sz w:val="20"/>
          <w:szCs w:val="20"/>
        </w:rPr>
      </w:pPr>
      <w:r w:rsidRPr="00E47F58">
        <w:rPr>
          <w:rFonts w:ascii="Arial" w:hAnsi="Arial" w:cs="Arial"/>
          <w:sz w:val="20"/>
          <w:szCs w:val="20"/>
          <w:lang w:val="en-GB"/>
        </w:rPr>
        <w:t xml:space="preserve">There is a huge difference between the two FCs compared, indicating there was no effect of bacterial challenge on the immune improvements induced by </w:t>
      </w:r>
      <w:r w:rsidRPr="00E47F58">
        <w:rPr>
          <w:rFonts w:ascii="Arial" w:hAnsi="Arial" w:cs="Arial"/>
          <w:i/>
          <w:iCs/>
          <w:sz w:val="20"/>
          <w:szCs w:val="20"/>
          <w:lang w:val="en-GB"/>
        </w:rPr>
        <w:t xml:space="preserve">C. vulgaris </w:t>
      </w:r>
      <w:r w:rsidRPr="00E47F58">
        <w:rPr>
          <w:rFonts w:ascii="Arial" w:hAnsi="Arial" w:cs="Arial"/>
          <w:sz w:val="20"/>
          <w:szCs w:val="20"/>
          <w:lang w:val="en-GB"/>
        </w:rPr>
        <w:t>incorporation into fish diet</w:t>
      </w:r>
      <w:r w:rsidR="00441C2A" w:rsidRPr="00E47F58">
        <w:rPr>
          <w:rFonts w:ascii="Arial" w:hAnsi="Arial" w:cs="Arial"/>
          <w:i/>
          <w:iCs/>
          <w:sz w:val="20"/>
          <w:szCs w:val="20"/>
          <w:lang w:val="en-GB"/>
        </w:rPr>
        <w:t xml:space="preserve"> </w:t>
      </w:r>
      <w:r w:rsidR="00441C2A" w:rsidRPr="00E47F58">
        <w:rPr>
          <w:rFonts w:ascii="Arial" w:hAnsi="Arial" w:cs="Arial"/>
          <w:iCs/>
          <w:sz w:val="20"/>
          <w:szCs w:val="20"/>
          <w:lang w:val="en-GB"/>
        </w:rPr>
        <w:t xml:space="preserve">as compared with fish which did not received the micro algal treatment </w:t>
      </w:r>
      <w:r w:rsidR="00441C2A" w:rsidRPr="00E47F58">
        <w:rPr>
          <w:rFonts w:ascii="Arial" w:hAnsi="Arial" w:cs="Arial"/>
          <w:sz w:val="20"/>
          <w:szCs w:val="20"/>
          <w:lang w:val="en-GB"/>
        </w:rPr>
        <w:t xml:space="preserve">(Table </w:t>
      </w:r>
      <w:r w:rsidRPr="00E47F58">
        <w:rPr>
          <w:rFonts w:ascii="Arial" w:hAnsi="Arial" w:cs="Arial"/>
          <w:sz w:val="20"/>
          <w:szCs w:val="20"/>
          <w:lang w:val="en-GB"/>
        </w:rPr>
        <w:t>7).</w:t>
      </w:r>
    </w:p>
    <w:p w14:paraId="72AE1933" w14:textId="08E2C268" w:rsidR="00EB6AE8" w:rsidRPr="00E47F58" w:rsidRDefault="00A60DD7" w:rsidP="00E47F58">
      <w:pPr>
        <w:pStyle w:val="Heading3"/>
        <w:rPr>
          <w:sz w:val="20"/>
          <w:szCs w:val="20"/>
          <w:lang w:val="en-GB"/>
        </w:rPr>
      </w:pPr>
      <w:bookmarkStart w:id="54" w:name="_Toc49955763"/>
      <w:bookmarkStart w:id="55" w:name="_Toc50652454"/>
      <w:r>
        <w:rPr>
          <w:sz w:val="20"/>
          <w:szCs w:val="20"/>
          <w:lang w:val="en-GB"/>
        </w:rPr>
        <w:t>3.8</w:t>
      </w:r>
      <w:r w:rsidR="004B090C" w:rsidRPr="00E47F58">
        <w:rPr>
          <w:sz w:val="20"/>
          <w:szCs w:val="20"/>
          <w:lang w:val="en-GB"/>
        </w:rPr>
        <w:tab/>
      </w:r>
      <w:r w:rsidR="00441C2A" w:rsidRPr="00E47F58">
        <w:rPr>
          <w:sz w:val="20"/>
          <w:szCs w:val="20"/>
          <w:lang w:val="en-GB"/>
        </w:rPr>
        <w:t xml:space="preserve">MVDA </w:t>
      </w:r>
      <w:r w:rsidR="00EB6AE8" w:rsidRPr="00E47F58">
        <w:rPr>
          <w:sz w:val="20"/>
          <w:szCs w:val="20"/>
          <w:lang w:val="en-GB"/>
        </w:rPr>
        <w:t>Model</w:t>
      </w:r>
      <w:r w:rsidR="0048025D" w:rsidRPr="00E47F58">
        <w:rPr>
          <w:sz w:val="20"/>
          <w:szCs w:val="20"/>
          <w:lang w:val="en-GB"/>
        </w:rPr>
        <w:t>s</w:t>
      </w:r>
      <w:r w:rsidR="00EB6AE8" w:rsidRPr="00E47F58">
        <w:rPr>
          <w:sz w:val="20"/>
          <w:szCs w:val="20"/>
          <w:lang w:val="en-GB"/>
        </w:rPr>
        <w:t xml:space="preserve"> validation</w:t>
      </w:r>
      <w:bookmarkEnd w:id="54"/>
      <w:bookmarkEnd w:id="55"/>
    </w:p>
    <w:p w14:paraId="1C09BE3A" w14:textId="5B9D0300" w:rsidR="00441C2A" w:rsidRPr="00E47F58" w:rsidRDefault="00441C2A" w:rsidP="00151BFC">
      <w:pPr>
        <w:pStyle w:val="single"/>
        <w:rPr>
          <w:rFonts w:ascii="Arial" w:hAnsi="Arial" w:cs="Arial"/>
          <w:sz w:val="20"/>
          <w:szCs w:val="20"/>
        </w:rPr>
      </w:pPr>
      <w:r w:rsidRPr="00E47F58">
        <w:rPr>
          <w:rFonts w:ascii="Arial" w:hAnsi="Arial" w:cs="Arial"/>
          <w:sz w:val="20"/>
          <w:szCs w:val="20"/>
        </w:rPr>
        <w:t xml:space="preserve">The goodness of fit and predictability of a MVDA model are determined by calculating the R2 and Q2 which stands for fitness and predictability respectively </w:t>
      </w:r>
      <w:r w:rsidRPr="00E47F58">
        <w:rPr>
          <w:rFonts w:ascii="Arial" w:hAnsi="Arial" w:cs="Arial"/>
          <w:sz w:val="20"/>
          <w:szCs w:val="20"/>
        </w:rPr>
        <w:fldChar w:fldCharType="begin" w:fldLock="1"/>
      </w:r>
      <w:r w:rsidR="00E51220">
        <w:rPr>
          <w:rFonts w:ascii="Arial" w:hAnsi="Arial" w:cs="Arial"/>
          <w:sz w:val="20"/>
          <w:szCs w:val="20"/>
        </w:rPr>
        <w:instrText>ADDIN CSL_CITATION {"citationItems":[{"id":"ITEM-1","itemData":{"DOI":"10.1007/s11101-006-9031-3","ISSN":"15687767","abstract":"Metabolomics is defined as both the qualitative and quantitative analysis of all metabolites in an organism unraveling correlation with other OMICs data. Many of the technologies used in metabolomics have method-specific advantages and drawbacks in terms of diversity of metabolites detected, sensitivity, or resolution. In this paper, the potential of NMR spectrometry applied to metabolomics is reviewed using examples of Nicotiana tabacum and Catharanthus roseus. © 2007 Springer Science+Business Media B.V.","author":[{"dropping-particle":"","family":"Verpoorte","given":"R.","non-dropping-particle":"","parse-names":false,"suffix":""},{"dropping-particle":"","family":"Choi","given":"Y. H.","non-dropping-particle":"","parse-names":false,"suffix":""},{"dropping-particle":"","family":"Kim","given":"H. K.","non-dropping-particle":"","parse-names":false,"suffix":""}],"container-title":"Phytochemistry Reviews","id":"ITEM-1","issue":"1","issued":{"date-parts":[["2007"]]},"page":"3-14","title":"NMR-based metabolomics at work in phytochemistry","type":"article-journal","volume":"6"},"uris":["http://www.mendeley.com/documents/?uuid=c2fcdc91-6e5a-4a21-9668-98b19bffae6d","http://www.mendeley.com/documents/?uuid=08dadb37-fa67-4299-8bbb-eca6ff533e28"]}],"mendeley":{"formattedCitation":"(Verpoorte et al., 2007)","manualFormatting":"(Verpoorte et al., 2007)","plainTextFormattedCitation":"(Verpoorte et al., 2007)","previouslyFormattedCitation":"(Verpoorte, Choi, and Kim 2007)"},"properties":{"noteIndex":0},"schema":"https://github.com/citation-style-language/schema/raw/master/csl-citation.json"}</w:instrText>
      </w:r>
      <w:r w:rsidRPr="00E47F58">
        <w:rPr>
          <w:rFonts w:ascii="Arial" w:hAnsi="Arial" w:cs="Arial"/>
          <w:sz w:val="20"/>
          <w:szCs w:val="20"/>
        </w:rPr>
        <w:fldChar w:fldCharType="separate"/>
      </w:r>
      <w:r w:rsidRPr="00E47F58">
        <w:rPr>
          <w:rFonts w:ascii="Arial" w:hAnsi="Arial" w:cs="Arial"/>
          <w:noProof/>
          <w:sz w:val="20"/>
          <w:szCs w:val="20"/>
        </w:rPr>
        <w:t>(Verpoorte et al., 2007)</w:t>
      </w:r>
      <w:r w:rsidRPr="00E47F58">
        <w:rPr>
          <w:rFonts w:ascii="Arial" w:hAnsi="Arial" w:cs="Arial"/>
          <w:sz w:val="20"/>
          <w:szCs w:val="20"/>
        </w:rPr>
        <w:fldChar w:fldCharType="end"/>
      </w:r>
      <w:r w:rsidRPr="00E47F58">
        <w:rPr>
          <w:rFonts w:ascii="Arial" w:hAnsi="Arial" w:cs="Arial"/>
          <w:sz w:val="20"/>
          <w:szCs w:val="20"/>
        </w:rPr>
        <w:t>. Generally, R2 determines how well the training data set are statistically reproducible and when R2 intercept is less than 0.4 and Q2 intercept is less than -0.05 along Y-axis, the model is said to exhibit good fitness a</w:t>
      </w:r>
      <w:r w:rsidR="0048025D" w:rsidRPr="00E47F58">
        <w:rPr>
          <w:rFonts w:ascii="Arial" w:hAnsi="Arial" w:cs="Arial"/>
          <w:sz w:val="20"/>
          <w:szCs w:val="20"/>
        </w:rPr>
        <w:t>nd predictability. The above MVDA</w:t>
      </w:r>
      <w:r w:rsidRPr="00E47F58">
        <w:rPr>
          <w:rFonts w:ascii="Arial" w:hAnsi="Arial" w:cs="Arial"/>
          <w:sz w:val="20"/>
          <w:szCs w:val="20"/>
        </w:rPr>
        <w:t xml:space="preserve"> models </w:t>
      </w:r>
      <w:r w:rsidR="0048025D" w:rsidRPr="00E47F58">
        <w:rPr>
          <w:rFonts w:ascii="Arial" w:hAnsi="Arial" w:cs="Arial"/>
          <w:sz w:val="20"/>
          <w:szCs w:val="20"/>
        </w:rPr>
        <w:t xml:space="preserve">in this studies </w:t>
      </w:r>
      <w:r w:rsidRPr="00E47F58">
        <w:rPr>
          <w:rFonts w:ascii="Arial" w:hAnsi="Arial" w:cs="Arial"/>
          <w:sz w:val="20"/>
          <w:szCs w:val="20"/>
        </w:rPr>
        <w:t>fulfil the requirements for both R2 and Q2 suggesting that the models meet the criteria for the validation and prediction performance. The permutation tests with 100 permutations and external v</w:t>
      </w:r>
      <w:r w:rsidR="0048025D" w:rsidRPr="00E47F58">
        <w:rPr>
          <w:rFonts w:ascii="Arial" w:hAnsi="Arial" w:cs="Arial"/>
          <w:sz w:val="20"/>
          <w:szCs w:val="20"/>
        </w:rPr>
        <w:t>alidation indicated that the models were valid (Figure 9</w:t>
      </w:r>
      <w:r w:rsidR="00151BFC" w:rsidRPr="00E47F58">
        <w:rPr>
          <w:rFonts w:ascii="Arial" w:hAnsi="Arial" w:cs="Arial"/>
          <w:sz w:val="20"/>
          <w:szCs w:val="20"/>
        </w:rPr>
        <w:t>).</w:t>
      </w:r>
    </w:p>
    <w:p w14:paraId="3CD384EC" w14:textId="77777777" w:rsidR="00EB6AE8" w:rsidRPr="00E47F58" w:rsidRDefault="00EB6AE8" w:rsidP="00151BFC">
      <w:pPr>
        <w:spacing w:after="0" w:line="240" w:lineRule="auto"/>
        <w:jc w:val="both"/>
        <w:rPr>
          <w:rFonts w:ascii="Arial" w:hAnsi="Arial" w:cs="Arial"/>
          <w:color w:val="000000" w:themeColor="text1"/>
          <w:sz w:val="20"/>
          <w:szCs w:val="20"/>
        </w:rPr>
      </w:pPr>
      <w:r w:rsidRPr="00E47F58">
        <w:rPr>
          <w:rFonts w:ascii="Arial" w:hAnsi="Arial" w:cs="Arial"/>
          <w:b/>
          <w:bCs/>
          <w:color w:val="000000" w:themeColor="text1"/>
          <w:sz w:val="20"/>
          <w:szCs w:val="20"/>
        </w:rPr>
        <w:lastRenderedPageBreak/>
        <w:tab/>
      </w:r>
      <w:r w:rsidR="00BD191A" w:rsidRPr="00E47F58">
        <w:rPr>
          <w:rFonts w:ascii="Arial" w:hAnsi="Arial" w:cs="Arial"/>
          <w:b/>
          <w:bCs/>
          <w:noProof/>
          <w:color w:val="000000" w:themeColor="text1"/>
          <w:sz w:val="20"/>
          <w:szCs w:val="20"/>
        </w:rPr>
        <w:drawing>
          <wp:inline distT="0" distB="0" distL="0" distR="0" wp14:anchorId="5E94CF61" wp14:editId="0DE4AEF5">
            <wp:extent cx="4579044" cy="702895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7294" t="796" r="9496" b="1691"/>
                    <a:stretch/>
                  </pic:blipFill>
                  <pic:spPr bwMode="auto">
                    <a:xfrm>
                      <a:off x="0" y="0"/>
                      <a:ext cx="4633767" cy="7112954"/>
                    </a:xfrm>
                    <a:prstGeom prst="rect">
                      <a:avLst/>
                    </a:prstGeom>
                    <a:noFill/>
                    <a:ln>
                      <a:noFill/>
                    </a:ln>
                    <a:extLst>
                      <a:ext uri="{53640926-AAD7-44D8-BBD7-CCE9431645EC}">
                        <a14:shadowObscured xmlns:a14="http://schemas.microsoft.com/office/drawing/2010/main"/>
                      </a:ext>
                    </a:extLst>
                  </pic:spPr>
                </pic:pic>
              </a:graphicData>
            </a:graphic>
          </wp:inline>
        </w:drawing>
      </w:r>
    </w:p>
    <w:p w14:paraId="199F2103" w14:textId="6606DB23" w:rsidR="00EB6AE8" w:rsidRDefault="00EB6AE8" w:rsidP="00EB6AE8">
      <w:pPr>
        <w:pStyle w:val="Caption"/>
        <w:rPr>
          <w:rFonts w:ascii="Arial" w:hAnsi="Arial" w:cs="Arial"/>
          <w:sz w:val="20"/>
          <w:szCs w:val="20"/>
        </w:rPr>
      </w:pPr>
      <w:bookmarkStart w:id="56" w:name="_Toc50653945"/>
      <w:r w:rsidRPr="00E47F58">
        <w:rPr>
          <w:rFonts w:ascii="Arial" w:hAnsi="Arial" w:cs="Arial"/>
          <w:sz w:val="20"/>
          <w:szCs w:val="20"/>
        </w:rPr>
        <w:t>Figure</w:t>
      </w:r>
      <w:r w:rsidR="0048025D" w:rsidRPr="00E47F58">
        <w:rPr>
          <w:rFonts w:ascii="Arial" w:hAnsi="Arial" w:cs="Arial"/>
          <w:sz w:val="20"/>
          <w:szCs w:val="20"/>
        </w:rPr>
        <w:t xml:space="preserve"> </w:t>
      </w:r>
      <w:r w:rsidR="0022766E" w:rsidRPr="00E47F58">
        <w:rPr>
          <w:rFonts w:ascii="Arial" w:hAnsi="Arial" w:cs="Arial"/>
          <w:sz w:val="20"/>
          <w:szCs w:val="20"/>
        </w:rPr>
        <w:fldChar w:fldCharType="begin"/>
      </w:r>
      <w:r w:rsidR="0022766E" w:rsidRPr="00E47F58">
        <w:rPr>
          <w:rFonts w:ascii="Arial" w:hAnsi="Arial" w:cs="Arial"/>
          <w:sz w:val="20"/>
          <w:szCs w:val="20"/>
        </w:rPr>
        <w:instrText xml:space="preserve"> SEQ Figure \* ARABIC \s 1 </w:instrText>
      </w:r>
      <w:r w:rsidR="0022766E" w:rsidRPr="00E47F58">
        <w:rPr>
          <w:rFonts w:ascii="Arial" w:hAnsi="Arial" w:cs="Arial"/>
          <w:sz w:val="20"/>
          <w:szCs w:val="20"/>
        </w:rPr>
        <w:fldChar w:fldCharType="separate"/>
      </w:r>
      <w:r w:rsidRPr="00E47F58">
        <w:rPr>
          <w:rFonts w:ascii="Arial" w:hAnsi="Arial" w:cs="Arial"/>
          <w:noProof/>
          <w:sz w:val="20"/>
          <w:szCs w:val="20"/>
        </w:rPr>
        <w:t>9</w:t>
      </w:r>
      <w:r w:rsidR="0022766E" w:rsidRPr="00E47F58">
        <w:rPr>
          <w:rFonts w:ascii="Arial" w:hAnsi="Arial" w:cs="Arial"/>
          <w:noProof/>
          <w:sz w:val="20"/>
          <w:szCs w:val="20"/>
        </w:rPr>
        <w:fldChar w:fldCharType="end"/>
      </w:r>
      <w:r w:rsidRPr="00E47F58">
        <w:rPr>
          <w:rFonts w:ascii="Arial" w:hAnsi="Arial" w:cs="Arial"/>
          <w:sz w:val="20"/>
          <w:szCs w:val="20"/>
        </w:rPr>
        <w:t xml:space="preserve"> : The PLS-DA; CV and CF (a) OPLS-DA; CF and CFC (b) OPLS-DA; CV and CVC</w:t>
      </w:r>
      <w:r w:rsidR="00F841A7">
        <w:rPr>
          <w:rFonts w:ascii="Arial" w:hAnsi="Arial" w:cs="Arial"/>
          <w:sz w:val="20"/>
          <w:szCs w:val="20"/>
        </w:rPr>
        <w:t xml:space="preserve"> (c)</w:t>
      </w:r>
      <w:r w:rsidRPr="00E47F58">
        <w:rPr>
          <w:rFonts w:ascii="Arial" w:hAnsi="Arial" w:cs="Arial"/>
          <w:sz w:val="20"/>
          <w:szCs w:val="20"/>
        </w:rPr>
        <w:t xml:space="preserve"> model</w:t>
      </w:r>
      <w:r w:rsidR="0048025D" w:rsidRPr="00E47F58">
        <w:rPr>
          <w:rFonts w:ascii="Arial" w:hAnsi="Arial" w:cs="Arial"/>
          <w:sz w:val="20"/>
          <w:szCs w:val="20"/>
        </w:rPr>
        <w:t>s</w:t>
      </w:r>
      <w:r w:rsidRPr="00E47F58">
        <w:rPr>
          <w:rFonts w:ascii="Arial" w:hAnsi="Arial" w:cs="Arial"/>
          <w:sz w:val="20"/>
          <w:szCs w:val="20"/>
        </w:rPr>
        <w:t xml:space="preserve"> validation with 100 permutations for prophylaxis study analysis</w:t>
      </w:r>
      <w:bookmarkEnd w:id="56"/>
      <w:r w:rsidR="000A0BA1" w:rsidRPr="00E47F58">
        <w:rPr>
          <w:rFonts w:ascii="Arial" w:hAnsi="Arial" w:cs="Arial"/>
          <w:sz w:val="20"/>
          <w:szCs w:val="20"/>
        </w:rPr>
        <w:t>.</w:t>
      </w:r>
    </w:p>
    <w:p w14:paraId="08C22A50" w14:textId="77777777" w:rsidR="00E47F58" w:rsidRPr="00E47F58" w:rsidRDefault="00E47F58" w:rsidP="00E47F58"/>
    <w:p w14:paraId="1BDDF7B6" w14:textId="77777777" w:rsidR="00EB6AE8" w:rsidRPr="00000A2B" w:rsidRDefault="004B090C" w:rsidP="002C772B">
      <w:pPr>
        <w:pStyle w:val="Heading2"/>
      </w:pPr>
      <w:bookmarkStart w:id="57" w:name="_Toc49955764"/>
      <w:bookmarkStart w:id="58" w:name="_Toc50652455"/>
      <w:r>
        <w:lastRenderedPageBreak/>
        <w:t>4.0</w:t>
      </w:r>
      <w:r>
        <w:tab/>
      </w:r>
      <w:r w:rsidR="00123C53" w:rsidRPr="00000A2B">
        <w:t>CONCLUSION</w:t>
      </w:r>
      <w:bookmarkEnd w:id="57"/>
      <w:bookmarkEnd w:id="58"/>
    </w:p>
    <w:p w14:paraId="2D74C0E2" w14:textId="1ED2887B" w:rsidR="00EB6AE8" w:rsidRPr="00101146" w:rsidRDefault="00EB6AE8" w:rsidP="00EB6AE8">
      <w:pPr>
        <w:pStyle w:val="single"/>
        <w:rPr>
          <w:rFonts w:ascii="Arial" w:hAnsi="Arial" w:cs="Arial"/>
          <w:sz w:val="20"/>
          <w:szCs w:val="20"/>
          <w:lang w:val="en-GB"/>
        </w:rPr>
      </w:pPr>
      <w:r w:rsidRPr="00101146">
        <w:rPr>
          <w:rFonts w:ascii="Arial" w:hAnsi="Arial" w:cs="Arial"/>
          <w:sz w:val="20"/>
          <w:szCs w:val="20"/>
          <w:lang w:val="en-GB"/>
        </w:rPr>
        <w:t>The research findings show</w:t>
      </w:r>
      <w:r w:rsidR="002F1CEB">
        <w:rPr>
          <w:rFonts w:ascii="Arial" w:hAnsi="Arial" w:cs="Arial"/>
          <w:sz w:val="20"/>
          <w:szCs w:val="20"/>
          <w:lang w:val="en-GB"/>
        </w:rPr>
        <w:t>s</w:t>
      </w:r>
      <w:r w:rsidRPr="00101146">
        <w:rPr>
          <w:rFonts w:ascii="Arial" w:hAnsi="Arial" w:cs="Arial"/>
          <w:sz w:val="20"/>
          <w:szCs w:val="20"/>
          <w:lang w:val="en-GB"/>
        </w:rPr>
        <w:t xml:space="preserve"> that there was </w:t>
      </w:r>
      <w:r w:rsidR="00814B29">
        <w:rPr>
          <w:rFonts w:ascii="Arial" w:hAnsi="Arial" w:cs="Arial"/>
          <w:sz w:val="20"/>
          <w:szCs w:val="20"/>
          <w:lang w:val="en-GB"/>
        </w:rPr>
        <w:t xml:space="preserve">a </w:t>
      </w:r>
      <w:r w:rsidR="00814B29" w:rsidRPr="00814B29">
        <w:rPr>
          <w:rFonts w:ascii="Arial" w:hAnsi="Arial" w:cs="Arial"/>
          <w:sz w:val="20"/>
          <w:szCs w:val="20"/>
          <w:highlight w:val="yellow"/>
          <w:lang w:val="en-GB"/>
        </w:rPr>
        <w:t>mild</w:t>
      </w:r>
      <w:r w:rsidRPr="00814B29">
        <w:rPr>
          <w:rFonts w:ascii="Arial" w:hAnsi="Arial" w:cs="Arial"/>
          <w:sz w:val="20"/>
          <w:szCs w:val="20"/>
          <w:highlight w:val="yellow"/>
          <w:lang w:val="en-GB"/>
        </w:rPr>
        <w:t xml:space="preserve"> negative effect</w:t>
      </w:r>
      <w:r w:rsidRPr="00101146">
        <w:rPr>
          <w:rFonts w:ascii="Arial" w:hAnsi="Arial" w:cs="Arial"/>
          <w:sz w:val="20"/>
          <w:szCs w:val="20"/>
          <w:lang w:val="en-GB"/>
        </w:rPr>
        <w:t xml:space="preserve"> of </w:t>
      </w:r>
      <w:r w:rsidRPr="00101146">
        <w:rPr>
          <w:rFonts w:ascii="Arial" w:hAnsi="Arial" w:cs="Arial"/>
          <w:i/>
          <w:iCs/>
          <w:sz w:val="20"/>
          <w:szCs w:val="20"/>
          <w:lang w:val="en-GB"/>
        </w:rPr>
        <w:t xml:space="preserve">S. agalactiae </w:t>
      </w:r>
      <w:r w:rsidRPr="00101146">
        <w:rPr>
          <w:rFonts w:ascii="Arial" w:hAnsi="Arial" w:cs="Arial"/>
          <w:sz w:val="20"/>
          <w:szCs w:val="20"/>
          <w:lang w:val="en-GB"/>
        </w:rPr>
        <w:t xml:space="preserve">bacteria on the fish pre-fed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in terms of metabolite down</w:t>
      </w:r>
      <w:r w:rsidR="0048025D" w:rsidRPr="00101146">
        <w:rPr>
          <w:rFonts w:ascii="Arial" w:hAnsi="Arial" w:cs="Arial"/>
          <w:sz w:val="20"/>
          <w:szCs w:val="20"/>
          <w:lang w:val="en-GB"/>
        </w:rPr>
        <w:t xml:space="preserve"> </w:t>
      </w:r>
      <w:r w:rsidRPr="00101146">
        <w:rPr>
          <w:rFonts w:ascii="Arial" w:hAnsi="Arial" w:cs="Arial"/>
          <w:sz w:val="20"/>
          <w:szCs w:val="20"/>
          <w:lang w:val="en-GB"/>
        </w:rPr>
        <w:t xml:space="preserve">regulation. This substantiate the findings and provide basis that immune improvement provided by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incorporation into fish feed for tilapia was sustained even when the fish was challenged with a virulent bacterium, </w:t>
      </w:r>
      <w:r w:rsidRPr="00101146">
        <w:rPr>
          <w:rFonts w:ascii="Arial" w:hAnsi="Arial" w:cs="Arial"/>
          <w:i/>
          <w:iCs/>
          <w:sz w:val="20"/>
          <w:szCs w:val="20"/>
          <w:lang w:val="en-GB"/>
        </w:rPr>
        <w:t>S. agalactiae</w:t>
      </w:r>
      <w:r w:rsidRPr="00101146">
        <w:rPr>
          <w:rFonts w:ascii="Arial" w:hAnsi="Arial" w:cs="Arial"/>
          <w:sz w:val="20"/>
          <w:szCs w:val="20"/>
          <w:lang w:val="en-GB"/>
        </w:rPr>
        <w:t xml:space="preserve">. In addition, the MVA findings agree with the results that showed 90% survival rate of fish 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 a bacterial challenge study. This maybe an indication why such high survival rate was obtained with fish population previously fed with </w:t>
      </w:r>
      <w:r w:rsidRPr="00101146">
        <w:rPr>
          <w:rFonts w:ascii="Arial" w:hAnsi="Arial" w:cs="Arial"/>
          <w:i/>
          <w:iCs/>
          <w:sz w:val="20"/>
          <w:szCs w:val="20"/>
          <w:lang w:val="en-GB"/>
        </w:rPr>
        <w:t xml:space="preserve">C. vulgaris </w:t>
      </w:r>
      <w:r w:rsidRPr="00101146">
        <w:rPr>
          <w:rFonts w:ascii="Arial" w:hAnsi="Arial" w:cs="Arial"/>
          <w:sz w:val="20"/>
          <w:szCs w:val="20"/>
          <w:lang w:val="en-GB"/>
        </w:rPr>
        <w:t>prior to bacterial challenge.</w:t>
      </w:r>
    </w:p>
    <w:p w14:paraId="731867AE" w14:textId="7B0CDA5F" w:rsidR="00EB6AE8" w:rsidRDefault="00EB6AE8" w:rsidP="00EB6AE8">
      <w:pPr>
        <w:pStyle w:val="single"/>
        <w:rPr>
          <w:rFonts w:ascii="Arial" w:hAnsi="Arial" w:cs="Arial"/>
          <w:sz w:val="20"/>
          <w:szCs w:val="20"/>
          <w:lang w:val="en-GB"/>
        </w:rPr>
      </w:pPr>
      <w:r w:rsidRPr="00101146">
        <w:rPr>
          <w:rFonts w:ascii="Arial" w:hAnsi="Arial" w:cs="Arial"/>
          <w:sz w:val="20"/>
          <w:szCs w:val="20"/>
          <w:lang w:val="en-GB"/>
        </w:rPr>
        <w:t xml:space="preserve">In conclusion, 125 mg/kg </w:t>
      </w:r>
      <w:proofErr w:type="spellStart"/>
      <w:r w:rsidRPr="00101146">
        <w:rPr>
          <w:rFonts w:ascii="Arial" w:hAnsi="Arial" w:cs="Arial"/>
          <w:sz w:val="20"/>
          <w:szCs w:val="20"/>
          <w:lang w:val="en-GB"/>
        </w:rPr>
        <w:t>bw</w:t>
      </w:r>
      <w:proofErr w:type="spellEnd"/>
      <w:r w:rsidRPr="00101146">
        <w:rPr>
          <w:rFonts w:ascii="Arial" w:hAnsi="Arial" w:cs="Arial"/>
          <w:sz w:val="20"/>
          <w:szCs w:val="20"/>
          <w:lang w:val="en-GB"/>
        </w:rPr>
        <w:t xml:space="preserve"> concentration of </w:t>
      </w:r>
      <w:r w:rsidRPr="00101146">
        <w:rPr>
          <w:rFonts w:ascii="Arial" w:hAnsi="Arial" w:cs="Arial"/>
          <w:i/>
          <w:iCs/>
          <w:sz w:val="20"/>
          <w:szCs w:val="20"/>
          <w:lang w:val="en-GB"/>
        </w:rPr>
        <w:t xml:space="preserve">C. vulgaris </w:t>
      </w:r>
      <w:r w:rsidRPr="00101146">
        <w:rPr>
          <w:rFonts w:ascii="Arial" w:hAnsi="Arial" w:cs="Arial"/>
          <w:sz w:val="20"/>
          <w:szCs w:val="20"/>
          <w:lang w:val="en-GB"/>
        </w:rPr>
        <w:t xml:space="preserve">incorporated into fish feed exerts potential immuno-modulatory effects in tilapia fish in 3 weeks which was sustained </w:t>
      </w:r>
      <w:r w:rsidR="0048025D" w:rsidRPr="00101146">
        <w:rPr>
          <w:rFonts w:ascii="Arial" w:hAnsi="Arial" w:cs="Arial"/>
          <w:sz w:val="20"/>
          <w:szCs w:val="20"/>
          <w:lang w:val="en-GB"/>
        </w:rPr>
        <w:t xml:space="preserve">even </w:t>
      </w:r>
      <w:r w:rsidRPr="00101146">
        <w:rPr>
          <w:rFonts w:ascii="Arial" w:hAnsi="Arial" w:cs="Arial"/>
          <w:sz w:val="20"/>
          <w:szCs w:val="20"/>
          <w:lang w:val="en-GB"/>
        </w:rPr>
        <w:t xml:space="preserve">after the fish was challenged with </w:t>
      </w:r>
      <w:r w:rsidRPr="00101146">
        <w:rPr>
          <w:rFonts w:ascii="Arial" w:hAnsi="Arial" w:cs="Arial"/>
          <w:i/>
          <w:iCs/>
          <w:sz w:val="20"/>
          <w:szCs w:val="20"/>
          <w:lang w:val="en-GB"/>
        </w:rPr>
        <w:t>S. agalactiae</w:t>
      </w:r>
      <w:r w:rsidRPr="00101146">
        <w:rPr>
          <w:rFonts w:ascii="Arial" w:hAnsi="Arial" w:cs="Arial"/>
          <w:sz w:val="20"/>
          <w:szCs w:val="20"/>
          <w:lang w:val="en-GB"/>
        </w:rPr>
        <w:t xml:space="preserve">. To the best of our knowledge, the present study was </w:t>
      </w:r>
      <w:r w:rsidR="0057212F" w:rsidRPr="0057212F">
        <w:rPr>
          <w:rFonts w:ascii="Arial" w:hAnsi="Arial" w:cs="Arial"/>
          <w:sz w:val="20"/>
          <w:szCs w:val="20"/>
          <w:highlight w:val="yellow"/>
          <w:lang w:val="en-GB"/>
        </w:rPr>
        <w:t>among</w:t>
      </w:r>
      <w:r w:rsidR="0057212F">
        <w:rPr>
          <w:rFonts w:ascii="Arial" w:hAnsi="Arial" w:cs="Arial"/>
          <w:sz w:val="20"/>
          <w:szCs w:val="20"/>
          <w:lang w:val="en-GB"/>
        </w:rPr>
        <w:t xml:space="preserve"> </w:t>
      </w:r>
      <w:r w:rsidRPr="00101146">
        <w:rPr>
          <w:rFonts w:ascii="Arial" w:hAnsi="Arial" w:cs="Arial"/>
          <w:sz w:val="20"/>
          <w:szCs w:val="20"/>
          <w:lang w:val="en-GB"/>
        </w:rPr>
        <w:t>the first attempt</w:t>
      </w:r>
      <w:r w:rsidR="0057212F" w:rsidRPr="0057212F">
        <w:rPr>
          <w:rFonts w:ascii="Arial" w:hAnsi="Arial" w:cs="Arial"/>
          <w:sz w:val="20"/>
          <w:szCs w:val="20"/>
          <w:highlight w:val="yellow"/>
          <w:lang w:val="en-GB"/>
        </w:rPr>
        <w:t>s</w:t>
      </w:r>
      <w:r w:rsidRPr="00101146">
        <w:rPr>
          <w:rFonts w:ascii="Arial" w:hAnsi="Arial" w:cs="Arial"/>
          <w:sz w:val="20"/>
          <w:szCs w:val="20"/>
          <w:lang w:val="en-GB"/>
        </w:rPr>
        <w:t xml:space="preserve"> that proposed the application of </w:t>
      </w:r>
      <w:r w:rsidRPr="00101146">
        <w:rPr>
          <w:rFonts w:ascii="Arial" w:hAnsi="Arial" w:cs="Arial"/>
          <w:sz w:val="20"/>
          <w:szCs w:val="20"/>
          <w:vertAlign w:val="superscript"/>
          <w:lang w:val="en-GB"/>
        </w:rPr>
        <w:t>1</w:t>
      </w:r>
      <w:r w:rsidRPr="00101146">
        <w:rPr>
          <w:rFonts w:ascii="Arial" w:hAnsi="Arial" w:cs="Arial"/>
          <w:sz w:val="20"/>
          <w:szCs w:val="20"/>
          <w:lang w:val="en-GB"/>
        </w:rPr>
        <w:t>H NMR-based metabolomics approach to study animal metabolome in order to support bacterial challenge findings that ensured prophylactic experiments.</w:t>
      </w:r>
    </w:p>
    <w:p w14:paraId="36B2DE42" w14:textId="761DABB9" w:rsidR="003F7E13" w:rsidRDefault="003F7E13" w:rsidP="003F7E13">
      <w:pPr>
        <w:pStyle w:val="Heading2"/>
      </w:pPr>
      <w:r w:rsidRPr="003F7E13">
        <w:rPr>
          <w:highlight w:val="green"/>
        </w:rPr>
        <w:t>5.0</w:t>
      </w:r>
      <w:r w:rsidRPr="003F7E13">
        <w:rPr>
          <w:highlight w:val="green"/>
        </w:rPr>
        <w:tab/>
        <w:t>STUDY LIMITATIONS</w:t>
      </w:r>
    </w:p>
    <w:p w14:paraId="697AE7B5" w14:textId="77777777" w:rsidR="003F7E13" w:rsidRPr="00F41292" w:rsidRDefault="003F7E13" w:rsidP="003F7E13">
      <w:pPr>
        <w:jc w:val="both"/>
        <w:rPr>
          <w:rFonts w:ascii="Arial" w:hAnsi="Arial" w:cs="Arial"/>
          <w:sz w:val="20"/>
          <w:szCs w:val="20"/>
          <w:highlight w:val="green"/>
        </w:rPr>
      </w:pPr>
      <w:r w:rsidRPr="00F41292">
        <w:rPr>
          <w:rFonts w:ascii="Arial" w:hAnsi="Arial" w:cs="Arial"/>
          <w:sz w:val="20"/>
          <w:szCs w:val="20"/>
          <w:highlight w:val="green"/>
        </w:rPr>
        <w:t xml:space="preserve">“While this study demonstrates that prophylactic dietary supplementation with </w:t>
      </w:r>
      <w:r w:rsidRPr="00F41292">
        <w:rPr>
          <w:rFonts w:ascii="Arial" w:hAnsi="Arial" w:cs="Arial"/>
          <w:i/>
          <w:iCs/>
          <w:sz w:val="20"/>
          <w:szCs w:val="20"/>
          <w:highlight w:val="green"/>
        </w:rPr>
        <w:t>Chlorella vulgaris</w:t>
      </w:r>
      <w:r w:rsidRPr="00F41292">
        <w:rPr>
          <w:rFonts w:ascii="Arial" w:hAnsi="Arial" w:cs="Arial"/>
          <w:sz w:val="20"/>
          <w:szCs w:val="20"/>
          <w:highlight w:val="green"/>
        </w:rPr>
        <w:t xml:space="preserve"> significantly improves survival and stabilizes vital metabolic signatures in Nile tilapia challenged with </w:t>
      </w:r>
      <w:r w:rsidRPr="00F41292">
        <w:rPr>
          <w:rFonts w:ascii="Arial" w:hAnsi="Arial" w:cs="Arial"/>
          <w:i/>
          <w:iCs/>
          <w:sz w:val="20"/>
          <w:szCs w:val="20"/>
          <w:highlight w:val="green"/>
        </w:rPr>
        <w:t>Streptococcus agalactiae</w:t>
      </w:r>
      <w:r>
        <w:rPr>
          <w:rFonts w:ascii="Arial" w:hAnsi="Arial" w:cs="Arial"/>
          <w:sz w:val="20"/>
          <w:szCs w:val="20"/>
          <w:highlight w:val="green"/>
        </w:rPr>
        <w:t>, several limitations were</w:t>
      </w:r>
      <w:r w:rsidRPr="00F41292">
        <w:rPr>
          <w:rFonts w:ascii="Arial" w:hAnsi="Arial" w:cs="Arial"/>
          <w:sz w:val="20"/>
          <w:szCs w:val="20"/>
          <w:highlight w:val="green"/>
        </w:rPr>
        <w:t xml:space="preserve"> acknowledged: </w:t>
      </w:r>
    </w:p>
    <w:p w14:paraId="2B180929" w14:textId="77777777" w:rsidR="003F7E13" w:rsidRPr="00F41292" w:rsidRDefault="003F7E13" w:rsidP="003F7E13">
      <w:pPr>
        <w:numPr>
          <w:ilvl w:val="0"/>
          <w:numId w:val="33"/>
        </w:numPr>
        <w:spacing w:after="0" w:line="240" w:lineRule="auto"/>
        <w:jc w:val="both"/>
        <w:rPr>
          <w:rFonts w:ascii="Arial" w:hAnsi="Arial" w:cs="Arial"/>
          <w:sz w:val="20"/>
          <w:szCs w:val="20"/>
          <w:highlight w:val="green"/>
        </w:rPr>
      </w:pPr>
      <w:r w:rsidRPr="00F41292">
        <w:rPr>
          <w:rFonts w:ascii="Arial" w:hAnsi="Arial" w:cs="Arial"/>
          <w:b/>
          <w:bCs/>
          <w:sz w:val="20"/>
          <w:szCs w:val="20"/>
          <w:highlight w:val="green"/>
        </w:rPr>
        <w:t>Single Concentration and Duration Evaluation:</w:t>
      </w:r>
      <w:r w:rsidRPr="00F41292">
        <w:rPr>
          <w:rFonts w:ascii="Arial" w:hAnsi="Arial" w:cs="Arial"/>
          <w:sz w:val="20"/>
          <w:szCs w:val="20"/>
          <w:highlight w:val="green"/>
        </w:rPr>
        <w:t xml:space="preserve"> This investigation evaluated only a single inclusion level of </w:t>
      </w:r>
      <w:r w:rsidRPr="00F41292">
        <w:rPr>
          <w:rFonts w:ascii="Arial" w:hAnsi="Arial" w:cs="Arial"/>
          <w:i/>
          <w:iCs/>
          <w:sz w:val="20"/>
          <w:szCs w:val="20"/>
          <w:highlight w:val="green"/>
        </w:rPr>
        <w:t>C. vulgaris</w:t>
      </w:r>
      <w:r w:rsidRPr="00F41292">
        <w:rPr>
          <w:rFonts w:ascii="Arial" w:hAnsi="Arial" w:cs="Arial"/>
          <w:sz w:val="20"/>
          <w:szCs w:val="20"/>
          <w:highlight w:val="green"/>
        </w:rPr>
        <w:t xml:space="preserve"> (125 mg/kg body weight) over a fixed feeding duration of 21 days. </w:t>
      </w:r>
      <w:r w:rsidRPr="00F41292">
        <w:rPr>
          <w:rFonts w:ascii="Arial" w:eastAsia="Times New Roman" w:hAnsi="Arial" w:cs="Arial"/>
          <w:sz w:val="20"/>
          <w:szCs w:val="20"/>
          <w:highlight w:val="green"/>
        </w:rPr>
        <w:t>Because microalgae supplementation outcomes are highl</w:t>
      </w:r>
      <w:r>
        <w:rPr>
          <w:rFonts w:ascii="Arial" w:hAnsi="Arial" w:cs="Arial"/>
          <w:sz w:val="20"/>
          <w:szCs w:val="20"/>
          <w:highlight w:val="green"/>
        </w:rPr>
        <w:t xml:space="preserve">y dependent on inclusion levels </w:t>
      </w:r>
      <w:r w:rsidRPr="00F41292">
        <w:rPr>
          <w:rFonts w:ascii="Arial" w:eastAsia="Times New Roman" w:hAnsi="Arial" w:cs="Arial"/>
          <w:sz w:val="20"/>
          <w:szCs w:val="20"/>
          <w:highlight w:val="green"/>
        </w:rPr>
        <w:t>and higher concentrations have historically been linked to decl</w:t>
      </w:r>
      <w:r>
        <w:rPr>
          <w:rFonts w:ascii="Arial" w:hAnsi="Arial" w:cs="Arial"/>
          <w:sz w:val="20"/>
          <w:szCs w:val="20"/>
          <w:highlight w:val="green"/>
        </w:rPr>
        <w:t xml:space="preserve">ines in fish growth performance, </w:t>
      </w:r>
      <w:r w:rsidRPr="00F41292">
        <w:rPr>
          <w:rFonts w:ascii="Arial" w:hAnsi="Arial" w:cs="Arial"/>
          <w:sz w:val="20"/>
          <w:szCs w:val="20"/>
          <w:highlight w:val="green"/>
        </w:rPr>
        <w:t>this study did not determine the absolute opt</w:t>
      </w:r>
      <w:r>
        <w:rPr>
          <w:rFonts w:ascii="Arial" w:hAnsi="Arial" w:cs="Arial"/>
          <w:sz w:val="20"/>
          <w:szCs w:val="20"/>
          <w:highlight w:val="green"/>
        </w:rPr>
        <w:t xml:space="preserve">imal dietary dosage or the long </w:t>
      </w:r>
      <w:r w:rsidRPr="00F41292">
        <w:rPr>
          <w:rFonts w:ascii="Arial" w:hAnsi="Arial" w:cs="Arial"/>
          <w:sz w:val="20"/>
          <w:szCs w:val="20"/>
          <w:highlight w:val="green"/>
        </w:rPr>
        <w:t xml:space="preserve">term metabolic impacts of extended feeding regimens. </w:t>
      </w:r>
      <w:r>
        <w:rPr>
          <w:rFonts w:ascii="Arial" w:hAnsi="Arial" w:cs="Arial"/>
          <w:sz w:val="20"/>
          <w:szCs w:val="20"/>
          <w:highlight w:val="green"/>
        </w:rPr>
        <w:t>Although our previous studies included that aspect.</w:t>
      </w:r>
    </w:p>
    <w:p w14:paraId="54242DC7" w14:textId="77777777" w:rsidR="003F7E13" w:rsidRPr="00F41292" w:rsidRDefault="003F7E13" w:rsidP="003F7E13">
      <w:pPr>
        <w:numPr>
          <w:ilvl w:val="0"/>
          <w:numId w:val="33"/>
        </w:numPr>
        <w:spacing w:after="0" w:line="240" w:lineRule="auto"/>
        <w:jc w:val="both"/>
        <w:rPr>
          <w:rFonts w:ascii="Arial" w:hAnsi="Arial" w:cs="Arial"/>
          <w:sz w:val="20"/>
          <w:szCs w:val="20"/>
          <w:highlight w:val="green"/>
        </w:rPr>
      </w:pPr>
      <w:r w:rsidRPr="00F41292">
        <w:rPr>
          <w:rFonts w:ascii="Arial" w:hAnsi="Arial" w:cs="Arial"/>
          <w:b/>
          <w:bCs/>
          <w:sz w:val="20"/>
          <w:szCs w:val="20"/>
          <w:highlight w:val="green"/>
        </w:rPr>
        <w:t>Restricted Sample and Replicate Size:</w:t>
      </w:r>
      <w:r w:rsidRPr="00F41292">
        <w:rPr>
          <w:rFonts w:ascii="Arial" w:hAnsi="Arial" w:cs="Arial"/>
          <w:sz w:val="20"/>
          <w:szCs w:val="20"/>
          <w:highlight w:val="green"/>
        </w:rPr>
        <w:t xml:space="preserve"> For the multivariate data analysis (MVDA) to be statistically viable, each experimental group was restricted to six (6) fish per group across three (3) replicates. While sufficient for robust NMR-based metabolomic profiling and standard variance clustering, a larger sample size would </w:t>
      </w:r>
      <w:r>
        <w:rPr>
          <w:rFonts w:ascii="Arial" w:hAnsi="Arial" w:cs="Arial"/>
          <w:sz w:val="20"/>
          <w:szCs w:val="20"/>
          <w:highlight w:val="green"/>
        </w:rPr>
        <w:t xml:space="preserve">have </w:t>
      </w:r>
      <w:r w:rsidRPr="00F41292">
        <w:rPr>
          <w:rFonts w:ascii="Arial" w:hAnsi="Arial" w:cs="Arial"/>
          <w:sz w:val="20"/>
          <w:szCs w:val="20"/>
          <w:highlight w:val="green"/>
        </w:rPr>
        <w:t>yield</w:t>
      </w:r>
      <w:r>
        <w:rPr>
          <w:rFonts w:ascii="Arial" w:hAnsi="Arial" w:cs="Arial"/>
          <w:sz w:val="20"/>
          <w:szCs w:val="20"/>
          <w:highlight w:val="green"/>
        </w:rPr>
        <w:t>ed</w:t>
      </w:r>
      <w:r w:rsidRPr="00F41292">
        <w:rPr>
          <w:rFonts w:ascii="Arial" w:hAnsi="Arial" w:cs="Arial"/>
          <w:sz w:val="20"/>
          <w:szCs w:val="20"/>
          <w:highlight w:val="green"/>
        </w:rPr>
        <w:t xml:space="preserve"> tighter statistical distributions and capture</w:t>
      </w:r>
      <w:r>
        <w:rPr>
          <w:rFonts w:ascii="Arial" w:hAnsi="Arial" w:cs="Arial"/>
          <w:sz w:val="20"/>
          <w:szCs w:val="20"/>
          <w:highlight w:val="green"/>
        </w:rPr>
        <w:t>d</w:t>
      </w:r>
      <w:r w:rsidRPr="00F41292">
        <w:rPr>
          <w:rFonts w:ascii="Arial" w:hAnsi="Arial" w:cs="Arial"/>
          <w:sz w:val="20"/>
          <w:szCs w:val="20"/>
          <w:highlight w:val="green"/>
        </w:rPr>
        <w:t xml:space="preserve"> broader biological variance inherent within larger aquaculture populations. </w:t>
      </w:r>
    </w:p>
    <w:p w14:paraId="0AFD1ADD" w14:textId="77777777" w:rsidR="003F7E13" w:rsidRPr="00F41292" w:rsidRDefault="003F7E13" w:rsidP="003F7E13">
      <w:pPr>
        <w:numPr>
          <w:ilvl w:val="0"/>
          <w:numId w:val="33"/>
        </w:numPr>
        <w:spacing w:after="0" w:line="240" w:lineRule="auto"/>
        <w:jc w:val="both"/>
        <w:rPr>
          <w:rFonts w:ascii="Arial" w:hAnsi="Arial" w:cs="Arial"/>
          <w:sz w:val="20"/>
          <w:szCs w:val="20"/>
          <w:highlight w:val="green"/>
        </w:rPr>
      </w:pPr>
      <w:r>
        <w:rPr>
          <w:rFonts w:ascii="Arial" w:hAnsi="Arial" w:cs="Arial"/>
          <w:b/>
          <w:bCs/>
          <w:sz w:val="20"/>
          <w:szCs w:val="20"/>
          <w:highlight w:val="green"/>
        </w:rPr>
        <w:t xml:space="preserve">Organ </w:t>
      </w:r>
      <w:r w:rsidRPr="000A7B11">
        <w:rPr>
          <w:rFonts w:ascii="Arial" w:hAnsi="Arial" w:cs="Arial"/>
          <w:b/>
          <w:bCs/>
          <w:sz w:val="20"/>
          <w:szCs w:val="20"/>
          <w:highlight w:val="green"/>
        </w:rPr>
        <w:t>Specific Analysis:</w:t>
      </w:r>
      <w:r w:rsidRPr="00F41292">
        <w:rPr>
          <w:rFonts w:ascii="Arial" w:hAnsi="Arial" w:cs="Arial"/>
          <w:sz w:val="20"/>
          <w:szCs w:val="20"/>
          <w:highlight w:val="green"/>
        </w:rPr>
        <w:t xml:space="preserve"> Metabolic profiling in this study was confined strictly to spleen tissues. Although the spleen serves as a primary peripheral lymphoid or</w:t>
      </w:r>
      <w:r>
        <w:rPr>
          <w:rFonts w:ascii="Arial" w:hAnsi="Arial" w:cs="Arial"/>
          <w:sz w:val="20"/>
          <w:szCs w:val="20"/>
          <w:highlight w:val="green"/>
        </w:rPr>
        <w:t xml:space="preserve">gan crucial for capturing blood </w:t>
      </w:r>
      <w:r w:rsidRPr="00F41292">
        <w:rPr>
          <w:rFonts w:ascii="Arial" w:hAnsi="Arial" w:cs="Arial"/>
          <w:sz w:val="20"/>
          <w:szCs w:val="20"/>
          <w:highlight w:val="green"/>
        </w:rPr>
        <w:t xml:space="preserve">borne pathogens and driving systemic adaptive immunity in teleosts, it does not </w:t>
      </w:r>
      <w:r>
        <w:rPr>
          <w:rFonts w:ascii="Arial" w:hAnsi="Arial" w:cs="Arial"/>
          <w:sz w:val="20"/>
          <w:szCs w:val="20"/>
          <w:highlight w:val="green"/>
        </w:rPr>
        <w:t xml:space="preserve">completely </w:t>
      </w:r>
      <w:r w:rsidRPr="00F41292">
        <w:rPr>
          <w:rFonts w:ascii="Arial" w:hAnsi="Arial" w:cs="Arial"/>
          <w:sz w:val="20"/>
          <w:szCs w:val="20"/>
          <w:highlight w:val="green"/>
        </w:rPr>
        <w:t>reflect</w:t>
      </w:r>
      <w:r>
        <w:rPr>
          <w:rFonts w:ascii="Arial" w:hAnsi="Arial" w:cs="Arial"/>
          <w:sz w:val="20"/>
          <w:szCs w:val="20"/>
          <w:highlight w:val="green"/>
        </w:rPr>
        <w:t xml:space="preserve"> the overall</w:t>
      </w:r>
      <w:r w:rsidRPr="00F41292">
        <w:rPr>
          <w:rFonts w:ascii="Arial" w:hAnsi="Arial" w:cs="Arial"/>
          <w:sz w:val="20"/>
          <w:szCs w:val="20"/>
          <w:highlight w:val="green"/>
        </w:rPr>
        <w:t xml:space="preserve"> systemic response. Multi-tissue metabolomics incorporating other vi</w:t>
      </w:r>
      <w:r>
        <w:rPr>
          <w:rFonts w:ascii="Arial" w:hAnsi="Arial" w:cs="Arial"/>
          <w:sz w:val="20"/>
          <w:szCs w:val="20"/>
          <w:highlight w:val="green"/>
        </w:rPr>
        <w:t xml:space="preserve">tal immune and metabolic organs </w:t>
      </w:r>
      <w:r w:rsidRPr="00F41292">
        <w:rPr>
          <w:rFonts w:ascii="Arial" w:hAnsi="Arial" w:cs="Arial"/>
          <w:sz w:val="20"/>
          <w:szCs w:val="20"/>
          <w:highlight w:val="green"/>
        </w:rPr>
        <w:t>such as the live</w:t>
      </w:r>
      <w:r>
        <w:rPr>
          <w:rFonts w:ascii="Arial" w:hAnsi="Arial" w:cs="Arial"/>
          <w:sz w:val="20"/>
          <w:szCs w:val="20"/>
          <w:highlight w:val="green"/>
        </w:rPr>
        <w:t xml:space="preserve">r, head kidney, or blood plasma </w:t>
      </w:r>
      <w:r w:rsidRPr="00F41292">
        <w:rPr>
          <w:rFonts w:ascii="Arial" w:hAnsi="Arial" w:cs="Arial"/>
          <w:sz w:val="20"/>
          <w:szCs w:val="20"/>
          <w:highlight w:val="green"/>
        </w:rPr>
        <w:t xml:space="preserve">would provide a more comprehensive overview of systemic immunogenesis and metabolic homeostasis. </w:t>
      </w:r>
      <w:r>
        <w:rPr>
          <w:rFonts w:ascii="Arial" w:hAnsi="Arial" w:cs="Arial"/>
          <w:sz w:val="20"/>
          <w:szCs w:val="20"/>
          <w:highlight w:val="green"/>
        </w:rPr>
        <w:t>Although some of our previously published articles involved some of those aspects.</w:t>
      </w:r>
    </w:p>
    <w:p w14:paraId="2AFC5585" w14:textId="77777777" w:rsidR="003F7E13" w:rsidRPr="00F41292" w:rsidRDefault="003F7E13" w:rsidP="003F7E13">
      <w:pPr>
        <w:numPr>
          <w:ilvl w:val="0"/>
          <w:numId w:val="33"/>
        </w:numPr>
        <w:spacing w:after="0" w:line="240" w:lineRule="auto"/>
        <w:jc w:val="both"/>
        <w:rPr>
          <w:rFonts w:ascii="Arial" w:hAnsi="Arial" w:cs="Arial"/>
          <w:sz w:val="20"/>
          <w:szCs w:val="20"/>
          <w:highlight w:val="green"/>
        </w:rPr>
      </w:pPr>
      <w:r w:rsidRPr="000A7B11">
        <w:rPr>
          <w:rFonts w:ascii="Arial" w:hAnsi="Arial" w:cs="Arial"/>
          <w:b/>
          <w:bCs/>
          <w:sz w:val="20"/>
          <w:szCs w:val="20"/>
          <w:highlight w:val="green"/>
        </w:rPr>
        <w:t>Analytical Constraints of ¹H NMR:</w:t>
      </w:r>
      <w:r w:rsidRPr="00F41292">
        <w:rPr>
          <w:rFonts w:ascii="Arial" w:hAnsi="Arial" w:cs="Arial"/>
          <w:sz w:val="20"/>
          <w:szCs w:val="20"/>
          <w:highlight w:val="green"/>
        </w:rPr>
        <w:t xml:space="preserve"> The characterization of the fish metabolome relied on ¹H NMR spectroscopy. While NMR offers uniqu</w:t>
      </w:r>
      <w:r>
        <w:rPr>
          <w:rFonts w:ascii="Arial" w:hAnsi="Arial" w:cs="Arial"/>
          <w:sz w:val="20"/>
          <w:szCs w:val="20"/>
          <w:highlight w:val="green"/>
        </w:rPr>
        <w:t>e advantages, such as being nond</w:t>
      </w:r>
      <w:r w:rsidRPr="00F41292">
        <w:rPr>
          <w:rFonts w:ascii="Arial" w:hAnsi="Arial" w:cs="Arial"/>
          <w:sz w:val="20"/>
          <w:szCs w:val="20"/>
          <w:highlight w:val="green"/>
        </w:rPr>
        <w:t>estructive</w:t>
      </w:r>
      <w:r>
        <w:rPr>
          <w:rFonts w:ascii="Arial" w:hAnsi="Arial" w:cs="Arial"/>
          <w:sz w:val="20"/>
          <w:szCs w:val="20"/>
          <w:highlight w:val="green"/>
        </w:rPr>
        <w:t xml:space="preserve"> technique</w:t>
      </w:r>
      <w:r w:rsidRPr="00F41292">
        <w:rPr>
          <w:rFonts w:ascii="Arial" w:hAnsi="Arial" w:cs="Arial"/>
          <w:sz w:val="20"/>
          <w:szCs w:val="20"/>
          <w:highlight w:val="green"/>
        </w:rPr>
        <w:t xml:space="preserve">, highly reproducible, and </w:t>
      </w:r>
      <w:r>
        <w:rPr>
          <w:rFonts w:ascii="Arial" w:hAnsi="Arial" w:cs="Arial"/>
          <w:sz w:val="20"/>
          <w:szCs w:val="20"/>
          <w:highlight w:val="green"/>
        </w:rPr>
        <w:t>straightforward for direct</w:t>
      </w:r>
      <w:r w:rsidRPr="00F41292">
        <w:rPr>
          <w:rFonts w:ascii="Arial" w:hAnsi="Arial" w:cs="Arial"/>
          <w:sz w:val="20"/>
          <w:szCs w:val="20"/>
          <w:highlight w:val="green"/>
        </w:rPr>
        <w:t xml:space="preserve"> mixture quantifica</w:t>
      </w:r>
      <w:r>
        <w:rPr>
          <w:rFonts w:ascii="Arial" w:hAnsi="Arial" w:cs="Arial"/>
          <w:sz w:val="20"/>
          <w:szCs w:val="20"/>
          <w:highlight w:val="green"/>
        </w:rPr>
        <w:t>tion</w:t>
      </w:r>
      <w:r w:rsidRPr="00F41292">
        <w:rPr>
          <w:rFonts w:ascii="Arial" w:hAnsi="Arial" w:cs="Arial"/>
          <w:sz w:val="20"/>
          <w:szCs w:val="20"/>
          <w:highlight w:val="green"/>
        </w:rPr>
        <w:t xml:space="preserve">, it suffers from inherently lower sensitivity compared to Mass Spectrometry (MS). Consequently, lower-abundance signaling molecules, trace fatty acids, or subtle biochemical intermediates may have remained undetected beneath the baseline or behind complex chemical shift overlaps. </w:t>
      </w:r>
    </w:p>
    <w:p w14:paraId="2D69A2DD" w14:textId="4899C011" w:rsidR="003F7E13" w:rsidRDefault="003F7E13" w:rsidP="003F7E13">
      <w:pPr>
        <w:numPr>
          <w:ilvl w:val="0"/>
          <w:numId w:val="33"/>
        </w:numPr>
        <w:spacing w:after="0" w:line="240" w:lineRule="auto"/>
        <w:jc w:val="both"/>
        <w:rPr>
          <w:rFonts w:ascii="Arial" w:hAnsi="Arial" w:cs="Arial"/>
          <w:sz w:val="20"/>
          <w:szCs w:val="20"/>
          <w:highlight w:val="green"/>
        </w:rPr>
      </w:pPr>
      <w:r w:rsidRPr="000A7B11">
        <w:rPr>
          <w:rFonts w:ascii="Arial" w:hAnsi="Arial" w:cs="Arial"/>
          <w:b/>
          <w:bCs/>
          <w:sz w:val="20"/>
          <w:szCs w:val="20"/>
          <w:highlight w:val="green"/>
        </w:rPr>
        <w:t>Mechanistic Upstream Verification:</w:t>
      </w:r>
      <w:r w:rsidRPr="00F41292">
        <w:rPr>
          <w:rFonts w:ascii="Arial" w:hAnsi="Arial" w:cs="Arial"/>
          <w:sz w:val="20"/>
          <w:szCs w:val="20"/>
          <w:highlight w:val="green"/>
        </w:rPr>
        <w:t xml:space="preserve"> Although NMR-based metabolomics successfully pinpointed 21 distinguishing biomarkers and key pathway fluxes </w:t>
      </w:r>
      <w:r>
        <w:rPr>
          <w:rFonts w:ascii="Arial" w:hAnsi="Arial" w:cs="Arial"/>
          <w:sz w:val="20"/>
          <w:szCs w:val="20"/>
          <w:highlight w:val="green"/>
        </w:rPr>
        <w:t xml:space="preserve">like; </w:t>
      </w:r>
      <w:r w:rsidRPr="00F41292">
        <w:rPr>
          <w:rFonts w:ascii="Arial" w:hAnsi="Arial" w:cs="Arial"/>
          <w:sz w:val="20"/>
          <w:szCs w:val="20"/>
          <w:highlight w:val="green"/>
        </w:rPr>
        <w:t>palmitic acid, riboflavin, and amino acid regulations, these downstream metabolic endpoints were not matched against upstream molec</w:t>
      </w:r>
      <w:r>
        <w:rPr>
          <w:rFonts w:ascii="Arial" w:hAnsi="Arial" w:cs="Arial"/>
          <w:sz w:val="20"/>
          <w:szCs w:val="20"/>
          <w:highlight w:val="green"/>
        </w:rPr>
        <w:t>ular mechanisms. The study did not addressed</w:t>
      </w:r>
      <w:r w:rsidRPr="00F41292">
        <w:rPr>
          <w:rFonts w:ascii="Arial" w:hAnsi="Arial" w:cs="Arial"/>
          <w:sz w:val="20"/>
          <w:szCs w:val="20"/>
          <w:highlight w:val="green"/>
        </w:rPr>
        <w:t xml:space="preserve"> parallel transcriptomic (gene expression) or proteomic validation to conclusively map out the precise cellular receptors and signaling cascades driving </w:t>
      </w:r>
      <w:r w:rsidRPr="00F41292">
        <w:rPr>
          <w:rFonts w:ascii="Arial" w:hAnsi="Arial" w:cs="Arial"/>
          <w:i/>
          <w:iCs/>
          <w:sz w:val="20"/>
          <w:szCs w:val="20"/>
          <w:highlight w:val="green"/>
        </w:rPr>
        <w:t>C. vulgaris</w:t>
      </w:r>
      <w:r w:rsidRPr="00F41292">
        <w:rPr>
          <w:rFonts w:ascii="Arial" w:hAnsi="Arial" w:cs="Arial"/>
          <w:sz w:val="20"/>
          <w:szCs w:val="20"/>
          <w:highlight w:val="green"/>
        </w:rPr>
        <w:t xml:space="preserve">-mediated </w:t>
      </w:r>
      <w:proofErr w:type="spellStart"/>
      <w:r w:rsidRPr="00F41292">
        <w:rPr>
          <w:rFonts w:ascii="Arial" w:hAnsi="Arial" w:cs="Arial"/>
          <w:sz w:val="20"/>
          <w:szCs w:val="20"/>
          <w:highlight w:val="green"/>
        </w:rPr>
        <w:t>immunostimulation</w:t>
      </w:r>
      <w:proofErr w:type="spellEnd"/>
      <w:r w:rsidRPr="00F41292">
        <w:rPr>
          <w:rFonts w:ascii="Arial" w:hAnsi="Arial" w:cs="Arial"/>
          <w:sz w:val="20"/>
          <w:szCs w:val="20"/>
          <w:highlight w:val="green"/>
        </w:rPr>
        <w:t xml:space="preserve">”. </w:t>
      </w:r>
    </w:p>
    <w:p w14:paraId="02C4F5F2" w14:textId="2BB7B28E" w:rsidR="00650F70" w:rsidRDefault="00650F70" w:rsidP="00650F70">
      <w:pPr>
        <w:spacing w:after="0" w:line="240" w:lineRule="auto"/>
        <w:jc w:val="both"/>
        <w:rPr>
          <w:rFonts w:ascii="Arial" w:hAnsi="Arial" w:cs="Arial"/>
          <w:sz w:val="20"/>
          <w:szCs w:val="20"/>
        </w:rPr>
      </w:pPr>
      <w:r>
        <w:rPr>
          <w:rFonts w:ascii="Arial" w:hAnsi="Arial" w:cs="Arial"/>
          <w:sz w:val="20"/>
          <w:szCs w:val="20"/>
        </w:rPr>
        <w:lastRenderedPageBreak/>
        <w:t xml:space="preserve">Ethical approval </w:t>
      </w:r>
    </w:p>
    <w:p w14:paraId="4236FE02" w14:textId="77777777" w:rsidR="00650F70" w:rsidRDefault="00650F70" w:rsidP="00650F70">
      <w:pPr>
        <w:spacing w:after="0" w:line="240" w:lineRule="auto"/>
        <w:jc w:val="both"/>
        <w:rPr>
          <w:rFonts w:ascii="Arial" w:hAnsi="Arial" w:cs="Arial"/>
          <w:sz w:val="20"/>
          <w:szCs w:val="20"/>
        </w:rPr>
      </w:pPr>
    </w:p>
    <w:p w14:paraId="388EE587" w14:textId="516AA190" w:rsidR="00650F70" w:rsidRDefault="00650F70" w:rsidP="00650F70">
      <w:pPr>
        <w:spacing w:after="0" w:line="240" w:lineRule="auto"/>
        <w:jc w:val="both"/>
        <w:rPr>
          <w:rFonts w:ascii="Arial" w:hAnsi="Arial" w:cs="Arial"/>
          <w:sz w:val="20"/>
          <w:szCs w:val="20"/>
        </w:rPr>
      </w:pPr>
      <w:r w:rsidRPr="00650F70">
        <w:rPr>
          <w:rFonts w:ascii="Arial" w:hAnsi="Arial" w:cs="Arial"/>
          <w:sz w:val="20"/>
          <w:szCs w:val="20"/>
        </w:rPr>
        <w:t>All experiments were approved by the Universiti Putra Malaysia Institutional Animal Care and Use Committee (UPM/IACUC/AUP-R080/2018).</w:t>
      </w:r>
    </w:p>
    <w:p w14:paraId="68EFEF2A" w14:textId="77777777" w:rsidR="00650F70" w:rsidRDefault="00650F70" w:rsidP="00650F70">
      <w:pPr>
        <w:spacing w:after="0" w:line="240" w:lineRule="auto"/>
        <w:jc w:val="both"/>
        <w:rPr>
          <w:rFonts w:ascii="Arial" w:hAnsi="Arial" w:cs="Arial"/>
          <w:sz w:val="20"/>
          <w:szCs w:val="20"/>
        </w:rPr>
      </w:pPr>
    </w:p>
    <w:p w14:paraId="2DCAC9DE" w14:textId="77777777" w:rsidR="00650F70" w:rsidRPr="00F41292" w:rsidRDefault="00650F70" w:rsidP="00650F70">
      <w:pPr>
        <w:spacing w:after="0" w:line="240" w:lineRule="auto"/>
        <w:jc w:val="both"/>
        <w:rPr>
          <w:rFonts w:ascii="Arial" w:hAnsi="Arial" w:cs="Arial"/>
          <w:sz w:val="20"/>
          <w:szCs w:val="20"/>
          <w:highlight w:val="green"/>
        </w:rPr>
      </w:pPr>
    </w:p>
    <w:p w14:paraId="3399589F" w14:textId="77777777" w:rsidR="006D12E9" w:rsidRPr="00005ED1" w:rsidRDefault="006D12E9" w:rsidP="006D12E9">
      <w:pPr>
        <w:pStyle w:val="NoSpacing"/>
        <w:rPr>
          <w:rFonts w:ascii="Arial" w:hAnsi="Arial" w:cs="Arial"/>
          <w:highlight w:val="yellow"/>
        </w:rPr>
      </w:pPr>
      <w:bookmarkStart w:id="59" w:name="_Hlk198031404"/>
      <w:r w:rsidRPr="00005ED1">
        <w:rPr>
          <w:rFonts w:ascii="Arial" w:hAnsi="Arial" w:cs="Arial"/>
          <w:highlight w:val="yellow"/>
        </w:rPr>
        <w:t>Disclaimer (Artificial intelligence)</w:t>
      </w:r>
    </w:p>
    <w:p w14:paraId="1CE99365" w14:textId="77777777" w:rsidR="006D12E9" w:rsidRPr="00005ED1" w:rsidRDefault="006D12E9" w:rsidP="006D12E9">
      <w:pPr>
        <w:pStyle w:val="NoSpacing"/>
        <w:rPr>
          <w:rFonts w:ascii="Arial" w:hAnsi="Arial" w:cs="Arial"/>
          <w:highlight w:val="yellow"/>
        </w:rPr>
      </w:pPr>
    </w:p>
    <w:p w14:paraId="47C8560B" w14:textId="77777777" w:rsidR="006D12E9" w:rsidRPr="00005ED1" w:rsidRDefault="006D12E9" w:rsidP="006D12E9">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59"/>
    <w:p w14:paraId="25BBE051" w14:textId="77777777" w:rsidR="006D12E9" w:rsidRPr="006D12E9" w:rsidRDefault="006D12E9" w:rsidP="006D12E9">
      <w:pPr>
        <w:rPr>
          <w:lang w:val="en-GB"/>
        </w:rPr>
      </w:pPr>
    </w:p>
    <w:p w14:paraId="0A4E664A" w14:textId="77777777" w:rsidR="00EB6AE8" w:rsidRPr="00101146" w:rsidRDefault="004B090C" w:rsidP="002C772B">
      <w:pPr>
        <w:pStyle w:val="Heading2"/>
      </w:pPr>
      <w:r w:rsidRPr="00101146">
        <w:t>REFERENCES</w:t>
      </w:r>
    </w:p>
    <w:p w14:paraId="67BDB669" w14:textId="77777777" w:rsidR="009035E3" w:rsidRPr="009035E3" w:rsidRDefault="009035E3" w:rsidP="009035E3">
      <w:pPr>
        <w:pStyle w:val="ListParagraph"/>
        <w:widowControl w:val="0"/>
        <w:numPr>
          <w:ilvl w:val="0"/>
          <w:numId w:val="32"/>
        </w:numPr>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t>Abdel-Latif, H. M. R., Yilmaz, S., Dawood, M. A. O., Ringø, E., &amp; Ahmadifar, E. (2022). Microalgae-based feed ingredients as immunostimulants in aquaculture: A review. Aquaculture Reports, 22, 100964.</w:t>
      </w:r>
    </w:p>
    <w:p w14:paraId="740BB69A" w14:textId="77777777" w:rsidR="009035E3" w:rsidRPr="009035E3" w:rsidRDefault="009035E3" w:rsidP="009035E3">
      <w:pPr>
        <w:pStyle w:val="ListParagraph"/>
        <w:widowControl w:val="0"/>
        <w:autoSpaceDE w:val="0"/>
        <w:autoSpaceDN w:val="0"/>
        <w:adjustRightInd w:val="0"/>
        <w:rPr>
          <w:rFonts w:ascii="Arial" w:hAnsi="Arial" w:cs="Arial"/>
          <w:noProof/>
          <w:sz w:val="20"/>
          <w:szCs w:val="24"/>
        </w:rPr>
      </w:pPr>
      <w:r w:rsidRPr="009035E3">
        <w:rPr>
          <w:rFonts w:ascii="Arial" w:hAnsi="Arial" w:cs="Arial"/>
          <w:noProof/>
          <w:sz w:val="20"/>
          <w:szCs w:val="24"/>
          <w:highlight w:val="magenta"/>
        </w:rPr>
        <w:t>https://doi.org/10.1016/j.aqrep.2021.100964</w:t>
      </w:r>
    </w:p>
    <w:p w14:paraId="4ADEA9EC" w14:textId="6DE68525" w:rsidR="00E51220" w:rsidRDefault="00ED4590" w:rsidP="0035175D">
      <w:pPr>
        <w:pStyle w:val="ListParagraph"/>
        <w:widowControl w:val="0"/>
        <w:numPr>
          <w:ilvl w:val="0"/>
          <w:numId w:val="32"/>
        </w:numPr>
        <w:autoSpaceDE w:val="0"/>
        <w:autoSpaceDN w:val="0"/>
        <w:adjustRightInd w:val="0"/>
        <w:rPr>
          <w:rFonts w:ascii="Arial" w:hAnsi="Arial" w:cs="Arial"/>
          <w:noProof/>
          <w:sz w:val="20"/>
          <w:szCs w:val="24"/>
        </w:rPr>
      </w:pPr>
      <w:r w:rsidRPr="00101146">
        <w:rPr>
          <w:rFonts w:ascii="Arial" w:hAnsi="Arial" w:cs="Arial"/>
          <w:sz w:val="20"/>
          <w:szCs w:val="20"/>
          <w:lang w:val="en-GB"/>
        </w:rPr>
        <w:fldChar w:fldCharType="begin" w:fldLock="1"/>
      </w:r>
      <w:r w:rsidRPr="0035175D">
        <w:rPr>
          <w:rFonts w:ascii="Arial" w:hAnsi="Arial" w:cs="Arial"/>
          <w:sz w:val="20"/>
          <w:szCs w:val="20"/>
          <w:lang w:val="en-GB"/>
        </w:rPr>
        <w:instrText xml:space="preserve">ADDIN Mendeley Bibliography CSL_BIBLIOGRAPHY </w:instrText>
      </w:r>
      <w:r w:rsidRPr="00101146">
        <w:rPr>
          <w:rFonts w:ascii="Arial" w:hAnsi="Arial" w:cs="Arial"/>
          <w:sz w:val="20"/>
          <w:szCs w:val="20"/>
          <w:lang w:val="en-GB"/>
        </w:rPr>
        <w:fldChar w:fldCharType="separate"/>
      </w:r>
      <w:r w:rsidR="00E51220" w:rsidRPr="0035175D">
        <w:rPr>
          <w:rFonts w:ascii="Arial" w:hAnsi="Arial" w:cs="Arial"/>
          <w:noProof/>
          <w:sz w:val="20"/>
          <w:szCs w:val="24"/>
        </w:rPr>
        <w:t xml:space="preserve">Ahmad, M. T., Shariff, M., Md. Yusoff, F., Goh, Y. M., &amp; Banerjee, S. (2018). Applications of microalga Chlorella vulgaris in aquaculture. </w:t>
      </w:r>
      <w:r w:rsidR="00E51220" w:rsidRPr="0035175D">
        <w:rPr>
          <w:rFonts w:ascii="Arial" w:hAnsi="Arial" w:cs="Arial"/>
          <w:i/>
          <w:iCs/>
          <w:noProof/>
          <w:sz w:val="20"/>
          <w:szCs w:val="24"/>
        </w:rPr>
        <w:t>Reviews in Aquaculture</w:t>
      </w:r>
      <w:r w:rsidR="00E51220" w:rsidRPr="0035175D">
        <w:rPr>
          <w:rFonts w:ascii="Arial" w:hAnsi="Arial" w:cs="Arial"/>
          <w:noProof/>
          <w:sz w:val="20"/>
          <w:szCs w:val="24"/>
        </w:rPr>
        <w:t>, 1–19. https://doi.org/10.1111/raq.12320</w:t>
      </w:r>
    </w:p>
    <w:p w14:paraId="7A7A34AC" w14:textId="78ED6052" w:rsidR="009035E3" w:rsidRPr="009035E3" w:rsidRDefault="009035E3" w:rsidP="002A6618">
      <w:pPr>
        <w:pStyle w:val="ListParagraph"/>
        <w:widowControl w:val="0"/>
        <w:numPr>
          <w:ilvl w:val="0"/>
          <w:numId w:val="32"/>
        </w:numPr>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t>Ahmadifar, E., Dawood, M. A. O., Moghadam, M. S., Sheikhzadeh, N., Hoseinifar, S. H., &amp; Musthafa, M. S. (2021). Modulation of immune parameters and disease resistance in fish via microalgae supplementation: A review. Fish &amp; Shellfish Immunology, 111, 1–12.</w:t>
      </w:r>
    </w:p>
    <w:p w14:paraId="3D43A478" w14:textId="77777777" w:rsidR="009035E3" w:rsidRPr="009035E3" w:rsidRDefault="009035E3" w:rsidP="009035E3">
      <w:pPr>
        <w:pStyle w:val="ListParagraph"/>
        <w:widowControl w:val="0"/>
        <w:autoSpaceDE w:val="0"/>
        <w:autoSpaceDN w:val="0"/>
        <w:adjustRightInd w:val="0"/>
        <w:rPr>
          <w:rFonts w:ascii="Arial" w:hAnsi="Arial" w:cs="Arial"/>
          <w:noProof/>
          <w:sz w:val="20"/>
          <w:szCs w:val="24"/>
        </w:rPr>
      </w:pPr>
      <w:r w:rsidRPr="009035E3">
        <w:rPr>
          <w:rFonts w:ascii="Arial" w:hAnsi="Arial" w:cs="Arial"/>
          <w:noProof/>
          <w:sz w:val="20"/>
          <w:szCs w:val="24"/>
          <w:highlight w:val="magenta"/>
        </w:rPr>
        <w:t>https://doi.org/10.1016/j.fsi.2021.01.013</w:t>
      </w:r>
    </w:p>
    <w:p w14:paraId="5B299767"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Alqarni, A. M., Dissanayake, T., Nelson, D. J., Parkinson, J. A., Dufton, M. J., Ferro, V. A., &amp; Watson, D. G. (2019). Metabolomic profiling of the immune stimulatory effect of eicosenoids on PMA-differentiated THP-1 cells. </w:t>
      </w:r>
      <w:r w:rsidRPr="0035175D">
        <w:rPr>
          <w:rFonts w:ascii="Arial" w:hAnsi="Arial" w:cs="Arial"/>
          <w:i/>
          <w:iCs/>
          <w:noProof/>
          <w:sz w:val="20"/>
          <w:szCs w:val="24"/>
        </w:rPr>
        <w:t>Vaccines</w:t>
      </w:r>
      <w:r w:rsidRPr="0035175D">
        <w:rPr>
          <w:rFonts w:ascii="Arial" w:hAnsi="Arial" w:cs="Arial"/>
          <w:noProof/>
          <w:sz w:val="20"/>
          <w:szCs w:val="24"/>
        </w:rPr>
        <w:t xml:space="preserve">, </w:t>
      </w:r>
      <w:r w:rsidRPr="0035175D">
        <w:rPr>
          <w:rFonts w:ascii="Arial" w:hAnsi="Arial" w:cs="Arial"/>
          <w:i/>
          <w:iCs/>
          <w:noProof/>
          <w:sz w:val="20"/>
          <w:szCs w:val="24"/>
        </w:rPr>
        <w:t>7</w:t>
      </w:r>
      <w:r w:rsidRPr="0035175D">
        <w:rPr>
          <w:rFonts w:ascii="Arial" w:hAnsi="Arial" w:cs="Arial"/>
          <w:noProof/>
          <w:sz w:val="20"/>
          <w:szCs w:val="24"/>
        </w:rPr>
        <w:t>(4). https://doi.org/10.3390/vaccines7040142</w:t>
      </w:r>
    </w:p>
    <w:p w14:paraId="65A22DFF"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Amal, M. N. A., Koh, C. B., Nurliyana, M., Suhaiba, M., Nor-Amalina, Z., Santha, S., Diyana-Nadhirah, K. P., Yusof, M. T., Ina-Salwany, M. Y., &amp; Zamri-Saad, M. (2018). A case of natural co-infection of Tilapia Lake Virus and Aeromonas veronii in a Malaysian red hybrid tilapia (Oreochromis niloticus × O. mossambicus) farm experiencing high mortality. </w:t>
      </w:r>
      <w:r w:rsidRPr="0035175D">
        <w:rPr>
          <w:rFonts w:ascii="Arial" w:hAnsi="Arial" w:cs="Arial"/>
          <w:i/>
          <w:iCs/>
          <w:noProof/>
          <w:sz w:val="20"/>
          <w:szCs w:val="24"/>
        </w:rPr>
        <w:t>Aquaculture</w:t>
      </w:r>
      <w:r w:rsidRPr="0035175D">
        <w:rPr>
          <w:rFonts w:ascii="Arial" w:hAnsi="Arial" w:cs="Arial"/>
          <w:noProof/>
          <w:sz w:val="20"/>
          <w:szCs w:val="24"/>
        </w:rPr>
        <w:t xml:space="preserve">, </w:t>
      </w:r>
      <w:r w:rsidRPr="0035175D">
        <w:rPr>
          <w:rFonts w:ascii="Arial" w:hAnsi="Arial" w:cs="Arial"/>
          <w:i/>
          <w:iCs/>
          <w:noProof/>
          <w:sz w:val="20"/>
          <w:szCs w:val="24"/>
        </w:rPr>
        <w:t>485</w:t>
      </w:r>
      <w:r w:rsidRPr="0035175D">
        <w:rPr>
          <w:rFonts w:ascii="Arial" w:hAnsi="Arial" w:cs="Arial"/>
          <w:noProof/>
          <w:sz w:val="20"/>
          <w:szCs w:val="24"/>
        </w:rPr>
        <w:t>(July 2017), 12–16. https://doi.org/10.1016/j.aquaculture.2017.11.019</w:t>
      </w:r>
    </w:p>
    <w:p w14:paraId="19CB78D7"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Batista, A. P., Niccolai, A., Fradinho, P., Fragoso, S., Bursic, I., Rodolfi, L., Biondi, N., Tredici, M. R., Sousa, I., &amp; Raymundo, A. (2017). Microalgae biomass as an alternative ingredient in cookies: Sensory, physical and chemical properties, antioxidant activity and in vitro digestibility. </w:t>
      </w:r>
      <w:r w:rsidRPr="0035175D">
        <w:rPr>
          <w:rFonts w:ascii="Arial" w:hAnsi="Arial" w:cs="Arial"/>
          <w:i/>
          <w:iCs/>
          <w:noProof/>
          <w:sz w:val="20"/>
          <w:szCs w:val="24"/>
        </w:rPr>
        <w:t>Algal Research</w:t>
      </w:r>
      <w:r w:rsidRPr="0035175D">
        <w:rPr>
          <w:rFonts w:ascii="Arial" w:hAnsi="Arial" w:cs="Arial"/>
          <w:noProof/>
          <w:sz w:val="20"/>
          <w:szCs w:val="24"/>
        </w:rPr>
        <w:t xml:space="preserve">, </w:t>
      </w:r>
      <w:r w:rsidRPr="0035175D">
        <w:rPr>
          <w:rFonts w:ascii="Arial" w:hAnsi="Arial" w:cs="Arial"/>
          <w:i/>
          <w:iCs/>
          <w:noProof/>
          <w:sz w:val="20"/>
          <w:szCs w:val="24"/>
        </w:rPr>
        <w:t>26</w:t>
      </w:r>
      <w:r w:rsidRPr="0035175D">
        <w:rPr>
          <w:rFonts w:ascii="Arial" w:hAnsi="Arial" w:cs="Arial"/>
          <w:noProof/>
          <w:sz w:val="20"/>
          <w:szCs w:val="24"/>
        </w:rPr>
        <w:t>(June), 161–171. https://doi.org/10.1016/j.algal.2017.07.017</w:t>
      </w:r>
    </w:p>
    <w:p w14:paraId="2DE7847B"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Batista, A. P., Nunes, M. C., Fradinho, P., Gouveia, L., Sousa, I., Raymundo, A., &amp; Franco, J. M. (2012). Novel foods with microalgal ingredients - Effect of gel setting conditions on the linear viscoelasticity of Spirulina and Haematococcus gels. </w:t>
      </w:r>
      <w:r w:rsidRPr="0035175D">
        <w:rPr>
          <w:rFonts w:ascii="Arial" w:hAnsi="Arial" w:cs="Arial"/>
          <w:i/>
          <w:iCs/>
          <w:noProof/>
          <w:sz w:val="20"/>
          <w:szCs w:val="24"/>
        </w:rPr>
        <w:t>Journal of Food Engineering</w:t>
      </w:r>
      <w:r w:rsidRPr="0035175D">
        <w:rPr>
          <w:rFonts w:ascii="Arial" w:hAnsi="Arial" w:cs="Arial"/>
          <w:noProof/>
          <w:sz w:val="20"/>
          <w:szCs w:val="24"/>
        </w:rPr>
        <w:t xml:space="preserve">, </w:t>
      </w:r>
      <w:r w:rsidRPr="0035175D">
        <w:rPr>
          <w:rFonts w:ascii="Arial" w:hAnsi="Arial" w:cs="Arial"/>
          <w:i/>
          <w:iCs/>
          <w:noProof/>
          <w:sz w:val="20"/>
          <w:szCs w:val="24"/>
        </w:rPr>
        <w:t>110</w:t>
      </w:r>
      <w:r w:rsidRPr="0035175D">
        <w:rPr>
          <w:rFonts w:ascii="Arial" w:hAnsi="Arial" w:cs="Arial"/>
          <w:noProof/>
          <w:sz w:val="20"/>
          <w:szCs w:val="24"/>
        </w:rPr>
        <w:t>(2), 182–189. https://doi.org/10.1016/j.jfoodeng.2011.05.044</w:t>
      </w:r>
    </w:p>
    <w:p w14:paraId="25D23B40"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Beckonert, O., Keun, H. C., Ebbels, T. M. D., Bundy, J., Holmes, E., Lindon, J. C., &amp; Nicholson, J. K. (2007). Metabolic profiling, metabolomic and metabonomic procedures for NMR spectroscopy of urine, plasma, serum and tissue extracts. </w:t>
      </w:r>
      <w:r w:rsidRPr="0035175D">
        <w:rPr>
          <w:rFonts w:ascii="Arial" w:hAnsi="Arial" w:cs="Arial"/>
          <w:i/>
          <w:iCs/>
          <w:noProof/>
          <w:sz w:val="20"/>
          <w:szCs w:val="24"/>
          <w:highlight w:val="yellow"/>
        </w:rPr>
        <w:t>Nature Protocols</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2</w:t>
      </w:r>
      <w:r w:rsidRPr="0035175D">
        <w:rPr>
          <w:rFonts w:ascii="Arial" w:hAnsi="Arial" w:cs="Arial"/>
          <w:noProof/>
          <w:sz w:val="20"/>
          <w:szCs w:val="24"/>
          <w:highlight w:val="yellow"/>
        </w:rPr>
        <w:t>(11), 2692–2703. https://doi.org/10.1038/nprot.2007.376</w:t>
      </w:r>
    </w:p>
    <w:p w14:paraId="0D37D48E"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Bernini, P., Bertini, I., Luchinat, C., &amp; Turano, P. (2011). Standard operating procedures for pre-analytical handling of blood and urine for metabolomic studies and biobanks. </w:t>
      </w:r>
      <w:r w:rsidRPr="0035175D">
        <w:rPr>
          <w:rFonts w:ascii="Arial" w:hAnsi="Arial" w:cs="Arial"/>
          <w:i/>
          <w:iCs/>
          <w:noProof/>
          <w:sz w:val="20"/>
          <w:szCs w:val="24"/>
          <w:highlight w:val="yellow"/>
        </w:rPr>
        <w:t>Journal of Biomolecular NMR</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49</w:t>
      </w:r>
      <w:r w:rsidRPr="0035175D">
        <w:rPr>
          <w:rFonts w:ascii="Arial" w:hAnsi="Arial" w:cs="Arial"/>
          <w:noProof/>
          <w:sz w:val="20"/>
          <w:szCs w:val="24"/>
          <w:highlight w:val="yellow"/>
        </w:rPr>
        <w:t>, 231–243. https://doi.org/10.1007/s10858-011-9489-1</w:t>
      </w:r>
    </w:p>
    <w:p w14:paraId="31E1F7F2"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Bettina, M., Dennis, C. G., Herndon, D. N., &amp; Wolfe, R. R. (1999). Accelerated Glutamine Synthesis in Critically [I] Patients Cannot Maintain Normal Intramuscular Free Glutamine Concentration. </w:t>
      </w:r>
      <w:r w:rsidRPr="0035175D">
        <w:rPr>
          <w:rFonts w:ascii="Arial" w:hAnsi="Arial" w:cs="Arial"/>
          <w:i/>
          <w:iCs/>
          <w:noProof/>
          <w:sz w:val="20"/>
          <w:szCs w:val="24"/>
        </w:rPr>
        <w:t>Journal of Parenteral and Enteral Nutrition</w:t>
      </w:r>
      <w:r w:rsidRPr="0035175D">
        <w:rPr>
          <w:rFonts w:ascii="Arial" w:hAnsi="Arial" w:cs="Arial"/>
          <w:noProof/>
          <w:sz w:val="20"/>
          <w:szCs w:val="24"/>
        </w:rPr>
        <w:t xml:space="preserve">, </w:t>
      </w:r>
      <w:r w:rsidRPr="0035175D">
        <w:rPr>
          <w:rFonts w:ascii="Arial" w:hAnsi="Arial" w:cs="Arial"/>
          <w:i/>
          <w:iCs/>
          <w:noProof/>
          <w:sz w:val="20"/>
          <w:szCs w:val="24"/>
        </w:rPr>
        <w:t>23</w:t>
      </w:r>
      <w:r w:rsidRPr="0035175D">
        <w:rPr>
          <w:rFonts w:ascii="Arial" w:hAnsi="Arial" w:cs="Arial"/>
          <w:noProof/>
          <w:sz w:val="20"/>
          <w:szCs w:val="24"/>
        </w:rPr>
        <w:t>(5), 243–252.</w:t>
      </w:r>
    </w:p>
    <w:p w14:paraId="44F1C6C5"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Branco, A. C. C. C., Yoshikawa, F. S. Y., Pietrobon, A. J., &amp; Sato, M. N. (2018). Role of Histamine in Modulating the Immune Response and Inflammation. </w:t>
      </w:r>
      <w:r w:rsidRPr="0035175D">
        <w:rPr>
          <w:rFonts w:ascii="Arial" w:hAnsi="Arial" w:cs="Arial"/>
          <w:i/>
          <w:iCs/>
          <w:noProof/>
          <w:sz w:val="20"/>
          <w:szCs w:val="24"/>
        </w:rPr>
        <w:t>Mediators of Inflammation</w:t>
      </w:r>
      <w:r w:rsidRPr="0035175D">
        <w:rPr>
          <w:rFonts w:ascii="Arial" w:hAnsi="Arial" w:cs="Arial"/>
          <w:noProof/>
          <w:sz w:val="20"/>
          <w:szCs w:val="24"/>
        </w:rPr>
        <w:t xml:space="preserve">, </w:t>
      </w:r>
      <w:r w:rsidRPr="0035175D">
        <w:rPr>
          <w:rFonts w:ascii="Arial" w:hAnsi="Arial" w:cs="Arial"/>
          <w:i/>
          <w:iCs/>
          <w:noProof/>
          <w:sz w:val="20"/>
          <w:szCs w:val="24"/>
        </w:rPr>
        <w:lastRenderedPageBreak/>
        <w:t>2018</w:t>
      </w:r>
      <w:r w:rsidRPr="0035175D">
        <w:rPr>
          <w:rFonts w:ascii="Arial" w:hAnsi="Arial" w:cs="Arial"/>
          <w:noProof/>
          <w:sz w:val="20"/>
          <w:szCs w:val="24"/>
        </w:rPr>
        <w:t>. https://doi.org/10.1155/2018/9524075</w:t>
      </w:r>
    </w:p>
    <w:p w14:paraId="0A6354D4" w14:textId="77777777" w:rsidR="00E51220"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Dallaire, V., Lessard, P., Vandenberg, G., &amp; Noüe, J. De. (2007). </w:t>
      </w:r>
      <w:r w:rsidRPr="0035175D">
        <w:rPr>
          <w:rFonts w:ascii="Arial" w:hAnsi="Arial" w:cs="Arial"/>
          <w:i/>
          <w:iCs/>
          <w:noProof/>
          <w:sz w:val="20"/>
          <w:szCs w:val="24"/>
          <w:highlight w:val="yellow"/>
        </w:rPr>
        <w:t>E V ect of algal incorporation on growth , survival and carcass composition of rainbow trout ( Oncorhynchus mykiss ) fry</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98</w:t>
      </w:r>
      <w:r w:rsidRPr="0035175D">
        <w:rPr>
          <w:rFonts w:ascii="Arial" w:hAnsi="Arial" w:cs="Arial"/>
          <w:noProof/>
          <w:sz w:val="20"/>
          <w:szCs w:val="24"/>
          <w:highlight w:val="yellow"/>
        </w:rPr>
        <w:t>, 1433–1439. https://doi.org/10.1016/j.biortech.2006.05.043</w:t>
      </w:r>
    </w:p>
    <w:p w14:paraId="3B72220B" w14:textId="27F3F888" w:rsidR="009035E3" w:rsidRPr="009035E3" w:rsidRDefault="009035E3" w:rsidP="00B04CF7">
      <w:pPr>
        <w:pStyle w:val="ListParagraph"/>
        <w:widowControl w:val="0"/>
        <w:numPr>
          <w:ilvl w:val="0"/>
          <w:numId w:val="32"/>
        </w:numPr>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t>Dawood, M. A. O. (2021). Nutritional immunity of fish intestines: Important insights for sustainable aquaculture. Reviews in Aquaculture, 13(1), 642–663.</w:t>
      </w:r>
    </w:p>
    <w:p w14:paraId="2490E4ED" w14:textId="77777777" w:rsidR="009035E3" w:rsidRPr="009035E3" w:rsidRDefault="009035E3" w:rsidP="009035E3">
      <w:pPr>
        <w:pStyle w:val="ListParagraph"/>
        <w:widowControl w:val="0"/>
        <w:autoSpaceDE w:val="0"/>
        <w:autoSpaceDN w:val="0"/>
        <w:adjustRightInd w:val="0"/>
        <w:rPr>
          <w:rFonts w:ascii="Arial" w:hAnsi="Arial" w:cs="Arial"/>
          <w:noProof/>
          <w:sz w:val="20"/>
          <w:szCs w:val="24"/>
        </w:rPr>
      </w:pPr>
      <w:r w:rsidRPr="009035E3">
        <w:rPr>
          <w:rFonts w:ascii="Arial" w:hAnsi="Arial" w:cs="Arial"/>
          <w:noProof/>
          <w:sz w:val="20"/>
          <w:szCs w:val="24"/>
          <w:highlight w:val="magenta"/>
        </w:rPr>
        <w:t>https://doi.org/10.1111/raq.12492</w:t>
      </w:r>
    </w:p>
    <w:p w14:paraId="1FB9F3A7" w14:textId="77777777" w:rsidR="00E51220"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de Oliveira, D. C., da Silva Lima, F., Sartori, T., Santos, A. C. A., Rogero, M. M., &amp; Fock, R. A. (2016). Glutamine metabolism and its effects on immune response: molecular mechanism and gene expression. </w:t>
      </w:r>
      <w:r w:rsidRPr="0035175D">
        <w:rPr>
          <w:rFonts w:ascii="Arial" w:hAnsi="Arial" w:cs="Arial"/>
          <w:i/>
          <w:iCs/>
          <w:noProof/>
          <w:sz w:val="20"/>
          <w:szCs w:val="24"/>
        </w:rPr>
        <w:t>Nutrire</w:t>
      </w:r>
      <w:r w:rsidRPr="0035175D">
        <w:rPr>
          <w:rFonts w:ascii="Arial" w:hAnsi="Arial" w:cs="Arial"/>
          <w:noProof/>
          <w:sz w:val="20"/>
          <w:szCs w:val="24"/>
        </w:rPr>
        <w:t xml:space="preserve">, </w:t>
      </w:r>
      <w:r w:rsidRPr="0035175D">
        <w:rPr>
          <w:rFonts w:ascii="Arial" w:hAnsi="Arial" w:cs="Arial"/>
          <w:i/>
          <w:iCs/>
          <w:noProof/>
          <w:sz w:val="20"/>
          <w:szCs w:val="24"/>
        </w:rPr>
        <w:t>41</w:t>
      </w:r>
      <w:r w:rsidRPr="0035175D">
        <w:rPr>
          <w:rFonts w:ascii="Arial" w:hAnsi="Arial" w:cs="Arial"/>
          <w:noProof/>
          <w:sz w:val="20"/>
          <w:szCs w:val="24"/>
        </w:rPr>
        <w:t>(1), 1–10. https://doi.org/10.1186/s41110-016-0016-8</w:t>
      </w:r>
    </w:p>
    <w:p w14:paraId="473C79C3" w14:textId="77777777" w:rsidR="009035E3" w:rsidRPr="009035E3" w:rsidRDefault="009035E3" w:rsidP="009035E3">
      <w:pPr>
        <w:pStyle w:val="ListParagraph"/>
        <w:widowControl w:val="0"/>
        <w:numPr>
          <w:ilvl w:val="0"/>
          <w:numId w:val="32"/>
        </w:numPr>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t>Elshopakey, G. E., &amp; El-Gohary, M. S. (2021).</w:t>
      </w:r>
    </w:p>
    <w:p w14:paraId="76180700" w14:textId="77777777" w:rsidR="009035E3" w:rsidRPr="009035E3" w:rsidRDefault="009035E3" w:rsidP="009035E3">
      <w:pPr>
        <w:pStyle w:val="ListParagraph"/>
        <w:widowControl w:val="0"/>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t>Protective role of dietary algae against bacterial infection in Nile tilapia (Oreochromis niloticus). Aquaculture International, 29, 1509–1525.</w:t>
      </w:r>
    </w:p>
    <w:p w14:paraId="12D1910D" w14:textId="77777777" w:rsidR="009035E3" w:rsidRPr="009035E3" w:rsidRDefault="009035E3" w:rsidP="009035E3">
      <w:pPr>
        <w:pStyle w:val="ListParagraph"/>
        <w:widowControl w:val="0"/>
        <w:autoSpaceDE w:val="0"/>
        <w:autoSpaceDN w:val="0"/>
        <w:adjustRightInd w:val="0"/>
        <w:rPr>
          <w:rFonts w:ascii="Arial" w:hAnsi="Arial" w:cs="Arial"/>
          <w:noProof/>
          <w:sz w:val="20"/>
          <w:szCs w:val="24"/>
        </w:rPr>
      </w:pPr>
      <w:r w:rsidRPr="009035E3">
        <w:rPr>
          <w:rFonts w:ascii="Arial" w:hAnsi="Arial" w:cs="Arial"/>
          <w:noProof/>
          <w:sz w:val="20"/>
          <w:szCs w:val="24"/>
          <w:highlight w:val="magenta"/>
        </w:rPr>
        <w:t>https://doi.org/10.1007/s10499-021-00692-8</w:t>
      </w:r>
    </w:p>
    <w:p w14:paraId="3BC50EB5"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Enyidi, U. D. (2017). Chlorella vulgaris as Protein Source in the Diets of African Catfish Clarias gariepinus. </w:t>
      </w:r>
      <w:r w:rsidRPr="0035175D">
        <w:rPr>
          <w:rFonts w:ascii="Arial" w:hAnsi="Arial" w:cs="Arial"/>
          <w:i/>
          <w:iCs/>
          <w:noProof/>
          <w:sz w:val="20"/>
          <w:szCs w:val="24"/>
          <w:highlight w:val="yellow"/>
        </w:rPr>
        <w:t>Fishes</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2</w:t>
      </w:r>
      <w:r w:rsidRPr="0035175D">
        <w:rPr>
          <w:rFonts w:ascii="Arial" w:hAnsi="Arial" w:cs="Arial"/>
          <w:noProof/>
          <w:sz w:val="20"/>
          <w:szCs w:val="24"/>
          <w:highlight w:val="yellow"/>
        </w:rPr>
        <w:t>(17), 1–12. https://doi.org/10.3390/fishes2040017</w:t>
      </w:r>
    </w:p>
    <w:p w14:paraId="11D202B5"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Euceda, L. R., Giskeødegård, G. F., &amp; Bathen, T. F. (2015). Preprocessing of NMR metabolomics data. </w:t>
      </w:r>
      <w:r w:rsidRPr="0035175D">
        <w:rPr>
          <w:rFonts w:ascii="Arial" w:hAnsi="Arial" w:cs="Arial"/>
          <w:i/>
          <w:iCs/>
          <w:noProof/>
          <w:sz w:val="20"/>
          <w:szCs w:val="24"/>
          <w:highlight w:val="yellow"/>
        </w:rPr>
        <w:t>Scandinavian Journal of Clinical &amp; Laboratory Investigation</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75</w:t>
      </w:r>
      <w:r w:rsidRPr="0035175D">
        <w:rPr>
          <w:rFonts w:ascii="Arial" w:hAnsi="Arial" w:cs="Arial"/>
          <w:noProof/>
          <w:sz w:val="20"/>
          <w:szCs w:val="24"/>
          <w:highlight w:val="yellow"/>
        </w:rPr>
        <w:t>, 193–203. https://doi.org/10.3109/00365513.2014.1003593</w:t>
      </w:r>
    </w:p>
    <w:p w14:paraId="40BEA223"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Everts, B. (2018). Chapter 2 Metabolomics in Immunology Research. In </w:t>
      </w:r>
      <w:r w:rsidRPr="0035175D">
        <w:rPr>
          <w:rFonts w:ascii="Arial" w:hAnsi="Arial" w:cs="Arial"/>
          <w:i/>
          <w:iCs/>
          <w:noProof/>
          <w:sz w:val="20"/>
          <w:szCs w:val="24"/>
        </w:rPr>
        <w:t>Clinical Metabolomics: Methods and Protocols, Methods in Molecular Biology</w:t>
      </w:r>
      <w:r w:rsidRPr="0035175D">
        <w:rPr>
          <w:rFonts w:ascii="Arial" w:hAnsi="Arial" w:cs="Arial"/>
          <w:noProof/>
          <w:sz w:val="20"/>
          <w:szCs w:val="24"/>
        </w:rPr>
        <w:t xml:space="preserve"> (Vol. 1730, Number Lc, pp. 29–42).</w:t>
      </w:r>
    </w:p>
    <w:p w14:paraId="6C5EDE05" w14:textId="77777777" w:rsidR="00E51220"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Gilcreas, F. W. (1966). Standard methods for the examination of water and waste water. </w:t>
      </w:r>
      <w:r w:rsidRPr="0035175D">
        <w:rPr>
          <w:rFonts w:ascii="Arial" w:hAnsi="Arial" w:cs="Arial"/>
          <w:i/>
          <w:iCs/>
          <w:noProof/>
          <w:sz w:val="20"/>
          <w:szCs w:val="24"/>
        </w:rPr>
        <w:t>American Journal of Public Health and the Nation’s Health</w:t>
      </w:r>
      <w:r w:rsidRPr="0035175D">
        <w:rPr>
          <w:rFonts w:ascii="Arial" w:hAnsi="Arial" w:cs="Arial"/>
          <w:noProof/>
          <w:sz w:val="20"/>
          <w:szCs w:val="24"/>
        </w:rPr>
        <w:t xml:space="preserve">, </w:t>
      </w:r>
      <w:r w:rsidRPr="0035175D">
        <w:rPr>
          <w:rFonts w:ascii="Arial" w:hAnsi="Arial" w:cs="Arial"/>
          <w:i/>
          <w:iCs/>
          <w:noProof/>
          <w:sz w:val="20"/>
          <w:szCs w:val="24"/>
        </w:rPr>
        <w:t>56</w:t>
      </w:r>
      <w:r w:rsidRPr="0035175D">
        <w:rPr>
          <w:rFonts w:ascii="Arial" w:hAnsi="Arial" w:cs="Arial"/>
          <w:noProof/>
          <w:sz w:val="20"/>
          <w:szCs w:val="24"/>
        </w:rPr>
        <w:t>(3), 387–388. https://doi.org/10.2105/AJPH.56.3.387</w:t>
      </w:r>
    </w:p>
    <w:p w14:paraId="3ECB1F6A" w14:textId="31D1F928" w:rsidR="00054C6D" w:rsidRPr="00054C6D" w:rsidRDefault="00054C6D" w:rsidP="003238C1">
      <w:pPr>
        <w:pStyle w:val="ListParagraph"/>
        <w:widowControl w:val="0"/>
        <w:numPr>
          <w:ilvl w:val="0"/>
          <w:numId w:val="32"/>
        </w:numPr>
        <w:autoSpaceDE w:val="0"/>
        <w:autoSpaceDN w:val="0"/>
        <w:adjustRightInd w:val="0"/>
        <w:rPr>
          <w:rFonts w:ascii="Arial" w:hAnsi="Arial" w:cs="Arial"/>
          <w:noProof/>
          <w:sz w:val="20"/>
          <w:szCs w:val="24"/>
          <w:highlight w:val="magenta"/>
        </w:rPr>
      </w:pPr>
      <w:r w:rsidRPr="00054C6D">
        <w:rPr>
          <w:rFonts w:ascii="Arial" w:hAnsi="Arial" w:cs="Arial"/>
          <w:noProof/>
          <w:sz w:val="20"/>
          <w:szCs w:val="24"/>
          <w:highlight w:val="magenta"/>
        </w:rPr>
        <w:t>Fazio, F. (2022).</w:t>
      </w:r>
      <w:r>
        <w:rPr>
          <w:rFonts w:ascii="Arial" w:hAnsi="Arial" w:cs="Arial"/>
          <w:noProof/>
          <w:sz w:val="20"/>
          <w:szCs w:val="24"/>
          <w:highlight w:val="magenta"/>
        </w:rPr>
        <w:t xml:space="preserve"> </w:t>
      </w:r>
      <w:r w:rsidRPr="00054C6D">
        <w:rPr>
          <w:rFonts w:ascii="Arial" w:hAnsi="Arial" w:cs="Arial"/>
          <w:noProof/>
          <w:sz w:val="20"/>
          <w:szCs w:val="24"/>
          <w:highlight w:val="magenta"/>
        </w:rPr>
        <w:t>Fish hematology analysis as an important tool of aquaculture: A review. Aquaculture, 500, 734770.</w:t>
      </w:r>
    </w:p>
    <w:p w14:paraId="1181050B" w14:textId="77777777" w:rsidR="00054C6D" w:rsidRPr="00054C6D" w:rsidRDefault="00054C6D" w:rsidP="00054C6D">
      <w:pPr>
        <w:pStyle w:val="ListParagraph"/>
        <w:widowControl w:val="0"/>
        <w:autoSpaceDE w:val="0"/>
        <w:autoSpaceDN w:val="0"/>
        <w:adjustRightInd w:val="0"/>
        <w:rPr>
          <w:rFonts w:ascii="Arial" w:hAnsi="Arial" w:cs="Arial"/>
          <w:noProof/>
          <w:sz w:val="20"/>
          <w:szCs w:val="24"/>
        </w:rPr>
      </w:pPr>
      <w:r w:rsidRPr="00054C6D">
        <w:rPr>
          <w:rFonts w:ascii="Arial" w:hAnsi="Arial" w:cs="Arial"/>
          <w:noProof/>
          <w:sz w:val="20"/>
          <w:szCs w:val="24"/>
          <w:highlight w:val="magenta"/>
        </w:rPr>
        <w:t>https://doi.org/10.1016/j.aquaculture.2018.10.030</w:t>
      </w:r>
    </w:p>
    <w:p w14:paraId="0E7866B2"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Gouveia, L., Veloso, V., Reis, A., Fernandes, H., Novais, J., &amp; Empis, J. (1996). Evolution of pigment composition in Chlorella vulgaris. </w:t>
      </w:r>
      <w:r w:rsidRPr="0035175D">
        <w:rPr>
          <w:rFonts w:ascii="Arial" w:hAnsi="Arial" w:cs="Arial"/>
          <w:i/>
          <w:iCs/>
          <w:noProof/>
          <w:sz w:val="20"/>
          <w:szCs w:val="24"/>
          <w:highlight w:val="yellow"/>
        </w:rPr>
        <w:t>Bioresource Technology</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57</w:t>
      </w:r>
      <w:r w:rsidRPr="0035175D">
        <w:rPr>
          <w:rFonts w:ascii="Arial" w:hAnsi="Arial" w:cs="Arial"/>
          <w:noProof/>
          <w:sz w:val="20"/>
          <w:szCs w:val="24"/>
          <w:highlight w:val="yellow"/>
        </w:rPr>
        <w:t>(2), 157–163. https://doi.org/10.1016/0960-8524(96)00058-2</w:t>
      </w:r>
    </w:p>
    <w:p w14:paraId="3C087E53"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Gray, D. W., Welsh, M. D., Doherty, S., Mansoor, F., Chevallier, O. P., Elliott, C. T., &amp; Mooney, M. H. (2015). Identification of systemic immune response markers through metabolomic profiling of plasma from calves given an intra-nasally delivered respiratory vaccine. </w:t>
      </w:r>
      <w:r w:rsidRPr="0035175D">
        <w:rPr>
          <w:rFonts w:ascii="Arial" w:hAnsi="Arial" w:cs="Arial"/>
          <w:i/>
          <w:iCs/>
          <w:noProof/>
          <w:sz w:val="20"/>
          <w:szCs w:val="24"/>
        </w:rPr>
        <w:t>Veterinary Research</w:t>
      </w:r>
      <w:r w:rsidRPr="0035175D">
        <w:rPr>
          <w:rFonts w:ascii="Arial" w:hAnsi="Arial" w:cs="Arial"/>
          <w:noProof/>
          <w:sz w:val="20"/>
          <w:szCs w:val="24"/>
        </w:rPr>
        <w:t xml:space="preserve">, </w:t>
      </w:r>
      <w:r w:rsidRPr="0035175D">
        <w:rPr>
          <w:rFonts w:ascii="Arial" w:hAnsi="Arial" w:cs="Arial"/>
          <w:i/>
          <w:iCs/>
          <w:noProof/>
          <w:sz w:val="20"/>
          <w:szCs w:val="24"/>
        </w:rPr>
        <w:t>46</w:t>
      </w:r>
      <w:r w:rsidRPr="0035175D">
        <w:rPr>
          <w:rFonts w:ascii="Arial" w:hAnsi="Arial" w:cs="Arial"/>
          <w:noProof/>
          <w:sz w:val="20"/>
          <w:szCs w:val="24"/>
        </w:rPr>
        <w:t>(7), 1–16. https://doi.org/10.1186/s13567-014-0138-z</w:t>
      </w:r>
    </w:p>
    <w:p w14:paraId="2CE310D1"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Gupta, S. K., Jha, A. K., Pal, A. K., &amp; Venkateshwarlu, G. (2007). </w:t>
      </w:r>
      <w:r w:rsidRPr="0035175D">
        <w:rPr>
          <w:rFonts w:ascii="Arial" w:hAnsi="Arial" w:cs="Arial"/>
          <w:i/>
          <w:iCs/>
          <w:noProof/>
          <w:sz w:val="20"/>
          <w:szCs w:val="24"/>
          <w:highlight w:val="yellow"/>
        </w:rPr>
        <w:t>Use of natural carotenoids for pigmentation in fishes</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6</w:t>
      </w:r>
      <w:r w:rsidRPr="0035175D">
        <w:rPr>
          <w:rFonts w:ascii="Arial" w:hAnsi="Arial" w:cs="Arial"/>
          <w:noProof/>
          <w:sz w:val="20"/>
          <w:szCs w:val="24"/>
          <w:highlight w:val="yellow"/>
        </w:rPr>
        <w:t>(1), 46–49.</w:t>
      </w:r>
    </w:p>
    <w:p w14:paraId="1E08F386" w14:textId="77777777" w:rsidR="00E51220"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Izquierdo-garcía, J. L., Villa, P., Kyriazis, A., Puerto-nevado, L., Pérez-rial, S., Rodriguez, I., Hernandez, N., &amp; Ruiz-cabello, J. (2011). Descriptive review of current NMR-based metabolomic data analysis packages. </w:t>
      </w:r>
      <w:r w:rsidRPr="0035175D">
        <w:rPr>
          <w:rFonts w:ascii="Arial" w:hAnsi="Arial" w:cs="Arial"/>
          <w:i/>
          <w:iCs/>
          <w:noProof/>
          <w:sz w:val="20"/>
          <w:szCs w:val="24"/>
          <w:highlight w:val="yellow"/>
        </w:rPr>
        <w:t>Progress in Nuclear Magnetic Resonance Spectroscopy</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59</w:t>
      </w:r>
      <w:r w:rsidRPr="0035175D">
        <w:rPr>
          <w:rFonts w:ascii="Arial" w:hAnsi="Arial" w:cs="Arial"/>
          <w:noProof/>
          <w:sz w:val="20"/>
          <w:szCs w:val="24"/>
          <w:highlight w:val="yellow"/>
        </w:rPr>
        <w:t>, 263–270. https://doi.org/10.1016/j.pnmrs.2011.02.001</w:t>
      </w:r>
    </w:p>
    <w:p w14:paraId="52EC5ADA" w14:textId="77777777" w:rsidR="009035E3" w:rsidRPr="009035E3" w:rsidRDefault="009035E3" w:rsidP="009035E3">
      <w:pPr>
        <w:pStyle w:val="ListParagraph"/>
        <w:widowControl w:val="0"/>
        <w:numPr>
          <w:ilvl w:val="0"/>
          <w:numId w:val="32"/>
        </w:numPr>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t>Hoseinifar, S. H., Sun, Y. Z., Wang, A., &amp; Zhou, Z. (2020).</w:t>
      </w:r>
    </w:p>
    <w:p w14:paraId="50663FCD" w14:textId="77777777" w:rsidR="009035E3" w:rsidRPr="009035E3" w:rsidRDefault="009035E3" w:rsidP="009035E3">
      <w:pPr>
        <w:pStyle w:val="ListParagraph"/>
        <w:widowControl w:val="0"/>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t>Probiotics as means of diseases control in aquaculture, a review of current knowledge and future perspectives. Frontiers in Microbiology, 11, 590046.</w:t>
      </w:r>
    </w:p>
    <w:p w14:paraId="7DAA76CF" w14:textId="77777777" w:rsidR="009035E3" w:rsidRPr="009035E3" w:rsidRDefault="009035E3" w:rsidP="009035E3">
      <w:pPr>
        <w:pStyle w:val="ListParagraph"/>
        <w:widowControl w:val="0"/>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t>https://doi.org/10.3389/fmicb.2020.590046</w:t>
      </w:r>
    </w:p>
    <w:p w14:paraId="58732E1A"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Kahieshesfandiari, M., Sabri, M. Y., Ina-salwany, M. Y., Hassan, M. D., Noraini, O., Ajadi, A. A., &amp; Isiaku, A. I. (2019). Streptococcosis in Oreochromis sp.: is feed-based biofilm vaccine of Streptococcus agalactiae effective? </w:t>
      </w:r>
      <w:r w:rsidRPr="0035175D">
        <w:rPr>
          <w:rFonts w:ascii="Arial" w:hAnsi="Arial" w:cs="Arial"/>
          <w:i/>
          <w:iCs/>
          <w:noProof/>
          <w:sz w:val="20"/>
          <w:szCs w:val="24"/>
        </w:rPr>
        <w:t>Aquaculture International</w:t>
      </w:r>
      <w:r w:rsidRPr="0035175D">
        <w:rPr>
          <w:rFonts w:ascii="Arial" w:hAnsi="Arial" w:cs="Arial"/>
          <w:noProof/>
          <w:sz w:val="20"/>
          <w:szCs w:val="24"/>
        </w:rPr>
        <w:t xml:space="preserve">, </w:t>
      </w:r>
      <w:r w:rsidRPr="0035175D">
        <w:rPr>
          <w:rFonts w:ascii="Arial" w:hAnsi="Arial" w:cs="Arial"/>
          <w:i/>
          <w:iCs/>
          <w:noProof/>
          <w:sz w:val="20"/>
          <w:szCs w:val="24"/>
        </w:rPr>
        <w:t>27</w:t>
      </w:r>
      <w:r w:rsidRPr="0035175D">
        <w:rPr>
          <w:rFonts w:ascii="Arial" w:hAnsi="Arial" w:cs="Arial"/>
          <w:noProof/>
          <w:sz w:val="20"/>
          <w:szCs w:val="24"/>
        </w:rPr>
        <w:t>, 817–832. https://doi.org/10.1007/s10499-019-00372-8</w:t>
      </w:r>
    </w:p>
    <w:p w14:paraId="55BC6DCA"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Kim, S. (2015). </w:t>
      </w:r>
      <w:r w:rsidRPr="0035175D">
        <w:rPr>
          <w:rFonts w:ascii="Arial" w:hAnsi="Arial" w:cs="Arial"/>
          <w:i/>
          <w:iCs/>
          <w:noProof/>
          <w:sz w:val="20"/>
          <w:szCs w:val="24"/>
          <w:highlight w:val="yellow"/>
        </w:rPr>
        <w:t>Handbook of marine microalgae biotechnology advances</w:t>
      </w:r>
      <w:r w:rsidRPr="0035175D">
        <w:rPr>
          <w:rFonts w:ascii="Arial" w:hAnsi="Arial" w:cs="Arial"/>
          <w:noProof/>
          <w:sz w:val="20"/>
          <w:szCs w:val="24"/>
          <w:highlight w:val="yellow"/>
        </w:rPr>
        <w:t xml:space="preserve"> (2015th ed.). Elsevier Academic Press.</w:t>
      </w:r>
    </w:p>
    <w:p w14:paraId="38CCD020"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Lankadurai, B. P., Nagato, E. G., &amp; Simpson, M. J. (2013). Environmental metabolomics : an emerging approach to study organism responses to environmental stressors. </w:t>
      </w:r>
      <w:r w:rsidRPr="0035175D">
        <w:rPr>
          <w:rFonts w:ascii="Arial" w:hAnsi="Arial" w:cs="Arial"/>
          <w:i/>
          <w:iCs/>
          <w:noProof/>
          <w:sz w:val="20"/>
          <w:szCs w:val="24"/>
        </w:rPr>
        <w:t>Environmental Review</w:t>
      </w:r>
      <w:r w:rsidRPr="0035175D">
        <w:rPr>
          <w:rFonts w:ascii="Arial" w:hAnsi="Arial" w:cs="Arial"/>
          <w:noProof/>
          <w:sz w:val="20"/>
          <w:szCs w:val="24"/>
        </w:rPr>
        <w:t xml:space="preserve">, </w:t>
      </w:r>
      <w:r w:rsidRPr="0035175D">
        <w:rPr>
          <w:rFonts w:ascii="Arial" w:hAnsi="Arial" w:cs="Arial"/>
          <w:i/>
          <w:iCs/>
          <w:noProof/>
          <w:sz w:val="20"/>
          <w:szCs w:val="24"/>
        </w:rPr>
        <w:t>205</w:t>
      </w:r>
      <w:r w:rsidRPr="0035175D">
        <w:rPr>
          <w:rFonts w:ascii="Arial" w:hAnsi="Arial" w:cs="Arial"/>
          <w:noProof/>
          <w:sz w:val="20"/>
          <w:szCs w:val="24"/>
        </w:rPr>
        <w:t>(21), 180–205.</w:t>
      </w:r>
    </w:p>
    <w:p w14:paraId="24592B20" w14:textId="77777777" w:rsidR="00E51220"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Lin, J. J., Chung, X. J., Yang, C. Y., &amp; Lau, H. L. (2013). A meta-analysis of trials using the intention to treat principle for glutamine supplementation in critically ill patients with burn. </w:t>
      </w:r>
      <w:r w:rsidRPr="0035175D">
        <w:rPr>
          <w:rFonts w:ascii="Arial" w:hAnsi="Arial" w:cs="Arial"/>
          <w:i/>
          <w:iCs/>
          <w:noProof/>
          <w:sz w:val="20"/>
          <w:szCs w:val="24"/>
        </w:rPr>
        <w:t>Burns</w:t>
      </w:r>
      <w:r w:rsidRPr="0035175D">
        <w:rPr>
          <w:rFonts w:ascii="Arial" w:hAnsi="Arial" w:cs="Arial"/>
          <w:noProof/>
          <w:sz w:val="20"/>
          <w:szCs w:val="24"/>
        </w:rPr>
        <w:t xml:space="preserve">, </w:t>
      </w:r>
      <w:r w:rsidRPr="0035175D">
        <w:rPr>
          <w:rFonts w:ascii="Arial" w:hAnsi="Arial" w:cs="Arial"/>
          <w:i/>
          <w:iCs/>
          <w:noProof/>
          <w:sz w:val="20"/>
          <w:szCs w:val="24"/>
        </w:rPr>
        <w:t>39</w:t>
      </w:r>
      <w:r w:rsidRPr="0035175D">
        <w:rPr>
          <w:rFonts w:ascii="Arial" w:hAnsi="Arial" w:cs="Arial"/>
          <w:noProof/>
          <w:sz w:val="20"/>
          <w:szCs w:val="24"/>
        </w:rPr>
        <w:t>(4), 565–570. https://doi.org/10.1016/j.burns.2012.11.008</w:t>
      </w:r>
    </w:p>
    <w:p w14:paraId="7949F454" w14:textId="77777777" w:rsidR="009035E3" w:rsidRPr="009035E3" w:rsidRDefault="009035E3" w:rsidP="009035E3">
      <w:pPr>
        <w:pStyle w:val="ListParagraph"/>
        <w:widowControl w:val="0"/>
        <w:numPr>
          <w:ilvl w:val="0"/>
          <w:numId w:val="32"/>
        </w:numPr>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lastRenderedPageBreak/>
        <w:t>Lulijwa, R., Rupia, E. J., &amp; Alfaro, A. C. (2020).</w:t>
      </w:r>
    </w:p>
    <w:p w14:paraId="252F224B" w14:textId="77777777" w:rsidR="009035E3" w:rsidRPr="009035E3" w:rsidRDefault="009035E3" w:rsidP="009035E3">
      <w:pPr>
        <w:pStyle w:val="ListParagraph"/>
        <w:widowControl w:val="0"/>
        <w:autoSpaceDE w:val="0"/>
        <w:autoSpaceDN w:val="0"/>
        <w:adjustRightInd w:val="0"/>
        <w:rPr>
          <w:rFonts w:ascii="Arial" w:hAnsi="Arial" w:cs="Arial"/>
          <w:noProof/>
          <w:sz w:val="20"/>
          <w:szCs w:val="24"/>
          <w:highlight w:val="magenta"/>
        </w:rPr>
      </w:pPr>
      <w:r w:rsidRPr="009035E3">
        <w:rPr>
          <w:rFonts w:ascii="Arial" w:hAnsi="Arial" w:cs="Arial"/>
          <w:noProof/>
          <w:sz w:val="20"/>
          <w:szCs w:val="24"/>
          <w:highlight w:val="magenta"/>
        </w:rPr>
        <w:t>Antibiotic use in aquaculture, policies and regulation, health and environmental risks: A review of the top 15 major producers. Reviews in Aquaculture, 12(2), 640–663.</w:t>
      </w:r>
    </w:p>
    <w:p w14:paraId="1C4360C1" w14:textId="77777777" w:rsidR="009035E3" w:rsidRPr="009035E3" w:rsidRDefault="009035E3" w:rsidP="009035E3">
      <w:pPr>
        <w:pStyle w:val="ListParagraph"/>
        <w:widowControl w:val="0"/>
        <w:autoSpaceDE w:val="0"/>
        <w:autoSpaceDN w:val="0"/>
        <w:adjustRightInd w:val="0"/>
        <w:rPr>
          <w:rFonts w:ascii="Arial" w:hAnsi="Arial" w:cs="Arial"/>
          <w:noProof/>
          <w:sz w:val="20"/>
          <w:szCs w:val="24"/>
        </w:rPr>
      </w:pPr>
      <w:r w:rsidRPr="009035E3">
        <w:rPr>
          <w:rFonts w:ascii="Arial" w:hAnsi="Arial" w:cs="Arial"/>
          <w:noProof/>
          <w:sz w:val="20"/>
          <w:szCs w:val="24"/>
          <w:highlight w:val="magenta"/>
        </w:rPr>
        <w:t>https://doi.org/10.1111/raq.12344</w:t>
      </w:r>
    </w:p>
    <w:p w14:paraId="0BD839C1"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Magnadottir, B., Lange, S., Gudmundsdottir, S., Bøgwald, J., &amp; Dalmo, R. A. (2005). Ontogeny of humoral immune parameters in fish. </w:t>
      </w:r>
      <w:r w:rsidRPr="0035175D">
        <w:rPr>
          <w:rFonts w:ascii="Arial" w:hAnsi="Arial" w:cs="Arial"/>
          <w:i/>
          <w:iCs/>
          <w:noProof/>
          <w:sz w:val="20"/>
          <w:szCs w:val="24"/>
          <w:highlight w:val="yellow"/>
        </w:rPr>
        <w:t>Fish and Shellfish Immunology</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19</w:t>
      </w:r>
      <w:r w:rsidRPr="0035175D">
        <w:rPr>
          <w:rFonts w:ascii="Arial" w:hAnsi="Arial" w:cs="Arial"/>
          <w:noProof/>
          <w:sz w:val="20"/>
          <w:szCs w:val="24"/>
          <w:highlight w:val="yellow"/>
        </w:rPr>
        <w:t>(5 SPEC. ISS.), 429–439. https://doi.org/10.1016/j.fsi.2005.03.010</w:t>
      </w:r>
    </w:p>
    <w:p w14:paraId="012C4D66"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Marcinkiewicz, J., &amp; Kontny, E. (2014). Taurine and inflammatory diseases. </w:t>
      </w:r>
      <w:r w:rsidRPr="0035175D">
        <w:rPr>
          <w:rFonts w:ascii="Arial" w:hAnsi="Arial" w:cs="Arial"/>
          <w:i/>
          <w:iCs/>
          <w:noProof/>
          <w:sz w:val="20"/>
          <w:szCs w:val="24"/>
        </w:rPr>
        <w:t>Amino Acids</w:t>
      </w:r>
      <w:r w:rsidRPr="0035175D">
        <w:rPr>
          <w:rFonts w:ascii="Arial" w:hAnsi="Arial" w:cs="Arial"/>
          <w:noProof/>
          <w:sz w:val="20"/>
          <w:szCs w:val="24"/>
        </w:rPr>
        <w:t xml:space="preserve">, </w:t>
      </w:r>
      <w:r w:rsidRPr="0035175D">
        <w:rPr>
          <w:rFonts w:ascii="Arial" w:hAnsi="Arial" w:cs="Arial"/>
          <w:i/>
          <w:iCs/>
          <w:noProof/>
          <w:sz w:val="20"/>
          <w:szCs w:val="24"/>
        </w:rPr>
        <w:t>46</w:t>
      </w:r>
      <w:r w:rsidRPr="0035175D">
        <w:rPr>
          <w:rFonts w:ascii="Arial" w:hAnsi="Arial" w:cs="Arial"/>
          <w:noProof/>
          <w:sz w:val="20"/>
          <w:szCs w:val="24"/>
        </w:rPr>
        <w:t>(1), 7–20. https://doi.org/10.1007/s00726-012-1361-4</w:t>
      </w:r>
    </w:p>
    <w:p w14:paraId="1BA202F2"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Markou, G., &amp; Nerantzis, E. (2013). Microalgae for high-value compounds and biofuels production : A review with focus on cultivation under stress conditions. </w:t>
      </w:r>
      <w:r w:rsidRPr="0035175D">
        <w:rPr>
          <w:rFonts w:ascii="Arial" w:hAnsi="Arial" w:cs="Arial"/>
          <w:i/>
          <w:iCs/>
          <w:noProof/>
          <w:sz w:val="20"/>
          <w:szCs w:val="24"/>
          <w:highlight w:val="yellow"/>
        </w:rPr>
        <w:t>Biotechnology Advances</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31</w:t>
      </w:r>
      <w:r w:rsidRPr="0035175D">
        <w:rPr>
          <w:rFonts w:ascii="Arial" w:hAnsi="Arial" w:cs="Arial"/>
          <w:noProof/>
          <w:sz w:val="20"/>
          <w:szCs w:val="24"/>
          <w:highlight w:val="yellow"/>
        </w:rPr>
        <w:t>(8), 1532–1542. https://doi.org/10.1016/j.biotechadv.2013.07.011</w:t>
      </w:r>
    </w:p>
    <w:p w14:paraId="3157BCEE"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Mazur-Bialy, A. I., Pochec, E., &amp; Plytycz, B. (2015). Immunomodulatory effect of riboflavin deficiency and enrichment - Reversible pathological response versus silencing of inflammatory activation. </w:t>
      </w:r>
      <w:r w:rsidRPr="0035175D">
        <w:rPr>
          <w:rFonts w:ascii="Arial" w:hAnsi="Arial" w:cs="Arial"/>
          <w:i/>
          <w:iCs/>
          <w:noProof/>
          <w:sz w:val="20"/>
          <w:szCs w:val="24"/>
        </w:rPr>
        <w:t>Journal of Physiology and Pharmacology</w:t>
      </w:r>
      <w:r w:rsidRPr="0035175D">
        <w:rPr>
          <w:rFonts w:ascii="Arial" w:hAnsi="Arial" w:cs="Arial"/>
          <w:noProof/>
          <w:sz w:val="20"/>
          <w:szCs w:val="24"/>
        </w:rPr>
        <w:t xml:space="preserve">, </w:t>
      </w:r>
      <w:r w:rsidRPr="0035175D">
        <w:rPr>
          <w:rFonts w:ascii="Arial" w:hAnsi="Arial" w:cs="Arial"/>
          <w:i/>
          <w:iCs/>
          <w:noProof/>
          <w:sz w:val="20"/>
          <w:szCs w:val="24"/>
        </w:rPr>
        <w:t>66</w:t>
      </w:r>
      <w:r w:rsidRPr="0035175D">
        <w:rPr>
          <w:rFonts w:ascii="Arial" w:hAnsi="Arial" w:cs="Arial"/>
          <w:noProof/>
          <w:sz w:val="20"/>
          <w:szCs w:val="24"/>
        </w:rPr>
        <w:t>(6), 793–802.</w:t>
      </w:r>
    </w:p>
    <w:p w14:paraId="0DF7D297"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Norambuena, F., Hermon, K., Skrzypczyk, V., Emery, J. A., Sharon, Y., Beard, A., &amp; Turchini, G. M. (2015). Algae in Fish Feed : Performances and Fatty Acid Metabolism in Juvenile Atlantic Salmon. </w:t>
      </w:r>
      <w:r w:rsidRPr="0035175D">
        <w:rPr>
          <w:rFonts w:ascii="Arial" w:hAnsi="Arial" w:cs="Arial"/>
          <w:i/>
          <w:iCs/>
          <w:noProof/>
          <w:sz w:val="20"/>
          <w:szCs w:val="24"/>
          <w:highlight w:val="yellow"/>
        </w:rPr>
        <w:t>PLoS ONE</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10</w:t>
      </w:r>
      <w:r w:rsidRPr="0035175D">
        <w:rPr>
          <w:rFonts w:ascii="Arial" w:hAnsi="Arial" w:cs="Arial"/>
          <w:noProof/>
          <w:sz w:val="20"/>
          <w:szCs w:val="24"/>
          <w:highlight w:val="yellow"/>
        </w:rPr>
        <w:t>(4), 1–17. https://doi.org/10.1371/journal.pone.0124042</w:t>
      </w:r>
    </w:p>
    <w:p w14:paraId="775697B2"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Owens, G., Rao, C., &amp; Traister, R. (2011). Regulation of the immune response and inflammation by histamine and histamine receptors. </w:t>
      </w:r>
      <w:r w:rsidRPr="0035175D">
        <w:rPr>
          <w:rFonts w:ascii="Arial" w:hAnsi="Arial" w:cs="Arial"/>
          <w:i/>
          <w:iCs/>
          <w:noProof/>
          <w:sz w:val="20"/>
          <w:szCs w:val="24"/>
        </w:rPr>
        <w:t>Journal of Allergy and Clinical Immunology</w:t>
      </w:r>
      <w:r w:rsidRPr="0035175D">
        <w:rPr>
          <w:rFonts w:ascii="Arial" w:hAnsi="Arial" w:cs="Arial"/>
          <w:noProof/>
          <w:sz w:val="20"/>
          <w:szCs w:val="24"/>
        </w:rPr>
        <w:t xml:space="preserve">, </w:t>
      </w:r>
      <w:r w:rsidRPr="0035175D">
        <w:rPr>
          <w:rFonts w:ascii="Arial" w:hAnsi="Arial" w:cs="Arial"/>
          <w:i/>
          <w:iCs/>
          <w:noProof/>
          <w:sz w:val="20"/>
          <w:szCs w:val="24"/>
        </w:rPr>
        <w:t>128</w:t>
      </w:r>
      <w:r w:rsidRPr="0035175D">
        <w:rPr>
          <w:rFonts w:ascii="Arial" w:hAnsi="Arial" w:cs="Arial"/>
          <w:noProof/>
          <w:sz w:val="20"/>
          <w:szCs w:val="24"/>
        </w:rPr>
        <w:t>(6), 1163–1164. https://doi.org/10.1016/j.jaci.2011.07.026</w:t>
      </w:r>
    </w:p>
    <w:p w14:paraId="50068FFF"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Pantami, H. A., Bustamam, M. S. A., Lee, S. Y., Ismail, I. S., Faudzi, S. M. M., Nakakuni, M., &amp; Shaari, K. (2020). Comprehensive GCMS and LC-MS/MS metabolite profiling of chlorella vulgaris. </w:t>
      </w:r>
      <w:r w:rsidRPr="0035175D">
        <w:rPr>
          <w:rFonts w:ascii="Arial" w:hAnsi="Arial" w:cs="Arial"/>
          <w:i/>
          <w:iCs/>
          <w:noProof/>
          <w:sz w:val="20"/>
          <w:szCs w:val="24"/>
        </w:rPr>
        <w:t>Marine Drugs</w:t>
      </w:r>
      <w:r w:rsidRPr="0035175D">
        <w:rPr>
          <w:rFonts w:ascii="Arial" w:hAnsi="Arial" w:cs="Arial"/>
          <w:noProof/>
          <w:sz w:val="20"/>
          <w:szCs w:val="24"/>
        </w:rPr>
        <w:t xml:space="preserve">, </w:t>
      </w:r>
      <w:r w:rsidRPr="0035175D">
        <w:rPr>
          <w:rFonts w:ascii="Arial" w:hAnsi="Arial" w:cs="Arial"/>
          <w:i/>
          <w:iCs/>
          <w:noProof/>
          <w:sz w:val="20"/>
          <w:szCs w:val="24"/>
        </w:rPr>
        <w:t>18</w:t>
      </w:r>
      <w:r w:rsidRPr="0035175D">
        <w:rPr>
          <w:rFonts w:ascii="Arial" w:hAnsi="Arial" w:cs="Arial"/>
          <w:noProof/>
          <w:sz w:val="20"/>
          <w:szCs w:val="24"/>
        </w:rPr>
        <w:t>(7). https://doi.org/10.3390/MD18070367</w:t>
      </w:r>
    </w:p>
    <w:p w14:paraId="26CF0354" w14:textId="77777777" w:rsidR="00E51220"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Pantami, H. A., Safwan, M., Bustamam, A., Min, C. C., Ismail, I. S., Lee, S. Y., Abubakar, S., &amp; Mohammed, U. Y. (2023). Integration of Spleen 1H NMR-Based Metabolomics Revealed the Immunomodulatory Effect of Chlorella vulgaris on Nile Tilapia (Oreochromis niloticus). </w:t>
      </w:r>
      <w:r w:rsidRPr="0035175D">
        <w:rPr>
          <w:rFonts w:ascii="Arial" w:hAnsi="Arial" w:cs="Arial"/>
          <w:i/>
          <w:iCs/>
          <w:noProof/>
          <w:sz w:val="20"/>
          <w:szCs w:val="24"/>
        </w:rPr>
        <w:t>Bima Journal of Science and Technology</w:t>
      </w:r>
      <w:r w:rsidRPr="0035175D">
        <w:rPr>
          <w:rFonts w:ascii="Arial" w:hAnsi="Arial" w:cs="Arial"/>
          <w:noProof/>
          <w:sz w:val="20"/>
          <w:szCs w:val="24"/>
        </w:rPr>
        <w:t xml:space="preserve">, </w:t>
      </w:r>
      <w:r w:rsidRPr="0035175D">
        <w:rPr>
          <w:rFonts w:ascii="Arial" w:hAnsi="Arial" w:cs="Arial"/>
          <w:i/>
          <w:iCs/>
          <w:noProof/>
          <w:sz w:val="20"/>
          <w:szCs w:val="24"/>
        </w:rPr>
        <w:t>7</w:t>
      </w:r>
      <w:r w:rsidRPr="0035175D">
        <w:rPr>
          <w:rFonts w:ascii="Arial" w:hAnsi="Arial" w:cs="Arial"/>
          <w:noProof/>
          <w:sz w:val="20"/>
          <w:szCs w:val="24"/>
        </w:rPr>
        <w:t>(1), 165–189. https://doi.org/10.56892/bima.v7i01.396</w:t>
      </w:r>
    </w:p>
    <w:p w14:paraId="03231961" w14:textId="66641AE3" w:rsidR="00054C6D" w:rsidRPr="00054C6D" w:rsidRDefault="00054C6D" w:rsidP="00054C6D">
      <w:pPr>
        <w:pStyle w:val="ListParagraph"/>
        <w:widowControl w:val="0"/>
        <w:numPr>
          <w:ilvl w:val="0"/>
          <w:numId w:val="32"/>
        </w:numPr>
        <w:autoSpaceDE w:val="0"/>
        <w:autoSpaceDN w:val="0"/>
        <w:adjustRightInd w:val="0"/>
        <w:rPr>
          <w:rFonts w:ascii="Arial" w:hAnsi="Arial" w:cs="Arial"/>
          <w:noProof/>
          <w:sz w:val="20"/>
          <w:szCs w:val="24"/>
          <w:highlight w:val="magenta"/>
        </w:rPr>
      </w:pPr>
      <w:r w:rsidRPr="00054C6D">
        <w:rPr>
          <w:rFonts w:ascii="Arial" w:hAnsi="Arial" w:cs="Arial"/>
          <w:noProof/>
          <w:sz w:val="20"/>
          <w:szCs w:val="24"/>
          <w:highlight w:val="magenta"/>
        </w:rPr>
        <w:t>Sheikhzadeh, N., Tayefi-Nasrabadi, H., Oushani, A. K., Enferadi, M. H. N., &amp; Shabanzadeh, S. (2023). Dietary microalgae and fish immune system modulation: Recent advances and future perspectives. Aquaculture Nutrition, 2023, 1–18.</w:t>
      </w:r>
    </w:p>
    <w:p w14:paraId="749142BA" w14:textId="77777777" w:rsidR="00054C6D" w:rsidRPr="00054C6D" w:rsidRDefault="00054C6D" w:rsidP="00054C6D">
      <w:pPr>
        <w:pStyle w:val="ListParagraph"/>
        <w:widowControl w:val="0"/>
        <w:autoSpaceDE w:val="0"/>
        <w:autoSpaceDN w:val="0"/>
        <w:adjustRightInd w:val="0"/>
        <w:rPr>
          <w:rFonts w:ascii="Arial" w:hAnsi="Arial" w:cs="Arial"/>
          <w:noProof/>
          <w:sz w:val="20"/>
          <w:szCs w:val="24"/>
        </w:rPr>
      </w:pPr>
      <w:r w:rsidRPr="00054C6D">
        <w:rPr>
          <w:rFonts w:ascii="Arial" w:hAnsi="Arial" w:cs="Arial"/>
          <w:noProof/>
          <w:sz w:val="20"/>
          <w:szCs w:val="24"/>
          <w:highlight w:val="magenta"/>
        </w:rPr>
        <w:t>https://doi.org/10.1155/2023/8845127</w:t>
      </w:r>
    </w:p>
    <w:p w14:paraId="6EBF7140"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Smolinska, A., Blanchet, L., Buydens, L. M. C., &amp; Wijmenga, S. S. (2012). NMR and pattern recognition methods in metabolomics : From data acquisition to biomarker discovery : A review. </w:t>
      </w:r>
      <w:r w:rsidRPr="0035175D">
        <w:rPr>
          <w:rFonts w:ascii="Arial" w:hAnsi="Arial" w:cs="Arial"/>
          <w:i/>
          <w:iCs/>
          <w:noProof/>
          <w:sz w:val="20"/>
          <w:szCs w:val="24"/>
          <w:highlight w:val="yellow"/>
        </w:rPr>
        <w:t>Analytica Chimica Acta</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750</w:t>
      </w:r>
      <w:r w:rsidRPr="0035175D">
        <w:rPr>
          <w:rFonts w:ascii="Arial" w:hAnsi="Arial" w:cs="Arial"/>
          <w:noProof/>
          <w:sz w:val="20"/>
          <w:szCs w:val="24"/>
          <w:highlight w:val="yellow"/>
        </w:rPr>
        <w:t>, 82–97. https://doi.org/10.1016/j.aca.2012.05.049</w:t>
      </w:r>
    </w:p>
    <w:p w14:paraId="416885E2"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Sukenda, S., &amp; Rahman, R. (2018). The efficacy of Streptococcus agalactiae vaccine preparations , administered to tilapia broodstock , in preventing streptococcosis in their offspring , via transfer of maternal immunity. </w:t>
      </w:r>
      <w:r w:rsidRPr="0035175D">
        <w:rPr>
          <w:rFonts w:ascii="Arial" w:hAnsi="Arial" w:cs="Arial"/>
          <w:i/>
          <w:iCs/>
          <w:noProof/>
          <w:sz w:val="20"/>
          <w:szCs w:val="24"/>
          <w:highlight w:val="yellow"/>
        </w:rPr>
        <w:t>Aquaculture International</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26</w:t>
      </w:r>
      <w:r w:rsidRPr="0035175D">
        <w:rPr>
          <w:rFonts w:ascii="Arial" w:hAnsi="Arial" w:cs="Arial"/>
          <w:noProof/>
          <w:sz w:val="20"/>
          <w:szCs w:val="24"/>
          <w:highlight w:val="yellow"/>
        </w:rPr>
        <w:t>(3), 785–798.</w:t>
      </w:r>
    </w:p>
    <w:p w14:paraId="61E4FCA7"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highlight w:val="yellow"/>
        </w:rPr>
      </w:pPr>
      <w:r w:rsidRPr="0035175D">
        <w:rPr>
          <w:rFonts w:ascii="Arial" w:hAnsi="Arial" w:cs="Arial"/>
          <w:noProof/>
          <w:sz w:val="20"/>
          <w:szCs w:val="24"/>
        </w:rPr>
        <w:t xml:space="preserve">Tucey, T. M., Verma, J., Harrison, P. F., Snelgrove, S. L., Lo, T. L., Scherer, A. K., Barugahare, A. A., Powell, D. R., Wheeler, R. T., Hickey, M. J., Beilharz, T. H., Naderer, T., &amp; Traven, A. (2018). Glucose Homeostasis Is Important for Immune Cell Viability during Candida Challenge and Host Survival of Systemic Fungal Infection. </w:t>
      </w:r>
      <w:r w:rsidRPr="0035175D">
        <w:rPr>
          <w:rFonts w:ascii="Arial" w:hAnsi="Arial" w:cs="Arial"/>
          <w:i/>
          <w:iCs/>
          <w:noProof/>
          <w:sz w:val="20"/>
          <w:szCs w:val="24"/>
        </w:rPr>
        <w:t>Cell Metabolism</w:t>
      </w:r>
      <w:r w:rsidRPr="0035175D">
        <w:rPr>
          <w:rFonts w:ascii="Arial" w:hAnsi="Arial" w:cs="Arial"/>
          <w:noProof/>
          <w:sz w:val="20"/>
          <w:szCs w:val="24"/>
        </w:rPr>
        <w:t xml:space="preserve">, </w:t>
      </w:r>
      <w:r w:rsidRPr="0035175D">
        <w:rPr>
          <w:rFonts w:ascii="Arial" w:hAnsi="Arial" w:cs="Arial"/>
          <w:i/>
          <w:iCs/>
          <w:noProof/>
          <w:sz w:val="20"/>
          <w:szCs w:val="24"/>
        </w:rPr>
        <w:t>27</w:t>
      </w:r>
      <w:r w:rsidRPr="0035175D">
        <w:rPr>
          <w:rFonts w:ascii="Arial" w:hAnsi="Arial" w:cs="Arial"/>
          <w:noProof/>
          <w:sz w:val="20"/>
          <w:szCs w:val="24"/>
        </w:rPr>
        <w:t>(5), 988-1006.e7. https://doi.org/10.1016/j.cmet.2018.03.019</w:t>
      </w:r>
    </w:p>
    <w:p w14:paraId="28BD6C6F"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highlight w:val="yellow"/>
        </w:rPr>
        <w:t xml:space="preserve">Valente, L. M. P., Gouveia, A., Rema, P., &amp; Matos, J. (2006). </w:t>
      </w:r>
      <w:r w:rsidRPr="0035175D">
        <w:rPr>
          <w:rFonts w:ascii="Arial" w:hAnsi="Arial" w:cs="Arial"/>
          <w:i/>
          <w:iCs/>
          <w:noProof/>
          <w:sz w:val="20"/>
          <w:szCs w:val="24"/>
          <w:highlight w:val="yellow"/>
        </w:rPr>
        <w:t>Evaluation of three seaweeds Gracilaria bursa-pastoris , Ulva rigida and Gracilaria cornea as dietary ingredients in European sea bass ( Dicentrarchus labrax ) juveniles</w:t>
      </w:r>
      <w:r w:rsidRPr="0035175D">
        <w:rPr>
          <w:rFonts w:ascii="Arial" w:hAnsi="Arial" w:cs="Arial"/>
          <w:noProof/>
          <w:sz w:val="20"/>
          <w:szCs w:val="24"/>
          <w:highlight w:val="yellow"/>
        </w:rPr>
        <w:t xml:space="preserve">. </w:t>
      </w:r>
      <w:r w:rsidRPr="0035175D">
        <w:rPr>
          <w:rFonts w:ascii="Arial" w:hAnsi="Arial" w:cs="Arial"/>
          <w:i/>
          <w:iCs/>
          <w:noProof/>
          <w:sz w:val="20"/>
          <w:szCs w:val="24"/>
          <w:highlight w:val="yellow"/>
        </w:rPr>
        <w:t>252</w:t>
      </w:r>
      <w:r w:rsidRPr="0035175D">
        <w:rPr>
          <w:rFonts w:ascii="Arial" w:hAnsi="Arial" w:cs="Arial"/>
          <w:noProof/>
          <w:sz w:val="20"/>
          <w:szCs w:val="24"/>
          <w:highlight w:val="yellow"/>
        </w:rPr>
        <w:t>, 85–91. https://doi.org/10.1016/j.aquaculture.2005.11.052</w:t>
      </w:r>
    </w:p>
    <w:p w14:paraId="05F5A908"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van Zanten, A. R. H., Dhaliwal, R., Garrel, D., &amp; Heyland, D. K. (2015). Enteral glutamine supplementation in critically ill patients: A systematic review and meta-analysis. </w:t>
      </w:r>
      <w:r w:rsidRPr="0035175D">
        <w:rPr>
          <w:rFonts w:ascii="Arial" w:hAnsi="Arial" w:cs="Arial"/>
          <w:i/>
          <w:iCs/>
          <w:noProof/>
          <w:sz w:val="20"/>
          <w:szCs w:val="24"/>
        </w:rPr>
        <w:t>Critical Care</w:t>
      </w:r>
      <w:r w:rsidRPr="0035175D">
        <w:rPr>
          <w:rFonts w:ascii="Arial" w:hAnsi="Arial" w:cs="Arial"/>
          <w:noProof/>
          <w:sz w:val="20"/>
          <w:szCs w:val="24"/>
        </w:rPr>
        <w:t xml:space="preserve">, </w:t>
      </w:r>
      <w:r w:rsidRPr="0035175D">
        <w:rPr>
          <w:rFonts w:ascii="Arial" w:hAnsi="Arial" w:cs="Arial"/>
          <w:i/>
          <w:iCs/>
          <w:noProof/>
          <w:sz w:val="20"/>
          <w:szCs w:val="24"/>
        </w:rPr>
        <w:t>19</w:t>
      </w:r>
      <w:r w:rsidRPr="0035175D">
        <w:rPr>
          <w:rFonts w:ascii="Arial" w:hAnsi="Arial" w:cs="Arial"/>
          <w:noProof/>
          <w:sz w:val="20"/>
          <w:szCs w:val="24"/>
        </w:rPr>
        <w:t>(1). https://doi.org/10.1186/s13054-015-1002-x</w:t>
      </w:r>
    </w:p>
    <w:p w14:paraId="3C624F0E" w14:textId="77777777" w:rsidR="00E51220"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Verpoorte, R., Choi, Y. H., &amp; Kim, H. K. (2007). NMR-based metabolomics at work in phytochemistry. </w:t>
      </w:r>
      <w:r w:rsidRPr="0035175D">
        <w:rPr>
          <w:rFonts w:ascii="Arial" w:hAnsi="Arial" w:cs="Arial"/>
          <w:i/>
          <w:iCs/>
          <w:noProof/>
          <w:sz w:val="20"/>
          <w:szCs w:val="24"/>
        </w:rPr>
        <w:t>Phytochemistry Reviews</w:t>
      </w:r>
      <w:r w:rsidRPr="0035175D">
        <w:rPr>
          <w:rFonts w:ascii="Arial" w:hAnsi="Arial" w:cs="Arial"/>
          <w:noProof/>
          <w:sz w:val="20"/>
          <w:szCs w:val="24"/>
        </w:rPr>
        <w:t xml:space="preserve">, </w:t>
      </w:r>
      <w:r w:rsidRPr="0035175D">
        <w:rPr>
          <w:rFonts w:ascii="Arial" w:hAnsi="Arial" w:cs="Arial"/>
          <w:i/>
          <w:iCs/>
          <w:noProof/>
          <w:sz w:val="20"/>
          <w:szCs w:val="24"/>
        </w:rPr>
        <w:t>6</w:t>
      </w:r>
      <w:r w:rsidRPr="0035175D">
        <w:rPr>
          <w:rFonts w:ascii="Arial" w:hAnsi="Arial" w:cs="Arial"/>
          <w:noProof/>
          <w:sz w:val="20"/>
          <w:szCs w:val="24"/>
        </w:rPr>
        <w:t>(1), 3–14. https://doi.org/10.1007/s11101-006-9031-3</w:t>
      </w:r>
    </w:p>
    <w:p w14:paraId="7FF0A0C7" w14:textId="77777777" w:rsidR="00054C6D" w:rsidRPr="00054C6D" w:rsidRDefault="00054C6D" w:rsidP="00054C6D">
      <w:pPr>
        <w:pStyle w:val="ListParagraph"/>
        <w:widowControl w:val="0"/>
        <w:numPr>
          <w:ilvl w:val="0"/>
          <w:numId w:val="32"/>
        </w:numPr>
        <w:autoSpaceDE w:val="0"/>
        <w:autoSpaceDN w:val="0"/>
        <w:adjustRightInd w:val="0"/>
        <w:rPr>
          <w:rFonts w:ascii="Arial" w:hAnsi="Arial" w:cs="Arial"/>
          <w:noProof/>
          <w:sz w:val="20"/>
          <w:szCs w:val="24"/>
          <w:highlight w:val="magenta"/>
        </w:rPr>
      </w:pPr>
      <w:r w:rsidRPr="00054C6D">
        <w:rPr>
          <w:rFonts w:ascii="Arial" w:hAnsi="Arial" w:cs="Arial"/>
          <w:noProof/>
          <w:sz w:val="20"/>
          <w:szCs w:val="24"/>
          <w:highlight w:val="magenta"/>
        </w:rPr>
        <w:t>Wang, W., Zhou, Z., He, S., Liu, Y., Cao, Y., Shi, P., Yao, B., &amp; Ringø, E. (2020).</w:t>
      </w:r>
    </w:p>
    <w:p w14:paraId="4D54E3E2" w14:textId="77777777" w:rsidR="00054C6D" w:rsidRPr="00054C6D" w:rsidRDefault="00054C6D" w:rsidP="00054C6D">
      <w:pPr>
        <w:pStyle w:val="ListParagraph"/>
        <w:widowControl w:val="0"/>
        <w:autoSpaceDE w:val="0"/>
        <w:autoSpaceDN w:val="0"/>
        <w:adjustRightInd w:val="0"/>
        <w:rPr>
          <w:rFonts w:ascii="Arial" w:hAnsi="Arial" w:cs="Arial"/>
          <w:noProof/>
          <w:sz w:val="20"/>
          <w:szCs w:val="24"/>
          <w:highlight w:val="magenta"/>
        </w:rPr>
      </w:pPr>
      <w:r w:rsidRPr="00054C6D">
        <w:rPr>
          <w:rFonts w:ascii="Arial" w:hAnsi="Arial" w:cs="Arial"/>
          <w:noProof/>
          <w:sz w:val="20"/>
          <w:szCs w:val="24"/>
          <w:highlight w:val="magenta"/>
        </w:rPr>
        <w:t>Identification of metabolic biomarkers in fish immune responses using metabolomics technologies. Fish &amp; Shellfish Immunology, 98, 731–742.</w:t>
      </w:r>
    </w:p>
    <w:p w14:paraId="4CB73D07" w14:textId="77777777" w:rsidR="00054C6D" w:rsidRPr="00054C6D" w:rsidRDefault="00054C6D" w:rsidP="00054C6D">
      <w:pPr>
        <w:pStyle w:val="ListParagraph"/>
        <w:widowControl w:val="0"/>
        <w:autoSpaceDE w:val="0"/>
        <w:autoSpaceDN w:val="0"/>
        <w:adjustRightInd w:val="0"/>
        <w:rPr>
          <w:rFonts w:ascii="Arial" w:hAnsi="Arial" w:cs="Arial"/>
          <w:noProof/>
          <w:sz w:val="20"/>
          <w:szCs w:val="24"/>
        </w:rPr>
      </w:pPr>
      <w:r w:rsidRPr="00054C6D">
        <w:rPr>
          <w:rFonts w:ascii="Arial" w:hAnsi="Arial" w:cs="Arial"/>
          <w:noProof/>
          <w:sz w:val="20"/>
          <w:szCs w:val="24"/>
          <w:highlight w:val="magenta"/>
        </w:rPr>
        <w:t>https://doi.org/10.1016/j.fsi.2019.11.056</w:t>
      </w:r>
    </w:p>
    <w:p w14:paraId="227F99F0" w14:textId="77777777" w:rsidR="00E51220"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lastRenderedPageBreak/>
        <w:t xml:space="preserve">Webb-robertson, B. M., Lowry, D. F., Jarman, K. H., Harbo, S. J., Meng, Q. R., Fuciarelli, A. F., Pounds, J. G., &amp; Lee, K. M. (2005). A Study of spectral integration and normalization in NMR-based metabonomic analyses. </w:t>
      </w:r>
      <w:r w:rsidRPr="0035175D">
        <w:rPr>
          <w:rFonts w:ascii="Arial" w:hAnsi="Arial" w:cs="Arial"/>
          <w:i/>
          <w:iCs/>
          <w:noProof/>
          <w:sz w:val="20"/>
          <w:szCs w:val="24"/>
        </w:rPr>
        <w:t>Journal of Pharmaceutical and Biomedical Analysis</w:t>
      </w:r>
      <w:r w:rsidRPr="0035175D">
        <w:rPr>
          <w:rFonts w:ascii="Arial" w:hAnsi="Arial" w:cs="Arial"/>
          <w:noProof/>
          <w:sz w:val="20"/>
          <w:szCs w:val="24"/>
        </w:rPr>
        <w:t xml:space="preserve">, </w:t>
      </w:r>
      <w:r w:rsidRPr="0035175D">
        <w:rPr>
          <w:rFonts w:ascii="Arial" w:hAnsi="Arial" w:cs="Arial"/>
          <w:i/>
          <w:iCs/>
          <w:noProof/>
          <w:sz w:val="20"/>
          <w:szCs w:val="24"/>
        </w:rPr>
        <w:t>39</w:t>
      </w:r>
      <w:r w:rsidRPr="0035175D">
        <w:rPr>
          <w:rFonts w:ascii="Arial" w:hAnsi="Arial" w:cs="Arial"/>
          <w:noProof/>
          <w:sz w:val="20"/>
          <w:szCs w:val="24"/>
        </w:rPr>
        <w:t>, 830–836. https://doi.org/10.1016/j.jpba.2005.05.012</w:t>
      </w:r>
    </w:p>
    <w:p w14:paraId="5D63D8CE" w14:textId="0463DBDB" w:rsidR="00054C6D" w:rsidRPr="00054C6D" w:rsidRDefault="00054C6D" w:rsidP="00095998">
      <w:pPr>
        <w:pStyle w:val="ListParagraph"/>
        <w:widowControl w:val="0"/>
        <w:numPr>
          <w:ilvl w:val="0"/>
          <w:numId w:val="32"/>
        </w:numPr>
        <w:autoSpaceDE w:val="0"/>
        <w:autoSpaceDN w:val="0"/>
        <w:adjustRightInd w:val="0"/>
        <w:rPr>
          <w:rFonts w:ascii="Arial" w:hAnsi="Arial" w:cs="Arial"/>
          <w:noProof/>
          <w:sz w:val="20"/>
          <w:szCs w:val="24"/>
          <w:highlight w:val="magenta"/>
        </w:rPr>
      </w:pPr>
      <w:r w:rsidRPr="00054C6D">
        <w:rPr>
          <w:rFonts w:ascii="Arial" w:hAnsi="Arial" w:cs="Arial"/>
          <w:noProof/>
          <w:sz w:val="20"/>
          <w:szCs w:val="24"/>
          <w:highlight w:val="magenta"/>
        </w:rPr>
        <w:t>Wei, X., Chen, F., Chen, C., &amp; Huang, Z. (2024).</w:t>
      </w:r>
      <w:r>
        <w:rPr>
          <w:rFonts w:ascii="Arial" w:hAnsi="Arial" w:cs="Arial"/>
          <w:noProof/>
          <w:sz w:val="20"/>
          <w:szCs w:val="24"/>
          <w:highlight w:val="magenta"/>
        </w:rPr>
        <w:t xml:space="preserve"> </w:t>
      </w:r>
      <w:r w:rsidRPr="00054C6D">
        <w:rPr>
          <w:rFonts w:ascii="Arial" w:hAnsi="Arial" w:cs="Arial"/>
          <w:noProof/>
          <w:sz w:val="20"/>
          <w:szCs w:val="24"/>
          <w:highlight w:val="magenta"/>
        </w:rPr>
        <w:t>Application of metabolomics in aquaculture research: Current status and future trends. Reviews in Fisheries Science &amp; Aquaculture, 32(1), 45–68.</w:t>
      </w:r>
    </w:p>
    <w:p w14:paraId="5A812FD9" w14:textId="77777777" w:rsidR="00054C6D" w:rsidRPr="00054C6D" w:rsidRDefault="00054C6D" w:rsidP="00054C6D">
      <w:pPr>
        <w:pStyle w:val="ListParagraph"/>
        <w:widowControl w:val="0"/>
        <w:autoSpaceDE w:val="0"/>
        <w:autoSpaceDN w:val="0"/>
        <w:adjustRightInd w:val="0"/>
        <w:rPr>
          <w:rFonts w:ascii="Arial" w:hAnsi="Arial" w:cs="Arial"/>
          <w:noProof/>
          <w:sz w:val="20"/>
          <w:szCs w:val="24"/>
        </w:rPr>
      </w:pPr>
      <w:r w:rsidRPr="00054C6D">
        <w:rPr>
          <w:rFonts w:ascii="Arial" w:hAnsi="Arial" w:cs="Arial"/>
          <w:noProof/>
          <w:sz w:val="20"/>
          <w:szCs w:val="24"/>
          <w:highlight w:val="magenta"/>
        </w:rPr>
        <w:t>https://doi.org/10.1080/23308249.2023.2211458</w:t>
      </w:r>
    </w:p>
    <w:p w14:paraId="14415B77" w14:textId="77777777"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Arial" w:hAnsi="Arial" w:cs="Arial"/>
          <w:noProof/>
          <w:sz w:val="20"/>
          <w:szCs w:val="24"/>
        </w:rPr>
        <w:t xml:space="preserve">Wishart, D. S., Tzur, D., Knox, C., Eisner, R., Guo, A. C., Young, N., Cheng, D., Jewell, K., Arndt, D., Sawhney, S., Fung, C., Nikolai, L., Lewis, M., Coutouly, M. A., Forsythe, I., Tang, P., Shrivastava, S., Jeroncic, K., Stothard, P., … Querengesser, L. (2007). HMDB: The human metabolome database. </w:t>
      </w:r>
      <w:r w:rsidRPr="0035175D">
        <w:rPr>
          <w:rFonts w:ascii="Arial" w:hAnsi="Arial" w:cs="Arial"/>
          <w:i/>
          <w:iCs/>
          <w:noProof/>
          <w:sz w:val="20"/>
          <w:szCs w:val="24"/>
        </w:rPr>
        <w:t>Nucleic Acids Research</w:t>
      </w:r>
      <w:r w:rsidRPr="0035175D">
        <w:rPr>
          <w:rFonts w:ascii="Arial" w:hAnsi="Arial" w:cs="Arial"/>
          <w:noProof/>
          <w:sz w:val="20"/>
          <w:szCs w:val="24"/>
        </w:rPr>
        <w:t xml:space="preserve">, </w:t>
      </w:r>
      <w:r w:rsidRPr="0035175D">
        <w:rPr>
          <w:rFonts w:ascii="Arial" w:hAnsi="Arial" w:cs="Arial"/>
          <w:i/>
          <w:iCs/>
          <w:noProof/>
          <w:sz w:val="20"/>
          <w:szCs w:val="24"/>
        </w:rPr>
        <w:t>35</w:t>
      </w:r>
      <w:r w:rsidRPr="0035175D">
        <w:rPr>
          <w:rFonts w:ascii="Arial" w:hAnsi="Arial" w:cs="Arial"/>
          <w:noProof/>
          <w:sz w:val="20"/>
          <w:szCs w:val="24"/>
        </w:rPr>
        <w:t>(SUPPL. 1), 521–526. https://doi.org/10.1093/nar/gkl923</w:t>
      </w:r>
    </w:p>
    <w:p w14:paraId="1399C9C7" w14:textId="77777777" w:rsidR="00224391" w:rsidRPr="0035175D" w:rsidRDefault="00224391" w:rsidP="0035175D">
      <w:pPr>
        <w:pStyle w:val="ListParagraph"/>
        <w:widowControl w:val="0"/>
        <w:numPr>
          <w:ilvl w:val="0"/>
          <w:numId w:val="32"/>
        </w:numPr>
        <w:autoSpaceDE w:val="0"/>
        <w:autoSpaceDN w:val="0"/>
        <w:adjustRightInd w:val="0"/>
        <w:rPr>
          <w:rFonts w:ascii="Arial" w:hAnsi="Arial" w:cs="Arial"/>
          <w:noProof/>
          <w:sz w:val="20"/>
          <w:szCs w:val="24"/>
        </w:rPr>
      </w:pPr>
      <w:r w:rsidRPr="0035175D">
        <w:rPr>
          <w:rFonts w:ascii="Verdana" w:hAnsi="Verdana"/>
          <w:color w:val="232323"/>
          <w:sz w:val="21"/>
          <w:szCs w:val="21"/>
          <w:highlight w:val="yellow"/>
          <w:shd w:val="clear" w:color="auto" w:fill="FFFFFF"/>
        </w:rPr>
        <w:t>B. Worley and R. Powers, “Multivariate Analysis in Metabolomics,” Current Metabolomics, Vol. 1, No. 1, 2013, pp. 92-107.</w:t>
      </w:r>
      <w:r w:rsidRPr="0035175D">
        <w:rPr>
          <w:rFonts w:ascii="Verdana" w:hAnsi="Verdana"/>
          <w:color w:val="232323"/>
          <w:sz w:val="21"/>
          <w:szCs w:val="21"/>
          <w:highlight w:val="yellow"/>
        </w:rPr>
        <w:br/>
      </w:r>
      <w:r w:rsidRPr="0035175D">
        <w:rPr>
          <w:rFonts w:ascii="Verdana" w:hAnsi="Verdana"/>
          <w:color w:val="232323"/>
          <w:sz w:val="21"/>
          <w:szCs w:val="21"/>
          <w:highlight w:val="yellow"/>
          <w:shd w:val="clear" w:color="auto" w:fill="FFFFFF"/>
        </w:rPr>
        <w:t>http://dx.doi.org/10.2174/2213235X11301010092</w:t>
      </w:r>
      <w:r w:rsidRPr="0035175D">
        <w:rPr>
          <w:rFonts w:ascii="Arial" w:hAnsi="Arial" w:cs="Arial"/>
          <w:noProof/>
          <w:sz w:val="20"/>
          <w:szCs w:val="24"/>
        </w:rPr>
        <w:t xml:space="preserve"> </w:t>
      </w:r>
    </w:p>
    <w:p w14:paraId="0AF180CA" w14:textId="0DDE82FB" w:rsidR="00E51220" w:rsidRPr="0035175D" w:rsidRDefault="00E51220" w:rsidP="0035175D">
      <w:pPr>
        <w:pStyle w:val="ListParagraph"/>
        <w:widowControl w:val="0"/>
        <w:numPr>
          <w:ilvl w:val="0"/>
          <w:numId w:val="32"/>
        </w:numPr>
        <w:autoSpaceDE w:val="0"/>
        <w:autoSpaceDN w:val="0"/>
        <w:adjustRightInd w:val="0"/>
        <w:rPr>
          <w:rFonts w:ascii="Arial" w:hAnsi="Arial" w:cs="Arial"/>
          <w:noProof/>
          <w:sz w:val="20"/>
        </w:rPr>
      </w:pPr>
      <w:r w:rsidRPr="0035175D">
        <w:rPr>
          <w:rFonts w:ascii="Arial" w:hAnsi="Arial" w:cs="Arial"/>
          <w:noProof/>
          <w:sz w:val="20"/>
          <w:szCs w:val="24"/>
        </w:rPr>
        <w:t xml:space="preserve">Zamri-Saad, M., Amal, M. N. A., &amp; Siti-Zahrah, A. (2010). Pathological changes in red tilapias (Oreochromis spp.) naturally infected by Streptococcus agalactiae. </w:t>
      </w:r>
      <w:r w:rsidRPr="0035175D">
        <w:rPr>
          <w:rFonts w:ascii="Arial" w:hAnsi="Arial" w:cs="Arial"/>
          <w:i/>
          <w:iCs/>
          <w:noProof/>
          <w:sz w:val="20"/>
          <w:szCs w:val="24"/>
        </w:rPr>
        <w:t>Journal of Comparative Pathology</w:t>
      </w:r>
      <w:r w:rsidRPr="0035175D">
        <w:rPr>
          <w:rFonts w:ascii="Arial" w:hAnsi="Arial" w:cs="Arial"/>
          <w:noProof/>
          <w:sz w:val="20"/>
          <w:szCs w:val="24"/>
        </w:rPr>
        <w:t xml:space="preserve">, </w:t>
      </w:r>
      <w:r w:rsidRPr="0035175D">
        <w:rPr>
          <w:rFonts w:ascii="Arial" w:hAnsi="Arial" w:cs="Arial"/>
          <w:i/>
          <w:iCs/>
          <w:noProof/>
          <w:sz w:val="20"/>
          <w:szCs w:val="24"/>
        </w:rPr>
        <w:t>143</w:t>
      </w:r>
      <w:r w:rsidRPr="0035175D">
        <w:rPr>
          <w:rFonts w:ascii="Arial" w:hAnsi="Arial" w:cs="Arial"/>
          <w:noProof/>
          <w:sz w:val="20"/>
          <w:szCs w:val="24"/>
        </w:rPr>
        <w:t>(2–3), 227–229. https://doi.org/10.1016/j.jcpa.2010.01.020</w:t>
      </w:r>
    </w:p>
    <w:p w14:paraId="68AA6174" w14:textId="77777777" w:rsidR="00EB6AE8" w:rsidRPr="00101146" w:rsidRDefault="00ED4590" w:rsidP="00EB6AE8">
      <w:pPr>
        <w:rPr>
          <w:rFonts w:ascii="Arial" w:hAnsi="Arial" w:cs="Arial"/>
          <w:sz w:val="20"/>
          <w:szCs w:val="20"/>
          <w:lang w:val="en-GB"/>
        </w:rPr>
      </w:pPr>
      <w:r w:rsidRPr="00101146">
        <w:rPr>
          <w:rFonts w:ascii="Arial" w:hAnsi="Arial" w:cs="Arial"/>
          <w:sz w:val="20"/>
          <w:szCs w:val="20"/>
          <w:lang w:val="en-GB"/>
        </w:rPr>
        <w:fldChar w:fldCharType="end"/>
      </w:r>
    </w:p>
    <w:sectPr w:rsidR="00EB6AE8" w:rsidRPr="0010114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9F2AA" w14:textId="77777777" w:rsidR="00660385" w:rsidRDefault="00660385">
      <w:pPr>
        <w:spacing w:after="0" w:line="240" w:lineRule="auto"/>
      </w:pPr>
      <w:r>
        <w:separator/>
      </w:r>
    </w:p>
  </w:endnote>
  <w:endnote w:type="continuationSeparator" w:id="0">
    <w:p w14:paraId="0017E748" w14:textId="77777777" w:rsidR="00660385" w:rsidRDefault="00660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1B7C" w14:textId="77777777" w:rsidR="00C574BD" w:rsidRDefault="00C57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3"/>
        <w:szCs w:val="23"/>
      </w:rPr>
      <w:id w:val="-2119666526"/>
      <w:docPartObj>
        <w:docPartGallery w:val="Page Numbers (Bottom of Page)"/>
        <w:docPartUnique/>
      </w:docPartObj>
    </w:sdtPr>
    <w:sdtEndPr>
      <w:rPr>
        <w:noProof/>
      </w:rPr>
    </w:sdtEndPr>
    <w:sdtContent>
      <w:p w14:paraId="0E1F240B" w14:textId="77777777" w:rsidR="00C574BD" w:rsidRPr="00E32DC6" w:rsidRDefault="00C574BD">
        <w:pPr>
          <w:pStyle w:val="Footer"/>
          <w:jc w:val="center"/>
          <w:rPr>
            <w:rFonts w:ascii="Times New Roman" w:hAnsi="Times New Roman" w:cs="Times New Roman"/>
            <w:sz w:val="23"/>
            <w:szCs w:val="23"/>
          </w:rPr>
        </w:pPr>
      </w:p>
      <w:p w14:paraId="5BB6732A" w14:textId="77777777" w:rsidR="00C574BD" w:rsidRPr="00E32DC6" w:rsidRDefault="00C574BD">
        <w:pPr>
          <w:pStyle w:val="Footer"/>
          <w:jc w:val="center"/>
          <w:rPr>
            <w:rFonts w:ascii="Times New Roman" w:hAnsi="Times New Roman" w:cs="Times New Roman"/>
            <w:sz w:val="23"/>
            <w:szCs w:val="23"/>
          </w:rPr>
        </w:pPr>
        <w:r w:rsidRPr="00E32DC6">
          <w:rPr>
            <w:rFonts w:ascii="Times New Roman" w:hAnsi="Times New Roman" w:cs="Times New Roman"/>
            <w:sz w:val="23"/>
            <w:szCs w:val="23"/>
          </w:rPr>
          <w:fldChar w:fldCharType="begin"/>
        </w:r>
        <w:r w:rsidRPr="00E32DC6">
          <w:rPr>
            <w:rFonts w:ascii="Times New Roman" w:hAnsi="Times New Roman" w:cs="Times New Roman"/>
            <w:sz w:val="23"/>
            <w:szCs w:val="23"/>
          </w:rPr>
          <w:instrText xml:space="preserve"> PAGE   \* MERGEFORMAT </w:instrText>
        </w:r>
        <w:r w:rsidRPr="00E32DC6">
          <w:rPr>
            <w:rFonts w:ascii="Times New Roman" w:hAnsi="Times New Roman" w:cs="Times New Roman"/>
            <w:sz w:val="23"/>
            <w:szCs w:val="23"/>
          </w:rPr>
          <w:fldChar w:fldCharType="separate"/>
        </w:r>
        <w:r w:rsidR="00751A9B">
          <w:rPr>
            <w:rFonts w:ascii="Times New Roman" w:hAnsi="Times New Roman" w:cs="Times New Roman"/>
            <w:noProof/>
            <w:sz w:val="23"/>
            <w:szCs w:val="23"/>
          </w:rPr>
          <w:t>25</w:t>
        </w:r>
        <w:r w:rsidRPr="00E32DC6">
          <w:rPr>
            <w:rFonts w:ascii="Times New Roman" w:hAnsi="Times New Roman" w:cs="Times New Roman"/>
            <w:noProof/>
            <w:sz w:val="23"/>
            <w:szCs w:val="23"/>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C278" w14:textId="77777777" w:rsidR="00C574BD" w:rsidRDefault="00C57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9630D" w14:textId="77777777" w:rsidR="00660385" w:rsidRDefault="00660385">
      <w:pPr>
        <w:spacing w:after="0" w:line="240" w:lineRule="auto"/>
      </w:pPr>
      <w:r>
        <w:separator/>
      </w:r>
    </w:p>
  </w:footnote>
  <w:footnote w:type="continuationSeparator" w:id="0">
    <w:p w14:paraId="4267E3D7" w14:textId="77777777" w:rsidR="00660385" w:rsidRDefault="00660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C9198" w14:textId="5E1B02E3" w:rsidR="00C574BD" w:rsidRDefault="00000000">
    <w:pPr>
      <w:pStyle w:val="Header"/>
    </w:pPr>
    <w:r>
      <w:rPr>
        <w:noProof/>
      </w:rPr>
      <w:pict w14:anchorId="08D49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6"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4314" w14:textId="692E7C94" w:rsidR="00C574BD" w:rsidRPr="00556433" w:rsidRDefault="00000000" w:rsidP="00EB6AE8">
    <w:pPr>
      <w:tabs>
        <w:tab w:val="right" w:pos="8844"/>
      </w:tabs>
      <w:adjustRightInd w:val="0"/>
      <w:snapToGrid w:val="0"/>
      <w:spacing w:after="240" w:line="240" w:lineRule="auto"/>
      <w:rPr>
        <w:rFonts w:ascii="Palatino Linotype" w:hAnsi="Palatino Linotype"/>
        <w:sz w:val="16"/>
      </w:rPr>
    </w:pPr>
    <w:r>
      <w:rPr>
        <w:noProof/>
      </w:rPr>
      <w:pict w14:anchorId="4E6DE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7"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DAC25" w14:textId="55CFA2D9" w:rsidR="00C574BD" w:rsidRDefault="00000000">
    <w:pPr>
      <w:pStyle w:val="Header"/>
    </w:pPr>
    <w:r>
      <w:rPr>
        <w:noProof/>
      </w:rPr>
      <w:pict w14:anchorId="06827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35265"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3787"/>
    <w:multiLevelType w:val="hybridMultilevel"/>
    <w:tmpl w:val="7292AB14"/>
    <w:lvl w:ilvl="0" w:tplc="13285104">
      <w:start w:val="1"/>
      <w:numFmt w:val="lowerRoman"/>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15:restartNumberingAfterBreak="0">
    <w:nsid w:val="0504255B"/>
    <w:multiLevelType w:val="multilevel"/>
    <w:tmpl w:val="1A20A3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41576F"/>
    <w:multiLevelType w:val="hybridMultilevel"/>
    <w:tmpl w:val="0CD22B9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D1D5076"/>
    <w:multiLevelType w:val="multilevel"/>
    <w:tmpl w:val="F4D67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C14012"/>
    <w:multiLevelType w:val="hybridMultilevel"/>
    <w:tmpl w:val="A01E2C10"/>
    <w:lvl w:ilvl="0" w:tplc="76563BA6">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1CD37D40"/>
    <w:multiLevelType w:val="hybridMultilevel"/>
    <w:tmpl w:val="14A665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4A3FAF"/>
    <w:multiLevelType w:val="hybridMultilevel"/>
    <w:tmpl w:val="CA2E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A6C42"/>
    <w:multiLevelType w:val="hybridMultilevel"/>
    <w:tmpl w:val="6396F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B1A82"/>
    <w:multiLevelType w:val="multilevel"/>
    <w:tmpl w:val="156875D0"/>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1" w15:restartNumberingAfterBreak="0">
    <w:nsid w:val="337248ED"/>
    <w:multiLevelType w:val="hybridMultilevel"/>
    <w:tmpl w:val="20EC732C"/>
    <w:lvl w:ilvl="0" w:tplc="F8880468">
      <w:start w:val="1"/>
      <w:numFmt w:val="bullet"/>
      <w:lvlText w:val=""/>
      <w:lvlJc w:val="left"/>
      <w:pPr>
        <w:ind w:left="1665" w:hanging="360"/>
      </w:pPr>
      <w:rPr>
        <w:rFonts w:ascii="Wingdings" w:hAnsi="Wingdings" w:hint="default"/>
        <w:b/>
        <w:bCs/>
      </w:rPr>
    </w:lvl>
    <w:lvl w:ilvl="1" w:tplc="48090003" w:tentative="1">
      <w:start w:val="1"/>
      <w:numFmt w:val="bullet"/>
      <w:lvlText w:val="o"/>
      <w:lvlJc w:val="left"/>
      <w:pPr>
        <w:ind w:left="2385" w:hanging="360"/>
      </w:pPr>
      <w:rPr>
        <w:rFonts w:ascii="Courier New" w:hAnsi="Courier New" w:cs="Courier New" w:hint="default"/>
      </w:rPr>
    </w:lvl>
    <w:lvl w:ilvl="2" w:tplc="48090005" w:tentative="1">
      <w:start w:val="1"/>
      <w:numFmt w:val="bullet"/>
      <w:lvlText w:val=""/>
      <w:lvlJc w:val="left"/>
      <w:pPr>
        <w:ind w:left="3105" w:hanging="360"/>
      </w:pPr>
      <w:rPr>
        <w:rFonts w:ascii="Wingdings" w:hAnsi="Wingdings" w:hint="default"/>
      </w:rPr>
    </w:lvl>
    <w:lvl w:ilvl="3" w:tplc="48090001" w:tentative="1">
      <w:start w:val="1"/>
      <w:numFmt w:val="bullet"/>
      <w:lvlText w:val=""/>
      <w:lvlJc w:val="left"/>
      <w:pPr>
        <w:ind w:left="3825" w:hanging="360"/>
      </w:pPr>
      <w:rPr>
        <w:rFonts w:ascii="Symbol" w:hAnsi="Symbol" w:hint="default"/>
      </w:rPr>
    </w:lvl>
    <w:lvl w:ilvl="4" w:tplc="48090003" w:tentative="1">
      <w:start w:val="1"/>
      <w:numFmt w:val="bullet"/>
      <w:lvlText w:val="o"/>
      <w:lvlJc w:val="left"/>
      <w:pPr>
        <w:ind w:left="4545" w:hanging="360"/>
      </w:pPr>
      <w:rPr>
        <w:rFonts w:ascii="Courier New" w:hAnsi="Courier New" w:cs="Courier New" w:hint="default"/>
      </w:rPr>
    </w:lvl>
    <w:lvl w:ilvl="5" w:tplc="48090005" w:tentative="1">
      <w:start w:val="1"/>
      <w:numFmt w:val="bullet"/>
      <w:lvlText w:val=""/>
      <w:lvlJc w:val="left"/>
      <w:pPr>
        <w:ind w:left="5265" w:hanging="360"/>
      </w:pPr>
      <w:rPr>
        <w:rFonts w:ascii="Wingdings" w:hAnsi="Wingdings" w:hint="default"/>
      </w:rPr>
    </w:lvl>
    <w:lvl w:ilvl="6" w:tplc="48090001" w:tentative="1">
      <w:start w:val="1"/>
      <w:numFmt w:val="bullet"/>
      <w:lvlText w:val=""/>
      <w:lvlJc w:val="left"/>
      <w:pPr>
        <w:ind w:left="5985" w:hanging="360"/>
      </w:pPr>
      <w:rPr>
        <w:rFonts w:ascii="Symbol" w:hAnsi="Symbol" w:hint="default"/>
      </w:rPr>
    </w:lvl>
    <w:lvl w:ilvl="7" w:tplc="48090003" w:tentative="1">
      <w:start w:val="1"/>
      <w:numFmt w:val="bullet"/>
      <w:lvlText w:val="o"/>
      <w:lvlJc w:val="left"/>
      <w:pPr>
        <w:ind w:left="6705" w:hanging="360"/>
      </w:pPr>
      <w:rPr>
        <w:rFonts w:ascii="Courier New" w:hAnsi="Courier New" w:cs="Courier New" w:hint="default"/>
      </w:rPr>
    </w:lvl>
    <w:lvl w:ilvl="8" w:tplc="48090005" w:tentative="1">
      <w:start w:val="1"/>
      <w:numFmt w:val="bullet"/>
      <w:lvlText w:val=""/>
      <w:lvlJc w:val="left"/>
      <w:pPr>
        <w:ind w:left="7425" w:hanging="360"/>
      </w:pPr>
      <w:rPr>
        <w:rFonts w:ascii="Wingdings" w:hAnsi="Wingdings" w:hint="default"/>
      </w:rPr>
    </w:lvl>
  </w:abstractNum>
  <w:abstractNum w:abstractNumId="12" w15:restartNumberingAfterBreak="0">
    <w:nsid w:val="346F3602"/>
    <w:multiLevelType w:val="hybridMultilevel"/>
    <w:tmpl w:val="B376451C"/>
    <w:lvl w:ilvl="0" w:tplc="264ECC78">
      <w:start w:val="1"/>
      <w:numFmt w:val="lowerRoman"/>
      <w:lvlText w:val="(%1)"/>
      <w:lvlJc w:val="left"/>
      <w:pPr>
        <w:ind w:left="1980" w:hanging="720"/>
      </w:pPr>
      <w:rPr>
        <w:rFonts w:hint="default"/>
      </w:rPr>
    </w:lvl>
    <w:lvl w:ilvl="1" w:tplc="48090019" w:tentative="1">
      <w:start w:val="1"/>
      <w:numFmt w:val="lowerLetter"/>
      <w:lvlText w:val="%2."/>
      <w:lvlJc w:val="left"/>
      <w:pPr>
        <w:ind w:left="2340" w:hanging="360"/>
      </w:pPr>
    </w:lvl>
    <w:lvl w:ilvl="2" w:tplc="4809001B" w:tentative="1">
      <w:start w:val="1"/>
      <w:numFmt w:val="lowerRoman"/>
      <w:lvlText w:val="%3."/>
      <w:lvlJc w:val="right"/>
      <w:pPr>
        <w:ind w:left="3060" w:hanging="180"/>
      </w:pPr>
    </w:lvl>
    <w:lvl w:ilvl="3" w:tplc="4809000F" w:tentative="1">
      <w:start w:val="1"/>
      <w:numFmt w:val="decimal"/>
      <w:lvlText w:val="%4."/>
      <w:lvlJc w:val="left"/>
      <w:pPr>
        <w:ind w:left="3780" w:hanging="360"/>
      </w:pPr>
    </w:lvl>
    <w:lvl w:ilvl="4" w:tplc="48090019" w:tentative="1">
      <w:start w:val="1"/>
      <w:numFmt w:val="lowerLetter"/>
      <w:lvlText w:val="%5."/>
      <w:lvlJc w:val="left"/>
      <w:pPr>
        <w:ind w:left="4500" w:hanging="360"/>
      </w:pPr>
    </w:lvl>
    <w:lvl w:ilvl="5" w:tplc="4809001B" w:tentative="1">
      <w:start w:val="1"/>
      <w:numFmt w:val="lowerRoman"/>
      <w:lvlText w:val="%6."/>
      <w:lvlJc w:val="right"/>
      <w:pPr>
        <w:ind w:left="5220" w:hanging="180"/>
      </w:pPr>
    </w:lvl>
    <w:lvl w:ilvl="6" w:tplc="4809000F" w:tentative="1">
      <w:start w:val="1"/>
      <w:numFmt w:val="decimal"/>
      <w:lvlText w:val="%7."/>
      <w:lvlJc w:val="left"/>
      <w:pPr>
        <w:ind w:left="5940" w:hanging="360"/>
      </w:pPr>
    </w:lvl>
    <w:lvl w:ilvl="7" w:tplc="48090019" w:tentative="1">
      <w:start w:val="1"/>
      <w:numFmt w:val="lowerLetter"/>
      <w:lvlText w:val="%8."/>
      <w:lvlJc w:val="left"/>
      <w:pPr>
        <w:ind w:left="6660" w:hanging="360"/>
      </w:pPr>
    </w:lvl>
    <w:lvl w:ilvl="8" w:tplc="4809001B" w:tentative="1">
      <w:start w:val="1"/>
      <w:numFmt w:val="lowerRoman"/>
      <w:lvlText w:val="%9."/>
      <w:lvlJc w:val="right"/>
      <w:pPr>
        <w:ind w:left="7380" w:hanging="180"/>
      </w:pPr>
    </w:lvl>
  </w:abstractNum>
  <w:abstractNum w:abstractNumId="13" w15:restartNumberingAfterBreak="0">
    <w:nsid w:val="35F83293"/>
    <w:multiLevelType w:val="hybridMultilevel"/>
    <w:tmpl w:val="6B9C9B4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3A32595E"/>
    <w:multiLevelType w:val="multilevel"/>
    <w:tmpl w:val="428422B4"/>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rPr>
        <w:i w:val="0"/>
        <w:vertAlign w:val="baseline"/>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3A340D8C"/>
    <w:multiLevelType w:val="hybridMultilevel"/>
    <w:tmpl w:val="2CAAF50A"/>
    <w:lvl w:ilvl="0" w:tplc="534ABC4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3BEC1095"/>
    <w:multiLevelType w:val="hybridMultilevel"/>
    <w:tmpl w:val="395600C8"/>
    <w:lvl w:ilvl="0" w:tplc="0BEA529A">
      <w:start w:val="1"/>
      <w:numFmt w:val="low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3C6C3FAC"/>
    <w:multiLevelType w:val="hybridMultilevel"/>
    <w:tmpl w:val="CA78F89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2BB3808"/>
    <w:multiLevelType w:val="hybridMultilevel"/>
    <w:tmpl w:val="CFD8412C"/>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4D7E26D5"/>
    <w:multiLevelType w:val="hybridMultilevel"/>
    <w:tmpl w:val="DBCCC1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E7178DF"/>
    <w:multiLevelType w:val="hybridMultilevel"/>
    <w:tmpl w:val="C96E3F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56413B38"/>
    <w:multiLevelType w:val="hybridMultilevel"/>
    <w:tmpl w:val="129656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2AF1352"/>
    <w:multiLevelType w:val="hybridMultilevel"/>
    <w:tmpl w:val="066486B6"/>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4" w15:restartNumberingAfterBreak="0">
    <w:nsid w:val="65262B22"/>
    <w:multiLevelType w:val="hybridMultilevel"/>
    <w:tmpl w:val="2A08B87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732C1DF0"/>
    <w:multiLevelType w:val="multilevel"/>
    <w:tmpl w:val="69267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4745951"/>
    <w:multiLevelType w:val="hybridMultilevel"/>
    <w:tmpl w:val="EDB4CB9E"/>
    <w:lvl w:ilvl="0" w:tplc="A4B0A3E4">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7" w15:restartNumberingAfterBreak="0">
    <w:nsid w:val="74CC15A6"/>
    <w:multiLevelType w:val="hybridMultilevel"/>
    <w:tmpl w:val="823844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350246"/>
    <w:multiLevelType w:val="hybridMultilevel"/>
    <w:tmpl w:val="4A76F7D2"/>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9" w15:restartNumberingAfterBreak="0">
    <w:nsid w:val="78B455E1"/>
    <w:multiLevelType w:val="hybridMultilevel"/>
    <w:tmpl w:val="EA3C8064"/>
    <w:lvl w:ilvl="0" w:tplc="F2646B4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0" w15:restartNumberingAfterBreak="0">
    <w:nsid w:val="7AB4248B"/>
    <w:multiLevelType w:val="hybridMultilevel"/>
    <w:tmpl w:val="4D808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E72695"/>
    <w:multiLevelType w:val="hybridMultilevel"/>
    <w:tmpl w:val="519666C0"/>
    <w:lvl w:ilvl="0" w:tplc="074C5F9C">
      <w:start w:val="1"/>
      <w:numFmt w:val="lowerLetter"/>
      <w:lvlText w:val="(%1)"/>
      <w:lvlJc w:val="left"/>
      <w:pPr>
        <w:ind w:left="780" w:hanging="360"/>
      </w:pPr>
      <w:rPr>
        <w:rFonts w:cs="Aria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16cid:durableId="1224409967">
    <w:abstractNumId w:val="30"/>
  </w:num>
  <w:num w:numId="2" w16cid:durableId="1655720377">
    <w:abstractNumId w:val="6"/>
  </w:num>
  <w:num w:numId="3" w16cid:durableId="1184200673">
    <w:abstractNumId w:val="7"/>
  </w:num>
  <w:num w:numId="4" w16cid:durableId="2124381126">
    <w:abstractNumId w:val="1"/>
  </w:num>
  <w:num w:numId="5" w16cid:durableId="386996036">
    <w:abstractNumId w:val="25"/>
  </w:num>
  <w:num w:numId="6" w16cid:durableId="1673754949">
    <w:abstractNumId w:val="10"/>
  </w:num>
  <w:num w:numId="7" w16cid:durableId="1040975714">
    <w:abstractNumId w:val="14"/>
  </w:num>
  <w:num w:numId="8" w16cid:durableId="574248058">
    <w:abstractNumId w:val="9"/>
  </w:num>
  <w:num w:numId="9" w16cid:durableId="19216726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26539901">
    <w:abstractNumId w:val="31"/>
  </w:num>
  <w:num w:numId="11" w16cid:durableId="1911038402">
    <w:abstractNumId w:val="3"/>
  </w:num>
  <w:num w:numId="12" w16cid:durableId="383214904">
    <w:abstractNumId w:val="2"/>
  </w:num>
  <w:num w:numId="13" w16cid:durableId="974486419">
    <w:abstractNumId w:val="16"/>
  </w:num>
  <w:num w:numId="14" w16cid:durableId="345013573">
    <w:abstractNumId w:val="18"/>
  </w:num>
  <w:num w:numId="15" w16cid:durableId="561796653">
    <w:abstractNumId w:val="26"/>
  </w:num>
  <w:num w:numId="16" w16cid:durableId="738596578">
    <w:abstractNumId w:val="4"/>
  </w:num>
  <w:num w:numId="17" w16cid:durableId="567887698">
    <w:abstractNumId w:val="19"/>
  </w:num>
  <w:num w:numId="18" w16cid:durableId="185948293">
    <w:abstractNumId w:val="29"/>
  </w:num>
  <w:num w:numId="19" w16cid:durableId="494417098">
    <w:abstractNumId w:val="28"/>
  </w:num>
  <w:num w:numId="20" w16cid:durableId="934023111">
    <w:abstractNumId w:val="23"/>
  </w:num>
  <w:num w:numId="21" w16cid:durableId="1843818103">
    <w:abstractNumId w:val="5"/>
  </w:num>
  <w:num w:numId="22" w16cid:durableId="245266470">
    <w:abstractNumId w:val="22"/>
  </w:num>
  <w:num w:numId="23" w16cid:durableId="2077435902">
    <w:abstractNumId w:val="17"/>
  </w:num>
  <w:num w:numId="24" w16cid:durableId="1076517057">
    <w:abstractNumId w:val="13"/>
  </w:num>
  <w:num w:numId="25" w16cid:durableId="1839225223">
    <w:abstractNumId w:val="11"/>
  </w:num>
  <w:num w:numId="26" w16cid:durableId="543257214">
    <w:abstractNumId w:val="0"/>
  </w:num>
  <w:num w:numId="27" w16cid:durableId="689911626">
    <w:abstractNumId w:val="24"/>
  </w:num>
  <w:num w:numId="28" w16cid:durableId="133375520">
    <w:abstractNumId w:val="12"/>
  </w:num>
  <w:num w:numId="29" w16cid:durableId="1787583835">
    <w:abstractNumId w:val="27"/>
  </w:num>
  <w:num w:numId="30" w16cid:durableId="331029774">
    <w:abstractNumId w:val="21"/>
  </w:num>
  <w:num w:numId="31" w16cid:durableId="367492567">
    <w:abstractNumId w:val="15"/>
  </w:num>
  <w:num w:numId="32" w16cid:durableId="1144927671">
    <w:abstractNumId w:val="20"/>
  </w:num>
  <w:num w:numId="33" w16cid:durableId="13856367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A6"/>
    <w:rsid w:val="00051E6E"/>
    <w:rsid w:val="00053DFC"/>
    <w:rsid w:val="00054C6D"/>
    <w:rsid w:val="0008476C"/>
    <w:rsid w:val="00095D97"/>
    <w:rsid w:val="00096F70"/>
    <w:rsid w:val="000A0BA1"/>
    <w:rsid w:val="000A6FAF"/>
    <w:rsid w:val="000B6EB2"/>
    <w:rsid w:val="000C5A41"/>
    <w:rsid w:val="000E41D8"/>
    <w:rsid w:val="000F209F"/>
    <w:rsid w:val="00101146"/>
    <w:rsid w:val="00123C53"/>
    <w:rsid w:val="00151BFC"/>
    <w:rsid w:val="00211438"/>
    <w:rsid w:val="00224391"/>
    <w:rsid w:val="0022766E"/>
    <w:rsid w:val="00233C5E"/>
    <w:rsid w:val="00245B80"/>
    <w:rsid w:val="00250BE8"/>
    <w:rsid w:val="0025262C"/>
    <w:rsid w:val="00255BA1"/>
    <w:rsid w:val="00264DEF"/>
    <w:rsid w:val="0026604E"/>
    <w:rsid w:val="002925A6"/>
    <w:rsid w:val="00296D5B"/>
    <w:rsid w:val="002A2C62"/>
    <w:rsid w:val="002C772B"/>
    <w:rsid w:val="002D03D5"/>
    <w:rsid w:val="002F1CEB"/>
    <w:rsid w:val="003216AD"/>
    <w:rsid w:val="00322815"/>
    <w:rsid w:val="0035175D"/>
    <w:rsid w:val="00355A2E"/>
    <w:rsid w:val="0036599B"/>
    <w:rsid w:val="00392F2C"/>
    <w:rsid w:val="003A6783"/>
    <w:rsid w:val="003B5943"/>
    <w:rsid w:val="003C2E9F"/>
    <w:rsid w:val="003F7E13"/>
    <w:rsid w:val="00441C2A"/>
    <w:rsid w:val="00455D82"/>
    <w:rsid w:val="004720BA"/>
    <w:rsid w:val="004737B8"/>
    <w:rsid w:val="0048025D"/>
    <w:rsid w:val="004B090C"/>
    <w:rsid w:val="004D6B11"/>
    <w:rsid w:val="004D6C62"/>
    <w:rsid w:val="00507B49"/>
    <w:rsid w:val="00556951"/>
    <w:rsid w:val="005601D0"/>
    <w:rsid w:val="0057212F"/>
    <w:rsid w:val="00575C7B"/>
    <w:rsid w:val="005769C4"/>
    <w:rsid w:val="00586825"/>
    <w:rsid w:val="005A4D1F"/>
    <w:rsid w:val="005B02B1"/>
    <w:rsid w:val="005C17C2"/>
    <w:rsid w:val="005E3529"/>
    <w:rsid w:val="005F66CC"/>
    <w:rsid w:val="00600E86"/>
    <w:rsid w:val="006412F3"/>
    <w:rsid w:val="00645B9D"/>
    <w:rsid w:val="00650F70"/>
    <w:rsid w:val="00660385"/>
    <w:rsid w:val="0069487E"/>
    <w:rsid w:val="006A0045"/>
    <w:rsid w:val="006A3EA6"/>
    <w:rsid w:val="006B7BC9"/>
    <w:rsid w:val="006C48B7"/>
    <w:rsid w:val="006D12E9"/>
    <w:rsid w:val="006E116E"/>
    <w:rsid w:val="0070353A"/>
    <w:rsid w:val="0071105B"/>
    <w:rsid w:val="00722DEC"/>
    <w:rsid w:val="00751A9B"/>
    <w:rsid w:val="00755B4F"/>
    <w:rsid w:val="00761CD5"/>
    <w:rsid w:val="007C4A9E"/>
    <w:rsid w:val="00814B29"/>
    <w:rsid w:val="00827A17"/>
    <w:rsid w:val="00851556"/>
    <w:rsid w:val="008B4CCD"/>
    <w:rsid w:val="008B5925"/>
    <w:rsid w:val="009035E3"/>
    <w:rsid w:val="00910130"/>
    <w:rsid w:val="00925661"/>
    <w:rsid w:val="0092566B"/>
    <w:rsid w:val="00967C3F"/>
    <w:rsid w:val="00982E49"/>
    <w:rsid w:val="009B22BF"/>
    <w:rsid w:val="009B61DC"/>
    <w:rsid w:val="00A60DD7"/>
    <w:rsid w:val="00A71624"/>
    <w:rsid w:val="00AC2D0A"/>
    <w:rsid w:val="00AC5585"/>
    <w:rsid w:val="00AC7CB1"/>
    <w:rsid w:val="00AF3D39"/>
    <w:rsid w:val="00B06DD4"/>
    <w:rsid w:val="00B11A03"/>
    <w:rsid w:val="00B17C01"/>
    <w:rsid w:val="00B211D2"/>
    <w:rsid w:val="00B42B59"/>
    <w:rsid w:val="00B65745"/>
    <w:rsid w:val="00B67F8C"/>
    <w:rsid w:val="00B71AA1"/>
    <w:rsid w:val="00B725A6"/>
    <w:rsid w:val="00BA5010"/>
    <w:rsid w:val="00BB551C"/>
    <w:rsid w:val="00BD191A"/>
    <w:rsid w:val="00BD3994"/>
    <w:rsid w:val="00BF1D2E"/>
    <w:rsid w:val="00BF3849"/>
    <w:rsid w:val="00C02871"/>
    <w:rsid w:val="00C4167B"/>
    <w:rsid w:val="00C574BD"/>
    <w:rsid w:val="00C60DA0"/>
    <w:rsid w:val="00C86C69"/>
    <w:rsid w:val="00CA3B53"/>
    <w:rsid w:val="00CC0D20"/>
    <w:rsid w:val="00CE5A30"/>
    <w:rsid w:val="00D01843"/>
    <w:rsid w:val="00D16558"/>
    <w:rsid w:val="00D258E4"/>
    <w:rsid w:val="00D46013"/>
    <w:rsid w:val="00D8682D"/>
    <w:rsid w:val="00D86841"/>
    <w:rsid w:val="00DF22E5"/>
    <w:rsid w:val="00DF2568"/>
    <w:rsid w:val="00DF376A"/>
    <w:rsid w:val="00E201AF"/>
    <w:rsid w:val="00E239F2"/>
    <w:rsid w:val="00E33ABD"/>
    <w:rsid w:val="00E40B22"/>
    <w:rsid w:val="00E47F58"/>
    <w:rsid w:val="00E507D7"/>
    <w:rsid w:val="00E51220"/>
    <w:rsid w:val="00E63A67"/>
    <w:rsid w:val="00EB6AE8"/>
    <w:rsid w:val="00EC5377"/>
    <w:rsid w:val="00ED0C51"/>
    <w:rsid w:val="00ED4590"/>
    <w:rsid w:val="00F14D32"/>
    <w:rsid w:val="00F24C4A"/>
    <w:rsid w:val="00F31F43"/>
    <w:rsid w:val="00F345E2"/>
    <w:rsid w:val="00F4346E"/>
    <w:rsid w:val="00F6422B"/>
    <w:rsid w:val="00F841A7"/>
    <w:rsid w:val="00FA3541"/>
    <w:rsid w:val="00FB023F"/>
    <w:rsid w:val="00FE4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F58FE"/>
  <w15:chartTrackingRefBased/>
  <w15:docId w15:val="{18D47B79-5D37-4DC6-ACE0-87FF062D0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AE8"/>
    <w:pPr>
      <w:spacing w:after="200" w:line="276" w:lineRule="auto"/>
    </w:pPr>
    <w:rPr>
      <w:rFonts w:eastAsiaTheme="minorEastAsia"/>
    </w:rPr>
  </w:style>
  <w:style w:type="paragraph" w:styleId="Heading1">
    <w:name w:val="heading 1"/>
    <w:basedOn w:val="Normal"/>
    <w:next w:val="Normal"/>
    <w:link w:val="Heading1Char"/>
    <w:autoRedefine/>
    <w:uiPriority w:val="9"/>
    <w:qFormat/>
    <w:rsid w:val="00E47F58"/>
    <w:pPr>
      <w:keepNext/>
      <w:adjustRightInd w:val="0"/>
      <w:spacing w:after="480" w:line="240" w:lineRule="auto"/>
      <w:jc w:val="right"/>
      <w:outlineLvl w:val="0"/>
    </w:pPr>
    <w:rPr>
      <w:rFonts w:ascii="Arial" w:eastAsia="Times New Roman" w:hAnsi="Arial" w:cs="Arial"/>
      <w:b/>
      <w:iCs/>
      <w:color w:val="000000" w:themeColor="text1"/>
      <w:sz w:val="36"/>
      <w:szCs w:val="36"/>
      <w:lang w:val="en-GB"/>
    </w:rPr>
  </w:style>
  <w:style w:type="paragraph" w:styleId="Heading2">
    <w:name w:val="heading 2"/>
    <w:basedOn w:val="Normal"/>
    <w:next w:val="Normal"/>
    <w:link w:val="Heading2Char"/>
    <w:autoRedefine/>
    <w:uiPriority w:val="9"/>
    <w:unhideWhenUsed/>
    <w:qFormat/>
    <w:rsid w:val="002C772B"/>
    <w:pPr>
      <w:keepNext/>
      <w:keepLines/>
      <w:spacing w:after="400" w:line="240" w:lineRule="auto"/>
      <w:ind w:left="1008" w:hanging="1008"/>
      <w:jc w:val="both"/>
      <w:outlineLvl w:val="1"/>
    </w:pPr>
    <w:rPr>
      <w:rFonts w:ascii="Arial" w:eastAsiaTheme="majorEastAsia" w:hAnsi="Arial" w:cs="Arial"/>
      <w:b/>
      <w:bCs/>
      <w:color w:val="000000" w:themeColor="text1"/>
      <w:sz w:val="20"/>
      <w:szCs w:val="20"/>
      <w:lang w:val="en-GB"/>
    </w:rPr>
  </w:style>
  <w:style w:type="paragraph" w:styleId="Heading3">
    <w:name w:val="heading 3"/>
    <w:basedOn w:val="Normal"/>
    <w:next w:val="Normal"/>
    <w:link w:val="Heading3Char"/>
    <w:autoRedefine/>
    <w:uiPriority w:val="9"/>
    <w:unhideWhenUsed/>
    <w:qFormat/>
    <w:rsid w:val="00E47F58"/>
    <w:pPr>
      <w:keepNext/>
      <w:keepLines/>
      <w:spacing w:after="400" w:line="240" w:lineRule="auto"/>
      <w:ind w:left="1008" w:hanging="1008"/>
      <w:outlineLvl w:val="2"/>
    </w:pPr>
    <w:rPr>
      <w:rFonts w:ascii="Arial" w:eastAsiaTheme="majorEastAsia" w:hAnsi="Arial" w:cs="Arial"/>
      <w:b/>
      <w:bCs/>
      <w:color w:val="000000" w:themeColor="text1"/>
    </w:rPr>
  </w:style>
  <w:style w:type="paragraph" w:styleId="Heading4">
    <w:name w:val="heading 4"/>
    <w:basedOn w:val="Normal"/>
    <w:next w:val="Normal"/>
    <w:link w:val="Heading4Char"/>
    <w:autoRedefine/>
    <w:uiPriority w:val="9"/>
    <w:unhideWhenUsed/>
    <w:qFormat/>
    <w:rsid w:val="006412F3"/>
    <w:pPr>
      <w:keepNext/>
      <w:keepLines/>
      <w:spacing w:after="400" w:line="240" w:lineRule="auto"/>
      <w:jc w:val="both"/>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EB6AE8"/>
    <w:pPr>
      <w:keepNext/>
      <w:keepLines/>
      <w:numPr>
        <w:ilvl w:val="4"/>
        <w:numId w:val="3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rsid w:val="00EB6AE8"/>
    <w:pPr>
      <w:numPr>
        <w:ilvl w:val="5"/>
        <w:numId w:val="3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B6AE8"/>
    <w:pPr>
      <w:keepNext/>
      <w:keepLines/>
      <w:numPr>
        <w:ilvl w:val="6"/>
        <w:numId w:val="3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B6AE8"/>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6AE8"/>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F58"/>
    <w:rPr>
      <w:rFonts w:ascii="Arial" w:eastAsia="Times New Roman" w:hAnsi="Arial" w:cs="Arial"/>
      <w:b/>
      <w:iCs/>
      <w:color w:val="000000" w:themeColor="text1"/>
      <w:sz w:val="36"/>
      <w:szCs w:val="36"/>
      <w:lang w:val="en-GB"/>
    </w:rPr>
  </w:style>
  <w:style w:type="character" w:customStyle="1" w:styleId="Heading2Char">
    <w:name w:val="Heading 2 Char"/>
    <w:basedOn w:val="DefaultParagraphFont"/>
    <w:link w:val="Heading2"/>
    <w:uiPriority w:val="9"/>
    <w:rsid w:val="002C772B"/>
    <w:rPr>
      <w:rFonts w:ascii="Arial" w:eastAsiaTheme="majorEastAsia" w:hAnsi="Arial" w:cs="Arial"/>
      <w:b/>
      <w:bCs/>
      <w:color w:val="000000" w:themeColor="text1"/>
      <w:sz w:val="20"/>
      <w:szCs w:val="20"/>
      <w:lang w:val="en-GB"/>
    </w:rPr>
  </w:style>
  <w:style w:type="character" w:customStyle="1" w:styleId="Heading3Char">
    <w:name w:val="Heading 3 Char"/>
    <w:basedOn w:val="DefaultParagraphFont"/>
    <w:link w:val="Heading3"/>
    <w:uiPriority w:val="9"/>
    <w:rsid w:val="00E47F58"/>
    <w:rPr>
      <w:rFonts w:ascii="Arial" w:eastAsiaTheme="majorEastAsia" w:hAnsi="Arial" w:cs="Arial"/>
      <w:b/>
      <w:bCs/>
      <w:color w:val="000000" w:themeColor="text1"/>
    </w:rPr>
  </w:style>
  <w:style w:type="character" w:customStyle="1" w:styleId="Heading4Char">
    <w:name w:val="Heading 4 Char"/>
    <w:basedOn w:val="DefaultParagraphFont"/>
    <w:link w:val="Heading4"/>
    <w:uiPriority w:val="9"/>
    <w:rsid w:val="006412F3"/>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EB6AE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EB6AE8"/>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B6AE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B6A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6AE8"/>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EB6AE8"/>
    <w:pPr>
      <w:spacing w:after="0" w:line="240" w:lineRule="auto"/>
    </w:pPr>
    <w:rPr>
      <w:rFonts w:eastAsiaTheme="minorEastAsia"/>
    </w:rPr>
  </w:style>
  <w:style w:type="paragraph" w:styleId="BodyText">
    <w:name w:val="Body Text"/>
    <w:basedOn w:val="Normal"/>
    <w:link w:val="BodyTextChar"/>
    <w:rsid w:val="00EB6AE8"/>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6AE8"/>
    <w:rPr>
      <w:rFonts w:ascii="Times New Roman" w:eastAsia="Times New Roman" w:hAnsi="Times New Roman" w:cs="Times New Roman"/>
      <w:sz w:val="24"/>
      <w:szCs w:val="24"/>
    </w:rPr>
  </w:style>
  <w:style w:type="paragraph" w:styleId="ListParagraph">
    <w:name w:val="List Paragraph"/>
    <w:basedOn w:val="Normal"/>
    <w:uiPriority w:val="34"/>
    <w:qFormat/>
    <w:rsid w:val="00EB6AE8"/>
    <w:pPr>
      <w:spacing w:after="0" w:line="240" w:lineRule="auto"/>
      <w:ind w:left="720"/>
      <w:contextualSpacing/>
    </w:pPr>
    <w:rPr>
      <w:rFonts w:ascii="Calibri" w:eastAsia="Calibri" w:hAnsi="Calibri" w:cs="Times New Roman"/>
    </w:rPr>
  </w:style>
  <w:style w:type="table" w:styleId="TableGrid">
    <w:name w:val="Table Grid"/>
    <w:basedOn w:val="TableNormal"/>
    <w:uiPriority w:val="59"/>
    <w:rsid w:val="00EB6AE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AE8"/>
    <w:rPr>
      <w:rFonts w:eastAsiaTheme="minorEastAsia"/>
    </w:rPr>
  </w:style>
  <w:style w:type="paragraph" w:styleId="Footer">
    <w:name w:val="footer"/>
    <w:basedOn w:val="Normal"/>
    <w:link w:val="FooterChar"/>
    <w:uiPriority w:val="99"/>
    <w:unhideWhenUsed/>
    <w:rsid w:val="00EB6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AE8"/>
    <w:rPr>
      <w:rFonts w:eastAsiaTheme="minorEastAsia"/>
    </w:rPr>
  </w:style>
  <w:style w:type="character" w:customStyle="1" w:styleId="BalloonTextChar">
    <w:name w:val="Balloon Text Char"/>
    <w:basedOn w:val="DefaultParagraphFont"/>
    <w:link w:val="BalloonText"/>
    <w:uiPriority w:val="99"/>
    <w:semiHidden/>
    <w:rsid w:val="00EB6AE8"/>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B6AE8"/>
    <w:pPr>
      <w:spacing w:after="0" w:line="240" w:lineRule="auto"/>
    </w:pPr>
    <w:rPr>
      <w:rFonts w:ascii="Tahoma" w:hAnsi="Tahoma" w:cs="Tahoma"/>
      <w:sz w:val="16"/>
      <w:szCs w:val="16"/>
    </w:rPr>
  </w:style>
  <w:style w:type="character" w:styleId="Hyperlink">
    <w:name w:val="Hyperlink"/>
    <w:basedOn w:val="DefaultParagraphFont"/>
    <w:uiPriority w:val="99"/>
    <w:unhideWhenUsed/>
    <w:rsid w:val="00EB6AE8"/>
    <w:rPr>
      <w:color w:val="0563C1" w:themeColor="hyperlink"/>
      <w:u w:val="single"/>
    </w:rPr>
  </w:style>
  <w:style w:type="paragraph" w:styleId="Caption">
    <w:name w:val="caption"/>
    <w:basedOn w:val="Normal"/>
    <w:next w:val="Normal"/>
    <w:uiPriority w:val="35"/>
    <w:unhideWhenUsed/>
    <w:qFormat/>
    <w:rsid w:val="00EB6AE8"/>
    <w:pPr>
      <w:spacing w:after="0" w:line="240" w:lineRule="auto"/>
      <w:jc w:val="both"/>
    </w:pPr>
    <w:rPr>
      <w:rFonts w:ascii="Times New Roman" w:hAnsi="Times New Roman"/>
      <w:b/>
      <w:bCs/>
      <w:color w:val="000000" w:themeColor="text1"/>
      <w:sz w:val="24"/>
      <w:szCs w:val="18"/>
    </w:rPr>
  </w:style>
  <w:style w:type="paragraph" w:customStyle="1" w:styleId="MDPI11articletype">
    <w:name w:val="MDPI_1.1_article_type"/>
    <w:basedOn w:val="MDPI31text"/>
    <w:next w:val="MDPI12title"/>
    <w:rsid w:val="00EB6AE8"/>
    <w:pPr>
      <w:spacing w:before="240" w:line="240" w:lineRule="auto"/>
      <w:ind w:firstLine="0"/>
      <w:jc w:val="left"/>
    </w:pPr>
    <w:rPr>
      <w:i/>
    </w:rPr>
  </w:style>
  <w:style w:type="paragraph" w:customStyle="1" w:styleId="MDPI31text">
    <w:name w:val="MDPI_3.1_text"/>
    <w:rsid w:val="00EB6AE8"/>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12title">
    <w:name w:val="MDPI_1.2_title"/>
    <w:next w:val="MDPI13authornames"/>
    <w:rsid w:val="00EB6AE8"/>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MDPI31text"/>
    <w:next w:val="MDPI14history"/>
    <w:rsid w:val="00EB6AE8"/>
    <w:pPr>
      <w:spacing w:after="120"/>
      <w:ind w:firstLine="0"/>
      <w:jc w:val="left"/>
    </w:pPr>
    <w:rPr>
      <w:b/>
      <w:snapToGrid/>
    </w:rPr>
  </w:style>
  <w:style w:type="paragraph" w:customStyle="1" w:styleId="MDPI14history">
    <w:name w:val="MDPI_1.4_history"/>
    <w:basedOn w:val="MDPI62Acknowledgments"/>
    <w:next w:val="Normal"/>
    <w:rsid w:val="00EB6AE8"/>
    <w:pPr>
      <w:ind w:left="113"/>
      <w:jc w:val="left"/>
    </w:pPr>
    <w:rPr>
      <w:snapToGrid/>
    </w:rPr>
  </w:style>
  <w:style w:type="paragraph" w:customStyle="1" w:styleId="MDPI62Acknowledgments">
    <w:name w:val="MDPI_6.2_Acknowledgments"/>
    <w:rsid w:val="00EB6AE8"/>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16affiliation">
    <w:name w:val="MDPI_1.6_affiliation"/>
    <w:basedOn w:val="MDPI62Acknowledgments"/>
    <w:rsid w:val="00EB6AE8"/>
    <w:pPr>
      <w:spacing w:before="0"/>
      <w:ind w:left="311" w:hanging="198"/>
      <w:jc w:val="left"/>
    </w:pPr>
    <w:rPr>
      <w:snapToGrid/>
      <w:szCs w:val="18"/>
    </w:rPr>
  </w:style>
  <w:style w:type="paragraph" w:customStyle="1" w:styleId="MDPI17abstract">
    <w:name w:val="MDPI_1.7_abstract"/>
    <w:basedOn w:val="MDPI31text"/>
    <w:next w:val="MDPI18keywords"/>
    <w:rsid w:val="00EB6AE8"/>
    <w:pPr>
      <w:spacing w:before="240"/>
      <w:ind w:left="113" w:firstLine="0"/>
    </w:pPr>
    <w:rPr>
      <w:snapToGrid/>
    </w:rPr>
  </w:style>
  <w:style w:type="paragraph" w:customStyle="1" w:styleId="MDPI18keywords">
    <w:name w:val="MDPI_1.8_keywords"/>
    <w:basedOn w:val="MDPI31text"/>
    <w:next w:val="Normal"/>
    <w:rsid w:val="00EB6AE8"/>
    <w:pPr>
      <w:spacing w:before="240"/>
      <w:ind w:left="113" w:firstLine="0"/>
    </w:pPr>
  </w:style>
  <w:style w:type="paragraph" w:customStyle="1" w:styleId="MDPI19line">
    <w:name w:val="MDPI_1.9_line"/>
    <w:basedOn w:val="MDPI31text"/>
    <w:rsid w:val="00EB6AE8"/>
    <w:pPr>
      <w:pBdr>
        <w:bottom w:val="single" w:sz="6" w:space="1" w:color="auto"/>
      </w:pBdr>
      <w:ind w:firstLine="0"/>
    </w:pPr>
    <w:rPr>
      <w:snapToGrid/>
      <w:szCs w:val="24"/>
    </w:rPr>
  </w:style>
  <w:style w:type="paragraph" w:customStyle="1" w:styleId="MDPIheaderjournallogo">
    <w:name w:val="MDPI_header_journal_logo"/>
    <w:rsid w:val="00EB6AE8"/>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rsid w:val="00EB6AE8"/>
    <w:pPr>
      <w:ind w:firstLine="0"/>
    </w:pPr>
  </w:style>
  <w:style w:type="paragraph" w:customStyle="1" w:styleId="MDPI33textspaceafter">
    <w:name w:val="MDPI_3.3_text_space_after"/>
    <w:basedOn w:val="MDPI31text"/>
    <w:rsid w:val="00EB6AE8"/>
    <w:pPr>
      <w:spacing w:after="240"/>
    </w:pPr>
  </w:style>
  <w:style w:type="paragraph" w:customStyle="1" w:styleId="MDPI34textspacebefore">
    <w:name w:val="MDPI_3.4_text_space_before"/>
    <w:basedOn w:val="MDPI31text"/>
    <w:rsid w:val="00EB6AE8"/>
    <w:pPr>
      <w:spacing w:before="240"/>
    </w:pPr>
  </w:style>
  <w:style w:type="paragraph" w:customStyle="1" w:styleId="MDPI35textbeforelist">
    <w:name w:val="MDPI_3.5_text_before_list"/>
    <w:basedOn w:val="MDPI31text"/>
    <w:rsid w:val="00EB6AE8"/>
    <w:pPr>
      <w:spacing w:after="120"/>
    </w:pPr>
  </w:style>
  <w:style w:type="paragraph" w:customStyle="1" w:styleId="MDPI36textafterlist">
    <w:name w:val="MDPI_3.6_text_after_list"/>
    <w:basedOn w:val="MDPI31text"/>
    <w:rsid w:val="00EB6AE8"/>
    <w:pPr>
      <w:spacing w:before="120"/>
    </w:pPr>
  </w:style>
  <w:style w:type="paragraph" w:customStyle="1" w:styleId="MDPI37itemize">
    <w:name w:val="MDPI_3.7_itemize"/>
    <w:basedOn w:val="MDPI31text"/>
    <w:rsid w:val="00EB6AE8"/>
    <w:pPr>
      <w:numPr>
        <w:numId w:val="6"/>
      </w:numPr>
      <w:ind w:left="425" w:hanging="425"/>
    </w:pPr>
  </w:style>
  <w:style w:type="paragraph" w:customStyle="1" w:styleId="MDPI38bullet">
    <w:name w:val="MDPI_3.8_bullet"/>
    <w:basedOn w:val="MDPI31text"/>
    <w:rsid w:val="00EB6AE8"/>
    <w:pPr>
      <w:numPr>
        <w:numId w:val="7"/>
      </w:numPr>
      <w:ind w:left="425" w:hanging="425"/>
    </w:pPr>
  </w:style>
  <w:style w:type="paragraph" w:customStyle="1" w:styleId="MDPI39equation">
    <w:name w:val="MDPI_3.9_equation"/>
    <w:basedOn w:val="MDPI31text"/>
    <w:rsid w:val="00EB6AE8"/>
    <w:pPr>
      <w:spacing w:before="120" w:after="120"/>
      <w:ind w:left="709" w:firstLine="0"/>
      <w:jc w:val="center"/>
    </w:pPr>
  </w:style>
  <w:style w:type="paragraph" w:customStyle="1" w:styleId="MDPI3aequationnumber">
    <w:name w:val="MDPI_3.a_equation_number"/>
    <w:basedOn w:val="MDPI31text"/>
    <w:rsid w:val="00EB6AE8"/>
    <w:pPr>
      <w:spacing w:before="120" w:after="120" w:line="240" w:lineRule="auto"/>
      <w:ind w:firstLine="0"/>
      <w:jc w:val="right"/>
    </w:pPr>
  </w:style>
  <w:style w:type="paragraph" w:customStyle="1" w:styleId="MDPI41tablecaption">
    <w:name w:val="MDPI_4.1_table_caption"/>
    <w:basedOn w:val="MDPI62Acknowledgments"/>
    <w:rsid w:val="00EB6AE8"/>
    <w:pPr>
      <w:spacing w:before="240" w:after="120" w:line="260" w:lineRule="atLeast"/>
      <w:ind w:left="425" w:right="425"/>
    </w:pPr>
    <w:rPr>
      <w:snapToGrid/>
      <w:szCs w:val="22"/>
    </w:rPr>
  </w:style>
  <w:style w:type="paragraph" w:customStyle="1" w:styleId="MDPI42tablebody">
    <w:name w:val="MDPI_4.2_table_body"/>
    <w:rsid w:val="00EB6AE8"/>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basedOn w:val="MDPI41tablecaption"/>
    <w:next w:val="MDPI31text"/>
    <w:rsid w:val="00EB6AE8"/>
    <w:pPr>
      <w:spacing w:before="0"/>
      <w:ind w:left="0" w:right="0"/>
    </w:pPr>
  </w:style>
  <w:style w:type="paragraph" w:customStyle="1" w:styleId="MDPI51figurecaption">
    <w:name w:val="MDPI_5.1_figure_caption"/>
    <w:basedOn w:val="MDPI62Acknowledgments"/>
    <w:rsid w:val="00EB6AE8"/>
    <w:pPr>
      <w:spacing w:after="240" w:line="260" w:lineRule="atLeast"/>
      <w:ind w:left="425" w:right="425"/>
    </w:pPr>
    <w:rPr>
      <w:snapToGrid/>
    </w:rPr>
  </w:style>
  <w:style w:type="paragraph" w:customStyle="1" w:styleId="MDPI52figure">
    <w:name w:val="MDPI_5.2_figure"/>
    <w:rsid w:val="00EB6AE8"/>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61Supplementary">
    <w:name w:val="MDPI_6.1_Supplementary"/>
    <w:basedOn w:val="MDPI62Acknowledgments"/>
    <w:rsid w:val="00EB6AE8"/>
    <w:pPr>
      <w:spacing w:before="240"/>
    </w:pPr>
    <w:rPr>
      <w:lang w:eastAsia="en-US"/>
    </w:rPr>
  </w:style>
  <w:style w:type="paragraph" w:customStyle="1" w:styleId="MDPI63AuthorContributions">
    <w:name w:val="MDPI_6.3_AuthorContributions"/>
    <w:basedOn w:val="MDPI62Acknowledgments"/>
    <w:rsid w:val="00EB6AE8"/>
    <w:rPr>
      <w:rFonts w:eastAsia="SimSun"/>
      <w:color w:val="auto"/>
      <w:lang w:eastAsia="en-US"/>
    </w:rPr>
  </w:style>
  <w:style w:type="paragraph" w:customStyle="1" w:styleId="MDPI64CoI">
    <w:name w:val="MDPI_6.4_CoI"/>
    <w:basedOn w:val="MDPI62Acknowledgments"/>
    <w:rsid w:val="00EB6AE8"/>
  </w:style>
  <w:style w:type="paragraph" w:customStyle="1" w:styleId="MDPI81theorem">
    <w:name w:val="MDPI_8.1_theorem"/>
    <w:basedOn w:val="MDPI32textnoindent"/>
    <w:rsid w:val="00EB6AE8"/>
    <w:rPr>
      <w:i/>
    </w:rPr>
  </w:style>
  <w:style w:type="paragraph" w:customStyle="1" w:styleId="MDPI82proof">
    <w:name w:val="MDPI_8.2_proof"/>
    <w:basedOn w:val="MDPI32textnoindent"/>
    <w:rsid w:val="00EB6AE8"/>
  </w:style>
  <w:style w:type="paragraph" w:customStyle="1" w:styleId="MDPIfooterfirstpage">
    <w:name w:val="MDPI_footer_firstpage"/>
    <w:basedOn w:val="Normal"/>
    <w:rsid w:val="00EB6AE8"/>
    <w:pPr>
      <w:tabs>
        <w:tab w:val="right" w:pos="8845"/>
      </w:tabs>
      <w:adjustRightInd w:val="0"/>
      <w:snapToGrid w:val="0"/>
      <w:spacing w:before="120" w:after="0" w:line="160" w:lineRule="exact"/>
    </w:pPr>
    <w:rPr>
      <w:rFonts w:ascii="Palatino Linotype" w:eastAsia="Times New Roman" w:hAnsi="Palatino Linotype" w:cs="Times New Roman"/>
      <w:sz w:val="16"/>
      <w:szCs w:val="20"/>
      <w:lang w:eastAsia="de-DE"/>
    </w:rPr>
  </w:style>
  <w:style w:type="paragraph" w:customStyle="1" w:styleId="MDPI23heading3">
    <w:name w:val="MDPI_2.3_heading3"/>
    <w:basedOn w:val="MDPI31text"/>
    <w:rsid w:val="00EB6AE8"/>
    <w:pPr>
      <w:spacing w:before="240" w:after="120"/>
      <w:ind w:firstLine="0"/>
      <w:jc w:val="left"/>
      <w:outlineLvl w:val="2"/>
    </w:pPr>
  </w:style>
  <w:style w:type="paragraph" w:customStyle="1" w:styleId="MDPI21heading1">
    <w:name w:val="MDPI_2.1_heading1"/>
    <w:basedOn w:val="MDPI23heading3"/>
    <w:rsid w:val="00EB6AE8"/>
    <w:pPr>
      <w:outlineLvl w:val="0"/>
    </w:pPr>
    <w:rPr>
      <w:b/>
    </w:rPr>
  </w:style>
  <w:style w:type="paragraph" w:customStyle="1" w:styleId="MDPI22heading2">
    <w:name w:val="MDPI_2.2_heading2"/>
    <w:basedOn w:val="Normal"/>
    <w:rsid w:val="00EB6AE8"/>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basedOn w:val="MDPI62Acknowledgments"/>
    <w:rsid w:val="00EB6AE8"/>
    <w:pPr>
      <w:numPr>
        <w:numId w:val="8"/>
      </w:numPr>
      <w:spacing w:before="0" w:line="260" w:lineRule="atLeast"/>
      <w:ind w:left="425" w:hanging="425"/>
    </w:pPr>
  </w:style>
  <w:style w:type="paragraph" w:customStyle="1" w:styleId="p">
    <w:name w:val="p"/>
    <w:basedOn w:val="Normal"/>
    <w:rsid w:val="00EB6AE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B6AE8"/>
    <w:rPr>
      <w:i/>
      <w:iCs/>
    </w:rPr>
  </w:style>
  <w:style w:type="character" w:customStyle="1" w:styleId="a-size-base">
    <w:name w:val="a-size-base"/>
    <w:basedOn w:val="DefaultParagraphFont"/>
    <w:rsid w:val="00EB6AE8"/>
  </w:style>
  <w:style w:type="paragraph" w:customStyle="1" w:styleId="ads-ad">
    <w:name w:val="ads-ad"/>
    <w:basedOn w:val="Normal"/>
    <w:rsid w:val="00EB6AE8"/>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EB6AE8"/>
    <w:pPr>
      <w:tabs>
        <w:tab w:val="right" w:pos="8184"/>
      </w:tabs>
      <w:spacing w:after="0" w:line="240" w:lineRule="auto"/>
      <w:ind w:left="1008" w:hanging="558"/>
    </w:pPr>
    <w:rPr>
      <w:rFonts w:ascii="Times New Roman Bold" w:hAnsi="Times New Roman Bold" w:cstheme="minorHAnsi"/>
      <w:b/>
      <w:bCs/>
      <w:caps/>
      <w:color w:val="000000" w:themeColor="text1"/>
      <w:sz w:val="24"/>
      <w:szCs w:val="20"/>
    </w:rPr>
  </w:style>
  <w:style w:type="character" w:customStyle="1" w:styleId="CommentTextChar">
    <w:name w:val="Comment Text Char"/>
    <w:basedOn w:val="DefaultParagraphFont"/>
    <w:link w:val="CommentText"/>
    <w:uiPriority w:val="99"/>
    <w:semiHidden/>
    <w:rsid w:val="00EB6AE8"/>
    <w:rPr>
      <w:rFonts w:ascii="Times New Roman" w:eastAsia="Times New Roman" w:hAnsi="Times New Roman" w:cs="Times New Roman"/>
      <w:color w:val="000000"/>
      <w:sz w:val="20"/>
      <w:szCs w:val="20"/>
      <w:lang w:eastAsia="de-DE"/>
    </w:rPr>
  </w:style>
  <w:style w:type="paragraph" w:styleId="CommentText">
    <w:name w:val="annotation text"/>
    <w:basedOn w:val="Normal"/>
    <w:link w:val="CommentTextChar"/>
    <w:uiPriority w:val="99"/>
    <w:semiHidden/>
    <w:unhideWhenUsed/>
    <w:rsid w:val="00EB6AE8"/>
    <w:pPr>
      <w:spacing w:after="0" w:line="240" w:lineRule="auto"/>
      <w:jc w:val="both"/>
    </w:pPr>
    <w:rPr>
      <w:rFonts w:ascii="Times New Roman" w:eastAsia="Times New Roman" w:hAnsi="Times New Roman" w:cs="Times New Roman"/>
      <w:color w:val="000000"/>
      <w:sz w:val="20"/>
      <w:szCs w:val="20"/>
      <w:lang w:eastAsia="de-DE"/>
    </w:rPr>
  </w:style>
  <w:style w:type="character" w:customStyle="1" w:styleId="CommentTextChar1">
    <w:name w:val="Comment Text Char1"/>
    <w:basedOn w:val="DefaultParagraphFont"/>
    <w:uiPriority w:val="99"/>
    <w:semiHidden/>
    <w:rsid w:val="00EB6AE8"/>
    <w:rPr>
      <w:rFonts w:eastAsiaTheme="minorEastAsia"/>
      <w:sz w:val="20"/>
      <w:szCs w:val="20"/>
    </w:rPr>
  </w:style>
  <w:style w:type="character" w:customStyle="1" w:styleId="CommentSubjectChar">
    <w:name w:val="Comment Subject Char"/>
    <w:basedOn w:val="CommentTextChar"/>
    <w:link w:val="CommentSubject"/>
    <w:uiPriority w:val="99"/>
    <w:semiHidden/>
    <w:rsid w:val="00EB6AE8"/>
    <w:rPr>
      <w:rFonts w:ascii="Times New Roman" w:eastAsia="Times New Roman" w:hAnsi="Times New Roman" w:cs="Times New Roman"/>
      <w:b/>
      <w:bCs/>
      <w:color w:val="000000"/>
      <w:sz w:val="20"/>
      <w:szCs w:val="20"/>
      <w:lang w:eastAsia="de-DE"/>
    </w:rPr>
  </w:style>
  <w:style w:type="paragraph" w:styleId="CommentSubject">
    <w:name w:val="annotation subject"/>
    <w:basedOn w:val="CommentText"/>
    <w:next w:val="CommentText"/>
    <w:link w:val="CommentSubjectChar"/>
    <w:uiPriority w:val="99"/>
    <w:semiHidden/>
    <w:unhideWhenUsed/>
    <w:rsid w:val="00EB6AE8"/>
    <w:rPr>
      <w:b/>
      <w:bCs/>
    </w:rPr>
  </w:style>
  <w:style w:type="character" w:customStyle="1" w:styleId="CommentSubjectChar1">
    <w:name w:val="Comment Subject Char1"/>
    <w:basedOn w:val="CommentTextChar1"/>
    <w:uiPriority w:val="99"/>
    <w:semiHidden/>
    <w:rsid w:val="00EB6AE8"/>
    <w:rPr>
      <w:rFonts w:eastAsiaTheme="minorEastAsia"/>
      <w:b/>
      <w:bCs/>
      <w:sz w:val="20"/>
      <w:szCs w:val="20"/>
    </w:rPr>
  </w:style>
  <w:style w:type="character" w:customStyle="1" w:styleId="HTMLPreformattedChar">
    <w:name w:val="HTML Preformatted Char"/>
    <w:basedOn w:val="DefaultParagraphFont"/>
    <w:link w:val="HTMLPreformatted"/>
    <w:uiPriority w:val="99"/>
    <w:semiHidden/>
    <w:rsid w:val="00EB6AE8"/>
    <w:rPr>
      <w:rFonts w:ascii="Consolas" w:eastAsiaTheme="minorEastAsia" w:hAnsi="Consolas"/>
      <w:sz w:val="20"/>
      <w:szCs w:val="20"/>
    </w:rPr>
  </w:style>
  <w:style w:type="paragraph" w:styleId="HTMLPreformatted">
    <w:name w:val="HTML Preformatted"/>
    <w:basedOn w:val="Normal"/>
    <w:link w:val="HTMLPreformattedChar"/>
    <w:uiPriority w:val="99"/>
    <w:semiHidden/>
    <w:unhideWhenUsed/>
    <w:rsid w:val="00EB6AE8"/>
    <w:pPr>
      <w:spacing w:after="0" w:line="240" w:lineRule="auto"/>
    </w:pPr>
    <w:rPr>
      <w:rFonts w:ascii="Consolas" w:hAnsi="Consolas"/>
      <w:sz w:val="20"/>
      <w:szCs w:val="20"/>
    </w:rPr>
  </w:style>
  <w:style w:type="paragraph" w:styleId="TOCHeading">
    <w:name w:val="TOC Heading"/>
    <w:basedOn w:val="Heading1"/>
    <w:next w:val="Normal"/>
    <w:uiPriority w:val="39"/>
    <w:unhideWhenUsed/>
    <w:qFormat/>
    <w:rsid w:val="00EB6AE8"/>
    <w:pPr>
      <w:keepLines/>
      <w:spacing w:before="240" w:line="259" w:lineRule="auto"/>
      <w:jc w:val="left"/>
      <w:outlineLvl w:val="9"/>
    </w:pPr>
    <w:rPr>
      <w:rFonts w:asciiTheme="majorHAnsi" w:eastAsiaTheme="majorEastAsia" w:hAnsiTheme="majorHAnsi" w:cstheme="majorBidi"/>
      <w:b w:val="0"/>
      <w:color w:val="2E74B5" w:themeColor="accent1" w:themeShade="BF"/>
    </w:rPr>
  </w:style>
  <w:style w:type="paragraph" w:styleId="TOC2">
    <w:name w:val="toc 2"/>
    <w:basedOn w:val="Normal"/>
    <w:next w:val="Normal"/>
    <w:autoRedefine/>
    <w:uiPriority w:val="39"/>
    <w:unhideWhenUsed/>
    <w:rsid w:val="00EB6AE8"/>
    <w:pPr>
      <w:spacing w:after="0" w:line="240" w:lineRule="auto"/>
      <w:ind w:left="1728" w:hanging="720"/>
    </w:pPr>
    <w:rPr>
      <w:rFonts w:ascii="Times New Roman" w:hAnsi="Times New Roman" w:cs="Times New Roman"/>
      <w:noProof/>
      <w:color w:val="000000" w:themeColor="text1"/>
      <w:sz w:val="24"/>
      <w:szCs w:val="20"/>
    </w:rPr>
  </w:style>
  <w:style w:type="paragraph" w:styleId="TOC3">
    <w:name w:val="toc 3"/>
    <w:basedOn w:val="Normal"/>
    <w:next w:val="Normal"/>
    <w:autoRedefine/>
    <w:uiPriority w:val="39"/>
    <w:unhideWhenUsed/>
    <w:rsid w:val="00EB6AE8"/>
    <w:pPr>
      <w:spacing w:after="0" w:line="240" w:lineRule="auto"/>
      <w:ind w:left="2448" w:hanging="720"/>
    </w:pPr>
    <w:rPr>
      <w:rFonts w:ascii="Times New Roman" w:hAnsi="Times New Roman" w:cstheme="minorHAnsi"/>
      <w:color w:val="000000" w:themeColor="text1"/>
      <w:sz w:val="24"/>
      <w:szCs w:val="20"/>
    </w:rPr>
  </w:style>
  <w:style w:type="paragraph" w:styleId="TOC4">
    <w:name w:val="toc 4"/>
    <w:basedOn w:val="Normal"/>
    <w:next w:val="Normal"/>
    <w:autoRedefine/>
    <w:uiPriority w:val="39"/>
    <w:unhideWhenUsed/>
    <w:rsid w:val="00EB6AE8"/>
    <w:pPr>
      <w:spacing w:after="0" w:line="240" w:lineRule="auto"/>
      <w:ind w:left="3456" w:hanging="1008"/>
    </w:pPr>
    <w:rPr>
      <w:rFonts w:ascii="Times New Roman" w:hAnsi="Times New Roman" w:cstheme="minorHAnsi"/>
      <w:color w:val="000000" w:themeColor="text1"/>
      <w:sz w:val="24"/>
      <w:szCs w:val="20"/>
    </w:rPr>
  </w:style>
  <w:style w:type="paragraph" w:styleId="TOC5">
    <w:name w:val="toc 5"/>
    <w:basedOn w:val="Normal"/>
    <w:next w:val="Normal"/>
    <w:autoRedefine/>
    <w:uiPriority w:val="39"/>
    <w:unhideWhenUsed/>
    <w:rsid w:val="00EB6AE8"/>
    <w:pPr>
      <w:spacing w:after="0"/>
      <w:ind w:left="880"/>
    </w:pPr>
    <w:rPr>
      <w:rFonts w:cstheme="minorHAnsi"/>
      <w:sz w:val="20"/>
      <w:szCs w:val="20"/>
    </w:rPr>
  </w:style>
  <w:style w:type="paragraph" w:styleId="TOC6">
    <w:name w:val="toc 6"/>
    <w:basedOn w:val="Normal"/>
    <w:next w:val="Normal"/>
    <w:autoRedefine/>
    <w:uiPriority w:val="39"/>
    <w:unhideWhenUsed/>
    <w:rsid w:val="00EB6AE8"/>
    <w:pPr>
      <w:spacing w:after="0"/>
      <w:ind w:left="1100"/>
    </w:pPr>
    <w:rPr>
      <w:rFonts w:cstheme="minorHAnsi"/>
      <w:sz w:val="20"/>
      <w:szCs w:val="20"/>
    </w:rPr>
  </w:style>
  <w:style w:type="paragraph" w:styleId="TOC7">
    <w:name w:val="toc 7"/>
    <w:basedOn w:val="Normal"/>
    <w:next w:val="Normal"/>
    <w:autoRedefine/>
    <w:uiPriority w:val="39"/>
    <w:unhideWhenUsed/>
    <w:rsid w:val="00EB6AE8"/>
    <w:pPr>
      <w:spacing w:after="0"/>
      <w:ind w:left="1320"/>
    </w:pPr>
    <w:rPr>
      <w:rFonts w:cstheme="minorHAnsi"/>
      <w:sz w:val="20"/>
      <w:szCs w:val="20"/>
    </w:rPr>
  </w:style>
  <w:style w:type="paragraph" w:styleId="TOC8">
    <w:name w:val="toc 8"/>
    <w:basedOn w:val="Normal"/>
    <w:next w:val="Normal"/>
    <w:autoRedefine/>
    <w:uiPriority w:val="39"/>
    <w:unhideWhenUsed/>
    <w:rsid w:val="00EB6AE8"/>
    <w:pPr>
      <w:spacing w:after="0"/>
      <w:ind w:left="1540"/>
    </w:pPr>
    <w:rPr>
      <w:rFonts w:cstheme="minorHAnsi"/>
      <w:sz w:val="20"/>
      <w:szCs w:val="20"/>
    </w:rPr>
  </w:style>
  <w:style w:type="paragraph" w:styleId="TOC9">
    <w:name w:val="toc 9"/>
    <w:basedOn w:val="Normal"/>
    <w:next w:val="Normal"/>
    <w:autoRedefine/>
    <w:uiPriority w:val="39"/>
    <w:unhideWhenUsed/>
    <w:rsid w:val="00EB6AE8"/>
    <w:pPr>
      <w:spacing w:after="0"/>
      <w:ind w:left="1760"/>
    </w:pPr>
    <w:rPr>
      <w:rFonts w:cstheme="minorHAnsi"/>
      <w:sz w:val="20"/>
      <w:szCs w:val="20"/>
    </w:rPr>
  </w:style>
  <w:style w:type="paragraph" w:customStyle="1" w:styleId="chapter">
    <w:name w:val="chapter"/>
    <w:basedOn w:val="Normal"/>
    <w:next w:val="Normal"/>
    <w:qFormat/>
    <w:rsid w:val="00EB6AE8"/>
    <w:pPr>
      <w:spacing w:after="480" w:line="240" w:lineRule="auto"/>
      <w:jc w:val="center"/>
    </w:pPr>
    <w:rPr>
      <w:rFonts w:ascii="Times New Roman" w:hAnsi="Times New Roman"/>
      <w:b/>
      <w:color w:val="000000" w:themeColor="text1"/>
      <w:sz w:val="24"/>
      <w:lang w:val="en-GB"/>
    </w:rPr>
  </w:style>
  <w:style w:type="paragraph" w:customStyle="1" w:styleId="single">
    <w:name w:val="single"/>
    <w:basedOn w:val="Normal"/>
    <w:next w:val="Normal"/>
    <w:qFormat/>
    <w:rsid w:val="00EB6AE8"/>
    <w:pPr>
      <w:spacing w:after="480" w:line="240" w:lineRule="auto"/>
      <w:jc w:val="both"/>
    </w:pPr>
    <w:rPr>
      <w:rFonts w:ascii="Times New Roman" w:hAnsi="Times New Roman" w:cs="Times New Roman"/>
      <w:color w:val="000000" w:themeColor="text1"/>
      <w:sz w:val="24"/>
      <w:szCs w:val="24"/>
    </w:rPr>
  </w:style>
  <w:style w:type="paragraph" w:customStyle="1" w:styleId="j">
    <w:name w:val="j"/>
    <w:basedOn w:val="Normal"/>
    <w:next w:val="Normal"/>
    <w:qFormat/>
    <w:rsid w:val="00EB6AE8"/>
    <w:pPr>
      <w:spacing w:after="0" w:line="240" w:lineRule="auto"/>
      <w:jc w:val="both"/>
    </w:pPr>
    <w:rPr>
      <w:rFonts w:ascii="Times New Roman" w:hAnsi="Times New Roman"/>
      <w:color w:val="000000" w:themeColor="text1"/>
      <w:sz w:val="24"/>
    </w:rPr>
  </w:style>
  <w:style w:type="paragraph" w:styleId="TableofFigures">
    <w:name w:val="table of figures"/>
    <w:basedOn w:val="Normal"/>
    <w:next w:val="Normal"/>
    <w:autoRedefine/>
    <w:uiPriority w:val="99"/>
    <w:unhideWhenUsed/>
    <w:rsid w:val="00EB6AE8"/>
    <w:pPr>
      <w:spacing w:after="240" w:line="240" w:lineRule="auto"/>
      <w:ind w:left="720" w:hanging="720"/>
    </w:pPr>
    <w:rPr>
      <w:rFonts w:ascii="Times New Roman" w:hAnsi="Times New Roman"/>
      <w:color w:val="000000" w:themeColor="text1"/>
      <w:sz w:val="24"/>
    </w:rPr>
  </w:style>
  <w:style w:type="character" w:customStyle="1" w:styleId="UnresolvedMention1">
    <w:name w:val="Unresolved Mention1"/>
    <w:basedOn w:val="DefaultParagraphFont"/>
    <w:uiPriority w:val="99"/>
    <w:semiHidden/>
    <w:unhideWhenUsed/>
    <w:rsid w:val="005E3529"/>
    <w:rPr>
      <w:color w:val="605E5C"/>
      <w:shd w:val="clear" w:color="auto" w:fill="E1DFDD"/>
    </w:rPr>
  </w:style>
  <w:style w:type="paragraph" w:styleId="NormalWeb">
    <w:name w:val="Normal (Web)"/>
    <w:basedOn w:val="Normal"/>
    <w:uiPriority w:val="99"/>
    <w:semiHidden/>
    <w:unhideWhenUsed/>
    <w:rsid w:val="00575C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61645">
      <w:bodyDiv w:val="1"/>
      <w:marLeft w:val="0"/>
      <w:marRight w:val="0"/>
      <w:marTop w:val="0"/>
      <w:marBottom w:val="0"/>
      <w:divBdr>
        <w:top w:val="none" w:sz="0" w:space="0" w:color="auto"/>
        <w:left w:val="none" w:sz="0" w:space="0" w:color="auto"/>
        <w:bottom w:val="none" w:sz="0" w:space="0" w:color="auto"/>
        <w:right w:val="none" w:sz="0" w:space="0" w:color="auto"/>
      </w:divBdr>
    </w:div>
    <w:div w:id="532110375">
      <w:bodyDiv w:val="1"/>
      <w:marLeft w:val="0"/>
      <w:marRight w:val="0"/>
      <w:marTop w:val="0"/>
      <w:marBottom w:val="0"/>
      <w:divBdr>
        <w:top w:val="none" w:sz="0" w:space="0" w:color="auto"/>
        <w:left w:val="none" w:sz="0" w:space="0" w:color="auto"/>
        <w:bottom w:val="none" w:sz="0" w:space="0" w:color="auto"/>
        <w:right w:val="none" w:sz="0" w:space="0" w:color="auto"/>
      </w:divBdr>
    </w:div>
    <w:div w:id="686832993">
      <w:bodyDiv w:val="1"/>
      <w:marLeft w:val="0"/>
      <w:marRight w:val="0"/>
      <w:marTop w:val="0"/>
      <w:marBottom w:val="0"/>
      <w:divBdr>
        <w:top w:val="none" w:sz="0" w:space="0" w:color="auto"/>
        <w:left w:val="none" w:sz="0" w:space="0" w:color="auto"/>
        <w:bottom w:val="none" w:sz="0" w:space="0" w:color="auto"/>
        <w:right w:val="none" w:sz="0" w:space="0" w:color="auto"/>
      </w:divBdr>
    </w:div>
    <w:div w:id="840002029">
      <w:bodyDiv w:val="1"/>
      <w:marLeft w:val="0"/>
      <w:marRight w:val="0"/>
      <w:marTop w:val="0"/>
      <w:marBottom w:val="0"/>
      <w:divBdr>
        <w:top w:val="none" w:sz="0" w:space="0" w:color="auto"/>
        <w:left w:val="none" w:sz="0" w:space="0" w:color="auto"/>
        <w:bottom w:val="none" w:sz="0" w:space="0" w:color="auto"/>
        <w:right w:val="none" w:sz="0" w:space="0" w:color="auto"/>
      </w:divBdr>
    </w:div>
    <w:div w:id="1277442223">
      <w:bodyDiv w:val="1"/>
      <w:marLeft w:val="0"/>
      <w:marRight w:val="0"/>
      <w:marTop w:val="0"/>
      <w:marBottom w:val="0"/>
      <w:divBdr>
        <w:top w:val="none" w:sz="0" w:space="0" w:color="auto"/>
        <w:left w:val="none" w:sz="0" w:space="0" w:color="auto"/>
        <w:bottom w:val="none" w:sz="0" w:space="0" w:color="auto"/>
        <w:right w:val="none" w:sz="0" w:space="0" w:color="auto"/>
      </w:divBdr>
    </w:div>
    <w:div w:id="172629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illerica,_Massachusetts"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ubchem.ncbi.nlm.nih.go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en.wikipedia.org/wiki/Billerica,_Massachusett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nmrdb.org/"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E1DA0-6CB7-4315-9DE7-478387720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26</Pages>
  <Words>23146</Words>
  <Characters>131938</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CPU 1117</cp:lastModifiedBy>
  <cp:revision>92</cp:revision>
  <dcterms:created xsi:type="dcterms:W3CDTF">2026-05-05T14:34:00Z</dcterms:created>
  <dcterms:modified xsi:type="dcterms:W3CDTF">2026-05-25T07:53:00Z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http://www.zotero.org/styles/apa</vt:lpwstr>
  </property>
  <property fmtid="{D5CDD505-2E9C-101B-9397-08002B2CF9AE}" pid="5" name="Mendeley Recent Style Name 1_1">
    <vt:lpwstr>APA Style 7th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APSA Style Manual revised 2018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ASA Style Guide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c9d6abf5-87c6-3ce1-8f5d-52f85d496c71</vt:lpwstr>
  </property>
  <property fmtid="{D5CDD505-2E9C-101B-9397-08002B2CF9AE}" pid="24" name="Mendeley Citation Style_1">
    <vt:lpwstr>http://www.zotero.org/styles/apa</vt:lpwstr>
  </property>
</Properties>
</file>