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ECA55" w14:textId="77777777" w:rsidR="006C48B7" w:rsidRDefault="006C48B7" w:rsidP="00E47F58">
      <w:pPr>
        <w:pStyle w:val="Heading1"/>
      </w:pPr>
      <w:bookmarkStart w:id="0" w:name="_Toc50652434"/>
      <w:bookmarkStart w:id="1" w:name="_Toc49955743"/>
      <w:r w:rsidRPr="006C48B7">
        <w:t xml:space="preserve">Original Research Article </w:t>
      </w:r>
    </w:p>
    <w:bookmarkEnd w:id="0"/>
    <w:bookmarkEnd w:id="1"/>
    <w:p w14:paraId="071CEC56" w14:textId="6A35C612" w:rsidR="00755B4F" w:rsidRDefault="002A2C62" w:rsidP="002A2C62">
      <w:pPr>
        <w:ind w:firstLine="720"/>
        <w:jc w:val="right"/>
        <w:rPr>
          <w:rFonts w:ascii="Times New Roman" w:hAnsi="Times New Roman" w:cs="Times New Roman"/>
          <w:b/>
          <w:sz w:val="20"/>
          <w:szCs w:val="20"/>
          <w:lang w:val="en-GB"/>
        </w:rPr>
      </w:pPr>
      <w:r w:rsidRPr="002A2C62">
        <w:rPr>
          <w:rFonts w:ascii="Arial" w:eastAsia="Times New Roman" w:hAnsi="Arial" w:cs="Arial"/>
          <w:b/>
          <w:iCs/>
          <w:color w:val="000000" w:themeColor="text1"/>
          <w:sz w:val="36"/>
          <w:szCs w:val="36"/>
          <w:highlight w:val="yellow"/>
        </w:rPr>
        <w:t xml:space="preserve">Dietary Supplementation with </w:t>
      </w:r>
      <w:r w:rsidRPr="002A2C62">
        <w:rPr>
          <w:rFonts w:ascii="Arial" w:eastAsia="Times New Roman" w:hAnsi="Arial" w:cs="Arial"/>
          <w:b/>
          <w:i/>
          <w:iCs/>
          <w:color w:val="000000" w:themeColor="text1"/>
          <w:sz w:val="36"/>
          <w:szCs w:val="36"/>
          <w:highlight w:val="yellow"/>
        </w:rPr>
        <w:t>Chlorella vulgaris</w:t>
      </w:r>
      <w:r w:rsidRPr="002A2C62">
        <w:rPr>
          <w:rFonts w:ascii="Arial" w:eastAsia="Times New Roman" w:hAnsi="Arial" w:cs="Arial"/>
          <w:b/>
          <w:iCs/>
          <w:color w:val="000000" w:themeColor="text1"/>
          <w:sz w:val="36"/>
          <w:szCs w:val="36"/>
          <w:highlight w:val="yellow"/>
        </w:rPr>
        <w:t xml:space="preserve"> Confers Protection against </w:t>
      </w:r>
      <w:r w:rsidRPr="002A2C62">
        <w:rPr>
          <w:rFonts w:ascii="Arial" w:eastAsia="Times New Roman" w:hAnsi="Arial" w:cs="Arial"/>
          <w:b/>
          <w:i/>
          <w:iCs/>
          <w:color w:val="000000" w:themeColor="text1"/>
          <w:sz w:val="36"/>
          <w:szCs w:val="36"/>
          <w:highlight w:val="yellow"/>
        </w:rPr>
        <w:t>Streptococcus agalactiae</w:t>
      </w:r>
      <w:r w:rsidRPr="002A2C62">
        <w:rPr>
          <w:rFonts w:ascii="Arial" w:eastAsia="Times New Roman" w:hAnsi="Arial" w:cs="Arial"/>
          <w:b/>
          <w:iCs/>
          <w:color w:val="000000" w:themeColor="text1"/>
          <w:sz w:val="36"/>
          <w:szCs w:val="36"/>
          <w:highlight w:val="yellow"/>
        </w:rPr>
        <w:t xml:space="preserve"> in Nile Tilapia: An NMR-Based Metabolomics Approach</w:t>
      </w:r>
    </w:p>
    <w:p w14:paraId="274A3D20" w14:textId="77777777" w:rsidR="00250BE8" w:rsidRPr="00755B4F" w:rsidRDefault="00250BE8" w:rsidP="00755B4F">
      <w:pPr>
        <w:ind w:firstLine="720"/>
        <w:jc w:val="both"/>
        <w:rPr>
          <w:rFonts w:ascii="Times New Roman" w:hAnsi="Times New Roman" w:cs="Times New Roman"/>
          <w:b/>
          <w:sz w:val="20"/>
          <w:szCs w:val="20"/>
          <w:lang w:val="en-GB"/>
        </w:rPr>
      </w:pPr>
    </w:p>
    <w:p w14:paraId="7BA34694" w14:textId="77777777" w:rsidR="00AC2D0A" w:rsidRPr="00E47F58" w:rsidRDefault="00AC2D0A" w:rsidP="00E47F58">
      <w:pPr>
        <w:pStyle w:val="Heading3"/>
      </w:pPr>
      <w:r w:rsidRPr="00E47F58">
        <w:t>ABSTRACT</w:t>
      </w:r>
    </w:p>
    <w:p w14:paraId="41D78377"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Background:</w:t>
      </w:r>
      <w:r w:rsidRPr="00E47F58">
        <w:rPr>
          <w:rFonts w:ascii="Arial" w:hAnsi="Arial" w:cs="Arial"/>
          <w:sz w:val="20"/>
          <w:szCs w:val="20"/>
        </w:rPr>
        <w:t xml:space="preserve"> Disease outbreaks, particularly those caused by </w:t>
      </w:r>
      <w:r w:rsidRPr="00E47F58">
        <w:rPr>
          <w:rFonts w:ascii="Arial" w:hAnsi="Arial" w:cs="Arial"/>
          <w:i/>
          <w:iCs/>
          <w:sz w:val="20"/>
          <w:szCs w:val="20"/>
        </w:rPr>
        <w:t>Streptococcus agalactiae</w:t>
      </w:r>
      <w:r w:rsidRPr="00E47F58">
        <w:rPr>
          <w:rFonts w:ascii="Arial" w:hAnsi="Arial" w:cs="Arial"/>
          <w:sz w:val="20"/>
          <w:szCs w:val="20"/>
        </w:rPr>
        <w:t>, represent a significant challenge in Nile tilapia (</w:t>
      </w:r>
      <w:r w:rsidRPr="00E47F58">
        <w:rPr>
          <w:rFonts w:ascii="Arial" w:hAnsi="Arial" w:cs="Arial"/>
          <w:i/>
          <w:iCs/>
          <w:sz w:val="20"/>
          <w:szCs w:val="20"/>
        </w:rPr>
        <w:t xml:space="preserve">Oreochromis </w:t>
      </w:r>
      <w:proofErr w:type="spellStart"/>
      <w:r w:rsidRPr="00E47F58">
        <w:rPr>
          <w:rFonts w:ascii="Arial" w:hAnsi="Arial" w:cs="Arial"/>
          <w:i/>
          <w:iCs/>
          <w:sz w:val="20"/>
          <w:szCs w:val="20"/>
        </w:rPr>
        <w:t>niloticus</w:t>
      </w:r>
      <w:proofErr w:type="spellEnd"/>
      <w:r w:rsidRPr="00E47F58">
        <w:rPr>
          <w:rFonts w:ascii="Arial" w:hAnsi="Arial" w:cs="Arial"/>
          <w:sz w:val="20"/>
          <w:szCs w:val="20"/>
        </w:rPr>
        <w:t xml:space="preserve">) aquaculture. While </w:t>
      </w:r>
      <w:r w:rsidRPr="00E47F58">
        <w:rPr>
          <w:rFonts w:ascii="Arial" w:hAnsi="Arial" w:cs="Arial"/>
          <w:i/>
          <w:iCs/>
          <w:sz w:val="20"/>
          <w:szCs w:val="20"/>
        </w:rPr>
        <w:t>Chlorella vulgaris</w:t>
      </w:r>
      <w:r w:rsidRPr="00E47F58">
        <w:rPr>
          <w:rFonts w:ascii="Arial" w:hAnsi="Arial" w:cs="Arial"/>
          <w:sz w:val="20"/>
          <w:szCs w:val="20"/>
        </w:rPr>
        <w:t xml:space="preserve"> is recognized as a promising immunostimulant due to its rich nutrient profile, the molecular mechanisms underlying its protective effects during a live bacterial challenge require further elucidation. </w:t>
      </w:r>
    </w:p>
    <w:p w14:paraId="03DB550F"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Objective:</w:t>
      </w:r>
      <w:r w:rsidRPr="00E47F58">
        <w:rPr>
          <w:rFonts w:ascii="Arial" w:hAnsi="Arial" w:cs="Arial"/>
          <w:sz w:val="20"/>
          <w:szCs w:val="20"/>
        </w:rPr>
        <w:t xml:space="preserve"> This study aimed to evaluate the efficacy of a prophylactic diet incorporated with </w:t>
      </w:r>
      <w:r w:rsidRPr="00E47F58">
        <w:rPr>
          <w:rFonts w:ascii="Arial" w:hAnsi="Arial" w:cs="Arial"/>
          <w:i/>
          <w:iCs/>
          <w:sz w:val="20"/>
          <w:szCs w:val="20"/>
        </w:rPr>
        <w:t>C. vulgaris</w:t>
      </w:r>
      <w:r w:rsidRPr="00E47F58">
        <w:rPr>
          <w:rFonts w:ascii="Arial" w:hAnsi="Arial" w:cs="Arial"/>
          <w:sz w:val="20"/>
          <w:szCs w:val="20"/>
        </w:rPr>
        <w:t xml:space="preserve"> in enhancing the survival of Nile tilapia challenged with </w:t>
      </w:r>
      <w:r w:rsidRPr="00E47F58">
        <w:rPr>
          <w:rFonts w:ascii="Arial" w:hAnsi="Arial" w:cs="Arial"/>
          <w:i/>
          <w:iCs/>
          <w:sz w:val="20"/>
          <w:szCs w:val="20"/>
        </w:rPr>
        <w:t>Streptococcus agalactiae</w:t>
      </w:r>
      <w:r w:rsidRPr="00E47F58">
        <w:rPr>
          <w:rFonts w:ascii="Arial" w:hAnsi="Arial" w:cs="Arial"/>
          <w:sz w:val="20"/>
          <w:szCs w:val="20"/>
        </w:rPr>
        <w:t xml:space="preserve"> and to characterize the associated metabolic signatures using an NMR-based metabolomics approach. </w:t>
      </w:r>
    </w:p>
    <w:p w14:paraId="105AD859" w14:textId="6568C0BF" w:rsidR="00AC2D0A" w:rsidRPr="00E47F58" w:rsidRDefault="00AC2D0A" w:rsidP="00CA3B53">
      <w:pPr>
        <w:pStyle w:val="single"/>
        <w:rPr>
          <w:rFonts w:ascii="Arial" w:hAnsi="Arial" w:cs="Arial"/>
          <w:sz w:val="20"/>
          <w:szCs w:val="20"/>
        </w:rPr>
      </w:pPr>
      <w:r w:rsidRPr="00E47F58">
        <w:rPr>
          <w:rFonts w:ascii="Arial" w:hAnsi="Arial" w:cs="Arial"/>
          <w:b/>
          <w:bCs/>
          <w:sz w:val="20"/>
          <w:szCs w:val="20"/>
        </w:rPr>
        <w:t>Methodology:</w:t>
      </w:r>
      <w:r w:rsidRPr="00E47F58">
        <w:rPr>
          <w:rFonts w:ascii="Arial" w:hAnsi="Arial" w:cs="Arial"/>
          <w:sz w:val="20"/>
          <w:szCs w:val="20"/>
        </w:rPr>
        <w:t xml:space="preserve"> Juvenile Nile tilapia were fed a commercial diet supplemented with 125 mg/kg body weight of </w:t>
      </w:r>
      <w:r w:rsidRPr="00E47F58">
        <w:rPr>
          <w:rFonts w:ascii="Arial" w:hAnsi="Arial" w:cs="Arial"/>
          <w:i/>
          <w:iCs/>
          <w:sz w:val="20"/>
          <w:szCs w:val="20"/>
        </w:rPr>
        <w:t>C. vulgaris</w:t>
      </w:r>
      <w:r w:rsidRPr="00E47F58">
        <w:rPr>
          <w:rFonts w:ascii="Arial" w:hAnsi="Arial" w:cs="Arial"/>
          <w:sz w:val="20"/>
          <w:szCs w:val="20"/>
        </w:rPr>
        <w:t xml:space="preserve"> biomass for 21 days. </w:t>
      </w:r>
      <w:r w:rsidR="00CA3B53">
        <w:rPr>
          <w:rFonts w:ascii="Arial" w:hAnsi="Arial" w:cs="Arial"/>
          <w:sz w:val="20"/>
          <w:szCs w:val="20"/>
          <w:highlight w:val="yellow"/>
        </w:rPr>
        <w:t>E</w:t>
      </w:r>
      <w:r w:rsidR="00CA3B53" w:rsidRPr="008B5925">
        <w:rPr>
          <w:rFonts w:ascii="Arial" w:hAnsi="Arial" w:cs="Arial"/>
          <w:sz w:val="20"/>
          <w:szCs w:val="20"/>
          <w:highlight w:val="yellow"/>
        </w:rPr>
        <w:t xml:space="preserve">ach group </w:t>
      </w:r>
      <w:r w:rsidR="00CA3B53">
        <w:rPr>
          <w:rFonts w:ascii="Arial" w:hAnsi="Arial" w:cs="Arial"/>
          <w:sz w:val="20"/>
          <w:szCs w:val="20"/>
          <w:highlight w:val="yellow"/>
        </w:rPr>
        <w:t xml:space="preserve">of fish receiving treatment and the control group </w:t>
      </w:r>
      <w:r w:rsidR="00CA3B53" w:rsidRPr="008B5925">
        <w:rPr>
          <w:rFonts w:ascii="Arial" w:hAnsi="Arial" w:cs="Arial"/>
          <w:sz w:val="20"/>
          <w:szCs w:val="20"/>
          <w:highlight w:val="yellow"/>
        </w:rPr>
        <w:t>consist of six (6) fish and replicated three (3)</w:t>
      </w:r>
      <w:r w:rsidR="00CA3B53">
        <w:rPr>
          <w:rFonts w:ascii="Arial" w:hAnsi="Arial" w:cs="Arial"/>
          <w:sz w:val="20"/>
          <w:szCs w:val="20"/>
          <w:highlight w:val="yellow"/>
        </w:rPr>
        <w:t xml:space="preserve"> times </w:t>
      </w:r>
      <w:r w:rsidR="00CA3B53" w:rsidRPr="00322815">
        <w:rPr>
          <w:rFonts w:ascii="Arial" w:hAnsi="Arial" w:cs="Arial"/>
          <w:sz w:val="20"/>
          <w:szCs w:val="20"/>
          <w:highlight w:val="yellow"/>
        </w:rPr>
        <w:t xml:space="preserve">and </w:t>
      </w:r>
      <w:r w:rsidR="00BB551C" w:rsidRPr="00322815">
        <w:rPr>
          <w:rFonts w:ascii="Arial" w:hAnsi="Arial" w:cs="Arial"/>
          <w:sz w:val="20"/>
          <w:szCs w:val="20"/>
          <w:highlight w:val="yellow"/>
        </w:rPr>
        <w:t>o</w:t>
      </w:r>
      <w:r w:rsidR="00D16558">
        <w:rPr>
          <w:rFonts w:ascii="Arial" w:hAnsi="Arial" w:cs="Arial"/>
          <w:sz w:val="20"/>
          <w:szCs w:val="20"/>
          <w:highlight w:val="yellow"/>
        </w:rPr>
        <w:t>ne-</w:t>
      </w:r>
      <w:r w:rsidR="00BB551C" w:rsidRPr="00322815">
        <w:rPr>
          <w:rFonts w:ascii="Arial" w:hAnsi="Arial" w:cs="Arial"/>
          <w:sz w:val="20"/>
          <w:szCs w:val="20"/>
          <w:highlight w:val="yellow"/>
        </w:rPr>
        <w:t>way ANOVA was used</w:t>
      </w:r>
      <w:r w:rsidR="00322815" w:rsidRPr="00322815">
        <w:rPr>
          <w:rFonts w:ascii="Arial" w:hAnsi="Arial" w:cs="Arial"/>
          <w:sz w:val="20"/>
          <w:szCs w:val="20"/>
          <w:highlight w:val="yellow"/>
        </w:rPr>
        <w:t xml:space="preserve"> for statistical analysis</w:t>
      </w:r>
      <w:r w:rsidR="00CA3B53">
        <w:rPr>
          <w:rFonts w:ascii="Arial" w:hAnsi="Arial" w:cs="Arial"/>
          <w:sz w:val="20"/>
          <w:szCs w:val="20"/>
        </w:rPr>
        <w:t xml:space="preserve">. </w:t>
      </w:r>
      <w:r w:rsidRPr="00E47F58">
        <w:rPr>
          <w:rFonts w:ascii="Arial" w:hAnsi="Arial" w:cs="Arial"/>
          <w:sz w:val="20"/>
          <w:szCs w:val="20"/>
        </w:rPr>
        <w:t xml:space="preserve">Following the feeding period, the fish were subjected to a bacterial challenge via the immersion method using a 1x10⁸ CFU/mL concentration of </w:t>
      </w:r>
      <w:r w:rsidRPr="00E47F58">
        <w:rPr>
          <w:rFonts w:ascii="Arial" w:hAnsi="Arial" w:cs="Arial"/>
          <w:i/>
          <w:iCs/>
          <w:sz w:val="20"/>
          <w:szCs w:val="20"/>
        </w:rPr>
        <w:t>S. agalactiae</w:t>
      </w:r>
      <w:r w:rsidRPr="00E47F58">
        <w:rPr>
          <w:rFonts w:ascii="Arial" w:hAnsi="Arial" w:cs="Arial"/>
          <w:sz w:val="20"/>
          <w:szCs w:val="20"/>
        </w:rPr>
        <w:t xml:space="preserve"> (exceeding the calculated LC</w:t>
      </w:r>
      <w:r w:rsidRPr="00E47F58">
        <w:rPr>
          <w:rFonts w:ascii="Cambria Math" w:hAnsi="Cambria Math" w:cs="Cambria Math"/>
          <w:sz w:val="20"/>
          <w:szCs w:val="20"/>
        </w:rPr>
        <w:t>₅₀</w:t>
      </w:r>
      <w:r w:rsidRPr="00E47F58">
        <w:rPr>
          <w:rFonts w:ascii="Arial" w:hAnsi="Arial" w:cs="Arial"/>
          <w:sz w:val="20"/>
          <w:szCs w:val="20"/>
        </w:rPr>
        <w:t xml:space="preserve"> of 9x10⁷ CFU/mL). Spleen samples were collected on day 29 for ¹H NMR spectroscopy and multivariate data analysis (MVDA), including PCA and OPLS-DA, to identify differentiating biomarkers between control and treated groups. </w:t>
      </w:r>
    </w:p>
    <w:p w14:paraId="082A9525"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Results:</w:t>
      </w:r>
      <w:r w:rsidRPr="00E47F58">
        <w:rPr>
          <w:rFonts w:ascii="Arial" w:hAnsi="Arial" w:cs="Arial"/>
          <w:sz w:val="20"/>
          <w:szCs w:val="20"/>
        </w:rPr>
        <w:t xml:space="preserve"> The </w:t>
      </w:r>
      <w:r w:rsidRPr="00E47F58">
        <w:rPr>
          <w:rFonts w:ascii="Arial" w:hAnsi="Arial" w:cs="Arial"/>
          <w:i/>
          <w:iCs/>
          <w:sz w:val="20"/>
          <w:szCs w:val="20"/>
        </w:rPr>
        <w:t>C. vulgaris</w:t>
      </w:r>
      <w:r w:rsidRPr="00E47F58">
        <w:rPr>
          <w:rFonts w:ascii="Arial" w:hAnsi="Arial" w:cs="Arial"/>
          <w:sz w:val="20"/>
          <w:szCs w:val="20"/>
        </w:rPr>
        <w:t xml:space="preserve"> treatment significantly improved survival rates, with the treated challenged group (CVC) exhibiting a 90% survival rate compared to only 13.3% in the control challenged group (CFC). Metabolomics analysis identified 21 metabolites in the spleen, with significant up-regulation of key biomarkers in </w:t>
      </w:r>
      <w:r w:rsidRPr="00E47F58">
        <w:rPr>
          <w:rFonts w:ascii="Arial" w:hAnsi="Arial" w:cs="Arial"/>
          <w:i/>
          <w:iCs/>
          <w:sz w:val="20"/>
          <w:szCs w:val="20"/>
        </w:rPr>
        <w:t>C. vulgaris</w:t>
      </w:r>
      <w:r w:rsidRPr="00E47F58">
        <w:rPr>
          <w:rFonts w:ascii="Arial" w:hAnsi="Arial" w:cs="Arial"/>
          <w:sz w:val="20"/>
          <w:szCs w:val="20"/>
        </w:rPr>
        <w:t xml:space="preserve">-fed fish, including palmitic acid (11.55-fold), riboflavin (6.51-fold), arginine (2.62-fold), and alanine (2.12-fold). Conversely, </w:t>
      </w:r>
      <w:r w:rsidRPr="00E47F58">
        <w:rPr>
          <w:rFonts w:ascii="Arial" w:hAnsi="Arial" w:cs="Arial"/>
          <w:i/>
          <w:iCs/>
          <w:sz w:val="20"/>
          <w:szCs w:val="20"/>
        </w:rPr>
        <w:t>S. agalactiae</w:t>
      </w:r>
      <w:r w:rsidRPr="00E47F58">
        <w:rPr>
          <w:rFonts w:ascii="Arial" w:hAnsi="Arial" w:cs="Arial"/>
          <w:sz w:val="20"/>
          <w:szCs w:val="20"/>
        </w:rPr>
        <w:t xml:space="preserve"> challenge in control fish led to a severe down-regulation of essential metabolites, most notably linoleic acid (33.28-fold reduction) and stearic acid (18.46-fold reduction). This drastic metabolic depletion was effectively mitigated in fish previously fed with </w:t>
      </w:r>
      <w:r w:rsidRPr="00E47F58">
        <w:rPr>
          <w:rFonts w:ascii="Arial" w:hAnsi="Arial" w:cs="Arial"/>
          <w:i/>
          <w:iCs/>
          <w:sz w:val="20"/>
          <w:szCs w:val="20"/>
        </w:rPr>
        <w:t>C. vulgaris</w:t>
      </w:r>
      <w:r w:rsidRPr="00E47F58">
        <w:rPr>
          <w:rFonts w:ascii="Arial" w:hAnsi="Arial" w:cs="Arial"/>
          <w:sz w:val="20"/>
          <w:szCs w:val="20"/>
        </w:rPr>
        <w:t xml:space="preserve">, where metabolite levels remained stable despite the bacterial challenge. </w:t>
      </w:r>
    </w:p>
    <w:p w14:paraId="64A85281"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Conclusion:</w:t>
      </w:r>
      <w:r w:rsidRPr="00E47F58">
        <w:rPr>
          <w:rFonts w:ascii="Arial" w:hAnsi="Arial" w:cs="Arial"/>
          <w:sz w:val="20"/>
          <w:szCs w:val="20"/>
        </w:rPr>
        <w:t xml:space="preserve"> Prophylactic supplementation with </w:t>
      </w:r>
      <w:r w:rsidRPr="00E47F58">
        <w:rPr>
          <w:rFonts w:ascii="Arial" w:hAnsi="Arial" w:cs="Arial"/>
          <w:i/>
          <w:iCs/>
          <w:sz w:val="20"/>
          <w:szCs w:val="20"/>
        </w:rPr>
        <w:t>C. vulgaris</w:t>
      </w:r>
      <w:r w:rsidRPr="00E47F58">
        <w:rPr>
          <w:rFonts w:ascii="Arial" w:hAnsi="Arial" w:cs="Arial"/>
          <w:sz w:val="20"/>
          <w:szCs w:val="20"/>
        </w:rPr>
        <w:t xml:space="preserve"> at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effectively primes the innate immune system of Nile tilapia, providing robust protection against </w:t>
      </w:r>
      <w:r w:rsidRPr="00E47F58">
        <w:rPr>
          <w:rFonts w:ascii="Arial" w:hAnsi="Arial" w:cs="Arial"/>
          <w:i/>
          <w:iCs/>
          <w:sz w:val="20"/>
          <w:szCs w:val="20"/>
        </w:rPr>
        <w:t>S. agalactiae</w:t>
      </w:r>
      <w:r w:rsidRPr="00E47F58">
        <w:rPr>
          <w:rFonts w:ascii="Arial" w:hAnsi="Arial" w:cs="Arial"/>
          <w:sz w:val="20"/>
          <w:szCs w:val="20"/>
        </w:rPr>
        <w:t xml:space="preserve"> infection. The sustained levels of vital amino acids and fatty acids in treated fish suggest that </w:t>
      </w:r>
      <w:r w:rsidRPr="00E47F58">
        <w:rPr>
          <w:rFonts w:ascii="Arial" w:hAnsi="Arial" w:cs="Arial"/>
          <w:i/>
          <w:iCs/>
          <w:sz w:val="20"/>
          <w:szCs w:val="20"/>
        </w:rPr>
        <w:t>C. vulgaris</w:t>
      </w:r>
      <w:r w:rsidRPr="00E47F58">
        <w:rPr>
          <w:rFonts w:ascii="Arial" w:hAnsi="Arial" w:cs="Arial"/>
          <w:sz w:val="20"/>
          <w:szCs w:val="20"/>
        </w:rPr>
        <w:t xml:space="preserve"> maintains metabolic homeostasis and immune cell viability, offering a sustainable alternative to traditional disease management in aquaculture. </w:t>
      </w:r>
    </w:p>
    <w:p w14:paraId="28720332" w14:textId="5DA3379C" w:rsidR="00AC2D0A" w:rsidRPr="00E47F58" w:rsidRDefault="00AC2D0A" w:rsidP="00AC2D0A">
      <w:pPr>
        <w:jc w:val="both"/>
        <w:rPr>
          <w:rFonts w:ascii="Arial" w:hAnsi="Arial" w:cs="Arial"/>
          <w:sz w:val="20"/>
          <w:szCs w:val="20"/>
        </w:rPr>
      </w:pPr>
      <w:r w:rsidRPr="00E47F58">
        <w:rPr>
          <w:rFonts w:ascii="Arial" w:hAnsi="Arial" w:cs="Arial"/>
          <w:b/>
          <w:bCs/>
          <w:sz w:val="20"/>
          <w:szCs w:val="20"/>
        </w:rPr>
        <w:t xml:space="preserve">Keywords: </w:t>
      </w:r>
      <w:r w:rsidRPr="00E47F58">
        <w:rPr>
          <w:rFonts w:ascii="Arial" w:hAnsi="Arial" w:cs="Arial"/>
          <w:i/>
          <w:iCs/>
          <w:sz w:val="20"/>
          <w:szCs w:val="20"/>
        </w:rPr>
        <w:t>Chlorella vulgaris</w:t>
      </w:r>
      <w:r w:rsidRPr="00E47F58">
        <w:rPr>
          <w:rFonts w:ascii="Arial" w:hAnsi="Arial" w:cs="Arial"/>
          <w:sz w:val="20"/>
          <w:szCs w:val="20"/>
        </w:rPr>
        <w:t xml:space="preserve">; </w:t>
      </w:r>
      <w:r w:rsidRPr="00E47F58">
        <w:rPr>
          <w:rFonts w:ascii="Arial" w:hAnsi="Arial" w:cs="Arial"/>
          <w:i/>
          <w:iCs/>
          <w:sz w:val="20"/>
          <w:szCs w:val="20"/>
        </w:rPr>
        <w:t>Streptococcus agalactiae</w:t>
      </w:r>
      <w:r w:rsidRPr="00E47F58">
        <w:rPr>
          <w:rFonts w:ascii="Arial" w:hAnsi="Arial" w:cs="Arial"/>
          <w:sz w:val="20"/>
          <w:szCs w:val="20"/>
        </w:rPr>
        <w:t>; Nile tilapia; NMR-based metabolomics; Prophylactic treatment</w:t>
      </w:r>
      <w:r w:rsidR="0025262C">
        <w:rPr>
          <w:rFonts w:ascii="Arial" w:hAnsi="Arial" w:cs="Arial"/>
          <w:sz w:val="20"/>
          <w:szCs w:val="20"/>
        </w:rPr>
        <w:t xml:space="preserve">; </w:t>
      </w:r>
      <w:r w:rsidR="0025262C" w:rsidRPr="0025262C">
        <w:rPr>
          <w:rFonts w:ascii="Arial" w:hAnsi="Arial" w:cs="Arial"/>
          <w:sz w:val="20"/>
          <w:szCs w:val="20"/>
          <w:highlight w:val="yellow"/>
        </w:rPr>
        <w:t>Innate immunity.</w:t>
      </w:r>
    </w:p>
    <w:p w14:paraId="38F150F5" w14:textId="77777777" w:rsidR="00AC2D0A" w:rsidRPr="00C4167B" w:rsidRDefault="00AC2D0A" w:rsidP="00C4167B">
      <w:pPr>
        <w:rPr>
          <w:lang w:val="en-GB"/>
        </w:rPr>
      </w:pPr>
    </w:p>
    <w:p w14:paraId="1CBB9EE6" w14:textId="77777777" w:rsidR="00EB6AE8" w:rsidRPr="00E47F58" w:rsidRDefault="00982E49" w:rsidP="002C772B">
      <w:pPr>
        <w:pStyle w:val="Heading2"/>
      </w:pPr>
      <w:bookmarkStart w:id="2" w:name="_Toc49955744"/>
      <w:bookmarkStart w:id="3" w:name="_Toc50652435"/>
      <w:r w:rsidRPr="00E47F58">
        <w:t>1.0</w:t>
      </w:r>
      <w:r w:rsidRPr="00E47F58">
        <w:tab/>
      </w:r>
      <w:r w:rsidR="00123C53" w:rsidRPr="00E47F58">
        <w:t>INTRODUCTION</w:t>
      </w:r>
      <w:bookmarkEnd w:id="2"/>
      <w:bookmarkEnd w:id="3"/>
    </w:p>
    <w:p w14:paraId="64CB9380" w14:textId="2C0DDA89" w:rsidR="005769C4" w:rsidRDefault="00245B80" w:rsidP="005769C4">
      <w:pPr>
        <w:pStyle w:val="single"/>
        <w:rPr>
          <w:rFonts w:ascii="Arial" w:hAnsi="Arial" w:cs="Arial"/>
          <w:sz w:val="20"/>
          <w:szCs w:val="20"/>
        </w:rPr>
      </w:pPr>
      <w:r w:rsidRPr="00E47F58">
        <w:rPr>
          <w:rFonts w:ascii="Arial" w:hAnsi="Arial" w:cs="Arial"/>
          <w:sz w:val="20"/>
          <w:szCs w:val="20"/>
        </w:rPr>
        <w:t xml:space="preserve">Microalgae can be considered as an innovative and promising food ingredients, rich in nutrients such as high value proteins, polyunsaturated fatty acids, carotenoids, vitamins, minerals, chlorophylls and phenolics as well as other bioactive molecules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{"citationItems":[{"id":"ITEM-1","itemData":{"DOI":"10.1016/j.algal.2017.07.017","ISSN":"22119264","abstract":"Microalgae can be regarded as an alternative and promising food ingredient due to their nutritional composition, richness in bioactive compounds, and because they are considered a sustainable protein source for the future. The aim of this work was to evaluate microalgae (Arthrospira platensis F&amp;M-C256, Chlorella vulgaris Allma, Tetraselmis suecica F&amp;M-M33 and Phaeodactylum tricornutum F&amp;M-M40) as innovative ingredients to enhance functional properties of cookies. Two biomass levels were tested and compared to control: 2% (w/w) and 6% (w/w), to provide high levels of algae-bioactives. The cookies sensory and physical properties were evaluated during eight weeks showing high color and texture stability. Cookies prepared with A. platensis and C. vulgaris presented significantly (p &lt; 0.05) higher protein content compared to the control, and by sensory analysis A. platensis cookies were preferred. Besides, A. platensis also provided a structuring effect in terms of cookies texture. All microalgae-based cookies showed significantly higher (p &lt; 0.05) total phenolic content and in vitro antioxidant capacity compared to the control. No significant difference (p &lt; 0.05) in in vitro digestibility between microalgae cookies and the control was found.","author":[{"dropping-particle":"","family":"Batista","given":"Ana Paula","non-dropping-particle":"","parse-names":false,"suffix":""},{"dropping-particle":"","family":"Niccolai","given":"Alberto","non-dropping-particle":"","parse-names":false,"suffix":""},{"dropping-particle":"","family":"Fradinho","given":"Patrícia","non-dropping-particle":"","parse-names":false,"suffix":""},{"dropping-particle":"","family":"Fragoso","given":"Solange","non-dropping-particle":"","parse-names":false,"suffix":""},{"dropping-particle":"","family":"Bursic","given":"Ivana","non-dropping-particle":"","parse-names":false,"suffix":""},{"dropping-particle":"","family":"Rodolfi","given":"Liliana","non-dropping-particle":"","parse-names":false,"suffix":""},{"dropping-particle":"","family":"Biondi","given":"Natascia","non-dropping-particle":"","parse-names":false,"suffix":""},{"dropping-particle":"","family":"Tredici","given":"Mario R.","non-dropping-particle":"","parse-names":false,"suffix":""},{"dropping-particle":"","family":"Sousa","given":"Isabel","non-dropping-particle":"","parse-names":false,"suffix":""},{"dropping-particle":"","family":"Raymundo","given":"Anabela","non-dropping-particle":"","parse-names":false,"suffix":""}],"container-title":"Algal Research","id":"ITEM-1","issue":"June","issued":{"date-parts":[["2017"]]},"page":"161-171","title":"Microalgae biomass as an alternative ingredient in cookies: Sensory, physical and chemical properties, antioxidant activity and in vitro digestibility","type":"article-journal","volume":"26"},"uris":["http://www.mendeley.com/documents/?uuid=e714bc9a-1a65-43d9-ae5f-c7ce281f64ea"]}],"mendeley":{"formattedCitation":"(Batista et al., 2017)","manualFormatting":"(Batista et al. 2017","plainTextFormattedCitation":"(Batista et al., 2017)","previouslyFormattedCitation":"(Batista et al. 2017)"},"properties":{"noteIndex":0},"schema":"https://github.com/citation-style-language/schema/raw/master/csl-citation.json"}</w:instrText>
      </w:r>
      <w:r w:rsidRPr="00E47F58">
        <w:rPr>
          <w:rFonts w:ascii="Arial" w:hAnsi="Arial" w:cs="Arial"/>
          <w:sz w:val="20"/>
          <w:szCs w:val="20"/>
        </w:rPr>
        <w:fldChar w:fldCharType="separate"/>
      </w:r>
      <w:r w:rsidR="00827A17" w:rsidRPr="00E47F58">
        <w:rPr>
          <w:rFonts w:ascii="Arial" w:hAnsi="Arial" w:cs="Arial"/>
          <w:noProof/>
          <w:sz w:val="20"/>
          <w:szCs w:val="20"/>
        </w:rPr>
        <w:t>(Batista et al. 2017</w:t>
      </w:r>
      <w:r w:rsidRPr="00E47F58">
        <w:rPr>
          <w:rFonts w:ascii="Arial" w:hAnsi="Arial" w:cs="Arial"/>
          <w:sz w:val="20"/>
          <w:szCs w:val="20"/>
        </w:rPr>
        <w:fldChar w:fldCharType="end"/>
      </w:r>
      <w:r w:rsidR="00BF3849" w:rsidRPr="00E47F58">
        <w:rPr>
          <w:rFonts w:ascii="Arial" w:hAnsi="Arial" w:cs="Arial"/>
          <w:sz w:val="20"/>
          <w:szCs w:val="20"/>
        </w:rPr>
        <w:t>;</w:t>
      </w:r>
      <w:r w:rsidR="00827A17" w:rsidRPr="00E47F58">
        <w:rPr>
          <w:rFonts w:ascii="Arial" w:hAnsi="Arial" w:cs="Arial"/>
          <w:sz w:val="20"/>
          <w:szCs w:val="20"/>
        </w:rPr>
        <w:t xml:space="preserve"> </w:t>
      </w:r>
      <w:r w:rsidR="00827A17"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{"citationItems":[{"id":"ITEM-1","itemData":{"DOI":"10.3390/MD18070367","ISSN":"16603397","PMID":"32709006","abstract":"The commercial cultivation of microalgae began in the 1960s and Chlorella was one of the first target organisms. The species has long been considered a potential source of renewable energy, an alternative for phytoremediation, and more recently, as a growth and immune stimulant. However, Chlorella vulgaris, which is one of the most studied microalga, has never been comprehensively profiled chemically. In the present study, comprehensive profiling of the Chlorella vulgaris metabolome grown under normal culture conditions was carried out, employing tandem LC-MS/MS to profile the ethanolic extract and GC-MS for fatty acid analysis. The fatty acid profile of C. vulgaris was shown to be rich in omega-6,-7,-9, and-13 fatty acids, with omega-6 being the highest, representing more than sixty percent (&gt;60%) of the total fatty acids. This is a clear indication that this species of Chlorella could serve as a good source of nutrition when incorporated in diets. The profile also showed that the main fatty acid composition was that of C16-C18 (&gt;92%), suggesting that it might be a potential candidate for biodiesel production. LC-MS/MS analysis revealed carotenoid constituents comprising violaxanthin, neoxanthin, lutein, β-carotene, vulgaxanthin I, astaxanthin, and antheraxanthin, along with other pigments such as the chlorophylls. In addition to these, amino acids, vitamins, and simple sugars were also profiled, and through mass spectrometry-based molecular networking, 48 phospholipids were putatively identified.","author":[{"dropping-particle":"","family":"Pantami","given":"Hamza Ahmed","non-dropping-particle":"","parse-names":false,"suffix":""},{"dropping-particle":"","family":"Bustamam","given":"Muhammad Safwan Ahamad","non-dropping-particle":"","parse-names":false,"suffix":""},{"dropping-particle":"","family":"Lee","given":"Soo Yee","non-dropping-particle":"","parse-names":false,"suffix":""},{"dropping-particle":"","family":"Ismail","given":"Intan Safinar","non-dropping-particle":"","parse-names":false,"suffix":""},{"dropping-particle":"","family":"Faudzi","given":"Siti Munirah Mohd","non-dropping-particle":"","parse-names":false,"suffix":""},{"dropping-particle":"","family":"Nakakuni","given":"Masatoshi","non-dropping-particle":"","parse-names":false,"suffix":""},{"dropping-particle":"","family":"Shaari","given":"Khozirah","non-dropping-particle":"","parse-names":false,"suffix":""}],"container-title":"Marine Drugs","id":"ITEM-1","issue":"7","issued":{"date-parts":[["2020"]]},"title":"Comprehensive GCMS and LC-MS/MS metabolite profiling of chlorella vulgaris","type":"article-journal","volume":"18"},"uris":["http://www.mendeley.com/documents/?uuid=de074128-4993-4080-89b8-e0b319240005"]}],"mendeley":{"formattedCitation":"(Pantami et al., 2020)","manualFormatting":"Pantami et al. 2020)","plainTextFormattedCitation":"(Pantami et al., 2020)","previouslyFormattedCitation":"(Pantami et al. 2020)"},"properties":{"noteIndex":0},"schema":"https://github.com/citation-style-language/schema/raw/master/csl-citation.json"}</w:instrText>
      </w:r>
      <w:r w:rsidR="00827A17" w:rsidRPr="00E47F58">
        <w:rPr>
          <w:rFonts w:ascii="Arial" w:hAnsi="Arial" w:cs="Arial"/>
          <w:sz w:val="20"/>
          <w:szCs w:val="20"/>
        </w:rPr>
        <w:fldChar w:fldCharType="separate"/>
      </w:r>
      <w:r w:rsidR="00827A17" w:rsidRPr="00E47F58">
        <w:rPr>
          <w:rFonts w:ascii="Arial" w:hAnsi="Arial" w:cs="Arial"/>
          <w:noProof/>
          <w:sz w:val="20"/>
          <w:szCs w:val="20"/>
        </w:rPr>
        <w:t>Pantami et al. 2020)</w:t>
      </w:r>
      <w:r w:rsidR="00827A17" w:rsidRPr="00E47F58">
        <w:rPr>
          <w:rFonts w:ascii="Arial" w:hAnsi="Arial" w:cs="Arial"/>
          <w:sz w:val="20"/>
          <w:szCs w:val="20"/>
        </w:rPr>
        <w:fldChar w:fldCharType="end"/>
      </w:r>
      <w:r w:rsidRPr="00E47F58">
        <w:rPr>
          <w:rFonts w:ascii="Arial" w:hAnsi="Arial" w:cs="Arial"/>
          <w:sz w:val="20"/>
          <w:szCs w:val="20"/>
        </w:rPr>
        <w:t xml:space="preserve">. In the previous years some researches focused on innovative and healthy food products integrated with micro algal biomass such as pasta, biscuits and vegetarian dessert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{"citationItems":[{"id":"ITEM-1","itemData":{"DOI":"10.1016/j.jfoodeng.2011.05.044","ISSN":"02608774","abstract":"Microalgae represent an alternative and innovative source of natural ingredients that can be used in the development of novel food products. Biologically active compounds (e.g. carotenoids) are naturally encapsulated within microalgal cells, being able to resist harsh technological conditions involved in food technology processes. The aim of this work was to study the effect of adding Haematococcus pluvialis and Spirulina maxima microalgal biomass on the linear viscoelastic behaviour of vegetarian food gels prepared from pea protein, j-carrageenan and starch. The gelation process was monitored in situ through dynamic oscillatory measurements, under different thermal profile conditions. Increasing temperature (70-90 °C, 5 min) resulted in more structured gels, while the effect of time (5-30 min, at 90 °C) was less pronounced. The effect of heating and cooling rates on gel setting was also studied. Haematococcus gels were highly structured and less dependent on gel setting conditions. Spirulina gels presented lower values of viscoelastic functions than the control (gel matrix without microalgae), but this was overcome when using lower heating/cooling rates. © 2011 Elsevier Ltd. All rights reserved.","author":[{"dropping-particle":"","family":"Batista","given":"Ana Paula","non-dropping-particle":"","parse-names":false,"suffix":""},{"dropping-particle":"","family":"Nunes","given":"Ma Cristiana","non-dropping-particle":"","parse-names":false,"suffix":""},{"dropping-particle":"","family":"Fradinho","given":"Patrícia","non-dropping-particle":"","parse-names":false,"suffix":""},{"dropping-particle":"","family":"Gouveia","given":"Luísa","non-dropping-particle":"","parse-names":false,"suffix":""},{"dropping-particle":"","family":"Sousa","given":"Isabel","non-dropping-particle":"","parse-names":false,"suffix":""},{"dropping-particle":"","family":"Raymundo","given":"Anabela","non-dropping-particle":"","parse-names":false,"suffix":""},{"dropping-particle":"","family":"Franco","given":"José M.","non-dropping-particle":"","parse-names":false,"suffix":""}],"container-title":"Journal of Food Engineering","id":"ITEM-1","issue":"2","issued":{"date-parts":[["2012"]]},"page":"182-189","publisher":"Elsevier Ltd","title":"Novel foods with microalgal ingredients - Effect of gel setting conditions on the linear viscoelasticity of Spirulina and Haematococcus gels","type":"article-journal","volume":"110"},"uris":["http://www.mendeley.com/documents/?uuid=38307e62-6e3c-4199-882d-a33b9138f8ab"]}],"mendeley":{"formattedCitation":"(Batista et al., 2012)","plainTextFormattedCitation":"(Batista et al., 2012)","previouslyFormattedCitation":"(Batista et al. 2012)"},"properties":{"noteIndex":0},"schema":"https://github.com/citation-style-language/schema/raw/master/csl-citation.json"}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(Batista et al., 2012)</w:t>
      </w:r>
      <w:r w:rsidRPr="00E47F58">
        <w:rPr>
          <w:rFonts w:ascii="Arial" w:hAnsi="Arial" w:cs="Arial"/>
          <w:sz w:val="20"/>
          <w:szCs w:val="20"/>
        </w:rPr>
        <w:fldChar w:fldCharType="end"/>
      </w:r>
      <w:r w:rsidRPr="00E47F58">
        <w:rPr>
          <w:rFonts w:ascii="Arial" w:hAnsi="Arial" w:cs="Arial"/>
          <w:sz w:val="20"/>
          <w:szCs w:val="20"/>
        </w:rPr>
        <w:t xml:space="preserve">. </w:t>
      </w:r>
      <w:r w:rsidR="005769C4" w:rsidRPr="00E47F58">
        <w:rPr>
          <w:rFonts w:ascii="Arial" w:hAnsi="Arial" w:cs="Arial"/>
          <w:sz w:val="20"/>
          <w:szCs w:val="20"/>
        </w:rPr>
        <w:t xml:space="preserve">High value microalgae species produce an array of different classes of compounds that contribute to improvement of immunity in living orgasms. In this regard, economic affordability and pharmacological potentials of microalgae-derived drugs, have gain prominent and current research interest worldwide especially in tropical countries due to suitability of culturing conditions. Metabolomics as a science field that characterizes endogenous and exogenous low molecular mass metabolites within various samples, is also applicable in studies involving cells, tissues, and bio fluids of an organism in response to external stimuli such as diseases, contaminants, nutritional imbalance and immune stimulants </w:t>
      </w:r>
      <w:r w:rsidR="005769C4"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{"citationItems":[{"id":"ITEM-1","itemData":{"author":[{"dropping-particle":"","family":"Lankadurai","given":"Brian P","non-dropping-particle":"","parse-names":false,"suffix":""},{"dropping-particle":"","family":"Nagato","given":"Edward G","non-dropping-particle":"","parse-names":false,"suffix":""},{"dropping-particle":"","family":"Simpson","given":"Myrna J","non-dropping-particle":"","parse-names":false,"suffix":""}],"container-title":"Environmental Review","id":"ITEM-1","issue":"21","issued":{"date-parts":[["2013"]]},"page":"180-205","title":"Environmental metabolomics : an emerging approach to study organism responses to environmental stressors","type":"article-journal","volume":"205"},"uris":["http://www.mendeley.com/documents/?uuid=b4cfbe68-cbdd-4dd4-9a2d-ac3b02453953"]}],"mendeley":{"formattedCitation":"(Lankadurai et al., 2013)","plainTextFormattedCitation":"(Lankadurai et al., 2013)","previouslyFormattedCitation":"(Lankadurai, Nagato, and Simpson 2013)"},"properties":{"noteIndex":0},"schema":"https://github.com/citation-style-language/schema/raw/master/csl-citation.json"}</w:instrText>
      </w:r>
      <w:r w:rsidR="005769C4" w:rsidRPr="00E47F58">
        <w:rPr>
          <w:rFonts w:ascii="Arial" w:hAnsi="Arial" w:cs="Arial"/>
          <w:sz w:val="20"/>
          <w:szCs w:val="20"/>
        </w:rPr>
        <w:fldChar w:fldCharType="separate"/>
      </w:r>
      <w:r w:rsidR="00E51220" w:rsidRPr="00E51220">
        <w:rPr>
          <w:rFonts w:ascii="Arial" w:hAnsi="Arial" w:cs="Arial"/>
          <w:noProof/>
          <w:sz w:val="20"/>
          <w:szCs w:val="20"/>
        </w:rPr>
        <w:t>(Lankadurai et al., 2013)</w:t>
      </w:r>
      <w:r w:rsidR="005769C4" w:rsidRPr="00E47F58">
        <w:rPr>
          <w:rFonts w:ascii="Arial" w:hAnsi="Arial" w:cs="Arial"/>
          <w:sz w:val="20"/>
          <w:szCs w:val="20"/>
        </w:rPr>
        <w:fldChar w:fldCharType="end"/>
      </w:r>
      <w:r w:rsidR="005769C4" w:rsidRPr="00E47F58">
        <w:rPr>
          <w:rFonts w:ascii="Arial" w:hAnsi="Arial" w:cs="Arial"/>
          <w:sz w:val="20"/>
          <w:szCs w:val="20"/>
        </w:rPr>
        <w:t xml:space="preserve">. Metabolomics approach can generate comprehensive data sets of the sample being analyzed. This is simply because the metabolites within a cell, tissue, organ, biological fluid or the entire organism constitute the metabolome </w:t>
      </w:r>
      <w:r w:rsidR="005769C4"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{"citationItems":[{"id":"ITEM-1","itemData":{"DOI":"10.1016/j.jpba.2005.05.012","author":[{"dropping-particle":"","family":"Webb-robertson","given":"Bobbie-jo M","non-dropping-particle":"","parse-names":false,"suffix":""},{"dropping-particle":"","family":"Lowry","given":"David F","non-dropping-particle":"","parse-names":false,"suffix":""},{"dropping-particle":"","family":"Jarman","given":"Kristin H","non-dropping-particle":"","parse-names":false,"suffix":""},{"dropping-particle":"","family":"Harbo","given":"Sam J","non-dropping-particle":"","parse-names":false,"suffix":""},{"dropping-particle":"","family":"Meng","given":"Q Ryan","non-dropping-particle":"","parse-names":false,"suffix":""},{"dropping-particle":"","family":"Fuciarelli","given":"Alfred F","non-dropping-particle":"","parse-names":false,"suffix":""},{"dropping-particle":"","family":"Pounds","given":"Joel G","non-dropping-particle":"","parse-names":false,"suffix":""},{"dropping-particle":"","family":"Lee","given":"K Monica","non-dropping-particle":"","parse-names":false,"suffix":""}],"container-title":"Journal of Pharmaceutical and Biomedical Analysis","id":"ITEM-1","issued":{"date-parts":[["2005"]]},"page":"830-836","title":"A Study of spectral integration and normalization in NMR-based metabonomic analyses","type":"article-journal","volume":"39"},"uris":["http://www.mendeley.com/documents/?uuid=2524683a-6695-45cc-acc4-7b06b75ab86b"]}],"mendeley":{"formattedCitation":"(Webb-robertson et al., 2005)","plainTextFormattedCitation":"(Webb-robertson et al., 2005)","previouslyFormattedCitation":"(Webb-robertson et al. 2005)"},"properties":{"noteIndex":0},"schema":"https://github.com/citation-style-language/schema/raw/master/csl-citation.json"}</w:instrText>
      </w:r>
      <w:r w:rsidR="005769C4" w:rsidRPr="00E47F58">
        <w:rPr>
          <w:rFonts w:ascii="Arial" w:hAnsi="Arial" w:cs="Arial"/>
          <w:sz w:val="20"/>
          <w:szCs w:val="20"/>
        </w:rPr>
        <w:fldChar w:fldCharType="separate"/>
      </w:r>
      <w:r w:rsidR="00E51220" w:rsidRPr="00E51220">
        <w:rPr>
          <w:rFonts w:ascii="Arial" w:hAnsi="Arial" w:cs="Arial"/>
          <w:noProof/>
          <w:sz w:val="20"/>
          <w:szCs w:val="20"/>
        </w:rPr>
        <w:t>(Webb-robertson et al., 2005)</w:t>
      </w:r>
      <w:r w:rsidR="005769C4" w:rsidRPr="00E47F58">
        <w:rPr>
          <w:rFonts w:ascii="Arial" w:hAnsi="Arial" w:cs="Arial"/>
          <w:sz w:val="20"/>
          <w:szCs w:val="20"/>
        </w:rPr>
        <w:fldChar w:fldCharType="end"/>
      </w:r>
      <w:r w:rsidR="005769C4" w:rsidRPr="00E47F58">
        <w:rPr>
          <w:rFonts w:ascii="Arial" w:hAnsi="Arial" w:cs="Arial"/>
          <w:sz w:val="20"/>
          <w:szCs w:val="20"/>
        </w:rPr>
        <w:t>.</w:t>
      </w:r>
    </w:p>
    <w:p w14:paraId="4BC0EC52" w14:textId="1283CA62" w:rsidR="006B7BC9" w:rsidRDefault="006B7BC9" w:rsidP="006B7BC9">
      <w:pPr>
        <w:jc w:val="both"/>
        <w:rPr>
          <w:rFonts w:ascii="Arial" w:hAnsi="Arial" w:cs="Arial"/>
          <w:sz w:val="20"/>
          <w:szCs w:val="20"/>
          <w:lang w:val="en-GB"/>
        </w:rPr>
      </w:pPr>
      <w:r w:rsidRPr="006B7BC9">
        <w:rPr>
          <w:rFonts w:ascii="Arial" w:hAnsi="Arial" w:cs="Arial"/>
          <w:sz w:val="20"/>
          <w:szCs w:val="20"/>
          <w:highlight w:val="yellow"/>
        </w:rPr>
        <w:t xml:space="preserve">The main compounds of interest in </w:t>
      </w:r>
      <w:r w:rsidRPr="006B7BC9">
        <w:rPr>
          <w:rFonts w:ascii="Arial" w:hAnsi="Arial" w:cs="Arial"/>
          <w:i/>
          <w:sz w:val="20"/>
          <w:szCs w:val="20"/>
          <w:highlight w:val="yellow"/>
        </w:rPr>
        <w:t xml:space="preserve">C. vulgaris </w:t>
      </w:r>
      <w:r w:rsidRPr="006B7BC9">
        <w:rPr>
          <w:rFonts w:ascii="Arial" w:hAnsi="Arial" w:cs="Arial"/>
          <w:sz w:val="20"/>
          <w:szCs w:val="20"/>
          <w:highlight w:val="yellow"/>
        </w:rPr>
        <w:t xml:space="preserve">are the pigments, fatty acids/lipids, amino acids, vitamins and simple sugars. Pigments are basically classified into three main groups; carotenoids, chlorophylls and </w:t>
      </w:r>
      <w:proofErr w:type="spellStart"/>
      <w:r w:rsidRPr="006B7BC9">
        <w:rPr>
          <w:rFonts w:ascii="Arial" w:hAnsi="Arial" w:cs="Arial"/>
          <w:sz w:val="20"/>
          <w:szCs w:val="20"/>
          <w:highlight w:val="yellow"/>
        </w:rPr>
        <w:t>phycobilins</w:t>
      </w:r>
      <w:proofErr w:type="spellEnd"/>
      <w:r w:rsidRPr="006B7BC9">
        <w:rPr>
          <w:rFonts w:ascii="Arial" w:hAnsi="Arial" w:cs="Arial"/>
          <w:sz w:val="20"/>
          <w:szCs w:val="20"/>
          <w:highlight w:val="yellow"/>
        </w:rPr>
        <w:t xml:space="preserve">. Carotenoids are commonly found in some microalgae, chlorophylls are produced by both green microalgae and higher plants, while </w:t>
      </w:r>
      <w:proofErr w:type="spellStart"/>
      <w:r w:rsidRPr="006B7BC9">
        <w:rPr>
          <w:rFonts w:ascii="Arial" w:hAnsi="Arial" w:cs="Arial"/>
          <w:sz w:val="20"/>
          <w:szCs w:val="20"/>
          <w:highlight w:val="yellow"/>
        </w:rPr>
        <w:t>phycobilins</w:t>
      </w:r>
      <w:proofErr w:type="spellEnd"/>
      <w:r w:rsidRPr="006B7BC9">
        <w:rPr>
          <w:rFonts w:ascii="Arial" w:hAnsi="Arial" w:cs="Arial"/>
          <w:sz w:val="20"/>
          <w:szCs w:val="20"/>
          <w:highlight w:val="yellow"/>
        </w:rPr>
        <w:t xml:space="preserve"> are common only in cyanobacteria and some members of red algae </w:t>
      </w:r>
      <w:r w:rsidRPr="006B7BC9">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10.1016/j.biotechadv.2013.07.011","ISSN":"0734-9750","author":[{"dropping-particle":"","family":"Markou","given":"Giorgos","non-dropping-particle":"","parse-names":false,"suffix":""},{"dropping-particle":"","family":"Nerantzis","given":"Elias","non-dropping-particle":"","parse-names":false,"suffix":""}],"container-title":"Biotechnology Advances","id":"ITEM-1","issue":"8","issued":{"date-parts":[["2013"]]},"page":"1532-1542","publisher":"Elsevier Inc.","title":"Microalgae for high-value compounds and biofuels production : A review with focus on cultivation under stress conditions","type":"article-journal","volume":"31"},"uris":["http://www.mendeley.com/documents/?uuid=47422cdb-0d0b-4048-bfc5-692131e6f944"]}],"mendeley":{"formattedCitation":"(Markou &amp; Nerantzis, 2013)","plainTextFormattedCitation":"(Markou &amp; Nerantzis, 2013)","previouslyFormattedCitation":"(Markou &amp; Nerantzis, 2013)"},"properties":{"noteIndex":0},"schema":"https://github.com/citation-style-language/schema/raw/master/csl-citation.json"}</w:instrText>
      </w:r>
      <w:r w:rsidRPr="006B7BC9">
        <w:rPr>
          <w:rFonts w:ascii="Arial" w:hAnsi="Arial" w:cs="Arial"/>
          <w:sz w:val="20"/>
          <w:szCs w:val="20"/>
          <w:highlight w:val="yellow"/>
        </w:rPr>
        <w:fldChar w:fldCharType="separate"/>
      </w:r>
      <w:r w:rsidRPr="006B7BC9">
        <w:rPr>
          <w:rFonts w:ascii="Arial" w:hAnsi="Arial" w:cs="Arial"/>
          <w:noProof/>
          <w:sz w:val="20"/>
          <w:szCs w:val="20"/>
          <w:highlight w:val="yellow"/>
        </w:rPr>
        <w:t>(Markou &amp; Nerantzis, 2013)</w:t>
      </w:r>
      <w:r w:rsidRPr="006B7BC9">
        <w:rPr>
          <w:rFonts w:ascii="Arial" w:hAnsi="Arial" w:cs="Arial"/>
          <w:sz w:val="20"/>
          <w:szCs w:val="20"/>
          <w:highlight w:val="yellow"/>
        </w:rPr>
        <w:fldChar w:fldCharType="end"/>
      </w:r>
      <w:r w:rsidRPr="006B7BC9">
        <w:rPr>
          <w:rFonts w:ascii="Arial" w:hAnsi="Arial" w:cs="Arial"/>
          <w:sz w:val="20"/>
          <w:szCs w:val="20"/>
          <w:highlight w:val="yellow"/>
        </w:rPr>
        <w:t xml:space="preserve">. </w:t>
      </w:r>
      <w:r w:rsidRPr="006B7BC9">
        <w:rPr>
          <w:rFonts w:ascii="Arial" w:hAnsi="Arial" w:cs="Arial"/>
          <w:sz w:val="20"/>
          <w:szCs w:val="20"/>
          <w:highlight w:val="yellow"/>
          <w:lang w:val="en-GB"/>
        </w:rPr>
        <w:t xml:space="preserve">Carotenoid composition in the </w:t>
      </w:r>
      <w:r w:rsidRPr="006B7BC9">
        <w:rPr>
          <w:rFonts w:ascii="Arial" w:hAnsi="Arial" w:cs="Arial"/>
          <w:i/>
          <w:sz w:val="20"/>
          <w:szCs w:val="20"/>
          <w:highlight w:val="yellow"/>
          <w:lang w:val="en-GB"/>
        </w:rPr>
        <w:t>Chlorophyceae</w:t>
      </w:r>
      <w:r w:rsidRPr="006B7BC9">
        <w:rPr>
          <w:rFonts w:ascii="Arial" w:hAnsi="Arial" w:cs="Arial"/>
          <w:sz w:val="20"/>
          <w:szCs w:val="20"/>
          <w:highlight w:val="yellow"/>
          <w:lang w:val="en-GB"/>
        </w:rPr>
        <w:t xml:space="preserve"> is like that of higher plants, and includes α-carotene, β-carotene, neoxanthin, lutein, violaxanthin, antheraxanthin and zeaxanthin, integrated in chloroplast and generally considered as primary carotenoids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{"citationItems":[{"id":"ITEM-1","itemData":{"DOI":"10.1016/0960-8524(96)00058-2","ISBN":"0960-8524","ISSN":"09608524","PMID":"645","abstract":"The onset of carotenogenesis in Chlorella vulgaris and the change in nature and concentration of pigments with time was studied. The succession of pigments observed was interpreted in terms of relative efficiencies of carotenoid interconversion pathways, and this might be used to monitor the progress of the carotenogenic process. This work is relevant to the use of dry Chlorella biomass, as an naturally encapsulated form of a natural colouring ingredient in animal feed.","author":[{"dropping-particle":"","family":"Gouveia","given":"L.","non-dropping-particle":"","parse-names":false,"suffix":""},{"dropping-particle":"","family":"Veloso","given":"V.","non-dropping-particle":"","parse-names":false,"suffix":""},{"dropping-particle":"","family":"Reis","given":"A.","non-dropping-particle":"","parse-names":false,"suffix":""},{"dropping-particle":"","family":"Fernandes","given":"H.","non-dropping-particle":"","parse-names":false,"suffix":""},{"dropping-particle":"","family":"Novais","given":"J.","non-dropping-particle":"","parse-names":false,"suffix":""},{"dropping-particle":"","family":"Empis","given":"J.","non-dropping-particle":"","parse-names":false,"suffix":""}],"container-title":"Bioresource Technology","id":"ITEM-1","issue":"2","issued":{"date-parts":[["1996"]]},"page":"157-163","title":"Evolution of pigment composition in Chlorella vulgaris","type":"article-journal","volume":"57"},"uris":["http://www.mendeley.com/documents/?uuid=33e19626-4833-4b79-9ccb-162cf7629e13"]}],"mendeley":{"formattedCitation":"(Gouveia et al., 1996)","manualFormatting":"(Gouveia et al., 1996)","plainTextFormattedCitation":"(Gouveia et al., 1996)","previouslyFormattedCitation":"(L. Gouveia et al., 1996)"},"properties":{"noteIndex":0},"schema":"https://github.com/citation-style-language/schema/raw/master/csl-citation.json"}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(Gouveia et al., 1996)</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w:t>
      </w:r>
      <w:r w:rsidRPr="006B7BC9">
        <w:rPr>
          <w:rFonts w:ascii="Arial" w:hAnsi="Arial" w:cs="Arial"/>
          <w:i/>
          <w:sz w:val="20"/>
          <w:szCs w:val="20"/>
          <w:highlight w:val="yellow"/>
          <w:lang w:val="en-GB"/>
        </w:rPr>
        <w:t>Chlorella</w:t>
      </w:r>
      <w:r w:rsidRPr="006B7BC9">
        <w:rPr>
          <w:rFonts w:ascii="Arial" w:hAnsi="Arial" w:cs="Arial"/>
          <w:sz w:val="20"/>
          <w:szCs w:val="20"/>
          <w:highlight w:val="yellow"/>
          <w:lang w:val="en-GB"/>
        </w:rPr>
        <w:t xml:space="preserve"> spp.  are found to be high in lutein and chlorophylls a, b, composition amounting to about 0.45% and 4.5% dry weight respectively, which make them suitable for commercial production of pigments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{"citationItems":[{"id":"ITEM-1","itemData":{"author":[{"dropping-particle":"","family":"Kim","given":"Se-kwon","non-dropping-particle":"","parse-names":false,"suffix":""}],"edition":"2015th","id":"ITEM-1","issued":{"date-parts":[["2015"]]},"publisher":"Elsevier Academic Press","publisher-place":"Oxford, UK","title":"Handbook of marine microalgae biotechnology advances","type":"book"},"uris":["http://www.mendeley.com/documents/?uuid=51375a09-9d53-4dba-93cf-7bb0a31ef127"]}],"mendeley":{"formattedCitation":"(Kim, 2015)","manualFormatting":"(Kim, 2015)","plainTextFormattedCitation":"(Kim, 2015)","previouslyFormattedCitation":"(S. Kim, 2015)"},"properties":{"noteIndex":0},"schema":"https://github.com/citation-style-language/schema/raw/master/csl-citation.json"}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(Kim, 2015)</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In addition to primary carotenoids; </w:t>
      </w:r>
      <w:r w:rsidRPr="006B7BC9">
        <w:rPr>
          <w:rFonts w:ascii="Arial" w:hAnsi="Arial" w:cs="Arial"/>
          <w:i/>
          <w:sz w:val="20"/>
          <w:szCs w:val="20"/>
          <w:highlight w:val="yellow"/>
          <w:lang w:val="en-GB"/>
        </w:rPr>
        <w:t>C. vulgaris</w:t>
      </w:r>
      <w:r w:rsidRPr="006B7BC9">
        <w:rPr>
          <w:rFonts w:ascii="Arial" w:hAnsi="Arial" w:cs="Arial"/>
          <w:sz w:val="20"/>
          <w:szCs w:val="20"/>
          <w:highlight w:val="yellow"/>
          <w:lang w:val="en-GB"/>
        </w:rPr>
        <w:t xml:space="preserve"> biomass also accumulates a high level of secondary carotenoids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{"citationItems":[{"id":"ITEM-1","itemData":{"author":[{"dropping-particle":"","family":"Gupta","given":"S K","non-dropping-particle":"","parse-names":false,"suffix":""},{"dropping-particle":"","family":"Jha","given":"A K","non-dropping-particle":"","parse-names":false,"suffix":""},{"dropping-particle":"","family":"Pal","given":"A K","non-dropping-particle":"","parse-names":false,"suffix":""},{"dropping-particle":"","family":"Venkateshwarlu","given":"G","non-dropping-particle":"","parse-names":false,"suffix":""}],"id":"ITEM-1","issue":"1","issued":{"date-parts":[["2007"]]},"page":"46-49","title":"Use of natural carotenoids for pigmentation in fishes","type":"article-journal","volume":"6"},"uris":["http://www.mendeley.com/documents/?uuid=3fc2c9d2-d443-4693-9de5-87a0318b748a"]}],"mendeley":{"formattedCitation":"(Gupta et al., 2007)","manualFormatting":"(Gupta et al., 2007)","plainTextFormattedCitation":"(Gupta et al., 2007)","previouslyFormattedCitation":"(Gupta, Jha, Pal, &amp; Venkateshwarlu, 2007)"},"properties":{"noteIndex":0},"schema":"https://github.com/citation-style-language/schema/raw/master/csl-citation.json"}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(Gupta et al., 2007)</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w:t>
      </w:r>
    </w:p>
    <w:p w14:paraId="7087EFD3" w14:textId="1BCEB642" w:rsidR="006B7BC9" w:rsidRDefault="006B7BC9" w:rsidP="006B7BC9">
      <w:pPr>
        <w:jc w:val="both"/>
        <w:rPr>
          <w:rFonts w:ascii="Arial" w:hAnsi="Arial" w:cs="Arial"/>
          <w:sz w:val="20"/>
          <w:szCs w:val="20"/>
          <w:lang w:val="en-GB"/>
        </w:rPr>
      </w:pPr>
      <w:r w:rsidRPr="006B7BC9">
        <w:rPr>
          <w:rFonts w:ascii="Arial" w:hAnsi="Arial" w:cs="Arial"/>
          <w:sz w:val="20"/>
          <w:szCs w:val="20"/>
          <w:highlight w:val="yellow"/>
          <w:lang w:val="en-GB"/>
        </w:rPr>
        <w:t xml:space="preserve">It was demonstrated that the supplementation levels of microalgae in fish diet is the major determinant factor of its effect on fish performance. As some studies reported a decrease in growth and performance of fish at high </w:t>
      </w:r>
      <w:r w:rsidRPr="006B7BC9">
        <w:rPr>
          <w:rFonts w:ascii="Arial" w:hAnsi="Arial" w:cs="Arial"/>
          <w:i/>
          <w:sz w:val="20"/>
          <w:szCs w:val="20"/>
          <w:highlight w:val="yellow"/>
          <w:lang w:val="en-GB"/>
        </w:rPr>
        <w:t>C. vulgaris</w:t>
      </w:r>
      <w:r w:rsidRPr="006B7BC9">
        <w:rPr>
          <w:rFonts w:ascii="Arial" w:hAnsi="Arial" w:cs="Arial"/>
          <w:sz w:val="20"/>
          <w:szCs w:val="20"/>
          <w:highlight w:val="yellow"/>
          <w:lang w:val="en-GB"/>
        </w:rPr>
        <w:t xml:space="preserve"> inclusion levels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{"citationItems":[{"id":"ITEM-1","itemData":{"DOI":"10.3390/fishes2040017","author":[{"dropping-particle":"","family":"Enyidi","given":"Uchechukwu D","non-dropping-particle":"","parse-names":false,"suffix":""}],"container-title":"Fishes","id":"ITEM-1","issue":"17","issued":{"date-parts":[["2017"]]},"page":"1-12","title":"Chlorella vulgaris as Protein Source in the Diets of African Catfish Clarias gariepinus","type":"article-journal","volume":"2"},"uris":["http://www.mendeley.com/documents/?uuid=7c96215f-f568-4fb2-a05d-f984cdcb0024"]}],"mendeley":{"formattedCitation":"(Enyidi, 2017)","plainTextFormattedCitation":"(Enyidi, 2017)","previouslyFormattedCitation":"(Enyidi, 2017)"},"properties":{"noteIndex":0},"schema":"https://github.com/citation-style-language/schema/raw/master/csl-citation.json"}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(Enyidi, 2017)</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The cause for the decrease in fish growth performance at higher </w:t>
      </w:r>
      <w:r w:rsidRPr="006B7BC9">
        <w:rPr>
          <w:rFonts w:ascii="Arial" w:hAnsi="Arial" w:cs="Arial"/>
          <w:i/>
          <w:sz w:val="20"/>
          <w:szCs w:val="20"/>
          <w:highlight w:val="yellow"/>
          <w:lang w:val="en-GB"/>
        </w:rPr>
        <w:t>C. vulgaris</w:t>
      </w:r>
      <w:r w:rsidRPr="006B7BC9">
        <w:rPr>
          <w:rFonts w:ascii="Arial" w:hAnsi="Arial" w:cs="Arial"/>
          <w:sz w:val="20"/>
          <w:szCs w:val="20"/>
          <w:highlight w:val="yellow"/>
          <w:lang w:val="en-GB"/>
        </w:rPr>
        <w:t xml:space="preserve"> inclusion levels remain elusive. However, studies have shown that; positive effects on growth performance, fillet quality, physiological activity, disease resistance and related properties were achieved only when small amounts (less than 12.5%) of algae in fish diets were incorporated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{"citationItems":[{"id":"ITEM-1","itemData":{"DOI":"10.1016/j.aquaculture.2005.11.052","author":[{"dropping-particle":"","family":"Valente","given":"L M P","non-dropping-particle":"","parse-names":false,"suffix":""},{"dropping-particle":"","family":"Gouveia","given":"A","non-dropping-particle":"","parse-names":false,"suffix":""},{"dropping-particle":"","family":"Rema","given":"P","non-dropping-particle":"","parse-names":false,"suffix":""},{"dropping-particle":"","family":"Matos","given":"J","non-dropping-particle":"","parse-names":false,"suffix":""}],"id":"ITEM-1","issued":{"date-parts":[["2006"]]},"page":"85-91","title":"Evaluation of three seaweeds Gracilaria bursa-pastoris , Ulva rigida and Gracilaria cornea as dietary ingredients in European sea bass ( Dicentrarchus labrax ) juveniles","type":"article-journal","volume":"252"},"uris":["http://www.mendeley.com/documents/?uuid=55bf1032-4a19-444a-8a08-2ef6ef36572c"]}],"mendeley":{"formattedCitation":"(Valente et al., 2006)","manualFormatting":"(Valente et al., 2006","plainTextFormattedCitation":"(Valente et al., 2006)","previouslyFormattedCitation":"(Valente, Gouveia, Rema, &amp; Matos, 2006)"},"properties":{"noteIndex":0},"schema":"https://github.com/citation-style-language/schema/raw/master/csl-citation.json"}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(Valente et al., 2006</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10.1016/j.biortech.2006.05.043","author":[{"dropping-particle":"","family":"Dallaire","given":"V","non-dropping-particle":"","parse-names":false,"suffix":""},{"dropping-particle":"","family":"Lessard","given":"P","non-dropping-particle":"","parse-names":false,"suffix":""},{"dropping-particle":"","family":"Vandenberg","given":"G","non-dropping-particle":"","parse-names":false,"suffix":""},{"dropping-particle":"De","family":"Noüe","given":"J","non-dropping-particle":"","parse-names":false,"suffix":""}],"id":"ITEM-1","issued":{"date-parts":[["2007"]]},"page":"1433-1439","title":"E V ect of algal incorporation on growth , survival and carcass composition of rainbow trout ( Oncorhynchus mykiss ) fry","type":"article-journal","volume":"98"},"uris":["http://www.mendeley.com/documents/?uuid=fa17fe64-0167-446e-bd3b-fcc20be27eb8"]}],"mendeley":{"formattedCitation":"(Dallaire et al., 2007)","manualFormatting":"Dallaire et al., 2007)","plainTextFormattedCitation":"(Dallaire et al., 2007)","previouslyFormattedCitation":"(Dallaire, Lessard, Vandenberg, &amp; Noüe, 2007)"},"properties":{"noteIndex":0},"schema":"https://github.com/citation-style-language/schema/raw/master/csl-citation.json"}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Dallaire et al., 2007)</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The same also applies to gut microbiota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10.1371/journal.pone.0124042","author":[{"dropping-particle":"","family":"Norambuena","given":"Fernando","non-dropping-particle":"","parse-names":false,"suffix":""},{"dropping-particle":"","family":"Hermon","given":"Karen","non-dropping-particle":"","parse-names":false,"suffix":""},{"dropping-particle":"","family":"Skrzypczyk","given":"Vanessa","non-dropping-particle":"","parse-names":false,"suffix":""},{"dropping-particle":"","family":"Emery","given":"James A","non-dropping-particle":"","parse-names":false,"suffix":""},{"dropping-particle":"","family":"Sharon","given":"Yoni","non-dropping-particle":"","parse-names":false,"suffix":""},{"dropping-particle":"","family":"Beard","given":"Alastair","non-dropping-particle":"","parse-names":false,"suffix":""},{"dropping-particle":"","family":"Turchini","given":"Giovanni M","non-dropping-particle":"","parse-names":false,"suffix":""}],"container-title":"PLoS ONE","id":"ITEM-1","issue":"4","issued":{"date-parts":[["2015"]]},"page":"1-17","title":"Algae in Fish Feed : Performances and Fatty Acid Metabolism in Juvenile Atlantic Salmon","type":"article-journal","volume":"10"},"uris":["http://www.mendeley.com/documents/?uuid=c97d0c69-4558-43ac-af2e-685c7dd543ba"]}],"mendeley":{"formattedCitation":"(Norambuena et al., 2015)","plainTextFormattedCitation":"(Norambuena et al., 2015)","previouslyFormattedCitation":"(Norambuena et al., 2015)"},"properties":{"noteIndex":0},"schema":"https://github.com/citation-style-language/schema/raw/master/csl-citation.json"}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(Norambuena et al., 2015)</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 xml:space="preserve">. In normal practice and for economic reasons, algae are usually supplemented to fish feeds in small amounts (2.5-10 %) to achieve positive effects on fish health and nutrition </w:t>
      </w:r>
      <w:r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10.1371/journal.pone.0124042","author":[{"dropping-particle":"","family":"Norambuena","given":"Fernando","non-dropping-particle":"","parse-names":false,"suffix":""},{"dropping-particle":"","family":"Hermon","given":"Karen","non-dropping-particle":"","parse-names":false,"suffix":""},{"dropping-particle":"","family":"Skrzypczyk","given":"Vanessa","non-dropping-particle":"","parse-names":false,"suffix":""},{"dropping-particle":"","family":"Emery","given":"James A","non-dropping-particle":"","parse-names":false,"suffix":""},{"dropping-particle":"","family":"Sharon","given":"Yoni","non-dropping-particle":"","parse-names":false,"suffix":""},{"dropping-particle":"","family":"Beard","given":"Alastair","non-dropping-particle":"","parse-names":false,"suffix":""},{"dropping-particle":"","family":"Turchini","given":"Giovanni M","non-dropping-particle":"","parse-names":false,"suffix":""}],"container-title":"PLoS ONE","id":"ITEM-1","issue":"4","issued":{"date-parts":[["2015"]]},"page":"1-17","title":"Algae in Fish Feed : Performances and Fatty Acid Metabolism in Juvenile Atlantic Salmon","type":"article-journal","volume":"10"},"uris":["http://www.mendeley.com/documents/?uuid=c97d0c69-4558-43ac-af2e-685c7dd543ba"]}],"mendeley":{"formattedCitation":"(Norambuena et al., 2015)","plainTextFormattedCitation":"(Norambuena et al., 2015)","previouslyFormattedCitation":"(Norambuena et al., 2015)"},"properties":{"noteIndex":0},"schema":"https://github.com/citation-style-language/schema/raw/master/csl-citation.json"}</w:instrText>
      </w:r>
      <w:r w:rsidRPr="006B7BC9">
        <w:rPr>
          <w:rFonts w:ascii="Arial" w:hAnsi="Arial" w:cs="Arial"/>
          <w:sz w:val="20"/>
          <w:szCs w:val="20"/>
          <w:highlight w:val="yellow"/>
          <w:lang w:val="en-GB"/>
        </w:rPr>
        <w:fldChar w:fldCharType="separate"/>
      </w:r>
      <w:r w:rsidRPr="006B7BC9">
        <w:rPr>
          <w:rFonts w:ascii="Arial" w:hAnsi="Arial" w:cs="Arial"/>
          <w:noProof/>
          <w:sz w:val="20"/>
          <w:szCs w:val="20"/>
          <w:highlight w:val="yellow"/>
          <w:lang w:val="en-GB"/>
        </w:rPr>
        <w:t>(Norambuena et al., 2015)</w:t>
      </w:r>
      <w:r w:rsidRPr="006B7BC9">
        <w:rPr>
          <w:rFonts w:ascii="Arial" w:hAnsi="Arial" w:cs="Arial"/>
          <w:sz w:val="20"/>
          <w:szCs w:val="20"/>
          <w:highlight w:val="yellow"/>
        </w:rPr>
        <w:fldChar w:fldCharType="end"/>
      </w:r>
      <w:r w:rsidRPr="006B7BC9">
        <w:rPr>
          <w:rFonts w:ascii="Arial" w:hAnsi="Arial" w:cs="Arial"/>
          <w:sz w:val="20"/>
          <w:szCs w:val="20"/>
          <w:highlight w:val="yellow"/>
          <w:lang w:val="en-GB"/>
        </w:rPr>
        <w:t>.</w:t>
      </w:r>
    </w:p>
    <w:p w14:paraId="1F267C87" w14:textId="09E90828" w:rsidR="00D86841" w:rsidRPr="006B7BC9" w:rsidRDefault="00D86841" w:rsidP="006B7BC9">
      <w:pPr>
        <w:jc w:val="both"/>
        <w:rPr>
          <w:rFonts w:ascii="Arial" w:hAnsi="Arial" w:cs="Arial"/>
          <w:sz w:val="20"/>
          <w:szCs w:val="20"/>
        </w:rPr>
      </w:pPr>
      <w:r w:rsidRPr="00D86841">
        <w:rPr>
          <w:rFonts w:ascii="Arial" w:hAnsi="Arial" w:cs="Arial"/>
          <w:i/>
          <w:iCs/>
          <w:sz w:val="20"/>
          <w:szCs w:val="20"/>
          <w:highlight w:val="yellow"/>
        </w:rPr>
        <w:t>Streptococcus agalactiae</w:t>
      </w:r>
      <w:r w:rsidRPr="00D86841">
        <w:rPr>
          <w:rFonts w:ascii="Arial" w:hAnsi="Arial" w:cs="Arial"/>
          <w:sz w:val="20"/>
          <w:szCs w:val="20"/>
          <w:highlight w:val="yellow"/>
        </w:rPr>
        <w:t xml:space="preserve"> is a pathogen that attacks tilapia and causes </w:t>
      </w:r>
      <w:proofErr w:type="spellStart"/>
      <w:r w:rsidRPr="00D86841">
        <w:rPr>
          <w:rFonts w:ascii="Arial" w:hAnsi="Arial" w:cs="Arial"/>
          <w:i/>
          <w:iCs/>
          <w:sz w:val="20"/>
          <w:szCs w:val="20"/>
          <w:highlight w:val="yellow"/>
        </w:rPr>
        <w:t>streptococcosis</w:t>
      </w:r>
      <w:proofErr w:type="spellEnd"/>
      <w:r w:rsidRPr="00D86841">
        <w:rPr>
          <w:rFonts w:ascii="Arial" w:hAnsi="Arial" w:cs="Arial"/>
          <w:sz w:val="20"/>
          <w:szCs w:val="20"/>
          <w:highlight w:val="yellow"/>
        </w:rPr>
        <w:t xml:space="preserve"> infection from larval to the adult phases, with high mortality rates </w:t>
      </w:r>
      <w:r w:rsidRPr="00D86841">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author":[{"dropping-particle":"","family":"Sukenda","given":"Sukenda","non-dropping-particle":"","parse-names":false,"suffix":""},{"dropping-particle":"","family":"Rahman","given":"Rahman","non-dropping-particle":"","parse-names":false,"suffix":""}],"container-title":"Aquaculture International","id":"ITEM-1","issue":"3","issued":{"date-parts":[["2018"]]},"page":"785-798","publisher":"Aquaculture International","title":"The efficacy of Streptococcus agalactiae vaccine preparations , administered to tilapia broodstock , in preventing streptococcosis in their offspring , via transfer of maternal immunity","type":"article-journal","volume":"26"},"uris":["http://www.mendeley.com/documents/?uuid=fec40268-3096-4eb2-854f-ce115116e0a3"]}],"mendeley":{"formattedCitation":"(Sukenda &amp; Rahman, 2018)","plainTextFormattedCitation":"(Sukenda &amp; Rahman, 2018)","previouslyFormattedCitation":"(Sukenda &amp; Rahman, 2018)"},"properties":{"noteIndex":0},"schema":"https://github.com/citation-style-language/schema/raw/master/csl-citation.json"}</w:instrText>
      </w:r>
      <w:r w:rsidRPr="00D86841">
        <w:rPr>
          <w:rFonts w:ascii="Arial" w:hAnsi="Arial" w:cs="Arial"/>
          <w:sz w:val="20"/>
          <w:szCs w:val="20"/>
          <w:highlight w:val="yellow"/>
        </w:rPr>
        <w:fldChar w:fldCharType="separate"/>
      </w:r>
      <w:r w:rsidRPr="00D86841">
        <w:rPr>
          <w:rFonts w:ascii="Arial" w:hAnsi="Arial" w:cs="Arial"/>
          <w:noProof/>
          <w:sz w:val="20"/>
          <w:szCs w:val="20"/>
          <w:highlight w:val="yellow"/>
        </w:rPr>
        <w:t>(Sukenda &amp; Rahman, 2018)</w:t>
      </w:r>
      <w:r w:rsidRPr="00D86841">
        <w:rPr>
          <w:rFonts w:ascii="Arial" w:hAnsi="Arial" w:cs="Arial"/>
          <w:sz w:val="20"/>
          <w:szCs w:val="20"/>
          <w:highlight w:val="yellow"/>
        </w:rPr>
        <w:fldChar w:fldCharType="end"/>
      </w:r>
      <w:r w:rsidRPr="00D86841">
        <w:rPr>
          <w:rFonts w:ascii="Arial" w:hAnsi="Arial" w:cs="Arial"/>
          <w:sz w:val="20"/>
          <w:szCs w:val="20"/>
          <w:highlight w:val="yellow"/>
        </w:rPr>
        <w:t xml:space="preserve">. No growth stage of tilapia is completely free from the potential for infection by this virulent pathogen. Mortality mostly occurs in younger tilapia fish in which their immune system has not yet been fully developed. This is because in these growth phases the fish are still unable to develop their immune responses well </w:t>
      </w:r>
      <w:r w:rsidRPr="00D86841">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{"citationItems":[{"id":"ITEM-1","itemData":{"DOI":"10.1016/j.fsi.2005.03.010","ISSN":"10504648","PMID":"15916905","abstract":"The first appearance of IgM in lymphocytes varies considerably among fish species. Generally, the first appearance of B-lymphocytes and immunoglobulins is late in marine species compared to fresh water species, and larvae have reached about 20-30 mm in length when IgM is first expressed. Rainbow trout and channel catfish show the first appearances of surface IgM at about 1 week after hatching. Marine species like the sea bass, spotted wolffish and cod show IgM positive lymphocytes 1-10 weeks after hatching. Transfer of maternal antibody to eggs and embryos has been demonstrated in several species. Examples are plaice, tilapia, carp, sea bass and salmon, but not cod. The ontogeny of complement component C3 has been studied in Atlantic halibut (Hippoglossus hippoglossus L.), Atlantic cod (Gadus morhua L.) and the spotted wolffish (Anarhichas minor O.). By Western blotting experiments C3 was found in unfertilised eggs in the spotted wolffish indicating a maternal transfer. RT-PCR analysis revealed C3 mRNA transcripts from 290 d° in spotted wolffish eggs. Using immunohistochemistry and in situ hybridisation, C3 was found in liver, brain, kidney and muscle of cod larvae 2 days post-hatching and in intestines, pancreas, heart and gills at different stages of larval development. Also, C3 was detectable in halibut larvae in yolk sac, muscle, liver, brain, chondrocytes, spinal chord, eye, heart, intestines and kidney. These studies suggest that complement may play a role in generation of different organs, not only in the defence against invading pathogens. Lysozyme is a bactericidal enzyme present in mucus, lymphoid tissue and serum of most fish species, but not in cod and wolffish. The enzyme has been detected in oocytes, fertilised eggs and larval stages of fish species like coho salmon, sea bass and tilapia. The activity of other enzymes like the cathepsins has been described in eggs and larvae of sea bass, cod and salmonids. Cathepsins may have a bactericidal role in the skin of fish. Lectins are carbohydrate-binding proteins that interact with pathogenic surface structures that result in opsonization, phagocytosis or activation of complement. Lectins have been isolated from the eggs of various fish species. © 2005 Elsevier Ltd. All rights reserved.","author":[{"dropping-particle":"","family":"Magnadottir","given":"B.","non-dropping-particle":"","parse-names":false,"suffix":""},{"dropping-particle":"","family":"Lange","given":"S.","non-dropping-particle":"","parse-names":false,"suffix":""},{"dropping-particle":"","family":"Gudmundsdottir","given":"S.","non-dropping-particle":"","parse-names":false,"suffix":""},{"dropping-particle":"","family":"Bøgwald","given":"J.","non-dropping-particle":"","parse-names":false,"suffix":""},{"dropping-particle":"","family":"Dalmo","given":"R. A.","non-dropping-particle":"","parse-names":false,"suffix":""}],"container-title":"Fish and Shellfish Immunology","id":"ITEM-1","issue":"5 SPEC. ISS.","issued":{"date-parts":[["2005"]]},"page":"429-439","title":"Ontogeny of humoral immune parameters in fish","type":"article-journal","volume":"19"},"uris":["http://www.mendeley.com/documents/?uuid=d6952474-152a-4a70-8570-522e5dbcb7fc"]}],"mendeley":{"formattedCitation":"(Magnadottir et al., 2005)","manualFormatting":"(Magnadottir et al., 2005)","plainTextFormattedCitation":"(Magnadottir et al., 2005)","previouslyFormattedCitation":"(Magnadottir, Lange, Gudmundsdottir, Bøgwald, &amp; Dalmo, 2005)"},"properties":{"noteIndex":0},"schema":"https://github.com/citation-style-language/schema/raw/master/csl-citation.json"}</w:instrText>
      </w:r>
      <w:r w:rsidRPr="00D86841">
        <w:rPr>
          <w:rFonts w:ascii="Arial" w:hAnsi="Arial" w:cs="Arial"/>
          <w:sz w:val="20"/>
          <w:szCs w:val="20"/>
          <w:highlight w:val="yellow"/>
        </w:rPr>
        <w:fldChar w:fldCharType="separate"/>
      </w:r>
      <w:r w:rsidRPr="00D86841">
        <w:rPr>
          <w:rFonts w:ascii="Arial" w:hAnsi="Arial" w:cs="Arial"/>
          <w:noProof/>
          <w:sz w:val="20"/>
          <w:szCs w:val="20"/>
          <w:highlight w:val="yellow"/>
        </w:rPr>
        <w:t>(Magnadottir et al., 2005)</w:t>
      </w:r>
      <w:r w:rsidRPr="00D86841">
        <w:rPr>
          <w:rFonts w:ascii="Arial" w:hAnsi="Arial" w:cs="Arial"/>
          <w:sz w:val="20"/>
          <w:szCs w:val="20"/>
          <w:highlight w:val="yellow"/>
        </w:rPr>
        <w:fldChar w:fldCharType="end"/>
      </w:r>
      <w:r w:rsidRPr="00D86841">
        <w:rPr>
          <w:rFonts w:ascii="Arial" w:hAnsi="Arial" w:cs="Arial"/>
          <w:sz w:val="20"/>
          <w:szCs w:val="20"/>
          <w:highlight w:val="yellow"/>
        </w:rPr>
        <w:t xml:space="preserve">. The physical symptoms associated with </w:t>
      </w:r>
      <w:r w:rsidRPr="00D86841">
        <w:rPr>
          <w:rFonts w:ascii="Arial" w:hAnsi="Arial" w:cs="Arial"/>
          <w:i/>
          <w:iCs/>
          <w:sz w:val="20"/>
          <w:szCs w:val="20"/>
          <w:highlight w:val="yellow"/>
        </w:rPr>
        <w:t xml:space="preserve">S. agalactiae </w:t>
      </w:r>
      <w:r w:rsidRPr="00D86841">
        <w:rPr>
          <w:rFonts w:ascii="Arial" w:hAnsi="Arial" w:cs="Arial"/>
          <w:sz w:val="20"/>
          <w:szCs w:val="20"/>
          <w:highlight w:val="yellow"/>
        </w:rPr>
        <w:t xml:space="preserve">infection include the lack of appetite, slow or no movement </w:t>
      </w:r>
      <w:r w:rsidRPr="00D86841">
        <w:rPr>
          <w:rFonts w:ascii="Arial" w:hAnsi="Arial" w:cs="Arial"/>
          <w:sz w:val="20"/>
          <w:szCs w:val="20"/>
          <w:highlight w:val="yellow"/>
        </w:rPr>
        <w:lastRenderedPageBreak/>
        <w:t>at the bottom of the tank, appearance of whitish mucus on the skin, gills and eyes (corneal opacity) of tilapia fish.</w:t>
      </w:r>
    </w:p>
    <w:p w14:paraId="70E68D4F" w14:textId="30630F7F" w:rsidR="00123C53" w:rsidRPr="00E47F58" w:rsidRDefault="00123C53" w:rsidP="00EB6AE8">
      <w:pPr>
        <w:pStyle w:val="single"/>
        <w:rPr>
          <w:rFonts w:ascii="Arial" w:hAnsi="Arial" w:cs="Arial"/>
          <w:sz w:val="20"/>
          <w:szCs w:val="20"/>
          <w:lang w:val="en-GB"/>
        </w:rPr>
      </w:pPr>
      <w:r w:rsidRPr="00E47F58">
        <w:rPr>
          <w:rFonts w:ascii="Arial" w:hAnsi="Arial" w:cs="Arial"/>
          <w:sz w:val="20"/>
          <w:szCs w:val="20"/>
        </w:rPr>
        <w:t xml:space="preserve">Incorporation of immunostimulants such as microalgal biomass into fish feed is one of the recent developments in mitigating disease outbreak in fish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(Ahmad et al., 2018)</w:t>
      </w:r>
      <w:r w:rsidRPr="00E47F58">
        <w:rPr>
          <w:rFonts w:ascii="Arial" w:hAnsi="Arial" w:cs="Arial"/>
          <w:sz w:val="20"/>
          <w:szCs w:val="20"/>
          <w:lang w:val="en-GB"/>
        </w:rPr>
        <w:fldChar w:fldCharType="end"/>
      </w:r>
      <w:r w:rsidRPr="00E47F58">
        <w:rPr>
          <w:rFonts w:ascii="Arial" w:hAnsi="Arial" w:cs="Arial"/>
          <w:sz w:val="20"/>
          <w:szCs w:val="20"/>
        </w:rPr>
        <w:t xml:space="preserve">. Nevertheless, the available scientific evidence in using microalgae as immunostimulants depends largely on reports of immune assays conducted. Much of the knowledge of the mechanisms at molecular level is still lacking. Metabolomics studies of the endogenous biomarkers of immune boost in complement with pathway analysis holds a promising future in understanding and regulating the mechanisms involved in </w:t>
      </w:r>
      <w:proofErr w:type="spellStart"/>
      <w:r w:rsidRPr="00E47F58">
        <w:rPr>
          <w:rFonts w:ascii="Arial" w:hAnsi="Arial" w:cs="Arial"/>
          <w:sz w:val="20"/>
          <w:szCs w:val="20"/>
        </w:rPr>
        <w:t>immunogenesis</w:t>
      </w:r>
      <w:proofErr w:type="spellEnd"/>
      <w:r w:rsidRPr="00E47F58">
        <w:rPr>
          <w:rFonts w:ascii="Arial" w:hAnsi="Arial" w:cs="Arial"/>
          <w:sz w:val="20"/>
          <w:szCs w:val="20"/>
        </w:rPr>
        <w:t xml:space="preserve"> leading to mitigating disease outbreak</w:t>
      </w:r>
      <w:r w:rsidR="008B4CCD" w:rsidRPr="00E47F58">
        <w:rPr>
          <w:rFonts w:ascii="Arial" w:hAnsi="Arial" w:cs="Arial"/>
          <w:sz w:val="20"/>
          <w:szCs w:val="20"/>
        </w:rPr>
        <w:t>.</w:t>
      </w:r>
    </w:p>
    <w:p w14:paraId="57C7FA8C" w14:textId="77228899" w:rsidR="00EB6AE8" w:rsidRPr="00E47F58" w:rsidRDefault="00F4346E" w:rsidP="00EB6AE8">
      <w:pPr>
        <w:pStyle w:val="single"/>
        <w:rPr>
          <w:rFonts w:ascii="Arial" w:hAnsi="Arial" w:cs="Arial"/>
          <w:sz w:val="20"/>
          <w:szCs w:val="20"/>
          <w:lang w:val="en-GB"/>
        </w:rPr>
      </w:pPr>
      <w:r w:rsidRPr="00E47F58">
        <w:rPr>
          <w:rFonts w:ascii="Arial" w:hAnsi="Arial" w:cs="Arial"/>
          <w:sz w:val="20"/>
          <w:szCs w:val="20"/>
          <w:lang w:val="en-GB"/>
        </w:rPr>
        <w:t>In previous research</w:t>
      </w:r>
      <w:r w:rsidR="00EB6AE8" w:rsidRPr="00E47F58">
        <w:rPr>
          <w:rFonts w:ascii="Arial" w:hAnsi="Arial" w:cs="Arial"/>
          <w:sz w:val="20"/>
          <w:szCs w:val="20"/>
          <w:lang w:val="en-GB"/>
        </w:rPr>
        <w:t xml:space="preserve">, it was evidently proven that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incorporation into fish feed enhances innate immunity of tilapia fish via regulation of some biochemical pathways</w:t>
      </w:r>
      <w:r w:rsidR="0022766E" w:rsidRPr="00E47F58">
        <w:rPr>
          <w:rFonts w:ascii="Arial" w:hAnsi="Arial" w:cs="Arial"/>
          <w:sz w:val="20"/>
          <w:szCs w:val="20"/>
          <w:lang w:val="en-GB"/>
        </w:rPr>
        <w:t xml:space="preserve"> </w:t>
      </w:r>
      <w:r w:rsidR="0022766E"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2766E"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22766E"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But that was not enough to justify that immunity boosted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can prevent the treated fish from massive death unless a real bacterial challenge is carried out. </w:t>
      </w:r>
      <w:r w:rsidR="00EB6AE8" w:rsidRPr="00E47F58">
        <w:rPr>
          <w:rFonts w:ascii="Arial" w:hAnsi="Arial" w:cs="Arial"/>
          <w:i/>
          <w:iCs/>
          <w:sz w:val="20"/>
          <w:szCs w:val="20"/>
          <w:lang w:val="en-GB"/>
        </w:rPr>
        <w:t>Streptococcus agalactiae</w:t>
      </w:r>
      <w:r w:rsidR="00EB6AE8" w:rsidRPr="00E47F58">
        <w:rPr>
          <w:rFonts w:ascii="Arial" w:hAnsi="Arial" w:cs="Arial"/>
          <w:sz w:val="20"/>
          <w:szCs w:val="20"/>
          <w:lang w:val="en-GB"/>
        </w:rPr>
        <w:t>, a considerably strong virulent</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 xml:space="preserve">bacteria, is one of the major concern of possible infections in most of tilapia fish culture farms </w:t>
      </w:r>
      <w:r w:rsidR="00EB6AE8"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{"citationItems":[{"id":"ITEM-1","itemData":{"DOI":"10.1016/j.jcpa.2010.01.020","ISSN":"00219975","PMID":"20334871","abstract":"The pathological changes present in 300 red tilapias (Oreochromis spp.) naturally infected by Streptococcus agalactiae are described. The most consistent gross findings were marked congestion of internal organs, particularly the liver, spleen and kidneys. Other features included exophthalmos, softening of the brain and the occasional accumulation of fluid within the abdominal cavity. Microscopical examination confirmed the presence of marked congestion of the liver, spleen and kidneys. The endothelial cells lining major blood vessels of the liver and occasionally the spleen were swollen and vacuolated. There was evidence of vascular thrombosis with infarction of surrounding tissue. Bacterial colonies were noted within and immediately surrounding the affected blood vessels. The meninges were thickened by the infiltration of numerous heterophils. Similar infiltrates of heterophils and lymphocytes were observed in the lamina propria of the intestine. The kidneys were severely congested and haemorrhagic, with extensive interstitial nephritis. © 2010 Elsevier Ltd.","author":[{"dropping-particle":"","family":"Zamri-Saad","given":"M.","non-dropping-particle":"","parse-names":false,"suffix":""},{"dropping-particle":"","family":"Amal","given":"M. N.A.","non-dropping-particle":"","parse-names":false,"suffix":""},{"dropping-particle":"","family":"Siti-Zahrah","given":"A.","non-dropping-particle":"","parse-names":false,"suffix":""}],"container-title":"Journal of Comparative Pathology","id":"ITEM-1","issue":"2-3","issued":{"date-parts":[["2010"]]},"page":"227-229","publisher":"Elsevier Ltd","title":"Pathological changes in red tilapias (Oreochromis spp.) naturally infected by Streptococcus agalactiae","type":"article-journal","volume":"143"},"uris":["http://www.mendeley.com/documents/?uuid=23cfc099-f5e4-4e0f-b281-bc6ed5dc5bbc","http://www.mendeley.com/documents/?uuid=be920a56-c0f1-4260-8be6-a536829849a1"]}],"mendeley":{"formattedCitation":"(Zamri-Saad et al., 2010)","manualFormatting":"(Zamri-Saad et al., 2010","plainTextFormattedCitation":"(Zamri-Saad et al., 2010)","previouslyFormattedCitation":"(Zamri-Saad, Amal, and Siti-Zahrah 2010)"},"properties":{"noteIndex":0},"schema":"https://github.com/citation-style-language/schema/raw/master/csl-citation.json"}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(Zamri-Saad et al., 2010</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w:t>
      </w:r>
      <w:r w:rsidR="00EB6AE8"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{"citationItems":[{"id":"ITEM-1","itemData":{"DOI":"10.1016/j.aquaculture.2017.11.019","ISSN":"00448486","abstract":"This paper reports a case of natural co-infection of Tilapia Lake Virus (TiLV) and Aeromonas veronii in a Malaysian red hybrid tilapia (Oreochromis niloticus × O. mossambicus) farm. In May 2017, a tilapia farm operator reported a mass mortality among cultured red hybrid tilapia juveniles, approximately 45 days after introduction into earthen ponds. Affected fish showed lethargy, loss of appetite, swim near the pond edge, pale and isolated from schooling group. There were skin redness and haemorrhages, particularly at the operculum area and at the base of dorsal, caudal and anal fins. Histopathological examinations revealed swollen hepatocytes, haemorrhagic spleens and perivascular cuffing consisted of mononuclear cells in the brains. PCR and sequence analyses confirmed the presence of TiLV and A. veronii in the diseased fish. Phylogenetic tree revealed that Malaysian's TiLV strain was more closely related with the virus isolated in Israel than in Egypt or Thailand, while Malaysian's A. veronii strain 5L was closely related with strains from China. TiLV infection is a significant threat to global tilapia industry. However, synergistic co-infection of TiLV and other bacterial might aggravate the problem.","author":[{"dropping-particle":"","family":"Amal","given":"M. N.A.","non-dropping-particle":"","parse-names":false,"suffix":""},{"dropping-particle":"","family":"Koh","given":"C. B.","non-dropping-particle":"","parse-names":false,"suffix":""},{"dropping-particle":"","family":"Nurliyana","given":"M.","non-dropping-particle":"","parse-names":false,"suffix":""},{"dropping-particle":"","family":"Suhaiba","given":"M.","non-dropping-particle":"","parse-names":false,"suffix":""},{"dropping-particle":"","family":"Nor-Amalina","given":"Z.","non-dropping-particle":"","parse-names":false,"suffix":""},{"dropping-particle":"","family":"Santha","given":"S.","non-dropping-particle":"","parse-names":false,"suffix":""},{"dropping-particle":"","family":"Diyana-Nadhirah","given":"K. P.","non-dropping-particle":"","parse-names":false,"suffix":""},{"dropping-particle":"","family":"Yusof","given":"M. T.","non-dropping-particle":"","parse-names":false,"suffix":""},{"dropping-particle":"","family":"Ina-Salwany","given":"M. Y.","non-dropping-particle":"","parse-names":false,"suffix":""},{"dropping-particle":"","family":"Zamri-Saad","given":"M.","non-dropping-particle":"","parse-names":false,"suffix":""}],"container-title":"Aquaculture","id":"ITEM-1","issue":"July 2017","issued":{"date-parts":[["2018"]]},"page":"12-16","publisher":"Elsevier","title":"A case of natural co-infection of Tilapia Lake Virus and Aeromonas veronii in a Malaysian red hybrid tilapia (Oreochromis niloticus × O. mossambicus) farm experiencing high mortality","type":"article-journal","volume":"485"},"uris":["http://www.mendeley.com/documents/?uuid=ed481209-8d68-4ce1-9229-d9bea92cd902"]}],"mendeley":{"formattedCitation":"(Amal et al., 2018)","manualFormatting":"Amal et al., 2018)","plainTextFormattedCitation":"(Amal et al., 2018)","previouslyFormattedCitation":"(Amal et al. 2018)"},"properties":{"noteIndex":0},"schema":"https://github.com/citation-style-language/schema/raw/master/csl-citation.json"}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Amal et al., 2018)</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And hence</w:t>
      </w:r>
      <w:r w:rsidR="0022766E" w:rsidRPr="00E47F58">
        <w:rPr>
          <w:rFonts w:ascii="Arial" w:hAnsi="Arial" w:cs="Arial"/>
          <w:sz w:val="20"/>
          <w:szCs w:val="20"/>
          <w:lang w:val="en-GB"/>
        </w:rPr>
        <w:t xml:space="preserve"> it</w:t>
      </w:r>
      <w:r w:rsidR="00EB6AE8" w:rsidRPr="00E47F58">
        <w:rPr>
          <w:rFonts w:ascii="Arial" w:hAnsi="Arial" w:cs="Arial"/>
          <w:sz w:val="20"/>
          <w:szCs w:val="20"/>
          <w:lang w:val="en-GB"/>
        </w:rPr>
        <w:t xml:space="preserve"> was used in bacterial challenge in this study.</w:t>
      </w:r>
    </w:p>
    <w:p w14:paraId="2DE3A799" w14:textId="77777777" w:rsidR="00EB6AE8" w:rsidRDefault="0022766E" w:rsidP="00EB6AE8">
      <w:pPr>
        <w:pStyle w:val="single"/>
        <w:rPr>
          <w:rFonts w:ascii="Arial" w:hAnsi="Arial" w:cs="Arial"/>
          <w:sz w:val="20"/>
          <w:szCs w:val="20"/>
          <w:lang w:val="en-GB"/>
        </w:rPr>
      </w:pPr>
      <w:r w:rsidRPr="00E47F58">
        <w:rPr>
          <w:rFonts w:ascii="Arial" w:hAnsi="Arial" w:cs="Arial"/>
          <w:sz w:val="20"/>
          <w:szCs w:val="20"/>
          <w:lang w:val="en-GB"/>
        </w:rPr>
        <w:t>In this research</w:t>
      </w:r>
      <w:r w:rsidR="00EB6AE8" w:rsidRPr="00E47F58">
        <w:rPr>
          <w:rFonts w:ascii="Arial" w:hAnsi="Arial" w:cs="Arial"/>
          <w:sz w:val="20"/>
          <w:szCs w:val="20"/>
          <w:lang w:val="en-GB"/>
        </w:rPr>
        <w:t xml:space="preserve">, we also consider some pressing issues which may arise from the concept of the overall studies. Which is whether the innate immune boost in fish was sustained when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was stopped, and the fish challenged with bacteria</w:t>
      </w:r>
      <w:r w:rsidR="00EB6AE8" w:rsidRPr="00E47F58">
        <w:rPr>
          <w:rFonts w:ascii="Arial" w:hAnsi="Arial" w:cs="Arial"/>
          <w:i/>
          <w:iCs/>
          <w:sz w:val="20"/>
          <w:szCs w:val="20"/>
          <w:lang w:val="en-GB"/>
        </w:rPr>
        <w:t>.</w:t>
      </w:r>
      <w:r w:rsidR="00EB6AE8" w:rsidRPr="00E47F58">
        <w:rPr>
          <w:rFonts w:ascii="Arial" w:hAnsi="Arial" w:cs="Arial"/>
          <w:sz w:val="20"/>
          <w:szCs w:val="20"/>
          <w:lang w:val="en-GB"/>
        </w:rPr>
        <w:t xml:space="preserve"> These has to do with trying to see the actual effect of bacterial challenge on the experimental fish, the metabolite fold changes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in fish, the effect of environment on the fish with respect to zero day-point and lastly, the effect of bacterial challenge on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fed fish. These were achieved via the metabolomics </w:t>
      </w:r>
      <w:r w:rsidRPr="00E47F58">
        <w:rPr>
          <w:rFonts w:ascii="Arial" w:hAnsi="Arial" w:cs="Arial"/>
          <w:sz w:val="20"/>
          <w:szCs w:val="20"/>
          <w:lang w:val="en-GB"/>
        </w:rPr>
        <w:t>multivariate data analysis (</w:t>
      </w:r>
      <w:r w:rsidR="00EB6AE8" w:rsidRPr="00E47F58">
        <w:rPr>
          <w:rFonts w:ascii="Arial" w:hAnsi="Arial" w:cs="Arial"/>
          <w:sz w:val="20"/>
          <w:szCs w:val="20"/>
          <w:lang w:val="en-GB"/>
        </w:rPr>
        <w:t>MVDA</w:t>
      </w:r>
      <w:r w:rsidRPr="00E47F58">
        <w:rPr>
          <w:rFonts w:ascii="Arial" w:hAnsi="Arial" w:cs="Arial"/>
          <w:sz w:val="20"/>
          <w:szCs w:val="20"/>
          <w:lang w:val="en-GB"/>
        </w:rPr>
        <w:t>)</w:t>
      </w:r>
      <w:r w:rsidR="00EB6AE8" w:rsidRPr="00E47F58">
        <w:rPr>
          <w:rFonts w:ascii="Arial" w:hAnsi="Arial" w:cs="Arial"/>
          <w:sz w:val="20"/>
          <w:szCs w:val="20"/>
          <w:lang w:val="en-GB"/>
        </w:rPr>
        <w:t xml:space="preserve"> of the resulting spleen samples from 0 day-point fish, bacterial challenged fish, control fish and treated fish groups.</w:t>
      </w:r>
      <w:r w:rsidRPr="00E47F58">
        <w:rPr>
          <w:rFonts w:ascii="Arial" w:hAnsi="Arial" w:cs="Arial"/>
          <w:sz w:val="20"/>
          <w:szCs w:val="20"/>
          <w:lang w:val="en-GB"/>
        </w:rPr>
        <w:t xml:space="preserve"> Hence t</w:t>
      </w:r>
      <w:r w:rsidR="00EB6AE8" w:rsidRPr="00E47F58">
        <w:rPr>
          <w:rFonts w:ascii="Arial" w:hAnsi="Arial" w:cs="Arial"/>
          <w:sz w:val="20"/>
          <w:szCs w:val="20"/>
          <w:lang w:val="en-GB"/>
        </w:rPr>
        <w:t>he sp</w:t>
      </w:r>
      <w:r w:rsidRPr="00E47F58">
        <w:rPr>
          <w:rFonts w:ascii="Arial" w:hAnsi="Arial" w:cs="Arial"/>
          <w:sz w:val="20"/>
          <w:szCs w:val="20"/>
          <w:lang w:val="en-GB"/>
        </w:rPr>
        <w:t>ecific objective of this study</w:t>
      </w:r>
      <w:r w:rsidR="00EB6AE8" w:rsidRPr="00E47F58">
        <w:rPr>
          <w:rFonts w:ascii="Arial" w:hAnsi="Arial" w:cs="Arial"/>
          <w:sz w:val="20"/>
          <w:szCs w:val="20"/>
          <w:lang w:val="en-GB"/>
        </w:rPr>
        <w:t xml:space="preserve"> was to confirm the immune signatures of </w:t>
      </w:r>
      <w:r w:rsidR="00EB6AE8" w:rsidRPr="00E47F58">
        <w:rPr>
          <w:rFonts w:ascii="Arial" w:hAnsi="Arial" w:cs="Arial"/>
          <w:i/>
          <w:iCs/>
          <w:sz w:val="20"/>
          <w:szCs w:val="20"/>
          <w:lang w:val="en-GB"/>
        </w:rPr>
        <w:t xml:space="preserve">C. vulgaris </w:t>
      </w:r>
      <w:r w:rsidRPr="00E47F58">
        <w:rPr>
          <w:rFonts w:ascii="Arial" w:hAnsi="Arial" w:cs="Arial"/>
          <w:sz w:val="20"/>
          <w:szCs w:val="20"/>
          <w:lang w:val="en-GB"/>
        </w:rPr>
        <w:t>in tilapia fish assessed in previous studies</w:t>
      </w:r>
      <w:r w:rsidR="00EB6AE8" w:rsidRPr="00E47F58">
        <w:rPr>
          <w:rFonts w:ascii="Arial" w:hAnsi="Arial" w:cs="Arial"/>
          <w:sz w:val="20"/>
          <w:szCs w:val="20"/>
          <w:lang w:val="en-GB"/>
        </w:rPr>
        <w:t xml:space="preserve"> via prophylaxis and bacterial challenge studies.</w:t>
      </w:r>
    </w:p>
    <w:p w14:paraId="16EABCDC" w14:textId="47028FD6" w:rsidR="00600E86" w:rsidRPr="00600E86" w:rsidRDefault="00600E86" w:rsidP="00600E86">
      <w:pPr>
        <w:jc w:val="both"/>
        <w:rPr>
          <w:rFonts w:ascii="Arial" w:hAnsi="Arial" w:cs="Arial"/>
          <w:sz w:val="20"/>
          <w:szCs w:val="20"/>
        </w:rPr>
      </w:pPr>
      <w:r w:rsidRPr="00600E86">
        <w:rPr>
          <w:rFonts w:ascii="Arial" w:hAnsi="Arial" w:cs="Arial"/>
          <w:sz w:val="20"/>
          <w:szCs w:val="20"/>
          <w:highlight w:val="yellow"/>
        </w:rPr>
        <w:t xml:space="preserve">NMR-based metabolomics have some advantages in analysis of bio fluids such as blood serum and plasma, especially in researches involving disease diagnostics. It is a nondestructive method and there is no physical contact between the sample and the sensor. NMR data interpretation may be simpler compared to MS but mostly require additional information by running two-dimensional spectra such as heteronuclear single quantum correlation (HSQC), heteronuclear multiple bond correlation (HMBC), correlation spectroscopy (COSY), </w:t>
      </w:r>
      <w:r w:rsidRPr="00600E86">
        <w:rPr>
          <w:rFonts w:ascii="Arial" w:hAnsi="Arial" w:cs="Arial"/>
          <w:i/>
          <w:sz w:val="20"/>
          <w:szCs w:val="20"/>
          <w:highlight w:val="yellow"/>
        </w:rPr>
        <w:t>J-</w:t>
      </w:r>
      <w:r w:rsidRPr="00600E86">
        <w:rPr>
          <w:rFonts w:ascii="Arial" w:hAnsi="Arial" w:cs="Arial"/>
          <w:sz w:val="20"/>
          <w:szCs w:val="20"/>
          <w:highlight w:val="yellow"/>
        </w:rPr>
        <w:t xml:space="preserve">resolved etc. especially when dealing with complex samples. This is because more details about mixture composition are necessary for comparison with databases. The resulting data from NMR can always be simply interpreted directly when compared to the analysis done by MS on the same sample. The main steps in NMR-based metabolomics are sample storage, sample preparation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10.1016/j.aca.2012.05.049","ISSN":"0003-2670","author":[{"dropping-particle":"","family":"Smolinska","given":"Agnieszka","non-dropping-particle":"","parse-names":false,"suffix":""},{"dropping-particle":"","family":"Blanchet","given":"Lionel","non-dropping-particle":"","parse-names":false,"suffix":""},{"dropping-particle":"","family":"Buydens","given":"Lutgarde M C","non-dropping-particle":"","parse-names":false,"suffix":""},{"dropping-particle":"","family":"Wijmenga","given":"Sybren S","non-dropping-particle":"","parse-names":false,"suffix":""}],"container-title":"Analytica Chimica Acta","id":"ITEM-1","issued":{"date-parts":[["2012"]]},"page":"82-97","publisher":"Elsevier B.V.","title":"NMR and pattern recognition methods in metabolomics : From data acquisition to biomarker discovery : A review","type":"article-journal","volume":"750"},"uris":["http://www.mendeley.com/documents/?uuid=23b6217e-525a-4688-b732-e1d811302342"]}],"mendeley":{"formattedCitation":"(Smolinska et al., 2012)","manualFormatting":"(Smolinska et al., 2012","plainTextFormattedCitation":"(Smolinska et al., 2012)","previouslyFormattedCitation":"(Smolinska, Blanchet, Buydens, &amp; Wijmenga, 2012)"},"properties":{"noteIndex":0},"schema":"https://github.com/citation-style-language/schema/raw/master/csl-citation.json"}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(Smolinska et al., 2012</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{"citationItems":[{"id":"ITEM-1","itemData":{"DOI":"10.1038/nprot.2007.376","ISSN":"17502799","abstract":"Metabolic profiling, metabolomic and metabonomic studies mainly involve the multicomponent analysis of biological fluids, tissue and cell extracts using NMR spectroscopy and/or mass spectrometry (MS). We summarize the main NMR spectroscopic applications in modern metabolic research, and provide detailed protocols for biofluid (urine, serum/plasma) and tissue sample collection and preparation, including the extraction of polar and lipophilic metabolites from tissues. 1H NMR spectroscopic techniques such as standard 1D spectroscopy, relaxation-edited, diffusion-edited and 2D J-resolved pulse sequences are widely used at the analysis stage to monitor different groups of metabolites and are described here. They are often followed by more detailed statistical analysis or additional 2D NMR analysis for biomarker discovery. The standard acquisition time per sample is 4-5 min for a simple 1D spectrum, and both preparation and analysis can be automated to allow application to high-throughput screening for clinical diagnostic and toxicological studies, as well as molecular phenotyping and functional genomics.","author":[{"dropping-particle":"","family":"Beckonert","given":"Olaf","non-dropping-particle":"","parse-names":false,"suffix":""},{"dropping-particle":"","family":"Keun","given":"Hector C.","non-dropping-particle":"","parse-names":false,"suffix":""},{"dropping-particle":"","family":"Ebbels","given":"Timothy M.D.","non-dropping-particle":"","parse-names":false,"suffix":""},{"dropping-particle":"","family":"Bundy","given":"Jacob","non-dropping-particle":"","parse-names":false,"suffix":""},{"dropping-particle":"","family":"Holmes","given":"Elaine","non-dropping-particle":"","parse-names":false,"suffix":""},{"dropping-particle":"","family":"Lindon","given":"John C.","non-dropping-particle":"","parse-names":false,"suffix":""},{"dropping-particle":"","family":"Nicholson","given":"Jeremy K.","non-dropping-particle":"","parse-names":false,"suffix":""}],"container-title":"Nature protocols","id":"ITEM-1","issue":"11","issued":{"date-parts":[["2007"]]},"page":"2692-2703","title":"Metabolic profiling, metabolomic and metabonomic procedures for NMR spectroscopy of urine, plasma, serum and tissue extracts.","type":"article-journal","volume":"2"},"uris":["http://www.mendeley.com/documents/?uuid=5bfa475a-de23-4623-beaa-55a6abcc5228"]}],"mendeley":{"formattedCitation":"(Beckonert et al., 2007)","manualFormatting":"Beckonert et al., 2007","plainTextFormattedCitation":"(Beckonert et al., 2007)","previouslyFormattedCitation":"(Beckonert et al., 2007)"},"properties":{"noteIndex":0},"schema":"https://github.com/citation-style-language/schema/raw/master/csl-citation.json"}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Beckonert et al., 2007</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10.1007/s10858-011-9489-1","author":[{"dropping-particle":"","family":"Bernini","given":"Patrizia","non-dropping-particle":"","parse-names":false,"suffix":""},{"dropping-particle":"","family":"Bertini","given":"Ivano","non-dropping-particle":"","parse-names":false,"suffix":""},{"dropping-particle":"","family":"Luchinat","given":"Claudio","non-dropping-particle":"","parse-names":false,"suffix":""},{"dropping-particle":"","family":"Turano","given":"Paola","non-dropping-particle":"","parse-names":false,"suffix":""}],"container-title":"Journal of Biomolecular NMR","id":"ITEM-1","issued":{"date-parts":[["2011"]]},"page":"231-243","title":"Standard operating procedures for pre-analytical handling of blood and urine for metabolomic studies and biobanks","type":"article-journal","volume":"49"},"uris":["http://www.mendeley.com/documents/?uuid=26d04b08-9ccb-4bd2-b4c1-cba82de726b6"]}],"mendeley":{"formattedCitation":"(Bernini et al., 2011)","manualFormatting":"Bernini et al., 2011)","plainTextFormattedCitation":"(Bernini et al., 2011)","previouslyFormattedCitation":"(Bernini, Bertini, Luchinat, &amp; Turano, 2011)"},"properties":{"noteIndex":0},"schema":"https://github.com/citation-style-language/schema/raw/master/csl-citation.json"}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Bernini et al., 2011)</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data acquisition and processing of spectra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{"citationItems":[{"id":"ITEM-1","itemData":{"DOI":"10.1016/j.pnmrs.2011.02.001","author":[{"dropping-particle":"","family":"Izquierdo-garcía","given":"Jose L","non-dropping-particle":"","parse-names":false,"suffix":""},{"dropping-particle":"","family":"Villa","given":"Palmira","non-dropping-particle":"","parse-names":false,"suffix":""},{"dropping-particle":"","family":"Kyriazis","given":"Angelos","non-dropping-particle":"","parse-names":false,"suffix":""},{"dropping-particle":"","family":"Puerto-nevado","given":"Laura","non-dropping-particle":"","parse-names":false,"suffix":""},{"dropping-particle":"","family":"Pérez-rial","given":"Sandra","non-dropping-particle":"","parse-names":false,"suffix":""},{"dropping-particle":"","family":"Rodriguez","given":"Ignacio","non-dropping-particle":"","parse-names":false,"suffix":""},{"dropping-particle":"","family":"Hernandez","given":"Natalia","non-dropping-particle":"","parse-names":false,"suffix":""},{"dropping-particle":"","family":"Ruiz-cabello","given":"Jesús","non-dropping-particle":"","parse-names":false,"suffix":""}],"container-title":"Progress in Nuclear Magnetic Resonance Spectroscopy","id":"ITEM-1","issued":{"date-parts":[["2011"]]},"page":"263-270","title":"Descriptive review of current NMR-based metabolomic data analysis packages","type":"article-journal","volume":"59"},"uris":["http://www.mendeley.com/documents/?uuid=53cecc53-4335-430c-85d9-0e8ed09cf41b"]}],"mendeley":{"formattedCitation":"(Izquierdo-garcía et al., 2011)","manualFormatting":"(Izquierdo-garcía et al., 2011","plainTextFormattedCitation":"(Izquierdo-garcía et al., 2011)","previouslyFormattedCitation":"(Izquierdo-garcía et al., 2011)"},"properties":{"noteIndex":0},"schema":"https://github.com/citation-style-language/schema/raw/master/csl-citation.json"}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(Izquierdo-garcía et al., 2011</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{"citationItems":[{"id":"ITEM-1","itemData":{"DOI":"10.3109/00365513.2014.1003593","author":[{"dropping-particle":"","family":"Euceda","given":"Leslie R","non-dropping-particle":"","parse-names":false,"suffix":""},{"dropping-particle":"","family":"Giskeødegård","given":"Guro F","non-dropping-particle":"","parse-names":false,"suffix":""},{"dropping-particle":"","family":"Bathen","given":"Tone F","non-dropping-particle":"","parse-names":false,"suffix":""}],"container-title":"Scandinavian Journal of Clinical &amp; Laboratory Investigation","id":"ITEM-1","issued":{"date-parts":[["2015"]]},"page":"193-203","title":"Preprocessing of NMR metabolomics data","type":"article-journal","volume":"75"},"uris":["http://www.mendeley.com/documents/?uuid=a1e9eff1-8c8e-4cd2-a4a5-668ffa716fd2"]}],"mendeley":{"formattedCitation":"(Euceda et al., 2015)","manualFormatting":"Euceda et al., 2015)","plainTextFormattedCitation":"(Euceda et al., 2015)","previouslyFormattedCitation":"(Euceda, Giskeødegård, &amp; Bathen, 2015)"},"properties":{"noteIndex":0},"schema":"https://github.com/citation-style-language/schema/raw/master/csl-citation.json"}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Euceda et al., 2015)</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multivariate statistical data analysis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10.2174/2213235X11301010092.Multivariate","author":[{"dropping-particle":"","family":"Worley","given":"Bradley","non-dropping-particle":"","parse-names":false,"suffix":""},{"dropping-particle":"","family":"Powers","given":"Robert","non-dropping-particle":"","parse-names":false,"suffix":""}],"container-title":"Current Metabolomics","id":"ITEM-1","issue":"1","issued":{"date-parts":[["2015"]]},"page":"92-107","title":"HHS Public Access","type":"article-journal","volume":"1"},"uris":["http://www.mendeley.com/documents/?uuid=80284b52-22b1-4a24-983f-cd33e3d967bd"]}],"mendeley":{"formattedCitation":"(Worley &amp; Powers, 2015)","plainTextFormattedCitation":"(Worley &amp; Powers, 2015)","previouslyFormattedCitation":"(Worley &amp; Powers, 2015)"},"properties":{"noteIndex":0},"schema":"https://github.com/citation-style-language/schema/raw/master/csl-citation.json"}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(Worley &amp; Powers, 2015)</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search for key-metabolites by metabolic profiling and finally identification of potential biomarkers.</w:t>
      </w:r>
    </w:p>
    <w:p w14:paraId="444ADE68" w14:textId="77777777" w:rsidR="00600E86" w:rsidRPr="00600E86" w:rsidRDefault="00600E86" w:rsidP="00600E86">
      <w:pPr>
        <w:jc w:val="both"/>
        <w:rPr>
          <w:rFonts w:ascii="Arial" w:hAnsi="Arial" w:cs="Arial"/>
          <w:sz w:val="20"/>
          <w:szCs w:val="20"/>
          <w:lang w:val="en-GB"/>
        </w:rPr>
      </w:pPr>
    </w:p>
    <w:p w14:paraId="212E7D76" w14:textId="77777777" w:rsidR="006B7BC9" w:rsidRPr="006B7BC9" w:rsidRDefault="006B7BC9" w:rsidP="006B7BC9">
      <w:pPr>
        <w:rPr>
          <w:lang w:val="en-GB"/>
        </w:rPr>
      </w:pPr>
    </w:p>
    <w:p w14:paraId="2CFDDF99" w14:textId="66D3306E" w:rsidR="00EB6AE8" w:rsidRPr="00E47F58" w:rsidRDefault="00982E49" w:rsidP="002C772B">
      <w:pPr>
        <w:pStyle w:val="Heading2"/>
      </w:pPr>
      <w:bookmarkStart w:id="4" w:name="_Toc49955748"/>
      <w:bookmarkStart w:id="5" w:name="_Toc50652439"/>
      <w:r w:rsidRPr="00E47F58">
        <w:lastRenderedPageBreak/>
        <w:t>2.0</w:t>
      </w:r>
      <w:r w:rsidRPr="00E47F58">
        <w:tab/>
        <w:t xml:space="preserve">MATERIALS AND </w:t>
      </w:r>
      <w:r w:rsidR="00123C53" w:rsidRPr="00E47F58">
        <w:t>METH</w:t>
      </w:r>
      <w:bookmarkEnd w:id="4"/>
      <w:bookmarkEnd w:id="5"/>
      <w:r w:rsidRPr="00E47F58">
        <w:t>ODS</w:t>
      </w:r>
    </w:p>
    <w:p w14:paraId="2DA6656E" w14:textId="1AA26CC2" w:rsidR="00A60DD7" w:rsidRPr="00925661" w:rsidRDefault="00A60DD7" w:rsidP="002C772B">
      <w:pPr>
        <w:pStyle w:val="Heading2"/>
        <w:rPr>
          <w:highlight w:val="yellow"/>
        </w:rPr>
      </w:pPr>
      <w:bookmarkStart w:id="6" w:name="_Toc49955746"/>
      <w:bookmarkStart w:id="7" w:name="_Toc50652437"/>
      <w:r w:rsidRPr="00925661">
        <w:rPr>
          <w:highlight w:val="yellow"/>
        </w:rPr>
        <w:t>2.1</w:t>
      </w:r>
      <w:r w:rsidRPr="00925661">
        <w:rPr>
          <w:highlight w:val="yellow"/>
        </w:rPr>
        <w:tab/>
        <w:t>Instruments</w:t>
      </w:r>
      <w:bookmarkEnd w:id="6"/>
      <w:bookmarkEnd w:id="7"/>
    </w:p>
    <w:p w14:paraId="638DF3C4" w14:textId="77777777" w:rsidR="00A60DD7" w:rsidRPr="00925661" w:rsidRDefault="00A60DD7" w:rsidP="00A60DD7">
      <w:pPr>
        <w:pStyle w:val="single"/>
        <w:rPr>
          <w:rFonts w:ascii="Arial" w:hAnsi="Arial" w:cs="Arial"/>
          <w:sz w:val="20"/>
          <w:szCs w:val="20"/>
          <w:highlight w:val="yellow"/>
          <w:lang w:val="en-GB"/>
        </w:rPr>
      </w:pPr>
      <w:r w:rsidRPr="00925661">
        <w:rPr>
          <w:rFonts w:ascii="Arial" w:hAnsi="Arial" w:cs="Arial"/>
          <w:sz w:val="20"/>
          <w:szCs w:val="20"/>
          <w:highlight w:val="yellow"/>
        </w:rPr>
        <w:t xml:space="preserve">700 MHz Bruker Ascend Nuclear Magnetic Resonance Spectrometer (NMR) with cryo-probe (Bruker Inc., </w:t>
      </w:r>
      <w:hyperlink r:id="rId8" w:tooltip="Billerica, Massachusetts" w:history="1">
        <w:r w:rsidRPr="00925661">
          <w:rPr>
            <w:rStyle w:val="Hyperlink"/>
            <w:rFonts w:ascii="Arial" w:hAnsi="Arial" w:cs="Arial"/>
            <w:color w:val="auto"/>
            <w:sz w:val="20"/>
            <w:szCs w:val="20"/>
            <w:highlight w:val="yellow"/>
            <w:u w:val="none"/>
            <w:lang w:val="en-SG"/>
          </w:rPr>
          <w:t>Billerica, Massachusetts</w:t>
        </w:r>
      </w:hyperlink>
      <w:r w:rsidRPr="00925661">
        <w:rPr>
          <w:rFonts w:ascii="Arial" w:hAnsi="Arial" w:cs="Arial"/>
          <w:color w:val="auto"/>
          <w:sz w:val="20"/>
          <w:szCs w:val="20"/>
          <w:highlight w:val="yellow"/>
          <w:lang w:val="en-SG"/>
        </w:rPr>
        <w:t xml:space="preserve">, </w:t>
      </w:r>
      <w:r w:rsidRPr="00925661">
        <w:rPr>
          <w:rFonts w:ascii="Arial" w:hAnsi="Arial" w:cs="Arial"/>
          <w:sz w:val="20"/>
          <w:szCs w:val="20"/>
          <w:highlight w:val="yellow"/>
          <w:lang w:val="en-SG"/>
        </w:rPr>
        <w:t>USA) for spleen analysis</w:t>
      </w:r>
      <w:r w:rsidRPr="00925661">
        <w:rPr>
          <w:rFonts w:ascii="Arial" w:hAnsi="Arial" w:cs="Arial"/>
          <w:sz w:val="20"/>
          <w:szCs w:val="20"/>
          <w:highlight w:val="yellow"/>
        </w:rPr>
        <w:t xml:space="preserve">, </w:t>
      </w:r>
      <w:proofErr w:type="spellStart"/>
      <w:r w:rsidRPr="00925661">
        <w:rPr>
          <w:rFonts w:ascii="Arial" w:hAnsi="Arial" w:cs="Arial"/>
          <w:sz w:val="20"/>
          <w:szCs w:val="20"/>
          <w:highlight w:val="yellow"/>
          <w:lang w:val="en-GB"/>
        </w:rPr>
        <w:t>Chenomx</w:t>
      </w:r>
      <w:proofErr w:type="spellEnd"/>
      <w:r w:rsidRPr="00925661">
        <w:rPr>
          <w:rFonts w:ascii="Arial" w:hAnsi="Arial" w:cs="Arial"/>
          <w:sz w:val="20"/>
          <w:szCs w:val="20"/>
          <w:highlight w:val="yellow"/>
          <w:lang w:val="en-GB"/>
        </w:rPr>
        <w:t xml:space="preserve"> NMR Suite (</w:t>
      </w:r>
      <w:proofErr w:type="spellStart"/>
      <w:r w:rsidRPr="00925661">
        <w:rPr>
          <w:rFonts w:ascii="Arial" w:hAnsi="Arial" w:cs="Arial"/>
          <w:sz w:val="20"/>
          <w:szCs w:val="20"/>
          <w:highlight w:val="yellow"/>
          <w:lang w:val="en-GB"/>
        </w:rPr>
        <w:t>Chenomx</w:t>
      </w:r>
      <w:proofErr w:type="spellEnd"/>
      <w:r w:rsidRPr="00925661">
        <w:rPr>
          <w:rFonts w:ascii="Arial" w:hAnsi="Arial" w:cs="Arial"/>
          <w:sz w:val="20"/>
          <w:szCs w:val="20"/>
          <w:highlight w:val="yellow"/>
          <w:lang w:val="en-GB"/>
        </w:rPr>
        <w:t xml:space="preserve"> Inc.,</w:t>
      </w:r>
      <w:r w:rsidRPr="00925661">
        <w:rPr>
          <w:rFonts w:ascii="Arial" w:hAnsi="Arial" w:cs="Arial"/>
          <w:sz w:val="20"/>
          <w:szCs w:val="20"/>
          <w:highlight w:val="yellow"/>
        </w:rPr>
        <w:t xml:space="preserve"> Edmonton, Canada), </w:t>
      </w:r>
      <w:proofErr w:type="spellStart"/>
      <w:r w:rsidRPr="00925661">
        <w:rPr>
          <w:rFonts w:ascii="Arial" w:hAnsi="Arial" w:cs="Arial"/>
          <w:sz w:val="20"/>
          <w:szCs w:val="20"/>
          <w:highlight w:val="yellow"/>
          <w:lang w:val="en-GB"/>
        </w:rPr>
        <w:t>MestRenova</w:t>
      </w:r>
      <w:proofErr w:type="spellEnd"/>
      <w:r w:rsidRPr="00925661">
        <w:rPr>
          <w:rFonts w:ascii="Arial" w:hAnsi="Arial" w:cs="Arial"/>
          <w:sz w:val="20"/>
          <w:szCs w:val="20"/>
          <w:highlight w:val="yellow"/>
          <w:lang w:val="en-GB"/>
        </w:rPr>
        <w:t xml:space="preserve"> (version 6.02-5475 </w:t>
      </w:r>
      <w:proofErr w:type="spellStart"/>
      <w:r w:rsidRPr="00925661">
        <w:rPr>
          <w:rFonts w:ascii="Arial" w:hAnsi="Arial" w:cs="Arial"/>
          <w:sz w:val="20"/>
          <w:szCs w:val="20"/>
          <w:highlight w:val="yellow"/>
          <w:lang w:val="en-GB"/>
        </w:rPr>
        <w:t>Mestrelab</w:t>
      </w:r>
      <w:proofErr w:type="spellEnd"/>
      <w:r w:rsidRPr="00925661">
        <w:rPr>
          <w:rFonts w:ascii="Arial" w:hAnsi="Arial" w:cs="Arial"/>
          <w:sz w:val="20"/>
          <w:szCs w:val="20"/>
          <w:highlight w:val="yellow"/>
          <w:lang w:val="en-GB"/>
        </w:rPr>
        <w:t xml:space="preserve"> Research, Santiago de </w:t>
      </w:r>
      <w:proofErr w:type="spellStart"/>
      <w:r w:rsidRPr="00925661">
        <w:rPr>
          <w:rFonts w:ascii="Arial" w:hAnsi="Arial" w:cs="Arial"/>
          <w:sz w:val="20"/>
          <w:szCs w:val="20"/>
          <w:highlight w:val="yellow"/>
          <w:lang w:val="en-GB"/>
        </w:rPr>
        <w:t>Compostella</w:t>
      </w:r>
      <w:proofErr w:type="spellEnd"/>
      <w:r w:rsidRPr="00925661">
        <w:rPr>
          <w:rFonts w:ascii="Arial" w:hAnsi="Arial" w:cs="Arial"/>
          <w:sz w:val="20"/>
          <w:szCs w:val="20"/>
          <w:highlight w:val="yellow"/>
          <w:lang w:val="en-GB"/>
        </w:rPr>
        <w:t>, Spain) for NMR data processing</w:t>
      </w:r>
      <w:r w:rsidRPr="00925661">
        <w:rPr>
          <w:rFonts w:ascii="Arial" w:hAnsi="Arial" w:cs="Arial"/>
          <w:sz w:val="20"/>
          <w:szCs w:val="20"/>
          <w:highlight w:val="yellow"/>
        </w:rPr>
        <w:t xml:space="preserve">, SIMCA </w:t>
      </w:r>
      <w:proofErr w:type="spellStart"/>
      <w:r w:rsidRPr="00925661">
        <w:rPr>
          <w:rFonts w:ascii="Arial" w:hAnsi="Arial" w:cs="Arial"/>
          <w:sz w:val="20"/>
          <w:szCs w:val="20"/>
          <w:highlight w:val="yellow"/>
        </w:rPr>
        <w:t>Umetrics</w:t>
      </w:r>
      <w:proofErr w:type="spellEnd"/>
      <w:r w:rsidRPr="00925661">
        <w:rPr>
          <w:rFonts w:ascii="Arial" w:hAnsi="Arial" w:cs="Arial"/>
          <w:sz w:val="20"/>
          <w:szCs w:val="20"/>
          <w:highlight w:val="yellow"/>
        </w:rPr>
        <w:t xml:space="preserve"> 14.1 (Sartorius </w:t>
      </w:r>
      <w:proofErr w:type="spellStart"/>
      <w:r w:rsidRPr="00925661">
        <w:rPr>
          <w:rFonts w:ascii="Arial" w:hAnsi="Arial" w:cs="Arial"/>
          <w:sz w:val="20"/>
          <w:szCs w:val="20"/>
          <w:highlight w:val="yellow"/>
        </w:rPr>
        <w:t>Stedim</w:t>
      </w:r>
      <w:proofErr w:type="spellEnd"/>
      <w:r w:rsidRPr="00925661">
        <w:rPr>
          <w:rFonts w:ascii="Arial" w:hAnsi="Arial" w:cs="Arial"/>
          <w:sz w:val="20"/>
          <w:szCs w:val="20"/>
          <w:highlight w:val="yellow"/>
        </w:rPr>
        <w:t xml:space="preserve"> Biotech, Sweden) for MVA.</w:t>
      </w:r>
    </w:p>
    <w:p w14:paraId="57CD98FE" w14:textId="13FB7E06" w:rsidR="00A60DD7" w:rsidRPr="00925661" w:rsidRDefault="00A60DD7" w:rsidP="002C772B">
      <w:pPr>
        <w:pStyle w:val="Heading2"/>
        <w:rPr>
          <w:highlight w:val="yellow"/>
        </w:rPr>
      </w:pPr>
      <w:bookmarkStart w:id="8" w:name="_Toc49955747"/>
      <w:bookmarkStart w:id="9" w:name="_Toc50652438"/>
      <w:r w:rsidRPr="00925661">
        <w:rPr>
          <w:highlight w:val="yellow"/>
        </w:rPr>
        <w:t>2.2</w:t>
      </w:r>
      <w:r w:rsidRPr="00925661">
        <w:rPr>
          <w:highlight w:val="yellow"/>
        </w:rPr>
        <w:tab/>
        <w:t>Chemicals</w:t>
      </w:r>
      <w:bookmarkEnd w:id="8"/>
      <w:bookmarkEnd w:id="9"/>
    </w:p>
    <w:p w14:paraId="4EF5CAE5" w14:textId="4C5663A7" w:rsidR="00A60DD7" w:rsidRDefault="00A60DD7" w:rsidP="00A60DD7">
      <w:pPr>
        <w:pStyle w:val="single"/>
        <w:rPr>
          <w:sz w:val="20"/>
          <w:szCs w:val="20"/>
        </w:rPr>
      </w:pPr>
      <w:r w:rsidRPr="00925661">
        <w:rPr>
          <w:rFonts w:ascii="Arial" w:hAnsi="Arial" w:cs="Arial"/>
          <w:sz w:val="20"/>
          <w:szCs w:val="20"/>
          <w:highlight w:val="yellow"/>
        </w:rPr>
        <w:t xml:space="preserve">MS2, Methanol, Deuterated water, Phosphate buffer, Sodium </w:t>
      </w:r>
      <w:proofErr w:type="spellStart"/>
      <w:r w:rsidRPr="00925661">
        <w:rPr>
          <w:rFonts w:ascii="Arial" w:hAnsi="Arial" w:cs="Arial"/>
          <w:sz w:val="20"/>
          <w:szCs w:val="20"/>
          <w:highlight w:val="yellow"/>
        </w:rPr>
        <w:t>azide</w:t>
      </w:r>
      <w:proofErr w:type="spellEnd"/>
      <w:r w:rsidRPr="00925661">
        <w:rPr>
          <w:rFonts w:ascii="Arial" w:hAnsi="Arial" w:cs="Arial"/>
          <w:sz w:val="20"/>
          <w:szCs w:val="20"/>
          <w:highlight w:val="yellow"/>
        </w:rPr>
        <w:t xml:space="preserve"> (NaN</w:t>
      </w:r>
      <w:r w:rsidRPr="00925661">
        <w:rPr>
          <w:rFonts w:ascii="Arial" w:hAnsi="Arial" w:cs="Arial"/>
          <w:sz w:val="20"/>
          <w:szCs w:val="20"/>
          <w:highlight w:val="yellow"/>
          <w:vertAlign w:val="subscript"/>
        </w:rPr>
        <w:t>3</w:t>
      </w:r>
      <w:r w:rsidRPr="00925661">
        <w:rPr>
          <w:rFonts w:ascii="Arial" w:hAnsi="Arial" w:cs="Arial"/>
          <w:sz w:val="20"/>
          <w:szCs w:val="20"/>
          <w:highlight w:val="yellow"/>
        </w:rPr>
        <w:t>), Trimethylsilyl propanoic acid (TSP).</w:t>
      </w:r>
    </w:p>
    <w:p w14:paraId="2277C1BB" w14:textId="2B412592" w:rsidR="00586825" w:rsidRPr="00E47F58" w:rsidRDefault="00982E49" w:rsidP="00E47F58">
      <w:pPr>
        <w:pStyle w:val="Heading3"/>
        <w:rPr>
          <w:sz w:val="20"/>
          <w:szCs w:val="20"/>
        </w:rPr>
      </w:pPr>
      <w:r w:rsidRPr="00E47F58">
        <w:rPr>
          <w:sz w:val="20"/>
          <w:szCs w:val="20"/>
        </w:rPr>
        <w:t>2</w:t>
      </w:r>
      <w:r w:rsidR="00A60DD7">
        <w:rPr>
          <w:sz w:val="20"/>
          <w:szCs w:val="20"/>
        </w:rPr>
        <w:t>.3</w:t>
      </w:r>
      <w:r w:rsidRPr="00E47F58">
        <w:rPr>
          <w:sz w:val="20"/>
          <w:szCs w:val="20"/>
        </w:rPr>
        <w:tab/>
      </w:r>
      <w:r w:rsidR="00586825" w:rsidRPr="00E47F58">
        <w:rPr>
          <w:sz w:val="20"/>
          <w:szCs w:val="20"/>
        </w:rPr>
        <w:t>Fish acclimatization and Ethical clearance</w:t>
      </w:r>
    </w:p>
    <w:p w14:paraId="674FF1E8" w14:textId="306E07F6"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One hundred and ten juvenile Nile tilapia </w:t>
      </w:r>
      <w:proofErr w:type="spellStart"/>
      <w:r w:rsidR="0022766E" w:rsidRPr="00E47F58">
        <w:rPr>
          <w:rFonts w:ascii="Arial" w:hAnsi="Arial" w:cs="Arial"/>
          <w:i/>
          <w:sz w:val="20"/>
          <w:szCs w:val="20"/>
        </w:rPr>
        <w:t>oreochromis</w:t>
      </w:r>
      <w:proofErr w:type="spellEnd"/>
      <w:r w:rsidR="0022766E" w:rsidRPr="00E47F58">
        <w:rPr>
          <w:rFonts w:ascii="Arial" w:hAnsi="Arial" w:cs="Arial"/>
          <w:i/>
          <w:sz w:val="20"/>
          <w:szCs w:val="20"/>
        </w:rPr>
        <w:t xml:space="preserve"> </w:t>
      </w:r>
      <w:proofErr w:type="spellStart"/>
      <w:r w:rsidR="0022766E" w:rsidRPr="00E47F58">
        <w:rPr>
          <w:rFonts w:ascii="Arial" w:hAnsi="Arial" w:cs="Arial"/>
          <w:i/>
          <w:sz w:val="20"/>
          <w:szCs w:val="20"/>
        </w:rPr>
        <w:t>niloticus</w:t>
      </w:r>
      <w:proofErr w:type="spellEnd"/>
      <w:r w:rsidR="0022766E" w:rsidRPr="00E47F58">
        <w:rPr>
          <w:rFonts w:ascii="Arial" w:hAnsi="Arial" w:cs="Arial"/>
          <w:i/>
          <w:sz w:val="20"/>
          <w:szCs w:val="20"/>
        </w:rPr>
        <w:t xml:space="preserve"> </w:t>
      </w:r>
      <w:r w:rsidRPr="00E47F58">
        <w:rPr>
          <w:rFonts w:ascii="Arial" w:hAnsi="Arial" w:cs="Arial"/>
          <w:sz w:val="20"/>
          <w:szCs w:val="20"/>
        </w:rPr>
        <w:t>(</w:t>
      </w:r>
      <w:r w:rsidRPr="00E47F58">
        <w:rPr>
          <w:rFonts w:ascii="Arial" w:hAnsi="Arial" w:cs="Arial"/>
          <w:i/>
          <w:sz w:val="20"/>
          <w:szCs w:val="20"/>
        </w:rPr>
        <w:t xml:space="preserve">O.  </w:t>
      </w:r>
      <w:proofErr w:type="spellStart"/>
      <w:r w:rsidRPr="00E47F58">
        <w:rPr>
          <w:rFonts w:ascii="Arial" w:hAnsi="Arial" w:cs="Arial"/>
          <w:i/>
          <w:sz w:val="20"/>
          <w:szCs w:val="20"/>
        </w:rPr>
        <w:t>niloticus</w:t>
      </w:r>
      <w:proofErr w:type="spellEnd"/>
      <w:r w:rsidRPr="00E47F58">
        <w:rPr>
          <w:rFonts w:ascii="Arial" w:hAnsi="Arial" w:cs="Arial"/>
          <w:sz w:val="20"/>
          <w:szCs w:val="20"/>
        </w:rPr>
        <w:t xml:space="preserve">) with an average weight of 60 ± 0.5 g (mean ± SE) were obtained from Taman </w:t>
      </w:r>
      <w:proofErr w:type="spellStart"/>
      <w:r w:rsidRPr="00E47F58">
        <w:rPr>
          <w:rFonts w:ascii="Arial" w:hAnsi="Arial" w:cs="Arial"/>
          <w:sz w:val="20"/>
          <w:szCs w:val="20"/>
        </w:rPr>
        <w:t>Pertanian</w:t>
      </w:r>
      <w:proofErr w:type="spellEnd"/>
      <w:r w:rsidRPr="00E47F58">
        <w:rPr>
          <w:rFonts w:ascii="Arial" w:hAnsi="Arial" w:cs="Arial"/>
          <w:sz w:val="20"/>
          <w:szCs w:val="20"/>
        </w:rPr>
        <w:t xml:space="preserve"> </w:t>
      </w:r>
      <w:proofErr w:type="spellStart"/>
      <w:r w:rsidRPr="00E47F58">
        <w:rPr>
          <w:rFonts w:ascii="Arial" w:hAnsi="Arial" w:cs="Arial"/>
          <w:sz w:val="20"/>
          <w:szCs w:val="20"/>
        </w:rPr>
        <w:t>Universiti</w:t>
      </w:r>
      <w:proofErr w:type="spellEnd"/>
      <w:r w:rsidRPr="00E47F58">
        <w:rPr>
          <w:rFonts w:ascii="Arial" w:hAnsi="Arial" w:cs="Arial"/>
          <w:sz w:val="20"/>
          <w:szCs w:val="20"/>
        </w:rPr>
        <w:t xml:space="preserve"> (TPU), </w:t>
      </w:r>
      <w:proofErr w:type="spellStart"/>
      <w:r w:rsidRPr="00E47F58">
        <w:rPr>
          <w:rFonts w:ascii="Arial" w:hAnsi="Arial" w:cs="Arial"/>
          <w:sz w:val="20"/>
          <w:szCs w:val="20"/>
        </w:rPr>
        <w:t>Universiti</w:t>
      </w:r>
      <w:proofErr w:type="spellEnd"/>
      <w:r w:rsidRPr="00E47F58">
        <w:rPr>
          <w:rFonts w:ascii="Arial" w:hAnsi="Arial" w:cs="Arial"/>
          <w:sz w:val="20"/>
          <w:szCs w:val="20"/>
        </w:rPr>
        <w:t xml:space="preserve"> Putra Malaysia. The fish were acclimatized in glass aquaria (80 x 40 x 30 cm) for 2 weeks and fed a 1% body weight (</w:t>
      </w:r>
      <w:proofErr w:type="spellStart"/>
      <w:r w:rsidRPr="00E47F58">
        <w:rPr>
          <w:rFonts w:ascii="Arial" w:hAnsi="Arial" w:cs="Arial"/>
          <w:sz w:val="20"/>
          <w:szCs w:val="20"/>
        </w:rPr>
        <w:t>bw</w:t>
      </w:r>
      <w:proofErr w:type="spellEnd"/>
      <w:r w:rsidRPr="00E47F58">
        <w:rPr>
          <w:rFonts w:ascii="Arial" w:hAnsi="Arial" w:cs="Arial"/>
          <w:sz w:val="20"/>
          <w:szCs w:val="20"/>
        </w:rPr>
        <w:t xml:space="preserve">) commercial diet daily before the initiation of the experiment. The water temperature was kept at 25-28 °C, while pH and dissolved oxygen were maintained at 6.9-7.3 and 9-12 mg/L, respectively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{"citationItems":[{"id":"ITEM-1","itemData":{"DOI":"10.2105/AJPH.56.3.387","ISSN":"00029572","PMID":"5948695","author":[{"dropping-particle":"","family":"Gilcreas","given":"F. W.","non-dropping-particle":"","parse-names":false,"suffix":""}],"container-title":"American journal of public health and the nation's health","id":"ITEM-1","issue":"3","issued":{"date-parts":[["1966"]]},"page":"387-388","title":"Standard methods for the examination of water and waste water.","type":"article-journal","volume":"56"},"uris":["http://www.mendeley.com/documents/?uuid=5adfd6ab-b3a1-45e3-bd7f-2e007f9ac92f","http://www.mendeley.com/documents/?uuid=58993a2f-4362-40ec-a891-dcfe0ceed07e"]}],"mendeley":{"formattedCitation":"(Gilcreas, 1966)","plainTextFormattedCitation":"(Gilcreas, 1966)","previouslyFormattedCitation":"(Gilcreas 1966)"},"properties":{"noteIndex":0},"schema":"https://github.com/citation-style-language/schema/raw/master/csl-citation.json"}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(Gilcreas, 1966)</w:t>
      </w:r>
      <w:r w:rsidRPr="00E47F58">
        <w:rPr>
          <w:rFonts w:ascii="Arial" w:hAnsi="Arial" w:cs="Arial"/>
          <w:sz w:val="20"/>
          <w:szCs w:val="20"/>
        </w:rPr>
        <w:fldChar w:fldCharType="end"/>
      </w:r>
      <w:r w:rsidRPr="00E47F58">
        <w:rPr>
          <w:rFonts w:ascii="Arial" w:hAnsi="Arial" w:cs="Arial"/>
          <w:sz w:val="20"/>
          <w:szCs w:val="20"/>
        </w:rPr>
        <w:t xml:space="preserve">. </w:t>
      </w:r>
      <w:r w:rsidRPr="00925661">
        <w:rPr>
          <w:rFonts w:ascii="Arial" w:hAnsi="Arial" w:cs="Arial"/>
          <w:sz w:val="20"/>
          <w:szCs w:val="20"/>
          <w:highlight w:val="yellow"/>
        </w:rPr>
        <w:t xml:space="preserve">All experiments were approved by the </w:t>
      </w:r>
      <w:proofErr w:type="spellStart"/>
      <w:r w:rsidRPr="00925661">
        <w:rPr>
          <w:rFonts w:ascii="Arial" w:hAnsi="Arial" w:cs="Arial"/>
          <w:sz w:val="20"/>
          <w:szCs w:val="20"/>
          <w:highlight w:val="yellow"/>
        </w:rPr>
        <w:t>Universiti</w:t>
      </w:r>
      <w:proofErr w:type="spellEnd"/>
      <w:r w:rsidRPr="00925661">
        <w:rPr>
          <w:rFonts w:ascii="Arial" w:hAnsi="Arial" w:cs="Arial"/>
          <w:sz w:val="20"/>
          <w:szCs w:val="20"/>
          <w:highlight w:val="yellow"/>
        </w:rPr>
        <w:t xml:space="preserve"> Putra Malaysia Institutional Animal Care and Use Committee (UPM/IACUC/AUP-R080/2018).</w:t>
      </w:r>
    </w:p>
    <w:p w14:paraId="01003C5C" w14:textId="482FA4CA" w:rsidR="00EB6AE8" w:rsidRPr="00E47F58" w:rsidRDefault="00A60DD7" w:rsidP="00E47F58">
      <w:pPr>
        <w:pStyle w:val="Heading3"/>
        <w:rPr>
          <w:sz w:val="20"/>
          <w:szCs w:val="20"/>
        </w:rPr>
      </w:pPr>
      <w:bookmarkStart w:id="10" w:name="_Toc49955749"/>
      <w:bookmarkStart w:id="11" w:name="_Toc50652440"/>
      <w:r>
        <w:rPr>
          <w:sz w:val="20"/>
          <w:szCs w:val="20"/>
        </w:rPr>
        <w:t>2.4</w:t>
      </w:r>
      <w:r w:rsidR="00982E49" w:rsidRPr="00E47F58">
        <w:rPr>
          <w:sz w:val="20"/>
          <w:szCs w:val="20"/>
        </w:rPr>
        <w:tab/>
      </w:r>
      <w:r w:rsidR="00EB6AE8" w:rsidRPr="00E47F58">
        <w:rPr>
          <w:sz w:val="20"/>
          <w:szCs w:val="20"/>
        </w:rPr>
        <w:t>Bacterial challenge LC</w:t>
      </w:r>
      <w:r w:rsidR="00EB6AE8" w:rsidRPr="00E47F58">
        <w:rPr>
          <w:sz w:val="20"/>
          <w:szCs w:val="20"/>
          <w:vertAlign w:val="subscript"/>
        </w:rPr>
        <w:t>50</w:t>
      </w:r>
      <w:bookmarkEnd w:id="10"/>
      <w:bookmarkEnd w:id="11"/>
    </w:p>
    <w:p w14:paraId="01183831"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bacteria used for challenge test was</w:t>
      </w:r>
      <w:r w:rsidR="006412F3" w:rsidRPr="00E47F58">
        <w:rPr>
          <w:rFonts w:ascii="Arial" w:hAnsi="Arial" w:cs="Arial"/>
          <w:sz w:val="20"/>
          <w:szCs w:val="20"/>
        </w:rPr>
        <w:t xml:space="preserve"> </w:t>
      </w:r>
      <w:r w:rsidR="006412F3" w:rsidRPr="00E47F58">
        <w:rPr>
          <w:rFonts w:ascii="Arial" w:hAnsi="Arial" w:cs="Arial"/>
          <w:i/>
          <w:sz w:val="20"/>
          <w:szCs w:val="20"/>
        </w:rPr>
        <w:t>Streptococcus agalactiae</w:t>
      </w:r>
      <w:r w:rsidRPr="00E47F58">
        <w:rPr>
          <w:rFonts w:ascii="Arial" w:hAnsi="Arial" w:cs="Arial"/>
          <w:sz w:val="20"/>
          <w:szCs w:val="20"/>
        </w:rPr>
        <w:t xml:space="preserve"> </w:t>
      </w:r>
      <w:r w:rsidR="006412F3" w:rsidRPr="00E47F58">
        <w:rPr>
          <w:rFonts w:ascii="Arial" w:hAnsi="Arial" w:cs="Arial"/>
          <w:sz w:val="20"/>
          <w:szCs w:val="20"/>
        </w:rPr>
        <w:t>(</w:t>
      </w:r>
      <w:r w:rsidRPr="00E47F58">
        <w:rPr>
          <w:rFonts w:ascii="Arial" w:hAnsi="Arial" w:cs="Arial"/>
          <w:i/>
          <w:iCs/>
          <w:sz w:val="20"/>
          <w:szCs w:val="20"/>
        </w:rPr>
        <w:t>S. agalactiae</w:t>
      </w:r>
      <w:r w:rsidR="006412F3" w:rsidRPr="00E47F58">
        <w:rPr>
          <w:rFonts w:ascii="Arial" w:hAnsi="Arial" w:cs="Arial"/>
          <w:i/>
          <w:iCs/>
          <w:sz w:val="20"/>
          <w:szCs w:val="20"/>
        </w:rPr>
        <w:t>)</w:t>
      </w:r>
      <w:r w:rsidRPr="00E47F58">
        <w:rPr>
          <w:rFonts w:ascii="Arial" w:hAnsi="Arial" w:cs="Arial"/>
          <w:i/>
          <w:iCs/>
          <w:sz w:val="20"/>
          <w:szCs w:val="20"/>
        </w:rPr>
        <w:t xml:space="preserve"> </w:t>
      </w:r>
      <w:r w:rsidRPr="00E47F58">
        <w:rPr>
          <w:rFonts w:ascii="Arial" w:hAnsi="Arial" w:cs="Arial"/>
          <w:sz w:val="20"/>
          <w:szCs w:val="20"/>
        </w:rPr>
        <w:t>and its concentration used was assessed by first determining the 50% lethal concentration (LC</w:t>
      </w:r>
      <w:r w:rsidRPr="00E47F58">
        <w:rPr>
          <w:rFonts w:ascii="Arial" w:hAnsi="Arial" w:cs="Arial"/>
          <w:sz w:val="20"/>
          <w:szCs w:val="20"/>
          <w:vertAlign w:val="subscript"/>
        </w:rPr>
        <w:t>50</w:t>
      </w:r>
      <w:r w:rsidRPr="00E47F58">
        <w:rPr>
          <w:rFonts w:ascii="Arial" w:hAnsi="Arial" w:cs="Arial"/>
          <w:sz w:val="20"/>
          <w:szCs w:val="20"/>
        </w:rPr>
        <w:t>) via immersion</w:t>
      </w:r>
      <w:r w:rsidR="006412F3" w:rsidRPr="00E47F58">
        <w:rPr>
          <w:rFonts w:ascii="Arial" w:hAnsi="Arial" w:cs="Arial"/>
          <w:sz w:val="20"/>
          <w:szCs w:val="20"/>
        </w:rPr>
        <w:t xml:space="preserve"> method</w:t>
      </w:r>
      <w:r w:rsidRPr="00E47F58">
        <w:rPr>
          <w:rFonts w:ascii="Arial" w:hAnsi="Arial" w:cs="Arial"/>
          <w:sz w:val="20"/>
          <w:szCs w:val="20"/>
        </w:rPr>
        <w:t>.</w:t>
      </w:r>
    </w:p>
    <w:p w14:paraId="19306E12" w14:textId="15BE646B" w:rsidR="00EB6AE8" w:rsidRPr="00E47F58" w:rsidRDefault="00A60DD7" w:rsidP="006412F3">
      <w:pPr>
        <w:pStyle w:val="Heading4"/>
        <w:rPr>
          <w:rFonts w:ascii="Arial" w:hAnsi="Arial" w:cs="Arial"/>
          <w:sz w:val="20"/>
          <w:szCs w:val="20"/>
          <w:lang w:val="en-SG"/>
        </w:rPr>
      </w:pPr>
      <w:bookmarkStart w:id="12" w:name="_Toc49955750"/>
      <w:bookmarkStart w:id="13" w:name="_Toc50652441"/>
      <w:r>
        <w:rPr>
          <w:rFonts w:ascii="Arial" w:hAnsi="Arial" w:cs="Arial"/>
          <w:sz w:val="20"/>
          <w:szCs w:val="20"/>
          <w:lang w:val="en-SG"/>
        </w:rPr>
        <w:t>2.5</w:t>
      </w:r>
      <w:r w:rsidR="00982E49" w:rsidRPr="00E47F58">
        <w:rPr>
          <w:rFonts w:ascii="Arial" w:hAnsi="Arial" w:cs="Arial"/>
          <w:sz w:val="20"/>
          <w:szCs w:val="20"/>
          <w:lang w:val="en-SG"/>
        </w:rPr>
        <w:tab/>
      </w:r>
      <w:r w:rsidR="00EB6AE8" w:rsidRPr="00E47F58">
        <w:rPr>
          <w:rFonts w:ascii="Arial" w:hAnsi="Arial" w:cs="Arial"/>
          <w:sz w:val="20"/>
          <w:szCs w:val="20"/>
          <w:lang w:val="en-SG"/>
        </w:rPr>
        <w:t>Bacterial strain</w:t>
      </w:r>
      <w:bookmarkEnd w:id="12"/>
      <w:bookmarkEnd w:id="13"/>
    </w:p>
    <w:p w14:paraId="71FB6557" w14:textId="32169410" w:rsidR="00EB6AE8" w:rsidRPr="00E47F58" w:rsidRDefault="00EB6AE8" w:rsidP="00EB6AE8">
      <w:pPr>
        <w:pStyle w:val="single"/>
        <w:rPr>
          <w:rFonts w:ascii="Arial" w:hAnsi="Arial" w:cs="Arial"/>
          <w:sz w:val="20"/>
          <w:szCs w:val="20"/>
          <w:lang w:val="en-SG"/>
        </w:rPr>
      </w:pPr>
      <w:r w:rsidRPr="00E47F58">
        <w:rPr>
          <w:rFonts w:ascii="Arial" w:hAnsi="Arial" w:cs="Arial"/>
          <w:sz w:val="20"/>
          <w:szCs w:val="20"/>
          <w:lang w:val="en-SG"/>
        </w:rPr>
        <w:t xml:space="preserve">The pathogenic strain of </w:t>
      </w:r>
      <w:r w:rsidRPr="00E47F58">
        <w:rPr>
          <w:rFonts w:ascii="Arial" w:hAnsi="Arial" w:cs="Arial"/>
          <w:i/>
          <w:iCs/>
          <w:sz w:val="20"/>
          <w:szCs w:val="20"/>
          <w:lang w:val="en-SG"/>
        </w:rPr>
        <w:t>S. agalactiae</w:t>
      </w:r>
      <w:r w:rsidRPr="00E47F58">
        <w:rPr>
          <w:rFonts w:ascii="Arial" w:hAnsi="Arial" w:cs="Arial"/>
          <w:sz w:val="20"/>
          <w:szCs w:val="20"/>
          <w:lang w:val="en-SG"/>
        </w:rPr>
        <w:t xml:space="preserve"> SAK2 was obtained from previous study </w:t>
      </w:r>
      <w:r w:rsidRPr="00E47F58">
        <w:rPr>
          <w:rFonts w:ascii="Arial" w:hAnsi="Arial" w:cs="Arial"/>
          <w:sz w:val="20"/>
          <w:szCs w:val="20"/>
          <w:lang w:val="en-SG"/>
        </w:rPr>
        <w:fldChar w:fldCharType="begin" w:fldLock="1"/>
      </w:r>
      <w:r w:rsidR="00E51220">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effective?","type":"article-journal","volume":"27"},"uris":["http://www.mendeley.com/documents/?uuid=9bc17a05-9957-4df1-aebc-14e51ed38ed8","http://www.mendeley.com/documents/?uuid=04052a03-bcff-4d3e-accd-1a3f95f5dbd6"]}],"mendeley":{"formattedCitation":"(Kahieshesfandiari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E51220" w:rsidRPr="00E51220">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xml:space="preserve">. Bacteria were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on the blood agar</w:t>
      </w:r>
      <w:r w:rsidR="006412F3" w:rsidRPr="00E47F58">
        <w:rPr>
          <w:rFonts w:ascii="Arial" w:hAnsi="Arial" w:cs="Arial"/>
          <w:sz w:val="20"/>
          <w:szCs w:val="20"/>
          <w:lang w:val="en-SG"/>
        </w:rPr>
        <w:t xml:space="preserve"> </w:t>
      </w:r>
      <w:r w:rsidRPr="00E47F58">
        <w:rPr>
          <w:rFonts w:ascii="Arial" w:hAnsi="Arial" w:cs="Arial"/>
          <w:sz w:val="20"/>
          <w:szCs w:val="20"/>
          <w:lang w:val="en-SG"/>
        </w:rPr>
        <w:t>(</w:t>
      </w:r>
      <w:proofErr w:type="spellStart"/>
      <w:r w:rsidRPr="00E47F58">
        <w:rPr>
          <w:rFonts w:ascii="Arial" w:hAnsi="Arial" w:cs="Arial"/>
          <w:sz w:val="20"/>
          <w:szCs w:val="20"/>
          <w:lang w:val="en-SG"/>
        </w:rPr>
        <w:t>Oxoid</w:t>
      </w:r>
      <w:proofErr w:type="spellEnd"/>
      <w:r w:rsidRPr="00E47F58">
        <w:rPr>
          <w:rFonts w:ascii="Arial" w:hAnsi="Arial" w:cs="Arial"/>
          <w:sz w:val="20"/>
          <w:szCs w:val="20"/>
          <w:lang w:val="en-SG"/>
        </w:rPr>
        <w:t xml:space="preserve">, Basingstoke, Hampshire, UK), and the pure colony was grown in 1.5% (w/v) tryptone soya broth (TSB; </w:t>
      </w:r>
      <w:proofErr w:type="spellStart"/>
      <w:r w:rsidRPr="00E47F58">
        <w:rPr>
          <w:rFonts w:ascii="Arial" w:hAnsi="Arial" w:cs="Arial"/>
          <w:sz w:val="20"/>
          <w:szCs w:val="20"/>
          <w:lang w:val="en-SG"/>
        </w:rPr>
        <w:t>HiMedia</w:t>
      </w:r>
      <w:proofErr w:type="spellEnd"/>
      <w:r w:rsidRPr="00E47F58">
        <w:rPr>
          <w:rFonts w:ascii="Arial" w:hAnsi="Arial" w:cs="Arial"/>
          <w:sz w:val="20"/>
          <w:szCs w:val="20"/>
          <w:lang w:val="en-SG"/>
        </w:rPr>
        <w:t>, Mumbai, India) at 37 °C overnight in an incubator shaker. The bacteria were harvested by centrifugation at 10,000 rpm for 10 min. Subsequently, the pellet was suspended in 1.5% TSB with 18% glycerol as</w:t>
      </w:r>
      <w:r w:rsidR="006412F3" w:rsidRPr="00E47F58">
        <w:rPr>
          <w:rFonts w:ascii="Arial" w:hAnsi="Arial" w:cs="Arial"/>
          <w:sz w:val="20"/>
          <w:szCs w:val="20"/>
          <w:lang w:val="en-SG"/>
        </w:rPr>
        <w:t xml:space="preserve"> stock suspensions and stored at</w:t>
      </w:r>
      <w:r w:rsidRPr="00E47F58">
        <w:rPr>
          <w:rFonts w:ascii="Arial" w:hAnsi="Arial" w:cs="Arial"/>
          <w:sz w:val="20"/>
          <w:szCs w:val="20"/>
          <w:lang w:val="en-SG"/>
        </w:rPr>
        <w:t xml:space="preserve"> -20 °C for further use. To confirm the identity of the isolates, biochemical tests (API Rapid ID Strep32) and 16S rRNA gene sequencing were conducted according to the manufacturer protocol before commencing the experiment.</w:t>
      </w:r>
    </w:p>
    <w:p w14:paraId="546BA005" w14:textId="75E2C217" w:rsidR="00EB6AE8" w:rsidRPr="00E47F58" w:rsidRDefault="00A60DD7" w:rsidP="006412F3">
      <w:pPr>
        <w:pStyle w:val="Heading4"/>
        <w:rPr>
          <w:rFonts w:ascii="Arial" w:hAnsi="Arial" w:cs="Arial"/>
          <w:sz w:val="20"/>
          <w:szCs w:val="20"/>
          <w:lang w:val="en-SG"/>
        </w:rPr>
      </w:pPr>
      <w:bookmarkStart w:id="14" w:name="_Toc49955751"/>
      <w:bookmarkStart w:id="15" w:name="_Toc50652442"/>
      <w:r>
        <w:rPr>
          <w:rFonts w:ascii="Arial" w:hAnsi="Arial" w:cs="Arial"/>
          <w:sz w:val="20"/>
          <w:szCs w:val="20"/>
          <w:lang w:val="en-SG"/>
        </w:rPr>
        <w:t>2.6</w:t>
      </w:r>
      <w:r w:rsidR="00982E49" w:rsidRPr="00E47F58">
        <w:rPr>
          <w:rFonts w:ascii="Arial" w:hAnsi="Arial" w:cs="Arial"/>
          <w:sz w:val="20"/>
          <w:szCs w:val="20"/>
          <w:lang w:val="en-SG"/>
        </w:rPr>
        <w:tab/>
      </w:r>
      <w:r w:rsidR="00EB6AE8" w:rsidRPr="00E47F58">
        <w:rPr>
          <w:rFonts w:ascii="Arial" w:hAnsi="Arial" w:cs="Arial"/>
          <w:sz w:val="20"/>
          <w:szCs w:val="20"/>
          <w:lang w:val="en-SG"/>
        </w:rPr>
        <w:t>Preparation of live bacteria inoculums and preparation of its different concentrations for challenge</w:t>
      </w:r>
      <w:bookmarkEnd w:id="14"/>
      <w:bookmarkEnd w:id="15"/>
    </w:p>
    <w:p w14:paraId="3FE6C725" w14:textId="048D905C" w:rsidR="00EB6AE8" w:rsidRPr="00E47F58" w:rsidRDefault="00EB6AE8" w:rsidP="00EB6AE8">
      <w:pPr>
        <w:pStyle w:val="single"/>
        <w:rPr>
          <w:rFonts w:ascii="Arial" w:hAnsi="Arial" w:cs="Arial"/>
          <w:sz w:val="20"/>
          <w:szCs w:val="20"/>
          <w:lang w:val="en-SG"/>
        </w:rPr>
      </w:pP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in blood agar and incubated at 37 °C for 24 h, before </w:t>
      </w:r>
      <w:r w:rsidR="006412F3" w:rsidRPr="00E47F58">
        <w:rPr>
          <w:rFonts w:ascii="Arial" w:hAnsi="Arial" w:cs="Arial"/>
          <w:sz w:val="20"/>
          <w:szCs w:val="20"/>
          <w:lang w:val="en-SG"/>
        </w:rPr>
        <w:t>sub culturing</w:t>
      </w:r>
      <w:r w:rsidRPr="00E47F58">
        <w:rPr>
          <w:rFonts w:ascii="Arial" w:hAnsi="Arial" w:cs="Arial"/>
          <w:sz w:val="20"/>
          <w:szCs w:val="20"/>
          <w:lang w:val="en-SG"/>
        </w:rPr>
        <w:t xml:space="preserve"> further in brain heart infusion broth (BHIB) at the same temperature for the next 18 h with gentle </w:t>
      </w:r>
      <w:r w:rsidRPr="00E47F58">
        <w:rPr>
          <w:rFonts w:ascii="Arial" w:hAnsi="Arial" w:cs="Arial"/>
          <w:sz w:val="20"/>
          <w:szCs w:val="20"/>
          <w:lang w:val="en-SG"/>
        </w:rPr>
        <w:lastRenderedPageBreak/>
        <w:t xml:space="preserve">shaking. To activate the virulence of the bacteria, about 3 mL of broth was passed into the tilapia by intraperitoneal inoculation. </w:t>
      </w: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then isolated from the eye, brain and kidney of the dead tilapia within 24 h. The identity of the isolates were confirmed by biochemical tests and </w:t>
      </w:r>
      <w:r w:rsidR="00296D5B" w:rsidRPr="00E47F58">
        <w:rPr>
          <w:rFonts w:ascii="Arial" w:hAnsi="Arial" w:cs="Arial"/>
          <w:sz w:val="20"/>
          <w:szCs w:val="20"/>
          <w:lang w:val="en-SG"/>
        </w:rPr>
        <w:t>inoculated</w:t>
      </w:r>
      <w:r w:rsidRPr="00E47F58">
        <w:rPr>
          <w:rFonts w:ascii="Arial" w:hAnsi="Arial" w:cs="Arial"/>
          <w:sz w:val="20"/>
          <w:szCs w:val="20"/>
          <w:lang w:val="en-SG"/>
        </w:rPr>
        <w:t xml:space="preserve"> into 100 mL of BHIB until the logarithmic phase. Subsequently, a tenfold serial dilution and colony counting technique were performed to determine the bacterial concentration. Briefly, 1 mL of </w:t>
      </w:r>
      <w:r w:rsidRPr="00E47F58">
        <w:rPr>
          <w:rFonts w:ascii="Arial" w:hAnsi="Arial" w:cs="Arial"/>
          <w:i/>
          <w:iCs/>
          <w:sz w:val="20"/>
          <w:szCs w:val="20"/>
          <w:lang w:val="en-SG"/>
        </w:rPr>
        <w:t xml:space="preserve">S. agalactiae </w:t>
      </w:r>
      <w:r w:rsidRPr="00E47F58">
        <w:rPr>
          <w:rFonts w:ascii="Arial" w:hAnsi="Arial" w:cs="Arial"/>
          <w:sz w:val="20"/>
          <w:szCs w:val="20"/>
          <w:lang w:val="en-SG"/>
        </w:rPr>
        <w:t xml:space="preserve">broth was added into 9 mL of peptone water with a series of highest dilution (101) to the lowest (109). Again, blood agar was used to spread 0.1 mL of each dilution before incubation at 37 °C for 24 h. Colonies between 25 and 250 were counted before the concentration was expressed as colony-forming unit per millilitre (CFU/mL) </w:t>
      </w:r>
      <w:r w:rsidRPr="00E47F58">
        <w:rPr>
          <w:rFonts w:ascii="Arial" w:hAnsi="Arial" w:cs="Arial"/>
          <w:sz w:val="20"/>
          <w:szCs w:val="20"/>
          <w:lang w:val="en-SG"/>
        </w:rPr>
        <w:fldChar w:fldCharType="begin" w:fldLock="1"/>
      </w:r>
      <w:r w:rsidR="00E51220">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effective?","type":"article-journal","volume":"27"},"uris":["http://www.mendeley.com/documents/?uuid=04052a03-bcff-4d3e-accd-1a3f95f5dbd6","http://www.mendeley.com/documents/?uuid=9bc17a05-9957-4df1-aebc-14e51ed38ed8"]}],"mendeley":{"formattedCitation":"(Kahieshesfandiari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E51220" w:rsidRPr="00E51220">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The different concentrations of the bacteria; 10</w:t>
      </w:r>
      <w:r w:rsidRPr="00E47F58">
        <w:rPr>
          <w:rFonts w:ascii="Arial" w:hAnsi="Arial" w:cs="Arial"/>
          <w:sz w:val="20"/>
          <w:szCs w:val="20"/>
          <w:vertAlign w:val="superscript"/>
          <w:lang w:val="en-SG"/>
        </w:rPr>
        <w:t>5</w:t>
      </w:r>
      <w:r w:rsidRPr="00E47F58">
        <w:rPr>
          <w:rFonts w:ascii="Arial" w:hAnsi="Arial" w:cs="Arial"/>
          <w:sz w:val="20"/>
          <w:szCs w:val="20"/>
          <w:lang w:val="en-SG"/>
        </w:rPr>
        <w:t>, 10</w:t>
      </w:r>
      <w:r w:rsidRPr="00E47F58">
        <w:rPr>
          <w:rFonts w:ascii="Arial" w:hAnsi="Arial" w:cs="Arial"/>
          <w:sz w:val="20"/>
          <w:szCs w:val="20"/>
          <w:vertAlign w:val="superscript"/>
          <w:lang w:val="en-SG"/>
        </w:rPr>
        <w:t>6</w:t>
      </w:r>
      <w:r w:rsidRPr="00E47F58">
        <w:rPr>
          <w:rFonts w:ascii="Arial" w:hAnsi="Arial" w:cs="Arial"/>
          <w:sz w:val="20"/>
          <w:szCs w:val="20"/>
          <w:lang w:val="en-SG"/>
        </w:rPr>
        <w:t>, 10</w:t>
      </w:r>
      <w:r w:rsidRPr="00E47F58">
        <w:rPr>
          <w:rFonts w:ascii="Arial" w:hAnsi="Arial" w:cs="Arial"/>
          <w:sz w:val="20"/>
          <w:szCs w:val="20"/>
          <w:vertAlign w:val="superscript"/>
          <w:lang w:val="en-SG"/>
        </w:rPr>
        <w:t>7</w:t>
      </w:r>
      <w:r w:rsidRPr="00E47F58">
        <w:rPr>
          <w:rFonts w:ascii="Arial" w:hAnsi="Arial" w:cs="Arial"/>
          <w:sz w:val="20"/>
          <w:szCs w:val="20"/>
          <w:lang w:val="en-SG"/>
        </w:rPr>
        <w:t xml:space="preserve"> and 10</w:t>
      </w:r>
      <w:r w:rsidRPr="00E47F58">
        <w:rPr>
          <w:rFonts w:ascii="Arial" w:hAnsi="Arial" w:cs="Arial"/>
          <w:sz w:val="20"/>
          <w:szCs w:val="20"/>
          <w:vertAlign w:val="superscript"/>
          <w:lang w:val="en-SG"/>
        </w:rPr>
        <w:t>8</w:t>
      </w:r>
      <w:r w:rsidRPr="00E47F58">
        <w:rPr>
          <w:rFonts w:ascii="Arial" w:hAnsi="Arial" w:cs="Arial"/>
          <w:sz w:val="20"/>
          <w:szCs w:val="20"/>
          <w:lang w:val="en-SG"/>
        </w:rPr>
        <w:t xml:space="preserve"> CFU/mL was prepared by referencing to MacFarland standard of the same concentration and used for the bacterial challenge via immersion method. The choice of immersion method of bacterial challenge over intraperitoneal injection was due to consideration that in practical fish contract diseases via contact with water.</w:t>
      </w:r>
    </w:p>
    <w:p w14:paraId="13729C6D"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LC</w:t>
      </w:r>
      <w:r w:rsidRPr="00E47F58">
        <w:rPr>
          <w:rFonts w:ascii="Arial" w:hAnsi="Arial" w:cs="Arial"/>
          <w:sz w:val="20"/>
          <w:szCs w:val="20"/>
          <w:vertAlign w:val="subscript"/>
        </w:rPr>
        <w:t xml:space="preserve">50 </w:t>
      </w:r>
      <w:r w:rsidRPr="00E47F58">
        <w:rPr>
          <w:rFonts w:ascii="Arial" w:hAnsi="Arial" w:cs="Arial"/>
          <w:sz w:val="20"/>
          <w:szCs w:val="20"/>
        </w:rPr>
        <w:t>was conducted with the varying bacterial concentrations ranging from 1x10</w:t>
      </w:r>
      <w:r w:rsidRPr="00E47F58">
        <w:rPr>
          <w:rFonts w:ascii="Arial" w:hAnsi="Arial" w:cs="Arial"/>
          <w:sz w:val="20"/>
          <w:szCs w:val="20"/>
          <w:vertAlign w:val="superscript"/>
        </w:rPr>
        <w:t>5</w:t>
      </w:r>
      <w:r w:rsidRPr="00E47F58">
        <w:rPr>
          <w:rFonts w:ascii="Arial" w:hAnsi="Arial" w:cs="Arial"/>
          <w:sz w:val="20"/>
          <w:szCs w:val="20"/>
        </w:rPr>
        <w:t>–1x10</w:t>
      </w:r>
      <w:r w:rsidRPr="00E47F58">
        <w:rPr>
          <w:rFonts w:ascii="Arial" w:hAnsi="Arial" w:cs="Arial"/>
          <w:sz w:val="20"/>
          <w:szCs w:val="20"/>
          <w:vertAlign w:val="superscript"/>
        </w:rPr>
        <w:t xml:space="preserve">8 </w:t>
      </w:r>
      <w:r w:rsidRPr="00E47F58">
        <w:rPr>
          <w:rFonts w:ascii="Arial" w:hAnsi="Arial" w:cs="Arial"/>
          <w:sz w:val="20"/>
          <w:szCs w:val="20"/>
        </w:rPr>
        <w:t>CFU/mL and each test was performed with 10 fish group in 3 replicates and a control (also 10 fish). The plot of bacterial concentrations against the corresponding mortality was generated and the linear equation of the plot was used to calculate the LC</w:t>
      </w:r>
      <w:r w:rsidRPr="00E47F58">
        <w:rPr>
          <w:rFonts w:ascii="Arial" w:hAnsi="Arial" w:cs="Arial"/>
          <w:sz w:val="20"/>
          <w:szCs w:val="20"/>
          <w:vertAlign w:val="subscript"/>
        </w:rPr>
        <w:t>50</w:t>
      </w:r>
      <w:r w:rsidRPr="00E47F58">
        <w:rPr>
          <w:rFonts w:ascii="Arial" w:hAnsi="Arial" w:cs="Arial"/>
          <w:sz w:val="20"/>
          <w:szCs w:val="20"/>
        </w:rPr>
        <w:t>.</w:t>
      </w:r>
    </w:p>
    <w:p w14:paraId="2EE7CE1A" w14:textId="13A8A59A" w:rsidR="00EB6AE8" w:rsidRPr="00E47F58" w:rsidRDefault="00A60DD7" w:rsidP="00E47F58">
      <w:pPr>
        <w:pStyle w:val="Heading3"/>
        <w:rPr>
          <w:sz w:val="20"/>
          <w:szCs w:val="20"/>
        </w:rPr>
      </w:pPr>
      <w:bookmarkStart w:id="16" w:name="_Toc49955752"/>
      <w:bookmarkStart w:id="17" w:name="_Toc50652443"/>
      <w:r>
        <w:rPr>
          <w:sz w:val="20"/>
          <w:szCs w:val="20"/>
        </w:rPr>
        <w:t>2.7</w:t>
      </w:r>
      <w:r w:rsidR="00982E49" w:rsidRPr="00E47F58">
        <w:rPr>
          <w:sz w:val="20"/>
          <w:szCs w:val="20"/>
        </w:rPr>
        <w:tab/>
      </w:r>
      <w:r w:rsidR="00EB6AE8" w:rsidRPr="00E47F58">
        <w:rPr>
          <w:sz w:val="20"/>
          <w:szCs w:val="20"/>
        </w:rPr>
        <w:t>Prophylactic treatment and bacterial challenge</w:t>
      </w:r>
      <w:bookmarkEnd w:id="16"/>
      <w:bookmarkEnd w:id="17"/>
    </w:p>
    <w:p w14:paraId="4106E8A7" w14:textId="3494DBFF" w:rsidR="008B5925" w:rsidRDefault="008B5925" w:rsidP="00EB6AE8">
      <w:pPr>
        <w:pStyle w:val="single"/>
        <w:rPr>
          <w:rFonts w:ascii="Arial" w:hAnsi="Arial" w:cs="Arial"/>
          <w:sz w:val="20"/>
          <w:szCs w:val="20"/>
        </w:rPr>
      </w:pPr>
      <w:r w:rsidRPr="008B5925">
        <w:rPr>
          <w:rFonts w:ascii="Arial" w:hAnsi="Arial" w:cs="Arial"/>
          <w:sz w:val="20"/>
          <w:szCs w:val="20"/>
          <w:highlight w:val="yellow"/>
        </w:rPr>
        <w:t xml:space="preserve">For the prophylactic treatment with </w:t>
      </w:r>
      <w:r w:rsidRPr="008B5925">
        <w:rPr>
          <w:rFonts w:ascii="Arial" w:hAnsi="Arial" w:cs="Arial"/>
          <w:i/>
          <w:sz w:val="20"/>
          <w:szCs w:val="20"/>
          <w:highlight w:val="yellow"/>
        </w:rPr>
        <w:t xml:space="preserve">C. vulgaris </w:t>
      </w:r>
      <w:r w:rsidRPr="008B5925">
        <w:rPr>
          <w:rFonts w:ascii="Arial" w:hAnsi="Arial" w:cs="Arial"/>
          <w:sz w:val="20"/>
          <w:szCs w:val="20"/>
          <w:highlight w:val="yellow"/>
        </w:rPr>
        <w:t xml:space="preserve">incorporated diet and the bacterial challenge with </w:t>
      </w:r>
      <w:r w:rsidRPr="008B5925">
        <w:rPr>
          <w:rFonts w:ascii="Arial" w:hAnsi="Arial" w:cs="Arial"/>
          <w:i/>
          <w:sz w:val="20"/>
          <w:szCs w:val="20"/>
          <w:highlight w:val="yellow"/>
        </w:rPr>
        <w:t>S. agalactiae</w:t>
      </w:r>
      <w:r w:rsidRPr="008B5925">
        <w:rPr>
          <w:rFonts w:ascii="Arial" w:hAnsi="Arial" w:cs="Arial"/>
          <w:sz w:val="20"/>
          <w:szCs w:val="20"/>
          <w:highlight w:val="yellow"/>
        </w:rPr>
        <w:t>, all experimental fish were grouped according to overall schematic diagram shown in Figure 1. In addition, for statistical MVDA to be valid, each group consist of six (6) fish and replicated three (3) times and then a randomized sampling was exercised in selecting representative fish for analysis from each group</w:t>
      </w:r>
      <w:r>
        <w:rPr>
          <w:rFonts w:ascii="Arial" w:hAnsi="Arial" w:cs="Arial"/>
          <w:sz w:val="20"/>
          <w:szCs w:val="20"/>
        </w:rPr>
        <w:t>.</w:t>
      </w:r>
    </w:p>
    <w:p w14:paraId="0DDA8062" w14:textId="7DE11548" w:rsidR="00EB6AE8" w:rsidRPr="00E47F58" w:rsidRDefault="00EB6AE8" w:rsidP="00EB6AE8">
      <w:pPr>
        <w:pStyle w:val="single"/>
        <w:rPr>
          <w:rFonts w:ascii="Arial" w:hAnsi="Arial" w:cs="Arial"/>
          <w:sz w:val="20"/>
          <w:szCs w:val="20"/>
        </w:rPr>
      </w:pPr>
      <w:r w:rsidRPr="008B5925">
        <w:rPr>
          <w:rFonts w:ascii="Arial" w:hAnsi="Arial" w:cs="Arial"/>
          <w:sz w:val="20"/>
          <w:szCs w:val="20"/>
        </w:rPr>
        <w:t>To</w:t>
      </w:r>
      <w:r w:rsidRPr="00E47F58">
        <w:rPr>
          <w:rFonts w:ascii="Arial" w:hAnsi="Arial" w:cs="Arial"/>
          <w:sz w:val="20"/>
          <w:szCs w:val="20"/>
        </w:rPr>
        <w:t xml:space="preserve"> evaluate the effect of environment on the experimental fish, 6 fish were sacrificed at zero-day (0D) point, and their spleen was sampled for NMR and MVA for correlation with control fish at the end of prophylactic experiment and challenge test via immersion method. The control fish were further categorized into 2 groups, the control fish (CF) and the control fish challenged (CFC). CF was fed with commercial diet and was not challenged with bacteria while CFC was fed with commercial diet and challenged with bacteria after feeding duration. Similarly, the </w:t>
      </w:r>
      <w:r w:rsidRPr="00E47F58">
        <w:rPr>
          <w:rFonts w:ascii="Arial" w:hAnsi="Arial" w:cs="Arial"/>
          <w:i/>
          <w:iCs/>
          <w:sz w:val="20"/>
          <w:szCs w:val="20"/>
        </w:rPr>
        <w:t xml:space="preserve">C. vulgaris </w:t>
      </w:r>
      <w:r w:rsidRPr="00E47F58">
        <w:rPr>
          <w:rFonts w:ascii="Arial" w:hAnsi="Arial" w:cs="Arial"/>
          <w:sz w:val="20"/>
          <w:szCs w:val="20"/>
        </w:rPr>
        <w:t xml:space="preserve">fed fish were also categorized into </w:t>
      </w:r>
      <w:r w:rsidRPr="00E47F58">
        <w:rPr>
          <w:rFonts w:ascii="Arial" w:hAnsi="Arial" w:cs="Arial"/>
          <w:i/>
          <w:iCs/>
          <w:sz w:val="20"/>
          <w:szCs w:val="20"/>
        </w:rPr>
        <w:t xml:space="preserve">C. vulgaris </w:t>
      </w:r>
      <w:r w:rsidRPr="00E47F58">
        <w:rPr>
          <w:rFonts w:ascii="Arial" w:hAnsi="Arial" w:cs="Arial"/>
          <w:sz w:val="20"/>
          <w:szCs w:val="20"/>
        </w:rPr>
        <w:t xml:space="preserve">(CV) fish group and </w:t>
      </w:r>
      <w:r w:rsidRPr="00E47F58">
        <w:rPr>
          <w:rFonts w:ascii="Arial" w:hAnsi="Arial" w:cs="Arial"/>
          <w:i/>
          <w:iCs/>
          <w:sz w:val="20"/>
          <w:szCs w:val="20"/>
        </w:rPr>
        <w:t xml:space="preserve">C. vulgaris </w:t>
      </w:r>
      <w:r w:rsidRPr="00E47F58">
        <w:rPr>
          <w:rFonts w:ascii="Arial" w:hAnsi="Arial" w:cs="Arial"/>
          <w:sz w:val="20"/>
          <w:szCs w:val="20"/>
        </w:rPr>
        <w:t xml:space="preserve">challenged (CVC) fish. The categorization was to understand the effect of variable experimental factors such as the </w:t>
      </w:r>
      <w:r w:rsidRPr="00E47F58">
        <w:rPr>
          <w:rFonts w:ascii="Arial" w:hAnsi="Arial" w:cs="Arial"/>
          <w:i/>
          <w:iCs/>
          <w:sz w:val="20"/>
          <w:szCs w:val="20"/>
        </w:rPr>
        <w:t xml:space="preserve">C. vulgaris </w:t>
      </w:r>
      <w:r w:rsidRPr="00E47F58">
        <w:rPr>
          <w:rFonts w:ascii="Arial" w:hAnsi="Arial" w:cs="Arial"/>
          <w:sz w:val="20"/>
          <w:szCs w:val="20"/>
        </w:rPr>
        <w:t xml:space="preserve">feeding, bacteria challenge and environment as mentioned earlier. CV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00296D5B" w:rsidRPr="00E47F58">
        <w:rPr>
          <w:rFonts w:ascii="Arial" w:hAnsi="Arial" w:cs="Arial"/>
          <w:i/>
          <w:iCs/>
          <w:sz w:val="20"/>
          <w:szCs w:val="20"/>
        </w:rPr>
        <w:t xml:space="preserve">C. vulgaris </w:t>
      </w:r>
      <w:r w:rsidR="00296D5B" w:rsidRPr="00E47F58">
        <w:rPr>
          <w:rFonts w:ascii="Arial" w:hAnsi="Arial" w:cs="Arial"/>
          <w:sz w:val="20"/>
          <w:szCs w:val="20"/>
        </w:rPr>
        <w:t xml:space="preserve">biomass as this concentration proved to be more efficient from previous study </w:t>
      </w:r>
      <w:r w:rsidR="00296D5B"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96D5B" w:rsidRPr="00E47F58">
        <w:rPr>
          <w:rFonts w:ascii="Arial" w:hAnsi="Arial" w:cs="Arial"/>
          <w:sz w:val="20"/>
          <w:szCs w:val="20"/>
        </w:rPr>
        <w:fldChar w:fldCharType="separate"/>
      </w:r>
      <w:r w:rsidR="00E51220" w:rsidRPr="00E51220">
        <w:rPr>
          <w:rFonts w:ascii="Arial" w:hAnsi="Arial" w:cs="Arial"/>
          <w:noProof/>
          <w:sz w:val="20"/>
          <w:szCs w:val="20"/>
        </w:rPr>
        <w:t>(Pantami et al., 2023)</w:t>
      </w:r>
      <w:r w:rsidR="00296D5B" w:rsidRPr="00E47F58">
        <w:rPr>
          <w:rFonts w:ascii="Arial" w:hAnsi="Arial" w:cs="Arial"/>
          <w:sz w:val="20"/>
          <w:szCs w:val="20"/>
        </w:rPr>
        <w:fldChar w:fldCharType="end"/>
      </w:r>
      <w:r w:rsidR="00296D5B" w:rsidRPr="00E47F58">
        <w:rPr>
          <w:rFonts w:ascii="Arial" w:hAnsi="Arial" w:cs="Arial"/>
          <w:sz w:val="20"/>
          <w:szCs w:val="20"/>
        </w:rPr>
        <w:t xml:space="preserve"> </w:t>
      </w:r>
      <w:r w:rsidRPr="00E47F58">
        <w:rPr>
          <w:rFonts w:ascii="Arial" w:hAnsi="Arial" w:cs="Arial"/>
          <w:sz w:val="20"/>
          <w:szCs w:val="20"/>
        </w:rPr>
        <w:t xml:space="preserve">while CVC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Pr="00E47F58">
        <w:rPr>
          <w:rFonts w:ascii="Arial" w:hAnsi="Arial" w:cs="Arial"/>
          <w:i/>
          <w:iCs/>
          <w:sz w:val="20"/>
          <w:szCs w:val="20"/>
        </w:rPr>
        <w:t xml:space="preserve">C. vulgaris </w:t>
      </w:r>
      <w:r w:rsidRPr="00E47F58">
        <w:rPr>
          <w:rFonts w:ascii="Arial" w:hAnsi="Arial" w:cs="Arial"/>
          <w:sz w:val="20"/>
          <w:szCs w:val="20"/>
        </w:rPr>
        <w:t xml:space="preserve">biomass and challenged with bacteria after </w:t>
      </w:r>
      <w:r w:rsidR="00D258E4" w:rsidRPr="00E47F58">
        <w:rPr>
          <w:rFonts w:ascii="Arial" w:hAnsi="Arial" w:cs="Arial"/>
          <w:sz w:val="20"/>
          <w:szCs w:val="20"/>
        </w:rPr>
        <w:t xml:space="preserve">the feeding. </w:t>
      </w:r>
      <w:r w:rsidRPr="00E47F58">
        <w:rPr>
          <w:rFonts w:ascii="Arial" w:hAnsi="Arial" w:cs="Arial"/>
          <w:i/>
          <w:iCs/>
          <w:sz w:val="20"/>
          <w:szCs w:val="20"/>
        </w:rPr>
        <w:t xml:space="preserve">Chlorella vulgaris </w:t>
      </w:r>
      <w:r w:rsidRPr="00E47F58">
        <w:rPr>
          <w:rFonts w:ascii="Arial" w:hAnsi="Arial" w:cs="Arial"/>
          <w:sz w:val="20"/>
          <w:szCs w:val="20"/>
        </w:rPr>
        <w:t xml:space="preserve">concentration of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was used in this research by referring to the findings of recent researches on </w:t>
      </w:r>
      <w:r w:rsidRPr="00E47F58">
        <w:rPr>
          <w:rFonts w:ascii="Arial" w:hAnsi="Arial" w:cs="Arial"/>
          <w:i/>
          <w:iCs/>
          <w:sz w:val="20"/>
          <w:szCs w:val="20"/>
        </w:rPr>
        <w:t xml:space="preserve">C. vulgaris </w:t>
      </w:r>
      <w:r w:rsidRPr="00E47F58">
        <w:rPr>
          <w:rFonts w:ascii="Arial" w:hAnsi="Arial" w:cs="Arial"/>
          <w:sz w:val="20"/>
          <w:szCs w:val="20"/>
        </w:rPr>
        <w:t>which suggests its incorporation into diet at lower concentrations, probably due to its hard cell wall which makes it difficult</w:t>
      </w:r>
      <w:r w:rsidR="00D258E4" w:rsidRPr="00E47F58">
        <w:rPr>
          <w:rFonts w:ascii="Arial" w:hAnsi="Arial" w:cs="Arial"/>
          <w:sz w:val="20"/>
          <w:szCs w:val="20"/>
        </w:rPr>
        <w:t xml:space="preserve"> to</w:t>
      </w:r>
      <w:r w:rsidRPr="00E47F58">
        <w:rPr>
          <w:rFonts w:ascii="Arial" w:hAnsi="Arial" w:cs="Arial"/>
          <w:sz w:val="20"/>
          <w:szCs w:val="20"/>
        </w:rPr>
        <w:t xml:space="preserve"> digestion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(Ahmad et al., 2018)</w:t>
      </w:r>
      <w:r w:rsidRPr="00E47F58">
        <w:rPr>
          <w:rFonts w:ascii="Arial" w:hAnsi="Arial" w:cs="Arial"/>
          <w:sz w:val="20"/>
          <w:szCs w:val="20"/>
        </w:rPr>
        <w:fldChar w:fldCharType="end"/>
      </w:r>
      <w:r w:rsidRPr="00E47F58">
        <w:rPr>
          <w:rFonts w:ascii="Arial" w:hAnsi="Arial" w:cs="Arial"/>
          <w:sz w:val="20"/>
          <w:szCs w:val="20"/>
        </w:rPr>
        <w:t>.</w:t>
      </w:r>
    </w:p>
    <w:p w14:paraId="127BE747"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6B699FA4" wp14:editId="4E1E441F">
            <wp:extent cx="4711847" cy="25896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289" cy="2639371"/>
                    </a:xfrm>
                    <a:prstGeom prst="rect">
                      <a:avLst/>
                    </a:prstGeom>
                    <a:noFill/>
                  </pic:spPr>
                </pic:pic>
              </a:graphicData>
            </a:graphic>
          </wp:inline>
        </w:drawing>
      </w:r>
    </w:p>
    <w:p w14:paraId="366440B2" w14:textId="0D7F0CCE" w:rsidR="00EB6AE8" w:rsidRPr="00507B49" w:rsidRDefault="00EB6AE8" w:rsidP="00EB6AE8">
      <w:pPr>
        <w:pStyle w:val="Caption"/>
        <w:rPr>
          <w:rFonts w:ascii="Arial" w:hAnsi="Arial" w:cs="Arial"/>
          <w:sz w:val="20"/>
          <w:szCs w:val="20"/>
        </w:rPr>
      </w:pPr>
      <w:bookmarkStart w:id="18" w:name="_Toc50653937"/>
      <w:r w:rsidRPr="00E47F58">
        <w:rPr>
          <w:rFonts w:ascii="Arial" w:hAnsi="Arial" w:cs="Arial"/>
          <w:sz w:val="20"/>
          <w:szCs w:val="20"/>
        </w:rPr>
        <w:t>Figure</w:t>
      </w:r>
      <w:r w:rsidR="00D258E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Pr="00E47F58">
        <w:rPr>
          <w:rFonts w:ascii="Arial" w:hAnsi="Arial" w:cs="Arial"/>
          <w:sz w:val="20"/>
          <w:szCs w:val="20"/>
        </w:rPr>
        <w:t xml:space="preserve"> : Overall schematic diagram of the </w:t>
      </w:r>
      <w:bookmarkEnd w:id="18"/>
      <w:r w:rsidR="00D258E4" w:rsidRPr="00E47F58">
        <w:rPr>
          <w:rFonts w:ascii="Arial" w:hAnsi="Arial" w:cs="Arial"/>
          <w:sz w:val="20"/>
          <w:szCs w:val="20"/>
        </w:rPr>
        <w:t>methodology</w:t>
      </w:r>
      <w:r w:rsidR="00507B49">
        <w:rPr>
          <w:rFonts w:ascii="Arial" w:hAnsi="Arial" w:cs="Arial"/>
          <w:sz w:val="20"/>
          <w:szCs w:val="20"/>
        </w:rPr>
        <w:t xml:space="preserve"> </w:t>
      </w:r>
      <w:r w:rsidR="00507B49" w:rsidRPr="00507B49">
        <w:rPr>
          <w:rFonts w:ascii="Arial" w:hAnsi="Arial" w:cs="Arial"/>
          <w:sz w:val="20"/>
          <w:szCs w:val="20"/>
          <w:highlight w:val="yellow"/>
        </w:rPr>
        <w:t xml:space="preserve">showing fish groupings, </w:t>
      </w:r>
      <w:r w:rsidR="00507B49" w:rsidRPr="00507B49">
        <w:rPr>
          <w:rFonts w:ascii="Arial" w:hAnsi="Arial" w:cs="Arial"/>
          <w:i/>
          <w:sz w:val="20"/>
          <w:szCs w:val="20"/>
          <w:highlight w:val="yellow"/>
        </w:rPr>
        <w:t xml:space="preserve">C. vulgaris </w:t>
      </w:r>
      <w:r w:rsidR="00507B49" w:rsidRPr="00507B49">
        <w:rPr>
          <w:rFonts w:ascii="Arial" w:hAnsi="Arial" w:cs="Arial"/>
          <w:sz w:val="20"/>
          <w:szCs w:val="20"/>
          <w:highlight w:val="yellow"/>
        </w:rPr>
        <w:t>treatment concentration, bacterial challenge, and sacrifice day.</w:t>
      </w:r>
    </w:p>
    <w:p w14:paraId="3F12C574" w14:textId="77777777" w:rsidR="00EB6AE8" w:rsidRPr="00E47F58" w:rsidRDefault="00EB6AE8" w:rsidP="00EB6AE8">
      <w:pPr>
        <w:pStyle w:val="j"/>
        <w:rPr>
          <w:rFonts w:ascii="Arial" w:hAnsi="Arial" w:cs="Arial"/>
          <w:sz w:val="20"/>
          <w:szCs w:val="20"/>
          <w:lang w:val="en-GB"/>
        </w:rPr>
      </w:pPr>
    </w:p>
    <w:p w14:paraId="4E2DD658" w14:textId="77777777" w:rsidR="00EB6AE8" w:rsidRPr="00E47F58" w:rsidRDefault="00EB6AE8" w:rsidP="00EB6AE8">
      <w:pPr>
        <w:pStyle w:val="j"/>
        <w:rPr>
          <w:rFonts w:ascii="Arial" w:hAnsi="Arial" w:cs="Arial"/>
          <w:sz w:val="20"/>
          <w:szCs w:val="20"/>
          <w:lang w:val="en-GB"/>
        </w:rPr>
      </w:pPr>
    </w:p>
    <w:p w14:paraId="4F84DAB0"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prophylactic experiment was conducted according</w:t>
      </w:r>
      <w:r w:rsidR="00D258E4" w:rsidRPr="00E47F58">
        <w:rPr>
          <w:rFonts w:ascii="Arial" w:hAnsi="Arial" w:cs="Arial"/>
          <w:sz w:val="20"/>
          <w:szCs w:val="20"/>
        </w:rPr>
        <w:t xml:space="preserve"> to the illustration in Figure </w:t>
      </w:r>
      <w:r w:rsidRPr="00E47F58">
        <w:rPr>
          <w:rFonts w:ascii="Arial" w:hAnsi="Arial" w:cs="Arial"/>
          <w:sz w:val="20"/>
          <w:szCs w:val="20"/>
        </w:rPr>
        <w:t xml:space="preserve">1. Feeding control fish groups with commercial diet and treatment groups with </w:t>
      </w:r>
      <w:r w:rsidRPr="00E47F58">
        <w:rPr>
          <w:rFonts w:ascii="Arial" w:hAnsi="Arial" w:cs="Arial"/>
          <w:i/>
          <w:iCs/>
          <w:sz w:val="20"/>
          <w:szCs w:val="20"/>
        </w:rPr>
        <w:t xml:space="preserve">C. vulgaris </w:t>
      </w:r>
      <w:r w:rsidRPr="00E47F58">
        <w:rPr>
          <w:rFonts w:ascii="Arial" w:hAnsi="Arial" w:cs="Arial"/>
          <w:sz w:val="20"/>
          <w:szCs w:val="20"/>
        </w:rPr>
        <w:t>lasted for 21 days and preceded with bacterial challenge with 1x10</w:t>
      </w:r>
      <w:r w:rsidRPr="00E47F58">
        <w:rPr>
          <w:rFonts w:ascii="Arial" w:hAnsi="Arial" w:cs="Arial"/>
          <w:sz w:val="20"/>
          <w:szCs w:val="20"/>
          <w:vertAlign w:val="superscript"/>
        </w:rPr>
        <w:t>8</w:t>
      </w:r>
      <w:r w:rsidRPr="00E47F58">
        <w:rPr>
          <w:rFonts w:ascii="Arial" w:hAnsi="Arial" w:cs="Arial"/>
          <w:sz w:val="20"/>
          <w:szCs w:val="20"/>
        </w:rPr>
        <w:t xml:space="preserve"> CFU/mL (&gt; LC</w:t>
      </w:r>
      <w:r w:rsidRPr="00E47F58">
        <w:rPr>
          <w:rFonts w:ascii="Arial" w:hAnsi="Arial" w:cs="Arial"/>
          <w:sz w:val="20"/>
          <w:szCs w:val="20"/>
          <w:vertAlign w:val="subscript"/>
        </w:rPr>
        <w:t>50</w:t>
      </w:r>
      <w:r w:rsidRPr="00E47F58">
        <w:rPr>
          <w:rFonts w:ascii="Arial" w:hAnsi="Arial" w:cs="Arial"/>
          <w:sz w:val="20"/>
          <w:szCs w:val="20"/>
        </w:rPr>
        <w:t xml:space="preserve">) concentration of </w:t>
      </w:r>
      <w:r w:rsidRPr="00E47F58">
        <w:rPr>
          <w:rFonts w:ascii="Arial" w:hAnsi="Arial" w:cs="Arial"/>
          <w:i/>
          <w:iCs/>
          <w:sz w:val="20"/>
          <w:szCs w:val="20"/>
        </w:rPr>
        <w:t xml:space="preserve">S. </w:t>
      </w:r>
      <w:proofErr w:type="spellStart"/>
      <w:r w:rsidRPr="00E47F58">
        <w:rPr>
          <w:rFonts w:ascii="Arial" w:hAnsi="Arial" w:cs="Arial"/>
          <w:i/>
          <w:iCs/>
          <w:sz w:val="20"/>
          <w:szCs w:val="20"/>
        </w:rPr>
        <w:t>agalatiae</w:t>
      </w:r>
      <w:proofErr w:type="spellEnd"/>
      <w:r w:rsidRPr="00E47F58">
        <w:rPr>
          <w:rFonts w:ascii="Arial" w:hAnsi="Arial" w:cs="Arial"/>
          <w:sz w:val="20"/>
          <w:szCs w:val="20"/>
        </w:rPr>
        <w:t>. Mortality was observed in 22</w:t>
      </w:r>
      <w:r w:rsidRPr="00E47F58">
        <w:rPr>
          <w:rFonts w:ascii="Arial" w:hAnsi="Arial" w:cs="Arial"/>
          <w:sz w:val="20"/>
          <w:szCs w:val="20"/>
          <w:vertAlign w:val="superscript"/>
        </w:rPr>
        <w:t>nd</w:t>
      </w:r>
      <w:r w:rsidRPr="00E47F58">
        <w:rPr>
          <w:rFonts w:ascii="Arial" w:hAnsi="Arial" w:cs="Arial"/>
          <w:sz w:val="20"/>
          <w:szCs w:val="20"/>
        </w:rPr>
        <w:t>–28</w:t>
      </w:r>
      <w:r w:rsidRPr="00E47F58">
        <w:rPr>
          <w:rFonts w:ascii="Arial" w:hAnsi="Arial" w:cs="Arial"/>
          <w:sz w:val="20"/>
          <w:szCs w:val="20"/>
          <w:vertAlign w:val="superscript"/>
        </w:rPr>
        <w:t>th</w:t>
      </w:r>
      <w:r w:rsidRPr="00E47F58">
        <w:rPr>
          <w:rFonts w:ascii="Arial" w:hAnsi="Arial" w:cs="Arial"/>
          <w:sz w:val="20"/>
          <w:szCs w:val="20"/>
        </w:rPr>
        <w:t xml:space="preserve"> day and all experimental fish sacrificed on the 29</w:t>
      </w:r>
      <w:r w:rsidRPr="00E47F58">
        <w:rPr>
          <w:rFonts w:ascii="Arial" w:hAnsi="Arial" w:cs="Arial"/>
          <w:sz w:val="20"/>
          <w:szCs w:val="20"/>
          <w:vertAlign w:val="superscript"/>
        </w:rPr>
        <w:t>th</w:t>
      </w:r>
      <w:r w:rsidR="00D258E4" w:rsidRPr="00E47F58">
        <w:rPr>
          <w:rFonts w:ascii="Arial" w:hAnsi="Arial" w:cs="Arial"/>
          <w:sz w:val="20"/>
          <w:szCs w:val="20"/>
        </w:rPr>
        <w:t xml:space="preserve"> day (Figure </w:t>
      </w:r>
      <w:r w:rsidRPr="00E47F58">
        <w:rPr>
          <w:rFonts w:ascii="Arial" w:hAnsi="Arial" w:cs="Arial"/>
          <w:sz w:val="20"/>
          <w:szCs w:val="20"/>
        </w:rPr>
        <w:t>1) and samples were taken for metabolomics studies.</w:t>
      </w:r>
    </w:p>
    <w:p w14:paraId="36C68148" w14:textId="52BB7A96" w:rsidR="00EB6AE8" w:rsidRPr="00E47F58" w:rsidRDefault="00A60DD7" w:rsidP="00E47F58">
      <w:pPr>
        <w:pStyle w:val="Heading3"/>
        <w:rPr>
          <w:sz w:val="20"/>
          <w:szCs w:val="20"/>
        </w:rPr>
      </w:pPr>
      <w:bookmarkStart w:id="19" w:name="_Toc49955753"/>
      <w:bookmarkStart w:id="20" w:name="_Toc50652444"/>
      <w:r>
        <w:rPr>
          <w:sz w:val="20"/>
          <w:szCs w:val="20"/>
        </w:rPr>
        <w:t>2.8</w:t>
      </w:r>
      <w:r w:rsidR="00982E49" w:rsidRPr="00E47F58">
        <w:rPr>
          <w:sz w:val="20"/>
          <w:szCs w:val="20"/>
        </w:rPr>
        <w:tab/>
      </w:r>
      <w:r w:rsidR="00EB6AE8" w:rsidRPr="00E47F58">
        <w:rPr>
          <w:sz w:val="20"/>
          <w:szCs w:val="20"/>
        </w:rPr>
        <w:t>Spleen preparation for NMR analysis</w:t>
      </w:r>
      <w:bookmarkEnd w:id="19"/>
      <w:bookmarkEnd w:id="20"/>
    </w:p>
    <w:p w14:paraId="785A7DD8"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Spleen (10 mg) was added 250 µL 0.2 M Na</w:t>
      </w:r>
      <w:r w:rsidRPr="00E47F58">
        <w:rPr>
          <w:rFonts w:ascii="Arial" w:hAnsi="Arial" w:cs="Arial"/>
          <w:sz w:val="20"/>
          <w:szCs w:val="20"/>
          <w:vertAlign w:val="subscript"/>
        </w:rPr>
        <w:t>2</w:t>
      </w:r>
      <w:r w:rsidRPr="00E47F58">
        <w:rPr>
          <w:rFonts w:ascii="Arial" w:hAnsi="Arial" w:cs="Arial"/>
          <w:sz w:val="20"/>
          <w:szCs w:val="20"/>
        </w:rPr>
        <w:t>HPO</w:t>
      </w:r>
      <w:r w:rsidRPr="00E47F58">
        <w:rPr>
          <w:rFonts w:ascii="Arial" w:hAnsi="Arial" w:cs="Arial"/>
          <w:sz w:val="20"/>
          <w:szCs w:val="20"/>
          <w:vertAlign w:val="subscript"/>
        </w:rPr>
        <w:t>4</w:t>
      </w:r>
      <w:r w:rsidRPr="00E47F58">
        <w:rPr>
          <w:rFonts w:ascii="Arial" w:hAnsi="Arial" w:cs="Arial"/>
          <w:sz w:val="20"/>
          <w:szCs w:val="20"/>
        </w:rPr>
        <w:t>, 0.175 M NaH</w:t>
      </w:r>
      <w:r w:rsidRPr="00E47F58">
        <w:rPr>
          <w:rFonts w:ascii="Arial" w:hAnsi="Arial" w:cs="Arial"/>
          <w:sz w:val="20"/>
          <w:szCs w:val="20"/>
          <w:vertAlign w:val="subscript"/>
        </w:rPr>
        <w:t>2</w:t>
      </w:r>
      <w:r w:rsidRPr="00E47F58">
        <w:rPr>
          <w:rFonts w:ascii="Arial" w:hAnsi="Arial" w:cs="Arial"/>
          <w:sz w:val="20"/>
          <w:szCs w:val="20"/>
        </w:rPr>
        <w:t>PO</w:t>
      </w:r>
      <w:r w:rsidRPr="00E47F58">
        <w:rPr>
          <w:rFonts w:ascii="Arial" w:hAnsi="Arial" w:cs="Arial"/>
          <w:sz w:val="20"/>
          <w:szCs w:val="20"/>
          <w:vertAlign w:val="subscript"/>
        </w:rPr>
        <w:t>4</w:t>
      </w:r>
      <w:r w:rsidRPr="00E47F58">
        <w:rPr>
          <w:rFonts w:ascii="Arial" w:hAnsi="Arial" w:cs="Arial"/>
          <w:sz w:val="20"/>
          <w:szCs w:val="20"/>
        </w:rPr>
        <w:t>, 0.25% TSP and 0.75 mM NaN</w:t>
      </w:r>
      <w:r w:rsidRPr="00E47F58">
        <w:rPr>
          <w:rFonts w:ascii="Arial" w:hAnsi="Arial" w:cs="Arial"/>
          <w:sz w:val="20"/>
          <w:szCs w:val="20"/>
          <w:vertAlign w:val="subscript"/>
        </w:rPr>
        <w:t>3</w:t>
      </w:r>
      <w:r w:rsidRPr="00E47F58">
        <w:rPr>
          <w:rFonts w:ascii="Arial" w:hAnsi="Arial" w:cs="Arial"/>
          <w:sz w:val="20"/>
          <w:szCs w:val="20"/>
        </w:rPr>
        <w:t xml:space="preserve"> in D</w:t>
      </w:r>
      <w:r w:rsidRPr="00E47F58">
        <w:rPr>
          <w:rFonts w:ascii="Arial" w:hAnsi="Arial" w:cs="Arial"/>
          <w:sz w:val="20"/>
          <w:szCs w:val="20"/>
          <w:vertAlign w:val="subscript"/>
        </w:rPr>
        <w:t>2</w:t>
      </w:r>
      <w:r w:rsidRPr="00E47F58">
        <w:rPr>
          <w:rFonts w:ascii="Arial" w:hAnsi="Arial" w:cs="Arial"/>
          <w:sz w:val="20"/>
          <w:szCs w:val="20"/>
        </w:rPr>
        <w:t xml:space="preserve">O (pH 7.4), homogenized, vortexed for 1 min, centrifuged at 1800 rpm and supernatant dispensed into 3 mm NMR tubes for analysis. All spleen samples were made six replicates from biological replicates and ran with 700 MHz Bruker Ascend NMR spectrometer (Bruker Inc., </w:t>
      </w:r>
      <w:hyperlink r:id="rId10"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w:t>
      </w:r>
      <w:r w:rsidRPr="00E47F58">
        <w:rPr>
          <w:rFonts w:ascii="Arial" w:hAnsi="Arial" w:cs="Arial"/>
          <w:sz w:val="20"/>
          <w:szCs w:val="20"/>
        </w:rPr>
        <w:t xml:space="preserve">) for multivariate analysis. In addition, </w:t>
      </w:r>
      <w:r w:rsidRPr="00E47F58">
        <w:rPr>
          <w:rFonts w:ascii="Arial" w:hAnsi="Arial" w:cs="Arial"/>
          <w:sz w:val="20"/>
          <w:szCs w:val="20"/>
          <w:lang w:val="en-GB"/>
        </w:rPr>
        <w:t>2D NMR; (</w:t>
      </w:r>
      <w:r w:rsidRPr="00E47F58">
        <w:rPr>
          <w:rFonts w:ascii="Arial" w:hAnsi="Arial" w:cs="Arial"/>
          <w:i/>
          <w:iCs/>
          <w:sz w:val="20"/>
          <w:szCs w:val="20"/>
          <w:lang w:val="en-GB"/>
        </w:rPr>
        <w:t>J-</w:t>
      </w:r>
      <w:r w:rsidRPr="00E47F58">
        <w:rPr>
          <w:rFonts w:ascii="Arial" w:hAnsi="Arial" w:cs="Arial"/>
          <w:sz w:val="20"/>
          <w:szCs w:val="20"/>
          <w:lang w:val="en-GB"/>
        </w:rPr>
        <w:t>resolved),</w:t>
      </w:r>
      <w:r w:rsidRPr="00E47F58">
        <w:rPr>
          <w:rFonts w:ascii="Arial" w:hAnsi="Arial" w:cs="Arial"/>
          <w:sz w:val="20"/>
          <w:szCs w:val="20"/>
          <w:vertAlign w:val="superscript"/>
          <w:lang w:val="en-GB"/>
        </w:rPr>
        <w:t xml:space="preserve"> 1</w:t>
      </w:r>
      <w:r w:rsidRPr="00E47F58">
        <w:rPr>
          <w:rFonts w:ascii="Arial" w:hAnsi="Arial" w:cs="Arial"/>
          <w:sz w:val="20"/>
          <w:szCs w:val="20"/>
          <w:lang w:val="en-GB"/>
        </w:rPr>
        <w:t>H-</w:t>
      </w:r>
      <w:r w:rsidRPr="00E47F58">
        <w:rPr>
          <w:rFonts w:ascii="Arial" w:hAnsi="Arial" w:cs="Arial"/>
          <w:sz w:val="20"/>
          <w:szCs w:val="20"/>
        </w:rPr>
        <w:t>Hetero-nuclear Single Quantum Coherence (HSQC) and Hetero-nuclear Multiple Bond Coherence (</w:t>
      </w:r>
      <w:r w:rsidRPr="00E47F58">
        <w:rPr>
          <w:rFonts w:ascii="Arial" w:hAnsi="Arial" w:cs="Arial"/>
          <w:bCs/>
          <w:sz w:val="20"/>
          <w:szCs w:val="20"/>
        </w:rPr>
        <w:t>HMBC</w:t>
      </w:r>
      <w:r w:rsidRPr="00E47F58">
        <w:rPr>
          <w:rFonts w:ascii="Arial" w:hAnsi="Arial" w:cs="Arial"/>
          <w:sz w:val="20"/>
          <w:szCs w:val="20"/>
        </w:rPr>
        <w:t xml:space="preserve">) </w:t>
      </w:r>
      <w:r w:rsidRPr="00E47F58">
        <w:rPr>
          <w:rFonts w:ascii="Arial" w:hAnsi="Arial" w:cs="Arial"/>
          <w:sz w:val="20"/>
          <w:szCs w:val="20"/>
          <w:lang w:val="en-GB"/>
        </w:rPr>
        <w:t>were performed on representative sample of each group and was used for metabolite detection and identification.</w:t>
      </w:r>
    </w:p>
    <w:p w14:paraId="429ACDBE" w14:textId="1BE22313" w:rsidR="00EB6AE8" w:rsidRPr="00E47F58" w:rsidRDefault="00A60DD7" w:rsidP="00E47F58">
      <w:pPr>
        <w:pStyle w:val="Heading3"/>
        <w:rPr>
          <w:sz w:val="20"/>
          <w:szCs w:val="20"/>
        </w:rPr>
      </w:pPr>
      <w:bookmarkStart w:id="21" w:name="_Toc49955754"/>
      <w:bookmarkStart w:id="22" w:name="_Toc50652445"/>
      <w:r>
        <w:rPr>
          <w:sz w:val="20"/>
          <w:szCs w:val="20"/>
        </w:rPr>
        <w:t>2.9</w:t>
      </w:r>
      <w:r w:rsidR="00982E49" w:rsidRPr="00E47F58">
        <w:rPr>
          <w:sz w:val="20"/>
          <w:szCs w:val="20"/>
        </w:rPr>
        <w:tab/>
      </w:r>
      <w:r w:rsidR="00EB6AE8" w:rsidRPr="00E47F58">
        <w:rPr>
          <w:sz w:val="20"/>
          <w:szCs w:val="20"/>
          <w:vertAlign w:val="superscript"/>
        </w:rPr>
        <w:t>1</w:t>
      </w:r>
      <w:r w:rsidR="00EB6AE8" w:rsidRPr="00E47F58">
        <w:rPr>
          <w:sz w:val="20"/>
          <w:szCs w:val="20"/>
        </w:rPr>
        <w:t>H NMR spectra processing and multivariate analysis</w:t>
      </w:r>
      <w:bookmarkEnd w:id="21"/>
      <w:bookmarkEnd w:id="22"/>
    </w:p>
    <w:p w14:paraId="47D3B8AE" w14:textId="77777777" w:rsidR="0026604E" w:rsidRPr="00E47F58" w:rsidRDefault="0026604E" w:rsidP="0026604E">
      <w:pPr>
        <w:pStyle w:val="single"/>
        <w:rPr>
          <w:rFonts w:ascii="Arial" w:hAnsi="Arial" w:cs="Arial"/>
          <w:sz w:val="20"/>
          <w:szCs w:val="20"/>
          <w:lang w:val="en-GB"/>
        </w:rPr>
      </w:pPr>
      <w:r w:rsidRPr="00E47F58">
        <w:rPr>
          <w:rFonts w:ascii="Arial" w:hAnsi="Arial" w:cs="Arial"/>
          <w:sz w:val="20"/>
          <w:szCs w:val="20"/>
          <w:lang w:val="en-GB"/>
        </w:rPr>
        <w:t xml:space="preserve">The </w:t>
      </w:r>
      <w:r w:rsidRPr="00E47F58">
        <w:rPr>
          <w:rFonts w:ascii="Arial" w:hAnsi="Arial" w:cs="Arial"/>
          <w:sz w:val="20"/>
          <w:szCs w:val="20"/>
          <w:vertAlign w:val="superscript"/>
          <w:lang w:val="en-GB"/>
        </w:rPr>
        <w:t>1</w:t>
      </w:r>
      <w:r w:rsidRPr="00E47F58">
        <w:rPr>
          <w:rFonts w:ascii="Arial" w:hAnsi="Arial" w:cs="Arial"/>
          <w:sz w:val="20"/>
          <w:szCs w:val="20"/>
          <w:lang w:val="en-GB"/>
        </w:rPr>
        <w:t xml:space="preserve">H NMR spectra of all replicate samples were binned to ASCII files using </w:t>
      </w:r>
      <w:proofErr w:type="spellStart"/>
      <w:r w:rsidRPr="00E47F58">
        <w:rPr>
          <w:rFonts w:ascii="Arial" w:hAnsi="Arial" w:cs="Arial"/>
          <w:sz w:val="20"/>
          <w:szCs w:val="20"/>
          <w:lang w:val="en-GB"/>
        </w:rPr>
        <w:t>Chenomx</w:t>
      </w:r>
      <w:proofErr w:type="spellEnd"/>
      <w:r w:rsidRPr="00E47F58">
        <w:rPr>
          <w:rFonts w:ascii="Arial" w:hAnsi="Arial" w:cs="Arial"/>
          <w:sz w:val="20"/>
          <w:szCs w:val="20"/>
          <w:lang w:val="en-GB"/>
        </w:rPr>
        <w:t xml:space="preserve"> software (version 6.2, Edmonton, Alberta, Canada). The spectral region 0.50 to 14.00 ppm was bucketed into integrated regions with spectral width of δ 0.04. The residual signals for water, chloroform and methanol in the ranges 4.68 - 4.88 ppm, 3.29 - 3.32 ppm and 7.50 - 7.60 ppm respectively, were excluded from the analysis. The standardized bucketed data were then pareto-scaled (Par) and subjected to principal component analysis (PCA) and partial least square discriminant analysis (PLS-DA) using SIMCA-P+ software (version 12.0.1.0, </w:t>
      </w:r>
      <w:proofErr w:type="spellStart"/>
      <w:r w:rsidRPr="00E47F58">
        <w:rPr>
          <w:rFonts w:ascii="Arial" w:hAnsi="Arial" w:cs="Arial"/>
          <w:sz w:val="20"/>
          <w:szCs w:val="20"/>
          <w:lang w:val="en-GB"/>
        </w:rPr>
        <w:t>Umetrics</w:t>
      </w:r>
      <w:proofErr w:type="spellEnd"/>
      <w:r w:rsidRPr="00E47F58">
        <w:rPr>
          <w:rFonts w:ascii="Arial" w:hAnsi="Arial" w:cs="Arial"/>
          <w:sz w:val="20"/>
          <w:szCs w:val="20"/>
          <w:lang w:val="en-GB"/>
        </w:rPr>
        <w:t xml:space="preserve"> AB, Umea, Sweden). The 2D NMR spectra was viewed using </w:t>
      </w:r>
      <w:proofErr w:type="spellStart"/>
      <w:r w:rsidRPr="00E47F58">
        <w:rPr>
          <w:rFonts w:ascii="Arial" w:hAnsi="Arial" w:cs="Arial"/>
          <w:sz w:val="20"/>
          <w:szCs w:val="20"/>
          <w:lang w:val="en-GB"/>
        </w:rPr>
        <w:t>MestRenova</w:t>
      </w:r>
      <w:proofErr w:type="spellEnd"/>
      <w:r w:rsidRPr="00E47F58">
        <w:rPr>
          <w:rFonts w:ascii="Arial" w:hAnsi="Arial" w:cs="Arial"/>
          <w:sz w:val="20"/>
          <w:szCs w:val="20"/>
          <w:lang w:val="en-GB"/>
        </w:rPr>
        <w:t xml:space="preserve"> (version 6.02-5475, </w:t>
      </w:r>
      <w:proofErr w:type="spellStart"/>
      <w:r w:rsidRPr="00E47F58">
        <w:rPr>
          <w:rFonts w:ascii="Arial" w:hAnsi="Arial" w:cs="Arial"/>
          <w:sz w:val="20"/>
          <w:szCs w:val="20"/>
          <w:lang w:val="en-GB"/>
        </w:rPr>
        <w:t>Mestrelab</w:t>
      </w:r>
      <w:proofErr w:type="spellEnd"/>
      <w:r w:rsidRPr="00E47F58">
        <w:rPr>
          <w:rFonts w:ascii="Arial" w:hAnsi="Arial" w:cs="Arial"/>
          <w:sz w:val="20"/>
          <w:szCs w:val="20"/>
          <w:lang w:val="en-GB"/>
        </w:rPr>
        <w:t xml:space="preserve"> Research, Santiago de </w:t>
      </w:r>
      <w:proofErr w:type="spellStart"/>
      <w:r w:rsidRPr="00E47F58">
        <w:rPr>
          <w:rFonts w:ascii="Arial" w:hAnsi="Arial" w:cs="Arial"/>
          <w:sz w:val="20"/>
          <w:szCs w:val="20"/>
          <w:lang w:val="en-GB"/>
        </w:rPr>
        <w:t>Compostella</w:t>
      </w:r>
      <w:proofErr w:type="spellEnd"/>
      <w:r w:rsidRPr="00E47F58">
        <w:rPr>
          <w:rFonts w:ascii="Arial" w:hAnsi="Arial" w:cs="Arial"/>
          <w:sz w:val="20"/>
          <w:szCs w:val="20"/>
          <w:lang w:val="en-GB"/>
        </w:rPr>
        <w:t>, Spain).</w:t>
      </w:r>
    </w:p>
    <w:p w14:paraId="2060D011" w14:textId="2350D612"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In general, the variable importance of projec</w:t>
      </w:r>
      <w:r w:rsidR="0026604E" w:rsidRPr="00E47F58">
        <w:rPr>
          <w:rFonts w:ascii="Arial" w:hAnsi="Arial" w:cs="Arial"/>
          <w:sz w:val="20"/>
          <w:szCs w:val="20"/>
          <w:lang w:val="en-GB"/>
        </w:rPr>
        <w:t>tion (VIP) plots in this research</w:t>
      </w:r>
      <w:r w:rsidRPr="00E47F58">
        <w:rPr>
          <w:rFonts w:ascii="Arial" w:hAnsi="Arial" w:cs="Arial"/>
          <w:sz w:val="20"/>
          <w:szCs w:val="20"/>
          <w:lang w:val="en-GB"/>
        </w:rPr>
        <w:t xml:space="preserve"> suggests most contributing metabolites responsible for the separation of comparable samples within an OPLS-DA model: metabolites </w:t>
      </w:r>
      <w:r w:rsidRPr="00E47F58">
        <w:rPr>
          <w:rFonts w:ascii="Arial" w:hAnsi="Arial" w:cs="Arial"/>
          <w:sz w:val="20"/>
          <w:szCs w:val="20"/>
          <w:lang w:val="en-GB"/>
        </w:rPr>
        <w:lastRenderedPageBreak/>
        <w:t>with VIP ≥ 1 were considered the most contributors for the separation of groups by PC1 and or PC2 in a given OPLS-DA model. The detected me</w:t>
      </w:r>
      <w:r w:rsidR="0026604E" w:rsidRPr="00E47F58">
        <w:rPr>
          <w:rFonts w:ascii="Arial" w:hAnsi="Arial" w:cs="Arial"/>
          <w:sz w:val="20"/>
          <w:szCs w:val="20"/>
          <w:lang w:val="en-GB"/>
        </w:rPr>
        <w:t xml:space="preserve">tabolites </w:t>
      </w:r>
      <w:r w:rsidRPr="00E47F58">
        <w:rPr>
          <w:rFonts w:ascii="Arial" w:hAnsi="Arial" w:cs="Arial"/>
          <w:sz w:val="20"/>
          <w:szCs w:val="20"/>
          <w:lang w:val="en-GB"/>
        </w:rPr>
        <w:t xml:space="preserve">were sorted out with reference </w:t>
      </w:r>
      <w:r w:rsidR="0026604E" w:rsidRPr="00E47F58">
        <w:rPr>
          <w:rFonts w:ascii="Arial" w:hAnsi="Arial" w:cs="Arial"/>
          <w:sz w:val="20"/>
          <w:szCs w:val="20"/>
          <w:lang w:val="en-GB"/>
        </w:rPr>
        <w:t>to compounds which were</w:t>
      </w:r>
      <w:r w:rsidRPr="00E47F58">
        <w:rPr>
          <w:rFonts w:ascii="Arial" w:hAnsi="Arial" w:cs="Arial"/>
          <w:sz w:val="20"/>
          <w:szCs w:val="20"/>
          <w:lang w:val="en-GB"/>
        </w:rPr>
        <w:t xml:space="preserve"> reported to contribute to immune improvements</w:t>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{"citationItems":[{"id":"ITEM-1","itemData":{"DOI":"10.1186/s13567-014-0138-z","author":[{"dropping-particle":"","family":"Gray","given":"Darren W","non-dropping-particle":"","parse-names":false,"suffix":""},{"dropping-particle":"","family":"Welsh","given":"Michael D","non-dropping-particle":"","parse-names":false,"suffix":""},{"dropping-particle":"","family":"Doherty","given":"Simon","non-dropping-particle":"","parse-names":false,"suffix":""},{"dropping-particle":"","family":"Mansoor","given":"Fawad","non-dropping-particle":"","parse-names":false,"suffix":""},{"dropping-particle":"","family":"Chevallier","given":"Olivier P","non-dropping-particle":"","parse-names":false,"suffix":""},{"dropping-particle":"","family":"Elliott","given":"Christopher T","non-dropping-particle":"","parse-names":false,"suffix":""},{"dropping-particle":"","family":"Mooney","given":"Mark H","non-dropping-particle":"","parse-names":false,"suffix":""}],"container-title":"Veterinary Research","id":"ITEM-1","issue":"7","issued":{"date-parts":[["2015"]]},"page":"1-16","title":"Identification of systemic immune response markers through metabolomic profiling of plasma from calves given an intra-nasally delivered respiratory vaccine","type":"article-journal","volume":"46"},"uris":["http://www.mendeley.com/documents/?uuid=9b07609b-9838-4e1a-ad19-1ef424a7a53f","http://www.mendeley.com/documents/?uuid=d5d6d89c-1f07-47c6-8c76-c64ee1c8c451"]}],"mendeley":{"formattedCitation":"(Gray et al., 2015)","manualFormatting":"(Gray et al., 2015","plainTextFormattedCitation":"(Gray et al., 2015)","previouslyFormattedCitation":"(Gray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(Gray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cells","type":"article-journal","volume":"7"},"uris":["http://www.mendeley.com/documents/?uuid=eb005b79-f50a-4f1f-8a87-ef2a16b2ce6b","http://www.mendeley.com/documents/?uuid=e5bd9657-c6cb-47d5-a82d-d3e1be3d1ff4"]}],"mendeley":{"formattedCitation":"(Alqarni et al., 2019)","manualFormatting":"Alqarni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Alqarni et al., 2019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diseases","type":"article-journal","volume":"46"},"uris":["http://www.mendeley.com/documents/?uuid=11d9da89-7674-40d3-8378-bf6d3d652452","http://www.mendeley.com/documents/?uuid=bde01f47-3706-4ea3-aa64-cf9bee57cbca"]}],"mendeley":{"formattedCitation":"(Marcinkiewicz &amp; Kontny, 2014)","manualFormatting":"Marcinkiewicz &amp; Kontny, 2014","plainTextFormattedCitation":"(Marcinkiewicz &amp; Kontny, 2014)","previouslyFormattedCitation":"(Marcinkiewicz and Kontny 2014)"},"properties":{"noteIndex":0},"schema":"https://github.com/citation-style-language/schema/raw/master/csl-citation.json"}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Marcinkiewicz &amp; Kontny, 2014</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{"citationItems":[{"id":"ITEM-1","itemData":{"DOI":"10.1186/s41110-016-0016-8","ISSN":"2316-7874","abstract":"This article aims to review glutamine metabolism and its effects on the immune response. Selected topics are addressed, particularly the effect of glutamine on cell survival and proliferation, as well as its importance in some biochemical pathways. The impact of glutamine on muscle, intestine, and liver metabolism are described, and a special section about glutamine regulation of the immune response is included. In this context, the modulation of glutamine on relevant signaling pathways as nuclear factor kappa B (NF-kB), mitogen-activated protein kinases (MAPKs), and heat shock protein and the influence of this amino acid on cell migration and adhesion molecules are highlighted. Some important immune response pathways modulated by glutamine were described as its action in critically ill patients. In summary, this review describes some important actions of glutamine, and a range of reactions and modulatory effects in different organs, which may inform new therapeutic strategies. However, further studies are necessary to provide information about glutamine use, especially about situations in which it can be better used as well as fine-tuning dose and administration.","author":[{"dropping-particle":"","family":"Oliveira","given":"Dalila Cunha","non-dropping-particle":"de","parse-names":false,"suffix":""},{"dropping-particle":"","family":"Silva Lima","given":"Fabiana","non-dropping-particle":"da","parse-names":false,"suffix":""},{"dropping-particle":"","family":"Sartori","given":"Talita","non-dropping-particle":"","parse-names":false,"suffix":""},{"dropping-particle":"","family":"Santos","given":"Andressa Cristina Antunes","non-dropping-particle":"","parse-names":false,"suffix":""},{"dropping-particle":"","family":"Rogero","given":"Marcelo Macedo","non-dropping-particle":"","parse-names":false,"suffix":""},{"dropping-particle":"","family":"Fock","given":"Ricardo Ambrosio","non-dropping-particle":"","parse-names":false,"suffix":""}],"container-title":"Nutrire","id":"ITEM-1","issue":"1","issued":{"date-parts":[["2016"]]},"page":"1-10","publisher":"Nutrire","title":"Glutamine metabolism and its effects on immune response: molecular mechanism and gene expression","type":"article-journal","volume":"41"},"uris":["http://www.mendeley.com/documents/?uuid=0a8f53be-0e12-4485-9bf5-bed640fce63e","http://www.mendeley.com/documents/?uuid=1393826f-3535-4d9b-a2ab-0cc8c51f14f8"]}],"mendeley":{"formattedCitation":"(de Oliveira et al., 2016)","manualFormatting":"De Oliveira et al., 2016","plainTextFormattedCitation":"(de Oliveira et al., 2016)","previouslyFormattedCitation":"(de Oliveira et al. 2016)"},"properties":{"noteIndex":0},"schema":"https://github.com/citation-style-language/schema/raw/master/csl-citation.json"}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De Oliveira et al., 2016</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{"citationItems":[{"id":"ITEM-1","itemData":{"DOI":"10.1016/j.burns.2012.11.008","ISSN":"03054179","abstract":"Background: During critical illness, the demand for glutamine may exceed that which can be mobilized from muscle stores. Infections increase mortality, morbidity, length-of-stay, antibiotic usage and the cost of care. This is a major health care issue. Methods: RCTs were identified from the electronic databases: the Cochrane Library, MEDLINE, PubMed web of knowledge and hand searching journals. The trials compared the supplementation with glutamine and non-supplementation in burn. Statistical analysis was performed using RevMan5.1 software, from Cochrane Collaboration. Results: 216 papers showed a match, in the keyword search. Upon screening the title, reading the abstract and the entire article, only four RCTs, involving 155 patients, were included. For both the glutamine group and control group, total burn surface area (TBSA) (MD = 2.02, 95% CI -2.17, 6.21, p = 0.34) was similar. Glutamine supplementation was associated with a statistically significant decrease in the number of patients with gram-negative bacteremia (OR 0.27, 95% CI 0.08-0.92, p = 0.04) and hospital mortality (OR = 0.13, 95% CI 0.03, 0.51, p = 0.004), however, no statistical difference was noted between groups, for the other results. Conclusion: Glutamine supplemented nutrition can be associated with a reduction in mortality in hospital, complications due to gram-negative bacteremia in burn patients. Further larger and better quality trials are required, in order to determine whether any differences are statistically and clinically important. © 2012 Elsevier Ltd and ISBI.","author":[{"dropping-particle":"","family":"Lin","given":"Jiun Jie","non-dropping-particle":"","parse-names":false,"suffix":""},{"dropping-particle":"","family":"Chung","given":"Xiu Juan","non-dropping-particle":"","parse-names":false,"suffix":""},{"dropping-particle":"","family":"Yang","given":"Chung Yih","non-dropping-particle":"","parse-names":false,"suffix":""},{"dropping-particle":"","family":"Lau","given":"Hui Ling","non-dropping-particle":"","parse-names":false,"suffix":""}],"container-title":"Burns","id":"ITEM-1","issue":"4","issued":{"date-parts":[["2013"]]},"page":"565-570","publisher":"Elsevier Ltd and International Society of Burns Injuries","title":"A meta-analysis of trials using the intention to treat principle for glutamine supplementation in critically ill patients with burn","type":"article-journal","volume":"39"},"uris":["http://www.mendeley.com/documents/?uuid=7bc03b5f-5124-40c8-ba8e-693e8caa47cf","http://www.mendeley.com/documents/?uuid=4a2c50db-bf7e-4b38-b9a5-bdf7856b2331"]}],"mendeley":{"formattedCitation":"(Lin et al., 2013)","manualFormatting":"Lin et al., 2013","plainTextFormattedCitation":"(Lin et al., 2013)","previouslyFormattedCitation":"(Lin et al. 2013)"},"properties":{"noteIndex":0},"schema":"https://github.com/citation-style-language/schema/raw/master/csl-citation.json"}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Lin et al., 2013</w:t>
      </w:r>
      <w:r w:rsidRPr="00E47F58">
        <w:rPr>
          <w:rFonts w:ascii="Arial" w:hAnsi="Arial" w:cs="Arial"/>
          <w:sz w:val="20"/>
          <w:szCs w:val="20"/>
        </w:rPr>
        <w:fldChar w:fldCharType="end"/>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{"citationItems":[{"id":"ITEM-1","itemData":{"DOI":"10.1186/s13054-015-1002-x","ISSN":"1466609X","abstract":"Introduction: Glutamine (GLN) has been suggested to have a beneficial influence on outcomes of critically ill patients. However, recent large-scale trials have suggested harm associated with GLN supplementation. Recently, systematic reviews on the use of parenteral GLN have been published; however, less information is available on the role of enteral GLN. Therefore, the aim of this systematic review was to study the effects of enteral GLN supplementation in patients with critical illness. Methods: We identified randomized controlled trials conducted from 1980 to 2014 with enterally administered GLN in adult critically ill patients. Studies of parenteral GLN only or combined enteral-parenteral GLN were excluded. The methodological quality of studies was scored, and trial data were statistically combined. We examined a priori the treatment effects in subgroups of trials of burn and trauma patients. Results: A total of 11 studies involving 1079 adult critically ill patients and enteral GLN supplementation were identified. Enteral GLN supplementation was not associated with a reduction of hospital mortality (risk ratio [RR] 0.94, 95 % confidence interval [CI] 0.65-1.36; p =0.74), infectious complications (RR 0.93, 95 % CI 0.79-1.10; p =0.39) or stay in the intensive care unit (weighted mean difference [WMD] -1.36 days, 95 % CI -5.51 to 2.78; p =0.52). However, there was a significant reduction in hospital stay (WMD 4.73 days, 95 % CI -8.53 to -0.90; p =0.02). In the subset of studies of patients with burns, enteral GLN supplementation was associated with significant reductions in hospital mortality (RR 0.19, 95 % 0.06-0.67; p =0.010) and hospital stay (WMD -9.16, 95 % CI -15.06 to -3.26; p =0.002). There was no effect in trauma patients. Conclusions: Enteral GLN supplementation does not confer significant clinical benefit in critically ill patients, with the exception of reduced hospital stay. There may be a significant benefit in patients with burns, but data are sparse and larger randomized trials are warranted to confirm this effect.","author":[{"dropping-particle":"","family":"Zanten","given":"Arthur R.H.","non-dropping-particle":"van","parse-names":false,"suffix":""},{"dropping-particle":"","family":"Dhaliwal","given":"Rupinder","non-dropping-particle":"","parse-names":false,"suffix":""},{"dropping-particle":"","family":"Garrel","given":"Dominique","non-dropping-particle":"","parse-names":false,"suffix":""},{"dropping-particle":"","family":"Heyland","given":"Daren K.","non-dropping-particle":"","parse-names":false,"suffix":""}],"container-title":"Critical Care","id":"ITEM-1","issue":"1","issued":{"date-parts":[["2015"]]},"publisher":"Critical Care","title":"Enteral glutamine supplementation in critically ill patients: A systematic review and meta-analysis","type":"article-journal","volume":"19"},"uris":["http://www.mendeley.com/documents/?uuid=88bf9ecd-e3e1-4fce-983c-f9cf84f024d6","http://www.mendeley.com/documents/?uuid=aefe5371-9b74-446c-8a50-e06c07c7e634"]}],"mendeley":{"formattedCitation":"(van Zanten et al., 2015)","manualFormatting":"; Van Zanten et al., 2015","plainTextFormattedCitation":"(van Zanten et al., 2015)","previouslyFormattedCitation":"(van Zanten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 Van Zanten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{"citationItems":[{"id":"ITEM-1","itemData":{"author":[{"dropping-particle":"","family":"Bettina","given":"Mittendorfer","non-dropping-particle":"","parse-names":false,"suffix":""},{"dropping-particle":"","family":"Dennis","given":"C. Gore","non-dropping-particle":"","parse-names":false,"suffix":""},{"dropping-particle":"","family":"Herndon","given":"David N.","non-dropping-particle":"","parse-names":false,"suffix":""},{"dropping-particle":"","family":"Wolfe","given":"Robert R.","non-dropping-particle":"","parse-names":false,"suffix":""}],"container-title":"Journal of Parenteral and Enteral Nutrition","id":"ITEM-1","issue":"5","issued":{"date-parts":[["1999"]]},"page":"243-252","title":"Accelerated Glutamine Synthesis in Critically [I] Patients Cannot Maintain Normal Intramuscular Free Glutamine Concentration","type":"article-journal","volume":"23"},"uris":["http://www.mendeley.com/documents/?uuid=12ebcf0c-cc34-41df-aae7-46da675ef040","http://www.mendeley.com/documents/?uuid=fef96aee-c199-44c4-a4c6-43dc4eb5ed77"]}],"mendeley":{"formattedCitation":"(Bettina et al., 1999)","manualFormatting":"Bettina et al., 1999","plainTextFormattedCitation":"(Bettina et al., 1999)","previouslyFormattedCitation":"(Bettina et al. 1999)"},"properties":{"noteIndex":0},"schema":"https://github.com/citation-style-language/schema/raw/master/csl-citation.json"}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Bettina et al., 1999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activation","type":"article-journal","volume":"66"},"uris":["http://www.mendeley.com/documents/?uuid=52e693d3-ae73-4303-9004-372a1f9034b3","http://www.mendeley.com/documents/?uuid=24053baa-a699-4697-97c7-93b9f1bd4e78"]}],"mendeley":{"formattedCitation":"(Mazur-Bialy et al., 2015)","manualFormatting":"Mazur-Bialy et al., 2015","plainTextFormattedCitation":"(Mazur-Bialy et al., 2015)","previouslyFormattedCitation":"(Mazur-Bialy, Pochec, and Plytycz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Mazur-Bialy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{"citationItems":[{"id":"ITEM-1","itemData":{"DOI":"10.1155/2018/9524075","ISSN":"14661861","abstract":"Inflammatory mediators, including cytokines, histamine, bradykinin, prostaglandins, and leukotrienes, impact the immune system, usually as proinflammatory factors. Other mediators act as regulatory components to establish homeostasis after injury or prevent the inflammatory process. Histamine, a biogenic vasoactive amine, causes symptoms such as allergies and has a pleiotropic effect that is dependent on its interaction with its four histamine receptors. In this review, we discuss the dualistic effects of histamine: how histamine affects inflammation of the immune system through the activation of intracellular pathways that induce the production of inflammatory mediators and cytokines in different immune cells and how histamine exerts regulatory functions in innate and adaptive immune responses. We also evaluate the interactions between these effects.","author":[{"dropping-particle":"","family":"Branco","given":"Anna Cláudia Calvielli Castelo","non-dropping-particle":"","parse-names":false,"suffix":""},{"dropping-particle":"","family":"Yoshikawa","given":"Fábio Seiti Yamada","non-dropping-particle":"","parse-names":false,"suffix":""},{"dropping-particle":"","family":"Pietrobon","given":"Anna Julia","non-dropping-particle":"","parse-names":false,"suffix":""},{"dropping-particle":"","family":"Sato","given":"Maria Notomi","non-dropping-particle":"","parse-names":false,"suffix":""}],"container-title":"Mediators of Inflammation","id":"ITEM-1","issued":{"date-parts":[["2018"]]},"title":"Role of Histamine in Modulating the Immune Response and Inflammation","type":"article-journal","volume":"2018"},"uris":["http://www.mendeley.com/documents/?uuid=171a47b0-16b3-401b-b807-6cb190f0692e","http://www.mendeley.com/documents/?uuid=a200c4e5-a6b7-4370-b6e4-8051e8318ae7"]}],"mendeley":{"formattedCitation":"(Branco et al., 2018)","manualFormatting":"Branco et al., 2018","plainTextFormattedCitation":"(Branco et al., 2018)","previouslyFormattedCitation":"(Branco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Branco et al.,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jaci.2011.07.026","ISSN":"00916749","author":[{"dropping-particle":"","family":"Owens","given":"Gregory","non-dropping-particle":"","parse-names":false,"suffix":""},{"dropping-particle":"","family":"Rao","given":"Chitra","non-dropping-particle":"","parse-names":false,"suffix":""},{"dropping-particle":"","family":"Traister","given":"Russell","non-dropping-particle":"","parse-names":false,"suffix":""}],"container-title":"Journal of Allergy and Clinical Immunology","id":"ITEM-1","issue":"6","issued":{"date-parts":[["2011"]]},"page":"1163-1164","title":"Regulation of the immune response and inflammation by histamine and histamine receptors","type":"article-journal","volume":"128"},"uris":["http://www.mendeley.com/documents/?uuid=b310ed60-ca1f-4e39-ac65-ac5ea4b7151d","http://www.mendeley.com/documents/?uuid=1c641057-cb2e-4944-9861-c846872cd230"]}],"mendeley":{"formattedCitation":"(Owens et al., 2011)","manualFormatting":"Owens et al., 2011","plainTextFormattedCitation":"(Owens et al., 2011)","previouslyFormattedCitation":"(Owens, Rao, and Traister 2011)"},"properties":{"noteIndex":0},"schema":"https://github.com/citation-style-language/schema/raw/master/csl-citation.json"}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Owens et al., 2011</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{"citationItems":[{"id":"ITEM-1","itemData":{"DOI":"10.1016/j.cmet.2018.03.019","ISSN":"19327420","abstract":"To fight infections, macrophages undergo a metabolic shift whereby increased glycolysis fuels antimicrobial inflammation and killing of pathogens. Here we demonstrate that the pathogen Candida albicans turns this metabolic reprogramming into an Achilles' heel for macrophages. During Candida-macrophage interactions intertwined metabolic shifts occur, with concomitant upregulation of glycolysis in both host and pathogen setting up glucose competition. Candida thrives on multiple carbon sources, but infected macrophages are metabolically trapped in glycolysis and depend on glucose for viability: Candida exploits this limitation by depleting glucose, triggering rapid macrophage death. Using pharmacological or genetic means to modulate glucose metabolism of host and/or pathogen, we show that Candida infection perturbs host glucose homeostasis in the murine candidemia model and demonstrate that glucose supplementation improves host outcomes. Our results support the importance of maintaining glucose homeostasis for immune cell survival during Candida challenge and for host survival in systemic infection. Glucose is essential for innate immune cells to mount effective anti-fungal responses. Tucey et al. show that, for infected macrophages, dependence on glucose becomes their downfall: the human fungal pathogen Candida albicans rapidly consumes glucose, causing macrophages to die. In mice, maintaining host glucose homeostasis is important to prevent life-threatening fungal infection.","author":[{"dropping-particle":"","family":"Tucey","given":"Timothy M.","non-dropping-particle":"","parse-names":false,"suffix":""},{"dropping-particle":"","family":"Verma","given":"Jiyoti","non-dropping-particle":"","parse-names":false,"suffix":""},{"dropping-particle":"","family":"Harrison","given":"Paul F.","non-dropping-particle":"","parse-names":false,"suffix":""},{"dropping-particle":"","family":"Snelgrove","given":"Sarah L.","non-dropping-particle":"","parse-names":false,"suffix":""},{"dropping-particle":"","family":"Lo","given":"Tricia L.","non-dropping-particle":"","parse-names":false,"suffix":""},{"dropping-particle":"","family":"Scherer","given":"Allison K.","non-dropping-particle":"","parse-names":false,"suffix":""},{"dropping-particle":"","family":"Barugahare","given":"Adele A.","non-dropping-particle":"","parse-names":false,"suffix":""},{"dropping-particle":"","family":"Powell","given":"David R.","non-dropping-particle":"","parse-names":false,"suffix":""},{"dropping-particle":"","family":"Wheeler","given":"Robert T.","non-dropping-particle":"","parse-names":false,"suffix":""},{"dropping-particle":"","family":"Hickey","given":"Michael J.","non-dropping-particle":"","parse-names":false,"suffix":""},{"dropping-particle":"","family":"Beilharz","given":"Traude H.","non-dropping-particle":"","parse-names":false,"suffix":""},{"dropping-particle":"","family":"Naderer","given":"Thomas","non-dropping-particle":"","parse-names":false,"suffix":""},{"dropping-particle":"","family":"Traven","given":"Ana","non-dropping-particle":"","parse-names":false,"suffix":""}],"container-title":"Cell Metabolism","id":"ITEM-1","issue":"5","issued":{"date-parts":[["2018"]]},"page":"988-1006.e7","publisher":"Elsevier Inc.","title":"Glucose Homeostasis Is Important for Immune Cell Viability during Candida Challenge and Host Survival of Systemic Fungal Infection","type":"article-journal","volume":"27"},"uris":["http://www.mendeley.com/documents/?uuid=c88ecb21-d5fd-4a9c-8d79-784b1a5bba27","http://www.mendeley.com/documents/?uuid=005ffb75-30b7-4a1e-b07e-83c60d7ca01b"]}],"mendeley":{"formattedCitation":"(Tucey et al., 2018)","manualFormatting":"Tucey et al., 2018)","plainTextFormattedCitation":"(Tucey et al., 2018)","previouslyFormattedCitation":"(Tucey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Tucey et al., 2018)</w:t>
      </w:r>
      <w:r w:rsidRPr="00E47F58">
        <w:rPr>
          <w:rFonts w:ascii="Arial" w:hAnsi="Arial" w:cs="Arial"/>
          <w:sz w:val="20"/>
          <w:szCs w:val="20"/>
        </w:rPr>
        <w:fldChar w:fldCharType="end"/>
      </w:r>
      <w:r w:rsidRPr="00E47F58">
        <w:rPr>
          <w:rFonts w:ascii="Arial" w:hAnsi="Arial" w:cs="Arial"/>
          <w:bCs/>
          <w:sz w:val="20"/>
          <w:szCs w:val="20"/>
          <w:lang w:val="en-GB"/>
        </w:rPr>
        <w:t>.</w:t>
      </w:r>
    </w:p>
    <w:p w14:paraId="3D1AE262" w14:textId="77777777" w:rsidR="00EB6AE8" w:rsidRPr="00E47F58" w:rsidRDefault="00982E49" w:rsidP="002C772B">
      <w:pPr>
        <w:pStyle w:val="Heading2"/>
      </w:pPr>
      <w:bookmarkStart w:id="23" w:name="_Toc49955755"/>
      <w:bookmarkStart w:id="24" w:name="_Toc50652446"/>
      <w:r w:rsidRPr="00E47F58">
        <w:t>3.0</w:t>
      </w:r>
      <w:r w:rsidRPr="00E47F58">
        <w:tab/>
      </w:r>
      <w:r w:rsidR="00123C53" w:rsidRPr="00E47F58">
        <w:t>RESULTS AND DISCUSSION</w:t>
      </w:r>
      <w:bookmarkEnd w:id="23"/>
      <w:bookmarkEnd w:id="24"/>
    </w:p>
    <w:p w14:paraId="4B6BAB02" w14:textId="38B07B14" w:rsidR="00EB6AE8" w:rsidRPr="00E47F58" w:rsidRDefault="00A60DD7" w:rsidP="00E47F58">
      <w:pPr>
        <w:pStyle w:val="Heading3"/>
        <w:rPr>
          <w:sz w:val="20"/>
          <w:szCs w:val="20"/>
          <w:vertAlign w:val="subscript"/>
          <w:lang w:val="en-GB"/>
        </w:rPr>
      </w:pPr>
      <w:bookmarkStart w:id="25" w:name="_Toc49955756"/>
      <w:bookmarkStart w:id="26" w:name="_Toc50652447"/>
      <w:r>
        <w:rPr>
          <w:sz w:val="20"/>
          <w:szCs w:val="20"/>
          <w:lang w:val="en-GB"/>
        </w:rPr>
        <w:t>3.</w:t>
      </w:r>
      <w:r w:rsidR="00982E49" w:rsidRPr="00E47F58">
        <w:rPr>
          <w:sz w:val="20"/>
          <w:szCs w:val="20"/>
          <w:lang w:val="en-GB"/>
        </w:rPr>
        <w:t>1</w:t>
      </w:r>
      <w:r w:rsidR="00982E49" w:rsidRPr="00E47F58">
        <w:rPr>
          <w:sz w:val="20"/>
          <w:szCs w:val="20"/>
          <w:lang w:val="en-GB"/>
        </w:rPr>
        <w:tab/>
      </w:r>
      <w:r w:rsidR="00EB6AE8" w:rsidRPr="00E47F58">
        <w:rPr>
          <w:sz w:val="20"/>
          <w:szCs w:val="20"/>
          <w:lang w:val="en-GB"/>
        </w:rPr>
        <w:t>LC</w:t>
      </w:r>
      <w:r w:rsidR="00EB6AE8" w:rsidRPr="00E47F58">
        <w:rPr>
          <w:sz w:val="20"/>
          <w:szCs w:val="20"/>
          <w:vertAlign w:val="subscript"/>
          <w:lang w:val="en-GB"/>
        </w:rPr>
        <w:t>50</w:t>
      </w:r>
      <w:bookmarkEnd w:id="25"/>
      <w:bookmarkEnd w:id="26"/>
    </w:p>
    <w:p w14:paraId="7C8C4AA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The symptoms observed with </w:t>
      </w:r>
      <w:r w:rsidRPr="00E47F58">
        <w:rPr>
          <w:rFonts w:ascii="Arial" w:hAnsi="Arial" w:cs="Arial"/>
          <w:i/>
          <w:iCs/>
          <w:sz w:val="20"/>
          <w:szCs w:val="20"/>
        </w:rPr>
        <w:t xml:space="preserve">S. agalactiae </w:t>
      </w:r>
      <w:r w:rsidRPr="00E47F58">
        <w:rPr>
          <w:rFonts w:ascii="Arial" w:hAnsi="Arial" w:cs="Arial"/>
          <w:sz w:val="20"/>
          <w:szCs w:val="20"/>
        </w:rPr>
        <w:t>infected fish include lack of appetite, movement at the bottom of the tank, appearance of whitish mucus on the skin, gills, and eyes (corneal opacity). In addition, many of the affected tilapias were observed to show red discoloration of the internal organs along with acute inf</w:t>
      </w:r>
      <w:r w:rsidR="00851556" w:rsidRPr="00E47F58">
        <w:rPr>
          <w:rFonts w:ascii="Arial" w:hAnsi="Arial" w:cs="Arial"/>
          <w:sz w:val="20"/>
          <w:szCs w:val="20"/>
        </w:rPr>
        <w:t xml:space="preserve">lammations as shown in Figure </w:t>
      </w:r>
      <w:r w:rsidRPr="00E47F58">
        <w:rPr>
          <w:rFonts w:ascii="Arial" w:hAnsi="Arial" w:cs="Arial"/>
          <w:sz w:val="20"/>
          <w:szCs w:val="20"/>
        </w:rPr>
        <w:t>2.</w:t>
      </w:r>
    </w:p>
    <w:p w14:paraId="2D19148E" w14:textId="2E4E92EF" w:rsidR="00EB6AE8" w:rsidRPr="00E47F58" w:rsidRDefault="00EB6AE8" w:rsidP="00C02871">
      <w:pPr>
        <w:pStyle w:val="single"/>
        <w:spacing w:after="0"/>
        <w:jc w:val="center"/>
        <w:rPr>
          <w:rFonts w:ascii="Arial" w:hAnsi="Arial" w:cs="Arial"/>
          <w:sz w:val="20"/>
          <w:szCs w:val="20"/>
        </w:rPr>
      </w:pPr>
      <w:r w:rsidRPr="00E47F58">
        <w:rPr>
          <w:rFonts w:ascii="Arial" w:hAnsi="Arial" w:cs="Arial"/>
          <w:noProof/>
          <w:sz w:val="20"/>
          <w:szCs w:val="20"/>
        </w:rPr>
        <w:drawing>
          <wp:inline distT="0" distB="0" distL="0" distR="0" wp14:anchorId="7A2848AD" wp14:editId="767918DE">
            <wp:extent cx="5029200" cy="2040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331" cy="2141854"/>
                    </a:xfrm>
                    <a:prstGeom prst="rect">
                      <a:avLst/>
                    </a:prstGeom>
                    <a:noFill/>
                  </pic:spPr>
                </pic:pic>
              </a:graphicData>
            </a:graphic>
          </wp:inline>
        </w:drawing>
      </w:r>
    </w:p>
    <w:p w14:paraId="36365970" w14:textId="77777777" w:rsidR="00EB6AE8" w:rsidRPr="00E47F58" w:rsidRDefault="00EB6AE8" w:rsidP="00EB6AE8">
      <w:pPr>
        <w:pStyle w:val="Caption"/>
        <w:rPr>
          <w:rFonts w:ascii="Arial" w:hAnsi="Arial" w:cs="Arial"/>
          <w:sz w:val="20"/>
          <w:szCs w:val="20"/>
        </w:rPr>
      </w:pPr>
      <w:bookmarkStart w:id="27" w:name="_Toc50653938"/>
      <w:r w:rsidRPr="00E47F58">
        <w:rPr>
          <w:rFonts w:ascii="Arial" w:hAnsi="Arial" w:cs="Arial"/>
          <w:sz w:val="20"/>
          <w:szCs w:val="20"/>
        </w:rPr>
        <w:t xml:space="preserve">Figure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Tilapia infected by </w:t>
      </w:r>
      <w:r w:rsidRPr="00E47F58">
        <w:rPr>
          <w:rFonts w:ascii="Arial" w:hAnsi="Arial" w:cs="Arial"/>
          <w:i/>
          <w:iCs/>
          <w:sz w:val="20"/>
          <w:szCs w:val="20"/>
        </w:rPr>
        <w:t>S. agalactiae</w:t>
      </w:r>
      <w:r w:rsidRPr="00E47F58">
        <w:rPr>
          <w:rFonts w:ascii="Arial" w:hAnsi="Arial" w:cs="Arial"/>
          <w:sz w:val="20"/>
          <w:szCs w:val="20"/>
        </w:rPr>
        <w:t xml:space="preserve"> showing: A; corneal opacity, B; darkening of internal organs and C; swelling of spleen and liver</w:t>
      </w:r>
      <w:bookmarkEnd w:id="27"/>
    </w:p>
    <w:p w14:paraId="5E11ECF6" w14:textId="77777777" w:rsidR="00851556" w:rsidRPr="00E47F58" w:rsidRDefault="00851556" w:rsidP="00851556">
      <w:pPr>
        <w:rPr>
          <w:rFonts w:ascii="Arial" w:hAnsi="Arial" w:cs="Arial"/>
          <w:sz w:val="20"/>
          <w:szCs w:val="20"/>
        </w:rPr>
      </w:pPr>
    </w:p>
    <w:p w14:paraId="70BC79F2" w14:textId="77777777" w:rsidR="00851556" w:rsidRPr="00E47F58" w:rsidRDefault="00851556" w:rsidP="00851556">
      <w:pPr>
        <w:pStyle w:val="single"/>
        <w:rPr>
          <w:rFonts w:ascii="Arial" w:hAnsi="Arial" w:cs="Arial"/>
          <w:sz w:val="20"/>
          <w:szCs w:val="20"/>
          <w:lang w:val="en-GB"/>
        </w:rPr>
      </w:pPr>
      <w:r w:rsidRPr="00E47F58">
        <w:rPr>
          <w:rFonts w:ascii="Arial" w:hAnsi="Arial" w:cs="Arial"/>
          <w:sz w:val="20"/>
          <w:szCs w:val="20"/>
          <w:lang w:val="en-GB"/>
        </w:rPr>
        <w:t xml:space="preserve">The following Figure 3 shows the plot of bacterial concentrations against observed mortality from bacterial challenged test. The linear equation was used to calculate the </w:t>
      </w:r>
      <w:r w:rsidRPr="00E47F58">
        <w:rPr>
          <w:rFonts w:ascii="Arial" w:hAnsi="Arial" w:cs="Arial"/>
          <w:i/>
          <w:iCs/>
          <w:sz w:val="20"/>
          <w:szCs w:val="20"/>
          <w:lang w:val="en-GB"/>
        </w:rPr>
        <w:t>S. agalactiae</w:t>
      </w:r>
      <w:r w:rsidRPr="00E47F58">
        <w:rPr>
          <w:rFonts w:ascii="Arial" w:hAnsi="Arial" w:cs="Arial"/>
          <w:sz w:val="20"/>
          <w:szCs w:val="20"/>
          <w:lang w:val="en-GB"/>
        </w:rPr>
        <w:t xml:space="preserve"> concentration responsible for 50% mortality of the experimental fish from 3 replicates of each concentration, LC</w:t>
      </w:r>
      <w:r w:rsidRPr="00E47F58">
        <w:rPr>
          <w:rFonts w:ascii="Arial" w:hAnsi="Arial" w:cs="Arial"/>
          <w:sz w:val="20"/>
          <w:szCs w:val="20"/>
          <w:vertAlign w:val="subscript"/>
          <w:lang w:val="en-GB"/>
        </w:rPr>
        <w:t>50</w:t>
      </w:r>
      <w:r w:rsidRPr="00E47F58">
        <w:rPr>
          <w:rFonts w:ascii="Arial" w:hAnsi="Arial" w:cs="Arial"/>
          <w:sz w:val="20"/>
          <w:szCs w:val="20"/>
          <w:lang w:val="en-GB"/>
        </w:rPr>
        <w:t>. The calculated LC</w:t>
      </w:r>
      <w:r w:rsidRPr="00E47F58">
        <w:rPr>
          <w:rFonts w:ascii="Arial" w:hAnsi="Arial" w:cs="Arial"/>
          <w:sz w:val="20"/>
          <w:szCs w:val="20"/>
          <w:vertAlign w:val="subscript"/>
          <w:lang w:val="en-GB"/>
        </w:rPr>
        <w:t xml:space="preserve">50 </w:t>
      </w:r>
      <w:r w:rsidRPr="00E47F58">
        <w:rPr>
          <w:rFonts w:ascii="Arial" w:hAnsi="Arial" w:cs="Arial"/>
          <w:sz w:val="20"/>
          <w:szCs w:val="20"/>
          <w:lang w:val="en-GB"/>
        </w:rPr>
        <w:t>= 9x10</w:t>
      </w:r>
      <w:r w:rsidRPr="00E47F58">
        <w:rPr>
          <w:rFonts w:ascii="Arial" w:hAnsi="Arial" w:cs="Arial"/>
          <w:sz w:val="20"/>
          <w:szCs w:val="20"/>
          <w:vertAlign w:val="superscript"/>
          <w:lang w:val="en-GB"/>
        </w:rPr>
        <w:t xml:space="preserve">7 </w:t>
      </w:r>
      <w:r w:rsidRPr="00E47F58">
        <w:rPr>
          <w:rFonts w:ascii="Arial" w:hAnsi="Arial" w:cs="Arial"/>
          <w:sz w:val="20"/>
          <w:szCs w:val="20"/>
          <w:lang w:val="en-GB"/>
        </w:rPr>
        <w:t>CFU/</w:t>
      </w:r>
      <w:proofErr w:type="spellStart"/>
      <w:r w:rsidRPr="00E47F58">
        <w:rPr>
          <w:rFonts w:ascii="Arial" w:hAnsi="Arial" w:cs="Arial"/>
          <w:sz w:val="20"/>
          <w:szCs w:val="20"/>
          <w:lang w:val="en-GB"/>
        </w:rPr>
        <w:t>mL.</w:t>
      </w:r>
      <w:proofErr w:type="spellEnd"/>
    </w:p>
    <w:p w14:paraId="099F3E4A"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1EBBFEF3" wp14:editId="2D308553">
            <wp:extent cx="4722495" cy="25724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672" cy="2574728"/>
                    </a:xfrm>
                    <a:prstGeom prst="rect">
                      <a:avLst/>
                    </a:prstGeom>
                    <a:noFill/>
                  </pic:spPr>
                </pic:pic>
              </a:graphicData>
            </a:graphic>
          </wp:inline>
        </w:drawing>
      </w:r>
    </w:p>
    <w:p w14:paraId="3D255CA6" w14:textId="77777777" w:rsidR="00EB6AE8" w:rsidRPr="00E47F58" w:rsidRDefault="00EB6AE8" w:rsidP="00EB6AE8">
      <w:pPr>
        <w:pStyle w:val="Caption"/>
        <w:rPr>
          <w:rFonts w:ascii="Arial" w:hAnsi="Arial" w:cs="Arial"/>
          <w:sz w:val="20"/>
          <w:szCs w:val="20"/>
          <w:lang w:val="en-GB"/>
        </w:rPr>
      </w:pPr>
      <w:bookmarkStart w:id="28" w:name="_Toc50653939"/>
      <w:r w:rsidRPr="00E47F58">
        <w:rPr>
          <w:rFonts w:ascii="Arial" w:hAnsi="Arial" w:cs="Arial"/>
          <w:sz w:val="20"/>
          <w:szCs w:val="20"/>
        </w:rPr>
        <w:t>Figure</w:t>
      </w:r>
      <w:r w:rsidR="0026604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Plot of bacterial concentration and mortality for determination of </w:t>
      </w:r>
      <w:r w:rsidRPr="00E47F58">
        <w:rPr>
          <w:rFonts w:ascii="Arial" w:hAnsi="Arial" w:cs="Arial"/>
          <w:sz w:val="20"/>
          <w:szCs w:val="20"/>
          <w:lang w:val="en-GB"/>
        </w:rPr>
        <w:t>LC</w:t>
      </w:r>
      <w:r w:rsidRPr="00E47F58">
        <w:rPr>
          <w:rFonts w:ascii="Arial" w:hAnsi="Arial" w:cs="Arial"/>
          <w:sz w:val="20"/>
          <w:szCs w:val="20"/>
          <w:vertAlign w:val="subscript"/>
          <w:lang w:val="en-GB"/>
        </w:rPr>
        <w:t>50</w:t>
      </w:r>
      <w:bookmarkEnd w:id="28"/>
    </w:p>
    <w:p w14:paraId="5D6015E2" w14:textId="77777777" w:rsidR="00EB6AE8" w:rsidRPr="00E47F58" w:rsidRDefault="00EB6AE8" w:rsidP="00EB6AE8">
      <w:pPr>
        <w:pStyle w:val="j"/>
        <w:rPr>
          <w:rFonts w:ascii="Arial" w:hAnsi="Arial" w:cs="Arial"/>
          <w:sz w:val="20"/>
          <w:szCs w:val="20"/>
          <w:lang w:val="en-GB"/>
        </w:rPr>
      </w:pPr>
    </w:p>
    <w:p w14:paraId="4A34672D" w14:textId="77777777" w:rsidR="00EB6AE8" w:rsidRPr="00E47F58" w:rsidRDefault="00EB6AE8" w:rsidP="00EB6AE8">
      <w:pPr>
        <w:pStyle w:val="j"/>
        <w:rPr>
          <w:rFonts w:ascii="Arial" w:hAnsi="Arial" w:cs="Arial"/>
          <w:sz w:val="20"/>
          <w:szCs w:val="20"/>
          <w:lang w:val="en-SG"/>
        </w:rPr>
      </w:pPr>
    </w:p>
    <w:p w14:paraId="57670EA6" w14:textId="59322A77" w:rsidR="00EB6AE8" w:rsidRPr="00E47F58" w:rsidRDefault="00A60DD7" w:rsidP="00E47F58">
      <w:pPr>
        <w:pStyle w:val="Heading3"/>
        <w:rPr>
          <w:sz w:val="20"/>
          <w:szCs w:val="20"/>
          <w:lang w:val="en-GB"/>
        </w:rPr>
      </w:pPr>
      <w:bookmarkStart w:id="29" w:name="_Toc49955757"/>
      <w:bookmarkStart w:id="30" w:name="_Toc50652448"/>
      <w:r>
        <w:rPr>
          <w:sz w:val="20"/>
          <w:szCs w:val="20"/>
          <w:lang w:val="en-GB"/>
        </w:rPr>
        <w:t>3.</w:t>
      </w:r>
      <w:r w:rsidR="00982E49" w:rsidRPr="00E47F58">
        <w:rPr>
          <w:sz w:val="20"/>
          <w:szCs w:val="20"/>
          <w:lang w:val="en-GB"/>
        </w:rPr>
        <w:t>2</w:t>
      </w:r>
      <w:r w:rsidR="00982E49" w:rsidRPr="00E47F58">
        <w:rPr>
          <w:sz w:val="20"/>
          <w:szCs w:val="20"/>
          <w:lang w:val="en-GB"/>
        </w:rPr>
        <w:tab/>
      </w:r>
      <w:r w:rsidR="00EB6AE8" w:rsidRPr="00E47F58">
        <w:rPr>
          <w:sz w:val="20"/>
          <w:szCs w:val="20"/>
          <w:lang w:val="en-GB"/>
        </w:rPr>
        <w:t>Bacterial challenge mortality and survival rate</w:t>
      </w:r>
      <w:bookmarkEnd w:id="29"/>
      <w:bookmarkEnd w:id="30"/>
    </w:p>
    <w:p w14:paraId="27A9E653"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mortality results after 7 days of bacteria challenge test with </w:t>
      </w:r>
      <w:r w:rsidRPr="00E47F58">
        <w:rPr>
          <w:rFonts w:ascii="Arial" w:hAnsi="Arial" w:cs="Arial"/>
          <w:i/>
          <w:iCs/>
          <w:sz w:val="20"/>
          <w:szCs w:val="20"/>
          <w:lang w:val="en-GB"/>
        </w:rPr>
        <w:t xml:space="preserve">S. agalactiae </w:t>
      </w:r>
      <w:r w:rsidRPr="00E47F58">
        <w:rPr>
          <w:rFonts w:ascii="Arial" w:hAnsi="Arial" w:cs="Arial"/>
          <w:sz w:val="20"/>
          <w:szCs w:val="20"/>
          <w:lang w:val="en-GB"/>
        </w:rPr>
        <w:t>concentration of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(&gt; LC</w:t>
      </w:r>
      <w:r w:rsidRPr="00E47F58">
        <w:rPr>
          <w:rFonts w:ascii="Arial" w:hAnsi="Arial" w:cs="Arial"/>
          <w:sz w:val="20"/>
          <w:szCs w:val="20"/>
          <w:vertAlign w:val="subscript"/>
          <w:lang w:val="en-GB"/>
        </w:rPr>
        <w:t>50</w:t>
      </w:r>
      <w:r w:rsidRPr="00E47F58">
        <w:rPr>
          <w:rFonts w:ascii="Arial" w:hAnsi="Arial" w:cs="Arial"/>
          <w:sz w:val="20"/>
          <w:szCs w:val="20"/>
          <w:lang w:val="en-GB"/>
        </w:rPr>
        <w:t xml:space="preserve">) via immersion method from 3 replicates of each fish </w:t>
      </w:r>
      <w:r w:rsidR="0026604E" w:rsidRPr="00E47F58">
        <w:rPr>
          <w:rFonts w:ascii="Arial" w:hAnsi="Arial" w:cs="Arial"/>
          <w:sz w:val="20"/>
          <w:szCs w:val="20"/>
          <w:lang w:val="en-GB"/>
        </w:rPr>
        <w:t xml:space="preserve">group was summarized in Table </w:t>
      </w:r>
      <w:r w:rsidRPr="00E47F58">
        <w:rPr>
          <w:rFonts w:ascii="Arial" w:hAnsi="Arial" w:cs="Arial"/>
          <w:sz w:val="20"/>
          <w:szCs w:val="20"/>
          <w:lang w:val="en-GB"/>
        </w:rPr>
        <w:t>1.</w:t>
      </w:r>
    </w:p>
    <w:p w14:paraId="3BF5C6D5" w14:textId="77777777" w:rsidR="00EB6AE8" w:rsidRPr="00E47F58" w:rsidRDefault="00EB6AE8" w:rsidP="00EB6AE8">
      <w:pPr>
        <w:pStyle w:val="Caption"/>
        <w:keepNext/>
        <w:rPr>
          <w:rFonts w:ascii="Arial" w:hAnsi="Arial" w:cs="Arial"/>
          <w:sz w:val="20"/>
          <w:szCs w:val="20"/>
        </w:rPr>
      </w:pPr>
      <w:bookmarkStart w:id="31" w:name="_Toc50652950"/>
      <w:r w:rsidRPr="00E47F58">
        <w:rPr>
          <w:rFonts w:ascii="Arial" w:hAnsi="Arial" w:cs="Arial"/>
          <w:sz w:val="20"/>
          <w:szCs w:val="20"/>
        </w:rPr>
        <w:t>Table</w:t>
      </w:r>
      <w:r w:rsidR="006E116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006E116E" w:rsidRPr="00E47F58">
        <w:rPr>
          <w:rFonts w:ascii="Arial" w:hAnsi="Arial" w:cs="Arial"/>
          <w:sz w:val="20"/>
          <w:szCs w:val="20"/>
        </w:rPr>
        <w:t xml:space="preserve"> : P</w:t>
      </w:r>
      <w:r w:rsidRPr="00E47F58">
        <w:rPr>
          <w:rFonts w:ascii="Arial" w:hAnsi="Arial" w:cs="Arial"/>
          <w:sz w:val="20"/>
          <w:szCs w:val="20"/>
        </w:rPr>
        <w:t>ercentage mortality from bacterial challenge test</w:t>
      </w:r>
      <w:bookmarkEnd w:id="31"/>
    </w:p>
    <w:p w14:paraId="5ED9BA8F"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7"/>
        <w:gridCol w:w="2923"/>
        <w:gridCol w:w="3310"/>
      </w:tblGrid>
      <w:tr w:rsidR="00EB6AE8" w:rsidRPr="00E47F58" w14:paraId="73BD9993" w14:textId="77777777" w:rsidTr="0026604E">
        <w:trPr>
          <w:jc w:val="center"/>
        </w:trPr>
        <w:tc>
          <w:tcPr>
            <w:tcW w:w="1667" w:type="pct"/>
          </w:tcPr>
          <w:p w14:paraId="61D6F05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Fish group</w:t>
            </w:r>
          </w:p>
        </w:tc>
        <w:tc>
          <w:tcPr>
            <w:tcW w:w="1563" w:type="pct"/>
          </w:tcPr>
          <w:p w14:paraId="0DCF2522"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Replicate</w:t>
            </w:r>
          </w:p>
        </w:tc>
        <w:tc>
          <w:tcPr>
            <w:tcW w:w="1770" w:type="pct"/>
          </w:tcPr>
          <w:p w14:paraId="5ED02F9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Number of dead fish (%)</w:t>
            </w:r>
          </w:p>
        </w:tc>
      </w:tr>
      <w:tr w:rsidR="00EB6AE8" w:rsidRPr="00E47F58" w14:paraId="5BF40768" w14:textId="77777777" w:rsidTr="0026604E">
        <w:trPr>
          <w:jc w:val="center"/>
        </w:trPr>
        <w:tc>
          <w:tcPr>
            <w:tcW w:w="1667" w:type="pct"/>
            <w:vMerge w:val="restart"/>
          </w:tcPr>
          <w:p w14:paraId="4BB99CAE" w14:textId="77777777" w:rsidR="00EB6AE8" w:rsidRPr="00E47F58" w:rsidRDefault="003C2E9F" w:rsidP="003C2E9F">
            <w:pPr>
              <w:spacing w:after="0" w:line="240" w:lineRule="auto"/>
              <w:jc w:val="center"/>
              <w:rPr>
                <w:rFonts w:ascii="Arial" w:hAnsi="Arial" w:cs="Arial"/>
                <w:color w:val="000000" w:themeColor="text1"/>
                <w:lang w:val="en-GB"/>
              </w:rPr>
            </w:pPr>
            <w:bookmarkStart w:id="32" w:name="_Hlk49781982"/>
            <w:r w:rsidRPr="00E47F58">
              <w:rPr>
                <w:rFonts w:ascii="Arial" w:hAnsi="Arial" w:cs="Arial"/>
                <w:color w:val="000000" w:themeColor="text1"/>
                <w:lang w:val="en-GB"/>
              </w:rPr>
              <w:t xml:space="preserve">Control </w:t>
            </w:r>
            <w:r w:rsidR="00EB6AE8" w:rsidRPr="00E47F58">
              <w:rPr>
                <w:rFonts w:ascii="Arial" w:hAnsi="Arial" w:cs="Arial"/>
                <w:color w:val="000000" w:themeColor="text1"/>
                <w:lang w:val="en-GB"/>
              </w:rPr>
              <w:t>Fish</w:t>
            </w:r>
          </w:p>
          <w:p w14:paraId="2ABC97D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201A5B7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(CFC)</w:t>
            </w:r>
          </w:p>
        </w:tc>
        <w:tc>
          <w:tcPr>
            <w:tcW w:w="1563" w:type="pct"/>
          </w:tcPr>
          <w:p w14:paraId="2E33B2D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10605D9D"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280A0D6" w14:textId="77777777" w:rsidTr="0026604E">
        <w:trPr>
          <w:jc w:val="center"/>
        </w:trPr>
        <w:tc>
          <w:tcPr>
            <w:tcW w:w="1667" w:type="pct"/>
            <w:vMerge/>
          </w:tcPr>
          <w:p w14:paraId="3BCD038A"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30D880B"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7928EFB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12D7F81" w14:textId="77777777" w:rsidTr="0026604E">
        <w:trPr>
          <w:jc w:val="center"/>
        </w:trPr>
        <w:tc>
          <w:tcPr>
            <w:tcW w:w="1667" w:type="pct"/>
            <w:vMerge/>
          </w:tcPr>
          <w:p w14:paraId="0BA7007F"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20CAB7F1"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1BFF6E0C"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6</w:t>
            </w:r>
          </w:p>
        </w:tc>
      </w:tr>
      <w:tr w:rsidR="00EB6AE8" w:rsidRPr="00E47F58" w14:paraId="1DA72303" w14:textId="77777777" w:rsidTr="0026604E">
        <w:trPr>
          <w:jc w:val="center"/>
        </w:trPr>
        <w:tc>
          <w:tcPr>
            <w:tcW w:w="1667" w:type="pct"/>
          </w:tcPr>
          <w:p w14:paraId="398133B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2CAA6BC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20F622F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86.7%</w:t>
            </w:r>
          </w:p>
        </w:tc>
      </w:tr>
      <w:bookmarkEnd w:id="32"/>
      <w:tr w:rsidR="00EB6AE8" w:rsidRPr="00E47F58" w14:paraId="61129B67" w14:textId="77777777" w:rsidTr="0026604E">
        <w:trPr>
          <w:jc w:val="center"/>
        </w:trPr>
        <w:tc>
          <w:tcPr>
            <w:tcW w:w="1667" w:type="pct"/>
            <w:vMerge w:val="restart"/>
          </w:tcPr>
          <w:p w14:paraId="2FF6EB0E" w14:textId="77777777" w:rsidR="00EB6AE8" w:rsidRPr="00E47F58" w:rsidRDefault="00EB6AE8" w:rsidP="00EB6AE8">
            <w:pPr>
              <w:spacing w:after="0" w:line="240" w:lineRule="auto"/>
              <w:jc w:val="center"/>
              <w:rPr>
                <w:rFonts w:ascii="Arial" w:hAnsi="Arial" w:cs="Arial"/>
                <w:i/>
                <w:iCs/>
                <w:color w:val="000000" w:themeColor="text1"/>
                <w:lang w:val="en-GB"/>
              </w:rPr>
            </w:pPr>
            <w:r w:rsidRPr="00E47F58">
              <w:rPr>
                <w:rFonts w:ascii="Arial" w:hAnsi="Arial" w:cs="Arial"/>
                <w:i/>
                <w:iCs/>
                <w:color w:val="000000" w:themeColor="text1"/>
                <w:lang w:val="en-GB"/>
              </w:rPr>
              <w:t>C. vulgaris</w:t>
            </w:r>
          </w:p>
          <w:p w14:paraId="2EA43E12"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6DEE050A" w14:textId="77777777" w:rsidR="00EB6AE8" w:rsidRPr="00E47F58" w:rsidRDefault="00EB6AE8" w:rsidP="00EB6AE8">
            <w:pPr>
              <w:spacing w:after="0" w:line="240" w:lineRule="auto"/>
              <w:jc w:val="center"/>
              <w:rPr>
                <w:rFonts w:ascii="Arial" w:hAnsi="Arial" w:cs="Arial"/>
                <w:b/>
                <w:i/>
                <w:iCs/>
                <w:color w:val="000000" w:themeColor="text1"/>
                <w:lang w:val="en-GB"/>
              </w:rPr>
            </w:pPr>
            <w:r w:rsidRPr="00E47F58">
              <w:rPr>
                <w:rFonts w:ascii="Arial" w:hAnsi="Arial" w:cs="Arial"/>
                <w:b/>
                <w:color w:val="000000" w:themeColor="text1"/>
                <w:lang w:val="en-GB"/>
              </w:rPr>
              <w:t>(CVC)</w:t>
            </w:r>
          </w:p>
        </w:tc>
        <w:tc>
          <w:tcPr>
            <w:tcW w:w="1563" w:type="pct"/>
          </w:tcPr>
          <w:p w14:paraId="5F443B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57BBF77F"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3</w:t>
            </w:r>
          </w:p>
        </w:tc>
      </w:tr>
      <w:tr w:rsidR="00EB6AE8" w:rsidRPr="00E47F58" w14:paraId="5EBD620D" w14:textId="77777777" w:rsidTr="0026604E">
        <w:trPr>
          <w:jc w:val="center"/>
        </w:trPr>
        <w:tc>
          <w:tcPr>
            <w:tcW w:w="1667" w:type="pct"/>
            <w:vMerge/>
          </w:tcPr>
          <w:p w14:paraId="21E09736"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015AF7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1AF9083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087D93FA" w14:textId="77777777" w:rsidTr="0026604E">
        <w:trPr>
          <w:jc w:val="center"/>
        </w:trPr>
        <w:tc>
          <w:tcPr>
            <w:tcW w:w="1667" w:type="pct"/>
            <w:vMerge/>
          </w:tcPr>
          <w:p w14:paraId="2267636B"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735DB96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6D9F048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66CD019" w14:textId="77777777" w:rsidTr="0026604E">
        <w:trPr>
          <w:jc w:val="center"/>
        </w:trPr>
        <w:tc>
          <w:tcPr>
            <w:tcW w:w="1667" w:type="pct"/>
          </w:tcPr>
          <w:p w14:paraId="54A284B5"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79C9F801"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543C3FEA"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10%</w:t>
            </w:r>
          </w:p>
        </w:tc>
      </w:tr>
      <w:tr w:rsidR="00EB6AE8" w:rsidRPr="00E47F58" w14:paraId="56852206" w14:textId="77777777" w:rsidTr="0026604E">
        <w:trPr>
          <w:jc w:val="center"/>
        </w:trPr>
        <w:tc>
          <w:tcPr>
            <w:tcW w:w="1667" w:type="pct"/>
          </w:tcPr>
          <w:p w14:paraId="37780BA0"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Control</w:t>
            </w:r>
          </w:p>
          <w:p w14:paraId="1362C9F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Fish</w:t>
            </w:r>
          </w:p>
          <w:p w14:paraId="4FEB2EEC"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w:t>
            </w:r>
          </w:p>
        </w:tc>
        <w:tc>
          <w:tcPr>
            <w:tcW w:w="1563" w:type="pct"/>
          </w:tcPr>
          <w:p w14:paraId="0C73E8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p w14:paraId="55BBBA1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p w14:paraId="1DDEF71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0DB94AE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187B3FD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4B4CA5E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88AB6C0" w14:textId="77777777" w:rsidTr="0026604E">
        <w:trPr>
          <w:jc w:val="center"/>
        </w:trPr>
        <w:tc>
          <w:tcPr>
            <w:tcW w:w="1667" w:type="pct"/>
          </w:tcPr>
          <w:p w14:paraId="4C77263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12028E69"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071E17F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0%</w:t>
            </w:r>
          </w:p>
        </w:tc>
      </w:tr>
    </w:tbl>
    <w:p w14:paraId="6C91B0EC" w14:textId="77777777" w:rsidR="00851556" w:rsidRPr="00E47F58" w:rsidRDefault="00851556" w:rsidP="00EB6AE8">
      <w:pPr>
        <w:jc w:val="center"/>
        <w:rPr>
          <w:rFonts w:ascii="Arial" w:hAnsi="Arial" w:cs="Arial"/>
          <w:color w:val="000000" w:themeColor="text1"/>
          <w:sz w:val="20"/>
          <w:szCs w:val="20"/>
        </w:rPr>
      </w:pPr>
    </w:p>
    <w:p w14:paraId="2C3D5163"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39777AD9" wp14:editId="37B0AB6D">
            <wp:extent cx="4730750" cy="2673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348" cy="2683606"/>
                    </a:xfrm>
                    <a:prstGeom prst="rect">
                      <a:avLst/>
                    </a:prstGeom>
                    <a:noFill/>
                  </pic:spPr>
                </pic:pic>
              </a:graphicData>
            </a:graphic>
          </wp:inline>
        </w:drawing>
      </w:r>
    </w:p>
    <w:p w14:paraId="4767FBFC" w14:textId="48C5674A" w:rsidR="00EB6AE8" w:rsidRPr="00E47F58" w:rsidRDefault="00EB6AE8" w:rsidP="00EB6AE8">
      <w:pPr>
        <w:pStyle w:val="Caption"/>
        <w:rPr>
          <w:rFonts w:ascii="Arial" w:hAnsi="Arial" w:cs="Arial"/>
          <w:sz w:val="20"/>
          <w:szCs w:val="20"/>
        </w:rPr>
      </w:pPr>
      <w:bookmarkStart w:id="33" w:name="_Toc50653940"/>
      <w:r w:rsidRPr="00E47F58">
        <w:rPr>
          <w:rFonts w:ascii="Arial" w:hAnsi="Arial" w:cs="Arial"/>
          <w:sz w:val="20"/>
          <w:szCs w:val="20"/>
        </w:rPr>
        <w:t>Figure</w:t>
      </w:r>
      <w:r w:rsidR="003C2E9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Survival percentage rate of challenged experimental fish with </w:t>
      </w:r>
      <w:r w:rsidRPr="00E47F58">
        <w:rPr>
          <w:rFonts w:ascii="Arial" w:hAnsi="Arial" w:cs="Arial"/>
          <w:i/>
          <w:iCs/>
          <w:sz w:val="20"/>
          <w:szCs w:val="20"/>
        </w:rPr>
        <w:t xml:space="preserve">S. agalactiae </w:t>
      </w:r>
      <w:r w:rsidRPr="00E47F58">
        <w:rPr>
          <w:rFonts w:ascii="Arial" w:hAnsi="Arial" w:cs="Arial"/>
          <w:sz w:val="20"/>
          <w:szCs w:val="20"/>
        </w:rPr>
        <w:t>concentration of 10</w:t>
      </w:r>
      <w:r w:rsidRPr="00E47F58">
        <w:rPr>
          <w:rFonts w:ascii="Arial" w:hAnsi="Arial" w:cs="Arial"/>
          <w:sz w:val="20"/>
          <w:szCs w:val="20"/>
          <w:vertAlign w:val="superscript"/>
        </w:rPr>
        <w:t>8</w:t>
      </w:r>
      <w:bookmarkEnd w:id="33"/>
      <w:r w:rsidR="003C2E9F" w:rsidRPr="00E47F58">
        <w:rPr>
          <w:rFonts w:ascii="Arial" w:hAnsi="Arial" w:cs="Arial"/>
          <w:sz w:val="20"/>
          <w:szCs w:val="20"/>
          <w:vertAlign w:val="superscript"/>
        </w:rPr>
        <w:t xml:space="preserve"> </w:t>
      </w:r>
      <w:r w:rsidR="005B02B1">
        <w:rPr>
          <w:rFonts w:ascii="Arial" w:hAnsi="Arial" w:cs="Arial"/>
          <w:sz w:val="20"/>
          <w:szCs w:val="20"/>
          <w:lang w:val="en-GB"/>
        </w:rPr>
        <w:t xml:space="preserve">CFU/mL </w:t>
      </w:r>
      <w:r w:rsidR="005B02B1" w:rsidRPr="005B02B1">
        <w:rPr>
          <w:rFonts w:ascii="Arial" w:hAnsi="Arial" w:cs="Arial"/>
          <w:sz w:val="20"/>
          <w:szCs w:val="20"/>
          <w:highlight w:val="yellow"/>
          <w:lang w:val="en-GB"/>
        </w:rPr>
        <w:t>(p≤0.005)</w:t>
      </w:r>
    </w:p>
    <w:p w14:paraId="7B3AD526" w14:textId="77777777" w:rsidR="00EB6AE8" w:rsidRPr="00E47F58" w:rsidRDefault="00EB6AE8" w:rsidP="00EB6AE8">
      <w:pPr>
        <w:pStyle w:val="j"/>
        <w:rPr>
          <w:rFonts w:ascii="Arial" w:hAnsi="Arial" w:cs="Arial"/>
          <w:sz w:val="20"/>
          <w:szCs w:val="20"/>
        </w:rPr>
      </w:pPr>
    </w:p>
    <w:p w14:paraId="1B101482" w14:textId="77777777" w:rsidR="00EB6AE8" w:rsidRPr="00E47F58" w:rsidRDefault="00EB6AE8" w:rsidP="00EB6AE8">
      <w:pPr>
        <w:pStyle w:val="j"/>
        <w:rPr>
          <w:rFonts w:ascii="Arial" w:hAnsi="Arial" w:cs="Arial"/>
          <w:sz w:val="20"/>
          <w:szCs w:val="20"/>
        </w:rPr>
      </w:pPr>
    </w:p>
    <w:p w14:paraId="52EF82E3"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 bacterial challenge test results show 90% survival rate of </w:t>
      </w:r>
      <w:r w:rsidR="006E116E" w:rsidRPr="00E47F58">
        <w:rPr>
          <w:rFonts w:ascii="Arial" w:hAnsi="Arial" w:cs="Arial"/>
          <w:sz w:val="20"/>
          <w:szCs w:val="20"/>
          <w:lang w:val="en-GB"/>
        </w:rPr>
        <w:t xml:space="preserve">challenged </w:t>
      </w:r>
      <w:r w:rsidRPr="00E47F58">
        <w:rPr>
          <w:rFonts w:ascii="Arial" w:hAnsi="Arial" w:cs="Arial"/>
          <w:sz w:val="20"/>
          <w:szCs w:val="20"/>
          <w:lang w:val="en-GB"/>
        </w:rPr>
        <w:t xml:space="preserve">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(CVC)</w:t>
      </w:r>
      <w:r w:rsidR="006E116E" w:rsidRPr="00E47F58">
        <w:rPr>
          <w:rFonts w:ascii="Arial" w:hAnsi="Arial" w:cs="Arial"/>
          <w:sz w:val="20"/>
          <w:szCs w:val="20"/>
          <w:lang w:val="en-GB"/>
        </w:rPr>
        <w:t>,</w:t>
      </w:r>
      <w:r w:rsidRPr="00E47F58">
        <w:rPr>
          <w:rFonts w:ascii="Arial" w:hAnsi="Arial" w:cs="Arial"/>
          <w:sz w:val="20"/>
          <w:szCs w:val="20"/>
          <w:lang w:val="en-GB"/>
        </w:rPr>
        <w:t xml:space="preserve"> showing no significant difference with control fish without challenge (CF) and only 13.3% survival rate of control </w:t>
      </w:r>
      <w:r w:rsidR="00851556" w:rsidRPr="00E47F58">
        <w:rPr>
          <w:rFonts w:ascii="Arial" w:hAnsi="Arial" w:cs="Arial"/>
          <w:sz w:val="20"/>
          <w:szCs w:val="20"/>
          <w:lang w:val="en-GB"/>
        </w:rPr>
        <w:t xml:space="preserve">fish challenged (CFC) (Figure </w:t>
      </w:r>
      <w:r w:rsidRPr="00E47F58">
        <w:rPr>
          <w:rFonts w:ascii="Arial" w:hAnsi="Arial" w:cs="Arial"/>
          <w:sz w:val="20"/>
          <w:szCs w:val="20"/>
          <w:lang w:val="en-GB"/>
        </w:rPr>
        <w:t xml:space="preserve">4). This indicate high immune improvements in treated fish because of feeding with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incorporated diet. The control fish without been challenged (CF) showed 100% survival rate.</w:t>
      </w:r>
    </w:p>
    <w:p w14:paraId="497D1921" w14:textId="6EAA6222" w:rsidR="00EB6AE8" w:rsidRPr="00E47F58" w:rsidRDefault="00A60DD7" w:rsidP="00E47F58">
      <w:pPr>
        <w:pStyle w:val="Heading3"/>
        <w:rPr>
          <w:sz w:val="20"/>
          <w:szCs w:val="20"/>
          <w:lang w:val="en-GB"/>
        </w:rPr>
      </w:pPr>
      <w:bookmarkStart w:id="34" w:name="_Toc49955758"/>
      <w:bookmarkStart w:id="35" w:name="_Toc50652449"/>
      <w:r>
        <w:rPr>
          <w:sz w:val="20"/>
          <w:szCs w:val="20"/>
          <w:lang w:val="en-GB"/>
        </w:rPr>
        <w:t>3.</w:t>
      </w:r>
      <w:r w:rsidR="004B090C" w:rsidRPr="00E47F58">
        <w:rPr>
          <w:sz w:val="20"/>
          <w:szCs w:val="20"/>
          <w:lang w:val="en-GB"/>
        </w:rPr>
        <w:t>3</w:t>
      </w:r>
      <w:r w:rsidR="004B090C" w:rsidRPr="00E47F58">
        <w:rPr>
          <w:sz w:val="20"/>
          <w:szCs w:val="20"/>
          <w:lang w:val="en-GB"/>
        </w:rPr>
        <w:tab/>
      </w:r>
      <w:r w:rsidR="006E116E" w:rsidRPr="00E47F58">
        <w:rPr>
          <w:sz w:val="20"/>
          <w:szCs w:val="20"/>
          <w:lang w:val="en-GB"/>
        </w:rPr>
        <w:t>Identification of metabolites</w:t>
      </w:r>
      <w:r w:rsidR="00EB6AE8" w:rsidRPr="00E47F58">
        <w:rPr>
          <w:sz w:val="20"/>
          <w:szCs w:val="20"/>
          <w:lang w:val="en-GB"/>
        </w:rPr>
        <w:t xml:space="preserve"> from spleen samples</w:t>
      </w:r>
      <w:bookmarkEnd w:id="34"/>
      <w:bookmarkEnd w:id="35"/>
    </w:p>
    <w:p w14:paraId="5F39D895" w14:textId="6AA9667F" w:rsidR="00EB6AE8" w:rsidRPr="00E47F58" w:rsidRDefault="00EB6AE8" w:rsidP="00851556">
      <w:pPr>
        <w:pStyle w:val="single"/>
        <w:rPr>
          <w:rFonts w:ascii="Arial" w:hAnsi="Arial" w:cs="Arial"/>
          <w:sz w:val="20"/>
          <w:szCs w:val="20"/>
        </w:rPr>
      </w:pPr>
      <w:r w:rsidRPr="00E47F58">
        <w:rPr>
          <w:rFonts w:ascii="Arial" w:hAnsi="Arial" w:cs="Arial"/>
          <w:sz w:val="20"/>
          <w:szCs w:val="20"/>
        </w:rPr>
        <w:t xml:space="preserve">Analysis of spleen samples using </w:t>
      </w:r>
      <w:r w:rsidRPr="00E47F58">
        <w:rPr>
          <w:rFonts w:ascii="Arial" w:hAnsi="Arial" w:cs="Arial"/>
          <w:sz w:val="20"/>
          <w:szCs w:val="20"/>
          <w:vertAlign w:val="superscript"/>
        </w:rPr>
        <w:t>1</w:t>
      </w:r>
      <w:r w:rsidRPr="00E47F58">
        <w:rPr>
          <w:rFonts w:ascii="Arial" w:hAnsi="Arial" w:cs="Arial"/>
          <w:sz w:val="20"/>
          <w:szCs w:val="20"/>
        </w:rPr>
        <w:t xml:space="preserve">H NMR spectroscopy was carried out to study the possible metabolic variation related to immune improvement signals. The metabolites detected in spleen samples were identified based on the </w:t>
      </w:r>
      <w:r w:rsidRPr="00E47F58">
        <w:rPr>
          <w:rFonts w:ascii="Arial" w:hAnsi="Arial" w:cs="Arial"/>
          <w:sz w:val="20"/>
          <w:szCs w:val="20"/>
          <w:vertAlign w:val="superscript"/>
        </w:rPr>
        <w:t>1</w:t>
      </w:r>
      <w:r w:rsidRPr="00E47F58">
        <w:rPr>
          <w:rFonts w:ascii="Arial" w:hAnsi="Arial" w:cs="Arial"/>
          <w:sz w:val="20"/>
          <w:szCs w:val="20"/>
        </w:rPr>
        <w:t xml:space="preserve">H NMR spectra of both control and microalgae fed fish spleen, collected through the experimental period. In total, 21 metabolites were successfully identified. The metabolites were assigned by referring to </w:t>
      </w:r>
      <w:proofErr w:type="spellStart"/>
      <w:r w:rsidRPr="00E47F58">
        <w:rPr>
          <w:rFonts w:ascii="Arial" w:hAnsi="Arial" w:cs="Arial"/>
          <w:sz w:val="20"/>
          <w:szCs w:val="20"/>
        </w:rPr>
        <w:t>Chenomx</w:t>
      </w:r>
      <w:proofErr w:type="spellEnd"/>
      <w:r w:rsidRPr="00E47F58">
        <w:rPr>
          <w:rFonts w:ascii="Arial" w:hAnsi="Arial" w:cs="Arial"/>
          <w:sz w:val="20"/>
          <w:szCs w:val="20"/>
        </w:rPr>
        <w:t xml:space="preserve"> software database (Version 8.3, Alberta, Canada), the human metabolome database (HMDB) (http://www.hmdb.ca/)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{"citationItems":[{"id":"ITEM-1","itemData":{"DOI":"10.1093/nar/gkl923","ISSN":"03051048","abstract":"The Human Metabolome Database (HMDB) is currently the most complete and comprehensive curated collection of human metabolite and human metabolism data in the world. It contains records for more than 2180 endogenous metabolites with information gathered from thousands of books, journal articles and electronic databases. In addition to its comprehensive literature-derived data, the HMDB also contains an extensive collection of experimental metabolite concentration data compiled from hundreds of mass spectra (MS) and Nuclear Magnetic resonance (NMR) metabolomic analyses performed on urine, blood and cerebrospinal fluid samples. This is further supplemented with thousands of NMR and MS spectra collected on purified, reference metabolites. Each metabolite entry in the HMDB contains an average of 90 separate data fields including a comprehensive compound description, names and synonyms, structural information, physico-chemical data, reference NMR and MS spectra, biofluid concentrations, disease associations, pathway information, enzyme data, gene sequence data, SNP and mutation data as well as extensive links to images, references and other public databases. Extensive searching, relational querying and data browsing tools are also provided. The HMDB is designed to address the broad needs of biochemists, clinical chemists, physicians, medical geneticists, nutritionists and members of the metabolomics community. The HMDB is available at: www.hmdb.ca © 2007 Oxford University Press.","author":[{"dropping-particle":"","family":"Wishart","given":"David S.","non-dropping-particle":"","parse-names":false,"suffix":""},{"dropping-particle":"","family":"Tzur","given":"Dan","non-dropping-particle":"","parse-names":false,"suffix":""},{"dropping-particle":"","family":"Knox","given":"Craig","non-dropping-particle":"","parse-names":false,"suffix":""},{"dropping-particle":"","family":"Eisner","given":"Roman","non-dropping-particle":"","parse-names":false,"suffix":""},{"dropping-particle":"","family":"Guo","given":"An Chi","non-dropping-particle":"","parse-names":false,"suffix":""},{"dropping-particle":"","family":"Young","given":"Nelson","non-dropping-particle":"","parse-names":false,"suffix":""},{"dropping-particle":"","family":"Cheng","given":"Dean","non-dropping-particle":"","parse-names":false,"suffix":""},{"dropping-particle":"","family":"Jewell","given":"Kevin","non-dropping-particle":"","parse-names":false,"suffix":""},{"dropping-particle":"","family":"Arndt","given":"David","non-dropping-particle":"","parse-names":false,"suffix":""},{"dropping-particle":"","family":"Sawhney","given":"Summit","non-dropping-particle":"","parse-names":false,"suffix":""},{"dropping-particle":"","family":"Fung","given":"Chris","non-dropping-particle":"","parse-names":false,"suffix":""},{"dropping-particle":"","family":"Nikolai","given":"Lisa","non-dropping-particle":"","parse-names":false,"suffix":""},{"dropping-particle":"","family":"Lewis","given":"Mike","non-dropping-particle":"","parse-names":false,"suffix":""},{"dropping-particle":"","family":"Coutouly","given":"Marie Aude","non-dropping-particle":"","parse-names":false,"suffix":""},{"dropping-particle":"","family":"Forsythe","given":"Ian","non-dropping-particle":"","parse-names":false,"suffix":""},{"dropping-particle":"","family":"Tang","given":"Peter","non-dropping-particle":"","parse-names":false,"suffix":""},{"dropping-particle":"","family":"Shrivastava","given":"Savita","non-dropping-particle":"","parse-names":false,"suffix":""},{"dropping-particle":"","family":"Jeroncic","given":"Kevin","non-dropping-particle":"","parse-names":false,"suffix":""},{"dropping-particle":"","family":"Stothard","given":"Paul","non-dropping-particle":"","parse-names":false,"suffix":""},{"dropping-particle":"","family":"Amegbey","given":"Godwin","non-dropping-particle":"","parse-names":false,"suffix":""},{"dropping-particle":"","family":"Block","given":"David","non-dropping-particle":"","parse-names":false,"suffix":""},{"dropping-particle":"","family":"Hau","given":"David D.","non-dropping-particle":"","parse-names":false,"suffix":""},{"dropping-particle":"","family":"Wagner","given":"James","non-dropping-particle":"","parse-names":false,"suffix":""},{"dropping-particle":"","family":"Miniaci","given":"Jessica","non-dropping-particle":"","parse-names":false,"suffix":""},{"dropping-particle":"","family":"Clements","given":"Melisa","non-dropping-particle":"","parse-names":false,"suffix":""},{"dropping-particle":"","family":"Gebremedhin","given":"Mulu","non-dropping-particle":"","parse-names":false,"suffix":""},{"dropping-particle":"","family":"Guo","given":"Natalie","non-dropping-particle":"","parse-names":false,"suffix":""},{"dropping-particle":"","family":"Zhang","given":"Ying","non-dropping-particle":"","parse-names":false,"suffix":""},{"dropping-particle":"","family":"Duggan","given":"Gavin E.","non-dropping-particle":"","parse-names":false,"suffix":""},{"dropping-particle":"","family":"MacInnis","given":"Glen D.","non-dropping-particle":"","parse-names":false,"suffix":""},{"dropping-particle":"","family":"Weljie","given":"Alim M.","non-dropping-particle":"","parse-names":false,"suffix":""},{"dropping-particle":"","family":"Dowlatabadi","given":"Reza","non-dropping-particle":"","parse-names":false,"suffix":""},{"dropping-particle":"","family":"Bamforth","given":"Fiona","non-dropping-particle":"","parse-names":false,"suffix":""},{"dropping-particle":"","family":"Clive","given":"Derrick","non-dropping-particle":"","parse-names":false,"suffix":""},{"dropping-particle":"","family":"Greiner","given":"Russ","non-dropping-particle":"","parse-names":false,"suffix":""},{"dropping-particle":"","family":"Li","given":"Liang","non-dropping-particle":"","parse-names":false,"suffix":""},{"dropping-particle":"","family":"Marrie","given":"Tom","non-dropping-particle":"","parse-names":false,"suffix":""},{"dropping-particle":"","family":"Sykes","given":"Brian D.","non-dropping-particle":"","parse-names":false,"suffix":""},{"dropping-particle":"","family":"Vogel","given":"Hans J.","non-dropping-particle":"","parse-names":false,"suffix":""},{"dropping-particle":"","family":"Querengesser","given":"Lori","non-dropping-particle":"","parse-names":false,"suffix":""}],"container-title":"Nucleic Acids Research","id":"ITEM-1","issue":"SUPPL. 1","issued":{"date-parts":[["2007"]]},"page":"521-526","title":"HMDB: The human metabolome database","type":"article-journal","volume":"35"},"uris":["http://www.mendeley.com/documents/?uuid=ba9eb3c2-1e7d-4ecb-8c61-3fc5dbbd0559","http://www.mendeley.com/documents/?uuid=e433f56b-ba12-42ee-bc27-df7bc95fe506"]}],"mendeley":{"formattedCitation":"(Wishart et al., 2007)","plainTextFormattedCitation":"(Wishart et al., 2007)","previouslyFormattedCitation":"(Wishart et al. 2007)"},"properties":{"noteIndex":0},"schema":"https://github.com/citation-style-language/schema/raw/master/csl-citation.json"}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(Wishart et al., 2007)</w:t>
      </w:r>
      <w:r w:rsidRPr="00E47F58">
        <w:rPr>
          <w:rFonts w:ascii="Arial" w:hAnsi="Arial" w:cs="Arial"/>
          <w:sz w:val="20"/>
          <w:szCs w:val="20"/>
        </w:rPr>
        <w:fldChar w:fldCharType="end"/>
      </w:r>
      <w:r w:rsidRPr="00E47F58">
        <w:rPr>
          <w:rFonts w:ascii="Arial" w:hAnsi="Arial" w:cs="Arial"/>
          <w:sz w:val="20"/>
          <w:szCs w:val="20"/>
        </w:rPr>
        <w:t>,</w:t>
      </w:r>
      <w:r w:rsidRPr="00E47F58">
        <w:rPr>
          <w:rFonts w:ascii="Arial" w:hAnsi="Arial" w:cs="Arial"/>
          <w:sz w:val="20"/>
          <w:szCs w:val="20"/>
          <w:lang w:val="en-GB"/>
        </w:rPr>
        <w:t xml:space="preserve"> Nuclear Magnetic Resonance database (NMRDB) (</w:t>
      </w:r>
      <w:hyperlink r:id="rId14" w:history="1">
        <w:r w:rsidRPr="00E47F58">
          <w:rPr>
            <w:rStyle w:val="Hyperlink"/>
            <w:rFonts w:ascii="Arial" w:hAnsi="Arial" w:cs="Arial"/>
            <w:sz w:val="20"/>
            <w:szCs w:val="20"/>
            <w:lang w:val="en-GB"/>
          </w:rPr>
          <w:t>http://www.nmrdb.org/</w:t>
        </w:r>
      </w:hyperlink>
      <w:r w:rsidRPr="00E47F58">
        <w:rPr>
          <w:rFonts w:ascii="Arial" w:hAnsi="Arial" w:cs="Arial"/>
          <w:sz w:val="20"/>
          <w:szCs w:val="20"/>
          <w:lang w:val="en-GB"/>
        </w:rPr>
        <w:t>), PubChem (</w:t>
      </w:r>
      <w:hyperlink r:id="rId15" w:history="1">
        <w:r w:rsidRPr="00E47F58">
          <w:rPr>
            <w:rStyle w:val="Hyperlink"/>
            <w:rFonts w:ascii="Arial" w:hAnsi="Arial" w:cs="Arial"/>
            <w:sz w:val="20"/>
            <w:szCs w:val="20"/>
            <w:lang w:val="en-GB"/>
          </w:rPr>
          <w:t>https://pubchem.ncbi.nlm.nih.gov/</w:t>
        </w:r>
      </w:hyperlink>
      <w:r w:rsidRPr="00E47F58">
        <w:rPr>
          <w:rFonts w:ascii="Arial" w:hAnsi="Arial" w:cs="Arial"/>
          <w:sz w:val="20"/>
          <w:szCs w:val="20"/>
          <w:lang w:val="en-GB"/>
        </w:rPr>
        <w:t>)</w:t>
      </w:r>
      <w:r w:rsidR="00355A2E" w:rsidRPr="00E47F58">
        <w:rPr>
          <w:rFonts w:ascii="Arial" w:hAnsi="Arial" w:cs="Arial"/>
          <w:sz w:val="20"/>
          <w:szCs w:val="20"/>
        </w:rPr>
        <w:t xml:space="preserve"> and literature data. Table </w:t>
      </w:r>
      <w:r w:rsidRPr="00E47F58">
        <w:rPr>
          <w:rFonts w:ascii="Arial" w:hAnsi="Arial" w:cs="Arial"/>
          <w:sz w:val="20"/>
          <w:szCs w:val="20"/>
        </w:rPr>
        <w:t>2 shows the identified metabolites and their corresponding chemical shifts.</w:t>
      </w:r>
    </w:p>
    <w:p w14:paraId="4936C4EA" w14:textId="77777777" w:rsidR="00EB6AE8" w:rsidRPr="00E47F58" w:rsidRDefault="00EB6AE8" w:rsidP="00EB6AE8">
      <w:pPr>
        <w:pStyle w:val="Caption"/>
        <w:keepNext/>
        <w:rPr>
          <w:rFonts w:ascii="Arial" w:hAnsi="Arial" w:cs="Arial"/>
          <w:sz w:val="20"/>
          <w:szCs w:val="20"/>
        </w:rPr>
      </w:pPr>
      <w:bookmarkStart w:id="36" w:name="_Toc50652951"/>
      <w:r w:rsidRPr="00E47F58">
        <w:rPr>
          <w:rFonts w:ascii="Arial" w:hAnsi="Arial" w:cs="Arial"/>
          <w:sz w:val="20"/>
          <w:szCs w:val="20"/>
        </w:rPr>
        <w:t>Table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Identified metabolites from spleen samples of experimental fish and their corresponding 700 MHz </w:t>
      </w:r>
      <w:r w:rsidRPr="00E47F58">
        <w:rPr>
          <w:rFonts w:ascii="Arial" w:hAnsi="Arial" w:cs="Arial"/>
          <w:sz w:val="20"/>
          <w:szCs w:val="20"/>
          <w:vertAlign w:val="superscript"/>
        </w:rPr>
        <w:t>1</w:t>
      </w:r>
      <w:r w:rsidRPr="00E47F58">
        <w:rPr>
          <w:rFonts w:ascii="Arial" w:hAnsi="Arial" w:cs="Arial"/>
          <w:sz w:val="20"/>
          <w:szCs w:val="20"/>
        </w:rPr>
        <w:t>H NMR chemical shifts</w:t>
      </w:r>
      <w:bookmarkEnd w:id="36"/>
    </w:p>
    <w:p w14:paraId="552D175A"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759"/>
        <w:gridCol w:w="4477"/>
        <w:gridCol w:w="3114"/>
      </w:tblGrid>
      <w:tr w:rsidR="00EB6AE8" w:rsidRPr="00E47F58" w14:paraId="5A5FABF5" w14:textId="77777777" w:rsidTr="003C2E9F">
        <w:trPr>
          <w:jc w:val="center"/>
        </w:trPr>
        <w:tc>
          <w:tcPr>
            <w:tcW w:w="941" w:type="pct"/>
          </w:tcPr>
          <w:p w14:paraId="3DE5C9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S/No.</w:t>
            </w:r>
          </w:p>
        </w:tc>
        <w:tc>
          <w:tcPr>
            <w:tcW w:w="2394" w:type="pct"/>
          </w:tcPr>
          <w:p w14:paraId="336D9D3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Metabolites</w:t>
            </w:r>
          </w:p>
        </w:tc>
        <w:tc>
          <w:tcPr>
            <w:tcW w:w="1665" w:type="pct"/>
          </w:tcPr>
          <w:p w14:paraId="0F3409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Chemical shifts (ppm)</w:t>
            </w:r>
          </w:p>
        </w:tc>
      </w:tr>
      <w:tr w:rsidR="00EB6AE8" w:rsidRPr="00E47F58" w14:paraId="78B20FFC" w14:textId="77777777" w:rsidTr="003C2E9F">
        <w:trPr>
          <w:jc w:val="center"/>
        </w:trPr>
        <w:tc>
          <w:tcPr>
            <w:tcW w:w="941" w:type="pct"/>
          </w:tcPr>
          <w:p w14:paraId="2354BD4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w:t>
            </w:r>
          </w:p>
        </w:tc>
        <w:tc>
          <w:tcPr>
            <w:tcW w:w="2394" w:type="pct"/>
          </w:tcPr>
          <w:p w14:paraId="04ED4B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Linoleic acid</w:t>
            </w:r>
          </w:p>
        </w:tc>
        <w:tc>
          <w:tcPr>
            <w:tcW w:w="1665" w:type="pct"/>
          </w:tcPr>
          <w:p w14:paraId="1E891FE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D997F1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54AE5D1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036283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5.35(m)</w:t>
            </w:r>
          </w:p>
        </w:tc>
      </w:tr>
      <w:tr w:rsidR="00EB6AE8" w:rsidRPr="00E47F58" w14:paraId="44AC0E45" w14:textId="77777777" w:rsidTr="003C2E9F">
        <w:trPr>
          <w:jc w:val="center"/>
        </w:trPr>
        <w:tc>
          <w:tcPr>
            <w:tcW w:w="941" w:type="pct"/>
          </w:tcPr>
          <w:p w14:paraId="621C2B5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w:t>
            </w:r>
          </w:p>
        </w:tc>
        <w:tc>
          <w:tcPr>
            <w:tcW w:w="2394" w:type="pct"/>
          </w:tcPr>
          <w:p w14:paraId="6DB8492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Riboflavin</w:t>
            </w:r>
          </w:p>
        </w:tc>
        <w:tc>
          <w:tcPr>
            <w:tcW w:w="1665" w:type="pct"/>
          </w:tcPr>
          <w:p w14:paraId="51DB4A1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0.91(t)</w:t>
            </w:r>
          </w:p>
          <w:p w14:paraId="64B71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1.65(m)</w:t>
            </w:r>
          </w:p>
          <w:p w14:paraId="5F36714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1.68(m)</w:t>
            </w:r>
          </w:p>
          <w:p w14:paraId="46A596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597D2CD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2.34(s)</w:t>
            </w:r>
          </w:p>
          <w:p w14:paraId="322DADB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4.33(d)</w:t>
            </w:r>
          </w:p>
          <w:p w14:paraId="1D6EF4A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4.47(d)</w:t>
            </w:r>
          </w:p>
        </w:tc>
      </w:tr>
      <w:tr w:rsidR="00EB6AE8" w:rsidRPr="00E47F58" w14:paraId="6E65AF11" w14:textId="77777777" w:rsidTr="003C2E9F">
        <w:trPr>
          <w:jc w:val="center"/>
        </w:trPr>
        <w:tc>
          <w:tcPr>
            <w:tcW w:w="941" w:type="pct"/>
          </w:tcPr>
          <w:p w14:paraId="17AC4CF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3</w:t>
            </w:r>
          </w:p>
        </w:tc>
        <w:tc>
          <w:tcPr>
            <w:tcW w:w="2394" w:type="pct"/>
          </w:tcPr>
          <w:p w14:paraId="4811D9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Proline</w:t>
            </w:r>
          </w:p>
        </w:tc>
        <w:tc>
          <w:tcPr>
            <w:tcW w:w="1665" w:type="pct"/>
          </w:tcPr>
          <w:p w14:paraId="6FD102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4.14(m)</w:t>
            </w:r>
          </w:p>
          <w:p w14:paraId="404D3E8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4.22(s)</w:t>
            </w:r>
          </w:p>
        </w:tc>
      </w:tr>
      <w:tr w:rsidR="00EB6AE8" w:rsidRPr="00E47F58" w14:paraId="3E259781" w14:textId="77777777" w:rsidTr="003C2E9F">
        <w:trPr>
          <w:jc w:val="center"/>
        </w:trPr>
        <w:tc>
          <w:tcPr>
            <w:tcW w:w="941" w:type="pct"/>
          </w:tcPr>
          <w:p w14:paraId="4DFA051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4</w:t>
            </w:r>
          </w:p>
        </w:tc>
        <w:tc>
          <w:tcPr>
            <w:tcW w:w="2394" w:type="pct"/>
          </w:tcPr>
          <w:p w14:paraId="0BA1AB4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Glucose</w:t>
            </w:r>
          </w:p>
        </w:tc>
        <w:tc>
          <w:tcPr>
            <w:tcW w:w="1665" w:type="pct"/>
          </w:tcPr>
          <w:p w14:paraId="54359D6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5.22(s)</w:t>
            </w:r>
          </w:p>
          <w:p w14:paraId="27E4A95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4.62(s)</w:t>
            </w:r>
          </w:p>
          <w:p w14:paraId="0A40A9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3.82(m)</w:t>
            </w:r>
          </w:p>
          <w:p w14:paraId="6DAE81A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3.46(m)</w:t>
            </w:r>
          </w:p>
          <w:p w14:paraId="5AB0728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3.23(d)</w:t>
            </w:r>
          </w:p>
        </w:tc>
      </w:tr>
      <w:tr w:rsidR="00EB6AE8" w:rsidRPr="00E47F58" w14:paraId="63E8EFBF" w14:textId="77777777" w:rsidTr="003C2E9F">
        <w:trPr>
          <w:jc w:val="center"/>
        </w:trPr>
        <w:tc>
          <w:tcPr>
            <w:tcW w:w="941" w:type="pct"/>
          </w:tcPr>
          <w:p w14:paraId="433205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5</w:t>
            </w:r>
          </w:p>
        </w:tc>
        <w:tc>
          <w:tcPr>
            <w:tcW w:w="2394" w:type="pct"/>
          </w:tcPr>
          <w:p w14:paraId="70FBB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Glycolate</w:t>
            </w:r>
          </w:p>
        </w:tc>
        <w:tc>
          <w:tcPr>
            <w:tcW w:w="1665" w:type="pct"/>
          </w:tcPr>
          <w:p w14:paraId="03CCD3E0"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3.92(s)</w:t>
            </w:r>
          </w:p>
        </w:tc>
      </w:tr>
      <w:tr w:rsidR="00EB6AE8" w:rsidRPr="00E47F58" w14:paraId="346A66DA" w14:textId="77777777" w:rsidTr="003C2E9F">
        <w:trPr>
          <w:jc w:val="center"/>
        </w:trPr>
        <w:tc>
          <w:tcPr>
            <w:tcW w:w="941" w:type="pct"/>
          </w:tcPr>
          <w:p w14:paraId="7A42552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6</w:t>
            </w:r>
          </w:p>
        </w:tc>
        <w:tc>
          <w:tcPr>
            <w:tcW w:w="2394" w:type="pct"/>
          </w:tcPr>
          <w:p w14:paraId="5DC92F5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Isoleucine</w:t>
            </w:r>
          </w:p>
        </w:tc>
        <w:tc>
          <w:tcPr>
            <w:tcW w:w="1665" w:type="pct"/>
          </w:tcPr>
          <w:p w14:paraId="0A2A71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0.84(t)</w:t>
            </w:r>
          </w:p>
          <w:p w14:paraId="195030B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3.43(d)</w:t>
            </w:r>
          </w:p>
        </w:tc>
      </w:tr>
      <w:tr w:rsidR="00EB6AE8" w:rsidRPr="00E47F58" w14:paraId="7D27325B" w14:textId="77777777" w:rsidTr="003C2E9F">
        <w:trPr>
          <w:jc w:val="center"/>
        </w:trPr>
        <w:tc>
          <w:tcPr>
            <w:tcW w:w="941" w:type="pct"/>
          </w:tcPr>
          <w:p w14:paraId="70F888C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7</w:t>
            </w:r>
          </w:p>
        </w:tc>
        <w:tc>
          <w:tcPr>
            <w:tcW w:w="2394" w:type="pct"/>
          </w:tcPr>
          <w:p w14:paraId="09A3C3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Choline</w:t>
            </w:r>
          </w:p>
        </w:tc>
        <w:tc>
          <w:tcPr>
            <w:tcW w:w="1665" w:type="pct"/>
          </w:tcPr>
          <w:p w14:paraId="6A95F8F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4.00(m)</w:t>
            </w:r>
          </w:p>
          <w:p w14:paraId="167E16D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3.50(dd)</w:t>
            </w:r>
          </w:p>
          <w:p w14:paraId="7E40206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3.20(s)</w:t>
            </w:r>
          </w:p>
        </w:tc>
      </w:tr>
      <w:tr w:rsidR="00EB6AE8" w:rsidRPr="00E47F58" w14:paraId="173CC229" w14:textId="77777777" w:rsidTr="003C2E9F">
        <w:trPr>
          <w:jc w:val="center"/>
        </w:trPr>
        <w:tc>
          <w:tcPr>
            <w:tcW w:w="941" w:type="pct"/>
          </w:tcPr>
          <w:p w14:paraId="63C3B6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8</w:t>
            </w:r>
          </w:p>
        </w:tc>
        <w:tc>
          <w:tcPr>
            <w:tcW w:w="2394" w:type="pct"/>
          </w:tcPr>
          <w:p w14:paraId="663C7C6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Glycine</w:t>
            </w:r>
          </w:p>
        </w:tc>
        <w:tc>
          <w:tcPr>
            <w:tcW w:w="1665" w:type="pct"/>
          </w:tcPr>
          <w:p w14:paraId="397D4E97"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3.60(s)</w:t>
            </w:r>
          </w:p>
        </w:tc>
      </w:tr>
      <w:tr w:rsidR="00EB6AE8" w:rsidRPr="00E47F58" w14:paraId="37692DF2" w14:textId="77777777" w:rsidTr="003C2E9F">
        <w:trPr>
          <w:jc w:val="center"/>
        </w:trPr>
        <w:tc>
          <w:tcPr>
            <w:tcW w:w="941" w:type="pct"/>
          </w:tcPr>
          <w:p w14:paraId="10F167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9</w:t>
            </w:r>
          </w:p>
        </w:tc>
        <w:tc>
          <w:tcPr>
            <w:tcW w:w="2394" w:type="pct"/>
          </w:tcPr>
          <w:p w14:paraId="181993D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Leucine</w:t>
            </w:r>
          </w:p>
        </w:tc>
        <w:tc>
          <w:tcPr>
            <w:tcW w:w="1665" w:type="pct"/>
          </w:tcPr>
          <w:p w14:paraId="284997B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1.51(m)</w:t>
            </w:r>
          </w:p>
          <w:p w14:paraId="2A4F186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3.44(t)</w:t>
            </w:r>
          </w:p>
        </w:tc>
      </w:tr>
      <w:tr w:rsidR="00EB6AE8" w:rsidRPr="00E47F58" w14:paraId="11774687" w14:textId="77777777" w:rsidTr="003C2E9F">
        <w:trPr>
          <w:jc w:val="center"/>
        </w:trPr>
        <w:tc>
          <w:tcPr>
            <w:tcW w:w="941" w:type="pct"/>
          </w:tcPr>
          <w:p w14:paraId="59146B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10</w:t>
            </w:r>
          </w:p>
        </w:tc>
        <w:tc>
          <w:tcPr>
            <w:tcW w:w="2394" w:type="pct"/>
          </w:tcPr>
          <w:p w14:paraId="7F732E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Taurine</w:t>
            </w:r>
          </w:p>
        </w:tc>
        <w:tc>
          <w:tcPr>
            <w:tcW w:w="1665" w:type="pct"/>
          </w:tcPr>
          <w:p w14:paraId="00DC0F9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3.42(t)</w:t>
            </w:r>
          </w:p>
          <w:p w14:paraId="154EF7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3.25(t)</w:t>
            </w:r>
          </w:p>
        </w:tc>
      </w:tr>
      <w:tr w:rsidR="00EB6AE8" w:rsidRPr="00E47F58" w14:paraId="0BC485C7" w14:textId="77777777" w:rsidTr="003C2E9F">
        <w:trPr>
          <w:jc w:val="center"/>
        </w:trPr>
        <w:tc>
          <w:tcPr>
            <w:tcW w:w="941" w:type="pct"/>
          </w:tcPr>
          <w:p w14:paraId="27D968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11</w:t>
            </w:r>
          </w:p>
        </w:tc>
        <w:tc>
          <w:tcPr>
            <w:tcW w:w="2394" w:type="pct"/>
          </w:tcPr>
          <w:p w14:paraId="5A9AE69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Histamine</w:t>
            </w:r>
          </w:p>
        </w:tc>
        <w:tc>
          <w:tcPr>
            <w:tcW w:w="1665" w:type="pct"/>
          </w:tcPr>
          <w:p w14:paraId="038CD73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8.0(s)</w:t>
            </w:r>
          </w:p>
          <w:p w14:paraId="4D28CB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7.9(s)</w:t>
            </w:r>
          </w:p>
          <w:p w14:paraId="311F05C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7.1(s)</w:t>
            </w:r>
          </w:p>
          <w:p w14:paraId="0E2DBE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3.3(t)</w:t>
            </w:r>
          </w:p>
          <w:p w14:paraId="0BE282E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3.0(m)</w:t>
            </w:r>
          </w:p>
        </w:tc>
      </w:tr>
      <w:tr w:rsidR="00EB6AE8" w:rsidRPr="00E47F58" w14:paraId="5BAB6999" w14:textId="77777777" w:rsidTr="003C2E9F">
        <w:trPr>
          <w:jc w:val="center"/>
        </w:trPr>
        <w:tc>
          <w:tcPr>
            <w:tcW w:w="941" w:type="pct"/>
          </w:tcPr>
          <w:p w14:paraId="0D4CDD1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12</w:t>
            </w:r>
          </w:p>
        </w:tc>
        <w:tc>
          <w:tcPr>
            <w:tcW w:w="2394" w:type="pct"/>
          </w:tcPr>
          <w:p w14:paraId="58C98A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Methionine</w:t>
            </w:r>
          </w:p>
        </w:tc>
        <w:tc>
          <w:tcPr>
            <w:tcW w:w="1665" w:type="pct"/>
          </w:tcPr>
          <w:p w14:paraId="46CE5D5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3.85(dd)</w:t>
            </w:r>
          </w:p>
          <w:p w14:paraId="75E0A6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2.63(t)</w:t>
            </w:r>
          </w:p>
          <w:p w14:paraId="465F938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2.15(m)</w:t>
            </w:r>
          </w:p>
        </w:tc>
      </w:tr>
      <w:tr w:rsidR="00EB6AE8" w:rsidRPr="00E47F58" w14:paraId="3E3BD80F" w14:textId="77777777" w:rsidTr="003C2E9F">
        <w:trPr>
          <w:jc w:val="center"/>
        </w:trPr>
        <w:tc>
          <w:tcPr>
            <w:tcW w:w="941" w:type="pct"/>
          </w:tcPr>
          <w:p w14:paraId="59FEFE5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13</w:t>
            </w:r>
          </w:p>
        </w:tc>
        <w:tc>
          <w:tcPr>
            <w:tcW w:w="2394" w:type="pct"/>
          </w:tcPr>
          <w:p w14:paraId="266FBE0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Creatine</w:t>
            </w:r>
          </w:p>
        </w:tc>
        <w:tc>
          <w:tcPr>
            <w:tcW w:w="1665" w:type="pct"/>
          </w:tcPr>
          <w:p w14:paraId="27D8C58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3.9(s)</w:t>
            </w:r>
          </w:p>
          <w:p w14:paraId="421F1A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3.0(s)</w:t>
            </w:r>
          </w:p>
        </w:tc>
      </w:tr>
      <w:tr w:rsidR="00EB6AE8" w:rsidRPr="00E47F58" w14:paraId="6DB29F57" w14:textId="77777777" w:rsidTr="003C2E9F">
        <w:trPr>
          <w:jc w:val="center"/>
        </w:trPr>
        <w:tc>
          <w:tcPr>
            <w:tcW w:w="941" w:type="pct"/>
          </w:tcPr>
          <w:p w14:paraId="18DC9B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14</w:t>
            </w:r>
          </w:p>
        </w:tc>
        <w:tc>
          <w:tcPr>
            <w:tcW w:w="2394" w:type="pct"/>
          </w:tcPr>
          <w:p w14:paraId="624B43B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Glutamic acid</w:t>
            </w:r>
            <w:r w:rsidRPr="00E47F58">
              <w:rPr>
                <w:rFonts w:ascii="Arial" w:hAnsi="Arial" w:cs="Arial"/>
                <w:color w:val="000000" w:themeColor="text1"/>
              </w:rPr>
              <w:tab/>
            </w:r>
          </w:p>
        </w:tc>
        <w:tc>
          <w:tcPr>
            <w:tcW w:w="1665" w:type="pct"/>
          </w:tcPr>
          <w:p w14:paraId="7C7156E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3.74(t)</w:t>
            </w:r>
          </w:p>
          <w:p w14:paraId="231F1E0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2.22(dd)</w:t>
            </w:r>
          </w:p>
          <w:p w14:paraId="7BCFCB2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2.04(m)</w:t>
            </w:r>
          </w:p>
        </w:tc>
      </w:tr>
      <w:tr w:rsidR="00EB6AE8" w:rsidRPr="00E47F58" w14:paraId="4EED8C14" w14:textId="77777777" w:rsidTr="003C2E9F">
        <w:trPr>
          <w:jc w:val="center"/>
        </w:trPr>
        <w:tc>
          <w:tcPr>
            <w:tcW w:w="941" w:type="pct"/>
          </w:tcPr>
          <w:p w14:paraId="7897C1B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15</w:t>
            </w:r>
          </w:p>
        </w:tc>
        <w:tc>
          <w:tcPr>
            <w:tcW w:w="2394" w:type="pct"/>
          </w:tcPr>
          <w:p w14:paraId="70EF861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Arginine</w:t>
            </w:r>
          </w:p>
        </w:tc>
        <w:tc>
          <w:tcPr>
            <w:tcW w:w="1665" w:type="pct"/>
          </w:tcPr>
          <w:p w14:paraId="2FF7D68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3.76(d)</w:t>
            </w:r>
          </w:p>
          <w:p w14:paraId="51EDDF7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3.23(t)</w:t>
            </w:r>
          </w:p>
          <w:p w14:paraId="2DA2E40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1.93(t)</w:t>
            </w:r>
          </w:p>
          <w:p w14:paraId="5D137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1.76(m)</w:t>
            </w:r>
          </w:p>
        </w:tc>
      </w:tr>
      <w:tr w:rsidR="00EB6AE8" w:rsidRPr="00E47F58" w14:paraId="4A13E298" w14:textId="77777777" w:rsidTr="003C2E9F">
        <w:trPr>
          <w:jc w:val="center"/>
        </w:trPr>
        <w:tc>
          <w:tcPr>
            <w:tcW w:w="941" w:type="pct"/>
          </w:tcPr>
          <w:p w14:paraId="0A23BD3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16</w:t>
            </w:r>
          </w:p>
        </w:tc>
        <w:tc>
          <w:tcPr>
            <w:tcW w:w="2394" w:type="pct"/>
          </w:tcPr>
          <w:p w14:paraId="181E108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Alanine</w:t>
            </w:r>
          </w:p>
        </w:tc>
        <w:tc>
          <w:tcPr>
            <w:tcW w:w="1665" w:type="pct"/>
          </w:tcPr>
          <w:p w14:paraId="546C5A4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1.5(d)</w:t>
            </w:r>
          </w:p>
          <w:p w14:paraId="5BCFB30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3.8(m)</w:t>
            </w:r>
          </w:p>
        </w:tc>
      </w:tr>
      <w:tr w:rsidR="00EB6AE8" w:rsidRPr="00E47F58" w14:paraId="4C2F10DA" w14:textId="77777777" w:rsidTr="003C2E9F">
        <w:trPr>
          <w:jc w:val="center"/>
        </w:trPr>
        <w:tc>
          <w:tcPr>
            <w:tcW w:w="941" w:type="pct"/>
          </w:tcPr>
          <w:p w14:paraId="77E8ACE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17</w:t>
            </w:r>
          </w:p>
        </w:tc>
        <w:tc>
          <w:tcPr>
            <w:tcW w:w="2394" w:type="pct"/>
          </w:tcPr>
          <w:p w14:paraId="343DB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Valine</w:t>
            </w:r>
          </w:p>
        </w:tc>
        <w:tc>
          <w:tcPr>
            <w:tcW w:w="1665" w:type="pct"/>
          </w:tcPr>
          <w:p w14:paraId="3EDE516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3.6(d)</w:t>
            </w:r>
          </w:p>
          <w:p w14:paraId="71E544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12.3(m)</w:t>
            </w:r>
          </w:p>
          <w:p w14:paraId="037F78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1.0(d)</w:t>
            </w:r>
          </w:p>
        </w:tc>
      </w:tr>
      <w:tr w:rsidR="00EB6AE8" w:rsidRPr="00E47F58" w14:paraId="60484B28" w14:textId="77777777" w:rsidTr="003C2E9F">
        <w:trPr>
          <w:jc w:val="center"/>
        </w:trPr>
        <w:tc>
          <w:tcPr>
            <w:tcW w:w="941" w:type="pct"/>
          </w:tcPr>
          <w:p w14:paraId="44A656C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18</w:t>
            </w:r>
          </w:p>
        </w:tc>
        <w:tc>
          <w:tcPr>
            <w:tcW w:w="2394" w:type="pct"/>
          </w:tcPr>
          <w:p w14:paraId="3C5B28F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Stearic acid</w:t>
            </w:r>
          </w:p>
        </w:tc>
        <w:tc>
          <w:tcPr>
            <w:tcW w:w="1665" w:type="pct"/>
          </w:tcPr>
          <w:p w14:paraId="103F79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6E2221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2E69B38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28194D5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6DB8A96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r w:rsidR="00EB6AE8" w:rsidRPr="00E47F58" w14:paraId="1C086596" w14:textId="77777777" w:rsidTr="003C2E9F">
        <w:trPr>
          <w:jc w:val="center"/>
        </w:trPr>
        <w:tc>
          <w:tcPr>
            <w:tcW w:w="941" w:type="pct"/>
          </w:tcPr>
          <w:p w14:paraId="50781CE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19</w:t>
            </w:r>
          </w:p>
        </w:tc>
        <w:tc>
          <w:tcPr>
            <w:tcW w:w="2394" w:type="pct"/>
          </w:tcPr>
          <w:p w14:paraId="2AFA1F9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Linolenic acid</w:t>
            </w:r>
          </w:p>
        </w:tc>
        <w:tc>
          <w:tcPr>
            <w:tcW w:w="1665" w:type="pct"/>
          </w:tcPr>
          <w:p w14:paraId="589BA55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662417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11A4DD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7CD4B30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5.30(m)</w:t>
            </w:r>
          </w:p>
          <w:p w14:paraId="06E50BF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5.34(m)</w:t>
            </w:r>
          </w:p>
        </w:tc>
      </w:tr>
      <w:tr w:rsidR="00EB6AE8" w:rsidRPr="00E47F58" w14:paraId="60D028D0" w14:textId="77777777" w:rsidTr="003C2E9F">
        <w:trPr>
          <w:jc w:val="center"/>
        </w:trPr>
        <w:tc>
          <w:tcPr>
            <w:tcW w:w="941" w:type="pct"/>
          </w:tcPr>
          <w:p w14:paraId="092DEC1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20</w:t>
            </w:r>
          </w:p>
        </w:tc>
        <w:tc>
          <w:tcPr>
            <w:tcW w:w="2394" w:type="pct"/>
          </w:tcPr>
          <w:p w14:paraId="41C6AB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Oleic acid</w:t>
            </w:r>
          </w:p>
        </w:tc>
        <w:tc>
          <w:tcPr>
            <w:tcW w:w="1665" w:type="pct"/>
          </w:tcPr>
          <w:p w14:paraId="7DA018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1D729E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367058D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0F0C1D1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1.26(m)</w:t>
            </w:r>
          </w:p>
          <w:p w14:paraId="5EC52A6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CF7FD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5.33(m)</w:t>
            </w:r>
          </w:p>
        </w:tc>
      </w:tr>
      <w:tr w:rsidR="00EB6AE8" w:rsidRPr="00E47F58" w14:paraId="007B8268" w14:textId="77777777" w:rsidTr="003C2E9F">
        <w:trPr>
          <w:jc w:val="center"/>
        </w:trPr>
        <w:tc>
          <w:tcPr>
            <w:tcW w:w="941" w:type="pct"/>
          </w:tcPr>
          <w:p w14:paraId="2CBAAC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21</w:t>
            </w:r>
          </w:p>
        </w:tc>
        <w:tc>
          <w:tcPr>
            <w:tcW w:w="2394" w:type="pct"/>
          </w:tcPr>
          <w:p w14:paraId="106A051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Palmitic acid</w:t>
            </w:r>
            <w:r w:rsidRPr="00E47F58">
              <w:rPr>
                <w:rFonts w:ascii="Arial" w:hAnsi="Arial" w:cs="Arial"/>
                <w:color w:val="000000" w:themeColor="text1"/>
              </w:rPr>
              <w:tab/>
            </w:r>
          </w:p>
        </w:tc>
        <w:tc>
          <w:tcPr>
            <w:tcW w:w="1665" w:type="pct"/>
          </w:tcPr>
          <w:p w14:paraId="4E5134E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1C67E9C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597F1E1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7CB1A8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46AD46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bl>
    <w:p w14:paraId="1D46832F" w14:textId="77777777" w:rsidR="00EB6AE8" w:rsidRPr="00E47F58" w:rsidRDefault="00EB6AE8" w:rsidP="00EB6AE8">
      <w:pPr>
        <w:pStyle w:val="j"/>
        <w:rPr>
          <w:rFonts w:ascii="Arial" w:hAnsi="Arial" w:cs="Arial"/>
          <w:sz w:val="20"/>
          <w:szCs w:val="20"/>
        </w:rPr>
      </w:pPr>
    </w:p>
    <w:p w14:paraId="35236CC8" w14:textId="77777777" w:rsidR="00EB6AE8" w:rsidRPr="00E47F58" w:rsidRDefault="00EB6AE8" w:rsidP="00EB6AE8">
      <w:pPr>
        <w:pStyle w:val="j"/>
        <w:rPr>
          <w:rFonts w:ascii="Arial" w:hAnsi="Arial" w:cs="Arial"/>
          <w:sz w:val="20"/>
          <w:szCs w:val="20"/>
        </w:rPr>
      </w:pPr>
    </w:p>
    <w:p w14:paraId="2B10F74E" w14:textId="6BC4CA93" w:rsidR="00EB6AE8" w:rsidRPr="00E47F58" w:rsidRDefault="00A60DD7" w:rsidP="00E47F58">
      <w:pPr>
        <w:pStyle w:val="Heading3"/>
        <w:rPr>
          <w:sz w:val="20"/>
          <w:szCs w:val="20"/>
          <w:lang w:val="en-GB"/>
        </w:rPr>
      </w:pPr>
      <w:bookmarkStart w:id="37" w:name="_Toc49955759"/>
      <w:bookmarkStart w:id="38" w:name="_Toc50652450"/>
      <w:r>
        <w:rPr>
          <w:sz w:val="20"/>
          <w:szCs w:val="20"/>
          <w:lang w:val="en-GB"/>
        </w:rPr>
        <w:t>3.</w:t>
      </w:r>
      <w:r w:rsidR="004B090C" w:rsidRPr="00E47F58">
        <w:rPr>
          <w:sz w:val="20"/>
          <w:szCs w:val="20"/>
          <w:lang w:val="en-GB"/>
        </w:rPr>
        <w:t>4</w:t>
      </w:r>
      <w:r w:rsidR="004B090C" w:rsidRPr="00E47F58">
        <w:rPr>
          <w:sz w:val="20"/>
          <w:szCs w:val="20"/>
          <w:lang w:val="en-GB"/>
        </w:rPr>
        <w:tab/>
      </w:r>
      <w:r w:rsidR="00EB6AE8" w:rsidRPr="00E47F58">
        <w:rPr>
          <w:sz w:val="20"/>
          <w:szCs w:val="20"/>
          <w:lang w:val="en-GB"/>
        </w:rPr>
        <w:t>Effect of environment on the experimental fish</w:t>
      </w:r>
      <w:bookmarkEnd w:id="37"/>
      <w:bookmarkEnd w:id="38"/>
    </w:p>
    <w:p w14:paraId="44EC47D6" w14:textId="77777777" w:rsidR="00EB6AE8" w:rsidRPr="00E47F58" w:rsidRDefault="00EB6AE8" w:rsidP="00851556">
      <w:pPr>
        <w:pStyle w:val="single"/>
        <w:rPr>
          <w:rFonts w:ascii="Arial" w:hAnsi="Arial" w:cs="Arial"/>
          <w:sz w:val="20"/>
          <w:szCs w:val="20"/>
          <w:lang w:val="en-GB"/>
        </w:rPr>
      </w:pPr>
      <w:r w:rsidRPr="00E47F58">
        <w:rPr>
          <w:rFonts w:ascii="Arial" w:hAnsi="Arial" w:cs="Arial"/>
          <w:sz w:val="20"/>
          <w:szCs w:val="20"/>
          <w:lang w:val="en-GB"/>
        </w:rPr>
        <w:t>In order to rule out the possibility of environmental factors that might have affected observations during the experiment with fish, a set of randomly selected 6 fish were sacrificed at zero-day (0D) point and was sampled for NMR analysis before the beginning of the experiment. The results of NMR analysis from these fish spleen (0D) were then compared with that of control fish (CF) at the e</w:t>
      </w:r>
      <w:r w:rsidR="00355A2E" w:rsidRPr="00E47F58">
        <w:rPr>
          <w:rFonts w:ascii="Arial" w:hAnsi="Arial" w:cs="Arial"/>
          <w:sz w:val="20"/>
          <w:szCs w:val="20"/>
          <w:lang w:val="en-GB"/>
        </w:rPr>
        <w:t>nd of the experiment. Figure 5</w:t>
      </w:r>
      <w:r w:rsidRPr="00E47F58">
        <w:rPr>
          <w:rFonts w:ascii="Arial" w:hAnsi="Arial" w:cs="Arial"/>
          <w:sz w:val="20"/>
          <w:szCs w:val="20"/>
          <w:lang w:val="en-GB"/>
        </w:rPr>
        <w:t xml:space="preserve"> shows the PCA score plot of the zero-day fish (0D) and the control fish (CF). The model gives a total fitness, R2X of 0.92 and predictability, Q2 of 0.501.</w:t>
      </w:r>
    </w:p>
    <w:p w14:paraId="378CAC6E"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drawing>
          <wp:inline distT="0" distB="0" distL="0" distR="0" wp14:anchorId="0FAD5136" wp14:editId="07114B94">
            <wp:extent cx="4682405" cy="2581719"/>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3642" cy="2604456"/>
                    </a:xfrm>
                    <a:prstGeom prst="rect">
                      <a:avLst/>
                    </a:prstGeom>
                    <a:noFill/>
                  </pic:spPr>
                </pic:pic>
              </a:graphicData>
            </a:graphic>
          </wp:inline>
        </w:drawing>
      </w:r>
    </w:p>
    <w:p w14:paraId="2ABFC54A" w14:textId="77777777" w:rsidR="00EB6AE8" w:rsidRPr="00E47F58" w:rsidRDefault="00EB6AE8" w:rsidP="00851556">
      <w:pPr>
        <w:pStyle w:val="Caption"/>
        <w:rPr>
          <w:rFonts w:ascii="Arial" w:hAnsi="Arial" w:cs="Arial"/>
          <w:sz w:val="20"/>
          <w:szCs w:val="20"/>
          <w:lang w:val="en-GB"/>
        </w:rPr>
      </w:pPr>
      <w:bookmarkStart w:id="39" w:name="_Toc50653941"/>
      <w:r w:rsidRPr="00E47F58">
        <w:rPr>
          <w:rFonts w:ascii="Arial" w:hAnsi="Arial" w:cs="Arial"/>
          <w:sz w:val="20"/>
          <w:szCs w:val="20"/>
        </w:rPr>
        <w:t>Figure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Pr="00E47F58">
        <w:rPr>
          <w:rFonts w:ascii="Arial" w:hAnsi="Arial" w:cs="Arial"/>
          <w:sz w:val="20"/>
          <w:szCs w:val="20"/>
          <w:lang w:val="en-GB"/>
        </w:rPr>
        <w:t>PCA score plot of the zero-day fish (0-D) and the c</w:t>
      </w:r>
      <w:r w:rsidR="004737B8" w:rsidRPr="00E47F58">
        <w:rPr>
          <w:rFonts w:ascii="Arial" w:hAnsi="Arial" w:cs="Arial"/>
          <w:sz w:val="20"/>
          <w:szCs w:val="20"/>
          <w:lang w:val="en-GB"/>
        </w:rPr>
        <w:t>ontrol fish (CF) showing no</w:t>
      </w:r>
      <w:r w:rsidRPr="00E47F58">
        <w:rPr>
          <w:rFonts w:ascii="Arial" w:hAnsi="Arial" w:cs="Arial"/>
          <w:sz w:val="20"/>
          <w:szCs w:val="20"/>
          <w:lang w:val="en-GB"/>
        </w:rPr>
        <w:t xml:space="preserve"> effect of environment on the experimental fish</w:t>
      </w:r>
      <w:bookmarkEnd w:id="39"/>
      <w:r w:rsidR="00851556" w:rsidRPr="00E47F58">
        <w:rPr>
          <w:rFonts w:ascii="Arial" w:hAnsi="Arial" w:cs="Arial"/>
          <w:sz w:val="20"/>
          <w:szCs w:val="20"/>
          <w:lang w:val="en-GB"/>
        </w:rPr>
        <w:t>.</w:t>
      </w:r>
    </w:p>
    <w:p w14:paraId="1A006CBF" w14:textId="77777777" w:rsidR="00EB6AE8" w:rsidRPr="00E47F58" w:rsidRDefault="00EB6AE8" w:rsidP="00EB6AE8">
      <w:pPr>
        <w:pStyle w:val="j"/>
        <w:rPr>
          <w:rFonts w:ascii="Arial" w:hAnsi="Arial" w:cs="Arial"/>
          <w:sz w:val="20"/>
          <w:szCs w:val="20"/>
          <w:lang w:val="en-GB"/>
        </w:rPr>
      </w:pPr>
    </w:p>
    <w:p w14:paraId="1D588C1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From the PCA score plot, it can be observed that the fish from 0D and CF groups are clustering</w:t>
      </w:r>
      <w:r w:rsidR="00355A2E" w:rsidRPr="00E47F58">
        <w:rPr>
          <w:rFonts w:ascii="Arial" w:hAnsi="Arial" w:cs="Arial"/>
          <w:sz w:val="20"/>
          <w:szCs w:val="20"/>
        </w:rPr>
        <w:t xml:space="preserve"> together near the origin without</w:t>
      </w:r>
      <w:r w:rsidRPr="00E47F58">
        <w:rPr>
          <w:rFonts w:ascii="Arial" w:hAnsi="Arial" w:cs="Arial"/>
          <w:sz w:val="20"/>
          <w:szCs w:val="20"/>
        </w:rPr>
        <w:t xml:space="preserve"> obvious separation between them. This indicate</w:t>
      </w:r>
      <w:r w:rsidR="00355A2E" w:rsidRPr="00E47F58">
        <w:rPr>
          <w:rFonts w:ascii="Arial" w:hAnsi="Arial" w:cs="Arial"/>
          <w:sz w:val="20"/>
          <w:szCs w:val="20"/>
        </w:rPr>
        <w:t>s</w:t>
      </w:r>
      <w:r w:rsidRPr="00E47F58">
        <w:rPr>
          <w:rFonts w:ascii="Arial" w:hAnsi="Arial" w:cs="Arial"/>
          <w:sz w:val="20"/>
          <w:szCs w:val="20"/>
        </w:rPr>
        <w:t xml:space="preserve"> that there was no difference in the metabolome of fish </w:t>
      </w:r>
      <w:r w:rsidRPr="00E47F58">
        <w:rPr>
          <w:rFonts w:ascii="Arial" w:hAnsi="Arial" w:cs="Arial"/>
          <w:sz w:val="20"/>
          <w:szCs w:val="20"/>
          <w:lang w:val="en-GB"/>
        </w:rPr>
        <w:t xml:space="preserve">at the beginning and </w:t>
      </w:r>
      <w:r w:rsidR="00355A2E" w:rsidRPr="00E47F58">
        <w:rPr>
          <w:rFonts w:ascii="Arial" w:hAnsi="Arial" w:cs="Arial"/>
          <w:sz w:val="20"/>
          <w:szCs w:val="20"/>
          <w:lang w:val="en-GB"/>
        </w:rPr>
        <w:t xml:space="preserve">at the </w:t>
      </w:r>
      <w:r w:rsidRPr="00E47F58">
        <w:rPr>
          <w:rFonts w:ascii="Arial" w:hAnsi="Arial" w:cs="Arial"/>
          <w:sz w:val="20"/>
          <w:szCs w:val="20"/>
          <w:lang w:val="en-GB"/>
        </w:rPr>
        <w:t>end</w:t>
      </w:r>
      <w:r w:rsidRPr="00E47F58">
        <w:rPr>
          <w:rFonts w:ascii="Arial" w:hAnsi="Arial" w:cs="Arial"/>
          <w:sz w:val="20"/>
          <w:szCs w:val="20"/>
        </w:rPr>
        <w:t xml:space="preserve"> </w:t>
      </w:r>
      <w:r w:rsidRPr="00E47F58">
        <w:rPr>
          <w:rFonts w:ascii="Arial" w:hAnsi="Arial" w:cs="Arial"/>
          <w:sz w:val="20"/>
          <w:szCs w:val="20"/>
          <w:lang w:val="en-GB"/>
        </w:rPr>
        <w:t>of the experiment</w:t>
      </w:r>
      <w:r w:rsidRPr="00E47F58" w:rsidDel="004017E5">
        <w:rPr>
          <w:rFonts w:ascii="Arial" w:hAnsi="Arial" w:cs="Arial"/>
          <w:sz w:val="20"/>
          <w:szCs w:val="20"/>
          <w:lang w:val="en-GB"/>
        </w:rPr>
        <w:t xml:space="preserve"> </w:t>
      </w:r>
      <w:r w:rsidR="00355A2E" w:rsidRPr="00E47F58">
        <w:rPr>
          <w:rFonts w:ascii="Arial" w:hAnsi="Arial" w:cs="Arial"/>
          <w:sz w:val="20"/>
          <w:szCs w:val="20"/>
          <w:lang w:val="en-GB"/>
        </w:rPr>
        <w:t xml:space="preserve">regardless of group (Figure </w:t>
      </w:r>
      <w:r w:rsidRPr="00E47F58">
        <w:rPr>
          <w:rFonts w:ascii="Arial" w:hAnsi="Arial" w:cs="Arial"/>
          <w:sz w:val="20"/>
          <w:szCs w:val="20"/>
          <w:lang w:val="en-GB"/>
        </w:rPr>
        <w:t>5). Hence, there was no effect of environment on the overall experimental fish and none affected the results generated at the end of the experiment</w:t>
      </w:r>
      <w:r w:rsidR="00211438" w:rsidRPr="00E47F58">
        <w:rPr>
          <w:rFonts w:ascii="Arial" w:hAnsi="Arial" w:cs="Arial"/>
          <w:sz w:val="20"/>
          <w:szCs w:val="20"/>
          <w:lang w:val="en-GB"/>
        </w:rPr>
        <w:t xml:space="preserve"> (all experimental fish were not affected by the environment all through the experiment)</w:t>
      </w:r>
      <w:r w:rsidRPr="00E47F58">
        <w:rPr>
          <w:rFonts w:ascii="Arial" w:hAnsi="Arial" w:cs="Arial"/>
          <w:sz w:val="20"/>
          <w:szCs w:val="20"/>
          <w:lang w:val="en-GB"/>
        </w:rPr>
        <w:t>.</w:t>
      </w:r>
    </w:p>
    <w:p w14:paraId="69032ABD" w14:textId="41DD870F" w:rsidR="00EB6AE8" w:rsidRPr="00E47F58" w:rsidRDefault="00A60DD7" w:rsidP="00E47F58">
      <w:pPr>
        <w:pStyle w:val="Heading3"/>
        <w:rPr>
          <w:sz w:val="20"/>
          <w:szCs w:val="20"/>
          <w:lang w:val="en-GB"/>
        </w:rPr>
      </w:pPr>
      <w:bookmarkStart w:id="40" w:name="_Toc49955760"/>
      <w:bookmarkStart w:id="41" w:name="_Toc50652451"/>
      <w:r>
        <w:rPr>
          <w:sz w:val="20"/>
          <w:szCs w:val="20"/>
          <w:lang w:val="en-GB"/>
        </w:rPr>
        <w:t>3.</w:t>
      </w:r>
      <w:r w:rsidR="004B090C" w:rsidRPr="00E47F58">
        <w:rPr>
          <w:sz w:val="20"/>
          <w:szCs w:val="20"/>
          <w:lang w:val="en-GB"/>
        </w:rPr>
        <w:t>5</w:t>
      </w:r>
      <w:r w:rsidR="004B090C"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Chlorella vulgaris</w:t>
      </w:r>
      <w:r w:rsidR="00EB6AE8" w:rsidRPr="00E47F58">
        <w:rPr>
          <w:sz w:val="20"/>
          <w:szCs w:val="20"/>
          <w:lang w:val="en-GB"/>
        </w:rPr>
        <w:t xml:space="preserve"> on experimental fish</w:t>
      </w:r>
      <w:bookmarkEnd w:id="40"/>
      <w:bookmarkEnd w:id="41"/>
    </w:p>
    <w:p w14:paraId="398B9371" w14:textId="63DEAD36" w:rsidR="00EB6AE8" w:rsidRPr="00E47F58" w:rsidRDefault="00211438" w:rsidP="00EB6AE8">
      <w:pPr>
        <w:pStyle w:val="single"/>
        <w:rPr>
          <w:rFonts w:ascii="Arial" w:hAnsi="Arial" w:cs="Arial"/>
          <w:sz w:val="20"/>
          <w:szCs w:val="20"/>
          <w:lang w:val="en-GB"/>
        </w:rPr>
      </w:pPr>
      <w:r w:rsidRPr="00E47F58">
        <w:rPr>
          <w:rFonts w:ascii="Arial" w:hAnsi="Arial" w:cs="Arial"/>
          <w:sz w:val="20"/>
          <w:szCs w:val="20"/>
          <w:lang w:val="en-GB"/>
        </w:rPr>
        <w:t>It was previously established</w:t>
      </w:r>
      <w:r w:rsidR="00EB6AE8" w:rsidRPr="00E47F58">
        <w:rPr>
          <w:rFonts w:ascii="Arial" w:hAnsi="Arial" w:cs="Arial"/>
          <w:sz w:val="20"/>
          <w:szCs w:val="20"/>
          <w:lang w:val="en-GB"/>
        </w:rPr>
        <w:t xml:space="preserve"> that modulation of some biochemical pathways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led to immune improvements in tilapia</w:t>
      </w:r>
      <w:r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B17C01" w:rsidRPr="00E47F58">
        <w:rPr>
          <w:rFonts w:ascii="Arial" w:hAnsi="Arial" w:cs="Arial"/>
          <w:sz w:val="20"/>
          <w:szCs w:val="20"/>
          <w:lang w:val="en-GB"/>
        </w:rPr>
        <w:t>. In the present experiment</w:t>
      </w:r>
      <w:r w:rsidR="00EB6AE8" w:rsidRPr="00E47F58">
        <w:rPr>
          <w:rFonts w:ascii="Arial" w:hAnsi="Arial" w:cs="Arial"/>
          <w:sz w:val="20"/>
          <w:szCs w:val="20"/>
          <w:lang w:val="en-GB"/>
        </w:rPr>
        <w:t xml:space="preserve">, it was designed to show the </w:t>
      </w:r>
      <w:r w:rsidR="00B17C01" w:rsidRPr="00E47F58">
        <w:rPr>
          <w:rFonts w:ascii="Arial" w:hAnsi="Arial" w:cs="Arial"/>
          <w:sz w:val="20"/>
          <w:szCs w:val="20"/>
          <w:lang w:val="en-GB"/>
        </w:rPr>
        <w:t xml:space="preserve">detected </w:t>
      </w:r>
      <w:r w:rsidR="00EB6AE8" w:rsidRPr="00E47F58">
        <w:rPr>
          <w:rFonts w:ascii="Arial" w:hAnsi="Arial" w:cs="Arial"/>
          <w:sz w:val="20"/>
          <w:szCs w:val="20"/>
          <w:lang w:val="en-GB"/>
        </w:rPr>
        <w:t xml:space="preserve">metabolite fold changes as a result of incorporating a single concentration </w:t>
      </w:r>
      <w:r w:rsidR="00EB6AE8" w:rsidRPr="00E47F58">
        <w:rPr>
          <w:rFonts w:ascii="Arial" w:hAnsi="Arial" w:cs="Arial"/>
          <w:sz w:val="20"/>
          <w:szCs w:val="20"/>
          <w:lang w:val="en-GB"/>
        </w:rPr>
        <w:lastRenderedPageBreak/>
        <w:t>of</w:t>
      </w:r>
      <w:r w:rsidR="00B17C01" w:rsidRPr="00E47F58">
        <w:rPr>
          <w:rFonts w:ascii="Arial" w:hAnsi="Arial" w:cs="Arial"/>
          <w:sz w:val="20"/>
          <w:szCs w:val="20"/>
          <w:lang w:val="en-GB"/>
        </w:rPr>
        <w:t xml:space="preserve"> 125 mg/kg </w:t>
      </w:r>
      <w:proofErr w:type="spellStart"/>
      <w:r w:rsidR="00B17C01" w:rsidRPr="00E47F58">
        <w:rPr>
          <w:rFonts w:ascii="Arial" w:hAnsi="Arial" w:cs="Arial"/>
          <w:sz w:val="20"/>
          <w:szCs w:val="20"/>
          <w:lang w:val="en-GB"/>
        </w:rPr>
        <w:t>bw</w:t>
      </w:r>
      <w:proofErr w:type="spellEnd"/>
      <w:r w:rsidR="00B17C01" w:rsidRPr="00E47F58">
        <w:rPr>
          <w:rFonts w:ascii="Arial" w:hAnsi="Arial" w:cs="Arial"/>
          <w:sz w:val="20"/>
          <w:szCs w:val="20"/>
          <w:lang w:val="en-GB"/>
        </w:rPr>
        <w:t xml:space="preserve"> into fish feed</w:t>
      </w:r>
      <w:r w:rsidR="00EB6AE8" w:rsidRPr="00E47F58">
        <w:rPr>
          <w:rFonts w:ascii="Arial" w:hAnsi="Arial" w:cs="Arial"/>
          <w:sz w:val="20"/>
          <w:szCs w:val="20"/>
          <w:lang w:val="en-GB"/>
        </w:rPr>
        <w:t xml:space="preserve"> fed for 3 weeks in a prophylactic experiment. The MV</w:t>
      </w:r>
      <w:r w:rsidR="00B17C01" w:rsidRPr="00E47F58">
        <w:rPr>
          <w:rFonts w:ascii="Arial" w:hAnsi="Arial" w:cs="Arial"/>
          <w:sz w:val="20"/>
          <w:szCs w:val="20"/>
          <w:lang w:val="en-GB"/>
        </w:rPr>
        <w:t>D</w:t>
      </w:r>
      <w:r w:rsidR="00EB6AE8" w:rsidRPr="00E47F58">
        <w:rPr>
          <w:rFonts w:ascii="Arial" w:hAnsi="Arial" w:cs="Arial"/>
          <w:sz w:val="20"/>
          <w:szCs w:val="20"/>
          <w:lang w:val="en-GB"/>
        </w:rPr>
        <w:t>A was conducted with reference to the identified VIP metabolites because they have high hits and impact factors in the relevant analysed pathways</w:t>
      </w:r>
      <w:r w:rsidR="00B17C01"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EB6AE8" w:rsidRPr="00E47F58">
        <w:rPr>
          <w:rFonts w:ascii="Arial" w:hAnsi="Arial" w:cs="Arial"/>
          <w:sz w:val="20"/>
          <w:szCs w:val="20"/>
          <w:lang w:val="en-GB"/>
        </w:rPr>
        <w:t>.</w:t>
      </w:r>
    </w:p>
    <w:p w14:paraId="3AA4166A" w14:textId="77777777" w:rsidR="00EB6AE8" w:rsidRPr="00E47F58" w:rsidRDefault="00EB6AE8" w:rsidP="00EB6AE8">
      <w:pPr>
        <w:rPr>
          <w:rFonts w:ascii="Arial" w:hAnsi="Arial" w:cs="Arial"/>
          <w:color w:val="000000" w:themeColor="text1"/>
          <w:sz w:val="20"/>
          <w:szCs w:val="20"/>
          <w:lang w:val="en-GB"/>
        </w:rPr>
      </w:pPr>
    </w:p>
    <w:p w14:paraId="43FCBB79" w14:textId="77777777" w:rsidR="00EB6AE8" w:rsidRPr="00E47F58" w:rsidRDefault="00EB6AE8" w:rsidP="00EB6AE8">
      <w:pPr>
        <w:rPr>
          <w:rFonts w:ascii="Arial" w:hAnsi="Arial" w:cs="Arial"/>
          <w:color w:val="000000" w:themeColor="text1"/>
          <w:sz w:val="20"/>
          <w:szCs w:val="20"/>
          <w:lang w:val="en-GB"/>
        </w:rPr>
      </w:pPr>
    </w:p>
    <w:p w14:paraId="51B0D810" w14:textId="77777777" w:rsidR="00EB6AE8" w:rsidRPr="00E47F58" w:rsidRDefault="00EB6AE8" w:rsidP="00EB6AE8">
      <w:pPr>
        <w:rPr>
          <w:rFonts w:ascii="Arial" w:hAnsi="Arial" w:cs="Arial"/>
          <w:color w:val="000000" w:themeColor="text1"/>
          <w:sz w:val="20"/>
          <w:szCs w:val="20"/>
          <w:lang w:val="en-GB"/>
        </w:rPr>
      </w:pPr>
    </w:p>
    <w:p w14:paraId="085DC61E" w14:textId="77777777" w:rsidR="00EB6AE8" w:rsidRPr="00E47F58" w:rsidRDefault="00EB6AE8" w:rsidP="00EB6AE8">
      <w:pPr>
        <w:rPr>
          <w:rFonts w:ascii="Arial" w:hAnsi="Arial" w:cs="Arial"/>
          <w:color w:val="000000" w:themeColor="text1"/>
          <w:sz w:val="20"/>
          <w:szCs w:val="20"/>
          <w:lang w:val="en-GB"/>
        </w:rPr>
      </w:pPr>
    </w:p>
    <w:p w14:paraId="10861A62" w14:textId="77777777" w:rsidR="00EB6AE8" w:rsidRPr="00E47F58" w:rsidRDefault="00EB6AE8" w:rsidP="00EB6AE8">
      <w:pPr>
        <w:rPr>
          <w:rFonts w:ascii="Arial" w:hAnsi="Arial" w:cs="Arial"/>
          <w:color w:val="000000" w:themeColor="text1"/>
          <w:sz w:val="20"/>
          <w:szCs w:val="20"/>
          <w:lang w:val="en-GB"/>
        </w:rPr>
      </w:pPr>
    </w:p>
    <w:p w14:paraId="03AEDEE6" w14:textId="77777777" w:rsidR="00EB6AE8" w:rsidRPr="00E47F58" w:rsidRDefault="004737B8" w:rsidP="00151BFC">
      <w:pPr>
        <w:spacing w:after="0" w:line="240" w:lineRule="auto"/>
        <w:ind w:firstLine="720"/>
        <w:rPr>
          <w:rFonts w:ascii="Arial" w:hAnsi="Arial" w:cs="Arial"/>
          <w:color w:val="000000" w:themeColor="text1"/>
          <w:sz w:val="20"/>
          <w:szCs w:val="20"/>
          <w:lang w:val="en-GB"/>
        </w:rPr>
      </w:pPr>
      <w:r w:rsidRPr="00E47F58">
        <w:rPr>
          <w:rFonts w:ascii="Arial" w:hAnsi="Arial" w:cs="Arial"/>
          <w:b/>
          <w:bCs/>
          <w:noProof/>
          <w:color w:val="000000" w:themeColor="text1"/>
          <w:sz w:val="20"/>
          <w:szCs w:val="20"/>
        </w:rPr>
        <w:drawing>
          <wp:inline distT="0" distB="0" distL="0" distR="0" wp14:anchorId="3D8D20C4" wp14:editId="6A2EDB4A">
            <wp:extent cx="4921250" cy="5852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217" r="10054" b="2124"/>
                    <a:stretch/>
                  </pic:blipFill>
                  <pic:spPr bwMode="auto">
                    <a:xfrm>
                      <a:off x="0" y="0"/>
                      <a:ext cx="4922325" cy="5853438"/>
                    </a:xfrm>
                    <a:prstGeom prst="rect">
                      <a:avLst/>
                    </a:prstGeom>
                    <a:noFill/>
                    <a:ln>
                      <a:noFill/>
                    </a:ln>
                    <a:extLst>
                      <a:ext uri="{53640926-AAD7-44D8-BBD7-CCE9431645EC}">
                        <a14:shadowObscured xmlns:a14="http://schemas.microsoft.com/office/drawing/2010/main"/>
                      </a:ext>
                    </a:extLst>
                  </pic:spPr>
                </pic:pic>
              </a:graphicData>
            </a:graphic>
          </wp:inline>
        </w:drawing>
      </w:r>
    </w:p>
    <w:p w14:paraId="66A9C0FE" w14:textId="2B1DF1F8" w:rsidR="00EB6AE8" w:rsidRPr="00E47F58" w:rsidRDefault="00EB6AE8" w:rsidP="00EB6AE8">
      <w:pPr>
        <w:pStyle w:val="Caption"/>
        <w:rPr>
          <w:rFonts w:ascii="Arial" w:hAnsi="Arial" w:cs="Arial"/>
          <w:sz w:val="20"/>
          <w:szCs w:val="20"/>
          <w:lang w:val="en-GB"/>
        </w:rPr>
      </w:pPr>
      <w:bookmarkStart w:id="42" w:name="_Toc50653942"/>
      <w:r w:rsidRPr="00E47F58">
        <w:rPr>
          <w:rFonts w:ascii="Arial" w:hAnsi="Arial" w:cs="Arial"/>
          <w:sz w:val="20"/>
          <w:szCs w:val="20"/>
        </w:rPr>
        <w:lastRenderedPageBreak/>
        <w:t>Figure</w:t>
      </w:r>
      <w:r w:rsidR="00B17C0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00B17C01" w:rsidRPr="00E47F58">
        <w:rPr>
          <w:rFonts w:ascii="Arial" w:hAnsi="Arial" w:cs="Arial"/>
          <w:sz w:val="20"/>
          <w:szCs w:val="20"/>
          <w:lang w:val="en-GB"/>
        </w:rPr>
        <w:t>OPLS-D</w:t>
      </w:r>
      <w:r w:rsidR="00BF1D2E" w:rsidRPr="00E47F58">
        <w:rPr>
          <w:rFonts w:ascii="Arial" w:hAnsi="Arial" w:cs="Arial"/>
          <w:sz w:val="20"/>
          <w:szCs w:val="20"/>
          <w:lang w:val="en-GB"/>
        </w:rPr>
        <w:t>A score plot (A) and S-plot (B)</w:t>
      </w:r>
      <w:r w:rsidRPr="00E47F58">
        <w:rPr>
          <w:rFonts w:ascii="Arial" w:hAnsi="Arial" w:cs="Arial"/>
          <w:sz w:val="20"/>
          <w:szCs w:val="20"/>
          <w:lang w:val="en-GB"/>
        </w:rPr>
        <w:t xml:space="preserve"> of </w:t>
      </w:r>
      <w:r w:rsidRPr="00E47F58">
        <w:rPr>
          <w:rFonts w:ascii="Arial" w:hAnsi="Arial" w:cs="Arial"/>
          <w:i/>
          <w:iCs/>
          <w:sz w:val="20"/>
          <w:szCs w:val="20"/>
          <w:lang w:val="en-GB"/>
        </w:rPr>
        <w:t xml:space="preserve">C. vulgaris </w:t>
      </w:r>
      <w:r w:rsidRPr="00E47F58">
        <w:rPr>
          <w:rFonts w:ascii="Arial" w:hAnsi="Arial" w:cs="Arial"/>
          <w:sz w:val="20"/>
          <w:szCs w:val="20"/>
          <w:lang w:val="en-GB"/>
        </w:rPr>
        <w:t>(CV) fish and the control fish (CF) showing their variability by PC1</w:t>
      </w:r>
      <w:bookmarkEnd w:id="42"/>
      <w:r w:rsidR="00507B49">
        <w:rPr>
          <w:rFonts w:ascii="Arial" w:hAnsi="Arial" w:cs="Arial"/>
          <w:sz w:val="20"/>
          <w:szCs w:val="20"/>
          <w:lang w:val="en-GB"/>
        </w:rPr>
        <w:t xml:space="preserve"> </w:t>
      </w:r>
      <w:r w:rsidR="00507B49" w:rsidRPr="00507B49">
        <w:rPr>
          <w:rFonts w:ascii="Arial" w:hAnsi="Arial" w:cs="Arial"/>
          <w:sz w:val="20"/>
          <w:szCs w:val="20"/>
          <w:highlight w:val="yellow"/>
          <w:lang w:val="en-GB"/>
        </w:rPr>
        <w:t>and up regulated/down regulated metabolites.</w:t>
      </w:r>
    </w:p>
    <w:p w14:paraId="195DCD42" w14:textId="77777777" w:rsidR="00EB6AE8" w:rsidRPr="00E47F58" w:rsidRDefault="00EB6AE8" w:rsidP="00EB6AE8">
      <w:pPr>
        <w:pStyle w:val="j"/>
        <w:rPr>
          <w:rFonts w:ascii="Arial" w:hAnsi="Arial" w:cs="Arial"/>
          <w:sz w:val="20"/>
          <w:szCs w:val="20"/>
          <w:lang w:val="en-GB"/>
        </w:rPr>
      </w:pPr>
    </w:p>
    <w:p w14:paraId="3E980F8E" w14:textId="77777777" w:rsidR="00EB6AE8" w:rsidRPr="00E47F58" w:rsidRDefault="00EB6AE8" w:rsidP="00EB6AE8">
      <w:pPr>
        <w:pStyle w:val="j"/>
        <w:rPr>
          <w:rFonts w:ascii="Arial" w:hAnsi="Arial" w:cs="Arial"/>
          <w:sz w:val="20"/>
          <w:szCs w:val="20"/>
          <w:lang w:val="en-GB"/>
        </w:rPr>
      </w:pPr>
    </w:p>
    <w:p w14:paraId="6A99855D" w14:textId="77777777" w:rsidR="00EB6AE8" w:rsidRPr="00E47F58" w:rsidRDefault="00BF1D2E" w:rsidP="00EB6AE8">
      <w:pPr>
        <w:pStyle w:val="single"/>
        <w:rPr>
          <w:rFonts w:ascii="Arial" w:hAnsi="Arial" w:cs="Arial"/>
          <w:sz w:val="20"/>
          <w:szCs w:val="20"/>
          <w:lang w:val="en-GB"/>
        </w:rPr>
      </w:pPr>
      <w:r w:rsidRPr="00E47F58">
        <w:rPr>
          <w:rFonts w:ascii="Arial" w:hAnsi="Arial" w:cs="Arial"/>
          <w:sz w:val="20"/>
          <w:szCs w:val="20"/>
          <w:lang w:val="en-GB"/>
        </w:rPr>
        <w:t xml:space="preserve">Figure </w:t>
      </w:r>
      <w:r w:rsidR="00EB6AE8" w:rsidRPr="00E47F58">
        <w:rPr>
          <w:rFonts w:ascii="Arial" w:hAnsi="Arial" w:cs="Arial"/>
          <w:sz w:val="20"/>
          <w:szCs w:val="20"/>
          <w:lang w:val="en-GB"/>
        </w:rPr>
        <w:t xml:space="preserve">6 shows the OPLS-DA score plot (A) and S-plot (B)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(CV) fed fish and the control fish (CF). The model exhibited a high fitness, R2X of 0.839 and predictability, Q2 of 0.784 in which the PC1 explained a total variance of 40.1% and PC2 16.7%. The biomarkers for immune improvements in tilapia fish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was identified based on the chemical shift data of the standard compounds available in the </w:t>
      </w:r>
      <w:proofErr w:type="spellStart"/>
      <w:r w:rsidR="00EB6AE8" w:rsidRPr="00E47F58">
        <w:rPr>
          <w:rFonts w:ascii="Arial" w:hAnsi="Arial" w:cs="Arial"/>
          <w:sz w:val="20"/>
          <w:szCs w:val="20"/>
          <w:lang w:val="en-GB"/>
        </w:rPr>
        <w:t>Chenomx</w:t>
      </w:r>
      <w:proofErr w:type="spellEnd"/>
      <w:r w:rsidR="00EB6AE8" w:rsidRPr="00E47F58">
        <w:rPr>
          <w:rFonts w:ascii="Arial" w:hAnsi="Arial" w:cs="Arial"/>
          <w:sz w:val="20"/>
          <w:szCs w:val="20"/>
          <w:lang w:val="en-GB"/>
        </w:rPr>
        <w:t xml:space="preserve"> library. The supervised orthogonal projection to latent structure discriminant analysis (OPLS-DA) was applied to reveal the clear separation about the significant metabolites assoc</w:t>
      </w:r>
      <w:r w:rsidR="00AC7CB1" w:rsidRPr="00E47F58">
        <w:rPr>
          <w:rFonts w:ascii="Arial" w:hAnsi="Arial" w:cs="Arial"/>
          <w:sz w:val="20"/>
          <w:szCs w:val="20"/>
          <w:lang w:val="en-GB"/>
        </w:rPr>
        <w:t>iated with CV and CF (Figure 6</w:t>
      </w:r>
      <w:r w:rsidR="00EB6AE8" w:rsidRPr="00E47F58">
        <w:rPr>
          <w:rFonts w:ascii="Arial" w:hAnsi="Arial" w:cs="Arial"/>
          <w:sz w:val="20"/>
          <w:szCs w:val="20"/>
          <w:lang w:val="en-GB"/>
        </w:rPr>
        <w:t xml:space="preserve">A, </w:t>
      </w:r>
      <w:r w:rsidR="00AC7CB1" w:rsidRPr="00E47F58">
        <w:rPr>
          <w:rFonts w:ascii="Arial" w:hAnsi="Arial" w:cs="Arial"/>
          <w:sz w:val="20"/>
          <w:szCs w:val="20"/>
          <w:lang w:val="en-GB"/>
        </w:rPr>
        <w:t>6</w:t>
      </w:r>
      <w:r w:rsidR="00EB6AE8" w:rsidRPr="00E47F58">
        <w:rPr>
          <w:rFonts w:ascii="Arial" w:hAnsi="Arial" w:cs="Arial"/>
          <w:sz w:val="20"/>
          <w:szCs w:val="20"/>
          <w:lang w:val="en-GB"/>
        </w:rPr>
        <w:t xml:space="preserve">B). There was an obvious separation between CV and CF by PC1. This result provides the suggested metabolites that were significantly affected by the treatment. The S-plot is the covariance and correlation loading diagnostics of the OPLS-DA model, which provides an overview of the affecting variables on the model by filtering the important metabolites in the projection. The significantly increased metabolites by the treatment are found in the upper-right quadrant of the S-plot which have the positive correlation and </w:t>
      </w:r>
      <w:r w:rsidR="00AC7CB1" w:rsidRPr="00E47F58">
        <w:rPr>
          <w:rFonts w:ascii="Arial" w:hAnsi="Arial" w:cs="Arial"/>
          <w:sz w:val="20"/>
          <w:szCs w:val="20"/>
          <w:lang w:val="en-GB"/>
        </w:rPr>
        <w:t xml:space="preserve">covariance as shown in Figure </w:t>
      </w:r>
      <w:r w:rsidR="00EB6AE8" w:rsidRPr="00E47F58">
        <w:rPr>
          <w:rFonts w:ascii="Arial" w:hAnsi="Arial" w:cs="Arial"/>
          <w:sz w:val="20"/>
          <w:szCs w:val="20"/>
          <w:lang w:val="en-GB"/>
        </w:rPr>
        <w:t xml:space="preserve">6B. These are the suggested biomarkers of immune improvements in tilapia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and they include alanine, riboflavin, methionine, choline, proline, valine, leucine, glutamic acid palmitic acid, arginine, creatine, taurine, isoleucine, linolenic acid and oleic acid. However, the very few decreased metabolites as a result of the same treatment are found in the lower-left quadrant of the same S-plot.</w:t>
      </w:r>
    </w:p>
    <w:p w14:paraId="1E9E2544" w14:textId="0AD02D7C"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The CV and CF fish are well separated into 2 clusters by PC 1</w:t>
      </w:r>
      <w:r w:rsidR="00AC7CB1" w:rsidRPr="00E47F58">
        <w:rPr>
          <w:rFonts w:ascii="Arial" w:hAnsi="Arial" w:cs="Arial"/>
          <w:sz w:val="20"/>
          <w:szCs w:val="20"/>
        </w:rPr>
        <w:t>, which explained maximum</w:t>
      </w:r>
      <w:r w:rsidRPr="00E47F58">
        <w:rPr>
          <w:rFonts w:ascii="Arial" w:hAnsi="Arial" w:cs="Arial"/>
          <w:sz w:val="20"/>
          <w:szCs w:val="20"/>
        </w:rPr>
        <w:t xml:space="preserve"> </w:t>
      </w:r>
      <w:r w:rsidR="00AC7CB1" w:rsidRPr="00E47F58">
        <w:rPr>
          <w:rFonts w:ascii="Arial" w:hAnsi="Arial" w:cs="Arial"/>
          <w:sz w:val="20"/>
          <w:szCs w:val="20"/>
        </w:rPr>
        <w:t xml:space="preserve">metabolite </w:t>
      </w:r>
      <w:r w:rsidRPr="00E47F58">
        <w:rPr>
          <w:rFonts w:ascii="Arial" w:hAnsi="Arial" w:cs="Arial"/>
          <w:sz w:val="20"/>
          <w:szCs w:val="20"/>
        </w:rPr>
        <w:t xml:space="preserve">variability. </w:t>
      </w:r>
      <w:r w:rsidRPr="00E47F58">
        <w:rPr>
          <w:rFonts w:ascii="Arial" w:hAnsi="Arial" w:cs="Arial"/>
          <w:sz w:val="20"/>
          <w:szCs w:val="20"/>
          <w:lang w:val="en-GB"/>
        </w:rPr>
        <w:t>The importance of the metabolites resulting from the separation of these two groups are suggested by the variable importance of projection (VIP) analysis of the OPLS-DA model (Table</w:t>
      </w:r>
      <w:r w:rsidR="000B6EB2">
        <w:rPr>
          <w:rFonts w:ascii="Arial" w:hAnsi="Arial" w:cs="Arial"/>
          <w:sz w:val="20"/>
          <w:szCs w:val="20"/>
          <w:lang w:val="en-GB"/>
        </w:rPr>
        <w:t xml:space="preserve"> </w:t>
      </w:r>
      <w:r w:rsidRPr="00E47F58">
        <w:rPr>
          <w:rFonts w:ascii="Arial" w:hAnsi="Arial" w:cs="Arial"/>
          <w:sz w:val="20"/>
          <w:szCs w:val="20"/>
          <w:lang w:val="en-GB"/>
        </w:rPr>
        <w:t>3). Metabolites with VIP ≥ 1 were considered the most contributors for separation of the groups by PC1. The detected VIP metabolites were also used in the determination of metabolite’s fold changes.</w:t>
      </w:r>
    </w:p>
    <w:p w14:paraId="34086B6F" w14:textId="77777777" w:rsidR="00EB6AE8" w:rsidRPr="00E47F58" w:rsidRDefault="00EB6AE8" w:rsidP="00EB6AE8">
      <w:pPr>
        <w:pStyle w:val="Caption"/>
        <w:keepNext/>
        <w:rPr>
          <w:rFonts w:ascii="Arial" w:hAnsi="Arial" w:cs="Arial"/>
          <w:sz w:val="20"/>
          <w:szCs w:val="20"/>
        </w:rPr>
      </w:pPr>
      <w:bookmarkStart w:id="43" w:name="_Toc50652952"/>
      <w:r w:rsidRPr="00E47F58">
        <w:rPr>
          <w:rFonts w:ascii="Arial" w:hAnsi="Arial" w:cs="Arial"/>
          <w:sz w:val="20"/>
          <w:szCs w:val="20"/>
        </w:rPr>
        <w:t>Table</w:t>
      </w:r>
      <w:r w:rsidR="00AC7CB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OPLS-DA VIP analysis showing metabolites with VIP ≥ </w:t>
      </w:r>
      <w:r w:rsidR="00ED4590" w:rsidRPr="00E47F58">
        <w:rPr>
          <w:rFonts w:ascii="Arial" w:hAnsi="Arial" w:cs="Arial"/>
          <w:sz w:val="20"/>
          <w:szCs w:val="20"/>
        </w:rPr>
        <w:t xml:space="preserve">1 </w:t>
      </w:r>
      <w:r w:rsidRPr="00E47F58">
        <w:rPr>
          <w:rFonts w:ascii="Arial" w:hAnsi="Arial" w:cs="Arial"/>
          <w:sz w:val="20"/>
          <w:szCs w:val="20"/>
        </w:rPr>
        <w:t>resulting from the separation of CV and CF by PC1</w:t>
      </w:r>
      <w:bookmarkEnd w:id="43"/>
    </w:p>
    <w:p w14:paraId="420E50F9"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175"/>
        <w:gridCol w:w="2790"/>
        <w:gridCol w:w="3076"/>
        <w:gridCol w:w="2309"/>
      </w:tblGrid>
      <w:tr w:rsidR="00EB6AE8" w:rsidRPr="00E47F58" w14:paraId="39D1A79D" w14:textId="77777777" w:rsidTr="00FB023F">
        <w:trPr>
          <w:jc w:val="center"/>
        </w:trPr>
        <w:tc>
          <w:tcPr>
            <w:tcW w:w="628" w:type="pct"/>
          </w:tcPr>
          <w:p w14:paraId="3A453D85" w14:textId="77777777" w:rsidR="00EB6AE8" w:rsidRPr="00E47F58" w:rsidRDefault="00EB6AE8" w:rsidP="00EB6AE8">
            <w:pPr>
              <w:spacing w:after="0" w:line="240" w:lineRule="auto"/>
              <w:rPr>
                <w:rFonts w:ascii="Arial" w:hAnsi="Arial" w:cs="Arial"/>
                <w:color w:val="000000" w:themeColor="text1"/>
              </w:rPr>
            </w:pPr>
            <w:proofErr w:type="spellStart"/>
            <w:r w:rsidRPr="00E47F58">
              <w:rPr>
                <w:rFonts w:ascii="Arial" w:hAnsi="Arial" w:cs="Arial"/>
                <w:color w:val="000000" w:themeColor="text1"/>
              </w:rPr>
              <w:t>S.No</w:t>
            </w:r>
            <w:proofErr w:type="spellEnd"/>
            <w:r w:rsidRPr="00E47F58">
              <w:rPr>
                <w:rFonts w:ascii="Arial" w:hAnsi="Arial" w:cs="Arial"/>
                <w:color w:val="000000" w:themeColor="text1"/>
              </w:rPr>
              <w:t>.</w:t>
            </w:r>
          </w:p>
        </w:tc>
        <w:tc>
          <w:tcPr>
            <w:tcW w:w="1492" w:type="pct"/>
          </w:tcPr>
          <w:p w14:paraId="0D55E1B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Metabolites</w:t>
            </w:r>
          </w:p>
        </w:tc>
        <w:tc>
          <w:tcPr>
            <w:tcW w:w="1645" w:type="pct"/>
          </w:tcPr>
          <w:p w14:paraId="32C137D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Chemical shifts (ppm)</w:t>
            </w:r>
          </w:p>
        </w:tc>
        <w:tc>
          <w:tcPr>
            <w:tcW w:w="1235" w:type="pct"/>
          </w:tcPr>
          <w:p w14:paraId="398837C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VIP values</w:t>
            </w:r>
          </w:p>
        </w:tc>
      </w:tr>
      <w:tr w:rsidR="00EB6AE8" w:rsidRPr="00E47F58" w14:paraId="68B84460" w14:textId="77777777" w:rsidTr="00FB023F">
        <w:trPr>
          <w:jc w:val="center"/>
        </w:trPr>
        <w:tc>
          <w:tcPr>
            <w:tcW w:w="628" w:type="pct"/>
          </w:tcPr>
          <w:p w14:paraId="3B17FA57"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w:t>
            </w:r>
          </w:p>
        </w:tc>
        <w:tc>
          <w:tcPr>
            <w:tcW w:w="1492" w:type="pct"/>
          </w:tcPr>
          <w:p w14:paraId="21EBC05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Histamine</w:t>
            </w:r>
          </w:p>
        </w:tc>
        <w:tc>
          <w:tcPr>
            <w:tcW w:w="1645" w:type="pct"/>
          </w:tcPr>
          <w:p w14:paraId="6C3D75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7.90(s)</w:t>
            </w:r>
          </w:p>
        </w:tc>
        <w:tc>
          <w:tcPr>
            <w:tcW w:w="1235" w:type="pct"/>
          </w:tcPr>
          <w:p w14:paraId="0CCB278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4.7</w:t>
            </w:r>
          </w:p>
        </w:tc>
      </w:tr>
      <w:tr w:rsidR="00EB6AE8" w:rsidRPr="00E47F58" w14:paraId="669433C5" w14:textId="77777777" w:rsidTr="00FB023F">
        <w:trPr>
          <w:jc w:val="center"/>
        </w:trPr>
        <w:tc>
          <w:tcPr>
            <w:tcW w:w="628" w:type="pct"/>
          </w:tcPr>
          <w:p w14:paraId="00240B0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2</w:t>
            </w:r>
          </w:p>
        </w:tc>
        <w:tc>
          <w:tcPr>
            <w:tcW w:w="1492" w:type="pct"/>
          </w:tcPr>
          <w:p w14:paraId="01C760C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Alanine</w:t>
            </w:r>
          </w:p>
        </w:tc>
        <w:tc>
          <w:tcPr>
            <w:tcW w:w="1645" w:type="pct"/>
          </w:tcPr>
          <w:p w14:paraId="58D7D72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3.89(m)</w:t>
            </w:r>
          </w:p>
        </w:tc>
        <w:tc>
          <w:tcPr>
            <w:tcW w:w="1235" w:type="pct"/>
          </w:tcPr>
          <w:p w14:paraId="6B66ECB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4.3</w:t>
            </w:r>
          </w:p>
        </w:tc>
      </w:tr>
      <w:tr w:rsidR="00EB6AE8" w:rsidRPr="00E47F58" w14:paraId="1A17A88B" w14:textId="77777777" w:rsidTr="00FB023F">
        <w:trPr>
          <w:jc w:val="center"/>
        </w:trPr>
        <w:tc>
          <w:tcPr>
            <w:tcW w:w="628" w:type="pct"/>
          </w:tcPr>
          <w:p w14:paraId="5E93002E"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3</w:t>
            </w:r>
          </w:p>
        </w:tc>
        <w:tc>
          <w:tcPr>
            <w:tcW w:w="1492" w:type="pct"/>
          </w:tcPr>
          <w:p w14:paraId="487AC8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Valine </w:t>
            </w:r>
          </w:p>
        </w:tc>
        <w:tc>
          <w:tcPr>
            <w:tcW w:w="1645" w:type="pct"/>
          </w:tcPr>
          <w:p w14:paraId="297C86E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3.60(d)</w:t>
            </w:r>
          </w:p>
        </w:tc>
        <w:tc>
          <w:tcPr>
            <w:tcW w:w="1235" w:type="pct"/>
          </w:tcPr>
          <w:p w14:paraId="2950C16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2.6</w:t>
            </w:r>
          </w:p>
        </w:tc>
      </w:tr>
      <w:tr w:rsidR="00EB6AE8" w:rsidRPr="00E47F58" w14:paraId="20795900" w14:textId="77777777" w:rsidTr="00FB023F">
        <w:trPr>
          <w:jc w:val="center"/>
        </w:trPr>
        <w:tc>
          <w:tcPr>
            <w:tcW w:w="628" w:type="pct"/>
          </w:tcPr>
          <w:p w14:paraId="18A98B1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4</w:t>
            </w:r>
          </w:p>
        </w:tc>
        <w:tc>
          <w:tcPr>
            <w:tcW w:w="1492" w:type="pct"/>
          </w:tcPr>
          <w:p w14:paraId="3B4A3D8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Oleic acid </w:t>
            </w:r>
          </w:p>
        </w:tc>
        <w:tc>
          <w:tcPr>
            <w:tcW w:w="1645" w:type="pct"/>
          </w:tcPr>
          <w:p w14:paraId="2A27897C"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49D2364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2.1</w:t>
            </w:r>
          </w:p>
        </w:tc>
      </w:tr>
      <w:tr w:rsidR="00EB6AE8" w:rsidRPr="00E47F58" w14:paraId="67098E5B" w14:textId="77777777" w:rsidTr="00FB023F">
        <w:trPr>
          <w:jc w:val="center"/>
        </w:trPr>
        <w:tc>
          <w:tcPr>
            <w:tcW w:w="628" w:type="pct"/>
          </w:tcPr>
          <w:p w14:paraId="6A581D9A"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5</w:t>
            </w:r>
          </w:p>
        </w:tc>
        <w:tc>
          <w:tcPr>
            <w:tcW w:w="1492" w:type="pct"/>
          </w:tcPr>
          <w:p w14:paraId="51749D8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Choline </w:t>
            </w:r>
          </w:p>
        </w:tc>
        <w:tc>
          <w:tcPr>
            <w:tcW w:w="1645" w:type="pct"/>
          </w:tcPr>
          <w:p w14:paraId="01CBEBD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3.5(dd)</w:t>
            </w:r>
          </w:p>
        </w:tc>
        <w:tc>
          <w:tcPr>
            <w:tcW w:w="1235" w:type="pct"/>
          </w:tcPr>
          <w:p w14:paraId="07230F2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2.0</w:t>
            </w:r>
          </w:p>
        </w:tc>
      </w:tr>
      <w:tr w:rsidR="00EB6AE8" w:rsidRPr="00E47F58" w14:paraId="405E8761" w14:textId="77777777" w:rsidTr="00FB023F">
        <w:trPr>
          <w:jc w:val="center"/>
        </w:trPr>
        <w:tc>
          <w:tcPr>
            <w:tcW w:w="628" w:type="pct"/>
          </w:tcPr>
          <w:p w14:paraId="74A7308F"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6</w:t>
            </w:r>
          </w:p>
        </w:tc>
        <w:tc>
          <w:tcPr>
            <w:tcW w:w="1492" w:type="pct"/>
          </w:tcPr>
          <w:p w14:paraId="4CFEC4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Palmitic acid</w:t>
            </w:r>
          </w:p>
        </w:tc>
        <w:tc>
          <w:tcPr>
            <w:tcW w:w="1645" w:type="pct"/>
          </w:tcPr>
          <w:p w14:paraId="64B21D1F"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0.86(t)</w:t>
            </w:r>
          </w:p>
        </w:tc>
        <w:tc>
          <w:tcPr>
            <w:tcW w:w="1235" w:type="pct"/>
          </w:tcPr>
          <w:p w14:paraId="2014286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1.9</w:t>
            </w:r>
          </w:p>
        </w:tc>
      </w:tr>
      <w:tr w:rsidR="00EB6AE8" w:rsidRPr="00E47F58" w14:paraId="39CE755B" w14:textId="77777777" w:rsidTr="00FB023F">
        <w:trPr>
          <w:jc w:val="center"/>
        </w:trPr>
        <w:tc>
          <w:tcPr>
            <w:tcW w:w="628" w:type="pct"/>
          </w:tcPr>
          <w:p w14:paraId="057C622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7</w:t>
            </w:r>
          </w:p>
        </w:tc>
        <w:tc>
          <w:tcPr>
            <w:tcW w:w="1492" w:type="pct"/>
          </w:tcPr>
          <w:p w14:paraId="0FCEBB8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Riboflavin </w:t>
            </w:r>
          </w:p>
        </w:tc>
        <w:tc>
          <w:tcPr>
            <w:tcW w:w="1645" w:type="pct"/>
          </w:tcPr>
          <w:p w14:paraId="08FBF9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1.65(m)</w:t>
            </w:r>
          </w:p>
        </w:tc>
        <w:tc>
          <w:tcPr>
            <w:tcW w:w="1235" w:type="pct"/>
          </w:tcPr>
          <w:p w14:paraId="45B131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596D4B9" w14:textId="77777777" w:rsidTr="00FB023F">
        <w:trPr>
          <w:jc w:val="center"/>
        </w:trPr>
        <w:tc>
          <w:tcPr>
            <w:tcW w:w="628" w:type="pct"/>
          </w:tcPr>
          <w:p w14:paraId="4078FF6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8</w:t>
            </w:r>
          </w:p>
        </w:tc>
        <w:tc>
          <w:tcPr>
            <w:tcW w:w="1492" w:type="pct"/>
          </w:tcPr>
          <w:p w14:paraId="7CEAAF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Glycine </w:t>
            </w:r>
          </w:p>
        </w:tc>
        <w:tc>
          <w:tcPr>
            <w:tcW w:w="1645" w:type="pct"/>
          </w:tcPr>
          <w:p w14:paraId="5260FA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3.60(s)</w:t>
            </w:r>
          </w:p>
        </w:tc>
        <w:tc>
          <w:tcPr>
            <w:tcW w:w="1235" w:type="pct"/>
          </w:tcPr>
          <w:p w14:paraId="6D6E253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0226B6D" w14:textId="77777777" w:rsidTr="00FB023F">
        <w:trPr>
          <w:jc w:val="center"/>
        </w:trPr>
        <w:tc>
          <w:tcPr>
            <w:tcW w:w="628" w:type="pct"/>
          </w:tcPr>
          <w:p w14:paraId="766B8EF3"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9</w:t>
            </w:r>
          </w:p>
        </w:tc>
        <w:tc>
          <w:tcPr>
            <w:tcW w:w="1492" w:type="pct"/>
          </w:tcPr>
          <w:p w14:paraId="175807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Proline </w:t>
            </w:r>
          </w:p>
        </w:tc>
        <w:tc>
          <w:tcPr>
            <w:tcW w:w="1645" w:type="pct"/>
          </w:tcPr>
          <w:p w14:paraId="2711554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4.14(m)</w:t>
            </w:r>
          </w:p>
        </w:tc>
        <w:tc>
          <w:tcPr>
            <w:tcW w:w="1235" w:type="pct"/>
          </w:tcPr>
          <w:p w14:paraId="5F0078A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1.7</w:t>
            </w:r>
          </w:p>
        </w:tc>
      </w:tr>
      <w:tr w:rsidR="00EB6AE8" w:rsidRPr="00E47F58" w14:paraId="4A3F4C09" w14:textId="77777777" w:rsidTr="00FB023F">
        <w:trPr>
          <w:jc w:val="center"/>
        </w:trPr>
        <w:tc>
          <w:tcPr>
            <w:tcW w:w="628" w:type="pct"/>
          </w:tcPr>
          <w:p w14:paraId="338001A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10</w:t>
            </w:r>
          </w:p>
        </w:tc>
        <w:tc>
          <w:tcPr>
            <w:tcW w:w="1492" w:type="pct"/>
          </w:tcPr>
          <w:p w14:paraId="50CB267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Glucose </w:t>
            </w:r>
          </w:p>
        </w:tc>
        <w:tc>
          <w:tcPr>
            <w:tcW w:w="1645" w:type="pct"/>
          </w:tcPr>
          <w:p w14:paraId="1C8FD78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5.22(s)</w:t>
            </w:r>
          </w:p>
        </w:tc>
        <w:tc>
          <w:tcPr>
            <w:tcW w:w="1235" w:type="pct"/>
          </w:tcPr>
          <w:p w14:paraId="554B711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1.4</w:t>
            </w:r>
          </w:p>
        </w:tc>
      </w:tr>
      <w:tr w:rsidR="00EB6AE8" w:rsidRPr="00E47F58" w14:paraId="27C31FDA" w14:textId="77777777" w:rsidTr="00FB023F">
        <w:trPr>
          <w:jc w:val="center"/>
        </w:trPr>
        <w:tc>
          <w:tcPr>
            <w:tcW w:w="628" w:type="pct"/>
          </w:tcPr>
          <w:p w14:paraId="7954E1B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11</w:t>
            </w:r>
          </w:p>
        </w:tc>
        <w:tc>
          <w:tcPr>
            <w:tcW w:w="1492" w:type="pct"/>
          </w:tcPr>
          <w:p w14:paraId="486316C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Taurine </w:t>
            </w:r>
          </w:p>
        </w:tc>
        <w:tc>
          <w:tcPr>
            <w:tcW w:w="1645" w:type="pct"/>
          </w:tcPr>
          <w:p w14:paraId="1C6D6AE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3.42(t)</w:t>
            </w:r>
          </w:p>
        </w:tc>
        <w:tc>
          <w:tcPr>
            <w:tcW w:w="1235" w:type="pct"/>
          </w:tcPr>
          <w:p w14:paraId="2CAA992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1.3</w:t>
            </w:r>
          </w:p>
        </w:tc>
      </w:tr>
      <w:tr w:rsidR="00EB6AE8" w:rsidRPr="00E47F58" w14:paraId="11C18519" w14:textId="77777777" w:rsidTr="00FB023F">
        <w:trPr>
          <w:jc w:val="center"/>
        </w:trPr>
        <w:tc>
          <w:tcPr>
            <w:tcW w:w="628" w:type="pct"/>
          </w:tcPr>
          <w:p w14:paraId="03A9B322"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12</w:t>
            </w:r>
          </w:p>
        </w:tc>
        <w:tc>
          <w:tcPr>
            <w:tcW w:w="1492" w:type="pct"/>
          </w:tcPr>
          <w:p w14:paraId="2049D7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Isoleucine </w:t>
            </w:r>
          </w:p>
        </w:tc>
        <w:tc>
          <w:tcPr>
            <w:tcW w:w="1645" w:type="pct"/>
          </w:tcPr>
          <w:p w14:paraId="4BCAD97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3.43(d)</w:t>
            </w:r>
          </w:p>
        </w:tc>
        <w:tc>
          <w:tcPr>
            <w:tcW w:w="1235" w:type="pct"/>
          </w:tcPr>
          <w:p w14:paraId="4004C334"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5264604D" w14:textId="77777777" w:rsidTr="00FB023F">
        <w:trPr>
          <w:jc w:val="center"/>
        </w:trPr>
        <w:tc>
          <w:tcPr>
            <w:tcW w:w="628" w:type="pct"/>
          </w:tcPr>
          <w:p w14:paraId="481BD67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13</w:t>
            </w:r>
          </w:p>
        </w:tc>
        <w:tc>
          <w:tcPr>
            <w:tcW w:w="1492" w:type="pct"/>
          </w:tcPr>
          <w:p w14:paraId="6EFE76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Arginine </w:t>
            </w:r>
          </w:p>
        </w:tc>
        <w:tc>
          <w:tcPr>
            <w:tcW w:w="1645" w:type="pct"/>
          </w:tcPr>
          <w:p w14:paraId="3302E79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3.76(d)</w:t>
            </w:r>
          </w:p>
        </w:tc>
        <w:tc>
          <w:tcPr>
            <w:tcW w:w="1235" w:type="pct"/>
          </w:tcPr>
          <w:p w14:paraId="117BB89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6D30752F" w14:textId="77777777" w:rsidTr="00FB023F">
        <w:trPr>
          <w:jc w:val="center"/>
        </w:trPr>
        <w:tc>
          <w:tcPr>
            <w:tcW w:w="628" w:type="pct"/>
          </w:tcPr>
          <w:p w14:paraId="6FCF4AB4"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14</w:t>
            </w:r>
          </w:p>
        </w:tc>
        <w:tc>
          <w:tcPr>
            <w:tcW w:w="1492" w:type="pct"/>
          </w:tcPr>
          <w:p w14:paraId="7E71C8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Leucine </w:t>
            </w:r>
          </w:p>
        </w:tc>
        <w:tc>
          <w:tcPr>
            <w:tcW w:w="1645" w:type="pct"/>
          </w:tcPr>
          <w:p w14:paraId="6E1F69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3.44(t)</w:t>
            </w:r>
          </w:p>
        </w:tc>
        <w:tc>
          <w:tcPr>
            <w:tcW w:w="1235" w:type="pct"/>
          </w:tcPr>
          <w:p w14:paraId="4616A12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1DFCD42F" w14:textId="77777777" w:rsidTr="00FB023F">
        <w:trPr>
          <w:jc w:val="center"/>
        </w:trPr>
        <w:tc>
          <w:tcPr>
            <w:tcW w:w="628" w:type="pct"/>
          </w:tcPr>
          <w:p w14:paraId="770C722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15</w:t>
            </w:r>
          </w:p>
        </w:tc>
        <w:tc>
          <w:tcPr>
            <w:tcW w:w="1492" w:type="pct"/>
          </w:tcPr>
          <w:p w14:paraId="33831E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Creatine </w:t>
            </w:r>
          </w:p>
        </w:tc>
        <w:tc>
          <w:tcPr>
            <w:tcW w:w="1645" w:type="pct"/>
          </w:tcPr>
          <w:p w14:paraId="483F7F9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3.90(s)</w:t>
            </w:r>
          </w:p>
        </w:tc>
        <w:tc>
          <w:tcPr>
            <w:tcW w:w="1235" w:type="pct"/>
          </w:tcPr>
          <w:p w14:paraId="470ECDE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66F9B1F1" w14:textId="77777777" w:rsidTr="00FB023F">
        <w:trPr>
          <w:jc w:val="center"/>
        </w:trPr>
        <w:tc>
          <w:tcPr>
            <w:tcW w:w="628" w:type="pct"/>
          </w:tcPr>
          <w:p w14:paraId="0764BF5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16</w:t>
            </w:r>
          </w:p>
        </w:tc>
        <w:tc>
          <w:tcPr>
            <w:tcW w:w="1492" w:type="pct"/>
          </w:tcPr>
          <w:p w14:paraId="3F0CD27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Methionine </w:t>
            </w:r>
          </w:p>
        </w:tc>
        <w:tc>
          <w:tcPr>
            <w:tcW w:w="1645" w:type="pct"/>
          </w:tcPr>
          <w:p w14:paraId="69F29D4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2.63(t)</w:t>
            </w:r>
          </w:p>
        </w:tc>
        <w:tc>
          <w:tcPr>
            <w:tcW w:w="1235" w:type="pct"/>
          </w:tcPr>
          <w:p w14:paraId="1B88B7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42B8B315" w14:textId="77777777" w:rsidTr="00FB023F">
        <w:trPr>
          <w:jc w:val="center"/>
        </w:trPr>
        <w:tc>
          <w:tcPr>
            <w:tcW w:w="628" w:type="pct"/>
          </w:tcPr>
          <w:p w14:paraId="142C609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17</w:t>
            </w:r>
          </w:p>
        </w:tc>
        <w:tc>
          <w:tcPr>
            <w:tcW w:w="1492" w:type="pct"/>
          </w:tcPr>
          <w:p w14:paraId="0581516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Glutamic acid</w:t>
            </w:r>
          </w:p>
        </w:tc>
        <w:tc>
          <w:tcPr>
            <w:tcW w:w="1645" w:type="pct"/>
          </w:tcPr>
          <w:p w14:paraId="4D1B9A4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2.04(m)</w:t>
            </w:r>
          </w:p>
        </w:tc>
        <w:tc>
          <w:tcPr>
            <w:tcW w:w="1235" w:type="pct"/>
          </w:tcPr>
          <w:p w14:paraId="36FA7DC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r w:rsidR="00EB6AE8" w:rsidRPr="00E47F58" w14:paraId="7A776C41" w14:textId="77777777" w:rsidTr="00FB023F">
        <w:trPr>
          <w:jc w:val="center"/>
        </w:trPr>
        <w:tc>
          <w:tcPr>
            <w:tcW w:w="628" w:type="pct"/>
          </w:tcPr>
          <w:p w14:paraId="42BAFA68"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18</w:t>
            </w:r>
          </w:p>
        </w:tc>
        <w:tc>
          <w:tcPr>
            <w:tcW w:w="1492" w:type="pct"/>
          </w:tcPr>
          <w:p w14:paraId="1A25301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Linoleic acid</w:t>
            </w:r>
          </w:p>
        </w:tc>
        <w:tc>
          <w:tcPr>
            <w:tcW w:w="1645" w:type="pct"/>
          </w:tcPr>
          <w:p w14:paraId="1FB2A0B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22CBAB4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bl>
    <w:p w14:paraId="5280FE29" w14:textId="77777777" w:rsidR="00EB6AE8" w:rsidRPr="00E47F58" w:rsidRDefault="00EB6AE8" w:rsidP="00EB6AE8">
      <w:pPr>
        <w:pStyle w:val="Caption"/>
        <w:rPr>
          <w:rFonts w:ascii="Arial" w:hAnsi="Arial" w:cs="Arial"/>
          <w:b w:val="0"/>
          <w:bCs w:val="0"/>
          <w:sz w:val="20"/>
          <w:szCs w:val="20"/>
          <w:lang w:val="en-GB"/>
        </w:rPr>
      </w:pPr>
    </w:p>
    <w:p w14:paraId="39A3512C" w14:textId="77777777" w:rsidR="00EB6AE8" w:rsidRPr="00E47F58" w:rsidRDefault="00EB6AE8" w:rsidP="00EB6AE8">
      <w:pPr>
        <w:spacing w:after="0" w:line="240" w:lineRule="auto"/>
        <w:rPr>
          <w:rFonts w:ascii="Arial" w:hAnsi="Arial" w:cs="Arial"/>
          <w:color w:val="000000" w:themeColor="text1"/>
          <w:sz w:val="20"/>
          <w:szCs w:val="20"/>
          <w:lang w:val="en-GB"/>
        </w:rPr>
      </w:pPr>
    </w:p>
    <w:p w14:paraId="496DDC80"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Metabolite fold change is a measure describing how many times the quantity of a metabolite is changed between an original and a subsequent measurement with respect to the associated treatment. It is defined as a ratio between the two quantities; for example, the fold change of CV with respect to CF is CV/CF.</w:t>
      </w:r>
    </w:p>
    <w:p w14:paraId="16B0FA56" w14:textId="77777777" w:rsidR="00EB6AE8" w:rsidRPr="00E47F58" w:rsidRDefault="00EB6AE8" w:rsidP="00EB6AE8">
      <w:pPr>
        <w:rPr>
          <w:rFonts w:ascii="Arial" w:hAnsi="Arial" w:cs="Arial"/>
          <w:color w:val="000000" w:themeColor="text1"/>
          <w:sz w:val="20"/>
          <w:szCs w:val="20"/>
          <w:lang w:val="en-GB"/>
        </w:rPr>
      </w:pPr>
    </w:p>
    <w:p w14:paraId="1E8074EF" w14:textId="1C98B822"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Metabolite fold change (FC) of the VIP metabolites in the present research, was assessed using </w:t>
      </w:r>
      <w:proofErr w:type="spellStart"/>
      <w:r w:rsidRPr="00E47F58">
        <w:rPr>
          <w:rFonts w:ascii="Arial" w:hAnsi="Arial" w:cs="Arial"/>
          <w:sz w:val="20"/>
          <w:szCs w:val="20"/>
          <w:lang w:val="en-GB"/>
        </w:rPr>
        <w:t>MetaboAnalyst</w:t>
      </w:r>
      <w:proofErr w:type="spellEnd"/>
      <w:r w:rsidRPr="00E47F58">
        <w:rPr>
          <w:rFonts w:ascii="Arial" w:hAnsi="Arial" w:cs="Arial"/>
          <w:sz w:val="20"/>
          <w:szCs w:val="20"/>
          <w:lang w:val="en-GB"/>
        </w:rPr>
        <w:t xml:space="preserve"> 4.0 online tools for metabolomics data. The fold change (CV/CF) was found to be significantly high in four of the</w:t>
      </w:r>
      <w:r w:rsidR="00AC7CB1" w:rsidRPr="00E47F58">
        <w:rPr>
          <w:rFonts w:ascii="Arial" w:hAnsi="Arial" w:cs="Arial"/>
          <w:sz w:val="20"/>
          <w:szCs w:val="20"/>
          <w:lang w:val="en-GB"/>
        </w:rPr>
        <w:t xml:space="preserve"> subjected metabolites. Table </w:t>
      </w:r>
      <w:r w:rsidRPr="00E47F58">
        <w:rPr>
          <w:rFonts w:ascii="Arial" w:hAnsi="Arial" w:cs="Arial"/>
          <w:sz w:val="20"/>
          <w:szCs w:val="20"/>
          <w:lang w:val="en-GB"/>
        </w:rPr>
        <w:t xml:space="preserve">4 show the NMR signal assignment for major biomarkers of immune improvement by </w:t>
      </w:r>
      <w:r w:rsidRPr="00E47F58">
        <w:rPr>
          <w:rFonts w:ascii="Arial" w:hAnsi="Arial" w:cs="Arial"/>
          <w:i/>
          <w:iCs/>
          <w:sz w:val="20"/>
          <w:szCs w:val="20"/>
          <w:lang w:val="en-GB"/>
        </w:rPr>
        <w:t>C. vulgaris</w:t>
      </w:r>
      <w:r w:rsidRPr="00E47F58">
        <w:rPr>
          <w:rFonts w:ascii="Arial" w:hAnsi="Arial" w:cs="Arial"/>
          <w:sz w:val="20"/>
          <w:szCs w:val="20"/>
          <w:lang w:val="en-GB"/>
        </w:rPr>
        <w:t xml:space="preserve"> with the highest FC, their fold change values and the associated metabolic pathway</w:t>
      </w:r>
      <w:r w:rsidR="0025262C">
        <w:rPr>
          <w:rFonts w:ascii="Arial" w:hAnsi="Arial" w:cs="Arial"/>
          <w:sz w:val="20"/>
          <w:szCs w:val="20"/>
          <w:lang w:val="en-GB"/>
        </w:rPr>
        <w:t xml:space="preserve">s on day 28 after 21 days of </w:t>
      </w:r>
      <w:r w:rsidR="0025262C" w:rsidRPr="0025262C">
        <w:rPr>
          <w:rFonts w:ascii="Arial" w:hAnsi="Arial" w:cs="Arial"/>
          <w:sz w:val="20"/>
          <w:szCs w:val="20"/>
          <w:highlight w:val="yellow"/>
          <w:lang w:val="en-GB"/>
        </w:rPr>
        <w:t>125</w:t>
      </w:r>
      <w:r w:rsidRPr="0025262C">
        <w:rPr>
          <w:rFonts w:ascii="Arial" w:hAnsi="Arial" w:cs="Arial"/>
          <w:sz w:val="20"/>
          <w:szCs w:val="20"/>
          <w:highlight w:val="yellow"/>
          <w:lang w:val="en-GB"/>
        </w:rPr>
        <w:t xml:space="preserve"> mg/kg</w:t>
      </w:r>
      <w:r w:rsidR="00AC7CB1" w:rsidRPr="0025262C">
        <w:rPr>
          <w:rFonts w:ascii="Arial" w:hAnsi="Arial" w:cs="Arial"/>
          <w:sz w:val="20"/>
          <w:szCs w:val="20"/>
          <w:highlight w:val="yellow"/>
          <w:lang w:val="en-GB"/>
        </w:rPr>
        <w:t xml:space="preserve"> </w:t>
      </w:r>
      <w:proofErr w:type="spellStart"/>
      <w:r w:rsidR="00AC7CB1" w:rsidRPr="0025262C">
        <w:rPr>
          <w:rFonts w:ascii="Arial" w:hAnsi="Arial" w:cs="Arial"/>
          <w:sz w:val="20"/>
          <w:szCs w:val="20"/>
          <w:highlight w:val="yellow"/>
          <w:lang w:val="en-GB"/>
        </w:rPr>
        <w:t>bw</w:t>
      </w:r>
      <w:proofErr w:type="spellEnd"/>
      <w:r w:rsidR="00AC7CB1" w:rsidRPr="00E47F58">
        <w:rPr>
          <w:rFonts w:ascii="Arial" w:hAnsi="Arial" w:cs="Arial"/>
          <w:sz w:val="20"/>
          <w:szCs w:val="20"/>
          <w:lang w:val="en-GB"/>
        </w:rPr>
        <w:t xml:space="preserve"> treatment. These compounds we</w:t>
      </w:r>
      <w:r w:rsidRPr="00E47F58">
        <w:rPr>
          <w:rFonts w:ascii="Arial" w:hAnsi="Arial" w:cs="Arial"/>
          <w:sz w:val="20"/>
          <w:szCs w:val="20"/>
          <w:lang w:val="en-GB"/>
        </w:rPr>
        <w:t>re palmitic acid, riboflavin, arginine and alanine with palmitic acid having the highest FC of more than 11 times in CV fish population as compared to CF.</w:t>
      </w:r>
    </w:p>
    <w:p w14:paraId="4112B770" w14:textId="77777777" w:rsidR="00EB6AE8" w:rsidRPr="00E47F58" w:rsidRDefault="00EB6AE8" w:rsidP="00EB6AE8">
      <w:pPr>
        <w:pStyle w:val="Caption"/>
        <w:keepNext/>
        <w:rPr>
          <w:rFonts w:ascii="Arial" w:hAnsi="Arial" w:cs="Arial"/>
          <w:sz w:val="20"/>
          <w:szCs w:val="20"/>
        </w:rPr>
      </w:pPr>
      <w:bookmarkStart w:id="44" w:name="_Toc50652953"/>
      <w:r w:rsidRPr="00E47F58">
        <w:rPr>
          <w:rFonts w:ascii="Arial" w:hAnsi="Arial" w:cs="Arial"/>
          <w:sz w:val="20"/>
          <w:szCs w:val="20"/>
        </w:rPr>
        <w:t>Table</w:t>
      </w:r>
      <w:r w:rsidR="00FB023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C. vulgaris </w:t>
      </w:r>
      <w:r w:rsidRPr="00E47F58">
        <w:rPr>
          <w:rFonts w:ascii="Arial" w:hAnsi="Arial" w:cs="Arial"/>
          <w:sz w:val="20"/>
          <w:szCs w:val="20"/>
        </w:rPr>
        <w:t>feeding (CV/CF)</w:t>
      </w:r>
      <w:bookmarkEnd w:id="44"/>
    </w:p>
    <w:p w14:paraId="06140986"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28463131" w14:textId="77777777" w:rsidTr="00E239F2">
        <w:trPr>
          <w:jc w:val="center"/>
        </w:trPr>
        <w:tc>
          <w:tcPr>
            <w:tcW w:w="1249" w:type="pct"/>
          </w:tcPr>
          <w:p w14:paraId="49BE18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1CB4F61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6550A11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61411B64"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(CV/CF)</w:t>
            </w:r>
          </w:p>
        </w:tc>
        <w:tc>
          <w:tcPr>
            <w:tcW w:w="1250" w:type="pct"/>
          </w:tcPr>
          <w:p w14:paraId="19C4A6F8"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1385FD07" w14:textId="77777777" w:rsidTr="00E239F2">
        <w:trPr>
          <w:jc w:val="center"/>
        </w:trPr>
        <w:tc>
          <w:tcPr>
            <w:tcW w:w="1249" w:type="pct"/>
          </w:tcPr>
          <w:p w14:paraId="27D9E80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tc>
        <w:tc>
          <w:tcPr>
            <w:tcW w:w="1250" w:type="pct"/>
          </w:tcPr>
          <w:p w14:paraId="6DA6924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0.74</w:t>
            </w:r>
          </w:p>
        </w:tc>
        <w:tc>
          <w:tcPr>
            <w:tcW w:w="1250" w:type="pct"/>
          </w:tcPr>
          <w:p w14:paraId="2A47A4A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11.554</w:t>
            </w:r>
          </w:p>
        </w:tc>
        <w:tc>
          <w:tcPr>
            <w:tcW w:w="1250" w:type="pct"/>
          </w:tcPr>
          <w:p w14:paraId="1984B7A5"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30997348" w14:textId="77777777" w:rsidTr="00E239F2">
        <w:trPr>
          <w:jc w:val="center"/>
        </w:trPr>
        <w:tc>
          <w:tcPr>
            <w:tcW w:w="1249" w:type="pct"/>
          </w:tcPr>
          <w:p w14:paraId="16489EF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Riboflavin</w:t>
            </w:r>
          </w:p>
        </w:tc>
        <w:tc>
          <w:tcPr>
            <w:tcW w:w="1250" w:type="pct"/>
          </w:tcPr>
          <w:p w14:paraId="7B07C7D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4.58</w:t>
            </w:r>
          </w:p>
        </w:tc>
        <w:tc>
          <w:tcPr>
            <w:tcW w:w="1250" w:type="pct"/>
          </w:tcPr>
          <w:p w14:paraId="7489857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6.5142</w:t>
            </w:r>
          </w:p>
        </w:tc>
        <w:tc>
          <w:tcPr>
            <w:tcW w:w="1250" w:type="pct"/>
          </w:tcPr>
          <w:p w14:paraId="5AD1759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Riboflavin metabolism</w:t>
            </w:r>
          </w:p>
        </w:tc>
      </w:tr>
      <w:tr w:rsidR="00EB6AE8" w:rsidRPr="00E47F58" w14:paraId="5658CF79" w14:textId="77777777" w:rsidTr="00E239F2">
        <w:trPr>
          <w:jc w:val="center"/>
        </w:trPr>
        <w:tc>
          <w:tcPr>
            <w:tcW w:w="1249" w:type="pct"/>
          </w:tcPr>
          <w:p w14:paraId="09E85EE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tc>
        <w:tc>
          <w:tcPr>
            <w:tcW w:w="1250" w:type="pct"/>
          </w:tcPr>
          <w:p w14:paraId="328EBF2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294739B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2.6196</w:t>
            </w:r>
          </w:p>
        </w:tc>
        <w:tc>
          <w:tcPr>
            <w:tcW w:w="1250" w:type="pct"/>
          </w:tcPr>
          <w:p w14:paraId="2C7D19F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161B62A6" w14:textId="77777777" w:rsidTr="00E239F2">
        <w:trPr>
          <w:jc w:val="center"/>
        </w:trPr>
        <w:tc>
          <w:tcPr>
            <w:tcW w:w="1249" w:type="pct"/>
          </w:tcPr>
          <w:p w14:paraId="281C332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Alanine</w:t>
            </w:r>
          </w:p>
        </w:tc>
        <w:tc>
          <w:tcPr>
            <w:tcW w:w="1250" w:type="pct"/>
          </w:tcPr>
          <w:p w14:paraId="5CE2D24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1.34</w:t>
            </w:r>
          </w:p>
        </w:tc>
        <w:tc>
          <w:tcPr>
            <w:tcW w:w="1250" w:type="pct"/>
          </w:tcPr>
          <w:p w14:paraId="04A9E4B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2.1184</w:t>
            </w:r>
          </w:p>
        </w:tc>
        <w:tc>
          <w:tcPr>
            <w:tcW w:w="1250" w:type="pct"/>
          </w:tcPr>
          <w:p w14:paraId="04B7B15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Alanine, aspartate and glutamate metabolism</w:t>
            </w:r>
          </w:p>
        </w:tc>
      </w:tr>
    </w:tbl>
    <w:p w14:paraId="33A44070" w14:textId="77777777" w:rsidR="00EB6AE8" w:rsidRPr="00E47F58" w:rsidRDefault="00EB6AE8" w:rsidP="00EB6AE8">
      <w:pPr>
        <w:pStyle w:val="j"/>
        <w:rPr>
          <w:rFonts w:ascii="Arial" w:hAnsi="Arial" w:cs="Arial"/>
          <w:sz w:val="20"/>
          <w:szCs w:val="20"/>
          <w:lang w:val="en-GB"/>
        </w:rPr>
      </w:pPr>
    </w:p>
    <w:p w14:paraId="3F48E320" w14:textId="77777777" w:rsidR="00EB6AE8" w:rsidRPr="00E47F58" w:rsidRDefault="00EB6AE8" w:rsidP="00EB6AE8">
      <w:pPr>
        <w:pStyle w:val="j"/>
        <w:rPr>
          <w:rFonts w:ascii="Arial" w:hAnsi="Arial" w:cs="Arial"/>
          <w:sz w:val="20"/>
          <w:szCs w:val="20"/>
          <w:lang w:val="en-GB"/>
        </w:rPr>
      </w:pPr>
    </w:p>
    <w:p w14:paraId="6A3E25AE" w14:textId="40C4ADF7" w:rsidR="00EB6AE8" w:rsidRPr="00E47F58" w:rsidRDefault="00EB6AE8" w:rsidP="00EB6AE8">
      <w:pPr>
        <w:pStyle w:val="single"/>
        <w:rPr>
          <w:rFonts w:ascii="Arial" w:hAnsi="Arial" w:cs="Arial"/>
          <w:bCs/>
          <w:sz w:val="20"/>
          <w:szCs w:val="20"/>
          <w:lang w:val="en-GB"/>
        </w:rPr>
      </w:pPr>
      <w:r w:rsidRPr="00E47F58">
        <w:rPr>
          <w:rFonts w:ascii="Arial" w:hAnsi="Arial" w:cs="Arial"/>
          <w:sz w:val="20"/>
          <w:szCs w:val="20"/>
          <w:lang w:val="en-GB"/>
        </w:rPr>
        <w:t>The high values of the FCs (CV/CF) in the m</w:t>
      </w:r>
      <w:r w:rsidR="00E239F2" w:rsidRPr="00E47F58">
        <w:rPr>
          <w:rFonts w:ascii="Arial" w:hAnsi="Arial" w:cs="Arial"/>
          <w:sz w:val="20"/>
          <w:szCs w:val="20"/>
          <w:lang w:val="en-GB"/>
        </w:rPr>
        <w:t xml:space="preserve">etabolites in Table </w:t>
      </w:r>
      <w:r w:rsidRPr="00E47F58">
        <w:rPr>
          <w:rFonts w:ascii="Arial" w:hAnsi="Arial" w:cs="Arial"/>
          <w:sz w:val="20"/>
          <w:szCs w:val="20"/>
          <w:lang w:val="en-GB"/>
        </w:rPr>
        <w:t xml:space="preserve">4 suggests that the 3 weeks treatment with </w:t>
      </w:r>
      <w:r w:rsidRPr="00E47F58">
        <w:rPr>
          <w:rFonts w:ascii="Arial" w:hAnsi="Arial" w:cs="Arial"/>
          <w:i/>
          <w:iCs/>
          <w:sz w:val="20"/>
          <w:szCs w:val="20"/>
          <w:lang w:val="en-GB"/>
        </w:rPr>
        <w:t xml:space="preserve">C. vulgaris </w:t>
      </w:r>
      <w:r w:rsidR="00E239F2" w:rsidRPr="00E47F58">
        <w:rPr>
          <w:rFonts w:ascii="Arial" w:hAnsi="Arial" w:cs="Arial"/>
          <w:sz w:val="20"/>
          <w:szCs w:val="20"/>
          <w:lang w:val="en-GB"/>
        </w:rPr>
        <w:t>indicated high</w:t>
      </w:r>
      <w:r w:rsidRPr="00E47F58">
        <w:rPr>
          <w:rFonts w:ascii="Arial" w:hAnsi="Arial" w:cs="Arial"/>
          <w:sz w:val="20"/>
          <w:szCs w:val="20"/>
          <w:lang w:val="en-GB"/>
        </w:rPr>
        <w:t xml:space="preserve"> significant improvement in the </w:t>
      </w:r>
      <w:r w:rsidR="00E239F2" w:rsidRPr="00E47F58">
        <w:rPr>
          <w:rFonts w:ascii="Arial" w:hAnsi="Arial" w:cs="Arial"/>
          <w:sz w:val="20"/>
          <w:szCs w:val="20"/>
          <w:lang w:val="en-GB"/>
        </w:rPr>
        <w:t>up regulation</w:t>
      </w:r>
      <w:r w:rsidRPr="00E47F58">
        <w:rPr>
          <w:rFonts w:ascii="Arial" w:hAnsi="Arial" w:cs="Arial"/>
          <w:sz w:val="20"/>
          <w:szCs w:val="20"/>
          <w:lang w:val="en-GB"/>
        </w:rPr>
        <w:t xml:space="preserve"> of important metabolites which were known to improve innate immunity in fish; </w:t>
      </w:r>
      <w:r w:rsidRPr="00E47F58">
        <w:rPr>
          <w:rFonts w:ascii="Arial" w:hAnsi="Arial" w:cs="Arial"/>
          <w:bCs/>
          <w:sz w:val="20"/>
          <w:szCs w:val="20"/>
          <w:lang w:val="en-GB"/>
        </w:rPr>
        <w:t xml:space="preserve">Intra cellular levels of many amino acids were reported to significantly enhanced, indicative of increased biosynthesis required for T-cells growth and proliferation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In addition, intracellular pools of fatty acids like palmitic acid, are also elevated, presumably acting as a pool to generate cell membranes suitable for immune cells proliferation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Thus, the levels of alanine, arginine and palmitic acid in this research, were noticed to greatly increase in the treated groups as compared to the control fish population. In addition, most member compounds from Krebs cycle (TCA cycle) especially the amino acids, their abundance is critically involved in inflammatory processes and immune responses of the cells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cells","type":"article-journal","volume":"7"},"uris":["http://www.mendeley.com/documents/?uuid=e5bd9657-c6cb-47d5-a82d-d3e1be3d1ff4","http://www.mendeley.com/documents/?uuid=eb005b79-f50a-4f1f-8a87-ef2a16b2ce6b"]}],"mendeley":{"formattedCitation":"(Alqarni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(Alqarni et al., 2019)</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w:t>
      </w:r>
    </w:p>
    <w:p w14:paraId="6D3862FE" w14:textId="2ABE72BA" w:rsidR="00EB6AE8" w:rsidRPr="00E47F58" w:rsidRDefault="00A60DD7" w:rsidP="00E47F58">
      <w:pPr>
        <w:pStyle w:val="Heading3"/>
        <w:rPr>
          <w:sz w:val="20"/>
          <w:szCs w:val="20"/>
          <w:lang w:val="en-GB"/>
        </w:rPr>
      </w:pPr>
      <w:bookmarkStart w:id="45" w:name="_Toc49955761"/>
      <w:bookmarkStart w:id="46" w:name="_Toc50652452"/>
      <w:r>
        <w:rPr>
          <w:sz w:val="20"/>
          <w:szCs w:val="20"/>
          <w:lang w:val="en-GB"/>
        </w:rPr>
        <w:t>3.</w:t>
      </w:r>
      <w:r w:rsidR="004B090C" w:rsidRPr="00E47F58">
        <w:rPr>
          <w:sz w:val="20"/>
          <w:szCs w:val="20"/>
          <w:lang w:val="en-GB"/>
        </w:rPr>
        <w:t>6</w:t>
      </w:r>
      <w:r w:rsidR="004B090C"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 xml:space="preserve">Streptococcus agalactiae </w:t>
      </w:r>
      <w:r w:rsidR="00EB6AE8" w:rsidRPr="00E47F58">
        <w:rPr>
          <w:sz w:val="20"/>
          <w:szCs w:val="20"/>
          <w:lang w:val="en-GB"/>
        </w:rPr>
        <w:t>bacteria on the experimental fish</w:t>
      </w:r>
      <w:bookmarkEnd w:id="45"/>
      <w:bookmarkEnd w:id="46"/>
    </w:p>
    <w:p w14:paraId="273AA1DC"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To evaluate the effect of the bacterial challenge on the experimental fish using MVA, spleen samples from control fish (CF) was plotted against spleen samples from control fish challenged (CFC) in an OPLS-DA score plot model</w:t>
      </w:r>
      <w:r w:rsidR="00DF376A" w:rsidRPr="00E47F58">
        <w:rPr>
          <w:rFonts w:ascii="Arial" w:hAnsi="Arial" w:cs="Arial"/>
          <w:sz w:val="20"/>
          <w:szCs w:val="20"/>
          <w:lang w:val="en-GB"/>
        </w:rPr>
        <w:t xml:space="preserve">. Figure </w:t>
      </w:r>
      <w:r w:rsidRPr="00E47F58">
        <w:rPr>
          <w:rFonts w:ascii="Arial" w:hAnsi="Arial" w:cs="Arial"/>
          <w:sz w:val="20"/>
          <w:szCs w:val="20"/>
          <w:lang w:val="en-GB"/>
        </w:rPr>
        <w:t>7A shows that there was clear obvious separation between CF and CFC as suggested by PC1, with great class discriminant statistical values of R2X and Q2 of 0.819 and  0.734 respectively, in which the PC1 explained a total variance of 27.4% and PC2 25.8%.</w:t>
      </w:r>
    </w:p>
    <w:p w14:paraId="0F604ADE"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most significant metabolites responsible for the variation of these two groups are shown in the S-plot</w:t>
      </w:r>
      <w:r w:rsidR="00DF376A" w:rsidRPr="00E47F58">
        <w:rPr>
          <w:rFonts w:ascii="Arial" w:hAnsi="Arial" w:cs="Arial"/>
          <w:sz w:val="20"/>
          <w:szCs w:val="20"/>
          <w:lang w:val="en-GB"/>
        </w:rPr>
        <w:t xml:space="preserve"> of the OPLS-DA model (Figure </w:t>
      </w:r>
      <w:r w:rsidRPr="00E47F58">
        <w:rPr>
          <w:rFonts w:ascii="Arial" w:hAnsi="Arial" w:cs="Arial"/>
          <w:sz w:val="20"/>
          <w:szCs w:val="20"/>
          <w:lang w:val="en-GB"/>
        </w:rPr>
        <w:t>7B).</w:t>
      </w:r>
    </w:p>
    <w:p w14:paraId="7C24E73C" w14:textId="77777777" w:rsidR="00151BFC" w:rsidRPr="00E47F58" w:rsidRDefault="004737B8" w:rsidP="00151BFC">
      <w:pPr>
        <w:pStyle w:val="Caption"/>
        <w:jc w:val="center"/>
        <w:rPr>
          <w:rFonts w:ascii="Arial" w:hAnsi="Arial" w:cs="Arial"/>
          <w:sz w:val="20"/>
          <w:szCs w:val="20"/>
        </w:rPr>
      </w:pPr>
      <w:bookmarkStart w:id="47" w:name="_Toc50653943"/>
      <w:r w:rsidRPr="00E47F58">
        <w:rPr>
          <w:rFonts w:ascii="Arial" w:hAnsi="Arial" w:cs="Arial"/>
          <w:noProof/>
          <w:sz w:val="20"/>
          <w:szCs w:val="20"/>
        </w:rPr>
        <w:lastRenderedPageBreak/>
        <w:drawing>
          <wp:inline distT="0" distB="0" distL="0" distR="0" wp14:anchorId="229F88CA" wp14:editId="5D4F7E3B">
            <wp:extent cx="4929277" cy="5844209"/>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350" r="9796" b="2475"/>
                    <a:stretch/>
                  </pic:blipFill>
                  <pic:spPr bwMode="auto">
                    <a:xfrm>
                      <a:off x="0" y="0"/>
                      <a:ext cx="4929799" cy="5844828"/>
                    </a:xfrm>
                    <a:prstGeom prst="rect">
                      <a:avLst/>
                    </a:prstGeom>
                    <a:noFill/>
                    <a:ln>
                      <a:noFill/>
                    </a:ln>
                    <a:extLst>
                      <a:ext uri="{53640926-AAD7-44D8-BBD7-CCE9431645EC}">
                        <a14:shadowObscured xmlns:a14="http://schemas.microsoft.com/office/drawing/2010/main"/>
                      </a:ext>
                    </a:extLst>
                  </pic:spPr>
                </pic:pic>
              </a:graphicData>
            </a:graphic>
          </wp:inline>
        </w:drawing>
      </w:r>
    </w:p>
    <w:p w14:paraId="2EC7D8AB" w14:textId="1EE10B25" w:rsidR="00EB6AE8" w:rsidRPr="00E47F58" w:rsidRDefault="00EB6AE8" w:rsidP="00EB6AE8">
      <w:pPr>
        <w:pStyle w:val="Caption"/>
        <w:rPr>
          <w:rFonts w:ascii="Arial" w:hAnsi="Arial" w:cs="Arial"/>
          <w:sz w:val="20"/>
          <w:szCs w:val="20"/>
        </w:rPr>
      </w:pPr>
      <w:r w:rsidRPr="00E47F58">
        <w:rPr>
          <w:rFonts w:ascii="Arial" w:hAnsi="Arial" w:cs="Arial"/>
          <w:sz w:val="20"/>
          <w:szCs w:val="20"/>
        </w:rPr>
        <w:t>Figure</w:t>
      </w:r>
      <w:r w:rsidR="00DF376A"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control fish challenged (CFC) and the control fish (CF) showing their variability by PC1, </w:t>
      </w:r>
      <w:r w:rsidRPr="00E47F58">
        <w:rPr>
          <w:rFonts w:ascii="Arial" w:hAnsi="Arial" w:cs="Arial"/>
          <w:sz w:val="20"/>
          <w:szCs w:val="20"/>
        </w:rPr>
        <w:t>B; O</w:t>
      </w:r>
      <w:r w:rsidRPr="00E47F58">
        <w:rPr>
          <w:rFonts w:ascii="Arial" w:hAnsi="Arial" w:cs="Arial"/>
          <w:sz w:val="20"/>
          <w:szCs w:val="20"/>
          <w:lang w:val="en-GB"/>
        </w:rPr>
        <w:t>PLS-DA S-plot showing metabolites which are greatly affected by the bacterial challenge and which contributed for the separation of CFC and CF by PC1</w:t>
      </w:r>
      <w:bookmarkEnd w:id="47"/>
      <w:r w:rsidR="0092566B">
        <w:rPr>
          <w:rFonts w:ascii="Arial" w:hAnsi="Arial" w:cs="Arial"/>
          <w:sz w:val="20"/>
          <w:szCs w:val="20"/>
          <w:lang w:val="en-GB"/>
        </w:rPr>
        <w:t xml:space="preserve"> </w:t>
      </w:r>
      <w:r w:rsidR="0092566B" w:rsidRPr="00507B49">
        <w:rPr>
          <w:rFonts w:ascii="Arial" w:hAnsi="Arial" w:cs="Arial"/>
          <w:sz w:val="20"/>
          <w:szCs w:val="20"/>
          <w:highlight w:val="yellow"/>
          <w:lang w:val="en-GB"/>
        </w:rPr>
        <w:t xml:space="preserve">and </w:t>
      </w:r>
      <w:r w:rsidR="0092566B">
        <w:rPr>
          <w:rFonts w:ascii="Arial" w:hAnsi="Arial" w:cs="Arial"/>
          <w:sz w:val="20"/>
          <w:szCs w:val="20"/>
          <w:highlight w:val="yellow"/>
          <w:lang w:val="en-GB"/>
        </w:rPr>
        <w:t xml:space="preserve">suggested </w:t>
      </w:r>
      <w:r w:rsidR="0092566B" w:rsidRPr="00507B49">
        <w:rPr>
          <w:rFonts w:ascii="Arial" w:hAnsi="Arial" w:cs="Arial"/>
          <w:sz w:val="20"/>
          <w:szCs w:val="20"/>
          <w:highlight w:val="yellow"/>
          <w:lang w:val="en-GB"/>
        </w:rPr>
        <w:t>up regulated/down regulated metabolites.</w:t>
      </w:r>
      <w:r w:rsidR="00151BFC" w:rsidRPr="00E47F58">
        <w:rPr>
          <w:rFonts w:ascii="Arial" w:hAnsi="Arial" w:cs="Arial"/>
          <w:sz w:val="20"/>
          <w:szCs w:val="20"/>
          <w:lang w:val="en-GB"/>
        </w:rPr>
        <w:t>.</w:t>
      </w:r>
    </w:p>
    <w:p w14:paraId="43CFD2F1" w14:textId="77777777" w:rsidR="00EB6AE8" w:rsidRPr="00E47F58" w:rsidRDefault="00EB6AE8" w:rsidP="00EB6AE8">
      <w:pPr>
        <w:pStyle w:val="j"/>
        <w:rPr>
          <w:rFonts w:ascii="Arial" w:hAnsi="Arial" w:cs="Arial"/>
          <w:sz w:val="20"/>
          <w:szCs w:val="20"/>
          <w:lang w:val="en-GB"/>
        </w:rPr>
      </w:pPr>
    </w:p>
    <w:p w14:paraId="16DC3195"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It can be deduced fr</w:t>
      </w:r>
      <w:r w:rsidR="00DF376A" w:rsidRPr="00E47F58">
        <w:rPr>
          <w:rFonts w:ascii="Arial" w:hAnsi="Arial" w:cs="Arial"/>
          <w:sz w:val="20"/>
          <w:szCs w:val="20"/>
          <w:lang w:val="en-GB"/>
        </w:rPr>
        <w:t xml:space="preserve">om figure </w:t>
      </w:r>
      <w:r w:rsidRPr="00E47F58">
        <w:rPr>
          <w:rFonts w:ascii="Arial" w:hAnsi="Arial" w:cs="Arial"/>
          <w:sz w:val="20"/>
          <w:szCs w:val="20"/>
          <w:lang w:val="en-GB"/>
        </w:rPr>
        <w:t xml:space="preserve">7B that most distinguishing metabolites between CF and CFC are found in the lower left quadrant of the S-plot. This indicate that most of the important distinguishing metabolites were significantly decreased as a result of bacterial challenge on the experimental fish. This can be viewed as a negative effect of bacterial challenge on </w:t>
      </w:r>
      <w:r w:rsidR="00DF376A" w:rsidRPr="00E47F58">
        <w:rPr>
          <w:rFonts w:ascii="Arial" w:hAnsi="Arial" w:cs="Arial"/>
          <w:sz w:val="20"/>
          <w:szCs w:val="20"/>
          <w:lang w:val="en-GB"/>
        </w:rPr>
        <w:t xml:space="preserve">experimental </w:t>
      </w:r>
      <w:r w:rsidRPr="00E47F58">
        <w:rPr>
          <w:rFonts w:ascii="Arial" w:hAnsi="Arial" w:cs="Arial"/>
          <w:sz w:val="20"/>
          <w:szCs w:val="20"/>
          <w:lang w:val="en-GB"/>
        </w:rPr>
        <w:t>tilapia fish.</w:t>
      </w:r>
    </w:p>
    <w:p w14:paraId="1866E64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metabolites which made the criteria for VIP due to bacterial challenge on the experimental fish in decreasing order of VIP values include oleic acid, histamine, valine, glucose, choline, alanine, palmitic acid, isoleucine, taurine, glycine, glycolate, proline, arginine, methionine, linoleic acid, glutamic acid, leucine, stearic acid, linolenic acid, creatine and riboflavin. These VIP metabolites which play the most important role in discriminating CFC from CF were also subjected to metabolite fold change assessment to investigate </w:t>
      </w:r>
      <w:r w:rsidRPr="00E47F58">
        <w:rPr>
          <w:rFonts w:ascii="Arial" w:hAnsi="Arial" w:cs="Arial"/>
          <w:sz w:val="20"/>
          <w:szCs w:val="20"/>
          <w:lang w:val="en-GB"/>
        </w:rPr>
        <w:lastRenderedPageBreak/>
        <w:t>their regulation as a</w:t>
      </w:r>
      <w:r w:rsidR="00DF376A" w:rsidRPr="00E47F58">
        <w:rPr>
          <w:rFonts w:ascii="Arial" w:hAnsi="Arial" w:cs="Arial"/>
          <w:sz w:val="20"/>
          <w:szCs w:val="20"/>
          <w:lang w:val="en-GB"/>
        </w:rPr>
        <w:t xml:space="preserve"> result of bacterial challenge. </w:t>
      </w:r>
      <w:r w:rsidRPr="00E47F58">
        <w:rPr>
          <w:rFonts w:ascii="Arial" w:hAnsi="Arial" w:cs="Arial"/>
          <w:sz w:val="20"/>
          <w:szCs w:val="20"/>
          <w:lang w:val="en-GB"/>
        </w:rPr>
        <w:t xml:space="preserve">The metabolite fold change as a result of bacterial challenge in control fish (CF/CFC) was found to be significantly high with five of the VIP metabolites. Table 5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xml:space="preserve"> with the highest FC, their fold change values and the associated metabolic pathways on day 28 after 7 days of bacterial challenge with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w:t>
      </w:r>
      <w:r w:rsidRPr="00E47F58">
        <w:rPr>
          <w:rFonts w:ascii="Arial" w:hAnsi="Arial" w:cs="Arial"/>
          <w:i/>
          <w:iCs/>
          <w:sz w:val="20"/>
          <w:szCs w:val="20"/>
          <w:lang w:val="en-GB"/>
        </w:rPr>
        <w:t>S. agalactiae</w:t>
      </w:r>
      <w:r w:rsidRPr="00E47F58">
        <w:rPr>
          <w:rFonts w:ascii="Arial" w:hAnsi="Arial" w:cs="Arial"/>
          <w:sz w:val="20"/>
          <w:szCs w:val="20"/>
          <w:lang w:val="en-GB"/>
        </w:rPr>
        <w:t>. These compounds are linoleic acid, stearic acid, arginine, palmitic acid and linolenic acid with a high</w:t>
      </w:r>
      <w:r w:rsidR="00E40B22" w:rsidRPr="00E47F58">
        <w:rPr>
          <w:rFonts w:ascii="Arial" w:hAnsi="Arial" w:cs="Arial"/>
          <w:sz w:val="20"/>
          <w:szCs w:val="20"/>
          <w:lang w:val="en-GB"/>
        </w:rPr>
        <w:t>est</w:t>
      </w:r>
      <w:r w:rsidRPr="00E47F58">
        <w:rPr>
          <w:rFonts w:ascii="Arial" w:hAnsi="Arial" w:cs="Arial"/>
          <w:sz w:val="20"/>
          <w:szCs w:val="20"/>
          <w:lang w:val="en-GB"/>
        </w:rPr>
        <w:t xml:space="preserve"> down</w:t>
      </w:r>
      <w:r w:rsidR="00E40B22" w:rsidRPr="00E47F58">
        <w:rPr>
          <w:rFonts w:ascii="Arial" w:hAnsi="Arial" w:cs="Arial"/>
          <w:sz w:val="20"/>
          <w:szCs w:val="20"/>
          <w:lang w:val="en-GB"/>
        </w:rPr>
        <w:t xml:space="preserve"> </w:t>
      </w:r>
      <w:r w:rsidRPr="00E47F58">
        <w:rPr>
          <w:rFonts w:ascii="Arial" w:hAnsi="Arial" w:cs="Arial"/>
          <w:sz w:val="20"/>
          <w:szCs w:val="20"/>
          <w:lang w:val="en-GB"/>
        </w:rPr>
        <w:t>regulation in linoleic acid level of more than 33 times in CFC due to the bacterial chall</w:t>
      </w:r>
      <w:r w:rsidR="00E40B22" w:rsidRPr="00E47F58">
        <w:rPr>
          <w:rFonts w:ascii="Arial" w:hAnsi="Arial" w:cs="Arial"/>
          <w:sz w:val="20"/>
          <w:szCs w:val="20"/>
          <w:lang w:val="en-GB"/>
        </w:rPr>
        <w:t xml:space="preserve">enge as compared to CF (Table </w:t>
      </w:r>
      <w:r w:rsidRPr="00E47F58">
        <w:rPr>
          <w:rFonts w:ascii="Arial" w:hAnsi="Arial" w:cs="Arial"/>
          <w:sz w:val="20"/>
          <w:szCs w:val="20"/>
          <w:lang w:val="en-GB"/>
        </w:rPr>
        <w:t>5).</w:t>
      </w:r>
    </w:p>
    <w:p w14:paraId="3E9D7176" w14:textId="77777777" w:rsidR="00EB6AE8" w:rsidRPr="00E47F58" w:rsidRDefault="00EB6AE8" w:rsidP="00EB6AE8">
      <w:pPr>
        <w:pStyle w:val="Caption"/>
        <w:keepNext/>
        <w:rPr>
          <w:rFonts w:ascii="Arial" w:hAnsi="Arial" w:cs="Arial"/>
          <w:sz w:val="20"/>
          <w:szCs w:val="20"/>
        </w:rPr>
      </w:pPr>
      <w:bookmarkStart w:id="48" w:name="_Toc50652954"/>
      <w:r w:rsidRPr="00E47F58">
        <w:rPr>
          <w:rFonts w:ascii="Arial" w:hAnsi="Arial" w:cs="Arial"/>
          <w:sz w:val="20"/>
          <w:szCs w:val="20"/>
        </w:rPr>
        <w:t>Table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S. agalactiae </w:t>
      </w:r>
      <w:r w:rsidRPr="00E47F58">
        <w:rPr>
          <w:rFonts w:ascii="Arial" w:hAnsi="Arial" w:cs="Arial"/>
          <w:sz w:val="20"/>
          <w:szCs w:val="20"/>
        </w:rPr>
        <w:t>challenge on control fish</w:t>
      </w:r>
      <w:bookmarkEnd w:id="48"/>
    </w:p>
    <w:p w14:paraId="391687C5"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0B2CEDFA" w14:textId="77777777" w:rsidTr="00E40B22">
        <w:trPr>
          <w:jc w:val="center"/>
        </w:trPr>
        <w:tc>
          <w:tcPr>
            <w:tcW w:w="1249" w:type="pct"/>
          </w:tcPr>
          <w:p w14:paraId="30636A7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70F8C95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13504A6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A43DFFD"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250" w:type="pct"/>
          </w:tcPr>
          <w:p w14:paraId="68F49CB6"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5B23785A" w14:textId="77777777" w:rsidTr="00E40B22">
        <w:trPr>
          <w:jc w:val="center"/>
        </w:trPr>
        <w:tc>
          <w:tcPr>
            <w:tcW w:w="1249" w:type="pct"/>
          </w:tcPr>
          <w:p w14:paraId="55B24CF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343F5B99"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7DA9DB7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0.78</w:t>
            </w:r>
          </w:p>
        </w:tc>
        <w:tc>
          <w:tcPr>
            <w:tcW w:w="1250" w:type="pct"/>
          </w:tcPr>
          <w:p w14:paraId="7854563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567D5A6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202A93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5D197E3A" w14:textId="77777777" w:rsidTr="00E40B22">
        <w:trPr>
          <w:jc w:val="center"/>
        </w:trPr>
        <w:tc>
          <w:tcPr>
            <w:tcW w:w="1249" w:type="pct"/>
          </w:tcPr>
          <w:p w14:paraId="7ACD03D0"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26182AB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082B748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1.14</w:t>
            </w:r>
          </w:p>
        </w:tc>
        <w:tc>
          <w:tcPr>
            <w:tcW w:w="1250" w:type="pct"/>
          </w:tcPr>
          <w:p w14:paraId="0622A5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7A37EC1E"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E6A3F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60EA612F" w14:textId="77777777" w:rsidTr="00E40B22">
        <w:trPr>
          <w:jc w:val="center"/>
        </w:trPr>
        <w:tc>
          <w:tcPr>
            <w:tcW w:w="1249" w:type="pct"/>
          </w:tcPr>
          <w:p w14:paraId="360C619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p w14:paraId="1409CF7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5769566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7F25B55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3.2914</w:t>
            </w:r>
          </w:p>
          <w:p w14:paraId="64ABB73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AA0410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45A60F44" w14:textId="77777777" w:rsidTr="00E40B22">
        <w:trPr>
          <w:jc w:val="center"/>
        </w:trPr>
        <w:tc>
          <w:tcPr>
            <w:tcW w:w="1249" w:type="pct"/>
          </w:tcPr>
          <w:p w14:paraId="1A9F2D28"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67940C4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35A7FB33"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0.90</w:t>
            </w:r>
          </w:p>
        </w:tc>
        <w:tc>
          <w:tcPr>
            <w:tcW w:w="1250" w:type="pct"/>
          </w:tcPr>
          <w:p w14:paraId="085CB397"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67625616"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28D669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Amino acid metabolism</w:t>
            </w:r>
          </w:p>
        </w:tc>
      </w:tr>
      <w:tr w:rsidR="00EB6AE8" w:rsidRPr="00E47F58" w14:paraId="661CF923" w14:textId="77777777" w:rsidTr="00E40B22">
        <w:trPr>
          <w:jc w:val="center"/>
        </w:trPr>
        <w:tc>
          <w:tcPr>
            <w:tcW w:w="1249" w:type="pct"/>
          </w:tcPr>
          <w:p w14:paraId="0EA47E1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57852E43"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2B4CA3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1.10</w:t>
            </w:r>
          </w:p>
        </w:tc>
        <w:tc>
          <w:tcPr>
            <w:tcW w:w="1250" w:type="pct"/>
          </w:tcPr>
          <w:p w14:paraId="361F78BC"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70679DC2"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521C170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l-GR"/>
              </w:rPr>
              <w:t>α</w:t>
            </w:r>
            <w:r w:rsidRPr="00E47F58">
              <w:rPr>
                <w:rFonts w:ascii="Arial" w:hAnsi="Arial" w:cs="Arial"/>
                <w:color w:val="000000" w:themeColor="text1"/>
                <w:lang w:val="en-SG"/>
              </w:rPr>
              <w:t>-Linolenic acid</w:t>
            </w:r>
          </w:p>
          <w:p w14:paraId="1AAC7BF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metabolism</w:t>
            </w:r>
          </w:p>
        </w:tc>
      </w:tr>
    </w:tbl>
    <w:p w14:paraId="008EB352" w14:textId="77777777" w:rsidR="00EB6AE8" w:rsidRPr="00E47F58" w:rsidRDefault="00EB6AE8" w:rsidP="00EB6AE8">
      <w:pPr>
        <w:pStyle w:val="j"/>
        <w:rPr>
          <w:rFonts w:ascii="Arial" w:hAnsi="Arial" w:cs="Arial"/>
          <w:sz w:val="20"/>
          <w:szCs w:val="20"/>
          <w:lang w:val="en-GB"/>
        </w:rPr>
      </w:pPr>
    </w:p>
    <w:p w14:paraId="7D821113" w14:textId="77777777" w:rsidR="00EB6AE8" w:rsidRPr="00E47F58" w:rsidRDefault="00EB6AE8" w:rsidP="00EB6AE8">
      <w:pPr>
        <w:pStyle w:val="j"/>
        <w:rPr>
          <w:rFonts w:ascii="Arial" w:hAnsi="Arial" w:cs="Arial"/>
          <w:sz w:val="20"/>
          <w:szCs w:val="20"/>
          <w:lang w:val="en-GB"/>
        </w:rPr>
      </w:pPr>
    </w:p>
    <w:p w14:paraId="01D600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high fold ch</w:t>
      </w:r>
      <w:r w:rsidR="00E40B22" w:rsidRPr="00E47F58">
        <w:rPr>
          <w:rFonts w:ascii="Arial" w:hAnsi="Arial" w:cs="Arial"/>
          <w:sz w:val="20"/>
          <w:szCs w:val="20"/>
          <w:lang w:val="en-GB"/>
        </w:rPr>
        <w:t xml:space="preserve">ange values (CF/CFC) in Table </w:t>
      </w:r>
      <w:r w:rsidRPr="00E47F58">
        <w:rPr>
          <w:rFonts w:ascii="Arial" w:hAnsi="Arial" w:cs="Arial"/>
          <w:sz w:val="20"/>
          <w:szCs w:val="20"/>
          <w:lang w:val="en-GB"/>
        </w:rPr>
        <w:t xml:space="preserve">5 which represent extreme </w:t>
      </w:r>
      <w:r w:rsidR="00E40B22" w:rsidRPr="00E47F58">
        <w:rPr>
          <w:rFonts w:ascii="Arial" w:hAnsi="Arial" w:cs="Arial"/>
          <w:sz w:val="20"/>
          <w:szCs w:val="20"/>
          <w:lang w:val="en-GB"/>
        </w:rPr>
        <w:t>down regulation</w:t>
      </w:r>
      <w:r w:rsidRPr="00E47F58">
        <w:rPr>
          <w:rFonts w:ascii="Arial" w:hAnsi="Arial" w:cs="Arial"/>
          <w:sz w:val="20"/>
          <w:szCs w:val="20"/>
          <w:lang w:val="en-GB"/>
        </w:rPr>
        <w:t xml:space="preserve"> of the corresponding metabolites in control fish as a result of bacterial challenge is an indication of severe negative effects of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bacteria on the control fish. This effect was seen to be negligible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prior to bacterial challenge as discussed below.</w:t>
      </w:r>
    </w:p>
    <w:p w14:paraId="09D4E12F" w14:textId="3B0C9075" w:rsidR="00EB6AE8" w:rsidRPr="00E47F58" w:rsidRDefault="00A60DD7" w:rsidP="00E47F58">
      <w:pPr>
        <w:pStyle w:val="Heading3"/>
        <w:rPr>
          <w:sz w:val="20"/>
          <w:szCs w:val="20"/>
          <w:lang w:val="en-GB"/>
        </w:rPr>
      </w:pPr>
      <w:bookmarkStart w:id="49" w:name="_Toc49955762"/>
      <w:bookmarkStart w:id="50" w:name="_Toc50652453"/>
      <w:r>
        <w:rPr>
          <w:sz w:val="20"/>
          <w:szCs w:val="20"/>
          <w:lang w:val="en-GB"/>
        </w:rPr>
        <w:t>3.</w:t>
      </w:r>
      <w:r w:rsidR="004B090C" w:rsidRPr="00E47F58">
        <w:rPr>
          <w:sz w:val="20"/>
          <w:szCs w:val="20"/>
          <w:lang w:val="en-GB"/>
        </w:rPr>
        <w:t>7</w:t>
      </w:r>
      <w:r w:rsidR="004B090C" w:rsidRPr="00E47F58">
        <w:rPr>
          <w:sz w:val="20"/>
          <w:szCs w:val="20"/>
          <w:lang w:val="en-GB"/>
        </w:rPr>
        <w:tab/>
      </w:r>
      <w:r w:rsidR="00EB6AE8" w:rsidRPr="00E47F58">
        <w:rPr>
          <w:sz w:val="20"/>
          <w:szCs w:val="20"/>
          <w:lang w:val="en-GB"/>
        </w:rPr>
        <w:t>Effect of Streptococcus agalactiae bacteria on Chlorella vulgaris fed fish</w:t>
      </w:r>
      <w:bookmarkEnd w:id="49"/>
      <w:bookmarkEnd w:id="50"/>
    </w:p>
    <w:p w14:paraId="46CF8F8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Challenging the immunity of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with the bacteria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gives an insight to whether the improved innate immunity was sustained and prevent the occurrence of bacterial infection. This was achieved via the assessment of metabolites fold changes in the bacterial challenged </w:t>
      </w:r>
      <w:r w:rsidRPr="00E47F58">
        <w:rPr>
          <w:rFonts w:ascii="Arial" w:hAnsi="Arial" w:cs="Arial"/>
          <w:i/>
          <w:iCs/>
          <w:sz w:val="20"/>
          <w:szCs w:val="20"/>
          <w:lang w:val="en-GB"/>
        </w:rPr>
        <w:t>C. vulgaris</w:t>
      </w:r>
      <w:r w:rsidRPr="00E47F58">
        <w:rPr>
          <w:rFonts w:ascii="Arial" w:hAnsi="Arial" w:cs="Arial"/>
          <w:sz w:val="20"/>
          <w:szCs w:val="20"/>
          <w:lang w:val="en-GB"/>
        </w:rPr>
        <w:t xml:space="preserve"> fed fish (CVC) as compared to </w:t>
      </w:r>
      <w:r w:rsidRPr="00E47F58">
        <w:rPr>
          <w:rFonts w:ascii="Arial" w:hAnsi="Arial" w:cs="Arial"/>
          <w:i/>
          <w:iCs/>
          <w:sz w:val="20"/>
          <w:szCs w:val="20"/>
          <w:lang w:val="en-GB"/>
        </w:rPr>
        <w:t xml:space="preserve">C. vulgaris </w:t>
      </w:r>
      <w:r w:rsidRPr="00E47F58">
        <w:rPr>
          <w:rFonts w:ascii="Arial" w:hAnsi="Arial" w:cs="Arial"/>
          <w:sz w:val="20"/>
          <w:szCs w:val="20"/>
          <w:lang w:val="en-GB"/>
        </w:rPr>
        <w:t>(CV)</w:t>
      </w:r>
      <w:r w:rsidRPr="00E47F58">
        <w:rPr>
          <w:rFonts w:ascii="Arial" w:hAnsi="Arial" w:cs="Arial"/>
          <w:i/>
          <w:iCs/>
          <w:sz w:val="20"/>
          <w:szCs w:val="20"/>
          <w:lang w:val="en-GB"/>
        </w:rPr>
        <w:t xml:space="preserve"> </w:t>
      </w:r>
      <w:r w:rsidRPr="00E47F58">
        <w:rPr>
          <w:rFonts w:ascii="Arial" w:hAnsi="Arial" w:cs="Arial"/>
          <w:sz w:val="20"/>
          <w:szCs w:val="20"/>
          <w:lang w:val="en-GB"/>
        </w:rPr>
        <w:t>fed fish without bacterial challenge. An OPLS-DA score plot of CV and CVC shows that there are maximum variations between the two groups suggested by th</w:t>
      </w:r>
      <w:r w:rsidR="00E40B22" w:rsidRPr="00E47F58">
        <w:rPr>
          <w:rFonts w:ascii="Arial" w:hAnsi="Arial" w:cs="Arial"/>
          <w:sz w:val="20"/>
          <w:szCs w:val="20"/>
          <w:lang w:val="en-GB"/>
        </w:rPr>
        <w:t>eir separation by PC1 (Figure 8A). Figure 8</w:t>
      </w:r>
      <w:r w:rsidRPr="00E47F58">
        <w:rPr>
          <w:rFonts w:ascii="Arial" w:hAnsi="Arial" w:cs="Arial"/>
          <w:sz w:val="20"/>
          <w:szCs w:val="20"/>
          <w:lang w:val="en-GB"/>
        </w:rPr>
        <w:t xml:space="preserve">A shows the variation between CV and CVC in an </w:t>
      </w:r>
      <w:r w:rsidR="00E40B22" w:rsidRPr="00E47F58">
        <w:rPr>
          <w:rFonts w:ascii="Arial" w:hAnsi="Arial" w:cs="Arial"/>
          <w:sz w:val="20"/>
          <w:szCs w:val="20"/>
          <w:lang w:val="en-GB"/>
        </w:rPr>
        <w:t xml:space="preserve">OPLS-DA score plot and Figure </w:t>
      </w:r>
      <w:r w:rsidRPr="00E47F58">
        <w:rPr>
          <w:rFonts w:ascii="Arial" w:hAnsi="Arial" w:cs="Arial"/>
          <w:sz w:val="20"/>
          <w:szCs w:val="20"/>
          <w:lang w:val="en-GB"/>
        </w:rPr>
        <w:t>8B shows the regulated metabolites responsible for their separation by PC1 in an S-plot. The model exhibited a high fitness, R2X of 0.709 and predictability, Q2 of 0.835 in which the PC1 explained a total variance of 35.7% and PC2 35.1%.</w:t>
      </w:r>
    </w:p>
    <w:p w14:paraId="23C3365C" w14:textId="77777777" w:rsidR="00EB6AE8" w:rsidRPr="00E47F58" w:rsidRDefault="00151BFC" w:rsidP="00151BFC">
      <w:pPr>
        <w:spacing w:after="0" w:line="240" w:lineRule="auto"/>
        <w:jc w:val="center"/>
        <w:rPr>
          <w:rFonts w:ascii="Arial" w:hAnsi="Arial" w:cs="Arial"/>
          <w:color w:val="000000" w:themeColor="text1"/>
          <w:sz w:val="20"/>
          <w:szCs w:val="20"/>
          <w:lang w:val="en-GB"/>
        </w:rPr>
      </w:pPr>
      <w:r w:rsidRPr="00E47F58">
        <w:rPr>
          <w:rFonts w:ascii="Arial" w:hAnsi="Arial" w:cs="Arial"/>
          <w:noProof/>
          <w:color w:val="000000" w:themeColor="text1"/>
          <w:sz w:val="20"/>
          <w:szCs w:val="20"/>
        </w:rPr>
        <w:lastRenderedPageBreak/>
        <w:drawing>
          <wp:inline distT="0" distB="0" distL="0" distR="0" wp14:anchorId="4DAA76E6" wp14:editId="1FA02AC0">
            <wp:extent cx="4818242" cy="5811881"/>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srcRect l="7492" r="11434" b="3046"/>
                    <a:stretch/>
                  </pic:blipFill>
                  <pic:spPr bwMode="auto">
                    <a:xfrm>
                      <a:off x="0" y="0"/>
                      <a:ext cx="4818675" cy="5812403"/>
                    </a:xfrm>
                    <a:prstGeom prst="rect">
                      <a:avLst/>
                    </a:prstGeom>
                    <a:ln>
                      <a:noFill/>
                    </a:ln>
                    <a:extLst>
                      <a:ext uri="{53640926-AAD7-44D8-BBD7-CCE9431645EC}">
                        <a14:shadowObscured xmlns:a14="http://schemas.microsoft.com/office/drawing/2010/main"/>
                      </a:ext>
                    </a:extLst>
                  </pic:spPr>
                </pic:pic>
              </a:graphicData>
            </a:graphic>
          </wp:inline>
        </w:drawing>
      </w:r>
    </w:p>
    <w:p w14:paraId="130934AD" w14:textId="4C7C51C0" w:rsidR="00EB6AE8" w:rsidRPr="00E47F58" w:rsidRDefault="00EB6AE8" w:rsidP="00EB6AE8">
      <w:pPr>
        <w:pStyle w:val="Caption"/>
        <w:rPr>
          <w:rFonts w:ascii="Arial" w:hAnsi="Arial" w:cs="Arial"/>
          <w:sz w:val="20"/>
          <w:szCs w:val="20"/>
          <w:lang w:val="en-GB"/>
        </w:rPr>
      </w:pPr>
      <w:bookmarkStart w:id="51" w:name="_Toc50653944"/>
      <w:r w:rsidRPr="00E47F58">
        <w:rPr>
          <w:rFonts w:ascii="Arial" w:hAnsi="Arial" w:cs="Arial"/>
          <w:sz w:val="20"/>
          <w:szCs w:val="20"/>
        </w:rPr>
        <w:t>Figure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8</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w:t>
      </w:r>
      <w:r w:rsidRPr="00E47F58">
        <w:rPr>
          <w:rFonts w:ascii="Arial" w:hAnsi="Arial" w:cs="Arial"/>
          <w:i/>
          <w:iCs/>
          <w:sz w:val="20"/>
          <w:szCs w:val="20"/>
          <w:lang w:val="en-GB"/>
        </w:rPr>
        <w:t>C. vulgaris</w:t>
      </w:r>
      <w:r w:rsidRPr="00E47F58">
        <w:rPr>
          <w:rFonts w:ascii="Arial" w:hAnsi="Arial" w:cs="Arial"/>
          <w:sz w:val="20"/>
          <w:szCs w:val="20"/>
          <w:lang w:val="en-GB"/>
        </w:rPr>
        <w:t xml:space="preserve"> (CV) fed fish and the </w:t>
      </w:r>
      <w:r w:rsidRPr="00E47F58">
        <w:rPr>
          <w:rFonts w:ascii="Arial" w:hAnsi="Arial" w:cs="Arial"/>
          <w:i/>
          <w:iCs/>
          <w:sz w:val="20"/>
          <w:szCs w:val="20"/>
          <w:lang w:val="en-GB"/>
        </w:rPr>
        <w:t>C. vulgaris</w:t>
      </w:r>
      <w:r w:rsidRPr="00E47F58">
        <w:rPr>
          <w:rFonts w:ascii="Arial" w:hAnsi="Arial" w:cs="Arial"/>
          <w:sz w:val="20"/>
          <w:szCs w:val="20"/>
          <w:lang w:val="en-GB"/>
        </w:rPr>
        <w:t xml:space="preserve"> challenged fish (CVC) showing their variability by PC1, </w:t>
      </w:r>
      <w:r w:rsidRPr="00E47F58">
        <w:rPr>
          <w:rFonts w:ascii="Arial" w:hAnsi="Arial" w:cs="Arial"/>
          <w:sz w:val="20"/>
          <w:szCs w:val="20"/>
        </w:rPr>
        <w:t>B; O</w:t>
      </w:r>
      <w:r w:rsidRPr="00E47F58">
        <w:rPr>
          <w:rFonts w:ascii="Arial" w:hAnsi="Arial" w:cs="Arial"/>
          <w:sz w:val="20"/>
          <w:szCs w:val="20"/>
          <w:lang w:val="en-GB"/>
        </w:rPr>
        <w:t>PLS-DA S-plot showing regulated metabolites which contributed for the separation of CV and CVC by PC1</w:t>
      </w:r>
      <w:bookmarkEnd w:id="51"/>
      <w:r w:rsidR="0092566B">
        <w:rPr>
          <w:rFonts w:ascii="Arial" w:hAnsi="Arial" w:cs="Arial"/>
          <w:sz w:val="20"/>
          <w:szCs w:val="20"/>
          <w:lang w:val="en-GB"/>
        </w:rPr>
        <w:t xml:space="preserve"> </w:t>
      </w:r>
      <w:r w:rsidR="0092566B" w:rsidRPr="00507B49">
        <w:rPr>
          <w:rFonts w:ascii="Arial" w:hAnsi="Arial" w:cs="Arial"/>
          <w:sz w:val="20"/>
          <w:szCs w:val="20"/>
          <w:highlight w:val="yellow"/>
          <w:lang w:val="en-GB"/>
        </w:rPr>
        <w:t xml:space="preserve">and </w:t>
      </w:r>
      <w:r w:rsidR="0092566B">
        <w:rPr>
          <w:rFonts w:ascii="Arial" w:hAnsi="Arial" w:cs="Arial"/>
          <w:sz w:val="20"/>
          <w:szCs w:val="20"/>
          <w:highlight w:val="yellow"/>
          <w:lang w:val="en-GB"/>
        </w:rPr>
        <w:t xml:space="preserve">suggested </w:t>
      </w:r>
      <w:r w:rsidR="0092566B" w:rsidRPr="00507B49">
        <w:rPr>
          <w:rFonts w:ascii="Arial" w:hAnsi="Arial" w:cs="Arial"/>
          <w:sz w:val="20"/>
          <w:szCs w:val="20"/>
          <w:highlight w:val="yellow"/>
          <w:lang w:val="en-GB"/>
        </w:rPr>
        <w:t>up regulated/down regulated metabolites.</w:t>
      </w:r>
      <w:r w:rsidR="00FA3541" w:rsidRPr="00E47F58">
        <w:rPr>
          <w:rFonts w:ascii="Arial" w:hAnsi="Arial" w:cs="Arial"/>
          <w:sz w:val="20"/>
          <w:szCs w:val="20"/>
          <w:lang w:val="en-GB"/>
        </w:rPr>
        <w:t>.</w:t>
      </w:r>
    </w:p>
    <w:p w14:paraId="63368EBD" w14:textId="77777777" w:rsidR="00FA3541" w:rsidRPr="00E47F58" w:rsidRDefault="00FA3541" w:rsidP="00FA3541">
      <w:pPr>
        <w:rPr>
          <w:rFonts w:ascii="Arial" w:hAnsi="Arial" w:cs="Arial"/>
          <w:sz w:val="20"/>
          <w:szCs w:val="20"/>
          <w:lang w:val="en-GB"/>
        </w:rPr>
      </w:pPr>
    </w:p>
    <w:p w14:paraId="3F0EC3D9" w14:textId="42A0F685" w:rsidR="00EB6AE8" w:rsidRPr="00E47F58" w:rsidRDefault="00FA3541" w:rsidP="00EB6AE8">
      <w:pPr>
        <w:pStyle w:val="single"/>
        <w:rPr>
          <w:rFonts w:ascii="Arial" w:hAnsi="Arial" w:cs="Arial"/>
          <w:sz w:val="20"/>
          <w:szCs w:val="20"/>
          <w:lang w:val="en-GB"/>
        </w:rPr>
      </w:pPr>
      <w:r w:rsidRPr="00E47F58">
        <w:rPr>
          <w:rFonts w:ascii="Arial" w:hAnsi="Arial" w:cs="Arial"/>
          <w:sz w:val="20"/>
          <w:szCs w:val="20"/>
          <w:lang w:val="en-GB"/>
        </w:rPr>
        <w:t xml:space="preserve">From Figure </w:t>
      </w:r>
      <w:r w:rsidR="00EB6AE8" w:rsidRPr="00E47F58">
        <w:rPr>
          <w:rFonts w:ascii="Arial" w:hAnsi="Arial" w:cs="Arial"/>
          <w:sz w:val="20"/>
          <w:szCs w:val="20"/>
          <w:lang w:val="en-GB"/>
        </w:rPr>
        <w:t xml:space="preserve">8B, it is obvious that most of the metabolites that were altered as a result of bacterial challenge on fish initially fed with </w:t>
      </w:r>
      <w:r w:rsidR="00EB6AE8" w:rsidRPr="00E47F58">
        <w:rPr>
          <w:rFonts w:ascii="Arial" w:hAnsi="Arial" w:cs="Arial"/>
          <w:i/>
          <w:iCs/>
          <w:sz w:val="20"/>
          <w:szCs w:val="20"/>
          <w:lang w:val="en-GB"/>
        </w:rPr>
        <w:t>C. vulgaris</w:t>
      </w:r>
      <w:r w:rsidR="00EB6AE8" w:rsidRPr="00E47F58">
        <w:rPr>
          <w:rFonts w:ascii="Arial" w:hAnsi="Arial" w:cs="Arial"/>
          <w:sz w:val="20"/>
          <w:szCs w:val="20"/>
          <w:lang w:val="en-GB"/>
        </w:rPr>
        <w:t>, are in the upper-right quadrant of the S-plot with few in the lower-left quadrant. The result suggests that most of the discriminating metabolites were up</w:t>
      </w:r>
      <w:r w:rsidRPr="00E47F58">
        <w:rPr>
          <w:rFonts w:ascii="Arial" w:hAnsi="Arial" w:cs="Arial"/>
          <w:sz w:val="20"/>
          <w:szCs w:val="20"/>
          <w:lang w:val="en-GB"/>
        </w:rPr>
        <w:t xml:space="preserve"> </w:t>
      </w:r>
      <w:r w:rsidR="00EB6AE8" w:rsidRPr="00E47F58">
        <w:rPr>
          <w:rFonts w:ascii="Arial" w:hAnsi="Arial" w:cs="Arial"/>
          <w:sz w:val="20"/>
          <w:szCs w:val="20"/>
          <w:lang w:val="en-GB"/>
        </w:rPr>
        <w:t xml:space="preserve">regulated after 7 days of bacterial challenge, indicating the possibility of </w:t>
      </w:r>
      <w:r w:rsidR="00814B29" w:rsidRPr="00814B29">
        <w:rPr>
          <w:rFonts w:ascii="Arial" w:hAnsi="Arial" w:cs="Arial"/>
          <w:sz w:val="20"/>
          <w:szCs w:val="20"/>
          <w:highlight w:val="yellow"/>
          <w:lang w:val="en-GB"/>
        </w:rPr>
        <w:t>mild</w:t>
      </w:r>
      <w:r w:rsidR="00EB6AE8" w:rsidRPr="00814B29">
        <w:rPr>
          <w:rFonts w:ascii="Arial" w:hAnsi="Arial" w:cs="Arial"/>
          <w:sz w:val="20"/>
          <w:szCs w:val="20"/>
          <w:highlight w:val="yellow"/>
          <w:lang w:val="en-GB"/>
        </w:rPr>
        <w:t xml:space="preserve"> negative effect</w:t>
      </w:r>
      <w:r w:rsidR="00EB6AE8" w:rsidRPr="00E47F58">
        <w:rPr>
          <w:rFonts w:ascii="Arial" w:hAnsi="Arial" w:cs="Arial"/>
          <w:sz w:val="20"/>
          <w:szCs w:val="20"/>
          <w:lang w:val="en-GB"/>
        </w:rPr>
        <w:t xml:space="preserve"> of bacterial challenge on the experimental fish </w:t>
      </w:r>
      <w:r w:rsidRPr="00E47F58">
        <w:rPr>
          <w:rFonts w:ascii="Arial" w:hAnsi="Arial" w:cs="Arial"/>
          <w:sz w:val="20"/>
          <w:szCs w:val="20"/>
          <w:lang w:val="en-GB"/>
        </w:rPr>
        <w:t xml:space="preserve">which were </w:t>
      </w:r>
      <w:r w:rsidR="00EB6AE8" w:rsidRPr="00E47F58">
        <w:rPr>
          <w:rFonts w:ascii="Arial" w:hAnsi="Arial" w:cs="Arial"/>
          <w:sz w:val="20"/>
          <w:szCs w:val="20"/>
          <w:lang w:val="en-GB"/>
        </w:rPr>
        <w:t xml:space="preserve">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(CVC). This suggestion was further verified via the assessment of metabolite regulation by bacterial challenge via VIP metabolite fold changes. The metabolites that made the VIP criteria in this regard in decreasing VIP values include histamine, alanine, glucose, creatine, linoleic acid, stearic acid, valine, choline, isoleucine, linolenic acid, oleic acid, glycine, methionine, taurine, riboflavin, leucine, palmitic acid, glycolate, proline, arginine and glutamic acid.</w:t>
      </w:r>
    </w:p>
    <w:p w14:paraId="347C37D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 xml:space="preserve">The metabolites fold changes as a result of bacterial challenge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(CV/CVC) was found to be significantly lower in this case as compared to the FC noticed as a result of bacterial challenge on fish which was not initially fed with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 xml:space="preserve">(CF/CFC). Table </w:t>
      </w:r>
      <w:r w:rsidRPr="00E47F58">
        <w:rPr>
          <w:rFonts w:ascii="Arial" w:hAnsi="Arial" w:cs="Arial"/>
          <w:sz w:val="20"/>
          <w:szCs w:val="20"/>
          <w:lang w:val="en-GB"/>
        </w:rPr>
        <w:t xml:space="preserve">6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their fold change values and the associated metabolic pathways on day 28 after 7 days of bacterial challenge having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over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These compounds are linolenic acid, stearic acid, linoleic acid, palmitic acid, creatine, linoleic acid, riboflavin, taurine and alanine. The FC as a result of bacterial challenge on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fed fish (CV/CVC) did not amount to a whole unit</w:t>
      </w:r>
      <w:r w:rsidRPr="00E47F58">
        <w:rPr>
          <w:rFonts w:ascii="Arial" w:hAnsi="Arial" w:cs="Arial"/>
          <w:sz w:val="20"/>
          <w:szCs w:val="20"/>
          <w:lang w:val="en-GB"/>
        </w:rPr>
        <w:t xml:space="preserve"> </w:t>
      </w:r>
      <w:r w:rsidR="00FA3541" w:rsidRPr="00E47F58">
        <w:rPr>
          <w:rFonts w:ascii="Arial" w:hAnsi="Arial" w:cs="Arial"/>
          <w:sz w:val="20"/>
          <w:szCs w:val="20"/>
          <w:lang w:val="en-GB"/>
        </w:rPr>
        <w:t>or whole number in</w:t>
      </w:r>
      <w:r w:rsidRPr="00E47F58">
        <w:rPr>
          <w:rFonts w:ascii="Arial" w:hAnsi="Arial" w:cs="Arial"/>
          <w:sz w:val="20"/>
          <w:szCs w:val="20"/>
          <w:lang w:val="en-GB"/>
        </w:rPr>
        <w:t xml:space="preserve"> all the affected metabolites.</w:t>
      </w:r>
    </w:p>
    <w:p w14:paraId="1C773569" w14:textId="77777777" w:rsidR="00EB6AE8" w:rsidRPr="00E47F58" w:rsidRDefault="00EB6AE8" w:rsidP="00EB6AE8">
      <w:pPr>
        <w:pStyle w:val="Caption"/>
        <w:keepNext/>
        <w:rPr>
          <w:rFonts w:ascii="Arial" w:hAnsi="Arial" w:cs="Arial"/>
          <w:sz w:val="20"/>
          <w:szCs w:val="20"/>
        </w:rPr>
      </w:pPr>
      <w:bookmarkStart w:id="52" w:name="_Toc50652955"/>
      <w:r w:rsidRPr="00E47F58">
        <w:rPr>
          <w:rFonts w:ascii="Arial" w:hAnsi="Arial" w:cs="Arial"/>
          <w:sz w:val="20"/>
          <w:szCs w:val="20"/>
        </w:rPr>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S. agalactiae</w:t>
      </w:r>
      <w:r w:rsidRPr="00E47F58">
        <w:rPr>
          <w:rFonts w:ascii="Arial" w:hAnsi="Arial" w:cs="Arial"/>
          <w:sz w:val="20"/>
          <w:szCs w:val="20"/>
        </w:rPr>
        <w:t xml:space="preserve"> challenge on </w:t>
      </w:r>
      <w:r w:rsidRPr="00E47F58">
        <w:rPr>
          <w:rFonts w:ascii="Arial" w:hAnsi="Arial" w:cs="Arial"/>
          <w:i/>
          <w:iCs/>
          <w:sz w:val="20"/>
          <w:szCs w:val="20"/>
        </w:rPr>
        <w:t xml:space="preserve">C. vulgaris </w:t>
      </w:r>
      <w:r w:rsidRPr="00E47F58">
        <w:rPr>
          <w:rFonts w:ascii="Arial" w:hAnsi="Arial" w:cs="Arial"/>
          <w:sz w:val="20"/>
          <w:szCs w:val="20"/>
        </w:rPr>
        <w:t>fed fish</w:t>
      </w:r>
      <w:bookmarkEnd w:id="52"/>
    </w:p>
    <w:p w14:paraId="2448ABC0"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157"/>
        <w:gridCol w:w="2397"/>
        <w:gridCol w:w="1926"/>
        <w:gridCol w:w="2870"/>
      </w:tblGrid>
      <w:tr w:rsidR="00EB6AE8" w:rsidRPr="00E47F58" w14:paraId="7CC3ADBB" w14:textId="77777777" w:rsidTr="00BD3994">
        <w:trPr>
          <w:trHeight w:val="290"/>
          <w:jc w:val="center"/>
        </w:trPr>
        <w:tc>
          <w:tcPr>
            <w:tcW w:w="1153" w:type="pct"/>
            <w:noWrap/>
            <w:hideMark/>
          </w:tcPr>
          <w:p w14:paraId="12F1BDD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Metabolite</w:t>
            </w:r>
          </w:p>
        </w:tc>
        <w:tc>
          <w:tcPr>
            <w:tcW w:w="1282" w:type="pct"/>
          </w:tcPr>
          <w:p w14:paraId="5F0CB9D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Chemical shift (ppm)</w:t>
            </w:r>
          </w:p>
        </w:tc>
        <w:tc>
          <w:tcPr>
            <w:tcW w:w="1030" w:type="pct"/>
            <w:noWrap/>
            <w:hideMark/>
          </w:tcPr>
          <w:p w14:paraId="0641898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Fold Change</w:t>
            </w:r>
          </w:p>
          <w:p w14:paraId="1B45CA8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(CV/CVC)</w:t>
            </w:r>
          </w:p>
        </w:tc>
        <w:tc>
          <w:tcPr>
            <w:tcW w:w="1535" w:type="pct"/>
          </w:tcPr>
          <w:p w14:paraId="5F773F49"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Metabolic pathway</w:t>
            </w:r>
          </w:p>
        </w:tc>
      </w:tr>
      <w:tr w:rsidR="00EB6AE8" w:rsidRPr="00E47F58" w14:paraId="1DED0BCE" w14:textId="77777777" w:rsidTr="00BD3994">
        <w:trPr>
          <w:trHeight w:val="290"/>
          <w:jc w:val="center"/>
        </w:trPr>
        <w:tc>
          <w:tcPr>
            <w:tcW w:w="1153" w:type="pct"/>
            <w:noWrap/>
            <w:hideMark/>
          </w:tcPr>
          <w:p w14:paraId="79ECD37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Linolenic acid</w:t>
            </w:r>
          </w:p>
        </w:tc>
        <w:tc>
          <w:tcPr>
            <w:tcW w:w="1282" w:type="pct"/>
          </w:tcPr>
          <w:p w14:paraId="0D78A7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w:t>
            </w:r>
          </w:p>
        </w:tc>
        <w:tc>
          <w:tcPr>
            <w:tcW w:w="1030" w:type="pct"/>
            <w:noWrap/>
            <w:hideMark/>
          </w:tcPr>
          <w:p w14:paraId="68C3EF5B"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0.045015</w:t>
            </w:r>
          </w:p>
        </w:tc>
        <w:tc>
          <w:tcPr>
            <w:tcW w:w="1535" w:type="pct"/>
          </w:tcPr>
          <w:p w14:paraId="3FC2596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l-GR"/>
              </w:rPr>
              <w:t>α</w:t>
            </w:r>
            <w:r w:rsidRPr="00E47F58">
              <w:rPr>
                <w:rFonts w:ascii="Arial" w:hAnsi="Arial" w:cs="Arial"/>
                <w:color w:val="000000" w:themeColor="text1"/>
                <w:lang w:val="en-SG"/>
              </w:rPr>
              <w:t>-Linolenic acid metabolism</w:t>
            </w:r>
          </w:p>
        </w:tc>
      </w:tr>
      <w:tr w:rsidR="00EB6AE8" w:rsidRPr="00E47F58" w14:paraId="20810953" w14:textId="77777777" w:rsidTr="00BD3994">
        <w:trPr>
          <w:trHeight w:val="290"/>
          <w:jc w:val="center"/>
        </w:trPr>
        <w:tc>
          <w:tcPr>
            <w:tcW w:w="1153" w:type="pct"/>
            <w:noWrap/>
            <w:hideMark/>
          </w:tcPr>
          <w:p w14:paraId="29EA9E9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Stearic acid</w:t>
            </w:r>
          </w:p>
        </w:tc>
        <w:tc>
          <w:tcPr>
            <w:tcW w:w="1282" w:type="pct"/>
          </w:tcPr>
          <w:p w14:paraId="28D244D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1.14</w:t>
            </w:r>
          </w:p>
        </w:tc>
        <w:tc>
          <w:tcPr>
            <w:tcW w:w="1030" w:type="pct"/>
            <w:noWrap/>
            <w:hideMark/>
          </w:tcPr>
          <w:p w14:paraId="25A7EB5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0.046743</w:t>
            </w:r>
          </w:p>
        </w:tc>
        <w:tc>
          <w:tcPr>
            <w:tcW w:w="1535" w:type="pct"/>
          </w:tcPr>
          <w:p w14:paraId="35FC060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415728E3" w14:textId="77777777" w:rsidTr="00BD3994">
        <w:trPr>
          <w:trHeight w:val="290"/>
          <w:jc w:val="center"/>
        </w:trPr>
        <w:tc>
          <w:tcPr>
            <w:tcW w:w="1153" w:type="pct"/>
            <w:noWrap/>
            <w:hideMark/>
          </w:tcPr>
          <w:p w14:paraId="114F7E8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Linoleic acid</w:t>
            </w:r>
          </w:p>
        </w:tc>
        <w:tc>
          <w:tcPr>
            <w:tcW w:w="1282" w:type="pct"/>
          </w:tcPr>
          <w:p w14:paraId="31B5146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0.74</w:t>
            </w:r>
          </w:p>
        </w:tc>
        <w:tc>
          <w:tcPr>
            <w:tcW w:w="1030" w:type="pct"/>
            <w:noWrap/>
            <w:hideMark/>
          </w:tcPr>
          <w:p w14:paraId="0ADC585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0.048606</w:t>
            </w:r>
          </w:p>
        </w:tc>
        <w:tc>
          <w:tcPr>
            <w:tcW w:w="1535" w:type="pct"/>
          </w:tcPr>
          <w:p w14:paraId="423689F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7F643E2E" w14:textId="77777777" w:rsidTr="00BD3994">
        <w:trPr>
          <w:trHeight w:val="290"/>
          <w:jc w:val="center"/>
        </w:trPr>
        <w:tc>
          <w:tcPr>
            <w:tcW w:w="1153" w:type="pct"/>
            <w:noWrap/>
            <w:hideMark/>
          </w:tcPr>
          <w:p w14:paraId="47C85EB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Palmitic acid</w:t>
            </w:r>
          </w:p>
        </w:tc>
        <w:tc>
          <w:tcPr>
            <w:tcW w:w="1282" w:type="pct"/>
          </w:tcPr>
          <w:p w14:paraId="6CE73D11"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0.90</w:t>
            </w:r>
          </w:p>
        </w:tc>
        <w:tc>
          <w:tcPr>
            <w:tcW w:w="1030" w:type="pct"/>
            <w:noWrap/>
            <w:hideMark/>
          </w:tcPr>
          <w:p w14:paraId="7E1EAF2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0.057401</w:t>
            </w:r>
          </w:p>
        </w:tc>
        <w:tc>
          <w:tcPr>
            <w:tcW w:w="1535" w:type="pct"/>
          </w:tcPr>
          <w:p w14:paraId="7A3286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Amino acid metabolism</w:t>
            </w:r>
          </w:p>
        </w:tc>
      </w:tr>
      <w:tr w:rsidR="00EB6AE8" w:rsidRPr="00E47F58" w14:paraId="622C5739" w14:textId="77777777" w:rsidTr="00BD3994">
        <w:trPr>
          <w:trHeight w:val="290"/>
          <w:jc w:val="center"/>
        </w:trPr>
        <w:tc>
          <w:tcPr>
            <w:tcW w:w="1153" w:type="pct"/>
            <w:noWrap/>
            <w:hideMark/>
          </w:tcPr>
          <w:p w14:paraId="43B26D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Creatine</w:t>
            </w:r>
          </w:p>
        </w:tc>
        <w:tc>
          <w:tcPr>
            <w:tcW w:w="1282" w:type="pct"/>
          </w:tcPr>
          <w:p w14:paraId="2F23E01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3.1</w:t>
            </w:r>
          </w:p>
        </w:tc>
        <w:tc>
          <w:tcPr>
            <w:tcW w:w="1030" w:type="pct"/>
            <w:noWrap/>
            <w:hideMark/>
          </w:tcPr>
          <w:p w14:paraId="0E59048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0.093333</w:t>
            </w:r>
          </w:p>
        </w:tc>
        <w:tc>
          <w:tcPr>
            <w:tcW w:w="1535" w:type="pct"/>
          </w:tcPr>
          <w:p w14:paraId="080FD35D"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Glycine, serine &amp; Threonine metabolism</w:t>
            </w:r>
          </w:p>
        </w:tc>
      </w:tr>
      <w:tr w:rsidR="00EB6AE8" w:rsidRPr="00E47F58" w14:paraId="308B1FD9" w14:textId="77777777" w:rsidTr="00BD3994">
        <w:trPr>
          <w:trHeight w:val="290"/>
          <w:jc w:val="center"/>
        </w:trPr>
        <w:tc>
          <w:tcPr>
            <w:tcW w:w="1153" w:type="pct"/>
            <w:noWrap/>
            <w:hideMark/>
          </w:tcPr>
          <w:p w14:paraId="5A1B07A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w:t>
            </w:r>
          </w:p>
        </w:tc>
        <w:tc>
          <w:tcPr>
            <w:tcW w:w="1282" w:type="pct"/>
          </w:tcPr>
          <w:p w14:paraId="5A00E19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4.58</w:t>
            </w:r>
          </w:p>
        </w:tc>
        <w:tc>
          <w:tcPr>
            <w:tcW w:w="1030" w:type="pct"/>
            <w:noWrap/>
            <w:hideMark/>
          </w:tcPr>
          <w:p w14:paraId="6EDA39F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0.28154</w:t>
            </w:r>
          </w:p>
        </w:tc>
        <w:tc>
          <w:tcPr>
            <w:tcW w:w="1535" w:type="pct"/>
          </w:tcPr>
          <w:p w14:paraId="44EF6F3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 metabolism</w:t>
            </w:r>
          </w:p>
        </w:tc>
      </w:tr>
      <w:tr w:rsidR="00EB6AE8" w:rsidRPr="00E47F58" w14:paraId="25C67F75" w14:textId="77777777" w:rsidTr="00BD3994">
        <w:trPr>
          <w:trHeight w:val="290"/>
          <w:jc w:val="center"/>
        </w:trPr>
        <w:tc>
          <w:tcPr>
            <w:tcW w:w="1153" w:type="pct"/>
            <w:noWrap/>
            <w:hideMark/>
          </w:tcPr>
          <w:p w14:paraId="6451938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Taurine</w:t>
            </w:r>
          </w:p>
        </w:tc>
        <w:tc>
          <w:tcPr>
            <w:tcW w:w="1282" w:type="pct"/>
          </w:tcPr>
          <w:p w14:paraId="2894CD9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3.3</w:t>
            </w:r>
          </w:p>
        </w:tc>
        <w:tc>
          <w:tcPr>
            <w:tcW w:w="1030" w:type="pct"/>
            <w:noWrap/>
            <w:hideMark/>
          </w:tcPr>
          <w:p w14:paraId="6FA04B9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0.43943</w:t>
            </w:r>
          </w:p>
        </w:tc>
        <w:tc>
          <w:tcPr>
            <w:tcW w:w="1535" w:type="pct"/>
          </w:tcPr>
          <w:p w14:paraId="73808DA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 xml:space="preserve">Taurine &amp; </w:t>
            </w:r>
            <w:proofErr w:type="spellStart"/>
            <w:r w:rsidRPr="00E47F58">
              <w:rPr>
                <w:rFonts w:ascii="Arial" w:hAnsi="Arial" w:cs="Arial"/>
                <w:color w:val="000000" w:themeColor="text1"/>
              </w:rPr>
              <w:t>hypotaurine</w:t>
            </w:r>
            <w:proofErr w:type="spellEnd"/>
            <w:r w:rsidRPr="00E47F58">
              <w:rPr>
                <w:rFonts w:ascii="Arial" w:hAnsi="Arial" w:cs="Arial"/>
                <w:color w:val="000000" w:themeColor="text1"/>
              </w:rPr>
              <w:t xml:space="preserve"> metabolism</w:t>
            </w:r>
          </w:p>
        </w:tc>
      </w:tr>
      <w:tr w:rsidR="00EB6AE8" w:rsidRPr="00E47F58" w14:paraId="771D8A14" w14:textId="77777777" w:rsidTr="00BD3994">
        <w:trPr>
          <w:trHeight w:val="290"/>
          <w:jc w:val="center"/>
        </w:trPr>
        <w:tc>
          <w:tcPr>
            <w:tcW w:w="1153" w:type="pct"/>
            <w:noWrap/>
            <w:hideMark/>
          </w:tcPr>
          <w:p w14:paraId="4B146BD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w:t>
            </w:r>
          </w:p>
        </w:tc>
        <w:tc>
          <w:tcPr>
            <w:tcW w:w="1282" w:type="pct"/>
          </w:tcPr>
          <w:p w14:paraId="697AFE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1.34</w:t>
            </w:r>
          </w:p>
        </w:tc>
        <w:tc>
          <w:tcPr>
            <w:tcW w:w="1030" w:type="pct"/>
            <w:noWrap/>
            <w:hideMark/>
          </w:tcPr>
          <w:p w14:paraId="2E86942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0.46334</w:t>
            </w:r>
          </w:p>
        </w:tc>
        <w:tc>
          <w:tcPr>
            <w:tcW w:w="1535" w:type="pct"/>
          </w:tcPr>
          <w:p w14:paraId="7BEE116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 aspartate and glutamate metabolism</w:t>
            </w:r>
          </w:p>
        </w:tc>
      </w:tr>
    </w:tbl>
    <w:p w14:paraId="43472B5C" w14:textId="77777777" w:rsidR="00EB6AE8" w:rsidRPr="00E47F58" w:rsidRDefault="00EB6AE8" w:rsidP="00EB6AE8">
      <w:pPr>
        <w:pStyle w:val="j"/>
        <w:rPr>
          <w:rFonts w:ascii="Arial" w:hAnsi="Arial" w:cs="Arial"/>
          <w:sz w:val="20"/>
          <w:szCs w:val="20"/>
          <w:lang w:val="en-GB"/>
        </w:rPr>
      </w:pPr>
    </w:p>
    <w:p w14:paraId="1C573946" w14:textId="77777777" w:rsidR="00EB6AE8" w:rsidRPr="00E47F58" w:rsidRDefault="00EB6AE8" w:rsidP="00EB6AE8">
      <w:pPr>
        <w:pStyle w:val="j"/>
        <w:rPr>
          <w:rFonts w:ascii="Arial" w:hAnsi="Arial" w:cs="Arial"/>
          <w:sz w:val="20"/>
          <w:szCs w:val="20"/>
          <w:lang w:val="en-GB"/>
        </w:rPr>
      </w:pPr>
    </w:p>
    <w:p w14:paraId="593CE588" w14:textId="046449BB" w:rsidR="00EB6AE8" w:rsidRPr="00E47F58" w:rsidRDefault="00BD3994" w:rsidP="00EB6AE8">
      <w:pPr>
        <w:pStyle w:val="single"/>
        <w:rPr>
          <w:rFonts w:ascii="Arial" w:hAnsi="Arial" w:cs="Arial"/>
          <w:sz w:val="20"/>
          <w:szCs w:val="20"/>
          <w:lang w:val="en-GB"/>
        </w:rPr>
      </w:pPr>
      <w:r w:rsidRPr="00E47F58">
        <w:rPr>
          <w:rFonts w:ascii="Arial" w:hAnsi="Arial" w:cs="Arial"/>
          <w:sz w:val="20"/>
          <w:szCs w:val="20"/>
          <w:lang w:val="en-GB"/>
        </w:rPr>
        <w:t xml:space="preserve">The FCs in Table </w:t>
      </w:r>
      <w:r w:rsidR="00EB6AE8" w:rsidRPr="00E47F58">
        <w:rPr>
          <w:rFonts w:ascii="Arial" w:hAnsi="Arial" w:cs="Arial"/>
          <w:sz w:val="20"/>
          <w:szCs w:val="20"/>
          <w:lang w:val="en-GB"/>
        </w:rPr>
        <w:t xml:space="preserve">6 which represent the effect of bacterial challenge on fish 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didn’t amount to whole numbers. This is a clear indication</w:t>
      </w:r>
      <w:r w:rsidR="00814B29">
        <w:rPr>
          <w:rFonts w:ascii="Arial" w:hAnsi="Arial" w:cs="Arial"/>
          <w:sz w:val="20"/>
          <w:szCs w:val="20"/>
          <w:lang w:val="en-GB"/>
        </w:rPr>
        <w:t xml:space="preserve"> that there was </w:t>
      </w:r>
      <w:r w:rsidR="00814B29" w:rsidRPr="00814B29">
        <w:rPr>
          <w:rFonts w:ascii="Arial" w:hAnsi="Arial" w:cs="Arial"/>
          <w:sz w:val="20"/>
          <w:szCs w:val="20"/>
          <w:highlight w:val="yellow"/>
          <w:lang w:val="en-GB"/>
        </w:rPr>
        <w:t xml:space="preserve">a mild </w:t>
      </w:r>
      <w:r w:rsidR="00EB6AE8" w:rsidRPr="00814B29">
        <w:rPr>
          <w:rFonts w:ascii="Arial" w:hAnsi="Arial" w:cs="Arial"/>
          <w:sz w:val="20"/>
          <w:szCs w:val="20"/>
          <w:highlight w:val="yellow"/>
          <w:lang w:val="en-GB"/>
        </w:rPr>
        <w:t>negative effect</w:t>
      </w:r>
      <w:r w:rsidR="00EB6AE8" w:rsidRPr="00E47F58">
        <w:rPr>
          <w:rFonts w:ascii="Arial" w:hAnsi="Arial" w:cs="Arial"/>
          <w:sz w:val="20"/>
          <w:szCs w:val="20"/>
          <w:lang w:val="en-GB"/>
        </w:rPr>
        <w:t xml:space="preserve"> of bacterial challenge on fish initially fed with </w:t>
      </w:r>
      <w:r w:rsidR="00EB6AE8" w:rsidRPr="00E47F58">
        <w:rPr>
          <w:rFonts w:ascii="Arial" w:hAnsi="Arial" w:cs="Arial"/>
          <w:i/>
          <w:iCs/>
          <w:sz w:val="20"/>
          <w:szCs w:val="20"/>
          <w:lang w:val="en-GB"/>
        </w:rPr>
        <w:t>C. vulgaris</w:t>
      </w:r>
      <w:r w:rsidRPr="00E47F58">
        <w:rPr>
          <w:rFonts w:ascii="Arial" w:hAnsi="Arial" w:cs="Arial"/>
          <w:i/>
          <w:iCs/>
          <w:sz w:val="20"/>
          <w:szCs w:val="20"/>
          <w:lang w:val="en-GB"/>
        </w:rPr>
        <w:t xml:space="preserve"> </w:t>
      </w:r>
      <w:r w:rsidRPr="00E47F58">
        <w:rPr>
          <w:rFonts w:ascii="Arial" w:hAnsi="Arial" w:cs="Arial"/>
          <w:iCs/>
          <w:sz w:val="20"/>
          <w:szCs w:val="20"/>
          <w:lang w:val="en-GB"/>
        </w:rPr>
        <w:t xml:space="preserve">before been challenged with </w:t>
      </w:r>
      <w:r w:rsidRPr="00E47F58">
        <w:rPr>
          <w:rFonts w:ascii="Arial" w:hAnsi="Arial" w:cs="Arial"/>
          <w:i/>
          <w:iCs/>
          <w:sz w:val="20"/>
          <w:szCs w:val="20"/>
          <w:lang w:val="en-GB"/>
        </w:rPr>
        <w:t>S. agalactiae</w:t>
      </w:r>
      <w:r w:rsidR="00EB6AE8" w:rsidRPr="00E47F58">
        <w:rPr>
          <w:rFonts w:ascii="Arial" w:hAnsi="Arial" w:cs="Arial"/>
          <w:sz w:val="20"/>
          <w:szCs w:val="20"/>
          <w:lang w:val="en-GB"/>
        </w:rPr>
        <w:t xml:space="preserve">. </w:t>
      </w:r>
      <w:r w:rsidR="00EB6AE8" w:rsidRPr="00E47F58">
        <w:rPr>
          <w:rFonts w:ascii="Arial" w:hAnsi="Arial" w:cs="Arial"/>
          <w:bCs/>
          <w:sz w:val="20"/>
          <w:szCs w:val="20"/>
          <w:lang w:val="en-GB"/>
        </w:rPr>
        <w:t>The deficiency of some selected vitamins like riboflavin (vitamin B</w:t>
      </w:r>
      <w:r w:rsidR="00EB6AE8" w:rsidRPr="00E47F58">
        <w:rPr>
          <w:rFonts w:ascii="Arial" w:hAnsi="Arial" w:cs="Arial"/>
          <w:bCs/>
          <w:sz w:val="20"/>
          <w:szCs w:val="20"/>
          <w:vertAlign w:val="subscript"/>
          <w:lang w:val="en-GB"/>
        </w:rPr>
        <w:t>2</w:t>
      </w:r>
      <w:r w:rsidR="00EB6AE8" w:rsidRPr="00E47F58">
        <w:rPr>
          <w:rFonts w:ascii="Arial" w:hAnsi="Arial" w:cs="Arial"/>
          <w:bCs/>
          <w:sz w:val="20"/>
          <w:szCs w:val="20"/>
          <w:lang w:val="en-GB"/>
        </w:rPr>
        <w:t xml:space="preserve">), could affect the induction of proper innate as well as adaptive immune responses. As a result of riboflavin deficiency, typical symptoms called </w:t>
      </w:r>
      <w:proofErr w:type="spellStart"/>
      <w:r w:rsidR="00EB6AE8" w:rsidRPr="00E47F58">
        <w:rPr>
          <w:rFonts w:ascii="Arial" w:hAnsi="Arial" w:cs="Arial"/>
          <w:bCs/>
          <w:sz w:val="20"/>
          <w:szCs w:val="20"/>
          <w:lang w:val="en-GB"/>
        </w:rPr>
        <w:t>oro</w:t>
      </w:r>
      <w:proofErr w:type="spellEnd"/>
      <w:r w:rsidR="00EB6AE8" w:rsidRPr="00E47F58">
        <w:rPr>
          <w:rFonts w:ascii="Arial" w:hAnsi="Arial" w:cs="Arial"/>
          <w:bCs/>
          <w:sz w:val="20"/>
          <w:szCs w:val="20"/>
          <w:lang w:val="en-GB"/>
        </w:rPr>
        <w:t xml:space="preserve">-oculo-genital syndrome are observed. In lymphoproliferation LPS-stimulation model, riboflavin deprived cells were reported to release significantly fewer anti-inflammatory agents. While reduction of the release of proinflammatory factors as well as enhancement of anti-inflammatory mediators were both recorded with riboflavin enriched model </w:t>
      </w:r>
      <w:r w:rsidR="00EB6AE8"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activation","type":"article-journal","volume":"66"},"uris":["http://www.mendeley.com/documents/?uuid=24053baa-a699-4697-97c7-93b9f1bd4e78","http://www.mendeley.com/documents/?uuid=52e693d3-ae73-4303-9004-372a1f9034b3"]}],"mendeley":{"formattedCitation":"(Mazur-Bialy et al., 2015)","manualFormatting":"(Mazur-Bialy et al., 2015)","plainTextFormattedCitation":"(Mazur-Bialy et al., 2015)","previouslyFormattedCitation":"(Mazur-Bialy, Pochec, and Plytycz 2015)"},"properties":{"noteIndex":0},"schema":"https://github.com/citation-style-language/schema/raw/master/csl-citation.json"}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B6AE8" w:rsidRPr="00E47F58">
        <w:rPr>
          <w:rFonts w:ascii="Arial" w:hAnsi="Arial" w:cs="Arial"/>
          <w:bCs/>
          <w:noProof/>
          <w:sz w:val="20"/>
          <w:szCs w:val="20"/>
          <w:lang w:val="en-GB"/>
        </w:rPr>
        <w:t>(Mazur-Bialy et al., 2015)</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xml:space="preserve">. It was observed in this study that the level of riboflavin was not </w:t>
      </w:r>
      <w:r w:rsidRPr="00E47F58">
        <w:rPr>
          <w:rFonts w:ascii="Arial" w:hAnsi="Arial" w:cs="Arial"/>
          <w:bCs/>
          <w:sz w:val="20"/>
          <w:szCs w:val="20"/>
          <w:lang w:val="en-GB"/>
        </w:rPr>
        <w:t xml:space="preserve">seriously </w:t>
      </w:r>
      <w:r w:rsidR="00EB6AE8" w:rsidRPr="00E47F58">
        <w:rPr>
          <w:rFonts w:ascii="Arial" w:hAnsi="Arial" w:cs="Arial"/>
          <w:bCs/>
          <w:sz w:val="20"/>
          <w:szCs w:val="20"/>
          <w:lang w:val="en-GB"/>
        </w:rPr>
        <w:t>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 xml:space="preserve">regulated due to bacterial challenge on fish initially fed with </w:t>
      </w:r>
      <w:r w:rsidR="00EB6AE8" w:rsidRPr="00E47F58">
        <w:rPr>
          <w:rFonts w:ascii="Arial" w:hAnsi="Arial" w:cs="Arial"/>
          <w:bCs/>
          <w:i/>
          <w:iCs/>
          <w:sz w:val="20"/>
          <w:szCs w:val="20"/>
          <w:lang w:val="en-GB"/>
        </w:rPr>
        <w:t>C. vulgaris</w:t>
      </w:r>
      <w:r w:rsidR="00EB6AE8" w:rsidRPr="00E47F58">
        <w:rPr>
          <w:rFonts w:ascii="Arial" w:hAnsi="Arial" w:cs="Arial"/>
          <w:bCs/>
          <w:sz w:val="20"/>
          <w:szCs w:val="20"/>
          <w:lang w:val="en-GB"/>
        </w:rPr>
        <w:t xml:space="preserve">. High level of taurine present in leucocytes, may hypothesise that taurine deficiency will affect the immune cell functions. In fact, prolonged taurine deficiency leads to profound abnormalities in the immune system including significant leukopenia; a decreased respiratory burst in neutrophils and depletion of B cells from lymph nodes and spleen </w:t>
      </w:r>
      <w:r w:rsidR="00EB6AE8"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diseases","type":"article-journal","volume":"46"},"uris":["http://www.mendeley.com/documents/?uuid=bde01f47-3706-4ea3-aa64-cf9bee57cbca","http://www.mendeley.com/documents/?uuid=11d9da89-7674-40d3-8378-bf6d3d652452"]}],"mendeley":{"formattedCitation":"(Marcinkiewicz &amp; Kontny, 2014)","plainTextFormattedCitation":"(Marcinkiewicz &amp; Kontny, 2014)","previouslyFormattedCitation":"(Marcinkiewicz and Kontny 2014)"},"properties":{"noteIndex":0},"schema":"https://github.com/citation-style-language/schema/raw/master/csl-citation.json"}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(Marcinkiewicz &amp; Kontny, 2014)</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In addition to the above information, it was also reported that taurine upregulation is responsible for the smooth antioxidant activity, osmoregulation, membrane stability and maintenance of Ca</w:t>
      </w:r>
      <w:r w:rsidR="00EB6AE8" w:rsidRPr="00E47F58">
        <w:rPr>
          <w:rFonts w:ascii="Arial" w:hAnsi="Arial" w:cs="Arial"/>
          <w:bCs/>
          <w:sz w:val="20"/>
          <w:szCs w:val="20"/>
          <w:vertAlign w:val="superscript"/>
          <w:lang w:val="en-GB"/>
        </w:rPr>
        <w:t xml:space="preserve">2+ </w:t>
      </w:r>
      <w:r w:rsidR="00EB6AE8" w:rsidRPr="00E47F58">
        <w:rPr>
          <w:rFonts w:ascii="Arial" w:hAnsi="Arial" w:cs="Arial"/>
          <w:bCs/>
          <w:sz w:val="20"/>
          <w:szCs w:val="20"/>
          <w:lang w:val="en-GB"/>
        </w:rPr>
        <w:t>stability. Hence, the non-down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regulation of taurine level in CVC treated group is an indication of maintained innate immunity.</w:t>
      </w:r>
    </w:p>
    <w:p w14:paraId="103E679A" w14:textId="1216D03B"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common affected metabolites</w:t>
      </w:r>
      <w:r w:rsidR="00441C2A" w:rsidRPr="00E47F58">
        <w:rPr>
          <w:rFonts w:ascii="Arial" w:hAnsi="Arial" w:cs="Arial"/>
          <w:sz w:val="20"/>
          <w:szCs w:val="20"/>
          <w:lang w:val="en-GB"/>
        </w:rPr>
        <w:t xml:space="preserve"> (in terms of down regulation)</w:t>
      </w:r>
      <w:r w:rsidRPr="00E47F58">
        <w:rPr>
          <w:rFonts w:ascii="Arial" w:hAnsi="Arial" w:cs="Arial"/>
          <w:sz w:val="20"/>
          <w:szCs w:val="20"/>
          <w:lang w:val="en-GB"/>
        </w:rPr>
        <w:t xml:space="preserve"> as a result of bacterial challenge with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concentration of </w:t>
      </w:r>
      <w:r w:rsidRPr="00E47F58">
        <w:rPr>
          <w:rFonts w:ascii="Arial" w:hAnsi="Arial" w:cs="Arial"/>
          <w:i/>
          <w:iCs/>
          <w:sz w:val="20"/>
          <w:szCs w:val="20"/>
          <w:lang w:val="en-GB"/>
        </w:rPr>
        <w:t>S. agalactiae</w:t>
      </w:r>
      <w:r w:rsidRPr="00E47F58">
        <w:rPr>
          <w:rFonts w:ascii="Arial" w:hAnsi="Arial" w:cs="Arial"/>
          <w:sz w:val="20"/>
          <w:szCs w:val="20"/>
          <w:lang w:val="en-GB"/>
        </w:rPr>
        <w:t xml:space="preserve"> on both control fish challenged (CFC) and </w:t>
      </w:r>
      <w:r w:rsidRPr="00E47F58">
        <w:rPr>
          <w:rFonts w:ascii="Arial" w:hAnsi="Arial" w:cs="Arial"/>
          <w:i/>
          <w:iCs/>
          <w:sz w:val="20"/>
          <w:szCs w:val="20"/>
          <w:lang w:val="en-GB"/>
        </w:rPr>
        <w:t xml:space="preserve">C. vulgaris </w:t>
      </w:r>
      <w:r w:rsidR="00BD3994" w:rsidRPr="00E47F58">
        <w:rPr>
          <w:rFonts w:ascii="Arial" w:hAnsi="Arial" w:cs="Arial"/>
          <w:sz w:val="20"/>
          <w:szCs w:val="20"/>
          <w:lang w:val="en-GB"/>
        </w:rPr>
        <w:t xml:space="preserve">challenged (CVC) fish were summarized in Table </w:t>
      </w:r>
      <w:r w:rsidR="00814B29">
        <w:rPr>
          <w:rFonts w:ascii="Arial" w:hAnsi="Arial" w:cs="Arial"/>
          <w:sz w:val="20"/>
          <w:szCs w:val="20"/>
          <w:lang w:val="en-GB"/>
        </w:rPr>
        <w:t xml:space="preserve">7 to show the </w:t>
      </w:r>
      <w:r w:rsidR="00814B29" w:rsidRPr="00814B29">
        <w:rPr>
          <w:rFonts w:ascii="Arial" w:hAnsi="Arial" w:cs="Arial"/>
          <w:sz w:val="20"/>
          <w:szCs w:val="20"/>
          <w:highlight w:val="yellow"/>
          <w:lang w:val="en-GB"/>
        </w:rPr>
        <w:t>mild</w:t>
      </w:r>
      <w:r w:rsidRPr="00814B29">
        <w:rPr>
          <w:rFonts w:ascii="Arial" w:hAnsi="Arial" w:cs="Arial"/>
          <w:sz w:val="20"/>
          <w:szCs w:val="20"/>
          <w:highlight w:val="yellow"/>
          <w:lang w:val="en-GB"/>
        </w:rPr>
        <w:t xml:space="preserve"> negative</w:t>
      </w:r>
      <w:r w:rsidRPr="00E47F58">
        <w:rPr>
          <w:rFonts w:ascii="Arial" w:hAnsi="Arial" w:cs="Arial"/>
          <w:sz w:val="20"/>
          <w:szCs w:val="20"/>
          <w:lang w:val="en-GB"/>
        </w:rPr>
        <w:t xml:space="preserve"> bacterial effect on 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as compared to fish without treatment</w:t>
      </w:r>
    </w:p>
    <w:p w14:paraId="45194694" w14:textId="77777777" w:rsidR="00EB6AE8" w:rsidRPr="00E47F58" w:rsidRDefault="00EB6AE8" w:rsidP="00EB6AE8">
      <w:pPr>
        <w:pStyle w:val="Caption"/>
        <w:keepNext/>
        <w:rPr>
          <w:rFonts w:ascii="Arial" w:hAnsi="Arial" w:cs="Arial"/>
          <w:sz w:val="20"/>
          <w:szCs w:val="20"/>
        </w:rPr>
      </w:pPr>
      <w:bookmarkStart w:id="53" w:name="_Toc50652956"/>
      <w:r w:rsidRPr="00E47F58">
        <w:rPr>
          <w:rFonts w:ascii="Arial" w:hAnsi="Arial" w:cs="Arial"/>
          <w:sz w:val="20"/>
          <w:szCs w:val="20"/>
        </w:rPr>
        <w:lastRenderedPageBreak/>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Comparison between metabolite fold changes as a result of bacteria </w:t>
      </w:r>
      <w:r w:rsidRPr="00E47F58">
        <w:rPr>
          <w:rFonts w:ascii="Arial" w:hAnsi="Arial" w:cs="Arial"/>
          <w:i/>
          <w:iCs/>
          <w:sz w:val="20"/>
          <w:szCs w:val="20"/>
        </w:rPr>
        <w:t xml:space="preserve">S. agalactiae </w:t>
      </w:r>
      <w:r w:rsidRPr="00E47F58">
        <w:rPr>
          <w:rFonts w:ascii="Arial" w:hAnsi="Arial" w:cs="Arial"/>
          <w:sz w:val="20"/>
          <w:szCs w:val="20"/>
        </w:rPr>
        <w:t>challenge on control fish (CF</w:t>
      </w:r>
      <w:r w:rsidR="00441C2A" w:rsidRPr="00E47F58">
        <w:rPr>
          <w:rFonts w:ascii="Arial" w:hAnsi="Arial" w:cs="Arial"/>
          <w:sz w:val="20"/>
          <w:szCs w:val="20"/>
        </w:rPr>
        <w:t>C</w:t>
      </w:r>
      <w:r w:rsidRPr="00E47F58">
        <w:rPr>
          <w:rFonts w:ascii="Arial" w:hAnsi="Arial" w:cs="Arial"/>
          <w:sz w:val="20"/>
          <w:szCs w:val="20"/>
        </w:rPr>
        <w:t xml:space="preserve">) and on </w:t>
      </w:r>
      <w:r w:rsidRPr="00E47F58">
        <w:rPr>
          <w:rFonts w:ascii="Arial" w:hAnsi="Arial" w:cs="Arial"/>
          <w:i/>
          <w:iCs/>
          <w:sz w:val="20"/>
          <w:szCs w:val="20"/>
        </w:rPr>
        <w:t xml:space="preserve">C. vulgaris </w:t>
      </w:r>
      <w:r w:rsidR="00441C2A" w:rsidRPr="00E47F58">
        <w:rPr>
          <w:rFonts w:ascii="Arial" w:hAnsi="Arial" w:cs="Arial"/>
          <w:sz w:val="20"/>
          <w:szCs w:val="20"/>
        </w:rPr>
        <w:t>fed fish (CV</w:t>
      </w:r>
      <w:r w:rsidRPr="00E47F58">
        <w:rPr>
          <w:rFonts w:ascii="Arial" w:hAnsi="Arial" w:cs="Arial"/>
          <w:sz w:val="20"/>
          <w:szCs w:val="20"/>
        </w:rPr>
        <w:t>C)</w:t>
      </w:r>
      <w:bookmarkEnd w:id="53"/>
    </w:p>
    <w:p w14:paraId="75B5681D"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6"/>
        <w:gridCol w:w="3117"/>
        <w:gridCol w:w="3117"/>
      </w:tblGrid>
      <w:tr w:rsidR="00EB6AE8" w:rsidRPr="00E47F58" w14:paraId="16D7DB41" w14:textId="77777777" w:rsidTr="00441C2A">
        <w:trPr>
          <w:jc w:val="center"/>
        </w:trPr>
        <w:tc>
          <w:tcPr>
            <w:tcW w:w="1666" w:type="pct"/>
          </w:tcPr>
          <w:p w14:paraId="4B68244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667" w:type="pct"/>
          </w:tcPr>
          <w:p w14:paraId="7543DE6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47B7FAD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667" w:type="pct"/>
          </w:tcPr>
          <w:p w14:paraId="782014C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1C8FE7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(CV/CVC)</w:t>
            </w:r>
          </w:p>
        </w:tc>
      </w:tr>
      <w:tr w:rsidR="00EB6AE8" w:rsidRPr="00E47F58" w14:paraId="127421AC" w14:textId="77777777" w:rsidTr="00441C2A">
        <w:trPr>
          <w:jc w:val="center"/>
        </w:trPr>
        <w:tc>
          <w:tcPr>
            <w:tcW w:w="1666" w:type="pct"/>
          </w:tcPr>
          <w:p w14:paraId="7202F7E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76EE0920"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24E0FC2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66360A7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423BFD6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0.048606</w:t>
            </w:r>
          </w:p>
        </w:tc>
      </w:tr>
      <w:tr w:rsidR="00EB6AE8" w:rsidRPr="00E47F58" w14:paraId="4D81DEC7" w14:textId="77777777" w:rsidTr="00441C2A">
        <w:trPr>
          <w:jc w:val="center"/>
        </w:trPr>
        <w:tc>
          <w:tcPr>
            <w:tcW w:w="1666" w:type="pct"/>
          </w:tcPr>
          <w:p w14:paraId="0C3C7624"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068CEE7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67A5053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40C64C2D"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265267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0.046743</w:t>
            </w:r>
          </w:p>
        </w:tc>
      </w:tr>
      <w:tr w:rsidR="00EB6AE8" w:rsidRPr="00E47F58" w14:paraId="3723A86B" w14:textId="77777777" w:rsidTr="00441C2A">
        <w:trPr>
          <w:jc w:val="center"/>
        </w:trPr>
        <w:tc>
          <w:tcPr>
            <w:tcW w:w="1666" w:type="pct"/>
          </w:tcPr>
          <w:p w14:paraId="0A4C449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2AEF6B6F"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3DF9455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1EE6B191"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336C4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0.057401</w:t>
            </w:r>
          </w:p>
        </w:tc>
      </w:tr>
      <w:tr w:rsidR="00EB6AE8" w:rsidRPr="00E47F58" w14:paraId="63C1AA0A" w14:textId="77777777" w:rsidTr="00441C2A">
        <w:trPr>
          <w:jc w:val="center"/>
        </w:trPr>
        <w:tc>
          <w:tcPr>
            <w:tcW w:w="1666" w:type="pct"/>
          </w:tcPr>
          <w:p w14:paraId="6E00D1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3076251D"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3F7AA27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5EB7ED19"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510FBC8F"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0.045015</w:t>
            </w:r>
          </w:p>
        </w:tc>
      </w:tr>
    </w:tbl>
    <w:p w14:paraId="17A537A6" w14:textId="77777777" w:rsidR="00EB6AE8" w:rsidRPr="00E47F58" w:rsidRDefault="00EB6AE8" w:rsidP="00EB6AE8">
      <w:pPr>
        <w:pStyle w:val="j"/>
        <w:rPr>
          <w:rFonts w:ascii="Arial" w:hAnsi="Arial" w:cs="Arial"/>
          <w:sz w:val="20"/>
          <w:szCs w:val="20"/>
          <w:lang w:val="en-GB"/>
        </w:rPr>
      </w:pPr>
    </w:p>
    <w:p w14:paraId="38549201" w14:textId="77777777" w:rsidR="00EB6AE8" w:rsidRPr="00E47F58" w:rsidRDefault="00EB6AE8" w:rsidP="00EB6AE8">
      <w:pPr>
        <w:pStyle w:val="j"/>
        <w:rPr>
          <w:rFonts w:ascii="Arial" w:hAnsi="Arial" w:cs="Arial"/>
          <w:sz w:val="20"/>
          <w:szCs w:val="20"/>
          <w:lang w:val="en-GB"/>
        </w:rPr>
      </w:pPr>
    </w:p>
    <w:p w14:paraId="1F71FAC5"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There is a huge difference between the two FCs compared, indicating there was no effect of bacterial challenge on the immune improvements induced by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incorporation into fish diet</w:t>
      </w:r>
      <w:r w:rsidR="00441C2A" w:rsidRPr="00E47F58">
        <w:rPr>
          <w:rFonts w:ascii="Arial" w:hAnsi="Arial" w:cs="Arial"/>
          <w:i/>
          <w:iCs/>
          <w:sz w:val="20"/>
          <w:szCs w:val="20"/>
          <w:lang w:val="en-GB"/>
        </w:rPr>
        <w:t xml:space="preserve"> </w:t>
      </w:r>
      <w:r w:rsidR="00441C2A" w:rsidRPr="00E47F58">
        <w:rPr>
          <w:rFonts w:ascii="Arial" w:hAnsi="Arial" w:cs="Arial"/>
          <w:iCs/>
          <w:sz w:val="20"/>
          <w:szCs w:val="20"/>
          <w:lang w:val="en-GB"/>
        </w:rPr>
        <w:t xml:space="preserve">as compared with fish which did not received the micro algal treatment </w:t>
      </w:r>
      <w:r w:rsidR="00441C2A" w:rsidRPr="00E47F58">
        <w:rPr>
          <w:rFonts w:ascii="Arial" w:hAnsi="Arial" w:cs="Arial"/>
          <w:sz w:val="20"/>
          <w:szCs w:val="20"/>
          <w:lang w:val="en-GB"/>
        </w:rPr>
        <w:t xml:space="preserve">(Table </w:t>
      </w:r>
      <w:r w:rsidRPr="00E47F58">
        <w:rPr>
          <w:rFonts w:ascii="Arial" w:hAnsi="Arial" w:cs="Arial"/>
          <w:sz w:val="20"/>
          <w:szCs w:val="20"/>
          <w:lang w:val="en-GB"/>
        </w:rPr>
        <w:t>7).</w:t>
      </w:r>
    </w:p>
    <w:p w14:paraId="72AE1933" w14:textId="08E2C268" w:rsidR="00EB6AE8" w:rsidRPr="00E47F58" w:rsidRDefault="00A60DD7" w:rsidP="00E47F58">
      <w:pPr>
        <w:pStyle w:val="Heading3"/>
        <w:rPr>
          <w:sz w:val="20"/>
          <w:szCs w:val="20"/>
          <w:lang w:val="en-GB"/>
        </w:rPr>
      </w:pPr>
      <w:bookmarkStart w:id="54" w:name="_Toc49955763"/>
      <w:bookmarkStart w:id="55" w:name="_Toc50652454"/>
      <w:r>
        <w:rPr>
          <w:sz w:val="20"/>
          <w:szCs w:val="20"/>
          <w:lang w:val="en-GB"/>
        </w:rPr>
        <w:t>3.8</w:t>
      </w:r>
      <w:r w:rsidR="004B090C" w:rsidRPr="00E47F58">
        <w:rPr>
          <w:sz w:val="20"/>
          <w:szCs w:val="20"/>
          <w:lang w:val="en-GB"/>
        </w:rPr>
        <w:tab/>
      </w:r>
      <w:r w:rsidR="00441C2A" w:rsidRPr="00E47F58">
        <w:rPr>
          <w:sz w:val="20"/>
          <w:szCs w:val="20"/>
          <w:lang w:val="en-GB"/>
        </w:rPr>
        <w:t xml:space="preserve">MVDA </w:t>
      </w:r>
      <w:r w:rsidR="00EB6AE8" w:rsidRPr="00E47F58">
        <w:rPr>
          <w:sz w:val="20"/>
          <w:szCs w:val="20"/>
          <w:lang w:val="en-GB"/>
        </w:rPr>
        <w:t>Model</w:t>
      </w:r>
      <w:r w:rsidR="0048025D" w:rsidRPr="00E47F58">
        <w:rPr>
          <w:sz w:val="20"/>
          <w:szCs w:val="20"/>
          <w:lang w:val="en-GB"/>
        </w:rPr>
        <w:t>s</w:t>
      </w:r>
      <w:r w:rsidR="00EB6AE8" w:rsidRPr="00E47F58">
        <w:rPr>
          <w:sz w:val="20"/>
          <w:szCs w:val="20"/>
          <w:lang w:val="en-GB"/>
        </w:rPr>
        <w:t xml:space="preserve"> validation</w:t>
      </w:r>
      <w:bookmarkEnd w:id="54"/>
      <w:bookmarkEnd w:id="55"/>
    </w:p>
    <w:p w14:paraId="1C09BE3A" w14:textId="5B9D0300" w:rsidR="00441C2A" w:rsidRPr="00E47F58" w:rsidRDefault="00441C2A" w:rsidP="00151BFC">
      <w:pPr>
        <w:pStyle w:val="single"/>
        <w:rPr>
          <w:rFonts w:ascii="Arial" w:hAnsi="Arial" w:cs="Arial"/>
          <w:sz w:val="20"/>
          <w:szCs w:val="20"/>
        </w:rPr>
      </w:pPr>
      <w:r w:rsidRPr="00E47F58">
        <w:rPr>
          <w:rFonts w:ascii="Arial" w:hAnsi="Arial" w:cs="Arial"/>
          <w:sz w:val="20"/>
          <w:szCs w:val="20"/>
        </w:rPr>
        <w:t xml:space="preserve">The goodness of fit and predictability of a MVDA model are determined by calculating the R2 and Q2 which stands for fitness and predictability respectively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{"citationItems":[{"id":"ITEM-1","itemData":{"DOI":"10.1007/s11101-006-9031-3","ISSN":"15687767","abstract":"Metabolomics is defined as both the qualitative and quantitative analysis of all metabolites in an organism unraveling correlation with other OMICs data. Many of the technologies used in metabolomics have method-specific advantages and drawbacks in terms of diversity of metabolites detected, sensitivity, or resolution. In this paper, the potential of NMR spectrometry applied to metabolomics is reviewed using examples of Nicotiana tabacum and Catharanthus roseus. © 2007 Springer Science+Business Media B.V.","author":[{"dropping-particle":"","family":"Verpoorte","given":"R.","non-dropping-particle":"","parse-names":false,"suffix":""},{"dropping-particle":"","family":"Choi","given":"Y. H.","non-dropping-particle":"","parse-names":false,"suffix":""},{"dropping-particle":"","family":"Kim","given":"H. K.","non-dropping-particle":"","parse-names":false,"suffix":""}],"container-title":"Phytochemistry Reviews","id":"ITEM-1","issue":"1","issued":{"date-parts":[["2007"]]},"page":"3-14","title":"NMR-based metabolomics at work in phytochemistry","type":"article-journal","volume":"6"},"uris":["http://www.mendeley.com/documents/?uuid=c2fcdc91-6e5a-4a21-9668-98b19bffae6d","http://www.mendeley.com/documents/?uuid=08dadb37-fa67-4299-8bbb-eca6ff533e28"]}],"mendeley":{"formattedCitation":"(Verpoorte et al., 2007)","manualFormatting":"(Verpoorte et al., 2007)","plainTextFormattedCitation":"(Verpoorte et al., 2007)","previouslyFormattedCitation":"(Verpoorte, Choi, and Kim 2007)"},"properties":{"noteIndex":0},"schema":"https://github.com/citation-style-language/schema/raw/master/csl-citation.json"}</w:instrText>
      </w:r>
      <w:r w:rsidRPr="00E47F58">
        <w:rPr>
          <w:rFonts w:ascii="Arial" w:hAnsi="Arial" w:cs="Arial"/>
          <w:sz w:val="20"/>
          <w:szCs w:val="20"/>
        </w:rPr>
        <w:fldChar w:fldCharType="separate"/>
      </w:r>
      <w:r w:rsidRPr="00E47F58">
        <w:rPr>
          <w:rFonts w:ascii="Arial" w:hAnsi="Arial" w:cs="Arial"/>
          <w:noProof/>
          <w:sz w:val="20"/>
          <w:szCs w:val="20"/>
        </w:rPr>
        <w:t>(Verpoorte et al., 2007)</w:t>
      </w:r>
      <w:r w:rsidRPr="00E47F58">
        <w:rPr>
          <w:rFonts w:ascii="Arial" w:hAnsi="Arial" w:cs="Arial"/>
          <w:sz w:val="20"/>
          <w:szCs w:val="20"/>
        </w:rPr>
        <w:fldChar w:fldCharType="end"/>
      </w:r>
      <w:r w:rsidRPr="00E47F58">
        <w:rPr>
          <w:rFonts w:ascii="Arial" w:hAnsi="Arial" w:cs="Arial"/>
          <w:sz w:val="20"/>
          <w:szCs w:val="20"/>
        </w:rPr>
        <w:t>. Generally, R2 determines how well the training data set are statistically reproducible and when R2 intercept is less than 0.4 and Q2 intercept is less than -0.05 along Y-axis, the model is said to exhibit good fitness a</w:t>
      </w:r>
      <w:r w:rsidR="0048025D" w:rsidRPr="00E47F58">
        <w:rPr>
          <w:rFonts w:ascii="Arial" w:hAnsi="Arial" w:cs="Arial"/>
          <w:sz w:val="20"/>
          <w:szCs w:val="20"/>
        </w:rPr>
        <w:t>nd predictability. The above MVDA</w:t>
      </w:r>
      <w:r w:rsidRPr="00E47F58">
        <w:rPr>
          <w:rFonts w:ascii="Arial" w:hAnsi="Arial" w:cs="Arial"/>
          <w:sz w:val="20"/>
          <w:szCs w:val="20"/>
        </w:rPr>
        <w:t xml:space="preserve"> models </w:t>
      </w:r>
      <w:r w:rsidR="0048025D" w:rsidRPr="00E47F58">
        <w:rPr>
          <w:rFonts w:ascii="Arial" w:hAnsi="Arial" w:cs="Arial"/>
          <w:sz w:val="20"/>
          <w:szCs w:val="20"/>
        </w:rPr>
        <w:t xml:space="preserve">in this studies </w:t>
      </w:r>
      <w:r w:rsidRPr="00E47F58">
        <w:rPr>
          <w:rFonts w:ascii="Arial" w:hAnsi="Arial" w:cs="Arial"/>
          <w:sz w:val="20"/>
          <w:szCs w:val="20"/>
        </w:rPr>
        <w:t>fulfil the requirements for both R2 and Q2 suggesting that the models meet the criteria for the validation and prediction performance. The permutation tests with 100 permutations and external v</w:t>
      </w:r>
      <w:r w:rsidR="0048025D" w:rsidRPr="00E47F58">
        <w:rPr>
          <w:rFonts w:ascii="Arial" w:hAnsi="Arial" w:cs="Arial"/>
          <w:sz w:val="20"/>
          <w:szCs w:val="20"/>
        </w:rPr>
        <w:t>alidation indicated that the models were valid (Figure 9</w:t>
      </w:r>
      <w:r w:rsidR="00151BFC" w:rsidRPr="00E47F58">
        <w:rPr>
          <w:rFonts w:ascii="Arial" w:hAnsi="Arial" w:cs="Arial"/>
          <w:sz w:val="20"/>
          <w:szCs w:val="20"/>
        </w:rPr>
        <w:t>).</w:t>
      </w:r>
    </w:p>
    <w:p w14:paraId="3CD384EC" w14:textId="77777777" w:rsidR="00EB6AE8" w:rsidRPr="00E47F58" w:rsidRDefault="00EB6AE8" w:rsidP="00151BFC">
      <w:pPr>
        <w:spacing w:after="0" w:line="240" w:lineRule="auto"/>
        <w:jc w:val="both"/>
        <w:rPr>
          <w:rFonts w:ascii="Arial" w:hAnsi="Arial" w:cs="Arial"/>
          <w:color w:val="000000" w:themeColor="text1"/>
          <w:sz w:val="20"/>
          <w:szCs w:val="20"/>
        </w:rPr>
      </w:pPr>
      <w:r w:rsidRPr="00E47F58">
        <w:rPr>
          <w:rFonts w:ascii="Arial" w:hAnsi="Arial" w:cs="Arial"/>
          <w:b/>
          <w:bCs/>
          <w:color w:val="000000" w:themeColor="text1"/>
          <w:sz w:val="20"/>
          <w:szCs w:val="20"/>
        </w:rPr>
        <w:lastRenderedPageBreak/>
        <w:tab/>
      </w:r>
      <w:r w:rsidR="00BD191A" w:rsidRPr="00E47F58">
        <w:rPr>
          <w:rFonts w:ascii="Arial" w:hAnsi="Arial" w:cs="Arial"/>
          <w:b/>
          <w:bCs/>
          <w:noProof/>
          <w:color w:val="000000" w:themeColor="text1"/>
          <w:sz w:val="20"/>
          <w:szCs w:val="20"/>
        </w:rPr>
        <w:drawing>
          <wp:inline distT="0" distB="0" distL="0" distR="0" wp14:anchorId="5E94CF61" wp14:editId="0DE4AEF5">
            <wp:extent cx="4579044" cy="7028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7294" t="796" r="9496" b="1691"/>
                    <a:stretch/>
                  </pic:blipFill>
                  <pic:spPr bwMode="auto">
                    <a:xfrm>
                      <a:off x="0" y="0"/>
                      <a:ext cx="4633767" cy="7112954"/>
                    </a:xfrm>
                    <a:prstGeom prst="rect">
                      <a:avLst/>
                    </a:prstGeom>
                    <a:noFill/>
                    <a:ln>
                      <a:noFill/>
                    </a:ln>
                    <a:extLst>
                      <a:ext uri="{53640926-AAD7-44D8-BBD7-CCE9431645EC}">
                        <a14:shadowObscured xmlns:a14="http://schemas.microsoft.com/office/drawing/2010/main"/>
                      </a:ext>
                    </a:extLst>
                  </pic:spPr>
                </pic:pic>
              </a:graphicData>
            </a:graphic>
          </wp:inline>
        </w:drawing>
      </w:r>
    </w:p>
    <w:p w14:paraId="199F2103" w14:textId="6606DB23" w:rsidR="00EB6AE8" w:rsidRDefault="00EB6AE8" w:rsidP="00EB6AE8">
      <w:pPr>
        <w:pStyle w:val="Caption"/>
        <w:rPr>
          <w:rFonts w:ascii="Arial" w:hAnsi="Arial" w:cs="Arial"/>
          <w:sz w:val="20"/>
          <w:szCs w:val="20"/>
        </w:rPr>
      </w:pPr>
      <w:bookmarkStart w:id="56" w:name="_Toc50653945"/>
      <w:r w:rsidRPr="00E47F58">
        <w:rPr>
          <w:rFonts w:ascii="Arial" w:hAnsi="Arial" w:cs="Arial"/>
          <w:sz w:val="20"/>
          <w:szCs w:val="20"/>
        </w:rPr>
        <w:t>Figure</w:t>
      </w:r>
      <w:r w:rsidR="0048025D"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9</w:t>
      </w:r>
      <w:r w:rsidR="0022766E" w:rsidRPr="00E47F58">
        <w:rPr>
          <w:rFonts w:ascii="Arial" w:hAnsi="Arial" w:cs="Arial"/>
          <w:noProof/>
          <w:sz w:val="20"/>
          <w:szCs w:val="20"/>
        </w:rPr>
        <w:fldChar w:fldCharType="end"/>
      </w:r>
      <w:r w:rsidRPr="00E47F58">
        <w:rPr>
          <w:rFonts w:ascii="Arial" w:hAnsi="Arial" w:cs="Arial"/>
          <w:sz w:val="20"/>
          <w:szCs w:val="20"/>
        </w:rPr>
        <w:t xml:space="preserve"> : The PLS-DA; CV and CF (a) OPLS-DA; CF and CFC (b) OPLS-DA; CV and CVC</w:t>
      </w:r>
      <w:r w:rsidR="00F841A7">
        <w:rPr>
          <w:rFonts w:ascii="Arial" w:hAnsi="Arial" w:cs="Arial"/>
          <w:sz w:val="20"/>
          <w:szCs w:val="20"/>
        </w:rPr>
        <w:t xml:space="preserve"> (c)</w:t>
      </w:r>
      <w:bookmarkStart w:id="57" w:name="_GoBack"/>
      <w:bookmarkEnd w:id="57"/>
      <w:r w:rsidRPr="00E47F58">
        <w:rPr>
          <w:rFonts w:ascii="Arial" w:hAnsi="Arial" w:cs="Arial"/>
          <w:sz w:val="20"/>
          <w:szCs w:val="20"/>
        </w:rPr>
        <w:t xml:space="preserve"> model</w:t>
      </w:r>
      <w:r w:rsidR="0048025D" w:rsidRPr="00E47F58">
        <w:rPr>
          <w:rFonts w:ascii="Arial" w:hAnsi="Arial" w:cs="Arial"/>
          <w:sz w:val="20"/>
          <w:szCs w:val="20"/>
        </w:rPr>
        <w:t>s</w:t>
      </w:r>
      <w:r w:rsidRPr="00E47F58">
        <w:rPr>
          <w:rFonts w:ascii="Arial" w:hAnsi="Arial" w:cs="Arial"/>
          <w:sz w:val="20"/>
          <w:szCs w:val="20"/>
        </w:rPr>
        <w:t xml:space="preserve"> validation with 100 permutations for prophylaxis study analysis</w:t>
      </w:r>
      <w:bookmarkEnd w:id="56"/>
      <w:r w:rsidR="000A0BA1" w:rsidRPr="00E47F58">
        <w:rPr>
          <w:rFonts w:ascii="Arial" w:hAnsi="Arial" w:cs="Arial"/>
          <w:sz w:val="20"/>
          <w:szCs w:val="20"/>
        </w:rPr>
        <w:t>.</w:t>
      </w:r>
    </w:p>
    <w:p w14:paraId="08C22A50" w14:textId="77777777" w:rsidR="00E47F58" w:rsidRPr="00E47F58" w:rsidRDefault="00E47F58" w:rsidP="00E47F58"/>
    <w:p w14:paraId="1BDDF7B6" w14:textId="77777777" w:rsidR="00EB6AE8" w:rsidRPr="00000A2B" w:rsidRDefault="004B090C" w:rsidP="002C772B">
      <w:pPr>
        <w:pStyle w:val="Heading2"/>
      </w:pPr>
      <w:bookmarkStart w:id="58" w:name="_Toc49955764"/>
      <w:bookmarkStart w:id="59" w:name="_Toc50652455"/>
      <w:r>
        <w:lastRenderedPageBreak/>
        <w:t>4.0</w:t>
      </w:r>
      <w:r>
        <w:tab/>
      </w:r>
      <w:r w:rsidR="00123C53" w:rsidRPr="00000A2B">
        <w:t>CONCLUSION</w:t>
      </w:r>
      <w:bookmarkEnd w:id="58"/>
      <w:bookmarkEnd w:id="59"/>
    </w:p>
    <w:p w14:paraId="2D74C0E2" w14:textId="2D896AA9"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The research findings show that there was </w:t>
      </w:r>
      <w:r w:rsidR="00814B29">
        <w:rPr>
          <w:rFonts w:ascii="Arial" w:hAnsi="Arial" w:cs="Arial"/>
          <w:sz w:val="20"/>
          <w:szCs w:val="20"/>
          <w:lang w:val="en-GB"/>
        </w:rPr>
        <w:t xml:space="preserve">a </w:t>
      </w:r>
      <w:r w:rsidR="00814B29" w:rsidRPr="00814B29">
        <w:rPr>
          <w:rFonts w:ascii="Arial" w:hAnsi="Arial" w:cs="Arial"/>
          <w:sz w:val="20"/>
          <w:szCs w:val="20"/>
          <w:highlight w:val="yellow"/>
          <w:lang w:val="en-GB"/>
        </w:rPr>
        <w:t>mild</w:t>
      </w:r>
      <w:r w:rsidRPr="00814B29">
        <w:rPr>
          <w:rFonts w:ascii="Arial" w:hAnsi="Arial" w:cs="Arial"/>
          <w:sz w:val="20"/>
          <w:szCs w:val="20"/>
          <w:highlight w:val="yellow"/>
          <w:lang w:val="en-GB"/>
        </w:rPr>
        <w:t xml:space="preserve"> negative effect</w:t>
      </w:r>
      <w:r w:rsidRPr="00101146">
        <w:rPr>
          <w:rFonts w:ascii="Arial" w:hAnsi="Arial" w:cs="Arial"/>
          <w:sz w:val="20"/>
          <w:szCs w:val="20"/>
          <w:lang w:val="en-GB"/>
        </w:rPr>
        <w:t xml:space="preserve"> of </w:t>
      </w:r>
      <w:r w:rsidRPr="00101146">
        <w:rPr>
          <w:rFonts w:ascii="Arial" w:hAnsi="Arial" w:cs="Arial"/>
          <w:i/>
          <w:iCs/>
          <w:sz w:val="20"/>
          <w:szCs w:val="20"/>
          <w:lang w:val="en-GB"/>
        </w:rPr>
        <w:t xml:space="preserve">S. agalactiae </w:t>
      </w:r>
      <w:r w:rsidRPr="00101146">
        <w:rPr>
          <w:rFonts w:ascii="Arial" w:hAnsi="Arial" w:cs="Arial"/>
          <w:sz w:val="20"/>
          <w:szCs w:val="20"/>
          <w:lang w:val="en-GB"/>
        </w:rPr>
        <w:t xml:space="preserve">bacteria on the fish pre-fed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in terms of metabolite down</w:t>
      </w:r>
      <w:r w:rsidR="0048025D" w:rsidRPr="00101146">
        <w:rPr>
          <w:rFonts w:ascii="Arial" w:hAnsi="Arial" w:cs="Arial"/>
          <w:sz w:val="20"/>
          <w:szCs w:val="20"/>
          <w:lang w:val="en-GB"/>
        </w:rPr>
        <w:t xml:space="preserve"> </w:t>
      </w:r>
      <w:r w:rsidRPr="00101146">
        <w:rPr>
          <w:rFonts w:ascii="Arial" w:hAnsi="Arial" w:cs="Arial"/>
          <w:sz w:val="20"/>
          <w:szCs w:val="20"/>
          <w:lang w:val="en-GB"/>
        </w:rPr>
        <w:t xml:space="preserve">regulation. This substantiate the findings and provide basis that immune improvement provided by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incorporation into fish feed for tilapia was sustained even when the fish was challenged with a virulent bacterium, </w:t>
      </w:r>
      <w:r w:rsidRPr="00101146">
        <w:rPr>
          <w:rFonts w:ascii="Arial" w:hAnsi="Arial" w:cs="Arial"/>
          <w:i/>
          <w:iCs/>
          <w:sz w:val="20"/>
          <w:szCs w:val="20"/>
          <w:lang w:val="en-GB"/>
        </w:rPr>
        <w:t>S. agalactiae</w:t>
      </w:r>
      <w:r w:rsidRPr="00101146">
        <w:rPr>
          <w:rFonts w:ascii="Arial" w:hAnsi="Arial" w:cs="Arial"/>
          <w:sz w:val="20"/>
          <w:szCs w:val="20"/>
          <w:lang w:val="en-GB"/>
        </w:rPr>
        <w:t xml:space="preserve">. In addition, the MVA findings agree with the results that showed 90% survival rate of fish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 a bacterial challenge study. This maybe an indication why such high survival rate was obtained with fish population previously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prior to bacterial challenge.</w:t>
      </w:r>
    </w:p>
    <w:p w14:paraId="731867AE" w14:textId="7B0CDA5F" w:rsidR="00EB6AE8"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In conclusion, 125 mg/kg </w:t>
      </w:r>
      <w:proofErr w:type="spellStart"/>
      <w:r w:rsidRPr="00101146">
        <w:rPr>
          <w:rFonts w:ascii="Arial" w:hAnsi="Arial" w:cs="Arial"/>
          <w:sz w:val="20"/>
          <w:szCs w:val="20"/>
          <w:lang w:val="en-GB"/>
        </w:rPr>
        <w:t>bw</w:t>
      </w:r>
      <w:proofErr w:type="spellEnd"/>
      <w:r w:rsidRPr="00101146">
        <w:rPr>
          <w:rFonts w:ascii="Arial" w:hAnsi="Arial" w:cs="Arial"/>
          <w:sz w:val="20"/>
          <w:szCs w:val="20"/>
          <w:lang w:val="en-GB"/>
        </w:rPr>
        <w:t xml:space="preserve"> concentration of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incorporated into fish feed exerts potential immuno-modulatory effects in tilapia fish in 3 weeks which was sustained </w:t>
      </w:r>
      <w:r w:rsidR="0048025D" w:rsidRPr="00101146">
        <w:rPr>
          <w:rFonts w:ascii="Arial" w:hAnsi="Arial" w:cs="Arial"/>
          <w:sz w:val="20"/>
          <w:szCs w:val="20"/>
          <w:lang w:val="en-GB"/>
        </w:rPr>
        <w:t xml:space="preserve">even </w:t>
      </w:r>
      <w:r w:rsidRPr="00101146">
        <w:rPr>
          <w:rFonts w:ascii="Arial" w:hAnsi="Arial" w:cs="Arial"/>
          <w:sz w:val="20"/>
          <w:szCs w:val="20"/>
          <w:lang w:val="en-GB"/>
        </w:rPr>
        <w:t xml:space="preserve">after the fish was challenged with </w:t>
      </w:r>
      <w:r w:rsidRPr="00101146">
        <w:rPr>
          <w:rFonts w:ascii="Arial" w:hAnsi="Arial" w:cs="Arial"/>
          <w:i/>
          <w:iCs/>
          <w:sz w:val="20"/>
          <w:szCs w:val="20"/>
          <w:lang w:val="en-GB"/>
        </w:rPr>
        <w:t>S. agalactiae</w:t>
      </w:r>
      <w:r w:rsidRPr="00101146">
        <w:rPr>
          <w:rFonts w:ascii="Arial" w:hAnsi="Arial" w:cs="Arial"/>
          <w:sz w:val="20"/>
          <w:szCs w:val="20"/>
          <w:lang w:val="en-GB"/>
        </w:rPr>
        <w:t xml:space="preserve">. To the best of our knowledge, the present study was </w:t>
      </w:r>
      <w:r w:rsidR="0057212F" w:rsidRPr="0057212F">
        <w:rPr>
          <w:rFonts w:ascii="Arial" w:hAnsi="Arial" w:cs="Arial"/>
          <w:sz w:val="20"/>
          <w:szCs w:val="20"/>
          <w:highlight w:val="yellow"/>
          <w:lang w:val="en-GB"/>
        </w:rPr>
        <w:t>among</w:t>
      </w:r>
      <w:r w:rsidR="0057212F">
        <w:rPr>
          <w:rFonts w:ascii="Arial" w:hAnsi="Arial" w:cs="Arial"/>
          <w:sz w:val="20"/>
          <w:szCs w:val="20"/>
          <w:lang w:val="en-GB"/>
        </w:rPr>
        <w:t xml:space="preserve"> </w:t>
      </w:r>
      <w:r w:rsidRPr="00101146">
        <w:rPr>
          <w:rFonts w:ascii="Arial" w:hAnsi="Arial" w:cs="Arial"/>
          <w:sz w:val="20"/>
          <w:szCs w:val="20"/>
          <w:lang w:val="en-GB"/>
        </w:rPr>
        <w:t>the first attempt</w:t>
      </w:r>
      <w:r w:rsidR="0057212F" w:rsidRPr="0057212F">
        <w:rPr>
          <w:rFonts w:ascii="Arial" w:hAnsi="Arial" w:cs="Arial"/>
          <w:sz w:val="20"/>
          <w:szCs w:val="20"/>
          <w:highlight w:val="yellow"/>
          <w:lang w:val="en-GB"/>
        </w:rPr>
        <w:t>s</w:t>
      </w:r>
      <w:r w:rsidRPr="00101146">
        <w:rPr>
          <w:rFonts w:ascii="Arial" w:hAnsi="Arial" w:cs="Arial"/>
          <w:sz w:val="20"/>
          <w:szCs w:val="20"/>
          <w:lang w:val="en-GB"/>
        </w:rPr>
        <w:t xml:space="preserve"> that proposed the application of </w:t>
      </w:r>
      <w:r w:rsidRPr="00101146">
        <w:rPr>
          <w:rFonts w:ascii="Arial" w:hAnsi="Arial" w:cs="Arial"/>
          <w:sz w:val="20"/>
          <w:szCs w:val="20"/>
          <w:vertAlign w:val="superscript"/>
          <w:lang w:val="en-GB"/>
        </w:rPr>
        <w:t>1</w:t>
      </w:r>
      <w:r w:rsidRPr="00101146">
        <w:rPr>
          <w:rFonts w:ascii="Arial" w:hAnsi="Arial" w:cs="Arial"/>
          <w:sz w:val="20"/>
          <w:szCs w:val="20"/>
          <w:lang w:val="en-GB"/>
        </w:rPr>
        <w:t>H NMR-based metabolomics approach to study animal metabolome in order to support bacterial challenge findings that ensured prophylactic experiments.</w:t>
      </w:r>
    </w:p>
    <w:p w14:paraId="31E7005D" w14:textId="0605C0A3" w:rsidR="006D12E9" w:rsidRDefault="006D12E9" w:rsidP="006D12E9">
      <w:pPr>
        <w:rPr>
          <w:lang w:val="en-GB"/>
        </w:rPr>
      </w:pPr>
    </w:p>
    <w:p w14:paraId="3399589F" w14:textId="77777777" w:rsidR="006D12E9" w:rsidRPr="00005ED1" w:rsidRDefault="006D12E9" w:rsidP="006D12E9">
      <w:pPr>
        <w:pStyle w:val="NoSpacing"/>
        <w:rPr>
          <w:rFonts w:ascii="Arial" w:hAnsi="Arial" w:cs="Arial"/>
          <w:highlight w:val="yellow"/>
        </w:rPr>
      </w:pPr>
      <w:bookmarkStart w:id="60" w:name="_Hlk198031404"/>
      <w:r w:rsidRPr="00005ED1">
        <w:rPr>
          <w:rFonts w:ascii="Arial" w:hAnsi="Arial" w:cs="Arial"/>
          <w:highlight w:val="yellow"/>
        </w:rPr>
        <w:t>Disclaimer (Artificial intelligence)</w:t>
      </w:r>
    </w:p>
    <w:p w14:paraId="1CE99365" w14:textId="77777777" w:rsidR="006D12E9" w:rsidRPr="00005ED1" w:rsidRDefault="006D12E9" w:rsidP="006D12E9">
      <w:pPr>
        <w:pStyle w:val="NoSpacing"/>
        <w:rPr>
          <w:rFonts w:ascii="Arial" w:hAnsi="Arial" w:cs="Arial"/>
          <w:highlight w:val="yellow"/>
        </w:rPr>
      </w:pPr>
    </w:p>
    <w:p w14:paraId="47C8560B" w14:textId="77777777" w:rsidR="006D12E9" w:rsidRPr="00005ED1" w:rsidRDefault="006D12E9" w:rsidP="006D12E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60"/>
    <w:p w14:paraId="25BBE051" w14:textId="77777777" w:rsidR="006D12E9" w:rsidRPr="006D12E9" w:rsidRDefault="006D12E9" w:rsidP="006D12E9">
      <w:pPr>
        <w:rPr>
          <w:lang w:val="en-GB"/>
        </w:rPr>
      </w:pPr>
    </w:p>
    <w:p w14:paraId="0A4E664A" w14:textId="77777777" w:rsidR="00EB6AE8" w:rsidRPr="00101146" w:rsidRDefault="004B090C" w:rsidP="002C772B">
      <w:pPr>
        <w:pStyle w:val="Heading2"/>
      </w:pPr>
      <w:r w:rsidRPr="00101146">
        <w:t>REFERENCES</w:t>
      </w:r>
    </w:p>
    <w:p w14:paraId="4ADEA9EC" w14:textId="6DE68525" w:rsidR="00E51220" w:rsidRPr="00E51220" w:rsidRDefault="00ED4590" w:rsidP="00E51220">
      <w:pPr>
        <w:widowControl w:val="0"/>
        <w:autoSpaceDE w:val="0"/>
        <w:autoSpaceDN w:val="0"/>
        <w:adjustRightInd w:val="0"/>
        <w:spacing w:line="240" w:lineRule="auto"/>
        <w:ind w:left="480" w:hanging="480"/>
        <w:rPr>
          <w:rFonts w:ascii="Arial" w:hAnsi="Arial" w:cs="Arial"/>
          <w:noProof/>
          <w:sz w:val="20"/>
          <w:szCs w:val="24"/>
        </w:rPr>
      </w:pPr>
      <w:r w:rsidRPr="00101146">
        <w:rPr>
          <w:rFonts w:ascii="Arial" w:hAnsi="Arial" w:cs="Arial"/>
          <w:sz w:val="20"/>
          <w:szCs w:val="20"/>
          <w:lang w:val="en-GB"/>
        </w:rPr>
        <w:fldChar w:fldCharType="begin" w:fldLock="1"/>
      </w:r>
      <w:r w:rsidRPr="00101146">
        <w:rPr>
          <w:rFonts w:ascii="Arial" w:hAnsi="Arial" w:cs="Arial"/>
          <w:sz w:val="20"/>
          <w:szCs w:val="20"/>
          <w:lang w:val="en-GB"/>
        </w:rPr>
        <w:instrText xml:space="preserve">ADDIN Mendeley Bibliography CSL_BIBLIOGRAPHY </w:instrText>
      </w:r>
      <w:r w:rsidRPr="00101146">
        <w:rPr>
          <w:rFonts w:ascii="Arial" w:hAnsi="Arial" w:cs="Arial"/>
          <w:sz w:val="20"/>
          <w:szCs w:val="20"/>
          <w:lang w:val="en-GB"/>
        </w:rPr>
        <w:fldChar w:fldCharType="separate"/>
      </w:r>
      <w:r w:rsidR="00E51220" w:rsidRPr="00E51220">
        <w:rPr>
          <w:rFonts w:ascii="Arial" w:hAnsi="Arial" w:cs="Arial"/>
          <w:noProof/>
          <w:sz w:val="20"/>
          <w:szCs w:val="24"/>
        </w:rPr>
        <w:t xml:space="preserve">Ahmad, M. T., Shariff, M., Md. Yusoff, F., Goh, Y. M., &amp; Banerjee, S. (2018). Applications of microalga Chlorella vulgaris in aquaculture. </w:t>
      </w:r>
      <w:r w:rsidR="00E51220" w:rsidRPr="00E51220">
        <w:rPr>
          <w:rFonts w:ascii="Arial" w:hAnsi="Arial" w:cs="Arial"/>
          <w:i/>
          <w:iCs/>
          <w:noProof/>
          <w:sz w:val="20"/>
          <w:szCs w:val="24"/>
        </w:rPr>
        <w:t>Reviews in Aquaculture</w:t>
      </w:r>
      <w:r w:rsidR="00E51220" w:rsidRPr="00E51220">
        <w:rPr>
          <w:rFonts w:ascii="Arial" w:hAnsi="Arial" w:cs="Arial"/>
          <w:noProof/>
          <w:sz w:val="20"/>
          <w:szCs w:val="24"/>
        </w:rPr>
        <w:t>, 1–19. https://doi.org/10.1111/raq.12320</w:t>
      </w:r>
    </w:p>
    <w:p w14:paraId="5B299767"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Alqarni, A. M., Dissanayake, T., Nelson, D. J., Parkinson, J. A., Dufton, M. J., Ferro, V. A., &amp; Watson, D. G. (2019). Metabolomic profiling of the immune stimulatory effect of eicosenoids on PMA-differentiated THP-1 cells. </w:t>
      </w:r>
      <w:r w:rsidRPr="00E51220">
        <w:rPr>
          <w:rFonts w:ascii="Arial" w:hAnsi="Arial" w:cs="Arial"/>
          <w:i/>
          <w:iCs/>
          <w:noProof/>
          <w:sz w:val="20"/>
          <w:szCs w:val="24"/>
        </w:rPr>
        <w:t>Vaccines</w:t>
      </w:r>
      <w:r w:rsidRPr="00E51220">
        <w:rPr>
          <w:rFonts w:ascii="Arial" w:hAnsi="Arial" w:cs="Arial"/>
          <w:noProof/>
          <w:sz w:val="20"/>
          <w:szCs w:val="24"/>
        </w:rPr>
        <w:t xml:space="preserve">, </w:t>
      </w:r>
      <w:r w:rsidRPr="00E51220">
        <w:rPr>
          <w:rFonts w:ascii="Arial" w:hAnsi="Arial" w:cs="Arial"/>
          <w:i/>
          <w:iCs/>
          <w:noProof/>
          <w:sz w:val="20"/>
          <w:szCs w:val="24"/>
        </w:rPr>
        <w:t>7</w:t>
      </w:r>
      <w:r w:rsidRPr="00E51220">
        <w:rPr>
          <w:rFonts w:ascii="Arial" w:hAnsi="Arial" w:cs="Arial"/>
          <w:noProof/>
          <w:sz w:val="20"/>
          <w:szCs w:val="24"/>
        </w:rPr>
        <w:t>(4). https://doi.org/10.3390/vaccines7040142</w:t>
      </w:r>
    </w:p>
    <w:p w14:paraId="65A22DFF"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Amal, M. N. A., Koh, C. B., Nurliyana, M., Suhaiba, M., Nor-Amalina, Z., Santha, S., Diyana-Nadhirah, K. P., Yusof, M. T., Ina-Salwany, M. Y., &amp; Zamri-Saad, M. (2018). A case of natural co-infection of Tilapia Lake Virus and Aeromonas veronii in a Malaysian red hybrid tilapia (Oreochromis niloticus × O. mossambicus) farm experiencing high mortality. </w:t>
      </w:r>
      <w:r w:rsidRPr="00E51220">
        <w:rPr>
          <w:rFonts w:ascii="Arial" w:hAnsi="Arial" w:cs="Arial"/>
          <w:i/>
          <w:iCs/>
          <w:noProof/>
          <w:sz w:val="20"/>
          <w:szCs w:val="24"/>
        </w:rPr>
        <w:t>Aquaculture</w:t>
      </w:r>
      <w:r w:rsidRPr="00E51220">
        <w:rPr>
          <w:rFonts w:ascii="Arial" w:hAnsi="Arial" w:cs="Arial"/>
          <w:noProof/>
          <w:sz w:val="20"/>
          <w:szCs w:val="24"/>
        </w:rPr>
        <w:t xml:space="preserve">, </w:t>
      </w:r>
      <w:r w:rsidRPr="00E51220">
        <w:rPr>
          <w:rFonts w:ascii="Arial" w:hAnsi="Arial" w:cs="Arial"/>
          <w:i/>
          <w:iCs/>
          <w:noProof/>
          <w:sz w:val="20"/>
          <w:szCs w:val="24"/>
        </w:rPr>
        <w:t>485</w:t>
      </w:r>
      <w:r w:rsidRPr="00E51220">
        <w:rPr>
          <w:rFonts w:ascii="Arial" w:hAnsi="Arial" w:cs="Arial"/>
          <w:noProof/>
          <w:sz w:val="20"/>
          <w:szCs w:val="24"/>
        </w:rPr>
        <w:t>(July 2017), 12–16. https://doi.org/10.1016/j.aquaculture.2017.11.019</w:t>
      </w:r>
    </w:p>
    <w:p w14:paraId="19CB78D7"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Batista, A. P., Niccolai, A., Fradinho, P., Fragoso, S., Bursic, I., Rodolfi, L., Biondi, N., Tredici, M. R., Sousa, I., &amp; Raymundo, A. (2017). Microalgae biomass as an alternative ingredient in cookies: Sensory, physical and chemical properties, antioxidant activity and in vitro digestibility. </w:t>
      </w:r>
      <w:r w:rsidRPr="00E51220">
        <w:rPr>
          <w:rFonts w:ascii="Arial" w:hAnsi="Arial" w:cs="Arial"/>
          <w:i/>
          <w:iCs/>
          <w:noProof/>
          <w:sz w:val="20"/>
          <w:szCs w:val="24"/>
        </w:rPr>
        <w:t>Algal Research</w:t>
      </w:r>
      <w:r w:rsidRPr="00E51220">
        <w:rPr>
          <w:rFonts w:ascii="Arial" w:hAnsi="Arial" w:cs="Arial"/>
          <w:noProof/>
          <w:sz w:val="20"/>
          <w:szCs w:val="24"/>
        </w:rPr>
        <w:t xml:space="preserve">, </w:t>
      </w:r>
      <w:r w:rsidRPr="00E51220">
        <w:rPr>
          <w:rFonts w:ascii="Arial" w:hAnsi="Arial" w:cs="Arial"/>
          <w:i/>
          <w:iCs/>
          <w:noProof/>
          <w:sz w:val="20"/>
          <w:szCs w:val="24"/>
        </w:rPr>
        <w:t>26</w:t>
      </w:r>
      <w:r w:rsidRPr="00E51220">
        <w:rPr>
          <w:rFonts w:ascii="Arial" w:hAnsi="Arial" w:cs="Arial"/>
          <w:noProof/>
          <w:sz w:val="20"/>
          <w:szCs w:val="24"/>
        </w:rPr>
        <w:t>(June), 161–171. https://doi.org/10.1016/j.algal.2017.07.017</w:t>
      </w:r>
    </w:p>
    <w:p w14:paraId="2DE7847B"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Batista, A. P., Nunes, M. C., Fradinho, P., Gouveia, L., Sousa, I., Raymundo, A., &amp; Franco, J. M. (2012). Novel foods with microalgal ingredients - Effect of gel setting conditions on the linear viscoelasticity of Spirulina and Haematococcus gels. </w:t>
      </w:r>
      <w:r w:rsidRPr="00E51220">
        <w:rPr>
          <w:rFonts w:ascii="Arial" w:hAnsi="Arial" w:cs="Arial"/>
          <w:i/>
          <w:iCs/>
          <w:noProof/>
          <w:sz w:val="20"/>
          <w:szCs w:val="24"/>
        </w:rPr>
        <w:t>Journal of Food Engineering</w:t>
      </w:r>
      <w:r w:rsidRPr="00E51220">
        <w:rPr>
          <w:rFonts w:ascii="Arial" w:hAnsi="Arial" w:cs="Arial"/>
          <w:noProof/>
          <w:sz w:val="20"/>
          <w:szCs w:val="24"/>
        </w:rPr>
        <w:t xml:space="preserve">, </w:t>
      </w:r>
      <w:r w:rsidRPr="00E51220">
        <w:rPr>
          <w:rFonts w:ascii="Arial" w:hAnsi="Arial" w:cs="Arial"/>
          <w:i/>
          <w:iCs/>
          <w:noProof/>
          <w:sz w:val="20"/>
          <w:szCs w:val="24"/>
        </w:rPr>
        <w:t>110</w:t>
      </w:r>
      <w:r w:rsidRPr="00E51220">
        <w:rPr>
          <w:rFonts w:ascii="Arial" w:hAnsi="Arial" w:cs="Arial"/>
          <w:noProof/>
          <w:sz w:val="20"/>
          <w:szCs w:val="24"/>
        </w:rPr>
        <w:t>(2), 182–189. https://doi.org/10.1016/j.jfoodeng.2011.05.044</w:t>
      </w:r>
    </w:p>
    <w:p w14:paraId="25D23B40"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Beckonert, O., Keun, H. C., Ebbels, T. M. D., Bundy, J., Holmes, E., Lindon, J. C., &amp; Nicholson, J. K. (2007). Metabolic profiling, metabolomic and metabonomic procedures for NMR spectroscopy of </w:t>
      </w:r>
      <w:r w:rsidRPr="007C4A9E">
        <w:rPr>
          <w:rFonts w:ascii="Arial" w:hAnsi="Arial" w:cs="Arial"/>
          <w:noProof/>
          <w:sz w:val="20"/>
          <w:szCs w:val="24"/>
          <w:highlight w:val="yellow"/>
        </w:rPr>
        <w:lastRenderedPageBreak/>
        <w:t xml:space="preserve">urine, plasma, serum and tissue extracts. </w:t>
      </w:r>
      <w:r w:rsidRPr="007C4A9E">
        <w:rPr>
          <w:rFonts w:ascii="Arial" w:hAnsi="Arial" w:cs="Arial"/>
          <w:i/>
          <w:iCs/>
          <w:noProof/>
          <w:sz w:val="20"/>
          <w:szCs w:val="24"/>
          <w:highlight w:val="yellow"/>
        </w:rPr>
        <w:t>Nature Protocols</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2</w:t>
      </w:r>
      <w:r w:rsidRPr="007C4A9E">
        <w:rPr>
          <w:rFonts w:ascii="Arial" w:hAnsi="Arial" w:cs="Arial"/>
          <w:noProof/>
          <w:sz w:val="20"/>
          <w:szCs w:val="24"/>
          <w:highlight w:val="yellow"/>
        </w:rPr>
        <w:t>(11), 2692–2703. https://doi.org/10.1038/nprot.2007.376</w:t>
      </w:r>
    </w:p>
    <w:p w14:paraId="0D37D48E"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Bernini, P., Bertini, I., Luchinat, C., &amp; Turano, P. (2011). Standard operating procedures for pre-analytical handling of blood and urine for metabolomic studies and biobanks. </w:t>
      </w:r>
      <w:r w:rsidRPr="007C4A9E">
        <w:rPr>
          <w:rFonts w:ascii="Arial" w:hAnsi="Arial" w:cs="Arial"/>
          <w:i/>
          <w:iCs/>
          <w:noProof/>
          <w:sz w:val="20"/>
          <w:szCs w:val="24"/>
          <w:highlight w:val="yellow"/>
        </w:rPr>
        <w:t>Journal of Biomolecular NMR</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49</w:t>
      </w:r>
      <w:r w:rsidRPr="007C4A9E">
        <w:rPr>
          <w:rFonts w:ascii="Arial" w:hAnsi="Arial" w:cs="Arial"/>
          <w:noProof/>
          <w:sz w:val="20"/>
          <w:szCs w:val="24"/>
          <w:highlight w:val="yellow"/>
        </w:rPr>
        <w:t>, 231–243. https://doi.org/10.1007/s10858-011-9489-1</w:t>
      </w:r>
    </w:p>
    <w:p w14:paraId="31E1F7F2"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Bettina, M., Dennis, C. G., Herndon, D. N., &amp; Wolfe, R. R. (1999). Accelerated Glutamine Synthesis in Critically [I] Patients Cannot Maintain Normal Intramuscular Free Glutamine Concentration. </w:t>
      </w:r>
      <w:r w:rsidRPr="00E51220">
        <w:rPr>
          <w:rFonts w:ascii="Arial" w:hAnsi="Arial" w:cs="Arial"/>
          <w:i/>
          <w:iCs/>
          <w:noProof/>
          <w:sz w:val="20"/>
          <w:szCs w:val="24"/>
        </w:rPr>
        <w:t>Journal of Parenteral and Enteral Nutrition</w:t>
      </w:r>
      <w:r w:rsidRPr="00E51220">
        <w:rPr>
          <w:rFonts w:ascii="Arial" w:hAnsi="Arial" w:cs="Arial"/>
          <w:noProof/>
          <w:sz w:val="20"/>
          <w:szCs w:val="24"/>
        </w:rPr>
        <w:t xml:space="preserve">, </w:t>
      </w:r>
      <w:r w:rsidRPr="00E51220">
        <w:rPr>
          <w:rFonts w:ascii="Arial" w:hAnsi="Arial" w:cs="Arial"/>
          <w:i/>
          <w:iCs/>
          <w:noProof/>
          <w:sz w:val="20"/>
          <w:szCs w:val="24"/>
        </w:rPr>
        <w:t>23</w:t>
      </w:r>
      <w:r w:rsidRPr="00E51220">
        <w:rPr>
          <w:rFonts w:ascii="Arial" w:hAnsi="Arial" w:cs="Arial"/>
          <w:noProof/>
          <w:sz w:val="20"/>
          <w:szCs w:val="24"/>
        </w:rPr>
        <w:t>(5), 243–252.</w:t>
      </w:r>
    </w:p>
    <w:p w14:paraId="44F1C6C5"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Branco, A. C. C. C., Yoshikawa, F. S. Y., Pietrobon, A. J., &amp; Sato, M. N. (2018). Role of Histamine in Modulating the Immune Response and Inflammation. </w:t>
      </w:r>
      <w:r w:rsidRPr="00E51220">
        <w:rPr>
          <w:rFonts w:ascii="Arial" w:hAnsi="Arial" w:cs="Arial"/>
          <w:i/>
          <w:iCs/>
          <w:noProof/>
          <w:sz w:val="20"/>
          <w:szCs w:val="24"/>
        </w:rPr>
        <w:t>Mediators of Inflammation</w:t>
      </w:r>
      <w:r w:rsidRPr="00E51220">
        <w:rPr>
          <w:rFonts w:ascii="Arial" w:hAnsi="Arial" w:cs="Arial"/>
          <w:noProof/>
          <w:sz w:val="20"/>
          <w:szCs w:val="24"/>
        </w:rPr>
        <w:t xml:space="preserve">, </w:t>
      </w:r>
      <w:r w:rsidRPr="00E51220">
        <w:rPr>
          <w:rFonts w:ascii="Arial" w:hAnsi="Arial" w:cs="Arial"/>
          <w:i/>
          <w:iCs/>
          <w:noProof/>
          <w:sz w:val="20"/>
          <w:szCs w:val="24"/>
        </w:rPr>
        <w:t>2018</w:t>
      </w:r>
      <w:r w:rsidRPr="00E51220">
        <w:rPr>
          <w:rFonts w:ascii="Arial" w:hAnsi="Arial" w:cs="Arial"/>
          <w:noProof/>
          <w:sz w:val="20"/>
          <w:szCs w:val="24"/>
        </w:rPr>
        <w:t>. https://doi.org/10.1155/2018/9524075</w:t>
      </w:r>
    </w:p>
    <w:p w14:paraId="0A6354D4"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Dallaire, V., Lessard, P., Vandenberg, G., &amp; Noüe, J. De. (2007). </w:t>
      </w:r>
      <w:r w:rsidRPr="007C4A9E">
        <w:rPr>
          <w:rFonts w:ascii="Arial" w:hAnsi="Arial" w:cs="Arial"/>
          <w:i/>
          <w:iCs/>
          <w:noProof/>
          <w:sz w:val="20"/>
          <w:szCs w:val="24"/>
          <w:highlight w:val="yellow"/>
        </w:rPr>
        <w:t>E V ect of algal incorporation on growth , survival and carcass composition of rainbow trout ( Oncorhynchus mykiss ) fry</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98</w:t>
      </w:r>
      <w:r w:rsidRPr="007C4A9E">
        <w:rPr>
          <w:rFonts w:ascii="Arial" w:hAnsi="Arial" w:cs="Arial"/>
          <w:noProof/>
          <w:sz w:val="20"/>
          <w:szCs w:val="24"/>
          <w:highlight w:val="yellow"/>
        </w:rPr>
        <w:t>, 1433–1439. https://doi.org/10.1016/j.biortech.2006.05.043</w:t>
      </w:r>
    </w:p>
    <w:p w14:paraId="1FB9F3A7"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de Oliveira, D. C., da Silva Lima, F., Sartori, T., Santos, A. C. A., Rogero, M. M., &amp; Fock, R. A. (2016). Glutamine metabolism and its effects on immune response: molecular mechanism and gene expression. </w:t>
      </w:r>
      <w:r w:rsidRPr="00E51220">
        <w:rPr>
          <w:rFonts w:ascii="Arial" w:hAnsi="Arial" w:cs="Arial"/>
          <w:i/>
          <w:iCs/>
          <w:noProof/>
          <w:sz w:val="20"/>
          <w:szCs w:val="24"/>
        </w:rPr>
        <w:t>Nutrire</w:t>
      </w:r>
      <w:r w:rsidRPr="00E51220">
        <w:rPr>
          <w:rFonts w:ascii="Arial" w:hAnsi="Arial" w:cs="Arial"/>
          <w:noProof/>
          <w:sz w:val="20"/>
          <w:szCs w:val="24"/>
        </w:rPr>
        <w:t xml:space="preserve">, </w:t>
      </w:r>
      <w:r w:rsidRPr="00E51220">
        <w:rPr>
          <w:rFonts w:ascii="Arial" w:hAnsi="Arial" w:cs="Arial"/>
          <w:i/>
          <w:iCs/>
          <w:noProof/>
          <w:sz w:val="20"/>
          <w:szCs w:val="24"/>
        </w:rPr>
        <w:t>41</w:t>
      </w:r>
      <w:r w:rsidRPr="00E51220">
        <w:rPr>
          <w:rFonts w:ascii="Arial" w:hAnsi="Arial" w:cs="Arial"/>
          <w:noProof/>
          <w:sz w:val="20"/>
          <w:szCs w:val="24"/>
        </w:rPr>
        <w:t>(1), 1–10. https://doi.org/10.1186/s41110-016-0016-8</w:t>
      </w:r>
    </w:p>
    <w:p w14:paraId="3BC50EB5"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Enyidi, U. D. (2017). Chlorella vulgaris as Protein Source in the Diets of African Catfish Clarias gariepinus. </w:t>
      </w:r>
      <w:r w:rsidRPr="007C4A9E">
        <w:rPr>
          <w:rFonts w:ascii="Arial" w:hAnsi="Arial" w:cs="Arial"/>
          <w:i/>
          <w:iCs/>
          <w:noProof/>
          <w:sz w:val="20"/>
          <w:szCs w:val="24"/>
          <w:highlight w:val="yellow"/>
        </w:rPr>
        <w:t>Fishes</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2</w:t>
      </w:r>
      <w:r w:rsidRPr="007C4A9E">
        <w:rPr>
          <w:rFonts w:ascii="Arial" w:hAnsi="Arial" w:cs="Arial"/>
          <w:noProof/>
          <w:sz w:val="20"/>
          <w:szCs w:val="24"/>
          <w:highlight w:val="yellow"/>
        </w:rPr>
        <w:t>(17), 1–12. https://doi.org/10.3390/fishes2040017</w:t>
      </w:r>
    </w:p>
    <w:p w14:paraId="11D202B5"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Euceda, L. R., Giskeødegård, G. F., &amp; Bathen, T. F. (2015). Preprocessing of NMR metabolomics data. </w:t>
      </w:r>
      <w:r w:rsidRPr="007C4A9E">
        <w:rPr>
          <w:rFonts w:ascii="Arial" w:hAnsi="Arial" w:cs="Arial"/>
          <w:i/>
          <w:iCs/>
          <w:noProof/>
          <w:sz w:val="20"/>
          <w:szCs w:val="24"/>
          <w:highlight w:val="yellow"/>
        </w:rPr>
        <w:t>Scandinavian Journal of Clinical &amp; Laboratory Investigation</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75</w:t>
      </w:r>
      <w:r w:rsidRPr="007C4A9E">
        <w:rPr>
          <w:rFonts w:ascii="Arial" w:hAnsi="Arial" w:cs="Arial"/>
          <w:noProof/>
          <w:sz w:val="20"/>
          <w:szCs w:val="24"/>
          <w:highlight w:val="yellow"/>
        </w:rPr>
        <w:t>, 193–203. https://doi.org/10.3109/00365513.2014.1003593</w:t>
      </w:r>
    </w:p>
    <w:p w14:paraId="40BEA223"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Everts, B. (2018). Chapter 2 Metabolomics in Immunology Research. In </w:t>
      </w:r>
      <w:r w:rsidRPr="00E51220">
        <w:rPr>
          <w:rFonts w:ascii="Arial" w:hAnsi="Arial" w:cs="Arial"/>
          <w:i/>
          <w:iCs/>
          <w:noProof/>
          <w:sz w:val="20"/>
          <w:szCs w:val="24"/>
        </w:rPr>
        <w:t>Clinical Metabolomics: Methods and Protocols, Methods in Molecular Biology</w:t>
      </w:r>
      <w:r w:rsidRPr="00E51220">
        <w:rPr>
          <w:rFonts w:ascii="Arial" w:hAnsi="Arial" w:cs="Arial"/>
          <w:noProof/>
          <w:sz w:val="20"/>
          <w:szCs w:val="24"/>
        </w:rPr>
        <w:t xml:space="preserve"> (Vol. 1730, Number Lc, pp. 29–42).</w:t>
      </w:r>
    </w:p>
    <w:p w14:paraId="6C5EDE05"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Gilcreas, F. W. (1966). Standard methods for the examination of water and waste water. </w:t>
      </w:r>
      <w:r w:rsidRPr="00E51220">
        <w:rPr>
          <w:rFonts w:ascii="Arial" w:hAnsi="Arial" w:cs="Arial"/>
          <w:i/>
          <w:iCs/>
          <w:noProof/>
          <w:sz w:val="20"/>
          <w:szCs w:val="24"/>
        </w:rPr>
        <w:t>American Journal of Public Health and the Nation’s Health</w:t>
      </w:r>
      <w:r w:rsidRPr="00E51220">
        <w:rPr>
          <w:rFonts w:ascii="Arial" w:hAnsi="Arial" w:cs="Arial"/>
          <w:noProof/>
          <w:sz w:val="20"/>
          <w:szCs w:val="24"/>
        </w:rPr>
        <w:t xml:space="preserve">, </w:t>
      </w:r>
      <w:r w:rsidRPr="00E51220">
        <w:rPr>
          <w:rFonts w:ascii="Arial" w:hAnsi="Arial" w:cs="Arial"/>
          <w:i/>
          <w:iCs/>
          <w:noProof/>
          <w:sz w:val="20"/>
          <w:szCs w:val="24"/>
        </w:rPr>
        <w:t>56</w:t>
      </w:r>
      <w:r w:rsidRPr="00E51220">
        <w:rPr>
          <w:rFonts w:ascii="Arial" w:hAnsi="Arial" w:cs="Arial"/>
          <w:noProof/>
          <w:sz w:val="20"/>
          <w:szCs w:val="24"/>
        </w:rPr>
        <w:t>(3), 387–388. https://doi.org/10.2105/AJPH.56.3.387</w:t>
      </w:r>
    </w:p>
    <w:p w14:paraId="0E7866B2"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Gouveia, L., Veloso, V., Reis, A., Fernandes, H., Novais, J., &amp; Empis, J. (1996). Evolution of pigment composition in Chlorella vulgaris. </w:t>
      </w:r>
      <w:r w:rsidRPr="007C4A9E">
        <w:rPr>
          <w:rFonts w:ascii="Arial" w:hAnsi="Arial" w:cs="Arial"/>
          <w:i/>
          <w:iCs/>
          <w:noProof/>
          <w:sz w:val="20"/>
          <w:szCs w:val="24"/>
          <w:highlight w:val="yellow"/>
        </w:rPr>
        <w:t>Bioresource Technology</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57</w:t>
      </w:r>
      <w:r w:rsidRPr="007C4A9E">
        <w:rPr>
          <w:rFonts w:ascii="Arial" w:hAnsi="Arial" w:cs="Arial"/>
          <w:noProof/>
          <w:sz w:val="20"/>
          <w:szCs w:val="24"/>
          <w:highlight w:val="yellow"/>
        </w:rPr>
        <w:t>(2), 157–163. https://doi.org/10.1016/0960-8524(96)00058-2</w:t>
      </w:r>
    </w:p>
    <w:p w14:paraId="3C087E53"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Gray, D. W., Welsh, M. D., Doherty, S., Mansoor, F., Chevallier, O. P., Elliott, C. T., &amp; Mooney, M. H. (2015). Identification of systemic immune response markers through metabolomic profiling of plasma from calves given an intra-nasally delivered respiratory vaccine. </w:t>
      </w:r>
      <w:r w:rsidRPr="00E51220">
        <w:rPr>
          <w:rFonts w:ascii="Arial" w:hAnsi="Arial" w:cs="Arial"/>
          <w:i/>
          <w:iCs/>
          <w:noProof/>
          <w:sz w:val="20"/>
          <w:szCs w:val="24"/>
        </w:rPr>
        <w:t>Veterinary Research</w:t>
      </w:r>
      <w:r w:rsidRPr="00E51220">
        <w:rPr>
          <w:rFonts w:ascii="Arial" w:hAnsi="Arial" w:cs="Arial"/>
          <w:noProof/>
          <w:sz w:val="20"/>
          <w:szCs w:val="24"/>
        </w:rPr>
        <w:t xml:space="preserve">, </w:t>
      </w:r>
      <w:r w:rsidRPr="00E51220">
        <w:rPr>
          <w:rFonts w:ascii="Arial" w:hAnsi="Arial" w:cs="Arial"/>
          <w:i/>
          <w:iCs/>
          <w:noProof/>
          <w:sz w:val="20"/>
          <w:szCs w:val="24"/>
        </w:rPr>
        <w:t>46</w:t>
      </w:r>
      <w:r w:rsidRPr="00E51220">
        <w:rPr>
          <w:rFonts w:ascii="Arial" w:hAnsi="Arial" w:cs="Arial"/>
          <w:noProof/>
          <w:sz w:val="20"/>
          <w:szCs w:val="24"/>
        </w:rPr>
        <w:t>(7), 1–16. https://doi.org/10.1186/s13567-014-0138-z</w:t>
      </w:r>
    </w:p>
    <w:p w14:paraId="2CE310D1"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Gupta, S. K., Jha, A. K., Pal, A. K., &amp; Venkateshwarlu, G. (2007). </w:t>
      </w:r>
      <w:r w:rsidRPr="007C4A9E">
        <w:rPr>
          <w:rFonts w:ascii="Arial" w:hAnsi="Arial" w:cs="Arial"/>
          <w:i/>
          <w:iCs/>
          <w:noProof/>
          <w:sz w:val="20"/>
          <w:szCs w:val="24"/>
          <w:highlight w:val="yellow"/>
        </w:rPr>
        <w:t>Use of natural carotenoids for pigmentation in fishes</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6</w:t>
      </w:r>
      <w:r w:rsidRPr="007C4A9E">
        <w:rPr>
          <w:rFonts w:ascii="Arial" w:hAnsi="Arial" w:cs="Arial"/>
          <w:noProof/>
          <w:sz w:val="20"/>
          <w:szCs w:val="24"/>
          <w:highlight w:val="yellow"/>
        </w:rPr>
        <w:t>(1), 46–49.</w:t>
      </w:r>
    </w:p>
    <w:p w14:paraId="1E08F386"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Izquierdo-garcía, J. L., Villa, P., Kyriazis, A., Puerto-nevado, L., Pérez-rial, S., Rodriguez, I., Hernandez, N., &amp; Ruiz-cabello, J. (2011). Descriptive review of current NMR-based metabolomic data analysis packages. </w:t>
      </w:r>
      <w:r w:rsidRPr="007C4A9E">
        <w:rPr>
          <w:rFonts w:ascii="Arial" w:hAnsi="Arial" w:cs="Arial"/>
          <w:i/>
          <w:iCs/>
          <w:noProof/>
          <w:sz w:val="20"/>
          <w:szCs w:val="24"/>
          <w:highlight w:val="yellow"/>
        </w:rPr>
        <w:t>Progress in Nuclear Magnetic Resonance Spectroscopy</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59</w:t>
      </w:r>
      <w:r w:rsidRPr="007C4A9E">
        <w:rPr>
          <w:rFonts w:ascii="Arial" w:hAnsi="Arial" w:cs="Arial"/>
          <w:noProof/>
          <w:sz w:val="20"/>
          <w:szCs w:val="24"/>
          <w:highlight w:val="yellow"/>
        </w:rPr>
        <w:t>, 263–270. https://doi.org/10.1016/j.pnmrs.2011.02.001</w:t>
      </w:r>
    </w:p>
    <w:p w14:paraId="58732E1A"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Kahieshesfandiari, M., Sabri, M. Y., Ina-salwany, M. Y., Hassan, M. D., Noraini, O., Ajadi, A. A., &amp; Isiaku, A. I. (2019). Streptococcosis in Oreochromis sp.: is feed-based biofilm vaccine of Streptococcus agalactiae effective? </w:t>
      </w:r>
      <w:r w:rsidRPr="00E51220">
        <w:rPr>
          <w:rFonts w:ascii="Arial" w:hAnsi="Arial" w:cs="Arial"/>
          <w:i/>
          <w:iCs/>
          <w:noProof/>
          <w:sz w:val="20"/>
          <w:szCs w:val="24"/>
        </w:rPr>
        <w:t>Aquaculture International</w:t>
      </w:r>
      <w:r w:rsidRPr="00E51220">
        <w:rPr>
          <w:rFonts w:ascii="Arial" w:hAnsi="Arial" w:cs="Arial"/>
          <w:noProof/>
          <w:sz w:val="20"/>
          <w:szCs w:val="24"/>
        </w:rPr>
        <w:t xml:space="preserve">, </w:t>
      </w:r>
      <w:r w:rsidRPr="00E51220">
        <w:rPr>
          <w:rFonts w:ascii="Arial" w:hAnsi="Arial" w:cs="Arial"/>
          <w:i/>
          <w:iCs/>
          <w:noProof/>
          <w:sz w:val="20"/>
          <w:szCs w:val="24"/>
        </w:rPr>
        <w:t>27</w:t>
      </w:r>
      <w:r w:rsidRPr="00E51220">
        <w:rPr>
          <w:rFonts w:ascii="Arial" w:hAnsi="Arial" w:cs="Arial"/>
          <w:noProof/>
          <w:sz w:val="20"/>
          <w:szCs w:val="24"/>
        </w:rPr>
        <w:t>, 817–832. https://doi.org/10.1007/s10499-019-00372-8</w:t>
      </w:r>
    </w:p>
    <w:p w14:paraId="55BC6DCA"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lastRenderedPageBreak/>
        <w:t xml:space="preserve">Kim, S. (2015). </w:t>
      </w:r>
      <w:r w:rsidRPr="007C4A9E">
        <w:rPr>
          <w:rFonts w:ascii="Arial" w:hAnsi="Arial" w:cs="Arial"/>
          <w:i/>
          <w:iCs/>
          <w:noProof/>
          <w:sz w:val="20"/>
          <w:szCs w:val="24"/>
          <w:highlight w:val="yellow"/>
        </w:rPr>
        <w:t>Handbook of marine microalgae biotechnology advances</w:t>
      </w:r>
      <w:r w:rsidRPr="007C4A9E">
        <w:rPr>
          <w:rFonts w:ascii="Arial" w:hAnsi="Arial" w:cs="Arial"/>
          <w:noProof/>
          <w:sz w:val="20"/>
          <w:szCs w:val="24"/>
          <w:highlight w:val="yellow"/>
        </w:rPr>
        <w:t xml:space="preserve"> (2015th ed.). Elsevier Academic Press.</w:t>
      </w:r>
    </w:p>
    <w:p w14:paraId="38CCD020"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Lankadurai, B. P., Nagato, E. G., &amp; Simpson, M. J. (2013). Environmental metabolomics : an emerging approach to study organism responses to environmental stressors. </w:t>
      </w:r>
      <w:r w:rsidRPr="00E51220">
        <w:rPr>
          <w:rFonts w:ascii="Arial" w:hAnsi="Arial" w:cs="Arial"/>
          <w:i/>
          <w:iCs/>
          <w:noProof/>
          <w:sz w:val="20"/>
          <w:szCs w:val="24"/>
        </w:rPr>
        <w:t>Environmental Review</w:t>
      </w:r>
      <w:r w:rsidRPr="00E51220">
        <w:rPr>
          <w:rFonts w:ascii="Arial" w:hAnsi="Arial" w:cs="Arial"/>
          <w:noProof/>
          <w:sz w:val="20"/>
          <w:szCs w:val="24"/>
        </w:rPr>
        <w:t xml:space="preserve">, </w:t>
      </w:r>
      <w:r w:rsidRPr="00E51220">
        <w:rPr>
          <w:rFonts w:ascii="Arial" w:hAnsi="Arial" w:cs="Arial"/>
          <w:i/>
          <w:iCs/>
          <w:noProof/>
          <w:sz w:val="20"/>
          <w:szCs w:val="24"/>
        </w:rPr>
        <w:t>205</w:t>
      </w:r>
      <w:r w:rsidRPr="00E51220">
        <w:rPr>
          <w:rFonts w:ascii="Arial" w:hAnsi="Arial" w:cs="Arial"/>
          <w:noProof/>
          <w:sz w:val="20"/>
          <w:szCs w:val="24"/>
        </w:rPr>
        <w:t>(21), 180–205.</w:t>
      </w:r>
    </w:p>
    <w:p w14:paraId="24592B20"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Lin, J. J., Chung, X. J., Yang, C. Y., &amp; Lau, H. L. (2013). A meta-analysis of trials using the intention to treat principle for glutamine supplementation in critically ill patients with burn. </w:t>
      </w:r>
      <w:r w:rsidRPr="00E51220">
        <w:rPr>
          <w:rFonts w:ascii="Arial" w:hAnsi="Arial" w:cs="Arial"/>
          <w:i/>
          <w:iCs/>
          <w:noProof/>
          <w:sz w:val="20"/>
          <w:szCs w:val="24"/>
        </w:rPr>
        <w:t>Burns</w:t>
      </w:r>
      <w:r w:rsidRPr="00E51220">
        <w:rPr>
          <w:rFonts w:ascii="Arial" w:hAnsi="Arial" w:cs="Arial"/>
          <w:noProof/>
          <w:sz w:val="20"/>
          <w:szCs w:val="24"/>
        </w:rPr>
        <w:t xml:space="preserve">, </w:t>
      </w:r>
      <w:r w:rsidRPr="00E51220">
        <w:rPr>
          <w:rFonts w:ascii="Arial" w:hAnsi="Arial" w:cs="Arial"/>
          <w:i/>
          <w:iCs/>
          <w:noProof/>
          <w:sz w:val="20"/>
          <w:szCs w:val="24"/>
        </w:rPr>
        <w:t>39</w:t>
      </w:r>
      <w:r w:rsidRPr="00E51220">
        <w:rPr>
          <w:rFonts w:ascii="Arial" w:hAnsi="Arial" w:cs="Arial"/>
          <w:noProof/>
          <w:sz w:val="20"/>
          <w:szCs w:val="24"/>
        </w:rPr>
        <w:t>(4), 565–570. https://doi.org/10.1016/j.burns.2012.11.008</w:t>
      </w:r>
    </w:p>
    <w:p w14:paraId="0BD839C1"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Magnadottir, B., Lange, S., Gudmundsdottir, S., Bøgwald, J., &amp; Dalmo, R. A. (2005). Ontogeny of humoral immune parameters in fish. </w:t>
      </w:r>
      <w:r w:rsidRPr="007C4A9E">
        <w:rPr>
          <w:rFonts w:ascii="Arial" w:hAnsi="Arial" w:cs="Arial"/>
          <w:i/>
          <w:iCs/>
          <w:noProof/>
          <w:sz w:val="20"/>
          <w:szCs w:val="24"/>
          <w:highlight w:val="yellow"/>
        </w:rPr>
        <w:t>Fish and Shellfish Immunology</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19</w:t>
      </w:r>
      <w:r w:rsidRPr="007C4A9E">
        <w:rPr>
          <w:rFonts w:ascii="Arial" w:hAnsi="Arial" w:cs="Arial"/>
          <w:noProof/>
          <w:sz w:val="20"/>
          <w:szCs w:val="24"/>
          <w:highlight w:val="yellow"/>
        </w:rPr>
        <w:t>(5 SPEC. ISS.), 429–439. https://doi.org/10.1016/j.fsi.2005.03.010</w:t>
      </w:r>
    </w:p>
    <w:p w14:paraId="012C4D66"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Marcinkiewicz, J., &amp; Kontny, E. (2014). Taurine and inflammatory diseases. </w:t>
      </w:r>
      <w:r w:rsidRPr="00E51220">
        <w:rPr>
          <w:rFonts w:ascii="Arial" w:hAnsi="Arial" w:cs="Arial"/>
          <w:i/>
          <w:iCs/>
          <w:noProof/>
          <w:sz w:val="20"/>
          <w:szCs w:val="24"/>
        </w:rPr>
        <w:t>Amino Acids</w:t>
      </w:r>
      <w:r w:rsidRPr="00E51220">
        <w:rPr>
          <w:rFonts w:ascii="Arial" w:hAnsi="Arial" w:cs="Arial"/>
          <w:noProof/>
          <w:sz w:val="20"/>
          <w:szCs w:val="24"/>
        </w:rPr>
        <w:t xml:space="preserve">, </w:t>
      </w:r>
      <w:r w:rsidRPr="00E51220">
        <w:rPr>
          <w:rFonts w:ascii="Arial" w:hAnsi="Arial" w:cs="Arial"/>
          <w:i/>
          <w:iCs/>
          <w:noProof/>
          <w:sz w:val="20"/>
          <w:szCs w:val="24"/>
        </w:rPr>
        <w:t>46</w:t>
      </w:r>
      <w:r w:rsidRPr="00E51220">
        <w:rPr>
          <w:rFonts w:ascii="Arial" w:hAnsi="Arial" w:cs="Arial"/>
          <w:noProof/>
          <w:sz w:val="20"/>
          <w:szCs w:val="24"/>
        </w:rPr>
        <w:t>(1), 7–20. https://doi.org/10.1007/s00726-012-1361-4</w:t>
      </w:r>
    </w:p>
    <w:p w14:paraId="1BA202F2"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highlight w:val="yellow"/>
        </w:rPr>
        <w:t xml:space="preserve">Markou, G., &amp; Nerantzis, E. (2013). Microalgae for high-value compounds and biofuels production : A review with focus on cultivation under stress conditions. </w:t>
      </w:r>
      <w:r w:rsidRPr="00E51220">
        <w:rPr>
          <w:rFonts w:ascii="Arial" w:hAnsi="Arial" w:cs="Arial"/>
          <w:i/>
          <w:iCs/>
          <w:noProof/>
          <w:sz w:val="20"/>
          <w:szCs w:val="24"/>
          <w:highlight w:val="yellow"/>
        </w:rPr>
        <w:t>Biotechnology Advances</w:t>
      </w:r>
      <w:r w:rsidRPr="00E51220">
        <w:rPr>
          <w:rFonts w:ascii="Arial" w:hAnsi="Arial" w:cs="Arial"/>
          <w:noProof/>
          <w:sz w:val="20"/>
          <w:szCs w:val="24"/>
          <w:highlight w:val="yellow"/>
        </w:rPr>
        <w:t xml:space="preserve">, </w:t>
      </w:r>
      <w:r w:rsidRPr="00E51220">
        <w:rPr>
          <w:rFonts w:ascii="Arial" w:hAnsi="Arial" w:cs="Arial"/>
          <w:i/>
          <w:iCs/>
          <w:noProof/>
          <w:sz w:val="20"/>
          <w:szCs w:val="24"/>
          <w:highlight w:val="yellow"/>
        </w:rPr>
        <w:t>31</w:t>
      </w:r>
      <w:r w:rsidRPr="00E51220">
        <w:rPr>
          <w:rFonts w:ascii="Arial" w:hAnsi="Arial" w:cs="Arial"/>
          <w:noProof/>
          <w:sz w:val="20"/>
          <w:szCs w:val="24"/>
          <w:highlight w:val="yellow"/>
        </w:rPr>
        <w:t>(8), 1532–1542. https://doi.org/10.1016/j.biotechadv.2013.07.011</w:t>
      </w:r>
    </w:p>
    <w:p w14:paraId="3157BCEE"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Mazur-Bialy, A. I., Pochec, E., &amp; Plytycz, B. (2015). Immunomodulatory effect of riboflavin deficiency and enrichment - Reversible pathological response versus silencing of inflammatory activation. </w:t>
      </w:r>
      <w:r w:rsidRPr="00E51220">
        <w:rPr>
          <w:rFonts w:ascii="Arial" w:hAnsi="Arial" w:cs="Arial"/>
          <w:i/>
          <w:iCs/>
          <w:noProof/>
          <w:sz w:val="20"/>
          <w:szCs w:val="24"/>
        </w:rPr>
        <w:t>Journal of Physiology and Pharmacology</w:t>
      </w:r>
      <w:r w:rsidRPr="00E51220">
        <w:rPr>
          <w:rFonts w:ascii="Arial" w:hAnsi="Arial" w:cs="Arial"/>
          <w:noProof/>
          <w:sz w:val="20"/>
          <w:szCs w:val="24"/>
        </w:rPr>
        <w:t xml:space="preserve">, </w:t>
      </w:r>
      <w:r w:rsidRPr="00E51220">
        <w:rPr>
          <w:rFonts w:ascii="Arial" w:hAnsi="Arial" w:cs="Arial"/>
          <w:i/>
          <w:iCs/>
          <w:noProof/>
          <w:sz w:val="20"/>
          <w:szCs w:val="24"/>
        </w:rPr>
        <w:t>66</w:t>
      </w:r>
      <w:r w:rsidRPr="00E51220">
        <w:rPr>
          <w:rFonts w:ascii="Arial" w:hAnsi="Arial" w:cs="Arial"/>
          <w:noProof/>
          <w:sz w:val="20"/>
          <w:szCs w:val="24"/>
        </w:rPr>
        <w:t>(6), 793–802.</w:t>
      </w:r>
    </w:p>
    <w:p w14:paraId="0DF7D297"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Norambuena, F., Hermon, K., Skrzypczyk, V., Emery, J. A., Sharon, Y., Beard, A., &amp; Turchini, G. M. (2015). Algae in Fish Feed : Performances and Fatty Acid Metabolism in Juvenile Atlantic Salmon. </w:t>
      </w:r>
      <w:r w:rsidRPr="007C4A9E">
        <w:rPr>
          <w:rFonts w:ascii="Arial" w:hAnsi="Arial" w:cs="Arial"/>
          <w:i/>
          <w:iCs/>
          <w:noProof/>
          <w:sz w:val="20"/>
          <w:szCs w:val="24"/>
          <w:highlight w:val="yellow"/>
        </w:rPr>
        <w:t>PLoS ONE</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10</w:t>
      </w:r>
      <w:r w:rsidRPr="007C4A9E">
        <w:rPr>
          <w:rFonts w:ascii="Arial" w:hAnsi="Arial" w:cs="Arial"/>
          <w:noProof/>
          <w:sz w:val="20"/>
          <w:szCs w:val="24"/>
          <w:highlight w:val="yellow"/>
        </w:rPr>
        <w:t>(4), 1–17. https://doi.org/10.1371/journal.pone.0124042</w:t>
      </w:r>
    </w:p>
    <w:p w14:paraId="775697B2"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Owens, G., Rao, C., &amp; Traister, R. (2011). Regulation of the immune response and inflammation by histamine and histamine receptors. </w:t>
      </w:r>
      <w:r w:rsidRPr="00E51220">
        <w:rPr>
          <w:rFonts w:ascii="Arial" w:hAnsi="Arial" w:cs="Arial"/>
          <w:i/>
          <w:iCs/>
          <w:noProof/>
          <w:sz w:val="20"/>
          <w:szCs w:val="24"/>
        </w:rPr>
        <w:t>Journal of Allergy and Clinical Immunology</w:t>
      </w:r>
      <w:r w:rsidRPr="00E51220">
        <w:rPr>
          <w:rFonts w:ascii="Arial" w:hAnsi="Arial" w:cs="Arial"/>
          <w:noProof/>
          <w:sz w:val="20"/>
          <w:szCs w:val="24"/>
        </w:rPr>
        <w:t xml:space="preserve">, </w:t>
      </w:r>
      <w:r w:rsidRPr="00E51220">
        <w:rPr>
          <w:rFonts w:ascii="Arial" w:hAnsi="Arial" w:cs="Arial"/>
          <w:i/>
          <w:iCs/>
          <w:noProof/>
          <w:sz w:val="20"/>
          <w:szCs w:val="24"/>
        </w:rPr>
        <w:t>128</w:t>
      </w:r>
      <w:r w:rsidRPr="00E51220">
        <w:rPr>
          <w:rFonts w:ascii="Arial" w:hAnsi="Arial" w:cs="Arial"/>
          <w:noProof/>
          <w:sz w:val="20"/>
          <w:szCs w:val="24"/>
        </w:rPr>
        <w:t>(6), 1163–1164. https://doi.org/10.1016/j.jaci.2011.07.026</w:t>
      </w:r>
    </w:p>
    <w:p w14:paraId="50068FFF"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Pantami, H. A., Bustamam, M. S. A., Lee, S. Y., Ismail, I. S., Faudzi, S. M. M., Nakakuni, M., &amp; Shaari, K. (2020). Comprehensive GCMS and LC-MS/MS metabolite profiling of chlorella vulgaris. </w:t>
      </w:r>
      <w:r w:rsidRPr="00E51220">
        <w:rPr>
          <w:rFonts w:ascii="Arial" w:hAnsi="Arial" w:cs="Arial"/>
          <w:i/>
          <w:iCs/>
          <w:noProof/>
          <w:sz w:val="20"/>
          <w:szCs w:val="24"/>
        </w:rPr>
        <w:t>Marine Drugs</w:t>
      </w:r>
      <w:r w:rsidRPr="00E51220">
        <w:rPr>
          <w:rFonts w:ascii="Arial" w:hAnsi="Arial" w:cs="Arial"/>
          <w:noProof/>
          <w:sz w:val="20"/>
          <w:szCs w:val="24"/>
        </w:rPr>
        <w:t xml:space="preserve">, </w:t>
      </w:r>
      <w:r w:rsidRPr="00E51220">
        <w:rPr>
          <w:rFonts w:ascii="Arial" w:hAnsi="Arial" w:cs="Arial"/>
          <w:i/>
          <w:iCs/>
          <w:noProof/>
          <w:sz w:val="20"/>
          <w:szCs w:val="24"/>
        </w:rPr>
        <w:t>18</w:t>
      </w:r>
      <w:r w:rsidRPr="00E51220">
        <w:rPr>
          <w:rFonts w:ascii="Arial" w:hAnsi="Arial" w:cs="Arial"/>
          <w:noProof/>
          <w:sz w:val="20"/>
          <w:szCs w:val="24"/>
        </w:rPr>
        <w:t>(7). https://doi.org/10.3390/MD18070367</w:t>
      </w:r>
    </w:p>
    <w:p w14:paraId="26CF0354"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Pantami, H. A., Safwan, M., Bustamam, A., Min, C. C., Ismail, I. S., Lee, S. Y., Abubakar, S., &amp; Mohammed, U. Y. (2023). Integration of Spleen 1H NMR-Based Metabolomics Revealed the Immunomodulatory Effect of Chlorella vulgaris on Nile Tilapia (Oreochromis niloticus). </w:t>
      </w:r>
      <w:r w:rsidRPr="00E51220">
        <w:rPr>
          <w:rFonts w:ascii="Arial" w:hAnsi="Arial" w:cs="Arial"/>
          <w:i/>
          <w:iCs/>
          <w:noProof/>
          <w:sz w:val="20"/>
          <w:szCs w:val="24"/>
        </w:rPr>
        <w:t>Bima Journal of Science and Technology</w:t>
      </w:r>
      <w:r w:rsidRPr="00E51220">
        <w:rPr>
          <w:rFonts w:ascii="Arial" w:hAnsi="Arial" w:cs="Arial"/>
          <w:noProof/>
          <w:sz w:val="20"/>
          <w:szCs w:val="24"/>
        </w:rPr>
        <w:t xml:space="preserve">, </w:t>
      </w:r>
      <w:r w:rsidRPr="00E51220">
        <w:rPr>
          <w:rFonts w:ascii="Arial" w:hAnsi="Arial" w:cs="Arial"/>
          <w:i/>
          <w:iCs/>
          <w:noProof/>
          <w:sz w:val="20"/>
          <w:szCs w:val="24"/>
        </w:rPr>
        <w:t>7</w:t>
      </w:r>
      <w:r w:rsidRPr="00E51220">
        <w:rPr>
          <w:rFonts w:ascii="Arial" w:hAnsi="Arial" w:cs="Arial"/>
          <w:noProof/>
          <w:sz w:val="20"/>
          <w:szCs w:val="24"/>
        </w:rPr>
        <w:t>(1), 165–189. https://doi.org/10.56892/bima.v7i01.396</w:t>
      </w:r>
    </w:p>
    <w:p w14:paraId="6EBF7140"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Smolinska, A., Blanchet, L., Buydens, L. M. C., &amp; Wijmenga, S. S. (2012). NMR and pattern recognition methods in metabolomics : From data acquisition to biomarker discovery : A review. </w:t>
      </w:r>
      <w:r w:rsidRPr="007C4A9E">
        <w:rPr>
          <w:rFonts w:ascii="Arial" w:hAnsi="Arial" w:cs="Arial"/>
          <w:i/>
          <w:iCs/>
          <w:noProof/>
          <w:sz w:val="20"/>
          <w:szCs w:val="24"/>
          <w:highlight w:val="yellow"/>
        </w:rPr>
        <w:t>Analytica Chimica Acta</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750</w:t>
      </w:r>
      <w:r w:rsidRPr="007C4A9E">
        <w:rPr>
          <w:rFonts w:ascii="Arial" w:hAnsi="Arial" w:cs="Arial"/>
          <w:noProof/>
          <w:sz w:val="20"/>
          <w:szCs w:val="24"/>
          <w:highlight w:val="yellow"/>
        </w:rPr>
        <w:t>, 82–97. https://doi.org/10.1016/j.aca.2012.05.049</w:t>
      </w:r>
    </w:p>
    <w:p w14:paraId="416885E2"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Sukenda, S., &amp; Rahman, R. (2018). The efficacy of Streptococcus agalactiae vaccine preparations , administered to tilapia broodstock , in preventing streptococcosis in their offspring , via transfer of maternal immunity. </w:t>
      </w:r>
      <w:r w:rsidRPr="007C4A9E">
        <w:rPr>
          <w:rFonts w:ascii="Arial" w:hAnsi="Arial" w:cs="Arial"/>
          <w:i/>
          <w:iCs/>
          <w:noProof/>
          <w:sz w:val="20"/>
          <w:szCs w:val="24"/>
          <w:highlight w:val="yellow"/>
        </w:rPr>
        <w:t>Aquaculture International</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26</w:t>
      </w:r>
      <w:r w:rsidRPr="007C4A9E">
        <w:rPr>
          <w:rFonts w:ascii="Arial" w:hAnsi="Arial" w:cs="Arial"/>
          <w:noProof/>
          <w:sz w:val="20"/>
          <w:szCs w:val="24"/>
          <w:highlight w:val="yellow"/>
        </w:rPr>
        <w:t>(3), 785–798.</w:t>
      </w:r>
    </w:p>
    <w:p w14:paraId="61E4FCA7" w14:textId="77777777" w:rsidR="00E51220" w:rsidRPr="007C4A9E" w:rsidRDefault="00E51220" w:rsidP="00E51220">
      <w:pPr>
        <w:widowControl w:val="0"/>
        <w:autoSpaceDE w:val="0"/>
        <w:autoSpaceDN w:val="0"/>
        <w:adjustRightInd w:val="0"/>
        <w:spacing w:line="240" w:lineRule="auto"/>
        <w:ind w:left="480" w:hanging="480"/>
        <w:rPr>
          <w:rFonts w:ascii="Arial" w:hAnsi="Arial" w:cs="Arial"/>
          <w:noProof/>
          <w:sz w:val="20"/>
          <w:szCs w:val="24"/>
          <w:highlight w:val="yellow"/>
        </w:rPr>
      </w:pPr>
      <w:r w:rsidRPr="00E51220">
        <w:rPr>
          <w:rFonts w:ascii="Arial" w:hAnsi="Arial" w:cs="Arial"/>
          <w:noProof/>
          <w:sz w:val="20"/>
          <w:szCs w:val="24"/>
        </w:rPr>
        <w:t xml:space="preserve">Tucey, T. M., Verma, J., Harrison, P. F., Snelgrove, S. L., Lo, T. L., Scherer, A. K., Barugahare, A. A., Powell, D. R., Wheeler, R. T., Hickey, M. J., Beilharz, T. H., Naderer, T., &amp; Traven, A. (2018). Glucose Homeostasis Is Important for Immune Cell Viability during Candida Challenge and Host Survival of Systemic Fungal Infection. </w:t>
      </w:r>
      <w:r w:rsidRPr="00E51220">
        <w:rPr>
          <w:rFonts w:ascii="Arial" w:hAnsi="Arial" w:cs="Arial"/>
          <w:i/>
          <w:iCs/>
          <w:noProof/>
          <w:sz w:val="20"/>
          <w:szCs w:val="24"/>
        </w:rPr>
        <w:t>Cell Metabolism</w:t>
      </w:r>
      <w:r w:rsidRPr="00E51220">
        <w:rPr>
          <w:rFonts w:ascii="Arial" w:hAnsi="Arial" w:cs="Arial"/>
          <w:noProof/>
          <w:sz w:val="20"/>
          <w:szCs w:val="24"/>
        </w:rPr>
        <w:t xml:space="preserve">, </w:t>
      </w:r>
      <w:r w:rsidRPr="00E51220">
        <w:rPr>
          <w:rFonts w:ascii="Arial" w:hAnsi="Arial" w:cs="Arial"/>
          <w:i/>
          <w:iCs/>
          <w:noProof/>
          <w:sz w:val="20"/>
          <w:szCs w:val="24"/>
        </w:rPr>
        <w:t>27</w:t>
      </w:r>
      <w:r w:rsidRPr="00E51220">
        <w:rPr>
          <w:rFonts w:ascii="Arial" w:hAnsi="Arial" w:cs="Arial"/>
          <w:noProof/>
          <w:sz w:val="20"/>
          <w:szCs w:val="24"/>
        </w:rPr>
        <w:t xml:space="preserve">(5), 988-1006.e7. </w:t>
      </w:r>
      <w:r w:rsidRPr="007C4A9E">
        <w:rPr>
          <w:rFonts w:ascii="Arial" w:hAnsi="Arial" w:cs="Arial"/>
          <w:noProof/>
          <w:sz w:val="20"/>
          <w:szCs w:val="24"/>
        </w:rPr>
        <w:t>https://doi.org/10.1016/j.cmet.2018.03.019</w:t>
      </w:r>
    </w:p>
    <w:p w14:paraId="28BD6C6F"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7C4A9E">
        <w:rPr>
          <w:rFonts w:ascii="Arial" w:hAnsi="Arial" w:cs="Arial"/>
          <w:noProof/>
          <w:sz w:val="20"/>
          <w:szCs w:val="24"/>
          <w:highlight w:val="yellow"/>
        </w:rPr>
        <w:t xml:space="preserve">Valente, L. M. P., Gouveia, A., Rema, P., &amp; Matos, J. (2006). </w:t>
      </w:r>
      <w:r w:rsidRPr="007C4A9E">
        <w:rPr>
          <w:rFonts w:ascii="Arial" w:hAnsi="Arial" w:cs="Arial"/>
          <w:i/>
          <w:iCs/>
          <w:noProof/>
          <w:sz w:val="20"/>
          <w:szCs w:val="24"/>
          <w:highlight w:val="yellow"/>
        </w:rPr>
        <w:t xml:space="preserve">Evaluation of three seaweeds Gracilaria </w:t>
      </w:r>
      <w:r w:rsidRPr="007C4A9E">
        <w:rPr>
          <w:rFonts w:ascii="Arial" w:hAnsi="Arial" w:cs="Arial"/>
          <w:i/>
          <w:iCs/>
          <w:noProof/>
          <w:sz w:val="20"/>
          <w:szCs w:val="24"/>
          <w:highlight w:val="yellow"/>
        </w:rPr>
        <w:lastRenderedPageBreak/>
        <w:t>bursa-pastoris , Ulva rigida and Gracilaria cornea as dietary ingredients in European sea bass ( Dicentrarchus labrax ) juveniles</w:t>
      </w:r>
      <w:r w:rsidRPr="007C4A9E">
        <w:rPr>
          <w:rFonts w:ascii="Arial" w:hAnsi="Arial" w:cs="Arial"/>
          <w:noProof/>
          <w:sz w:val="20"/>
          <w:szCs w:val="24"/>
          <w:highlight w:val="yellow"/>
        </w:rPr>
        <w:t xml:space="preserve">. </w:t>
      </w:r>
      <w:r w:rsidRPr="007C4A9E">
        <w:rPr>
          <w:rFonts w:ascii="Arial" w:hAnsi="Arial" w:cs="Arial"/>
          <w:i/>
          <w:iCs/>
          <w:noProof/>
          <w:sz w:val="20"/>
          <w:szCs w:val="24"/>
          <w:highlight w:val="yellow"/>
        </w:rPr>
        <w:t>252</w:t>
      </w:r>
      <w:r w:rsidRPr="007C4A9E">
        <w:rPr>
          <w:rFonts w:ascii="Arial" w:hAnsi="Arial" w:cs="Arial"/>
          <w:noProof/>
          <w:sz w:val="20"/>
          <w:szCs w:val="24"/>
          <w:highlight w:val="yellow"/>
        </w:rPr>
        <w:t>, 85–91. https://doi.org/10.1016/j.aquaculture.2005.11.052</w:t>
      </w:r>
    </w:p>
    <w:p w14:paraId="05F5A908"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van Zanten, A. R. H., Dhaliwal, R., Garrel, D., &amp; Heyland, D. K. (2015). Enteral glutamine supplementation in critically ill patients: A systematic review and meta-analysis. </w:t>
      </w:r>
      <w:r w:rsidRPr="00E51220">
        <w:rPr>
          <w:rFonts w:ascii="Arial" w:hAnsi="Arial" w:cs="Arial"/>
          <w:i/>
          <w:iCs/>
          <w:noProof/>
          <w:sz w:val="20"/>
          <w:szCs w:val="24"/>
        </w:rPr>
        <w:t>Critical Care</w:t>
      </w:r>
      <w:r w:rsidRPr="00E51220">
        <w:rPr>
          <w:rFonts w:ascii="Arial" w:hAnsi="Arial" w:cs="Arial"/>
          <w:noProof/>
          <w:sz w:val="20"/>
          <w:szCs w:val="24"/>
        </w:rPr>
        <w:t xml:space="preserve">, </w:t>
      </w:r>
      <w:r w:rsidRPr="00E51220">
        <w:rPr>
          <w:rFonts w:ascii="Arial" w:hAnsi="Arial" w:cs="Arial"/>
          <w:i/>
          <w:iCs/>
          <w:noProof/>
          <w:sz w:val="20"/>
          <w:szCs w:val="24"/>
        </w:rPr>
        <w:t>19</w:t>
      </w:r>
      <w:r w:rsidRPr="00E51220">
        <w:rPr>
          <w:rFonts w:ascii="Arial" w:hAnsi="Arial" w:cs="Arial"/>
          <w:noProof/>
          <w:sz w:val="20"/>
          <w:szCs w:val="24"/>
        </w:rPr>
        <w:t>(1). https://doi.org/10.1186/s13054-015-1002-x</w:t>
      </w:r>
    </w:p>
    <w:p w14:paraId="3C624F0E"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Verpoorte, R., Choi, Y. H., &amp; Kim, H. K. (2007). NMR-based metabolomics at work in phytochemistry. </w:t>
      </w:r>
      <w:r w:rsidRPr="00E51220">
        <w:rPr>
          <w:rFonts w:ascii="Arial" w:hAnsi="Arial" w:cs="Arial"/>
          <w:i/>
          <w:iCs/>
          <w:noProof/>
          <w:sz w:val="20"/>
          <w:szCs w:val="24"/>
        </w:rPr>
        <w:t>Phytochemistry Reviews</w:t>
      </w:r>
      <w:r w:rsidRPr="00E51220">
        <w:rPr>
          <w:rFonts w:ascii="Arial" w:hAnsi="Arial" w:cs="Arial"/>
          <w:noProof/>
          <w:sz w:val="20"/>
          <w:szCs w:val="24"/>
        </w:rPr>
        <w:t xml:space="preserve">, </w:t>
      </w:r>
      <w:r w:rsidRPr="00E51220">
        <w:rPr>
          <w:rFonts w:ascii="Arial" w:hAnsi="Arial" w:cs="Arial"/>
          <w:i/>
          <w:iCs/>
          <w:noProof/>
          <w:sz w:val="20"/>
          <w:szCs w:val="24"/>
        </w:rPr>
        <w:t>6</w:t>
      </w:r>
      <w:r w:rsidRPr="00E51220">
        <w:rPr>
          <w:rFonts w:ascii="Arial" w:hAnsi="Arial" w:cs="Arial"/>
          <w:noProof/>
          <w:sz w:val="20"/>
          <w:szCs w:val="24"/>
        </w:rPr>
        <w:t>(1), 3–14. https://doi.org/10.1007/s11101-006-9031-3</w:t>
      </w:r>
    </w:p>
    <w:p w14:paraId="227F99F0"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Webb-robertson, B. M., Lowry, D. F., Jarman, K. H., Harbo, S. J., Meng, Q. R., Fuciarelli, A. F., Pounds, J. G., &amp; Lee, K. M. (2005). A Study of spectral integration and normalization in NMR-based metabonomic analyses. </w:t>
      </w:r>
      <w:r w:rsidRPr="00E51220">
        <w:rPr>
          <w:rFonts w:ascii="Arial" w:hAnsi="Arial" w:cs="Arial"/>
          <w:i/>
          <w:iCs/>
          <w:noProof/>
          <w:sz w:val="20"/>
          <w:szCs w:val="24"/>
        </w:rPr>
        <w:t>Journal of Pharmaceutical and Biomedical Analysis</w:t>
      </w:r>
      <w:r w:rsidRPr="00E51220">
        <w:rPr>
          <w:rFonts w:ascii="Arial" w:hAnsi="Arial" w:cs="Arial"/>
          <w:noProof/>
          <w:sz w:val="20"/>
          <w:szCs w:val="24"/>
        </w:rPr>
        <w:t xml:space="preserve">, </w:t>
      </w:r>
      <w:r w:rsidRPr="00E51220">
        <w:rPr>
          <w:rFonts w:ascii="Arial" w:hAnsi="Arial" w:cs="Arial"/>
          <w:i/>
          <w:iCs/>
          <w:noProof/>
          <w:sz w:val="20"/>
          <w:szCs w:val="24"/>
        </w:rPr>
        <w:t>39</w:t>
      </w:r>
      <w:r w:rsidRPr="00E51220">
        <w:rPr>
          <w:rFonts w:ascii="Arial" w:hAnsi="Arial" w:cs="Arial"/>
          <w:noProof/>
          <w:sz w:val="20"/>
          <w:szCs w:val="24"/>
        </w:rPr>
        <w:t>, 830–836. https://doi.org/10.1016/j.jpba.2005.05.012</w:t>
      </w:r>
    </w:p>
    <w:p w14:paraId="14415B77" w14:textId="77777777"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szCs w:val="24"/>
        </w:rPr>
      </w:pPr>
      <w:r w:rsidRPr="00E51220">
        <w:rPr>
          <w:rFonts w:ascii="Arial" w:hAnsi="Arial" w:cs="Arial"/>
          <w:noProof/>
          <w:sz w:val="20"/>
          <w:szCs w:val="24"/>
        </w:rPr>
        <w:t xml:space="preserve">Wishart, D. S., Tzur, D., Knox, C., Eisner, R., Guo, A. C., Young, N., Cheng, D., Jewell, K., Arndt, D., Sawhney, S., Fung, C., Nikolai, L., Lewis, M., Coutouly, M. A., Forsythe, I., Tang, P., Shrivastava, S., Jeroncic, K., Stothard, P., … Querengesser, L. (2007). HMDB: The human metabolome database. </w:t>
      </w:r>
      <w:r w:rsidRPr="00E51220">
        <w:rPr>
          <w:rFonts w:ascii="Arial" w:hAnsi="Arial" w:cs="Arial"/>
          <w:i/>
          <w:iCs/>
          <w:noProof/>
          <w:sz w:val="20"/>
          <w:szCs w:val="24"/>
        </w:rPr>
        <w:t>Nucleic Acids Research</w:t>
      </w:r>
      <w:r w:rsidRPr="00E51220">
        <w:rPr>
          <w:rFonts w:ascii="Arial" w:hAnsi="Arial" w:cs="Arial"/>
          <w:noProof/>
          <w:sz w:val="20"/>
          <w:szCs w:val="24"/>
        </w:rPr>
        <w:t xml:space="preserve">, </w:t>
      </w:r>
      <w:r w:rsidRPr="00E51220">
        <w:rPr>
          <w:rFonts w:ascii="Arial" w:hAnsi="Arial" w:cs="Arial"/>
          <w:i/>
          <w:iCs/>
          <w:noProof/>
          <w:sz w:val="20"/>
          <w:szCs w:val="24"/>
        </w:rPr>
        <w:t>35</w:t>
      </w:r>
      <w:r w:rsidRPr="00E51220">
        <w:rPr>
          <w:rFonts w:ascii="Arial" w:hAnsi="Arial" w:cs="Arial"/>
          <w:noProof/>
          <w:sz w:val="20"/>
          <w:szCs w:val="24"/>
        </w:rPr>
        <w:t>(SUPPL. 1), 521–526. https://doi.org/10.1093/nar/gkl923</w:t>
      </w:r>
    </w:p>
    <w:p w14:paraId="1399C9C7" w14:textId="77777777" w:rsidR="00224391" w:rsidRDefault="00224391" w:rsidP="00E51220">
      <w:pPr>
        <w:widowControl w:val="0"/>
        <w:autoSpaceDE w:val="0"/>
        <w:autoSpaceDN w:val="0"/>
        <w:adjustRightInd w:val="0"/>
        <w:spacing w:line="240" w:lineRule="auto"/>
        <w:ind w:left="480" w:hanging="480"/>
        <w:rPr>
          <w:rFonts w:ascii="Arial" w:hAnsi="Arial" w:cs="Arial"/>
          <w:noProof/>
          <w:sz w:val="20"/>
          <w:szCs w:val="24"/>
        </w:rPr>
      </w:pPr>
      <w:r w:rsidRPr="00224391">
        <w:rPr>
          <w:rFonts w:ascii="Verdana" w:hAnsi="Verdana"/>
          <w:color w:val="232323"/>
          <w:sz w:val="21"/>
          <w:szCs w:val="21"/>
          <w:highlight w:val="yellow"/>
          <w:shd w:val="clear" w:color="auto" w:fill="FFFFFF"/>
        </w:rPr>
        <w:t>B. Worley and R. Powers, “Multivariate Analysis in Metabolomics,” Current Metabolomics, Vol. 1, No. 1, 2013, pp. 92-107.</w:t>
      </w:r>
      <w:r w:rsidRPr="00224391">
        <w:rPr>
          <w:rFonts w:ascii="Verdana" w:hAnsi="Verdana"/>
          <w:color w:val="232323"/>
          <w:sz w:val="21"/>
          <w:szCs w:val="21"/>
          <w:highlight w:val="yellow"/>
        </w:rPr>
        <w:br/>
      </w:r>
      <w:r w:rsidRPr="00224391">
        <w:rPr>
          <w:rFonts w:ascii="Verdana" w:hAnsi="Verdana"/>
          <w:color w:val="232323"/>
          <w:sz w:val="21"/>
          <w:szCs w:val="21"/>
          <w:highlight w:val="yellow"/>
          <w:shd w:val="clear" w:color="auto" w:fill="FFFFFF"/>
        </w:rPr>
        <w:t>http://dx.doi.org/10.2174/2213235X11301010092</w:t>
      </w:r>
      <w:r w:rsidRPr="00E51220">
        <w:rPr>
          <w:rFonts w:ascii="Arial" w:hAnsi="Arial" w:cs="Arial"/>
          <w:noProof/>
          <w:sz w:val="20"/>
          <w:szCs w:val="24"/>
        </w:rPr>
        <w:t xml:space="preserve"> </w:t>
      </w:r>
    </w:p>
    <w:p w14:paraId="0AF180CA" w14:textId="0DDE82FB" w:rsidR="00E51220" w:rsidRPr="00E51220" w:rsidRDefault="00E51220" w:rsidP="00E51220">
      <w:pPr>
        <w:widowControl w:val="0"/>
        <w:autoSpaceDE w:val="0"/>
        <w:autoSpaceDN w:val="0"/>
        <w:adjustRightInd w:val="0"/>
        <w:spacing w:line="240" w:lineRule="auto"/>
        <w:ind w:left="480" w:hanging="480"/>
        <w:rPr>
          <w:rFonts w:ascii="Arial" w:hAnsi="Arial" w:cs="Arial"/>
          <w:noProof/>
          <w:sz w:val="20"/>
        </w:rPr>
      </w:pPr>
      <w:r w:rsidRPr="00E51220">
        <w:rPr>
          <w:rFonts w:ascii="Arial" w:hAnsi="Arial" w:cs="Arial"/>
          <w:noProof/>
          <w:sz w:val="20"/>
          <w:szCs w:val="24"/>
        </w:rPr>
        <w:t xml:space="preserve">Zamri-Saad, M., Amal, M. N. A., &amp; Siti-Zahrah, A. (2010). Pathological changes in red tilapias (Oreochromis spp.) naturally infected by Streptococcus agalactiae. </w:t>
      </w:r>
      <w:r w:rsidRPr="00E51220">
        <w:rPr>
          <w:rFonts w:ascii="Arial" w:hAnsi="Arial" w:cs="Arial"/>
          <w:i/>
          <w:iCs/>
          <w:noProof/>
          <w:sz w:val="20"/>
          <w:szCs w:val="24"/>
        </w:rPr>
        <w:t>Journal of Comparative Pathology</w:t>
      </w:r>
      <w:r w:rsidRPr="00E51220">
        <w:rPr>
          <w:rFonts w:ascii="Arial" w:hAnsi="Arial" w:cs="Arial"/>
          <w:noProof/>
          <w:sz w:val="20"/>
          <w:szCs w:val="24"/>
        </w:rPr>
        <w:t xml:space="preserve">, </w:t>
      </w:r>
      <w:r w:rsidRPr="00E51220">
        <w:rPr>
          <w:rFonts w:ascii="Arial" w:hAnsi="Arial" w:cs="Arial"/>
          <w:i/>
          <w:iCs/>
          <w:noProof/>
          <w:sz w:val="20"/>
          <w:szCs w:val="24"/>
        </w:rPr>
        <w:t>143</w:t>
      </w:r>
      <w:r w:rsidRPr="00E51220">
        <w:rPr>
          <w:rFonts w:ascii="Arial" w:hAnsi="Arial" w:cs="Arial"/>
          <w:noProof/>
          <w:sz w:val="20"/>
          <w:szCs w:val="24"/>
        </w:rPr>
        <w:t>(2–3), 227–229. https://doi.org/10.1016/j.jcpa.2010.01.020</w:t>
      </w:r>
    </w:p>
    <w:p w14:paraId="68AA6174" w14:textId="77777777" w:rsidR="00EB6AE8" w:rsidRPr="00101146" w:rsidRDefault="00ED4590" w:rsidP="00EB6AE8">
      <w:pPr>
        <w:rPr>
          <w:rFonts w:ascii="Arial" w:hAnsi="Arial" w:cs="Arial"/>
          <w:sz w:val="20"/>
          <w:szCs w:val="20"/>
          <w:lang w:val="en-GB"/>
        </w:rPr>
      </w:pPr>
      <w:r w:rsidRPr="00101146">
        <w:rPr>
          <w:rFonts w:ascii="Arial" w:hAnsi="Arial" w:cs="Arial"/>
          <w:sz w:val="20"/>
          <w:szCs w:val="20"/>
          <w:lang w:val="en-GB"/>
        </w:rPr>
        <w:fldChar w:fldCharType="end"/>
      </w:r>
    </w:p>
    <w:sectPr w:rsidR="00EB6AE8" w:rsidRPr="0010114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7EF25" w14:textId="77777777" w:rsidR="00E63A67" w:rsidRDefault="00E63A67">
      <w:pPr>
        <w:spacing w:after="0" w:line="240" w:lineRule="auto"/>
      </w:pPr>
      <w:r>
        <w:separator/>
      </w:r>
    </w:p>
  </w:endnote>
  <w:endnote w:type="continuationSeparator" w:id="0">
    <w:p w14:paraId="26D0236C" w14:textId="77777777" w:rsidR="00E63A67" w:rsidRDefault="00E63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1B7C" w14:textId="77777777" w:rsidR="006B7BC9" w:rsidRDefault="006B7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3"/>
        <w:szCs w:val="23"/>
      </w:rPr>
      <w:id w:val="-2119666526"/>
      <w:docPartObj>
        <w:docPartGallery w:val="Page Numbers (Bottom of Page)"/>
        <w:docPartUnique/>
      </w:docPartObj>
    </w:sdtPr>
    <w:sdtEndPr>
      <w:rPr>
        <w:noProof/>
      </w:rPr>
    </w:sdtEndPr>
    <w:sdtContent>
      <w:p w14:paraId="0E1F240B" w14:textId="77777777" w:rsidR="006B7BC9" w:rsidRPr="00E32DC6" w:rsidRDefault="006B7BC9">
        <w:pPr>
          <w:pStyle w:val="Footer"/>
          <w:jc w:val="center"/>
          <w:rPr>
            <w:rFonts w:ascii="Times New Roman" w:hAnsi="Times New Roman" w:cs="Times New Roman"/>
            <w:sz w:val="23"/>
            <w:szCs w:val="23"/>
          </w:rPr>
        </w:pPr>
      </w:p>
      <w:p w14:paraId="5BB6732A" w14:textId="77777777" w:rsidR="006B7BC9" w:rsidRPr="00E32DC6" w:rsidRDefault="006B7BC9">
        <w:pPr>
          <w:pStyle w:val="Footer"/>
          <w:jc w:val="center"/>
          <w:rPr>
            <w:rFonts w:ascii="Times New Roman" w:hAnsi="Times New Roman" w:cs="Times New Roman"/>
            <w:sz w:val="23"/>
            <w:szCs w:val="23"/>
          </w:rPr>
        </w:pPr>
        <w:r w:rsidRPr="00E32DC6">
          <w:rPr>
            <w:rFonts w:ascii="Times New Roman" w:hAnsi="Times New Roman" w:cs="Times New Roman"/>
            <w:sz w:val="23"/>
            <w:szCs w:val="23"/>
          </w:rPr>
          <w:fldChar w:fldCharType="begin"/>
        </w:r>
        <w:r w:rsidRPr="00E32DC6">
          <w:rPr>
            <w:rFonts w:ascii="Times New Roman" w:hAnsi="Times New Roman" w:cs="Times New Roman"/>
            <w:sz w:val="23"/>
            <w:szCs w:val="23"/>
          </w:rPr>
          <w:instrText xml:space="preserve"> PAGE   \* MERGEFORMAT </w:instrText>
        </w:r>
        <w:r w:rsidRPr="00E32DC6">
          <w:rPr>
            <w:rFonts w:ascii="Times New Roman" w:hAnsi="Times New Roman" w:cs="Times New Roman"/>
            <w:sz w:val="23"/>
            <w:szCs w:val="23"/>
          </w:rPr>
          <w:fldChar w:fldCharType="separate"/>
        </w:r>
        <w:r w:rsidR="00224391">
          <w:rPr>
            <w:rFonts w:ascii="Times New Roman" w:hAnsi="Times New Roman" w:cs="Times New Roman"/>
            <w:noProof/>
            <w:sz w:val="23"/>
            <w:szCs w:val="23"/>
          </w:rPr>
          <w:t>23</w:t>
        </w:r>
        <w:r w:rsidRPr="00E32DC6">
          <w:rPr>
            <w:rFonts w:ascii="Times New Roman" w:hAnsi="Times New Roman" w:cs="Times New Roman"/>
            <w:noProof/>
            <w:sz w:val="23"/>
            <w:szCs w:val="2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C278" w14:textId="77777777" w:rsidR="006B7BC9" w:rsidRDefault="006B7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E96A4" w14:textId="77777777" w:rsidR="00E63A67" w:rsidRDefault="00E63A67">
      <w:pPr>
        <w:spacing w:after="0" w:line="240" w:lineRule="auto"/>
      </w:pPr>
      <w:r>
        <w:separator/>
      </w:r>
    </w:p>
  </w:footnote>
  <w:footnote w:type="continuationSeparator" w:id="0">
    <w:p w14:paraId="302ACDC7" w14:textId="77777777" w:rsidR="00E63A67" w:rsidRDefault="00E63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9198" w14:textId="5E1B02E3" w:rsidR="006B7BC9" w:rsidRDefault="00E63A67">
    <w:pPr>
      <w:pStyle w:val="Header"/>
    </w:pPr>
    <w:r>
      <w:rPr>
        <w:noProof/>
      </w:rPr>
      <w:pict w14:anchorId="08D49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4314" w14:textId="692E7C94" w:rsidR="006B7BC9" w:rsidRPr="00556433" w:rsidRDefault="00E63A67" w:rsidP="00EB6AE8">
    <w:pPr>
      <w:tabs>
        <w:tab w:val="right" w:pos="8844"/>
      </w:tabs>
      <w:adjustRightInd w:val="0"/>
      <w:snapToGrid w:val="0"/>
      <w:spacing w:after="240" w:line="240" w:lineRule="auto"/>
      <w:rPr>
        <w:rFonts w:ascii="Palatino Linotype" w:hAnsi="Palatino Linotype"/>
        <w:sz w:val="16"/>
      </w:rPr>
    </w:pPr>
    <w:r>
      <w:rPr>
        <w:noProof/>
      </w:rPr>
      <w:pict w14:anchorId="4E6DE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AC25" w14:textId="55CFA2D9" w:rsidR="006B7BC9" w:rsidRDefault="00E63A67">
    <w:pPr>
      <w:pStyle w:val="Header"/>
    </w:pPr>
    <w:r>
      <w:rPr>
        <w:noProof/>
      </w:rPr>
      <w:pict w14:anchorId="06827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787"/>
    <w:multiLevelType w:val="hybridMultilevel"/>
    <w:tmpl w:val="7292AB14"/>
    <w:lvl w:ilvl="0" w:tplc="13285104">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504255B"/>
    <w:multiLevelType w:val="multilevel"/>
    <w:tmpl w:val="1A20A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1576F"/>
    <w:multiLevelType w:val="hybridMultilevel"/>
    <w:tmpl w:val="0CD22B9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D1D5076"/>
    <w:multiLevelType w:val="multilevel"/>
    <w:tmpl w:val="F4D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14012"/>
    <w:multiLevelType w:val="hybridMultilevel"/>
    <w:tmpl w:val="A01E2C10"/>
    <w:lvl w:ilvl="0" w:tplc="76563BA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CD37D40"/>
    <w:multiLevelType w:val="hybridMultilevel"/>
    <w:tmpl w:val="14A665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4A3FAF"/>
    <w:multiLevelType w:val="hybridMultilevel"/>
    <w:tmpl w:val="CA2E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A6C42"/>
    <w:multiLevelType w:val="hybridMultilevel"/>
    <w:tmpl w:val="6396F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337248ED"/>
    <w:multiLevelType w:val="hybridMultilevel"/>
    <w:tmpl w:val="20EC732C"/>
    <w:lvl w:ilvl="0" w:tplc="F8880468">
      <w:start w:val="1"/>
      <w:numFmt w:val="bullet"/>
      <w:lvlText w:val=""/>
      <w:lvlJc w:val="left"/>
      <w:pPr>
        <w:ind w:left="1665" w:hanging="360"/>
      </w:pPr>
      <w:rPr>
        <w:rFonts w:ascii="Wingdings" w:hAnsi="Wingdings" w:hint="default"/>
        <w:b/>
        <w:bCs/>
      </w:rPr>
    </w:lvl>
    <w:lvl w:ilvl="1" w:tplc="48090003" w:tentative="1">
      <w:start w:val="1"/>
      <w:numFmt w:val="bullet"/>
      <w:lvlText w:val="o"/>
      <w:lvlJc w:val="left"/>
      <w:pPr>
        <w:ind w:left="2385" w:hanging="360"/>
      </w:pPr>
      <w:rPr>
        <w:rFonts w:ascii="Courier New" w:hAnsi="Courier New" w:cs="Courier New" w:hint="default"/>
      </w:rPr>
    </w:lvl>
    <w:lvl w:ilvl="2" w:tplc="48090005" w:tentative="1">
      <w:start w:val="1"/>
      <w:numFmt w:val="bullet"/>
      <w:lvlText w:val=""/>
      <w:lvlJc w:val="left"/>
      <w:pPr>
        <w:ind w:left="3105" w:hanging="360"/>
      </w:pPr>
      <w:rPr>
        <w:rFonts w:ascii="Wingdings" w:hAnsi="Wingdings" w:hint="default"/>
      </w:rPr>
    </w:lvl>
    <w:lvl w:ilvl="3" w:tplc="48090001" w:tentative="1">
      <w:start w:val="1"/>
      <w:numFmt w:val="bullet"/>
      <w:lvlText w:val=""/>
      <w:lvlJc w:val="left"/>
      <w:pPr>
        <w:ind w:left="3825" w:hanging="360"/>
      </w:pPr>
      <w:rPr>
        <w:rFonts w:ascii="Symbol" w:hAnsi="Symbol" w:hint="default"/>
      </w:rPr>
    </w:lvl>
    <w:lvl w:ilvl="4" w:tplc="48090003" w:tentative="1">
      <w:start w:val="1"/>
      <w:numFmt w:val="bullet"/>
      <w:lvlText w:val="o"/>
      <w:lvlJc w:val="left"/>
      <w:pPr>
        <w:ind w:left="4545" w:hanging="360"/>
      </w:pPr>
      <w:rPr>
        <w:rFonts w:ascii="Courier New" w:hAnsi="Courier New" w:cs="Courier New" w:hint="default"/>
      </w:rPr>
    </w:lvl>
    <w:lvl w:ilvl="5" w:tplc="48090005" w:tentative="1">
      <w:start w:val="1"/>
      <w:numFmt w:val="bullet"/>
      <w:lvlText w:val=""/>
      <w:lvlJc w:val="left"/>
      <w:pPr>
        <w:ind w:left="5265" w:hanging="360"/>
      </w:pPr>
      <w:rPr>
        <w:rFonts w:ascii="Wingdings" w:hAnsi="Wingdings" w:hint="default"/>
      </w:rPr>
    </w:lvl>
    <w:lvl w:ilvl="6" w:tplc="48090001" w:tentative="1">
      <w:start w:val="1"/>
      <w:numFmt w:val="bullet"/>
      <w:lvlText w:val=""/>
      <w:lvlJc w:val="left"/>
      <w:pPr>
        <w:ind w:left="5985" w:hanging="360"/>
      </w:pPr>
      <w:rPr>
        <w:rFonts w:ascii="Symbol" w:hAnsi="Symbol" w:hint="default"/>
      </w:rPr>
    </w:lvl>
    <w:lvl w:ilvl="7" w:tplc="48090003" w:tentative="1">
      <w:start w:val="1"/>
      <w:numFmt w:val="bullet"/>
      <w:lvlText w:val="o"/>
      <w:lvlJc w:val="left"/>
      <w:pPr>
        <w:ind w:left="6705" w:hanging="360"/>
      </w:pPr>
      <w:rPr>
        <w:rFonts w:ascii="Courier New" w:hAnsi="Courier New" w:cs="Courier New" w:hint="default"/>
      </w:rPr>
    </w:lvl>
    <w:lvl w:ilvl="8" w:tplc="48090005" w:tentative="1">
      <w:start w:val="1"/>
      <w:numFmt w:val="bullet"/>
      <w:lvlText w:val=""/>
      <w:lvlJc w:val="left"/>
      <w:pPr>
        <w:ind w:left="7425" w:hanging="360"/>
      </w:pPr>
      <w:rPr>
        <w:rFonts w:ascii="Wingdings" w:hAnsi="Wingdings" w:hint="default"/>
      </w:rPr>
    </w:lvl>
  </w:abstractNum>
  <w:abstractNum w:abstractNumId="11" w15:restartNumberingAfterBreak="0">
    <w:nsid w:val="346F3602"/>
    <w:multiLevelType w:val="hybridMultilevel"/>
    <w:tmpl w:val="B376451C"/>
    <w:lvl w:ilvl="0" w:tplc="264ECC78">
      <w:start w:val="1"/>
      <w:numFmt w:val="lowerRoman"/>
      <w:lvlText w:val="(%1)"/>
      <w:lvlJc w:val="left"/>
      <w:pPr>
        <w:ind w:left="1980" w:hanging="720"/>
      </w:pPr>
      <w:rPr>
        <w:rFonts w:hint="default"/>
      </w:rPr>
    </w:lvl>
    <w:lvl w:ilvl="1" w:tplc="48090019" w:tentative="1">
      <w:start w:val="1"/>
      <w:numFmt w:val="lowerLetter"/>
      <w:lvlText w:val="%2."/>
      <w:lvlJc w:val="left"/>
      <w:pPr>
        <w:ind w:left="2340" w:hanging="360"/>
      </w:pPr>
    </w:lvl>
    <w:lvl w:ilvl="2" w:tplc="4809001B" w:tentative="1">
      <w:start w:val="1"/>
      <w:numFmt w:val="lowerRoman"/>
      <w:lvlText w:val="%3."/>
      <w:lvlJc w:val="right"/>
      <w:pPr>
        <w:ind w:left="3060" w:hanging="180"/>
      </w:pPr>
    </w:lvl>
    <w:lvl w:ilvl="3" w:tplc="4809000F" w:tentative="1">
      <w:start w:val="1"/>
      <w:numFmt w:val="decimal"/>
      <w:lvlText w:val="%4."/>
      <w:lvlJc w:val="left"/>
      <w:pPr>
        <w:ind w:left="3780" w:hanging="360"/>
      </w:pPr>
    </w:lvl>
    <w:lvl w:ilvl="4" w:tplc="48090019" w:tentative="1">
      <w:start w:val="1"/>
      <w:numFmt w:val="lowerLetter"/>
      <w:lvlText w:val="%5."/>
      <w:lvlJc w:val="left"/>
      <w:pPr>
        <w:ind w:left="4500" w:hanging="360"/>
      </w:pPr>
    </w:lvl>
    <w:lvl w:ilvl="5" w:tplc="4809001B" w:tentative="1">
      <w:start w:val="1"/>
      <w:numFmt w:val="lowerRoman"/>
      <w:lvlText w:val="%6."/>
      <w:lvlJc w:val="right"/>
      <w:pPr>
        <w:ind w:left="5220" w:hanging="180"/>
      </w:pPr>
    </w:lvl>
    <w:lvl w:ilvl="6" w:tplc="4809000F" w:tentative="1">
      <w:start w:val="1"/>
      <w:numFmt w:val="decimal"/>
      <w:lvlText w:val="%7."/>
      <w:lvlJc w:val="left"/>
      <w:pPr>
        <w:ind w:left="5940" w:hanging="360"/>
      </w:pPr>
    </w:lvl>
    <w:lvl w:ilvl="7" w:tplc="48090019" w:tentative="1">
      <w:start w:val="1"/>
      <w:numFmt w:val="lowerLetter"/>
      <w:lvlText w:val="%8."/>
      <w:lvlJc w:val="left"/>
      <w:pPr>
        <w:ind w:left="6660" w:hanging="360"/>
      </w:pPr>
    </w:lvl>
    <w:lvl w:ilvl="8" w:tplc="4809001B" w:tentative="1">
      <w:start w:val="1"/>
      <w:numFmt w:val="lowerRoman"/>
      <w:lvlText w:val="%9."/>
      <w:lvlJc w:val="right"/>
      <w:pPr>
        <w:ind w:left="7380" w:hanging="180"/>
      </w:pPr>
    </w:lvl>
  </w:abstractNum>
  <w:abstractNum w:abstractNumId="12" w15:restartNumberingAfterBreak="0">
    <w:nsid w:val="35F83293"/>
    <w:multiLevelType w:val="hybridMultilevel"/>
    <w:tmpl w:val="6B9C9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A32595E"/>
    <w:multiLevelType w:val="multilevel"/>
    <w:tmpl w:val="428422B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i w:val="0"/>
        <w:vertAlign w:val="baseline"/>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A340D8C"/>
    <w:multiLevelType w:val="hybridMultilevel"/>
    <w:tmpl w:val="2CAAF50A"/>
    <w:lvl w:ilvl="0" w:tplc="534ABC4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BEC1095"/>
    <w:multiLevelType w:val="hybridMultilevel"/>
    <w:tmpl w:val="395600C8"/>
    <w:lvl w:ilvl="0" w:tplc="0BEA529A">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C6C3FAC"/>
    <w:multiLevelType w:val="hybridMultilevel"/>
    <w:tmpl w:val="CA78F8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2BB3808"/>
    <w:multiLevelType w:val="hybridMultilevel"/>
    <w:tmpl w:val="CFD8412C"/>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4E7178DF"/>
    <w:multiLevelType w:val="hybridMultilevel"/>
    <w:tmpl w:val="C96E3F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56413B38"/>
    <w:multiLevelType w:val="hybridMultilevel"/>
    <w:tmpl w:val="129656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AF1352"/>
    <w:multiLevelType w:val="hybridMultilevel"/>
    <w:tmpl w:val="066486B6"/>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65262B22"/>
    <w:multiLevelType w:val="hybridMultilevel"/>
    <w:tmpl w:val="2A08B8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32C1DF0"/>
    <w:multiLevelType w:val="multilevel"/>
    <w:tmpl w:val="69267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4745951"/>
    <w:multiLevelType w:val="hybridMultilevel"/>
    <w:tmpl w:val="EDB4CB9E"/>
    <w:lvl w:ilvl="0" w:tplc="A4B0A3E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74CC15A6"/>
    <w:multiLevelType w:val="hybridMultilevel"/>
    <w:tmpl w:val="82384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50246"/>
    <w:multiLevelType w:val="hybridMultilevel"/>
    <w:tmpl w:val="4A76F7D2"/>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78B455E1"/>
    <w:multiLevelType w:val="hybridMultilevel"/>
    <w:tmpl w:val="EA3C8064"/>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7AB4248B"/>
    <w:multiLevelType w:val="hybridMultilevel"/>
    <w:tmpl w:val="4D80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72695"/>
    <w:multiLevelType w:val="hybridMultilevel"/>
    <w:tmpl w:val="519666C0"/>
    <w:lvl w:ilvl="0" w:tplc="074C5F9C">
      <w:start w:val="1"/>
      <w:numFmt w:val="lowerLetter"/>
      <w:lvlText w:val="(%1)"/>
      <w:lvlJc w:val="left"/>
      <w:pPr>
        <w:ind w:left="780" w:hanging="360"/>
      </w:pPr>
      <w:rPr>
        <w:rFonts w:cs="Aria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8"/>
  </w:num>
  <w:num w:numId="2">
    <w:abstractNumId w:val="6"/>
  </w:num>
  <w:num w:numId="3">
    <w:abstractNumId w:val="7"/>
  </w:num>
  <w:num w:numId="4">
    <w:abstractNumId w:val="1"/>
  </w:num>
  <w:num w:numId="5">
    <w:abstractNumId w:val="23"/>
  </w:num>
  <w:num w:numId="6">
    <w:abstractNumId w:val="9"/>
  </w:num>
  <w:num w:numId="7">
    <w:abstractNumId w:val="1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3"/>
  </w:num>
  <w:num w:numId="12">
    <w:abstractNumId w:val="2"/>
  </w:num>
  <w:num w:numId="13">
    <w:abstractNumId w:val="15"/>
  </w:num>
  <w:num w:numId="14">
    <w:abstractNumId w:val="17"/>
  </w:num>
  <w:num w:numId="15">
    <w:abstractNumId w:val="24"/>
  </w:num>
  <w:num w:numId="16">
    <w:abstractNumId w:val="4"/>
  </w:num>
  <w:num w:numId="17">
    <w:abstractNumId w:val="18"/>
  </w:num>
  <w:num w:numId="18">
    <w:abstractNumId w:val="27"/>
  </w:num>
  <w:num w:numId="19">
    <w:abstractNumId w:val="26"/>
  </w:num>
  <w:num w:numId="20">
    <w:abstractNumId w:val="21"/>
  </w:num>
  <w:num w:numId="21">
    <w:abstractNumId w:val="5"/>
  </w:num>
  <w:num w:numId="22">
    <w:abstractNumId w:val="20"/>
  </w:num>
  <w:num w:numId="23">
    <w:abstractNumId w:val="16"/>
  </w:num>
  <w:num w:numId="24">
    <w:abstractNumId w:val="12"/>
  </w:num>
  <w:num w:numId="25">
    <w:abstractNumId w:val="10"/>
  </w:num>
  <w:num w:numId="26">
    <w:abstractNumId w:val="0"/>
  </w:num>
  <w:num w:numId="27">
    <w:abstractNumId w:val="22"/>
  </w:num>
  <w:num w:numId="28">
    <w:abstractNumId w:val="11"/>
  </w:num>
  <w:num w:numId="29">
    <w:abstractNumId w:val="25"/>
  </w:num>
  <w:num w:numId="30">
    <w:abstractNumId w:val="1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A6"/>
    <w:rsid w:val="00051E6E"/>
    <w:rsid w:val="00053DFC"/>
    <w:rsid w:val="00095D97"/>
    <w:rsid w:val="000A0BA1"/>
    <w:rsid w:val="000A6FAF"/>
    <w:rsid w:val="000B6EB2"/>
    <w:rsid w:val="000C5A41"/>
    <w:rsid w:val="00101146"/>
    <w:rsid w:val="00123C53"/>
    <w:rsid w:val="00151BFC"/>
    <w:rsid w:val="00211438"/>
    <w:rsid w:val="00224391"/>
    <w:rsid w:val="0022766E"/>
    <w:rsid w:val="00233C5E"/>
    <w:rsid w:val="00245B80"/>
    <w:rsid w:val="00250BE8"/>
    <w:rsid w:val="0025262C"/>
    <w:rsid w:val="00255BA1"/>
    <w:rsid w:val="00264DEF"/>
    <w:rsid w:val="0026604E"/>
    <w:rsid w:val="002925A6"/>
    <w:rsid w:val="00296D5B"/>
    <w:rsid w:val="002A2C62"/>
    <w:rsid w:val="002C772B"/>
    <w:rsid w:val="002D03D5"/>
    <w:rsid w:val="00322815"/>
    <w:rsid w:val="00355A2E"/>
    <w:rsid w:val="0036599B"/>
    <w:rsid w:val="00392F2C"/>
    <w:rsid w:val="003A6783"/>
    <w:rsid w:val="003B5943"/>
    <w:rsid w:val="003C2E9F"/>
    <w:rsid w:val="00441C2A"/>
    <w:rsid w:val="004737B8"/>
    <w:rsid w:val="0048025D"/>
    <w:rsid w:val="004B090C"/>
    <w:rsid w:val="004D6B11"/>
    <w:rsid w:val="004D6C62"/>
    <w:rsid w:val="00507B49"/>
    <w:rsid w:val="00556951"/>
    <w:rsid w:val="005601D0"/>
    <w:rsid w:val="0057212F"/>
    <w:rsid w:val="005769C4"/>
    <w:rsid w:val="00586825"/>
    <w:rsid w:val="005A4D1F"/>
    <w:rsid w:val="005B02B1"/>
    <w:rsid w:val="005E3529"/>
    <w:rsid w:val="005F66CC"/>
    <w:rsid w:val="00600E86"/>
    <w:rsid w:val="006412F3"/>
    <w:rsid w:val="00645B9D"/>
    <w:rsid w:val="006A0045"/>
    <w:rsid w:val="006B7BC9"/>
    <w:rsid w:val="006C48B7"/>
    <w:rsid w:val="006D12E9"/>
    <w:rsid w:val="006E116E"/>
    <w:rsid w:val="0071105B"/>
    <w:rsid w:val="00722DEC"/>
    <w:rsid w:val="00755B4F"/>
    <w:rsid w:val="00761CD5"/>
    <w:rsid w:val="007C4A9E"/>
    <w:rsid w:val="00814B29"/>
    <w:rsid w:val="00827A17"/>
    <w:rsid w:val="00851556"/>
    <w:rsid w:val="008B4CCD"/>
    <w:rsid w:val="008B5925"/>
    <w:rsid w:val="00910130"/>
    <w:rsid w:val="00925661"/>
    <w:rsid w:val="0092566B"/>
    <w:rsid w:val="00982E49"/>
    <w:rsid w:val="009B22BF"/>
    <w:rsid w:val="009B61DC"/>
    <w:rsid w:val="00A60DD7"/>
    <w:rsid w:val="00A71624"/>
    <w:rsid w:val="00AC2D0A"/>
    <w:rsid w:val="00AC7CB1"/>
    <w:rsid w:val="00AF3D39"/>
    <w:rsid w:val="00B06DD4"/>
    <w:rsid w:val="00B11A03"/>
    <w:rsid w:val="00B17C01"/>
    <w:rsid w:val="00B65745"/>
    <w:rsid w:val="00B67F8C"/>
    <w:rsid w:val="00B71AA1"/>
    <w:rsid w:val="00B725A6"/>
    <w:rsid w:val="00BA5010"/>
    <w:rsid w:val="00BB551C"/>
    <w:rsid w:val="00BD191A"/>
    <w:rsid w:val="00BD3994"/>
    <w:rsid w:val="00BF1D2E"/>
    <w:rsid w:val="00BF3849"/>
    <w:rsid w:val="00C02871"/>
    <w:rsid w:val="00C4167B"/>
    <w:rsid w:val="00C60DA0"/>
    <w:rsid w:val="00C86C69"/>
    <w:rsid w:val="00CA3B53"/>
    <w:rsid w:val="00CE5A30"/>
    <w:rsid w:val="00D01843"/>
    <w:rsid w:val="00D16558"/>
    <w:rsid w:val="00D258E4"/>
    <w:rsid w:val="00D8682D"/>
    <w:rsid w:val="00D86841"/>
    <w:rsid w:val="00DF22E5"/>
    <w:rsid w:val="00DF376A"/>
    <w:rsid w:val="00E239F2"/>
    <w:rsid w:val="00E33ABD"/>
    <w:rsid w:val="00E40B22"/>
    <w:rsid w:val="00E47F58"/>
    <w:rsid w:val="00E507D7"/>
    <w:rsid w:val="00E51220"/>
    <w:rsid w:val="00E63A67"/>
    <w:rsid w:val="00EB6AE8"/>
    <w:rsid w:val="00ED0C51"/>
    <w:rsid w:val="00ED4590"/>
    <w:rsid w:val="00F14D32"/>
    <w:rsid w:val="00F24C4A"/>
    <w:rsid w:val="00F345E2"/>
    <w:rsid w:val="00F4346E"/>
    <w:rsid w:val="00F6422B"/>
    <w:rsid w:val="00F841A7"/>
    <w:rsid w:val="00FA3541"/>
    <w:rsid w:val="00FB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AF58FE"/>
  <w15:chartTrackingRefBased/>
  <w15:docId w15:val="{18D47B79-5D37-4DC6-ACE0-87FF062D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AE8"/>
    <w:pPr>
      <w:spacing w:after="200" w:line="276" w:lineRule="auto"/>
    </w:pPr>
    <w:rPr>
      <w:rFonts w:eastAsiaTheme="minorEastAsia"/>
    </w:rPr>
  </w:style>
  <w:style w:type="paragraph" w:styleId="Heading1">
    <w:name w:val="heading 1"/>
    <w:basedOn w:val="Normal"/>
    <w:next w:val="Normal"/>
    <w:link w:val="Heading1Char"/>
    <w:autoRedefine/>
    <w:uiPriority w:val="9"/>
    <w:qFormat/>
    <w:rsid w:val="00E47F58"/>
    <w:pPr>
      <w:keepNext/>
      <w:adjustRightInd w:val="0"/>
      <w:spacing w:after="480" w:line="240" w:lineRule="auto"/>
      <w:jc w:val="right"/>
      <w:outlineLvl w:val="0"/>
    </w:pPr>
    <w:rPr>
      <w:rFonts w:ascii="Arial" w:eastAsia="Times New Roman" w:hAnsi="Arial" w:cs="Arial"/>
      <w:b/>
      <w:iCs/>
      <w:color w:val="000000" w:themeColor="text1"/>
      <w:sz w:val="36"/>
      <w:szCs w:val="36"/>
      <w:lang w:val="en-GB"/>
    </w:rPr>
  </w:style>
  <w:style w:type="paragraph" w:styleId="Heading2">
    <w:name w:val="heading 2"/>
    <w:basedOn w:val="Normal"/>
    <w:next w:val="Normal"/>
    <w:link w:val="Heading2Char"/>
    <w:autoRedefine/>
    <w:uiPriority w:val="9"/>
    <w:unhideWhenUsed/>
    <w:qFormat/>
    <w:rsid w:val="002C772B"/>
    <w:pPr>
      <w:keepNext/>
      <w:keepLines/>
      <w:spacing w:after="400" w:line="240" w:lineRule="auto"/>
      <w:ind w:left="1008" w:hanging="1008"/>
      <w:jc w:val="both"/>
      <w:outlineLvl w:val="1"/>
    </w:pPr>
    <w:rPr>
      <w:rFonts w:ascii="Arial" w:eastAsiaTheme="majorEastAsia" w:hAnsi="Arial" w:cs="Arial"/>
      <w:b/>
      <w:bCs/>
      <w:color w:val="000000" w:themeColor="text1"/>
      <w:sz w:val="20"/>
      <w:szCs w:val="20"/>
      <w:lang w:val="en-GB"/>
    </w:rPr>
  </w:style>
  <w:style w:type="paragraph" w:styleId="Heading3">
    <w:name w:val="heading 3"/>
    <w:basedOn w:val="Normal"/>
    <w:next w:val="Normal"/>
    <w:link w:val="Heading3Char"/>
    <w:autoRedefine/>
    <w:uiPriority w:val="9"/>
    <w:unhideWhenUsed/>
    <w:qFormat/>
    <w:rsid w:val="00E47F58"/>
    <w:pPr>
      <w:keepNext/>
      <w:keepLines/>
      <w:spacing w:after="400" w:line="240" w:lineRule="auto"/>
      <w:ind w:left="1008" w:hanging="1008"/>
      <w:outlineLvl w:val="2"/>
    </w:pPr>
    <w:rPr>
      <w:rFonts w:ascii="Arial" w:eastAsiaTheme="majorEastAsia" w:hAnsi="Arial" w:cs="Arial"/>
      <w:b/>
      <w:bCs/>
      <w:color w:val="000000" w:themeColor="text1"/>
    </w:rPr>
  </w:style>
  <w:style w:type="paragraph" w:styleId="Heading4">
    <w:name w:val="heading 4"/>
    <w:basedOn w:val="Normal"/>
    <w:next w:val="Normal"/>
    <w:link w:val="Heading4Char"/>
    <w:autoRedefine/>
    <w:uiPriority w:val="9"/>
    <w:unhideWhenUsed/>
    <w:qFormat/>
    <w:rsid w:val="006412F3"/>
    <w:pPr>
      <w:keepNext/>
      <w:keepLines/>
      <w:spacing w:after="400" w:line="240" w:lineRule="auto"/>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EB6AE8"/>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EB6AE8"/>
    <w:pPr>
      <w:numPr>
        <w:ilvl w:val="5"/>
        <w:numId w:val="3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B6AE8"/>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B6AE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AE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F58"/>
    <w:rPr>
      <w:rFonts w:ascii="Arial" w:eastAsia="Times New Roman" w:hAnsi="Arial" w:cs="Arial"/>
      <w:b/>
      <w:iCs/>
      <w:color w:val="000000" w:themeColor="text1"/>
      <w:sz w:val="36"/>
      <w:szCs w:val="36"/>
      <w:lang w:val="en-GB"/>
    </w:rPr>
  </w:style>
  <w:style w:type="character" w:customStyle="1" w:styleId="Heading2Char">
    <w:name w:val="Heading 2 Char"/>
    <w:basedOn w:val="DefaultParagraphFont"/>
    <w:link w:val="Heading2"/>
    <w:uiPriority w:val="9"/>
    <w:rsid w:val="002C772B"/>
    <w:rPr>
      <w:rFonts w:ascii="Arial" w:eastAsiaTheme="majorEastAsia" w:hAnsi="Arial" w:cs="Arial"/>
      <w:b/>
      <w:bCs/>
      <w:color w:val="000000" w:themeColor="text1"/>
      <w:sz w:val="20"/>
      <w:szCs w:val="20"/>
      <w:lang w:val="en-GB"/>
    </w:rPr>
  </w:style>
  <w:style w:type="character" w:customStyle="1" w:styleId="Heading3Char">
    <w:name w:val="Heading 3 Char"/>
    <w:basedOn w:val="DefaultParagraphFont"/>
    <w:link w:val="Heading3"/>
    <w:uiPriority w:val="9"/>
    <w:rsid w:val="00E47F58"/>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rsid w:val="006412F3"/>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EB6AE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B6AE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B6A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B6A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6AE8"/>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EB6AE8"/>
    <w:pPr>
      <w:spacing w:after="0" w:line="240" w:lineRule="auto"/>
    </w:pPr>
    <w:rPr>
      <w:rFonts w:eastAsiaTheme="minorEastAsia"/>
    </w:rPr>
  </w:style>
  <w:style w:type="paragraph" w:styleId="BodyText">
    <w:name w:val="Body Text"/>
    <w:basedOn w:val="Normal"/>
    <w:link w:val="BodyTextChar"/>
    <w:rsid w:val="00EB6A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6AE8"/>
    <w:rPr>
      <w:rFonts w:ascii="Times New Roman" w:eastAsia="Times New Roman" w:hAnsi="Times New Roman" w:cs="Times New Roman"/>
      <w:sz w:val="24"/>
      <w:szCs w:val="24"/>
    </w:rPr>
  </w:style>
  <w:style w:type="paragraph" w:styleId="ListParagraph">
    <w:name w:val="List Paragraph"/>
    <w:basedOn w:val="Normal"/>
    <w:uiPriority w:val="34"/>
    <w:qFormat/>
    <w:rsid w:val="00EB6AE8"/>
    <w:pPr>
      <w:spacing w:after="0" w:line="240" w:lineRule="auto"/>
      <w:ind w:left="720"/>
      <w:contextualSpacing/>
    </w:pPr>
    <w:rPr>
      <w:rFonts w:ascii="Calibri" w:eastAsia="Calibri" w:hAnsi="Calibri" w:cs="Times New Roman"/>
    </w:rPr>
  </w:style>
  <w:style w:type="table" w:styleId="TableGrid">
    <w:name w:val="Table Grid"/>
    <w:basedOn w:val="TableNormal"/>
    <w:uiPriority w:val="59"/>
    <w:rsid w:val="00EB6A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AE8"/>
    <w:rPr>
      <w:rFonts w:eastAsiaTheme="minorEastAsia"/>
    </w:rPr>
  </w:style>
  <w:style w:type="paragraph" w:styleId="Footer">
    <w:name w:val="footer"/>
    <w:basedOn w:val="Normal"/>
    <w:link w:val="FooterChar"/>
    <w:uiPriority w:val="99"/>
    <w:unhideWhenUsed/>
    <w:rsid w:val="00EB6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AE8"/>
    <w:rPr>
      <w:rFonts w:eastAsiaTheme="minorEastAsia"/>
    </w:rPr>
  </w:style>
  <w:style w:type="character" w:customStyle="1" w:styleId="BalloonTextChar">
    <w:name w:val="Balloon Text Char"/>
    <w:basedOn w:val="DefaultParagraphFont"/>
    <w:link w:val="BalloonText"/>
    <w:uiPriority w:val="99"/>
    <w:semiHidden/>
    <w:rsid w:val="00EB6AE8"/>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B6AE8"/>
    <w:pPr>
      <w:spacing w:after="0" w:line="240" w:lineRule="auto"/>
    </w:pPr>
    <w:rPr>
      <w:rFonts w:ascii="Tahoma" w:hAnsi="Tahoma" w:cs="Tahoma"/>
      <w:sz w:val="16"/>
      <w:szCs w:val="16"/>
    </w:rPr>
  </w:style>
  <w:style w:type="character" w:styleId="Hyperlink">
    <w:name w:val="Hyperlink"/>
    <w:basedOn w:val="DefaultParagraphFont"/>
    <w:uiPriority w:val="99"/>
    <w:unhideWhenUsed/>
    <w:rsid w:val="00EB6AE8"/>
    <w:rPr>
      <w:color w:val="0563C1" w:themeColor="hyperlink"/>
      <w:u w:val="single"/>
    </w:rPr>
  </w:style>
  <w:style w:type="paragraph" w:styleId="Caption">
    <w:name w:val="caption"/>
    <w:basedOn w:val="Normal"/>
    <w:next w:val="Normal"/>
    <w:uiPriority w:val="35"/>
    <w:unhideWhenUsed/>
    <w:qFormat/>
    <w:rsid w:val="00EB6AE8"/>
    <w:pPr>
      <w:spacing w:after="0" w:line="240" w:lineRule="auto"/>
      <w:jc w:val="both"/>
    </w:pPr>
    <w:rPr>
      <w:rFonts w:ascii="Times New Roman" w:hAnsi="Times New Roman"/>
      <w:b/>
      <w:bCs/>
      <w:color w:val="000000" w:themeColor="text1"/>
      <w:sz w:val="24"/>
      <w:szCs w:val="18"/>
    </w:rPr>
  </w:style>
  <w:style w:type="paragraph" w:customStyle="1" w:styleId="MDPI11articletype">
    <w:name w:val="MDPI_1.1_article_type"/>
    <w:basedOn w:val="MDPI31text"/>
    <w:next w:val="MDPI12title"/>
    <w:rsid w:val="00EB6AE8"/>
    <w:pPr>
      <w:spacing w:before="240" w:line="240" w:lineRule="auto"/>
      <w:ind w:firstLine="0"/>
      <w:jc w:val="left"/>
    </w:pPr>
    <w:rPr>
      <w:i/>
    </w:rPr>
  </w:style>
  <w:style w:type="paragraph" w:customStyle="1" w:styleId="MDPI31text">
    <w:name w:val="MDPI_3.1_text"/>
    <w:rsid w:val="00EB6AE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2title">
    <w:name w:val="MDPI_1.2_title"/>
    <w:next w:val="MDPI13authornames"/>
    <w:rsid w:val="00EB6AE8"/>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rsid w:val="00EB6AE8"/>
    <w:pPr>
      <w:spacing w:after="120"/>
      <w:ind w:firstLine="0"/>
      <w:jc w:val="left"/>
    </w:pPr>
    <w:rPr>
      <w:b/>
      <w:snapToGrid/>
    </w:rPr>
  </w:style>
  <w:style w:type="paragraph" w:customStyle="1" w:styleId="MDPI14history">
    <w:name w:val="MDPI_1.4_history"/>
    <w:basedOn w:val="MDPI62Acknowledgments"/>
    <w:next w:val="Normal"/>
    <w:rsid w:val="00EB6AE8"/>
    <w:pPr>
      <w:ind w:left="113"/>
      <w:jc w:val="left"/>
    </w:pPr>
    <w:rPr>
      <w:snapToGrid/>
    </w:rPr>
  </w:style>
  <w:style w:type="paragraph" w:customStyle="1" w:styleId="MDPI62Acknowledgments">
    <w:name w:val="MDPI_6.2_Acknowledgments"/>
    <w:rsid w:val="00EB6AE8"/>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6affiliation">
    <w:name w:val="MDPI_1.6_affiliation"/>
    <w:basedOn w:val="MDPI62Acknowledgments"/>
    <w:rsid w:val="00EB6AE8"/>
    <w:pPr>
      <w:spacing w:before="0"/>
      <w:ind w:left="311" w:hanging="198"/>
      <w:jc w:val="left"/>
    </w:pPr>
    <w:rPr>
      <w:snapToGrid/>
      <w:szCs w:val="18"/>
    </w:rPr>
  </w:style>
  <w:style w:type="paragraph" w:customStyle="1" w:styleId="MDPI17abstract">
    <w:name w:val="MDPI_1.7_abstract"/>
    <w:basedOn w:val="MDPI31text"/>
    <w:next w:val="MDPI18keywords"/>
    <w:rsid w:val="00EB6AE8"/>
    <w:pPr>
      <w:spacing w:before="240"/>
      <w:ind w:left="113" w:firstLine="0"/>
    </w:pPr>
    <w:rPr>
      <w:snapToGrid/>
    </w:rPr>
  </w:style>
  <w:style w:type="paragraph" w:customStyle="1" w:styleId="MDPI18keywords">
    <w:name w:val="MDPI_1.8_keywords"/>
    <w:basedOn w:val="MDPI31text"/>
    <w:next w:val="Normal"/>
    <w:rsid w:val="00EB6AE8"/>
    <w:pPr>
      <w:spacing w:before="240"/>
      <w:ind w:left="113" w:firstLine="0"/>
    </w:pPr>
  </w:style>
  <w:style w:type="paragraph" w:customStyle="1" w:styleId="MDPI19line">
    <w:name w:val="MDPI_1.9_line"/>
    <w:basedOn w:val="MDPI31text"/>
    <w:rsid w:val="00EB6AE8"/>
    <w:pPr>
      <w:pBdr>
        <w:bottom w:val="single" w:sz="6" w:space="1" w:color="auto"/>
      </w:pBdr>
      <w:ind w:firstLine="0"/>
    </w:pPr>
    <w:rPr>
      <w:snapToGrid/>
      <w:szCs w:val="24"/>
    </w:rPr>
  </w:style>
  <w:style w:type="paragraph" w:customStyle="1" w:styleId="MDPIheaderjournallogo">
    <w:name w:val="MDPI_header_journal_logo"/>
    <w:rsid w:val="00EB6AE8"/>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rsid w:val="00EB6AE8"/>
    <w:pPr>
      <w:ind w:firstLine="0"/>
    </w:pPr>
  </w:style>
  <w:style w:type="paragraph" w:customStyle="1" w:styleId="MDPI33textspaceafter">
    <w:name w:val="MDPI_3.3_text_space_after"/>
    <w:basedOn w:val="MDPI31text"/>
    <w:rsid w:val="00EB6AE8"/>
    <w:pPr>
      <w:spacing w:after="240"/>
    </w:pPr>
  </w:style>
  <w:style w:type="paragraph" w:customStyle="1" w:styleId="MDPI34textspacebefore">
    <w:name w:val="MDPI_3.4_text_space_before"/>
    <w:basedOn w:val="MDPI31text"/>
    <w:rsid w:val="00EB6AE8"/>
    <w:pPr>
      <w:spacing w:before="240"/>
    </w:pPr>
  </w:style>
  <w:style w:type="paragraph" w:customStyle="1" w:styleId="MDPI35textbeforelist">
    <w:name w:val="MDPI_3.5_text_before_list"/>
    <w:basedOn w:val="MDPI31text"/>
    <w:rsid w:val="00EB6AE8"/>
    <w:pPr>
      <w:spacing w:after="120"/>
    </w:pPr>
  </w:style>
  <w:style w:type="paragraph" w:customStyle="1" w:styleId="MDPI36textafterlist">
    <w:name w:val="MDPI_3.6_text_after_list"/>
    <w:basedOn w:val="MDPI31text"/>
    <w:rsid w:val="00EB6AE8"/>
    <w:pPr>
      <w:spacing w:before="120"/>
    </w:pPr>
  </w:style>
  <w:style w:type="paragraph" w:customStyle="1" w:styleId="MDPI37itemize">
    <w:name w:val="MDPI_3.7_itemize"/>
    <w:basedOn w:val="MDPI31text"/>
    <w:rsid w:val="00EB6AE8"/>
    <w:pPr>
      <w:numPr>
        <w:numId w:val="6"/>
      </w:numPr>
      <w:ind w:left="425" w:hanging="425"/>
    </w:pPr>
  </w:style>
  <w:style w:type="paragraph" w:customStyle="1" w:styleId="MDPI38bullet">
    <w:name w:val="MDPI_3.8_bullet"/>
    <w:basedOn w:val="MDPI31text"/>
    <w:rsid w:val="00EB6AE8"/>
    <w:pPr>
      <w:numPr>
        <w:numId w:val="7"/>
      </w:numPr>
      <w:ind w:left="425" w:hanging="425"/>
    </w:pPr>
  </w:style>
  <w:style w:type="paragraph" w:customStyle="1" w:styleId="MDPI39equation">
    <w:name w:val="MDPI_3.9_equation"/>
    <w:basedOn w:val="MDPI31text"/>
    <w:rsid w:val="00EB6AE8"/>
    <w:pPr>
      <w:spacing w:before="120" w:after="120"/>
      <w:ind w:left="709" w:firstLine="0"/>
      <w:jc w:val="center"/>
    </w:pPr>
  </w:style>
  <w:style w:type="paragraph" w:customStyle="1" w:styleId="MDPI3aequationnumber">
    <w:name w:val="MDPI_3.a_equation_number"/>
    <w:basedOn w:val="MDPI31text"/>
    <w:rsid w:val="00EB6AE8"/>
    <w:pPr>
      <w:spacing w:before="120" w:after="120" w:line="240" w:lineRule="auto"/>
      <w:ind w:firstLine="0"/>
      <w:jc w:val="right"/>
    </w:pPr>
  </w:style>
  <w:style w:type="paragraph" w:customStyle="1" w:styleId="MDPI41tablecaption">
    <w:name w:val="MDPI_4.1_table_caption"/>
    <w:basedOn w:val="MDPI62Acknowledgments"/>
    <w:rsid w:val="00EB6AE8"/>
    <w:pPr>
      <w:spacing w:before="240" w:after="120" w:line="260" w:lineRule="atLeast"/>
      <w:ind w:left="425" w:right="425"/>
    </w:pPr>
    <w:rPr>
      <w:snapToGrid/>
      <w:szCs w:val="22"/>
    </w:rPr>
  </w:style>
  <w:style w:type="paragraph" w:customStyle="1" w:styleId="MDPI42tablebody">
    <w:name w:val="MDPI_4.2_table_body"/>
    <w:rsid w:val="00EB6AE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rsid w:val="00EB6AE8"/>
    <w:pPr>
      <w:spacing w:before="0"/>
      <w:ind w:left="0" w:right="0"/>
    </w:pPr>
  </w:style>
  <w:style w:type="paragraph" w:customStyle="1" w:styleId="MDPI51figurecaption">
    <w:name w:val="MDPI_5.1_figure_caption"/>
    <w:basedOn w:val="MDPI62Acknowledgments"/>
    <w:rsid w:val="00EB6AE8"/>
    <w:pPr>
      <w:spacing w:after="240" w:line="260" w:lineRule="atLeast"/>
      <w:ind w:left="425" w:right="425"/>
    </w:pPr>
    <w:rPr>
      <w:snapToGrid/>
    </w:rPr>
  </w:style>
  <w:style w:type="paragraph" w:customStyle="1" w:styleId="MDPI52figure">
    <w:name w:val="MDPI_5.2_figure"/>
    <w:rsid w:val="00EB6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rsid w:val="00EB6AE8"/>
    <w:pPr>
      <w:spacing w:before="240"/>
    </w:pPr>
    <w:rPr>
      <w:lang w:eastAsia="en-US"/>
    </w:rPr>
  </w:style>
  <w:style w:type="paragraph" w:customStyle="1" w:styleId="MDPI63AuthorContributions">
    <w:name w:val="MDPI_6.3_AuthorContributions"/>
    <w:basedOn w:val="MDPI62Acknowledgments"/>
    <w:rsid w:val="00EB6AE8"/>
    <w:rPr>
      <w:rFonts w:eastAsia="SimSun"/>
      <w:color w:val="auto"/>
      <w:lang w:eastAsia="en-US"/>
    </w:rPr>
  </w:style>
  <w:style w:type="paragraph" w:customStyle="1" w:styleId="MDPI64CoI">
    <w:name w:val="MDPI_6.4_CoI"/>
    <w:basedOn w:val="MDPI62Acknowledgments"/>
    <w:rsid w:val="00EB6AE8"/>
  </w:style>
  <w:style w:type="paragraph" w:customStyle="1" w:styleId="MDPI81theorem">
    <w:name w:val="MDPI_8.1_theorem"/>
    <w:basedOn w:val="MDPI32textnoindent"/>
    <w:rsid w:val="00EB6AE8"/>
    <w:rPr>
      <w:i/>
    </w:rPr>
  </w:style>
  <w:style w:type="paragraph" w:customStyle="1" w:styleId="MDPI82proof">
    <w:name w:val="MDPI_8.2_proof"/>
    <w:basedOn w:val="MDPI32textnoindent"/>
    <w:rsid w:val="00EB6AE8"/>
  </w:style>
  <w:style w:type="paragraph" w:customStyle="1" w:styleId="MDPIfooterfirstpage">
    <w:name w:val="MDPI_footer_firstpage"/>
    <w:basedOn w:val="Normal"/>
    <w:rsid w:val="00EB6AE8"/>
    <w:pPr>
      <w:tabs>
        <w:tab w:val="right" w:pos="8845"/>
      </w:tabs>
      <w:adjustRightInd w:val="0"/>
      <w:snapToGrid w:val="0"/>
      <w:spacing w:before="120" w:after="0" w:line="160" w:lineRule="exact"/>
    </w:pPr>
    <w:rPr>
      <w:rFonts w:ascii="Palatino Linotype" w:eastAsia="Times New Roman" w:hAnsi="Palatino Linotype" w:cs="Times New Roman"/>
      <w:sz w:val="16"/>
      <w:szCs w:val="20"/>
      <w:lang w:eastAsia="de-DE"/>
    </w:rPr>
  </w:style>
  <w:style w:type="paragraph" w:customStyle="1" w:styleId="MDPI23heading3">
    <w:name w:val="MDPI_2.3_heading3"/>
    <w:basedOn w:val="MDPI31text"/>
    <w:rsid w:val="00EB6AE8"/>
    <w:pPr>
      <w:spacing w:before="240" w:after="120"/>
      <w:ind w:firstLine="0"/>
      <w:jc w:val="left"/>
      <w:outlineLvl w:val="2"/>
    </w:pPr>
  </w:style>
  <w:style w:type="paragraph" w:customStyle="1" w:styleId="MDPI21heading1">
    <w:name w:val="MDPI_2.1_heading1"/>
    <w:basedOn w:val="MDPI23heading3"/>
    <w:rsid w:val="00EB6AE8"/>
    <w:pPr>
      <w:outlineLvl w:val="0"/>
    </w:pPr>
    <w:rPr>
      <w:b/>
    </w:rPr>
  </w:style>
  <w:style w:type="paragraph" w:customStyle="1" w:styleId="MDPI22heading2">
    <w:name w:val="MDPI_2.2_heading2"/>
    <w:basedOn w:val="Normal"/>
    <w:rsid w:val="00EB6AE8"/>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rsid w:val="00EB6AE8"/>
    <w:pPr>
      <w:numPr>
        <w:numId w:val="8"/>
      </w:numPr>
      <w:spacing w:before="0" w:line="260" w:lineRule="atLeast"/>
      <w:ind w:left="425" w:hanging="425"/>
    </w:pPr>
  </w:style>
  <w:style w:type="paragraph" w:customStyle="1" w:styleId="p">
    <w:name w:val="p"/>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6AE8"/>
    <w:rPr>
      <w:i/>
      <w:iCs/>
    </w:rPr>
  </w:style>
  <w:style w:type="character" w:customStyle="1" w:styleId="a-size-base">
    <w:name w:val="a-size-base"/>
    <w:basedOn w:val="DefaultParagraphFont"/>
    <w:rsid w:val="00EB6AE8"/>
  </w:style>
  <w:style w:type="paragraph" w:customStyle="1" w:styleId="ads-ad">
    <w:name w:val="ads-ad"/>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B6AE8"/>
    <w:pPr>
      <w:tabs>
        <w:tab w:val="right" w:pos="8184"/>
      </w:tabs>
      <w:spacing w:after="0" w:line="240" w:lineRule="auto"/>
      <w:ind w:left="1008" w:hanging="558"/>
    </w:pPr>
    <w:rPr>
      <w:rFonts w:ascii="Times New Roman Bold" w:hAnsi="Times New Roman Bold" w:cstheme="minorHAnsi"/>
      <w:b/>
      <w:bCs/>
      <w:caps/>
      <w:color w:val="000000" w:themeColor="text1"/>
      <w:sz w:val="24"/>
      <w:szCs w:val="20"/>
    </w:rPr>
  </w:style>
  <w:style w:type="character" w:customStyle="1" w:styleId="CommentTextChar">
    <w:name w:val="Comment Text Char"/>
    <w:basedOn w:val="DefaultParagraphFont"/>
    <w:link w:val="CommentText"/>
    <w:uiPriority w:val="99"/>
    <w:semiHidden/>
    <w:rsid w:val="00EB6AE8"/>
    <w:rPr>
      <w:rFonts w:ascii="Times New Roman" w:eastAsia="Times New Roman" w:hAnsi="Times New Roman" w:cs="Times New Roman"/>
      <w:color w:val="000000"/>
      <w:sz w:val="20"/>
      <w:szCs w:val="20"/>
      <w:lang w:eastAsia="de-DE"/>
    </w:rPr>
  </w:style>
  <w:style w:type="paragraph" w:styleId="CommentText">
    <w:name w:val="annotation text"/>
    <w:basedOn w:val="Normal"/>
    <w:link w:val="CommentTextChar"/>
    <w:uiPriority w:val="99"/>
    <w:semiHidden/>
    <w:unhideWhenUsed/>
    <w:rsid w:val="00EB6AE8"/>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1">
    <w:name w:val="Comment Text Char1"/>
    <w:basedOn w:val="DefaultParagraphFont"/>
    <w:uiPriority w:val="99"/>
    <w:semiHidden/>
    <w:rsid w:val="00EB6AE8"/>
    <w:rPr>
      <w:rFonts w:eastAsiaTheme="minorEastAsia"/>
      <w:sz w:val="20"/>
      <w:szCs w:val="20"/>
    </w:rPr>
  </w:style>
  <w:style w:type="character" w:customStyle="1" w:styleId="CommentSubjectChar">
    <w:name w:val="Comment Subject Char"/>
    <w:basedOn w:val="CommentTextChar"/>
    <w:link w:val="CommentSubject"/>
    <w:uiPriority w:val="99"/>
    <w:semiHidden/>
    <w:rsid w:val="00EB6AE8"/>
    <w:rPr>
      <w:rFonts w:ascii="Times New Roman" w:eastAsia="Times New Roman" w:hAnsi="Times New Roman" w:cs="Times New Roman"/>
      <w:b/>
      <w:bCs/>
      <w:color w:val="000000"/>
      <w:sz w:val="20"/>
      <w:szCs w:val="20"/>
      <w:lang w:eastAsia="de-DE"/>
    </w:rPr>
  </w:style>
  <w:style w:type="paragraph" w:styleId="CommentSubject">
    <w:name w:val="annotation subject"/>
    <w:basedOn w:val="CommentText"/>
    <w:next w:val="CommentText"/>
    <w:link w:val="CommentSubjectChar"/>
    <w:uiPriority w:val="99"/>
    <w:semiHidden/>
    <w:unhideWhenUsed/>
    <w:rsid w:val="00EB6AE8"/>
    <w:rPr>
      <w:b/>
      <w:bCs/>
    </w:rPr>
  </w:style>
  <w:style w:type="character" w:customStyle="1" w:styleId="CommentSubjectChar1">
    <w:name w:val="Comment Subject Char1"/>
    <w:basedOn w:val="CommentTextChar1"/>
    <w:uiPriority w:val="99"/>
    <w:semiHidden/>
    <w:rsid w:val="00EB6AE8"/>
    <w:rPr>
      <w:rFonts w:eastAsiaTheme="minorEastAsia"/>
      <w:b/>
      <w:bCs/>
      <w:sz w:val="20"/>
      <w:szCs w:val="20"/>
    </w:rPr>
  </w:style>
  <w:style w:type="character" w:customStyle="1" w:styleId="HTMLPreformattedChar">
    <w:name w:val="HTML Preformatted Char"/>
    <w:basedOn w:val="DefaultParagraphFont"/>
    <w:link w:val="HTMLPreformatted"/>
    <w:uiPriority w:val="99"/>
    <w:semiHidden/>
    <w:rsid w:val="00EB6AE8"/>
    <w:rPr>
      <w:rFonts w:ascii="Consolas" w:eastAsiaTheme="minorEastAsia" w:hAnsi="Consolas"/>
      <w:sz w:val="20"/>
      <w:szCs w:val="20"/>
    </w:rPr>
  </w:style>
  <w:style w:type="paragraph" w:styleId="HTMLPreformatted">
    <w:name w:val="HTML Preformatted"/>
    <w:basedOn w:val="Normal"/>
    <w:link w:val="HTMLPreformattedChar"/>
    <w:uiPriority w:val="99"/>
    <w:semiHidden/>
    <w:unhideWhenUsed/>
    <w:rsid w:val="00EB6AE8"/>
    <w:pPr>
      <w:spacing w:after="0" w:line="240" w:lineRule="auto"/>
    </w:pPr>
    <w:rPr>
      <w:rFonts w:ascii="Consolas" w:hAnsi="Consolas"/>
      <w:sz w:val="20"/>
      <w:szCs w:val="20"/>
    </w:rPr>
  </w:style>
  <w:style w:type="paragraph" w:styleId="TOCHeading">
    <w:name w:val="TOC Heading"/>
    <w:basedOn w:val="Heading1"/>
    <w:next w:val="Normal"/>
    <w:uiPriority w:val="39"/>
    <w:unhideWhenUsed/>
    <w:qFormat/>
    <w:rsid w:val="00EB6AE8"/>
    <w:pPr>
      <w:keepLines/>
      <w:spacing w:before="240" w:line="259" w:lineRule="auto"/>
      <w:jc w:val="left"/>
      <w:outlineLvl w:val="9"/>
    </w:pPr>
    <w:rPr>
      <w:rFonts w:asciiTheme="majorHAnsi" w:eastAsiaTheme="majorEastAsia" w:hAnsiTheme="majorHAnsi" w:cstheme="majorBidi"/>
      <w:b w:val="0"/>
      <w:color w:val="2E74B5" w:themeColor="accent1" w:themeShade="BF"/>
    </w:rPr>
  </w:style>
  <w:style w:type="paragraph" w:styleId="TOC2">
    <w:name w:val="toc 2"/>
    <w:basedOn w:val="Normal"/>
    <w:next w:val="Normal"/>
    <w:autoRedefine/>
    <w:uiPriority w:val="39"/>
    <w:unhideWhenUsed/>
    <w:rsid w:val="00EB6AE8"/>
    <w:pPr>
      <w:spacing w:after="0" w:line="240" w:lineRule="auto"/>
      <w:ind w:left="1728" w:hanging="720"/>
    </w:pPr>
    <w:rPr>
      <w:rFonts w:ascii="Times New Roman" w:hAnsi="Times New Roman" w:cs="Times New Roman"/>
      <w:noProof/>
      <w:color w:val="000000" w:themeColor="text1"/>
      <w:sz w:val="24"/>
      <w:szCs w:val="20"/>
    </w:rPr>
  </w:style>
  <w:style w:type="paragraph" w:styleId="TOC3">
    <w:name w:val="toc 3"/>
    <w:basedOn w:val="Normal"/>
    <w:next w:val="Normal"/>
    <w:autoRedefine/>
    <w:uiPriority w:val="39"/>
    <w:unhideWhenUsed/>
    <w:rsid w:val="00EB6AE8"/>
    <w:pPr>
      <w:spacing w:after="0" w:line="240" w:lineRule="auto"/>
      <w:ind w:left="2448" w:hanging="720"/>
    </w:pPr>
    <w:rPr>
      <w:rFonts w:ascii="Times New Roman" w:hAnsi="Times New Roman" w:cstheme="minorHAnsi"/>
      <w:color w:val="000000" w:themeColor="text1"/>
      <w:sz w:val="24"/>
      <w:szCs w:val="20"/>
    </w:rPr>
  </w:style>
  <w:style w:type="paragraph" w:styleId="TOC4">
    <w:name w:val="toc 4"/>
    <w:basedOn w:val="Normal"/>
    <w:next w:val="Normal"/>
    <w:autoRedefine/>
    <w:uiPriority w:val="39"/>
    <w:unhideWhenUsed/>
    <w:rsid w:val="00EB6AE8"/>
    <w:pPr>
      <w:spacing w:after="0" w:line="240" w:lineRule="auto"/>
      <w:ind w:left="3456" w:hanging="1008"/>
    </w:pPr>
    <w:rPr>
      <w:rFonts w:ascii="Times New Roman" w:hAnsi="Times New Roman" w:cstheme="minorHAnsi"/>
      <w:color w:val="000000" w:themeColor="text1"/>
      <w:sz w:val="24"/>
      <w:szCs w:val="20"/>
    </w:rPr>
  </w:style>
  <w:style w:type="paragraph" w:styleId="TOC5">
    <w:name w:val="toc 5"/>
    <w:basedOn w:val="Normal"/>
    <w:next w:val="Normal"/>
    <w:autoRedefine/>
    <w:uiPriority w:val="39"/>
    <w:unhideWhenUsed/>
    <w:rsid w:val="00EB6AE8"/>
    <w:pPr>
      <w:spacing w:after="0"/>
      <w:ind w:left="880"/>
    </w:pPr>
    <w:rPr>
      <w:rFonts w:cstheme="minorHAnsi"/>
      <w:sz w:val="20"/>
      <w:szCs w:val="20"/>
    </w:rPr>
  </w:style>
  <w:style w:type="paragraph" w:styleId="TOC6">
    <w:name w:val="toc 6"/>
    <w:basedOn w:val="Normal"/>
    <w:next w:val="Normal"/>
    <w:autoRedefine/>
    <w:uiPriority w:val="39"/>
    <w:unhideWhenUsed/>
    <w:rsid w:val="00EB6AE8"/>
    <w:pPr>
      <w:spacing w:after="0"/>
      <w:ind w:left="1100"/>
    </w:pPr>
    <w:rPr>
      <w:rFonts w:cstheme="minorHAnsi"/>
      <w:sz w:val="20"/>
      <w:szCs w:val="20"/>
    </w:rPr>
  </w:style>
  <w:style w:type="paragraph" w:styleId="TOC7">
    <w:name w:val="toc 7"/>
    <w:basedOn w:val="Normal"/>
    <w:next w:val="Normal"/>
    <w:autoRedefine/>
    <w:uiPriority w:val="39"/>
    <w:unhideWhenUsed/>
    <w:rsid w:val="00EB6AE8"/>
    <w:pPr>
      <w:spacing w:after="0"/>
      <w:ind w:left="1320"/>
    </w:pPr>
    <w:rPr>
      <w:rFonts w:cstheme="minorHAnsi"/>
      <w:sz w:val="20"/>
      <w:szCs w:val="20"/>
    </w:rPr>
  </w:style>
  <w:style w:type="paragraph" w:styleId="TOC8">
    <w:name w:val="toc 8"/>
    <w:basedOn w:val="Normal"/>
    <w:next w:val="Normal"/>
    <w:autoRedefine/>
    <w:uiPriority w:val="39"/>
    <w:unhideWhenUsed/>
    <w:rsid w:val="00EB6AE8"/>
    <w:pPr>
      <w:spacing w:after="0"/>
      <w:ind w:left="1540"/>
    </w:pPr>
    <w:rPr>
      <w:rFonts w:cstheme="minorHAnsi"/>
      <w:sz w:val="20"/>
      <w:szCs w:val="20"/>
    </w:rPr>
  </w:style>
  <w:style w:type="paragraph" w:styleId="TOC9">
    <w:name w:val="toc 9"/>
    <w:basedOn w:val="Normal"/>
    <w:next w:val="Normal"/>
    <w:autoRedefine/>
    <w:uiPriority w:val="39"/>
    <w:unhideWhenUsed/>
    <w:rsid w:val="00EB6AE8"/>
    <w:pPr>
      <w:spacing w:after="0"/>
      <w:ind w:left="1760"/>
    </w:pPr>
    <w:rPr>
      <w:rFonts w:cstheme="minorHAnsi"/>
      <w:sz w:val="20"/>
      <w:szCs w:val="20"/>
    </w:rPr>
  </w:style>
  <w:style w:type="paragraph" w:customStyle="1" w:styleId="chapter">
    <w:name w:val="chapter"/>
    <w:basedOn w:val="Normal"/>
    <w:next w:val="Normal"/>
    <w:qFormat/>
    <w:rsid w:val="00EB6AE8"/>
    <w:pPr>
      <w:spacing w:after="480" w:line="240" w:lineRule="auto"/>
      <w:jc w:val="center"/>
    </w:pPr>
    <w:rPr>
      <w:rFonts w:ascii="Times New Roman" w:hAnsi="Times New Roman"/>
      <w:b/>
      <w:color w:val="000000" w:themeColor="text1"/>
      <w:sz w:val="24"/>
      <w:lang w:val="en-GB"/>
    </w:rPr>
  </w:style>
  <w:style w:type="paragraph" w:customStyle="1" w:styleId="single">
    <w:name w:val="single"/>
    <w:basedOn w:val="Normal"/>
    <w:next w:val="Normal"/>
    <w:qFormat/>
    <w:rsid w:val="00EB6AE8"/>
    <w:pPr>
      <w:spacing w:after="480" w:line="240" w:lineRule="auto"/>
      <w:jc w:val="both"/>
    </w:pPr>
    <w:rPr>
      <w:rFonts w:ascii="Times New Roman" w:hAnsi="Times New Roman" w:cs="Times New Roman"/>
      <w:color w:val="000000" w:themeColor="text1"/>
      <w:sz w:val="24"/>
      <w:szCs w:val="24"/>
    </w:rPr>
  </w:style>
  <w:style w:type="paragraph" w:customStyle="1" w:styleId="j">
    <w:name w:val="j"/>
    <w:basedOn w:val="Normal"/>
    <w:next w:val="Normal"/>
    <w:qFormat/>
    <w:rsid w:val="00EB6AE8"/>
    <w:pPr>
      <w:spacing w:after="0" w:line="240" w:lineRule="auto"/>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EB6AE8"/>
    <w:pPr>
      <w:spacing w:after="240" w:line="240" w:lineRule="auto"/>
      <w:ind w:left="720" w:hanging="720"/>
    </w:pPr>
    <w:rPr>
      <w:rFonts w:ascii="Times New Roman" w:hAnsi="Times New Roman"/>
      <w:color w:val="000000" w:themeColor="text1"/>
      <w:sz w:val="24"/>
    </w:rPr>
  </w:style>
  <w:style w:type="character" w:customStyle="1" w:styleId="UnresolvedMention1">
    <w:name w:val="Unresolved Mention1"/>
    <w:basedOn w:val="DefaultParagraphFont"/>
    <w:uiPriority w:val="99"/>
    <w:semiHidden/>
    <w:unhideWhenUsed/>
    <w:rsid w:val="005E3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61645">
      <w:bodyDiv w:val="1"/>
      <w:marLeft w:val="0"/>
      <w:marRight w:val="0"/>
      <w:marTop w:val="0"/>
      <w:marBottom w:val="0"/>
      <w:divBdr>
        <w:top w:val="none" w:sz="0" w:space="0" w:color="auto"/>
        <w:left w:val="none" w:sz="0" w:space="0" w:color="auto"/>
        <w:bottom w:val="none" w:sz="0" w:space="0" w:color="auto"/>
        <w:right w:val="none" w:sz="0" w:space="0" w:color="auto"/>
      </w:divBdr>
    </w:div>
    <w:div w:id="532110375">
      <w:bodyDiv w:val="1"/>
      <w:marLeft w:val="0"/>
      <w:marRight w:val="0"/>
      <w:marTop w:val="0"/>
      <w:marBottom w:val="0"/>
      <w:divBdr>
        <w:top w:val="none" w:sz="0" w:space="0" w:color="auto"/>
        <w:left w:val="none" w:sz="0" w:space="0" w:color="auto"/>
        <w:bottom w:val="none" w:sz="0" w:space="0" w:color="auto"/>
        <w:right w:val="none" w:sz="0" w:space="0" w:color="auto"/>
      </w:divBdr>
    </w:div>
    <w:div w:id="840002029">
      <w:bodyDiv w:val="1"/>
      <w:marLeft w:val="0"/>
      <w:marRight w:val="0"/>
      <w:marTop w:val="0"/>
      <w:marBottom w:val="0"/>
      <w:divBdr>
        <w:top w:val="none" w:sz="0" w:space="0" w:color="auto"/>
        <w:left w:val="none" w:sz="0" w:space="0" w:color="auto"/>
        <w:bottom w:val="none" w:sz="0" w:space="0" w:color="auto"/>
        <w:right w:val="none" w:sz="0" w:space="0" w:color="auto"/>
      </w:divBdr>
    </w:div>
    <w:div w:id="17262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illerica,_Massachusett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en.wikipedia.org/wiki/Billerica,_Massachusett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mrdb.or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E065B-F442-4189-B9A2-E9371A46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24</Pages>
  <Words>25241</Words>
  <Characters>143876</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1156</cp:lastModifiedBy>
  <cp:revision>80</cp:revision>
  <dcterms:created xsi:type="dcterms:W3CDTF">2026-05-05T14:34:00Z</dcterms:created>
  <dcterms:modified xsi:type="dcterms:W3CDTF">2026-05-14T09:42:00Z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http://www.zotero.org/styles/apa</vt:lpwstr>
  </property>
  <property fmtid="{D5CDD505-2E9C-101B-9397-08002B2CF9AE}" pid="5" name="Mendeley Recent Style Name 1_1">
    <vt:lpwstr>APA Style 7th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APSA Style Manual revised 2018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ASA Style Guide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c9d6abf5-87c6-3ce1-8f5d-52f85d496c71</vt:lpwstr>
  </property>
  <property fmtid="{D5CDD505-2E9C-101B-9397-08002B2CF9AE}" pid="24" name="Mendeley Citation Style_1">
    <vt:lpwstr>http://www.zotero.org/styles/apa</vt:lpwstr>
  </property>
</Properties>
</file>