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29DD" w14:textId="77777777" w:rsidR="002F2202" w:rsidRDefault="00000000">
      <w:pPr>
        <w:pStyle w:val="Title"/>
        <w:spacing w:after="0" w:line="360" w:lineRule="auto"/>
        <w:jc w:val="both"/>
        <w:rPr>
          <w:rFonts w:ascii="Calibri" w:hAnsi="Calibri"/>
          <w:sz w:val="22"/>
          <w:szCs w:val="22"/>
        </w:rPr>
      </w:pPr>
      <w:r>
        <w:rPr>
          <w:rFonts w:ascii="Calibri" w:hAnsi="Calibri"/>
          <w:sz w:val="22"/>
          <w:szCs w:val="22"/>
        </w:rPr>
        <w:t>Original Research Article</w:t>
      </w:r>
    </w:p>
    <w:p w14:paraId="2F24BD0E" w14:textId="77777777" w:rsidR="002F2202" w:rsidRDefault="002F2202">
      <w:pPr>
        <w:pStyle w:val="Title"/>
        <w:spacing w:after="0" w:line="360" w:lineRule="auto"/>
        <w:jc w:val="both"/>
        <w:rPr>
          <w:rFonts w:ascii="Arial" w:hAnsi="Arial" w:cs="Arial"/>
        </w:rPr>
      </w:pPr>
    </w:p>
    <w:p w14:paraId="2F759DA6" w14:textId="77777777" w:rsidR="002F2202" w:rsidRDefault="00000000">
      <w:pPr>
        <w:pStyle w:val="Author"/>
        <w:wordWrap w:val="0"/>
        <w:spacing w:line="360" w:lineRule="auto"/>
        <w:rPr>
          <w:rFonts w:ascii="Arial" w:eastAsia="SimSun" w:hAnsi="Arial" w:cs="Arial"/>
          <w:color w:val="000000"/>
          <w:sz w:val="36"/>
          <w:szCs w:val="36"/>
          <w:shd w:val="clear" w:color="auto" w:fill="FFFFFF"/>
        </w:rPr>
      </w:pPr>
      <w:r>
        <w:rPr>
          <w:rFonts w:ascii="Arial" w:eastAsia="SimSun" w:hAnsi="Arial" w:cs="Arial"/>
          <w:color w:val="000000"/>
          <w:sz w:val="36"/>
          <w:szCs w:val="36"/>
          <w:shd w:val="clear" w:color="auto" w:fill="FFFFFF"/>
        </w:rPr>
        <w:t xml:space="preserve">Determinants of Firm Value: The Moderating </w:t>
      </w:r>
    </w:p>
    <w:p w14:paraId="4E2DC1CB" w14:textId="77777777" w:rsidR="002F2202" w:rsidRDefault="00000000">
      <w:pPr>
        <w:pStyle w:val="Author"/>
        <w:wordWrap w:val="0"/>
        <w:spacing w:line="360" w:lineRule="auto"/>
        <w:rPr>
          <w:rFonts w:ascii="Arial" w:eastAsia="SimSun" w:hAnsi="Arial" w:cs="Arial"/>
          <w:sz w:val="36"/>
          <w:szCs w:val="36"/>
          <w:lang w:val="id-ID"/>
        </w:rPr>
      </w:pPr>
      <w:r>
        <w:rPr>
          <w:rFonts w:ascii="Arial" w:eastAsia="SimSun" w:hAnsi="Arial" w:cs="Arial"/>
          <w:color w:val="000000"/>
          <w:sz w:val="36"/>
          <w:szCs w:val="36"/>
          <w:shd w:val="clear" w:color="auto" w:fill="FFFFFF"/>
        </w:rPr>
        <w:t>Role of Dividend Policy in Food and Beverage Companies</w:t>
      </w:r>
      <w:r>
        <w:rPr>
          <w:rFonts w:ascii="Arial" w:eastAsia="SimSun" w:hAnsi="Arial" w:cs="Arial"/>
          <w:sz w:val="36"/>
          <w:szCs w:val="36"/>
          <w:lang w:val="id-ID"/>
        </w:rPr>
        <w:t xml:space="preserve"> Listed on the </w:t>
      </w:r>
    </w:p>
    <w:p w14:paraId="4C707671" w14:textId="77777777" w:rsidR="002F2202" w:rsidRDefault="00000000">
      <w:pPr>
        <w:pStyle w:val="Author"/>
        <w:wordWrap w:val="0"/>
        <w:spacing w:line="360" w:lineRule="auto"/>
        <w:rPr>
          <w:rFonts w:ascii="Arial" w:hAnsi="Arial" w:cs="Arial"/>
          <w:i/>
        </w:rPr>
      </w:pPr>
      <w:r>
        <w:rPr>
          <w:rFonts w:ascii="Arial" w:eastAsia="SimSun" w:hAnsi="Arial" w:cs="Arial"/>
          <w:sz w:val="36"/>
          <w:szCs w:val="36"/>
          <w:lang w:val="id-ID"/>
        </w:rPr>
        <w:t>Indonesia Stock Exchange</w:t>
      </w:r>
    </w:p>
    <w:p w14:paraId="117CA3E5" w14:textId="77777777" w:rsidR="002F2202" w:rsidRDefault="00000000">
      <w:pPr>
        <w:pStyle w:val="Copyright"/>
        <w:spacing w:after="0" w:line="360" w:lineRule="auto"/>
        <w:jc w:val="both"/>
        <w:rPr>
          <w:rFonts w:ascii="Arial" w:hAnsi="Arial" w:cs="Arial"/>
        </w:rPr>
        <w:sectPr w:rsidR="002F220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241E767" wp14:editId="05572520">
                <wp:extent cx="5303520" cy="0"/>
                <wp:effectExtent l="0" t="9525" r="11430" b="9525"/>
                <wp:docPr id="3" name="Autobentuk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50E47F3" id="_x0000_t32" coordsize="21600,21600" o:spt="32" o:oned="t" path="m,l21600,21600e" filled="f">
                <v:path arrowok="t" fillok="f" o:connecttype="none"/>
                <o:lock v:ext="edit" shapetype="t"/>
              </v:shapetype>
              <v:shape id="Autobentuk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75A84FAC" w14:textId="77777777" w:rsidR="002F2202" w:rsidRDefault="00000000">
      <w:pPr>
        <w:pStyle w:val="AbstHead"/>
        <w:spacing w:after="0" w:line="360" w:lineRule="auto"/>
        <w:jc w:val="both"/>
        <w:rPr>
          <w:rFonts w:ascii="Arial" w:hAnsi="Arial" w:cs="Arial"/>
        </w:rPr>
      </w:pPr>
      <w:r>
        <w:rPr>
          <w:rFonts w:ascii="Arial" w:hAnsi="Arial" w:cs="Arial"/>
        </w:rPr>
        <w:t xml:space="preserve">ABSTRACT </w:t>
      </w:r>
    </w:p>
    <w:p w14:paraId="55055E43" w14:textId="77777777" w:rsidR="002F2202" w:rsidRDefault="002F2202">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F2202" w14:paraId="339F83F3" w14:textId="77777777">
        <w:tc>
          <w:tcPr>
            <w:tcW w:w="9576" w:type="dxa"/>
            <w:shd w:val="clear" w:color="auto" w:fill="F2F2F2"/>
          </w:tcPr>
          <w:p w14:paraId="49FE1604" w14:textId="77777777" w:rsidR="002F2202" w:rsidRDefault="00000000">
            <w:pPr>
              <w:pStyle w:val="Body"/>
              <w:spacing w:after="0"/>
              <w:rPr>
                <w:rFonts w:ascii="Arial" w:eastAsia="Calibri" w:hAnsi="Arial" w:cs="Arial"/>
                <w:szCs w:val="22"/>
                <w:lang w:val="id-ID"/>
              </w:rPr>
            </w:pPr>
            <w:r>
              <w:rPr>
                <w:rFonts w:ascii="Arial" w:eastAsia="SimSun" w:hAnsi="Arial" w:cs="Arial"/>
                <w:sz w:val="22"/>
                <w:szCs w:val="22"/>
                <w:shd w:val="clear" w:color="auto" w:fill="FFFFFF"/>
              </w:rPr>
              <w:t>Investor interest in a company's financial results has grown stronger in the business landscape after the pandemic,</w:t>
            </w:r>
            <w:r>
              <w:rPr>
                <w:rFonts w:ascii="Arial" w:eastAsia="SimSun" w:hAnsi="Arial" w:cs="Arial"/>
                <w:sz w:val="22"/>
                <w:szCs w:val="22"/>
              </w:rPr>
              <w:t> </w:t>
            </w:r>
            <w:r>
              <w:rPr>
                <w:rFonts w:ascii="Arial" w:eastAsia="sans-serif" w:hAnsi="Arial" w:cs="Arial"/>
                <w:sz w:val="22"/>
                <w:szCs w:val="22"/>
              </w:rPr>
              <w:t>especially in the food and</w:t>
            </w:r>
            <w:r>
              <w:rPr>
                <w:rFonts w:ascii="Arial" w:eastAsia="sans-serif" w:hAnsi="Arial" w:cs="Arial"/>
                <w:sz w:val="22"/>
                <w:szCs w:val="22"/>
                <w:lang w:val="id-ID"/>
              </w:rPr>
              <w:t xml:space="preserve"> beverage </w:t>
            </w:r>
            <w:proofErr w:type="gramStart"/>
            <w:r>
              <w:rPr>
                <w:rFonts w:ascii="Arial" w:eastAsia="sans-serif" w:hAnsi="Arial" w:cs="Arial"/>
                <w:sz w:val="22"/>
                <w:szCs w:val="22"/>
                <w:lang w:val="id-ID"/>
              </w:rPr>
              <w:t>company</w:t>
            </w:r>
            <w:proofErr w:type="gramEnd"/>
            <w:r>
              <w:rPr>
                <w:rFonts w:ascii="Arial" w:eastAsia="sans-serif" w:hAnsi="Arial" w:cs="Arial"/>
                <w:sz w:val="22"/>
                <w:szCs w:val="22"/>
              </w:rPr>
              <w:t xml:space="preserve">. </w:t>
            </w:r>
            <w:r>
              <w:rPr>
                <w:rFonts w:ascii="Arial" w:eastAsia="sans-serif" w:hAnsi="Arial" w:cs="Arial"/>
                <w:sz w:val="22"/>
                <w:szCs w:val="22"/>
                <w:lang w:val="id-ID"/>
              </w:rPr>
              <w:t xml:space="preserve">This study not only examines listed on the Indonesia Stock Exchange from 2021-2024 but also explores how profitability, liquidity, and firm size of a impact firm value. </w:t>
            </w:r>
            <w:r>
              <w:rPr>
                <w:rFonts w:ascii="Arial" w:eastAsia="SimSun" w:hAnsi="Arial" w:cs="Arial"/>
                <w:sz w:val="22"/>
                <w:szCs w:val="22"/>
                <w:shd w:val="clear" w:color="auto" w:fill="FFFFFF"/>
              </w:rPr>
              <w:t>To conduct a quantitative analysis of financial statement data from thirty selected companies, Moderating Regression Analysis (MRA) was employed, utilizing SPSS software</w:t>
            </w:r>
            <w:r>
              <w:rPr>
                <w:rFonts w:ascii="Arial" w:eastAsia="SimSun" w:hAnsi="Arial" w:cs="Arial"/>
                <w:shd w:val="clear" w:color="auto" w:fill="FFFFFF"/>
              </w:rPr>
              <w:t>.</w:t>
            </w:r>
            <w:r>
              <w:rPr>
                <w:rFonts w:ascii="Arial" w:eastAsia="SimSun" w:hAnsi="Arial" w:cs="Arial"/>
                <w:shd w:val="clear" w:color="auto" w:fill="FFFFFF"/>
                <w:lang w:val="id-ID"/>
              </w:rPr>
              <w:t xml:space="preserve"> </w:t>
            </w:r>
            <w:r>
              <w:rPr>
                <w:rFonts w:ascii="Arial" w:eastAsia="sans-serif" w:hAnsi="Arial" w:cs="Arial"/>
                <w:sz w:val="22"/>
                <w:szCs w:val="22"/>
              </w:rPr>
              <w:t>The findings indicate that although there is a strong negative relationship between profitability and</w:t>
            </w:r>
            <w:r>
              <w:rPr>
                <w:rFonts w:ascii="Arial" w:eastAsia="sans-serif" w:hAnsi="Arial" w:cs="Arial"/>
                <w:sz w:val="22"/>
                <w:szCs w:val="22"/>
                <w:lang w:val="id-ID"/>
              </w:rPr>
              <w:t xml:space="preserve"> firm</w:t>
            </w:r>
            <w:r>
              <w:rPr>
                <w:rFonts w:ascii="Arial" w:eastAsia="sans-serif" w:hAnsi="Arial" w:cs="Arial"/>
                <w:sz w:val="22"/>
                <w:szCs w:val="22"/>
              </w:rPr>
              <w:t xml:space="preserve"> value, liquidity has a positive impact on </w:t>
            </w:r>
            <w:r>
              <w:rPr>
                <w:rFonts w:ascii="Arial" w:eastAsia="sans-serif" w:hAnsi="Arial" w:cs="Arial"/>
                <w:sz w:val="22"/>
                <w:szCs w:val="22"/>
                <w:lang w:val="id-ID"/>
              </w:rPr>
              <w:t>firm value</w:t>
            </w:r>
            <w:r>
              <w:rPr>
                <w:rFonts w:ascii="Arial" w:eastAsia="sans-serif" w:hAnsi="Arial" w:cs="Arial"/>
                <w:sz w:val="22"/>
                <w:szCs w:val="22"/>
              </w:rPr>
              <w:t xml:space="preserve">. </w:t>
            </w:r>
            <w:r>
              <w:rPr>
                <w:rFonts w:ascii="Arial" w:eastAsia="sans-serif" w:hAnsi="Arial" w:cs="Arial"/>
                <w:sz w:val="22"/>
                <w:szCs w:val="22"/>
                <w:lang w:val="id-ID"/>
              </w:rPr>
              <w:t xml:space="preserve">Firm </w:t>
            </w:r>
            <w:r>
              <w:rPr>
                <w:rFonts w:ascii="Arial" w:eastAsia="sans-serif" w:hAnsi="Arial" w:cs="Arial"/>
                <w:sz w:val="22"/>
                <w:szCs w:val="22"/>
              </w:rPr>
              <w:t xml:space="preserve">size of the company did not seem to have a major effect on </w:t>
            </w:r>
            <w:r>
              <w:rPr>
                <w:rFonts w:ascii="Arial" w:eastAsia="sans-serif" w:hAnsi="Arial" w:cs="Arial"/>
                <w:sz w:val="22"/>
                <w:szCs w:val="22"/>
                <w:lang w:val="id-ID"/>
              </w:rPr>
              <w:t>firm</w:t>
            </w:r>
            <w:r>
              <w:rPr>
                <w:rFonts w:ascii="Arial" w:eastAsia="sans-serif" w:hAnsi="Arial" w:cs="Arial"/>
                <w:sz w:val="22"/>
                <w:szCs w:val="22"/>
              </w:rPr>
              <w:t xml:space="preserve"> value. Also, the connection between making money, having enough cash, and </w:t>
            </w:r>
            <w:r>
              <w:rPr>
                <w:rFonts w:ascii="Arial" w:eastAsia="sans-serif" w:hAnsi="Arial" w:cs="Arial"/>
                <w:sz w:val="22"/>
                <w:szCs w:val="22"/>
                <w:lang w:val="id-ID"/>
              </w:rPr>
              <w:t>firm</w:t>
            </w:r>
            <w:r>
              <w:rPr>
                <w:rFonts w:ascii="Arial" w:eastAsia="sans-serif" w:hAnsi="Arial" w:cs="Arial"/>
                <w:sz w:val="22"/>
                <w:szCs w:val="22"/>
              </w:rPr>
              <w:t xml:space="preserve"> size of the business was not improved by the way dividends were </w:t>
            </w:r>
            <w:proofErr w:type="gramStart"/>
            <w:r>
              <w:rPr>
                <w:rFonts w:ascii="Arial" w:eastAsia="sans-serif" w:hAnsi="Arial" w:cs="Arial"/>
                <w:sz w:val="22"/>
                <w:szCs w:val="22"/>
              </w:rPr>
              <w:t>handled.</w:t>
            </w:r>
            <w:r>
              <w:rPr>
                <w:rFonts w:ascii="Arial" w:hAnsi="Arial" w:cs="Arial"/>
                <w:bCs/>
                <w:sz w:val="22"/>
                <w:szCs w:val="22"/>
                <w:lang w:val="id-ID"/>
              </w:rPr>
              <w:t>These</w:t>
            </w:r>
            <w:proofErr w:type="gramEnd"/>
            <w:r>
              <w:rPr>
                <w:rFonts w:ascii="Arial" w:hAnsi="Arial" w:cs="Arial"/>
                <w:bCs/>
                <w:sz w:val="22"/>
                <w:szCs w:val="22"/>
                <w:lang w:val="id-ID"/>
              </w:rPr>
              <w:t xml:space="preserve"> results suggest that investors are more likely to emphasize financial stability and operational sustainability rather than dividend distribution decisions when evaluating corporate value during incertain economic conditions. The study also reinforces signaling theory by illustrating that financial information may generate different investor responses in the post-pandemic period. Practically, the findings provide insight for company management in maintaining financial stability and improving corporate performance to enhance firm value.</w:t>
            </w:r>
          </w:p>
        </w:tc>
      </w:tr>
    </w:tbl>
    <w:p w14:paraId="0995DBB8" w14:textId="77777777" w:rsidR="002F2202" w:rsidRDefault="002F2202">
      <w:pPr>
        <w:pStyle w:val="Body"/>
        <w:spacing w:after="0" w:line="360" w:lineRule="auto"/>
        <w:rPr>
          <w:rFonts w:ascii="Arial" w:hAnsi="Arial" w:cs="Arial"/>
          <w:i/>
        </w:rPr>
      </w:pPr>
    </w:p>
    <w:p w14:paraId="551ADE89" w14:textId="77777777" w:rsidR="002F2202" w:rsidRDefault="00000000">
      <w:pPr>
        <w:pStyle w:val="Body"/>
        <w:spacing w:after="0" w:line="360" w:lineRule="auto"/>
        <w:rPr>
          <w:rFonts w:ascii="Arial" w:hAnsi="Arial" w:cs="Arial"/>
          <w:i/>
          <w:iCs/>
          <w:lang w:val="id-ID"/>
        </w:rPr>
      </w:pPr>
      <w:r>
        <w:rPr>
          <w:rFonts w:ascii="Arial" w:hAnsi="Arial" w:cs="Arial"/>
          <w:i/>
        </w:rPr>
        <w:t xml:space="preserve">Keywords: </w:t>
      </w:r>
      <w:r>
        <w:rPr>
          <w:rFonts w:ascii="Arial" w:hAnsi="Arial" w:cs="Arial"/>
          <w:i/>
          <w:iCs/>
          <w:lang w:val="id-ID"/>
        </w:rPr>
        <w:t>Firm Value; Profitability; Liquidity; Firm Size; Dividend Policy</w:t>
      </w:r>
    </w:p>
    <w:p w14:paraId="02D80C8F" w14:textId="77777777" w:rsidR="002F2202" w:rsidRDefault="002F2202">
      <w:pPr>
        <w:pStyle w:val="Body"/>
        <w:spacing w:after="0" w:line="360" w:lineRule="auto"/>
        <w:rPr>
          <w:rFonts w:ascii="Arial" w:hAnsi="Arial" w:cs="Arial"/>
          <w:i/>
          <w:iCs/>
          <w:lang w:val="id-ID"/>
        </w:rPr>
      </w:pPr>
    </w:p>
    <w:p w14:paraId="356674CF" w14:textId="77777777" w:rsidR="002F2202" w:rsidRDefault="00000000">
      <w:pPr>
        <w:pStyle w:val="AbstHead"/>
        <w:spacing w:after="0" w:line="360" w:lineRule="auto"/>
        <w:jc w:val="both"/>
        <w:rPr>
          <w:rFonts w:ascii="Arial" w:hAnsi="Arial" w:cs="Arial"/>
        </w:rPr>
      </w:pPr>
      <w:r>
        <w:rPr>
          <w:rFonts w:ascii="Arial" w:hAnsi="Arial" w:cs="Arial"/>
        </w:rPr>
        <w:t xml:space="preserve">1. INTRODUCTION </w:t>
      </w:r>
    </w:p>
    <w:p w14:paraId="369BFF25" w14:textId="77777777" w:rsidR="002F2202" w:rsidRDefault="00000000">
      <w:pPr>
        <w:pStyle w:val="BodyText"/>
        <w:spacing w:before="138" w:line="240" w:lineRule="auto"/>
        <w:ind w:firstLine="0"/>
        <w:rPr>
          <w:rFonts w:ascii="Arial" w:hAnsi="Arial" w:cs="Arial"/>
          <w:lang w:val="id-ID"/>
        </w:rPr>
      </w:pPr>
      <w:r>
        <w:rPr>
          <w:rFonts w:ascii="Arial" w:eastAsia="sans-serif" w:hAnsi="Arial" w:cs="Arial"/>
          <w:spacing w:val="0"/>
        </w:rPr>
        <w:t>After the COVID-19 pandemic, businesses in different industries struggled a lot to keep their finances stable.</w:t>
      </w:r>
      <w:r>
        <w:rPr>
          <w:rFonts w:ascii="Arial" w:hAnsi="Arial" w:cs="Arial"/>
          <w:lang w:val="id-ID"/>
        </w:rPr>
        <w:t xml:space="preserve"> During the pandemic period, increased consumer demand in certain phases, supply chain disruptions, and supportive economic policies enabled firms to maintain profitability by adjusting prices without substantial loss of demand. However, in 2023 the global economic environment began to shift. Inflation started to stabilize, supply chains recovered, and consumer purchasing power weakened. These changes created increasing pressure for firms to sustain profit margins under more competitive market conditions.</w:t>
      </w:r>
    </w:p>
    <w:p w14:paraId="19980609" w14:textId="77777777" w:rsidR="002F2202" w:rsidRDefault="00000000">
      <w:pPr>
        <w:pStyle w:val="BodyText"/>
        <w:spacing w:before="138" w:line="240" w:lineRule="auto"/>
        <w:ind w:firstLine="0"/>
        <w:rPr>
          <w:rFonts w:ascii="Arial" w:hAnsi="Arial" w:cs="Arial"/>
          <w:lang w:val="id-ID"/>
        </w:rPr>
      </w:pPr>
      <w:r>
        <w:rPr>
          <w:rFonts w:ascii="Arial" w:hAnsi="Arial" w:cs="Arial"/>
          <w:lang w:val="id-ID"/>
        </w:rPr>
        <w:lastRenderedPageBreak/>
        <w:t>This situation also evident in the food and beverage sub-sector, where price competition intensified and companies were required to maintain operational efficiency to ensure stable financial performance. This is a critical aspect of corporate value that reflects management’s ability to manage resources and create value for shareholders (Laksono &amp; Wahidahwati, 2024). This situation indicates that companies need effective financial strategies to sustain corporate performance amid shifting economic conditions. One approach used to assess corporate performance involves evaluating corporate value, which influences stock prices (Deshi  &amp; Sunday, 2025).</w:t>
      </w:r>
    </w:p>
    <w:p w14:paraId="782C47B4" w14:textId="77777777" w:rsidR="002F2202" w:rsidRDefault="00000000">
      <w:pPr>
        <w:pStyle w:val="BodyText"/>
        <w:spacing w:before="138" w:line="240" w:lineRule="auto"/>
        <w:ind w:firstLine="0"/>
        <w:rPr>
          <w:rFonts w:ascii="Arial" w:hAnsi="Arial" w:cs="Arial"/>
          <w:lang w:val="id-ID"/>
        </w:rPr>
      </w:pPr>
      <w:r>
        <w:rPr>
          <w:rFonts w:ascii="Arial" w:hAnsi="Arial" w:cs="Arial"/>
          <w:lang w:val="id-ID"/>
        </w:rPr>
        <w:t xml:space="preserve">Companies with sound financial management can enhance their corporate value in the eyes of investors (Yuniningsih et al., 2019). Corporate value also reflects management’s success in managing corporate resources through various implemented financial policies. </w:t>
      </w:r>
      <w:r>
        <w:rPr>
          <w:rFonts w:ascii="Arial" w:eastAsia="sans-serif" w:hAnsi="Arial" w:cs="Arial"/>
          <w:spacing w:val="0"/>
        </w:rPr>
        <w:t>When a company's value goes up, it means that the market thinks the company is doing well. This rise is usually due to better profits, good management of assets, clear financial reports, and steady dividend payments</w:t>
      </w:r>
      <w:r>
        <w:rPr>
          <w:rFonts w:ascii="Arial" w:eastAsia="sans-serif" w:hAnsi="Arial" w:cs="Arial"/>
          <w:spacing w:val="0"/>
          <w:lang w:val="id-ID"/>
        </w:rPr>
        <w:t xml:space="preserve"> </w:t>
      </w:r>
      <w:r>
        <w:rPr>
          <w:rFonts w:ascii="Arial" w:hAnsi="Arial" w:cs="Arial"/>
          <w:lang w:val="id-ID"/>
        </w:rPr>
        <w:t xml:space="preserve">(Purnomo et al., 2023). </w:t>
      </w:r>
    </w:p>
    <w:p w14:paraId="55C7CCAF" w14:textId="77777777" w:rsidR="002F2202" w:rsidRDefault="00000000">
      <w:pPr>
        <w:pStyle w:val="BodyText"/>
        <w:spacing w:before="138" w:line="240" w:lineRule="auto"/>
        <w:ind w:firstLine="0"/>
        <w:rPr>
          <w:rFonts w:ascii="Arial" w:hAnsi="Arial" w:cs="Arial"/>
          <w:lang w:val="id-ID"/>
        </w:rPr>
      </w:pPr>
      <w:r>
        <w:rPr>
          <w:rFonts w:ascii="Arial" w:hAnsi="Arial" w:cs="Arial"/>
          <w:lang w:val="id-ID"/>
        </w:rPr>
        <w:t xml:space="preserve">A decline </w:t>
      </w:r>
      <w:r>
        <w:rPr>
          <w:rFonts w:ascii="Arial" w:hAnsi="Arial" w:cs="Arial"/>
          <w:i/>
          <w:iCs/>
          <w:lang w:val="id-ID"/>
        </w:rPr>
        <w:t xml:space="preserve">in the Price-to-Book Value ratio </w:t>
      </w:r>
      <w:r>
        <w:rPr>
          <w:rFonts w:ascii="Arial" w:hAnsi="Arial" w:cs="Arial"/>
          <w:lang w:val="id-ID"/>
        </w:rPr>
        <w:t>is evident from the growth rate in 2022 at 0.15, which then decreased to -0.19 in 2023, followed by a further decline to -0.34 in 2024, indicating that the market’s perception of performance in this sector has also deteriorated. Increasing global trade competition has caused the food and beverage industry to experience a decline in profit margins, which impacts company valuations (Murti &amp; Maharani, 2024). This phenomenon occurs when investors perceive operational risks or rising costs as higher than potential profits.</w:t>
      </w:r>
    </w:p>
    <w:p w14:paraId="6D043EFF" w14:textId="77777777" w:rsidR="002F2202" w:rsidRDefault="00000000">
      <w:pPr>
        <w:pStyle w:val="BodyText"/>
        <w:spacing w:before="138" w:line="240" w:lineRule="auto"/>
        <w:ind w:firstLine="0"/>
        <w:rPr>
          <w:rFonts w:ascii="Arial" w:hAnsi="Arial" w:cs="Arial"/>
          <w:lang w:val="id-ID"/>
        </w:rPr>
      </w:pPr>
      <w:r>
        <w:rPr>
          <w:rFonts w:ascii="Arial" w:hAnsi="Arial" w:cs="Arial"/>
          <w:spacing w:val="0"/>
          <w:shd w:val="clear" w:color="auto" w:fill="FFFFFF"/>
        </w:rPr>
        <w:t>Even though a company's worth is affected by numerous internal and external elements, previous research has revealed mixed results concerning what influences it. Many investigations have focused on how financial performance and company traits account for differences in a firm's value.</w:t>
      </w:r>
      <w:r>
        <w:rPr>
          <w:rFonts w:ascii="Arial" w:hAnsi="Arial" w:cs="Arial"/>
          <w:spacing w:val="0"/>
          <w:shd w:val="clear" w:color="auto" w:fill="FFFFFF"/>
          <w:lang w:val="id-ID"/>
        </w:rPr>
        <w:t xml:space="preserve"> </w:t>
      </w:r>
      <w:r>
        <w:rPr>
          <w:rFonts w:ascii="Arial" w:hAnsi="Arial" w:cs="Arial"/>
          <w:lang w:val="id-ID"/>
        </w:rPr>
        <w:t>However, the results remain inconclusive, particularly in emerging market contexts and industry specific settings such as the food and beverages sector. This inconsistency indicates that further investigation is needed to clarify the relationships between key financial variables and firm value.</w:t>
      </w:r>
    </w:p>
    <w:p w14:paraId="56F1AC47" w14:textId="77777777" w:rsidR="002F2202" w:rsidRDefault="002F2202">
      <w:pPr>
        <w:pStyle w:val="BodyText"/>
        <w:spacing w:before="138" w:line="360" w:lineRule="auto"/>
        <w:ind w:firstLine="0"/>
        <w:rPr>
          <w:rFonts w:ascii="Arial" w:hAnsi="Arial" w:cs="Arial"/>
          <w:lang w:val="id-ID"/>
        </w:rPr>
      </w:pPr>
    </w:p>
    <w:p w14:paraId="106B1283" w14:textId="77777777" w:rsidR="002F2202" w:rsidRDefault="00000000">
      <w:pPr>
        <w:pStyle w:val="Heading1"/>
        <w:numPr>
          <w:ilvl w:val="0"/>
          <w:numId w:val="4"/>
        </w:numPr>
        <w:spacing w:before="0" w:after="0" w:line="360" w:lineRule="auto"/>
        <w:jc w:val="both"/>
        <w:rPr>
          <w:lang w:val="id-ID"/>
        </w:rPr>
      </w:pPr>
      <w:r>
        <w:rPr>
          <w:rFonts w:cs="Arial"/>
          <w:sz w:val="22"/>
          <w:szCs w:val="22"/>
          <w:lang w:val="id-ID"/>
        </w:rPr>
        <w:t>MATERIAL AND METHODS</w:t>
      </w:r>
    </w:p>
    <w:p w14:paraId="76B1E296" w14:textId="77777777" w:rsidR="002F2202" w:rsidRDefault="00000000">
      <w:pPr>
        <w:spacing w:line="360" w:lineRule="auto"/>
        <w:rPr>
          <w:rFonts w:cs="Arial"/>
          <w:b/>
          <w:sz w:val="22"/>
          <w:szCs w:val="22"/>
          <w:lang w:val="id-ID"/>
        </w:rPr>
      </w:pPr>
      <w:r>
        <w:rPr>
          <w:rFonts w:cs="Arial"/>
          <w:b/>
          <w:sz w:val="22"/>
          <w:szCs w:val="22"/>
          <w:lang w:val="id-ID"/>
        </w:rPr>
        <w:t>2.1</w:t>
      </w:r>
      <w:r>
        <w:rPr>
          <w:rFonts w:cs="Arial"/>
          <w:b/>
          <w:sz w:val="22"/>
          <w:szCs w:val="22"/>
          <w:lang w:val="id-ID"/>
        </w:rPr>
        <w:tab/>
        <w:t>MATERIAL</w:t>
      </w:r>
    </w:p>
    <w:p w14:paraId="214E7AC6" w14:textId="77777777" w:rsidR="002F2202" w:rsidRDefault="00000000">
      <w:pPr>
        <w:pStyle w:val="IEEEHeading2"/>
        <w:numPr>
          <w:ilvl w:val="0"/>
          <w:numId w:val="0"/>
        </w:numPr>
        <w:spacing w:before="0" w:after="0" w:line="360" w:lineRule="auto"/>
        <w:jc w:val="both"/>
        <w:rPr>
          <w:rFonts w:ascii="Arial" w:hAnsi="Arial" w:cs="Arial"/>
          <w:b/>
          <w:i w:val="0"/>
          <w:iCs/>
          <w:sz w:val="22"/>
          <w:szCs w:val="22"/>
          <w:u w:val="single"/>
          <w:lang w:val="id-ID"/>
        </w:rPr>
      </w:pPr>
      <w:r>
        <w:rPr>
          <w:rFonts w:ascii="Arial" w:hAnsi="Arial" w:cs="Arial"/>
          <w:b/>
          <w:i w:val="0"/>
          <w:iCs/>
          <w:sz w:val="22"/>
          <w:szCs w:val="22"/>
          <w:u w:val="single"/>
          <w:lang w:val="id-ID"/>
        </w:rPr>
        <w:t>2.1.1</w:t>
      </w:r>
      <w:r>
        <w:rPr>
          <w:rFonts w:ascii="Arial" w:hAnsi="Arial" w:cs="Arial"/>
          <w:b/>
          <w:i w:val="0"/>
          <w:iCs/>
          <w:sz w:val="22"/>
          <w:szCs w:val="22"/>
          <w:u w:val="single"/>
          <w:lang w:val="id-ID"/>
        </w:rPr>
        <w:tab/>
        <w:t>Signalling Theory</w:t>
      </w:r>
    </w:p>
    <w:p w14:paraId="5AC8AF28" w14:textId="77777777" w:rsidR="002F2202" w:rsidRDefault="002F2202">
      <w:pPr>
        <w:pStyle w:val="IEEEParagraph"/>
      </w:pPr>
    </w:p>
    <w:p w14:paraId="5FF47855" w14:textId="77777777" w:rsidR="002F2202" w:rsidRDefault="00000000">
      <w:pPr>
        <w:jc w:val="both"/>
        <w:rPr>
          <w:rFonts w:ascii="Arial" w:hAnsi="Arial" w:cs="Arial"/>
          <w:lang w:val="id-ID"/>
        </w:rPr>
      </w:pPr>
      <w:r>
        <w:rPr>
          <w:rFonts w:ascii="Arial" w:eastAsia="SimSun" w:hAnsi="Arial" w:cs="Arial"/>
        </w:rPr>
        <w:t>Signaling theory explains how information delivered by company management can influence investor perceptions and decisions in the capital market.</w:t>
      </w:r>
      <w:r>
        <w:rPr>
          <w:rFonts w:ascii="Arial" w:eastAsia="SimSun" w:hAnsi="Arial" w:cs="Arial"/>
          <w:lang w:val="id-ID"/>
        </w:rPr>
        <w:t xml:space="preserve"> Management, being the group with access to inside corporate details, shares the financial status and future outlook of the company with outside parties through official financial statements and various disclosures. Typically, investors see this information as an indication of the company’s performance and reliability </w:t>
      </w:r>
      <w:r>
        <w:rPr>
          <w:rFonts w:ascii="Arial" w:eastAsia="SimSun" w:hAnsi="Arial" w:cs="Arial"/>
        </w:rPr>
        <w:t>(Brigham &amp; Houston, 2019). Positive information tends to strengthen investor confidence because it indicates favorable business prospects and sustainable financial performance, which may encourage higher stock demand and increase firm value. In contrast, negative information can create uncertainty regarding the company’s future condition and potentially reduce investor interest and market valuation (Rorlen et al., 2025).</w:t>
      </w:r>
    </w:p>
    <w:p w14:paraId="40B936CF" w14:textId="77777777" w:rsidR="002F2202" w:rsidRDefault="002F2202">
      <w:pPr>
        <w:rPr>
          <w:rFonts w:ascii="Arial" w:hAnsi="Arial" w:cs="Arial"/>
          <w:lang w:val="id-ID"/>
        </w:rPr>
      </w:pPr>
    </w:p>
    <w:p w14:paraId="1C788C8D" w14:textId="77777777" w:rsidR="002F2202" w:rsidRDefault="002F2202">
      <w:pPr>
        <w:rPr>
          <w:rFonts w:ascii="Arial" w:hAnsi="Arial" w:cs="Arial"/>
          <w:lang w:val="id-ID"/>
        </w:rPr>
      </w:pPr>
    </w:p>
    <w:p w14:paraId="57B4BF88" w14:textId="77777777" w:rsidR="002F2202" w:rsidRDefault="002F2202">
      <w:pPr>
        <w:rPr>
          <w:rFonts w:ascii="Arial" w:hAnsi="Arial" w:cs="Arial"/>
          <w:lang w:val="id-ID"/>
        </w:rPr>
      </w:pPr>
    </w:p>
    <w:p w14:paraId="4C24BB18" w14:textId="77777777" w:rsidR="002F2202" w:rsidRDefault="002F2202">
      <w:pPr>
        <w:rPr>
          <w:rFonts w:ascii="Arial" w:hAnsi="Arial" w:cs="Arial"/>
          <w:lang w:val="id-ID"/>
        </w:rPr>
      </w:pPr>
    </w:p>
    <w:p w14:paraId="382A56C5" w14:textId="77777777" w:rsidR="002F2202" w:rsidRDefault="002F2202">
      <w:pPr>
        <w:rPr>
          <w:rFonts w:ascii="Arial" w:hAnsi="Arial" w:cs="Arial"/>
          <w:lang w:val="id-ID"/>
        </w:rPr>
      </w:pPr>
    </w:p>
    <w:p w14:paraId="4B4F8F3E" w14:textId="77777777" w:rsidR="002F2202" w:rsidRDefault="002F2202">
      <w:pPr>
        <w:rPr>
          <w:rFonts w:ascii="Arial" w:hAnsi="Arial" w:cs="Arial"/>
          <w:lang w:val="id-ID"/>
        </w:rPr>
      </w:pPr>
    </w:p>
    <w:p w14:paraId="463728E5" w14:textId="77777777" w:rsidR="002F2202" w:rsidRDefault="00000000">
      <w:pPr>
        <w:pStyle w:val="IEEEHeading2"/>
        <w:numPr>
          <w:ilvl w:val="0"/>
          <w:numId w:val="0"/>
        </w:numPr>
        <w:spacing w:before="0" w:after="0" w:line="360" w:lineRule="auto"/>
        <w:jc w:val="both"/>
        <w:rPr>
          <w:rFonts w:ascii="Arial" w:hAnsi="Arial" w:cs="Arial"/>
          <w:b/>
          <w:bCs/>
          <w:i w:val="0"/>
          <w:iCs/>
          <w:sz w:val="22"/>
          <w:szCs w:val="22"/>
          <w:u w:val="single"/>
          <w:lang w:val="id-ID"/>
        </w:rPr>
      </w:pPr>
      <w:r>
        <w:rPr>
          <w:rFonts w:ascii="Arial" w:hAnsi="Arial" w:cs="Arial"/>
          <w:b/>
          <w:bCs/>
          <w:i w:val="0"/>
          <w:iCs/>
          <w:sz w:val="22"/>
          <w:szCs w:val="22"/>
          <w:u w:val="single"/>
          <w:lang w:val="id-ID"/>
        </w:rPr>
        <w:t>2.1.2 Firm Value</w:t>
      </w:r>
    </w:p>
    <w:p w14:paraId="4D28BE32" w14:textId="77777777" w:rsidR="002F2202" w:rsidRDefault="002F2202">
      <w:pPr>
        <w:pStyle w:val="IEEEParagraph"/>
      </w:pPr>
    </w:p>
    <w:p w14:paraId="2F15584F" w14:textId="77777777" w:rsidR="002F2202" w:rsidRDefault="00000000">
      <w:pPr>
        <w:jc w:val="both"/>
        <w:rPr>
          <w:rFonts w:ascii="Arial" w:eastAsia="SimSun" w:hAnsi="Arial" w:cs="Arial"/>
        </w:rPr>
      </w:pPr>
      <w:r>
        <w:rPr>
          <w:rFonts w:ascii="Arial" w:eastAsia="sans-serif" w:hAnsi="Arial" w:cs="Arial"/>
        </w:rPr>
        <w:t xml:space="preserve">Firm value is a measure of a company's overall performance and </w:t>
      </w:r>
      <w:proofErr w:type="gramStart"/>
      <w:r>
        <w:rPr>
          <w:rFonts w:ascii="Arial" w:eastAsia="sans-serif" w:hAnsi="Arial" w:cs="Arial"/>
        </w:rPr>
        <w:t>future prospects</w:t>
      </w:r>
      <w:proofErr w:type="gramEnd"/>
      <w:r>
        <w:rPr>
          <w:rFonts w:ascii="Arial" w:eastAsia="sans-serif" w:hAnsi="Arial" w:cs="Arial"/>
        </w:rPr>
        <w:t>. In the stock market, shifts in a company's share price are frequently correlated with investors' perceptions of its worth. In general, higher stock prices indicate that the market is more optimistic about the company's potential for long-term growth and profitability.</w:t>
      </w:r>
      <w:r>
        <w:rPr>
          <w:rFonts w:ascii="Arial" w:eastAsia="SimSun" w:hAnsi="Arial" w:cs="Arial"/>
          <w:shd w:val="clear" w:color="auto" w:fill="FFFFFF"/>
        </w:rPr>
        <w:t xml:space="preserve"> The enhancement of firm value is regarded as a principal long-term objective for a company, as it directly impacts shareholder wealth and the appeal of investments. According to Deliana and </w:t>
      </w:r>
      <w:proofErr w:type="spellStart"/>
      <w:r>
        <w:rPr>
          <w:rFonts w:ascii="Arial" w:eastAsia="SimSun" w:hAnsi="Arial" w:cs="Arial"/>
          <w:shd w:val="clear" w:color="auto" w:fill="FFFFFF"/>
        </w:rPr>
        <w:t>Santioso</w:t>
      </w:r>
      <w:proofErr w:type="spellEnd"/>
      <w:r>
        <w:rPr>
          <w:rFonts w:ascii="Arial" w:eastAsia="SimSun" w:hAnsi="Arial" w:cs="Arial"/>
          <w:shd w:val="clear" w:color="auto" w:fill="FFFFFF"/>
          <w:lang w:val="id-ID"/>
        </w:rPr>
        <w:t xml:space="preserve"> (2024)</w:t>
      </w:r>
      <w:r>
        <w:rPr>
          <w:rFonts w:ascii="Arial" w:eastAsia="SimSun" w:hAnsi="Arial" w:cs="Arial"/>
          <w:shd w:val="clear" w:color="auto" w:fill="FFFFFF"/>
        </w:rPr>
        <w:t xml:space="preserve">, investors often consider firm value when assessing a company's operational success and viability within the capital </w:t>
      </w:r>
      <w:proofErr w:type="spellStart"/>
      <w:proofErr w:type="gramStart"/>
      <w:r>
        <w:rPr>
          <w:rFonts w:ascii="Arial" w:eastAsia="SimSun" w:hAnsi="Arial" w:cs="Arial"/>
          <w:shd w:val="clear" w:color="auto" w:fill="FFFFFF"/>
        </w:rPr>
        <w:t>market.</w:t>
      </w:r>
      <w:r>
        <w:rPr>
          <w:rFonts w:ascii="Arial" w:eastAsia="SimSun" w:hAnsi="Arial" w:cs="Arial"/>
        </w:rPr>
        <w:t>The</w:t>
      </w:r>
      <w:proofErr w:type="spellEnd"/>
      <w:proofErr w:type="gramEnd"/>
      <w:r>
        <w:rPr>
          <w:rFonts w:ascii="Arial" w:eastAsia="SimSun" w:hAnsi="Arial" w:cs="Arial"/>
        </w:rPr>
        <w:t xml:space="preserve"> Price to Book Value (PBV) ratio is used in this study to determine a</w:t>
      </w:r>
      <w:r>
        <w:rPr>
          <w:rFonts w:ascii="Arial" w:eastAsia="SimSun" w:hAnsi="Arial" w:cs="Arial"/>
          <w:lang w:val="id-ID"/>
        </w:rPr>
        <w:t xml:space="preserve"> firm</w:t>
      </w:r>
      <w:r>
        <w:rPr>
          <w:rFonts w:ascii="Arial" w:eastAsia="SimSun" w:hAnsi="Arial" w:cs="Arial"/>
        </w:rPr>
        <w:t xml:space="preserve"> value. Investors are more optimistic about the company's potential growth and market performance when its PBV is higher.</w:t>
      </w:r>
    </w:p>
    <w:p w14:paraId="60E9A7DD" w14:textId="77777777" w:rsidR="002F2202" w:rsidRDefault="002F2202">
      <w:pPr>
        <w:jc w:val="both"/>
        <w:rPr>
          <w:rFonts w:ascii="Arial" w:eastAsia="SimSun" w:hAnsi="Arial" w:cs="Arial"/>
          <w:lang w:val="id-ID"/>
        </w:rPr>
      </w:pPr>
    </w:p>
    <w:p w14:paraId="7ED9A8F7" w14:textId="77777777" w:rsidR="002F2202" w:rsidRDefault="00000000">
      <w:pPr>
        <w:pStyle w:val="IEEEHeading2"/>
        <w:numPr>
          <w:ilvl w:val="0"/>
          <w:numId w:val="0"/>
        </w:numPr>
        <w:spacing w:before="0" w:after="0" w:line="360" w:lineRule="auto"/>
        <w:jc w:val="both"/>
        <w:rPr>
          <w:rFonts w:ascii="Arial" w:hAnsi="Arial" w:cs="Arial"/>
          <w:b/>
          <w:bCs/>
          <w:i w:val="0"/>
          <w:iCs/>
          <w:sz w:val="22"/>
          <w:szCs w:val="22"/>
          <w:u w:val="single"/>
          <w:lang w:val="id-ID"/>
        </w:rPr>
      </w:pPr>
      <w:r>
        <w:rPr>
          <w:rFonts w:ascii="Arial" w:hAnsi="Arial" w:cs="Arial"/>
          <w:b/>
          <w:bCs/>
          <w:i w:val="0"/>
          <w:iCs/>
          <w:sz w:val="22"/>
          <w:szCs w:val="22"/>
          <w:u w:val="single"/>
          <w:lang w:val="id-ID"/>
        </w:rPr>
        <w:t>2.1.3 Profitability</w:t>
      </w:r>
    </w:p>
    <w:p w14:paraId="7F340A35" w14:textId="77777777" w:rsidR="002F2202" w:rsidRDefault="002F2202">
      <w:pPr>
        <w:pStyle w:val="IEEEParagraph"/>
        <w:rPr>
          <w:lang w:val="id-ID"/>
        </w:rPr>
      </w:pPr>
    </w:p>
    <w:p w14:paraId="0A788479" w14:textId="77777777" w:rsidR="002F2202" w:rsidRDefault="00000000">
      <w:pPr>
        <w:jc w:val="both"/>
        <w:rPr>
          <w:rFonts w:ascii="Arial" w:eastAsia="sans-serif" w:hAnsi="Arial" w:cs="Arial"/>
        </w:rPr>
      </w:pPr>
      <w:r>
        <w:rPr>
          <w:rFonts w:ascii="Arial" w:eastAsia="sans-serif" w:hAnsi="Arial" w:cs="Arial"/>
        </w:rPr>
        <w:t>The capacity of a business to generate revenue via prudent use of its assets, equity, and financial resources is known as profitability.</w:t>
      </w:r>
      <w:r>
        <w:rPr>
          <w:rFonts w:ascii="Arial" w:eastAsia="SimSun" w:hAnsi="Arial" w:cs="Arial"/>
          <w:color w:val="8A46FF"/>
          <w:sz w:val="24"/>
          <w:szCs w:val="24"/>
          <w:shd w:val="clear" w:color="auto" w:fill="FFFFFF"/>
          <w:lang w:val="id-ID"/>
        </w:rPr>
        <w:t xml:space="preserve"> </w:t>
      </w:r>
      <w:r>
        <w:rPr>
          <w:rFonts w:ascii="Arial" w:eastAsia="SimSun" w:hAnsi="Arial" w:cs="Arial"/>
          <w:shd w:val="clear" w:color="auto" w:fill="FFFFFF"/>
          <w:lang w:val="id-ID"/>
        </w:rPr>
        <w:t xml:space="preserve">This concept is often utilized as a standard to evaluate how effectively management is overseeing business activities and achieving financial objectives </w:t>
      </w:r>
      <w:r>
        <w:rPr>
          <w:rFonts w:ascii="Arial" w:eastAsia="SimSun" w:hAnsi="Arial" w:cs="Arial"/>
        </w:rPr>
        <w:t>(</w:t>
      </w:r>
      <w:proofErr w:type="spellStart"/>
      <w:r>
        <w:rPr>
          <w:rFonts w:ascii="Arial" w:eastAsia="SimSun" w:hAnsi="Arial" w:cs="Arial"/>
        </w:rPr>
        <w:t>Takarini</w:t>
      </w:r>
      <w:proofErr w:type="spellEnd"/>
      <w:r>
        <w:rPr>
          <w:rFonts w:ascii="Arial" w:eastAsia="SimSun" w:hAnsi="Arial" w:cs="Arial"/>
        </w:rPr>
        <w:t xml:space="preserve"> &amp; Pratiwi, 2022). Strongly profitable businesses are typically thought to have higher operational efficiency and more room for expansion in the future. </w:t>
      </w:r>
      <w:r>
        <w:rPr>
          <w:rFonts w:ascii="Arial" w:eastAsia="SimSun" w:hAnsi="Arial" w:cs="Arial"/>
          <w:shd w:val="clear" w:color="auto" w:fill="FFFFFF"/>
        </w:rPr>
        <w:t>As</w:t>
      </w:r>
      <w:r>
        <w:rPr>
          <w:rFonts w:ascii="Arial" w:eastAsia="SimSun" w:hAnsi="Arial" w:cs="Arial"/>
          <w:color w:val="8A46FF"/>
          <w:sz w:val="24"/>
          <w:szCs w:val="24"/>
          <w:shd w:val="clear" w:color="auto" w:fill="FFFFFF"/>
        </w:rPr>
        <w:t xml:space="preserve"> </w:t>
      </w:r>
      <w:r>
        <w:rPr>
          <w:rFonts w:ascii="Arial" w:eastAsia="SimSun" w:hAnsi="Arial" w:cs="Arial"/>
          <w:shd w:val="clear" w:color="auto" w:fill="FFFFFF"/>
        </w:rPr>
        <w:t>stated by Kurniawan and colleagues (2025), profitability provides investors with positive insights regarding a company's future potential and financial stability, potentially influencing their confidence and the market's valuation. </w:t>
      </w:r>
      <w:r>
        <w:rPr>
          <w:rFonts w:ascii="Arial" w:eastAsia="sans-serif" w:hAnsi="Arial" w:cs="Arial"/>
        </w:rPr>
        <w:t xml:space="preserve">In this study, A company's profitability is gauged by its return on equity, or ROE. It demonstrates how successfully the business may profit from </w:t>
      </w:r>
      <w:proofErr w:type="gramStart"/>
      <w:r>
        <w:rPr>
          <w:rFonts w:ascii="Arial" w:eastAsia="sans-serif" w:hAnsi="Arial" w:cs="Arial"/>
        </w:rPr>
        <w:t>all of</w:t>
      </w:r>
      <w:proofErr w:type="gramEnd"/>
      <w:r>
        <w:rPr>
          <w:rFonts w:ascii="Arial" w:eastAsia="sans-serif" w:hAnsi="Arial" w:cs="Arial"/>
        </w:rPr>
        <w:t xml:space="preserve"> the equity that its shareholders have contributed.</w:t>
      </w:r>
    </w:p>
    <w:p w14:paraId="4C7EDB1E" w14:textId="77777777" w:rsidR="002F2202" w:rsidRDefault="002F2202">
      <w:pPr>
        <w:jc w:val="both"/>
        <w:rPr>
          <w:rFonts w:ascii="Arial" w:eastAsia="sans-serif" w:hAnsi="Arial" w:cs="Arial"/>
          <w:lang w:val="id-ID"/>
        </w:rPr>
      </w:pPr>
    </w:p>
    <w:p w14:paraId="39A8DA7A" w14:textId="77777777" w:rsidR="002F2202" w:rsidRDefault="00000000">
      <w:pPr>
        <w:pStyle w:val="IEEEHeading2"/>
        <w:numPr>
          <w:ilvl w:val="0"/>
          <w:numId w:val="0"/>
        </w:numPr>
        <w:spacing w:before="0" w:after="0" w:line="360" w:lineRule="auto"/>
        <w:jc w:val="both"/>
        <w:rPr>
          <w:rFonts w:ascii="Arial" w:hAnsi="Arial" w:cs="Arial"/>
          <w:b/>
          <w:bCs/>
          <w:i w:val="0"/>
          <w:iCs/>
          <w:sz w:val="22"/>
          <w:szCs w:val="22"/>
          <w:u w:val="single"/>
          <w:lang w:val="id-ID"/>
        </w:rPr>
      </w:pPr>
      <w:r>
        <w:rPr>
          <w:rFonts w:ascii="Arial" w:hAnsi="Arial" w:cs="Arial"/>
          <w:b/>
          <w:bCs/>
          <w:i w:val="0"/>
          <w:iCs/>
          <w:sz w:val="22"/>
          <w:szCs w:val="22"/>
          <w:u w:val="single"/>
          <w:lang w:val="id-ID"/>
        </w:rPr>
        <w:t>2.1.4 Liquidity</w:t>
      </w:r>
    </w:p>
    <w:p w14:paraId="1DD2463A" w14:textId="77777777" w:rsidR="002F2202" w:rsidRDefault="002F2202">
      <w:pPr>
        <w:pStyle w:val="IEEEParagraph"/>
        <w:rPr>
          <w:lang w:val="id-ID"/>
        </w:rPr>
      </w:pPr>
    </w:p>
    <w:p w14:paraId="26DCD29F" w14:textId="77777777" w:rsidR="002F2202" w:rsidRDefault="00000000">
      <w:pPr>
        <w:pStyle w:val="IEEEHeading2"/>
        <w:numPr>
          <w:ilvl w:val="0"/>
          <w:numId w:val="0"/>
        </w:numPr>
        <w:spacing w:before="0" w:after="0"/>
        <w:jc w:val="both"/>
        <w:rPr>
          <w:rFonts w:ascii="Arial" w:hAnsi="Arial" w:cs="Arial"/>
          <w:i w:val="0"/>
          <w:iCs/>
          <w:szCs w:val="20"/>
        </w:rPr>
      </w:pPr>
      <w:r>
        <w:rPr>
          <w:rFonts w:ascii="Arial" w:eastAsia="sans-serif" w:hAnsi="Arial" w:cs="Arial"/>
          <w:i w:val="0"/>
          <w:szCs w:val="20"/>
        </w:rPr>
        <w:t xml:space="preserve">The ability of a business to satisfy its immediate financial obligations with cash and assets that may be swiftly converted into cash is known as liquidity. </w:t>
      </w:r>
      <w:r>
        <w:rPr>
          <w:rFonts w:ascii="Arial" w:hAnsi="Arial" w:cs="Arial"/>
          <w:i w:val="0"/>
          <w:iCs/>
          <w:szCs w:val="20"/>
        </w:rPr>
        <w:t xml:space="preserve"> Strong liquidity circumstances enable businesses to sustain operations and weather unpredictable economic conditions, which makes them more financially adaptable (</w:t>
      </w:r>
      <w:proofErr w:type="spellStart"/>
      <w:r>
        <w:rPr>
          <w:rFonts w:ascii="Arial" w:hAnsi="Arial" w:cs="Arial"/>
          <w:i w:val="0"/>
          <w:iCs/>
          <w:szCs w:val="20"/>
        </w:rPr>
        <w:t>Ndruru</w:t>
      </w:r>
      <w:proofErr w:type="spellEnd"/>
      <w:r>
        <w:rPr>
          <w:rFonts w:ascii="Arial" w:hAnsi="Arial" w:cs="Arial"/>
          <w:i w:val="0"/>
          <w:iCs/>
          <w:szCs w:val="20"/>
        </w:rPr>
        <w:t xml:space="preserve"> et al., 2020).</w:t>
      </w:r>
      <w:r>
        <w:rPr>
          <w:rFonts w:ascii="Arial" w:hAnsi="Arial" w:cs="Arial"/>
          <w:i w:val="0"/>
          <w:iCs/>
          <w:szCs w:val="20"/>
          <w:lang w:val="id-ID"/>
        </w:rPr>
        <w:t xml:space="preserve"> Liquidity plays an essential role in assessing financial stability because, from an investor’s perspective, it reflects the short-term financial condition of a company and its ability to effectively handle operational risks</w:t>
      </w:r>
      <w:r>
        <w:rPr>
          <w:rFonts w:ascii="Arial" w:hAnsi="Arial" w:cs="Arial"/>
          <w:i w:val="0"/>
          <w:szCs w:val="20"/>
          <w:shd w:val="clear" w:color="auto" w:fill="FFFFFF"/>
          <w:lang w:val="id-ID"/>
        </w:rPr>
        <w:t xml:space="preserve"> </w:t>
      </w:r>
      <w:r>
        <w:rPr>
          <w:rFonts w:ascii="Arial" w:hAnsi="Arial" w:cs="Arial"/>
          <w:i w:val="0"/>
          <w:iCs/>
          <w:szCs w:val="20"/>
        </w:rPr>
        <w:t>(</w:t>
      </w:r>
      <w:proofErr w:type="spellStart"/>
      <w:r>
        <w:rPr>
          <w:rFonts w:ascii="Arial" w:hAnsi="Arial" w:cs="Arial"/>
          <w:i w:val="0"/>
          <w:iCs/>
          <w:szCs w:val="20"/>
        </w:rPr>
        <w:t>Davanicho</w:t>
      </w:r>
      <w:proofErr w:type="spellEnd"/>
      <w:r>
        <w:rPr>
          <w:rFonts w:ascii="Arial" w:hAnsi="Arial" w:cs="Arial"/>
          <w:i w:val="0"/>
          <w:iCs/>
          <w:szCs w:val="20"/>
        </w:rPr>
        <w:t xml:space="preserve"> &amp; Lestari, 2025). Stronger liquidity is also a result of effective cash flow management, especially when businesses can turn inventory and receivables into cash more quickly (Sastra, 2019). </w:t>
      </w:r>
      <w:r>
        <w:rPr>
          <w:rFonts w:ascii="Arial" w:eastAsia="sans-serif" w:hAnsi="Arial" w:cs="Arial"/>
          <w:i w:val="0"/>
          <w:szCs w:val="20"/>
        </w:rPr>
        <w:t>In this study, we use the Cash Ratio to look at liquidity because it indicates how much cash and cash-like assets are on hand to pay off short-term debts.</w:t>
      </w:r>
    </w:p>
    <w:p w14:paraId="0088F668" w14:textId="77777777" w:rsidR="002F2202" w:rsidRDefault="002F2202">
      <w:pPr>
        <w:ind w:leftChars="100" w:left="200"/>
        <w:jc w:val="both"/>
        <w:rPr>
          <w:rStyle w:val="Heading2Char"/>
          <w:rFonts w:ascii="Arial" w:hAnsi="Arial" w:cs="Arial"/>
          <w:i w:val="0"/>
          <w:lang w:val="id-ID"/>
        </w:rPr>
      </w:pPr>
    </w:p>
    <w:p w14:paraId="2161A2B0" w14:textId="77777777" w:rsidR="002F2202" w:rsidRDefault="00000000">
      <w:pPr>
        <w:pStyle w:val="IEEEHeading2"/>
        <w:numPr>
          <w:ilvl w:val="0"/>
          <w:numId w:val="0"/>
        </w:numPr>
        <w:spacing w:before="0" w:after="0" w:line="360" w:lineRule="auto"/>
        <w:jc w:val="both"/>
        <w:rPr>
          <w:rFonts w:ascii="Arial" w:hAnsi="Arial" w:cs="Arial"/>
          <w:b/>
          <w:bCs/>
          <w:i w:val="0"/>
          <w:iCs/>
          <w:sz w:val="22"/>
          <w:szCs w:val="22"/>
          <w:u w:val="single"/>
          <w:lang w:val="id-ID"/>
        </w:rPr>
      </w:pPr>
      <w:r>
        <w:rPr>
          <w:rFonts w:ascii="Arial" w:hAnsi="Arial" w:cs="Arial"/>
          <w:b/>
          <w:bCs/>
          <w:i w:val="0"/>
          <w:iCs/>
          <w:sz w:val="22"/>
          <w:szCs w:val="22"/>
          <w:u w:val="single"/>
          <w:lang w:val="id-ID"/>
        </w:rPr>
        <w:t>2.1.5 Firm Size</w:t>
      </w:r>
    </w:p>
    <w:p w14:paraId="39AB088A" w14:textId="77777777" w:rsidR="002F2202" w:rsidRDefault="002F2202">
      <w:pPr>
        <w:pStyle w:val="IEEEParagraph"/>
        <w:rPr>
          <w:lang w:val="id-ID"/>
        </w:rPr>
      </w:pPr>
    </w:p>
    <w:p w14:paraId="717369DD" w14:textId="77777777" w:rsidR="002F2202" w:rsidRDefault="00000000">
      <w:pPr>
        <w:jc w:val="both"/>
        <w:rPr>
          <w:rFonts w:ascii="Arial" w:eastAsia="sans-serif" w:hAnsi="Arial" w:cs="Arial"/>
        </w:rPr>
      </w:pPr>
      <w:r>
        <w:rPr>
          <w:rFonts w:ascii="Arial" w:eastAsia="SimSun" w:hAnsi="Arial" w:cs="Arial"/>
        </w:rPr>
        <w:t xml:space="preserve">A company's operational capabilities and scale are reflected in its firm size, especially when it comes to its financial resources, market reach, and long-term viability. According to Nainggolan et al. (2022), businesses that </w:t>
      </w:r>
      <w:proofErr w:type="gramStart"/>
      <w:r>
        <w:rPr>
          <w:rFonts w:ascii="Arial" w:eastAsia="SimSun" w:hAnsi="Arial" w:cs="Arial"/>
        </w:rPr>
        <w:t>own</w:t>
      </w:r>
      <w:proofErr w:type="gramEnd"/>
      <w:r>
        <w:rPr>
          <w:rFonts w:ascii="Arial" w:eastAsia="SimSun" w:hAnsi="Arial" w:cs="Arial"/>
        </w:rPr>
        <w:t xml:space="preserve"> more assets typically have better financial skills, more access to outside funding, and are better able to control business risks. Large businesses are also more likely to take advantage of economies of scale and have better negotiating positions when interacting with suppliers and customers. Because larger companies are frequently seen as more stable and able to preserve long-term operational </w:t>
      </w:r>
      <w:r>
        <w:rPr>
          <w:rFonts w:ascii="Arial" w:eastAsia="SimSun" w:hAnsi="Arial" w:cs="Arial"/>
        </w:rPr>
        <w:lastRenderedPageBreak/>
        <w:t xml:space="preserve">continuity, the size of a company's assets may also have an impact on investor confidence (Simon &amp; </w:t>
      </w:r>
      <w:proofErr w:type="spellStart"/>
      <w:r>
        <w:rPr>
          <w:rFonts w:ascii="Arial" w:eastAsia="SimSun" w:hAnsi="Arial" w:cs="Arial"/>
        </w:rPr>
        <w:t>Jumono</w:t>
      </w:r>
      <w:proofErr w:type="spellEnd"/>
      <w:r>
        <w:rPr>
          <w:rFonts w:ascii="Arial" w:eastAsia="SimSun" w:hAnsi="Arial" w:cs="Arial"/>
        </w:rPr>
        <w:t>, 2025).</w:t>
      </w:r>
      <w:r>
        <w:rPr>
          <w:rFonts w:ascii="Arial" w:eastAsia="SimSun" w:hAnsi="Arial" w:cs="Arial"/>
          <w:lang w:val="id-ID"/>
        </w:rPr>
        <w:t xml:space="preserve"> </w:t>
      </w:r>
      <w:proofErr w:type="gramStart"/>
      <w:r>
        <w:rPr>
          <w:rFonts w:ascii="Arial" w:eastAsia="SimSun" w:hAnsi="Arial" w:cs="Arial"/>
        </w:rPr>
        <w:t>A number of</w:t>
      </w:r>
      <w:proofErr w:type="gramEnd"/>
      <w:r>
        <w:rPr>
          <w:rFonts w:ascii="Arial" w:eastAsia="SimSun" w:hAnsi="Arial" w:cs="Arial"/>
        </w:rPr>
        <w:t xml:space="preserve"> elements, </w:t>
      </w:r>
      <w:proofErr w:type="gramStart"/>
      <w:r>
        <w:rPr>
          <w:rFonts w:ascii="Arial" w:eastAsia="SimSun" w:hAnsi="Arial" w:cs="Arial"/>
        </w:rPr>
        <w:t>including as</w:t>
      </w:r>
      <w:proofErr w:type="gramEnd"/>
      <w:r>
        <w:rPr>
          <w:rFonts w:ascii="Arial" w:eastAsia="SimSun" w:hAnsi="Arial" w:cs="Arial"/>
        </w:rPr>
        <w:t xml:space="preserve"> finance choices, investment activities, business expansion, and general market conditions, can impact the growth of a </w:t>
      </w:r>
      <w:r>
        <w:rPr>
          <w:rFonts w:ascii="Arial" w:eastAsia="SimSun" w:hAnsi="Arial" w:cs="Arial"/>
          <w:lang w:val="id-ID"/>
        </w:rPr>
        <w:t>firm size</w:t>
      </w:r>
      <w:r>
        <w:rPr>
          <w:rFonts w:ascii="Arial" w:eastAsia="SimSun" w:hAnsi="Arial" w:cs="Arial"/>
        </w:rPr>
        <w:t xml:space="preserve"> (</w:t>
      </w:r>
      <w:proofErr w:type="spellStart"/>
      <w:r>
        <w:rPr>
          <w:rFonts w:ascii="Arial" w:eastAsia="SimSun" w:hAnsi="Arial" w:cs="Arial"/>
        </w:rPr>
        <w:t>Dewantari</w:t>
      </w:r>
      <w:proofErr w:type="spellEnd"/>
      <w:r>
        <w:rPr>
          <w:rFonts w:ascii="Arial" w:eastAsia="SimSun" w:hAnsi="Arial" w:cs="Arial"/>
        </w:rPr>
        <w:t xml:space="preserve"> et al., 2023).</w:t>
      </w:r>
      <w:r>
        <w:rPr>
          <w:rFonts w:ascii="Arial" w:eastAsia="SimSun" w:hAnsi="Arial" w:cs="Arial"/>
          <w:lang w:val="id-ID"/>
        </w:rPr>
        <w:t xml:space="preserve"> </w:t>
      </w:r>
      <w:r>
        <w:rPr>
          <w:rFonts w:ascii="Arial" w:eastAsia="sans-serif" w:hAnsi="Arial" w:cs="Arial"/>
        </w:rPr>
        <w:t>Since total assets show the overall</w:t>
      </w:r>
      <w:r>
        <w:rPr>
          <w:rFonts w:ascii="Arial" w:eastAsia="sans-serif" w:hAnsi="Arial" w:cs="Arial"/>
          <w:lang w:val="id-ID"/>
        </w:rPr>
        <w:t xml:space="preserve"> firm</w:t>
      </w:r>
      <w:r>
        <w:rPr>
          <w:rFonts w:ascii="Arial" w:eastAsia="sans-serif" w:hAnsi="Arial" w:cs="Arial"/>
        </w:rPr>
        <w:t xml:space="preserve"> size of </w:t>
      </w:r>
      <w:proofErr w:type="spellStart"/>
      <w:r>
        <w:rPr>
          <w:rFonts w:ascii="Arial" w:eastAsia="sans-serif" w:hAnsi="Arial" w:cs="Arial"/>
        </w:rPr>
        <w:t>th</w:t>
      </w:r>
      <w:proofErr w:type="spellEnd"/>
      <w:r>
        <w:rPr>
          <w:rFonts w:ascii="Arial" w:eastAsia="sans-serif" w:hAnsi="Arial" w:cs="Arial"/>
          <w:lang w:val="id-ID"/>
        </w:rPr>
        <w:t>e</w:t>
      </w:r>
      <w:r>
        <w:rPr>
          <w:rFonts w:ascii="Arial" w:eastAsia="sans-serif" w:hAnsi="Arial" w:cs="Arial"/>
        </w:rPr>
        <w:t xml:space="preserve"> operations and its financial health, The natural logarithm of total assets (Ln) is used in this investigation. The </w:t>
      </w:r>
      <w:proofErr w:type="gramStart"/>
      <w:r>
        <w:rPr>
          <w:rFonts w:ascii="Arial" w:eastAsia="sans-serif" w:hAnsi="Arial" w:cs="Arial"/>
          <w:lang w:val="id-ID"/>
        </w:rPr>
        <w:t>firm</w:t>
      </w:r>
      <w:proofErr w:type="gramEnd"/>
      <w:r>
        <w:rPr>
          <w:rFonts w:ascii="Arial" w:eastAsia="sans-serif" w:hAnsi="Arial" w:cs="Arial"/>
        </w:rPr>
        <w:t xml:space="preserve"> size is determined by its total assets.</w:t>
      </w:r>
    </w:p>
    <w:p w14:paraId="73B12FA1" w14:textId="77777777" w:rsidR="002F2202" w:rsidRDefault="002F2202">
      <w:pPr>
        <w:jc w:val="both"/>
        <w:rPr>
          <w:rFonts w:ascii="Arial" w:eastAsia="sans-serif" w:hAnsi="Arial" w:cs="Arial"/>
          <w:lang w:val="id-ID" w:eastAsia="zh-CN"/>
        </w:rPr>
      </w:pPr>
    </w:p>
    <w:p w14:paraId="6F7D2680" w14:textId="77777777" w:rsidR="002F2202" w:rsidRDefault="00000000">
      <w:pPr>
        <w:spacing w:line="360" w:lineRule="auto"/>
        <w:jc w:val="both"/>
        <w:rPr>
          <w:rStyle w:val="Heading2Char"/>
          <w:rFonts w:ascii="Arial" w:hAnsi="Arial" w:cs="Arial"/>
          <w:b/>
          <w:bCs/>
          <w:i w:val="0"/>
          <w:sz w:val="22"/>
          <w:szCs w:val="22"/>
          <w:u w:val="single"/>
          <w:lang w:val="id-ID" w:eastAsia="zh-CN"/>
        </w:rPr>
      </w:pPr>
      <w:r>
        <w:rPr>
          <w:rStyle w:val="Heading2Char"/>
          <w:rFonts w:ascii="Arial" w:hAnsi="Arial" w:cs="Arial"/>
          <w:b/>
          <w:bCs/>
          <w:i w:val="0"/>
          <w:sz w:val="22"/>
          <w:szCs w:val="22"/>
          <w:u w:val="single"/>
          <w:lang w:val="id-ID" w:eastAsia="zh-CN"/>
        </w:rPr>
        <w:t>2.1.6 Dividend Policy</w:t>
      </w:r>
    </w:p>
    <w:p w14:paraId="2F3AF5CF" w14:textId="77777777" w:rsidR="002F2202" w:rsidRDefault="00000000">
      <w:pPr>
        <w:pStyle w:val="NormalWeb"/>
        <w:jc w:val="both"/>
        <w:rPr>
          <w:rFonts w:ascii="Arial" w:hAnsi="Arial" w:cs="Arial"/>
          <w:sz w:val="20"/>
          <w:szCs w:val="20"/>
        </w:rPr>
      </w:pPr>
      <w:r>
        <w:rPr>
          <w:rFonts w:ascii="Arial" w:eastAsia="sans-serif" w:hAnsi="Arial" w:cs="Arial"/>
          <w:sz w:val="20"/>
          <w:szCs w:val="20"/>
        </w:rPr>
        <w:t>The decisions made by management on how much of the company's profits will be distributed to shareholders and how much will be set aside for future expansion are referred to as dividend policy.</w:t>
      </w:r>
      <w:r>
        <w:rPr>
          <w:rFonts w:ascii="Arial" w:hAnsi="Arial" w:cs="Arial"/>
          <w:sz w:val="20"/>
          <w:szCs w:val="20"/>
        </w:rPr>
        <w:t xml:space="preserve"> Companies are required to balance dividend distribution with internal financing needs </w:t>
      </w:r>
      <w:proofErr w:type="gramStart"/>
      <w:r>
        <w:rPr>
          <w:rFonts w:ascii="Arial" w:hAnsi="Arial" w:cs="Arial"/>
          <w:sz w:val="20"/>
          <w:szCs w:val="20"/>
        </w:rPr>
        <w:t>in order to</w:t>
      </w:r>
      <w:proofErr w:type="gramEnd"/>
      <w:r>
        <w:rPr>
          <w:rFonts w:ascii="Arial" w:hAnsi="Arial" w:cs="Arial"/>
          <w:sz w:val="20"/>
          <w:szCs w:val="20"/>
        </w:rPr>
        <w:t xml:space="preserve"> maintain operational sustainability and support long-term growth (Marshella &amp; Wijaya, 2024). Excessive dividend payments may reduce the availability of retained earnings, which are needed to finance expansion and investment activities (</w:t>
      </w:r>
      <w:proofErr w:type="spellStart"/>
      <w:r>
        <w:rPr>
          <w:rFonts w:ascii="Arial" w:hAnsi="Arial" w:cs="Arial"/>
          <w:sz w:val="20"/>
          <w:szCs w:val="20"/>
        </w:rPr>
        <w:t>Sudana</w:t>
      </w:r>
      <w:proofErr w:type="spellEnd"/>
      <w:r>
        <w:rPr>
          <w:rFonts w:ascii="Arial" w:hAnsi="Arial" w:cs="Arial"/>
          <w:sz w:val="20"/>
          <w:szCs w:val="20"/>
        </w:rPr>
        <w:t xml:space="preserve">, 2019). </w:t>
      </w:r>
      <w:r>
        <w:rPr>
          <w:rFonts w:ascii="Arial" w:hAnsi="Arial" w:cs="Arial"/>
          <w:sz w:val="20"/>
          <w:szCs w:val="20"/>
          <w:shd w:val="clear" w:color="auto" w:fill="FFFFFF"/>
          <w:lang w:val="id-ID"/>
        </w:rPr>
        <w:t xml:space="preserve">As a component of the firm’s return initiative, investors might obtain dividends either in cash or as non cash resources (Fakhrudinsyah &amp; Takarini, 2022). </w:t>
      </w:r>
      <w:r>
        <w:rPr>
          <w:rFonts w:ascii="Arial" w:eastAsia="sans-serif" w:hAnsi="Arial" w:cs="Arial"/>
          <w:sz w:val="20"/>
          <w:szCs w:val="20"/>
        </w:rPr>
        <w:t>Regular dividend payments are typically seen favorably by investors since they demonstrate the company's financial health and management's faith in the company's future, both of which can raise firm value</w:t>
      </w:r>
      <w:r>
        <w:rPr>
          <w:rFonts w:ascii="Arial" w:eastAsia="sans-serif" w:hAnsi="Arial" w:cs="Arial"/>
          <w:sz w:val="20"/>
          <w:szCs w:val="20"/>
          <w:lang w:val="id-ID"/>
        </w:rPr>
        <w:t xml:space="preserve"> </w:t>
      </w:r>
      <w:r>
        <w:rPr>
          <w:rFonts w:ascii="Arial" w:hAnsi="Arial" w:cs="Arial"/>
          <w:sz w:val="20"/>
          <w:szCs w:val="20"/>
          <w:shd w:val="clear" w:color="auto" w:fill="FFFFFF"/>
          <w:lang w:val="id-ID"/>
        </w:rPr>
        <w:t>(Kurniawanto et al., 2025)</w:t>
      </w:r>
      <w:r>
        <w:rPr>
          <w:rFonts w:ascii="Arial" w:hAnsi="Arial" w:cs="Arial"/>
          <w:sz w:val="20"/>
          <w:szCs w:val="20"/>
        </w:rPr>
        <w:t>. A lower DPR shows management's desire to hold onto earnings for future growth and investment, whereas a higher DPR shows that the company distributes a bigger percentage of profits to shareholders.</w:t>
      </w:r>
    </w:p>
    <w:p w14:paraId="03F4E30A" w14:textId="77777777" w:rsidR="002F2202" w:rsidRDefault="00000000">
      <w:pPr>
        <w:pStyle w:val="NormalWeb"/>
        <w:spacing w:line="360" w:lineRule="auto"/>
        <w:jc w:val="both"/>
        <w:rPr>
          <w:rStyle w:val="Strong"/>
          <w:rFonts w:ascii="Arial" w:hAnsi="Arial" w:cs="Arial"/>
          <w:sz w:val="21"/>
          <w:szCs w:val="21"/>
          <w:u w:val="single"/>
          <w:lang w:val="id-ID"/>
        </w:rPr>
      </w:pPr>
      <w:r>
        <w:rPr>
          <w:rStyle w:val="Strong"/>
          <w:rFonts w:ascii="Arial" w:hAnsi="Arial" w:cs="Arial"/>
          <w:sz w:val="22"/>
          <w:szCs w:val="22"/>
          <w:u w:val="single"/>
          <w:lang w:val="id-ID"/>
        </w:rPr>
        <w:t>2.2.1 THE EFFECT OF PROFITABILITY ON FIRM VALUE</w:t>
      </w:r>
      <w:r>
        <w:rPr>
          <w:rStyle w:val="Strong"/>
          <w:rFonts w:ascii="Arial" w:hAnsi="Arial" w:cs="Arial"/>
          <w:sz w:val="21"/>
          <w:szCs w:val="21"/>
          <w:u w:val="single"/>
          <w:lang w:val="id-ID"/>
        </w:rPr>
        <w:t xml:space="preserve"> </w:t>
      </w:r>
    </w:p>
    <w:p w14:paraId="64B6AC21" w14:textId="77777777" w:rsidR="002F2202" w:rsidRDefault="00000000">
      <w:pPr>
        <w:pStyle w:val="NormalWeb"/>
        <w:jc w:val="both"/>
        <w:rPr>
          <w:rFonts w:ascii="Arial" w:eastAsia="sans-serif" w:hAnsi="Arial" w:cs="Arial"/>
          <w:sz w:val="20"/>
          <w:szCs w:val="20"/>
        </w:rPr>
      </w:pPr>
      <w:r>
        <w:rPr>
          <w:rFonts w:ascii="Arial" w:eastAsia="sans-serif" w:hAnsi="Arial" w:cs="Arial"/>
          <w:sz w:val="20"/>
          <w:szCs w:val="20"/>
        </w:rPr>
        <w:t>Investors usually look at how well a company can make money to understand its financial success and its chances for future growth.</w:t>
      </w:r>
      <w:r>
        <w:rPr>
          <w:rFonts w:ascii="Arial" w:hAnsi="Arial" w:cs="Arial"/>
          <w:sz w:val="20"/>
          <w:szCs w:val="20"/>
        </w:rPr>
        <w:t xml:space="preserve"> Profitability is a measure of how well management makes use of business resources to generate revenue from day-to-day operations. Businesses that can generate steady profits are typically regarded as having higher financial performance and more business sustainability.</w:t>
      </w:r>
      <w:r>
        <w:rPr>
          <w:rFonts w:ascii="Arial" w:hAnsi="Arial" w:cs="Arial"/>
          <w:sz w:val="20"/>
          <w:szCs w:val="20"/>
          <w:lang w:val="id-ID"/>
        </w:rPr>
        <w:t xml:space="preserve"> Based on signalling theory, a firm’s earnings can convey details that influence how investors perceive it</w:t>
      </w:r>
      <w:r>
        <w:rPr>
          <w:rFonts w:ascii="Arial" w:hAnsi="Arial" w:cs="Arial"/>
          <w:color w:val="252525"/>
          <w:shd w:val="clear" w:color="auto" w:fill="FFFFFF"/>
        </w:rPr>
        <w:t>.</w:t>
      </w:r>
      <w:r>
        <w:rPr>
          <w:rFonts w:ascii="Arial" w:hAnsi="Arial" w:cs="Arial"/>
          <w:color w:val="252525"/>
          <w:shd w:val="clear" w:color="auto" w:fill="FFFFFF"/>
          <w:lang w:val="id-ID"/>
        </w:rPr>
        <w:t xml:space="preserve"> </w:t>
      </w:r>
      <w:r>
        <w:rPr>
          <w:rFonts w:ascii="Arial" w:hAnsi="Arial" w:cs="Arial"/>
          <w:sz w:val="20"/>
          <w:szCs w:val="20"/>
        </w:rPr>
        <w:t>Because investors typically equate great earnings performance with lower investment risk and better return potential, higher profitability may promote positive market reactions. Demand for corporate shares may rise in tandem with investor confidence, raising stock prices and enhancing firm value</w:t>
      </w:r>
      <w:r>
        <w:rPr>
          <w:rStyle w:val="Strong"/>
          <w:rFonts w:ascii="Arial" w:hAnsi="Arial" w:cs="Arial"/>
          <w:b w:val="0"/>
          <w:bCs w:val="0"/>
          <w:sz w:val="20"/>
          <w:szCs w:val="20"/>
          <w:lang w:val="id-ID"/>
        </w:rPr>
        <w:t xml:space="preserve">. Empirical findings reported by Novianti (2024) and Lutfita and Takarini (2021) </w:t>
      </w:r>
      <w:r>
        <w:rPr>
          <w:rFonts w:ascii="Arial" w:eastAsia="sans-serif" w:hAnsi="Arial" w:cs="Arial"/>
          <w:sz w:val="20"/>
          <w:szCs w:val="20"/>
        </w:rPr>
        <w:t xml:space="preserve">discovered that a company's firm </w:t>
      </w:r>
      <w:r>
        <w:rPr>
          <w:rFonts w:ascii="Arial" w:eastAsia="sans-serif" w:hAnsi="Arial" w:cs="Arial"/>
          <w:sz w:val="20"/>
          <w:szCs w:val="20"/>
          <w:lang w:val="id-ID"/>
        </w:rPr>
        <w:t>value</w:t>
      </w:r>
      <w:r>
        <w:rPr>
          <w:rFonts w:ascii="Arial" w:eastAsia="sans-serif" w:hAnsi="Arial" w:cs="Arial"/>
          <w:sz w:val="20"/>
          <w:szCs w:val="20"/>
        </w:rPr>
        <w:t xml:space="preserve"> is positively impacted by its profitability.</w:t>
      </w:r>
    </w:p>
    <w:p w14:paraId="4EF6625A" w14:textId="77777777" w:rsidR="002F2202" w:rsidRDefault="00000000">
      <w:pPr>
        <w:pStyle w:val="NormalWeb"/>
        <w:jc w:val="both"/>
        <w:rPr>
          <w:rFonts w:ascii="Arial" w:hAnsi="Arial" w:cs="Arial"/>
          <w:sz w:val="20"/>
          <w:szCs w:val="20"/>
        </w:rPr>
      </w:pPr>
      <w:r>
        <w:rPr>
          <w:rFonts w:ascii="Arial" w:hAnsi="Arial" w:cs="Arial"/>
          <w:sz w:val="20"/>
          <w:szCs w:val="20"/>
        </w:rPr>
        <w:t>H1: Profitability positively affects firm value in food and beverage companies listed on the Indonesia Stock Exchange.</w:t>
      </w:r>
    </w:p>
    <w:p w14:paraId="5D27F3E8" w14:textId="77777777" w:rsidR="002F2202" w:rsidRDefault="00000000">
      <w:pPr>
        <w:pStyle w:val="NormalWeb"/>
        <w:spacing w:line="360" w:lineRule="auto"/>
        <w:jc w:val="both"/>
        <w:rPr>
          <w:rStyle w:val="Strong"/>
          <w:rFonts w:ascii="Arial" w:hAnsi="Arial" w:cs="Arial"/>
          <w:sz w:val="21"/>
          <w:szCs w:val="21"/>
          <w:u w:val="single"/>
          <w:lang w:val="id-ID"/>
        </w:rPr>
      </w:pPr>
      <w:r>
        <w:rPr>
          <w:rStyle w:val="Strong"/>
          <w:rFonts w:ascii="Arial" w:hAnsi="Arial" w:cs="Arial"/>
          <w:sz w:val="21"/>
          <w:szCs w:val="21"/>
          <w:u w:val="single"/>
          <w:lang w:val="id-ID"/>
        </w:rPr>
        <w:t>2.2.2</w:t>
      </w:r>
      <w:r>
        <w:rPr>
          <w:rStyle w:val="Strong"/>
          <w:rFonts w:ascii="Arial" w:hAnsi="Arial" w:cs="Arial"/>
          <w:sz w:val="21"/>
          <w:szCs w:val="21"/>
          <w:u w:val="single"/>
          <w:lang w:val="id-ID"/>
        </w:rPr>
        <w:tab/>
      </w:r>
      <w:r>
        <w:rPr>
          <w:rStyle w:val="Strong"/>
          <w:rFonts w:ascii="Arial" w:hAnsi="Arial" w:cs="Arial"/>
          <w:sz w:val="22"/>
          <w:szCs w:val="22"/>
          <w:u w:val="single"/>
          <w:lang w:val="id-ID"/>
        </w:rPr>
        <w:t>THE EFFECT OF LIQUIDITY ON FIRM VALUE</w:t>
      </w:r>
      <w:r>
        <w:rPr>
          <w:rStyle w:val="Strong"/>
          <w:rFonts w:ascii="Arial" w:hAnsi="Arial" w:cs="Arial"/>
          <w:sz w:val="21"/>
          <w:szCs w:val="21"/>
          <w:u w:val="single"/>
          <w:lang w:val="id-ID"/>
        </w:rPr>
        <w:t xml:space="preserve"> </w:t>
      </w:r>
    </w:p>
    <w:p w14:paraId="60C4E39F" w14:textId="77777777" w:rsidR="002F2202" w:rsidRDefault="00000000">
      <w:pPr>
        <w:pStyle w:val="NormalWeb"/>
        <w:jc w:val="both"/>
        <w:rPr>
          <w:rFonts w:ascii="Arial" w:eastAsia="sans-serif" w:hAnsi="Arial" w:cs="Arial"/>
          <w:sz w:val="20"/>
          <w:szCs w:val="20"/>
        </w:rPr>
      </w:pPr>
      <w:r>
        <w:rPr>
          <w:rFonts w:ascii="Arial" w:eastAsia="sans-serif" w:hAnsi="Arial" w:cs="Arial"/>
          <w:sz w:val="20"/>
          <w:szCs w:val="20"/>
        </w:rPr>
        <w:t>The ability of a business to settle its short-term debts with its current assets is known as liquidity.</w:t>
      </w:r>
      <w:r>
        <w:rPr>
          <w:rFonts w:ascii="Arial" w:hAnsi="Arial" w:cs="Arial"/>
          <w:sz w:val="20"/>
          <w:szCs w:val="20"/>
          <w:shd w:val="clear" w:color="auto" w:fill="FFFFFF"/>
        </w:rPr>
        <w:t> Firms that are in good liquidity shape are typically regarded as</w:t>
      </w:r>
      <w:r>
        <w:rPr>
          <w:rFonts w:ascii="Arial" w:hAnsi="Arial" w:cs="Arial"/>
          <w:sz w:val="20"/>
          <w:szCs w:val="20"/>
        </w:rPr>
        <w:t xml:space="preserve"> financially stable because they are considered capable of meeting operational obligations and avoiding financial difficulties. Signaling theory explains that liquidity information may influence investor decisions because it reflects the firm’s short-term financial strength. A company that maintains adequate liquidity is more likely to gain investor trust since good liquidity conditions indicate effective financial management and lower financial risk. </w:t>
      </w:r>
      <w:r>
        <w:rPr>
          <w:rFonts w:ascii="Arial" w:eastAsia="sans-serif" w:hAnsi="Arial" w:cs="Arial"/>
          <w:sz w:val="20"/>
          <w:szCs w:val="20"/>
        </w:rPr>
        <w:t xml:space="preserve">This point of view may increase demand for the company's stock, which could raise the </w:t>
      </w:r>
      <w:proofErr w:type="gramStart"/>
      <w:r>
        <w:rPr>
          <w:rFonts w:ascii="Arial" w:eastAsia="sans-serif" w:hAnsi="Arial" w:cs="Arial"/>
          <w:sz w:val="20"/>
          <w:szCs w:val="20"/>
        </w:rPr>
        <w:t>firm</w:t>
      </w:r>
      <w:proofErr w:type="gramEnd"/>
      <w:r>
        <w:rPr>
          <w:rFonts w:ascii="Arial" w:eastAsia="sans-serif" w:hAnsi="Arial" w:cs="Arial"/>
          <w:sz w:val="20"/>
          <w:szCs w:val="20"/>
          <w:lang w:val="id-ID"/>
        </w:rPr>
        <w:t xml:space="preserve"> value</w:t>
      </w:r>
      <w:r>
        <w:rPr>
          <w:rFonts w:ascii="Arial" w:eastAsia="sans-serif" w:hAnsi="Arial" w:cs="Arial"/>
          <w:sz w:val="20"/>
          <w:szCs w:val="20"/>
        </w:rPr>
        <w:t xml:space="preserve">. A study by </w:t>
      </w:r>
      <w:r>
        <w:rPr>
          <w:rFonts w:ascii="Arial" w:eastAsia="sans-serif" w:hAnsi="Arial" w:cs="Arial"/>
          <w:sz w:val="20"/>
          <w:szCs w:val="20"/>
        </w:rPr>
        <w:lastRenderedPageBreak/>
        <w:t xml:space="preserve">Sarma and </w:t>
      </w:r>
      <w:proofErr w:type="spellStart"/>
      <w:r>
        <w:rPr>
          <w:rFonts w:ascii="Arial" w:eastAsia="sans-serif" w:hAnsi="Arial" w:cs="Arial"/>
          <w:sz w:val="20"/>
          <w:szCs w:val="20"/>
        </w:rPr>
        <w:t>Handayani</w:t>
      </w:r>
      <w:proofErr w:type="spellEnd"/>
      <w:r>
        <w:rPr>
          <w:rFonts w:ascii="Arial" w:eastAsia="sans-serif" w:hAnsi="Arial" w:cs="Arial"/>
          <w:sz w:val="20"/>
          <w:szCs w:val="20"/>
        </w:rPr>
        <w:t xml:space="preserve"> (2025) found that when a company has more cash available, it increases the </w:t>
      </w:r>
      <w:proofErr w:type="gramStart"/>
      <w:r>
        <w:rPr>
          <w:rFonts w:ascii="Arial" w:eastAsia="sans-serif" w:hAnsi="Arial" w:cs="Arial"/>
          <w:sz w:val="20"/>
          <w:szCs w:val="20"/>
          <w:lang w:val="id-ID"/>
        </w:rPr>
        <w:t>firm</w:t>
      </w:r>
      <w:proofErr w:type="gramEnd"/>
      <w:r>
        <w:rPr>
          <w:rFonts w:ascii="Arial" w:eastAsia="sans-serif" w:hAnsi="Arial" w:cs="Arial"/>
          <w:sz w:val="20"/>
          <w:szCs w:val="20"/>
        </w:rPr>
        <w:t xml:space="preserve"> value.</w:t>
      </w:r>
    </w:p>
    <w:p w14:paraId="7C5D2A84" w14:textId="77777777" w:rsidR="002F2202" w:rsidRDefault="00000000">
      <w:pPr>
        <w:pStyle w:val="NormalWeb"/>
        <w:jc w:val="both"/>
        <w:rPr>
          <w:rFonts w:ascii="Arial" w:hAnsi="Arial" w:cs="Arial"/>
          <w:sz w:val="20"/>
          <w:szCs w:val="20"/>
        </w:rPr>
      </w:pPr>
      <w:r>
        <w:rPr>
          <w:rFonts w:ascii="Arial" w:hAnsi="Arial" w:cs="Arial"/>
          <w:sz w:val="20"/>
          <w:szCs w:val="20"/>
        </w:rPr>
        <w:t>H</w:t>
      </w:r>
      <w:r>
        <w:rPr>
          <w:rFonts w:ascii="Arial" w:hAnsi="Arial" w:cs="Arial"/>
          <w:sz w:val="20"/>
          <w:szCs w:val="20"/>
          <w:lang w:val="id-ID"/>
        </w:rPr>
        <w:t>2</w:t>
      </w:r>
      <w:r>
        <w:rPr>
          <w:rFonts w:ascii="Arial" w:hAnsi="Arial" w:cs="Arial"/>
          <w:sz w:val="20"/>
          <w:szCs w:val="20"/>
        </w:rPr>
        <w:t xml:space="preserve">: </w:t>
      </w:r>
      <w:r>
        <w:rPr>
          <w:rFonts w:ascii="Arial" w:hAnsi="Arial" w:cs="Arial"/>
          <w:sz w:val="20"/>
          <w:szCs w:val="20"/>
          <w:lang w:val="id-ID"/>
        </w:rPr>
        <w:t>Likuidity</w:t>
      </w:r>
      <w:r>
        <w:rPr>
          <w:rFonts w:ascii="Arial" w:hAnsi="Arial" w:cs="Arial"/>
          <w:sz w:val="20"/>
          <w:szCs w:val="20"/>
        </w:rPr>
        <w:t xml:space="preserve"> positively affects firm value in food and beverage companies listed on the Indonesia Stock Exchange.</w:t>
      </w:r>
    </w:p>
    <w:p w14:paraId="1D350F67" w14:textId="77777777" w:rsidR="002F2202" w:rsidRDefault="00000000">
      <w:pPr>
        <w:pStyle w:val="NormalWeb"/>
        <w:spacing w:line="360" w:lineRule="auto"/>
        <w:jc w:val="both"/>
        <w:rPr>
          <w:rStyle w:val="Strong"/>
          <w:rFonts w:ascii="Arial" w:hAnsi="Arial" w:cs="Arial"/>
          <w:sz w:val="21"/>
          <w:szCs w:val="21"/>
          <w:u w:val="single"/>
          <w:lang w:val="id-ID"/>
        </w:rPr>
      </w:pPr>
      <w:r>
        <w:rPr>
          <w:rStyle w:val="Strong"/>
          <w:rFonts w:ascii="Arial" w:hAnsi="Arial" w:cs="Arial"/>
          <w:sz w:val="21"/>
          <w:szCs w:val="21"/>
          <w:u w:val="single"/>
          <w:lang w:val="id-ID"/>
        </w:rPr>
        <w:t>2.2.3</w:t>
      </w:r>
      <w:r>
        <w:rPr>
          <w:rStyle w:val="Strong"/>
          <w:rFonts w:ascii="Arial" w:hAnsi="Arial" w:cs="Arial"/>
          <w:sz w:val="21"/>
          <w:szCs w:val="21"/>
          <w:u w:val="single"/>
          <w:lang w:val="id-ID"/>
        </w:rPr>
        <w:tab/>
      </w:r>
      <w:r>
        <w:rPr>
          <w:rStyle w:val="Strong"/>
          <w:rFonts w:ascii="Arial" w:hAnsi="Arial" w:cs="Arial"/>
          <w:sz w:val="22"/>
          <w:szCs w:val="22"/>
          <w:u w:val="single"/>
          <w:lang w:val="id-ID"/>
        </w:rPr>
        <w:t>THE EFFECT OF FIRM SIZE ON FIRM VALUE</w:t>
      </w:r>
      <w:r>
        <w:rPr>
          <w:rStyle w:val="Strong"/>
          <w:rFonts w:ascii="Arial" w:hAnsi="Arial" w:cs="Arial"/>
          <w:sz w:val="21"/>
          <w:szCs w:val="21"/>
          <w:u w:val="single"/>
          <w:lang w:val="id-ID"/>
        </w:rPr>
        <w:t xml:space="preserve"> </w:t>
      </w:r>
    </w:p>
    <w:p w14:paraId="179CA93A" w14:textId="77777777" w:rsidR="002F2202" w:rsidRDefault="00000000">
      <w:pPr>
        <w:pStyle w:val="NormalWeb"/>
        <w:jc w:val="both"/>
        <w:rPr>
          <w:rFonts w:ascii="Arial" w:eastAsia="sans-serif" w:hAnsi="Arial" w:cs="Arial"/>
          <w:sz w:val="20"/>
          <w:szCs w:val="20"/>
        </w:rPr>
      </w:pPr>
      <w:r>
        <w:rPr>
          <w:rFonts w:ascii="Arial" w:hAnsi="Arial" w:cs="Arial"/>
          <w:sz w:val="20"/>
          <w:szCs w:val="20"/>
          <w:shd w:val="clear" w:color="auto" w:fill="FFFFFF"/>
        </w:rPr>
        <w:t>A business's magnitude is shown through its size, which is usually defined by the overall assets it owns.</w:t>
      </w:r>
      <w:r>
        <w:rPr>
          <w:rFonts w:ascii="Arial" w:hAnsi="Arial" w:cs="Arial"/>
          <w:sz w:val="20"/>
          <w:szCs w:val="20"/>
        </w:rPr>
        <w:t xml:space="preserve"> Compared to smaller businesses, larger organizations typically have greater operational capacity, more robust financial resources, and simpler access to outside investment. According to signaling theory, investors may benefit from a company's size since big businesses are frequently seen as more reliable and able to sustain long-term operations. Additionally, businesses with significant assets are typically thought to have better prospects for future growth and expansion. These circumstances could boost investor confidence and promote favorable market valuation.</w:t>
      </w:r>
      <w:r>
        <w:rPr>
          <w:rFonts w:ascii="Arial" w:hAnsi="Arial" w:cs="Arial"/>
          <w:sz w:val="20"/>
          <w:szCs w:val="20"/>
          <w:lang w:val="id-ID"/>
        </w:rPr>
        <w:t xml:space="preserve"> </w:t>
      </w:r>
      <w:r>
        <w:rPr>
          <w:rFonts w:ascii="Arial" w:hAnsi="Arial" w:cs="Arial"/>
          <w:sz w:val="20"/>
          <w:szCs w:val="20"/>
          <w:shd w:val="clear" w:color="auto" w:fill="FFFFFF"/>
          <w:lang w:val="id-ID"/>
        </w:rPr>
        <w:t xml:space="preserve">As a result, bigger companies are anticipated to have a greater firm value because of a rise in investor attention. Earlier research conducted by Aziz and Widati (2023) </w:t>
      </w:r>
      <w:r>
        <w:rPr>
          <w:rFonts w:ascii="Arial" w:eastAsia="sans-serif" w:hAnsi="Arial" w:cs="Arial"/>
          <w:sz w:val="20"/>
          <w:szCs w:val="20"/>
        </w:rPr>
        <w:t xml:space="preserve">demonstrated that a company's size has a beneficial impact on </w:t>
      </w:r>
      <w:r>
        <w:rPr>
          <w:rFonts w:ascii="Arial" w:eastAsia="sans-serif" w:hAnsi="Arial" w:cs="Arial"/>
          <w:sz w:val="20"/>
          <w:szCs w:val="20"/>
          <w:lang w:val="id-ID"/>
        </w:rPr>
        <w:t>firm</w:t>
      </w:r>
      <w:r>
        <w:rPr>
          <w:rFonts w:ascii="Arial" w:eastAsia="sans-serif" w:hAnsi="Arial" w:cs="Arial"/>
          <w:sz w:val="20"/>
          <w:szCs w:val="20"/>
        </w:rPr>
        <w:t xml:space="preserve"> value.</w:t>
      </w:r>
    </w:p>
    <w:p w14:paraId="7014E27F" w14:textId="77777777" w:rsidR="002F2202" w:rsidRDefault="00000000">
      <w:pPr>
        <w:pStyle w:val="NormalWeb"/>
        <w:jc w:val="both"/>
        <w:rPr>
          <w:rFonts w:ascii="Arial" w:hAnsi="Arial" w:cs="Arial"/>
          <w:sz w:val="20"/>
          <w:szCs w:val="20"/>
        </w:rPr>
      </w:pPr>
      <w:r>
        <w:rPr>
          <w:rFonts w:ascii="Arial" w:hAnsi="Arial" w:cs="Arial"/>
          <w:sz w:val="20"/>
          <w:szCs w:val="20"/>
        </w:rPr>
        <w:t>H</w:t>
      </w:r>
      <w:r>
        <w:rPr>
          <w:rFonts w:ascii="Arial" w:hAnsi="Arial" w:cs="Arial"/>
          <w:sz w:val="20"/>
          <w:szCs w:val="20"/>
          <w:lang w:val="id-ID"/>
        </w:rPr>
        <w:t>3</w:t>
      </w:r>
      <w:r>
        <w:rPr>
          <w:rFonts w:ascii="Arial" w:hAnsi="Arial" w:cs="Arial"/>
          <w:sz w:val="20"/>
          <w:szCs w:val="20"/>
        </w:rPr>
        <w:t xml:space="preserve">: </w:t>
      </w:r>
      <w:r>
        <w:rPr>
          <w:rFonts w:ascii="Arial" w:hAnsi="Arial" w:cs="Arial"/>
          <w:sz w:val="20"/>
          <w:szCs w:val="20"/>
          <w:lang w:val="id-ID"/>
        </w:rPr>
        <w:t>Firm size</w:t>
      </w:r>
      <w:r>
        <w:rPr>
          <w:rFonts w:ascii="Arial" w:hAnsi="Arial" w:cs="Arial"/>
          <w:sz w:val="20"/>
          <w:szCs w:val="20"/>
        </w:rPr>
        <w:t xml:space="preserve"> positively affects firm value in food and beverage companies listed on the Indonesia Stock Exchange.</w:t>
      </w:r>
    </w:p>
    <w:p w14:paraId="6C420677" w14:textId="77777777" w:rsidR="002F2202" w:rsidRDefault="00000000">
      <w:pPr>
        <w:pStyle w:val="NormalWeb"/>
        <w:spacing w:line="360" w:lineRule="auto"/>
        <w:jc w:val="both"/>
        <w:rPr>
          <w:rStyle w:val="Strong"/>
          <w:rFonts w:ascii="Arial" w:hAnsi="Arial" w:cs="Arial"/>
          <w:sz w:val="21"/>
          <w:szCs w:val="21"/>
          <w:u w:val="single"/>
          <w:lang w:val="id-ID"/>
        </w:rPr>
      </w:pPr>
      <w:r>
        <w:rPr>
          <w:rStyle w:val="Strong"/>
          <w:rFonts w:ascii="Arial" w:hAnsi="Arial" w:cs="Arial"/>
          <w:sz w:val="21"/>
          <w:szCs w:val="21"/>
          <w:u w:val="single"/>
          <w:lang w:val="id-ID"/>
        </w:rPr>
        <w:t>2.2.4</w:t>
      </w:r>
      <w:r>
        <w:rPr>
          <w:rStyle w:val="Strong"/>
          <w:rFonts w:ascii="Arial" w:hAnsi="Arial" w:cs="Arial"/>
          <w:sz w:val="21"/>
          <w:szCs w:val="21"/>
          <w:u w:val="single"/>
          <w:lang w:val="id-ID"/>
        </w:rPr>
        <w:tab/>
        <w:t>THE EFFECT PROFITABILITY ON FIRM VALUE WITH DIVIDEND POLICY AS A MODERATING VARIABLE</w:t>
      </w:r>
    </w:p>
    <w:p w14:paraId="3BFEE576" w14:textId="77777777" w:rsidR="002F2202" w:rsidRDefault="00000000">
      <w:pPr>
        <w:pStyle w:val="NormalWeb"/>
        <w:jc w:val="both"/>
        <w:rPr>
          <w:rFonts w:ascii="Arial" w:eastAsia="sans-serif" w:hAnsi="Arial" w:cs="Arial"/>
          <w:sz w:val="20"/>
          <w:szCs w:val="20"/>
        </w:rPr>
      </w:pPr>
      <w:r>
        <w:rPr>
          <w:rFonts w:ascii="Arial" w:eastAsia="sans-serif" w:hAnsi="Arial" w:cs="Arial"/>
          <w:sz w:val="20"/>
          <w:szCs w:val="20"/>
        </w:rPr>
        <w:t>Investors often see the payment of dividends as a sign that the company is financially strong and that the management believes in its future success.</w:t>
      </w:r>
      <w:r>
        <w:rPr>
          <w:rFonts w:ascii="Arial" w:hAnsi="Arial" w:cs="Arial"/>
          <w:sz w:val="20"/>
          <w:szCs w:val="20"/>
        </w:rPr>
        <w:t xml:space="preserve"> Companies that consistently distribute dividends are generally viewed more positively because dividend payments reflect the availability of profits and stable financial conditions. According to signaling theory, dividend policy can strengthen the information conveyed through profitability since investors may perceive profitable firms with stable dividend payments as having stronger financial sustainability. Dividend payments may also increase investor confidence because shareholders receive direct returns from their investment. Therefore, companies with high profitability accompanied by consistent dividend distribution are expected to achieve stronger market valuation.</w:t>
      </w:r>
      <w:r>
        <w:rPr>
          <w:rStyle w:val="Strong"/>
          <w:rFonts w:ascii="Arial" w:hAnsi="Arial" w:cs="Arial"/>
          <w:b w:val="0"/>
          <w:bCs w:val="0"/>
          <w:sz w:val="20"/>
          <w:szCs w:val="20"/>
          <w:lang w:val="id-ID"/>
        </w:rPr>
        <w:t xml:space="preserve"> Empirical findings from Febiyanti and Anwar (2022) </w:t>
      </w:r>
      <w:r>
        <w:rPr>
          <w:rFonts w:ascii="Arial" w:eastAsia="sans-serif" w:hAnsi="Arial" w:cs="Arial"/>
          <w:sz w:val="20"/>
          <w:szCs w:val="20"/>
        </w:rPr>
        <w:t>discovered that a company's dividend policy can strengthen the relationship between its firm value and profitability.</w:t>
      </w:r>
    </w:p>
    <w:p w14:paraId="3CB5BECD" w14:textId="77777777" w:rsidR="002F2202" w:rsidRDefault="00000000">
      <w:pPr>
        <w:pStyle w:val="NormalWeb"/>
        <w:jc w:val="both"/>
        <w:rPr>
          <w:rFonts w:ascii="Arial" w:hAnsi="Arial" w:cs="Arial"/>
          <w:sz w:val="20"/>
          <w:szCs w:val="20"/>
        </w:rPr>
      </w:pPr>
      <w:r>
        <w:rPr>
          <w:rFonts w:ascii="Arial" w:hAnsi="Arial" w:cs="Arial"/>
          <w:sz w:val="20"/>
          <w:szCs w:val="20"/>
        </w:rPr>
        <w:t>H4: Dividend policy moderates the effect of profitability on firm value in food and beverage companies listed on the Indonesia Stock Exchange.</w:t>
      </w:r>
    </w:p>
    <w:p w14:paraId="23659DA2" w14:textId="77777777" w:rsidR="002F2202" w:rsidRDefault="00000000">
      <w:pPr>
        <w:pStyle w:val="NormalWeb"/>
        <w:spacing w:line="360" w:lineRule="auto"/>
        <w:jc w:val="both"/>
        <w:rPr>
          <w:rStyle w:val="Strong"/>
          <w:rFonts w:ascii="Arial" w:hAnsi="Arial" w:cs="Arial"/>
          <w:sz w:val="21"/>
          <w:szCs w:val="21"/>
          <w:u w:val="single"/>
          <w:lang w:val="id-ID"/>
        </w:rPr>
      </w:pPr>
      <w:r>
        <w:rPr>
          <w:rStyle w:val="Strong"/>
          <w:rFonts w:ascii="Arial" w:hAnsi="Arial" w:cs="Arial"/>
          <w:sz w:val="21"/>
          <w:szCs w:val="21"/>
          <w:u w:val="single"/>
          <w:lang w:val="id-ID"/>
        </w:rPr>
        <w:t>2.2.5</w:t>
      </w:r>
      <w:r>
        <w:rPr>
          <w:rStyle w:val="Strong"/>
          <w:rFonts w:ascii="Arial" w:hAnsi="Arial" w:cs="Arial"/>
          <w:sz w:val="21"/>
          <w:szCs w:val="21"/>
          <w:u w:val="single"/>
          <w:lang w:val="id-ID"/>
        </w:rPr>
        <w:tab/>
        <w:t>THE EFFECT LIQUIDITY ON FIRM VALUE WITH DIVIDEND POLICY AS A MODERATING VARIABLE</w:t>
      </w:r>
    </w:p>
    <w:p w14:paraId="0C5D1D8E" w14:textId="77777777" w:rsidR="002F2202" w:rsidRDefault="00000000">
      <w:pPr>
        <w:pStyle w:val="NormalWeb"/>
        <w:jc w:val="both"/>
        <w:rPr>
          <w:rFonts w:ascii="Arial" w:eastAsia="sans-serif" w:hAnsi="Arial" w:cs="Arial"/>
          <w:sz w:val="20"/>
          <w:szCs w:val="20"/>
        </w:rPr>
      </w:pPr>
      <w:r>
        <w:rPr>
          <w:rFonts w:ascii="Arial" w:hAnsi="Arial" w:cs="Arial"/>
          <w:sz w:val="20"/>
          <w:szCs w:val="20"/>
        </w:rPr>
        <w:t xml:space="preserve">The company’s ability to maintain adequate liquidity may influence investor perception regarding financial stability and operational sustainability. Firms with strong liquidity conditions are generally considered capable of fulfilling short-term obligations while </w:t>
      </w:r>
      <w:r>
        <w:rPr>
          <w:rFonts w:ascii="Arial" w:hAnsi="Arial" w:cs="Arial"/>
          <w:sz w:val="20"/>
          <w:szCs w:val="20"/>
        </w:rPr>
        <w:lastRenderedPageBreak/>
        <w:t xml:space="preserve">maintaining stable operational activities. When companies are also able to distribute dividends consistently, </w:t>
      </w:r>
      <w:r>
        <w:rPr>
          <w:rFonts w:ascii="Arial" w:hAnsi="Arial" w:cs="Arial"/>
          <w:sz w:val="20"/>
          <w:szCs w:val="20"/>
          <w:shd w:val="clear" w:color="auto" w:fill="FFFFFF"/>
        </w:rPr>
        <w:t>investors might view this as an encouraging indication of the company’s financial strength</w:t>
      </w:r>
      <w:r>
        <w:rPr>
          <w:rFonts w:ascii="Arial" w:hAnsi="Arial" w:cs="Arial"/>
          <w:sz w:val="20"/>
          <w:szCs w:val="20"/>
        </w:rPr>
        <w:t xml:space="preserve">. Signaling theory explains that stable dividend payments can reinforce investor confidence because they indicate sufficient financial resources to support both operational activities and shareholder interests. </w:t>
      </w:r>
      <w:r>
        <w:rPr>
          <w:rFonts w:ascii="Arial" w:eastAsia="sans-serif" w:hAnsi="Arial" w:cs="Arial"/>
          <w:sz w:val="20"/>
          <w:szCs w:val="20"/>
        </w:rPr>
        <w:t xml:space="preserve">Because of this, the way dividends are handled is expected to improve how liquidity affects a </w:t>
      </w:r>
      <w:proofErr w:type="gramStart"/>
      <w:r>
        <w:rPr>
          <w:rFonts w:ascii="Arial" w:eastAsia="sans-serif" w:hAnsi="Arial" w:cs="Arial"/>
          <w:sz w:val="20"/>
          <w:szCs w:val="20"/>
          <w:lang w:val="id-ID"/>
        </w:rPr>
        <w:t>firm</w:t>
      </w:r>
      <w:proofErr w:type="gramEnd"/>
      <w:r>
        <w:rPr>
          <w:rFonts w:ascii="Arial" w:eastAsia="sans-serif" w:hAnsi="Arial" w:cs="Arial"/>
          <w:sz w:val="20"/>
          <w:szCs w:val="20"/>
        </w:rPr>
        <w:t xml:space="preserve"> value. Previous studies by Pratama and Nurhayati (2022) showed that a strategy involving dividends can affect how liquidity impacts a </w:t>
      </w:r>
      <w:r>
        <w:rPr>
          <w:rFonts w:ascii="Arial" w:eastAsia="sans-serif" w:hAnsi="Arial" w:cs="Arial"/>
          <w:sz w:val="20"/>
          <w:szCs w:val="20"/>
          <w:lang w:val="id-ID"/>
        </w:rPr>
        <w:t>firm</w:t>
      </w:r>
      <w:r>
        <w:rPr>
          <w:rFonts w:ascii="Arial" w:eastAsia="sans-serif" w:hAnsi="Arial" w:cs="Arial"/>
          <w:sz w:val="20"/>
          <w:szCs w:val="20"/>
        </w:rPr>
        <w:t xml:space="preserve"> value.</w:t>
      </w:r>
    </w:p>
    <w:p w14:paraId="6B4391EC" w14:textId="77777777" w:rsidR="002F2202" w:rsidRDefault="00000000">
      <w:pPr>
        <w:pStyle w:val="NormalWeb"/>
        <w:jc w:val="both"/>
        <w:rPr>
          <w:rFonts w:ascii="Arial" w:hAnsi="Arial" w:cs="Arial"/>
          <w:sz w:val="20"/>
          <w:szCs w:val="20"/>
        </w:rPr>
      </w:pPr>
      <w:r>
        <w:rPr>
          <w:rFonts w:ascii="Arial" w:hAnsi="Arial" w:cs="Arial"/>
          <w:sz w:val="20"/>
          <w:szCs w:val="20"/>
        </w:rPr>
        <w:t>H</w:t>
      </w:r>
      <w:r>
        <w:rPr>
          <w:rFonts w:ascii="Arial" w:hAnsi="Arial" w:cs="Arial"/>
          <w:sz w:val="20"/>
          <w:szCs w:val="20"/>
          <w:lang w:val="id-ID"/>
        </w:rPr>
        <w:t>5</w:t>
      </w:r>
      <w:r>
        <w:rPr>
          <w:rFonts w:ascii="Arial" w:hAnsi="Arial" w:cs="Arial"/>
          <w:sz w:val="20"/>
          <w:szCs w:val="20"/>
        </w:rPr>
        <w:t xml:space="preserve">: Dividend policy moderates the effect of </w:t>
      </w:r>
      <w:r>
        <w:rPr>
          <w:rFonts w:ascii="Arial" w:hAnsi="Arial" w:cs="Arial"/>
          <w:sz w:val="20"/>
          <w:szCs w:val="20"/>
          <w:lang w:val="id-ID"/>
        </w:rPr>
        <w:t>likuidity</w:t>
      </w:r>
      <w:r>
        <w:rPr>
          <w:rFonts w:ascii="Arial" w:hAnsi="Arial" w:cs="Arial"/>
          <w:sz w:val="20"/>
          <w:szCs w:val="20"/>
        </w:rPr>
        <w:t xml:space="preserve"> on firm value in food and beverage companies listed on the Indonesia Stock Exchange.</w:t>
      </w:r>
    </w:p>
    <w:p w14:paraId="1A41F390" w14:textId="77777777" w:rsidR="002F2202" w:rsidRDefault="00000000">
      <w:pPr>
        <w:pStyle w:val="NormalWeb"/>
        <w:spacing w:line="360" w:lineRule="auto"/>
        <w:jc w:val="both"/>
        <w:rPr>
          <w:rStyle w:val="Strong"/>
          <w:rFonts w:ascii="Arial" w:hAnsi="Arial" w:cs="Arial"/>
          <w:sz w:val="21"/>
          <w:szCs w:val="21"/>
          <w:u w:val="single"/>
          <w:lang w:val="id-ID"/>
        </w:rPr>
      </w:pPr>
      <w:r>
        <w:rPr>
          <w:rStyle w:val="Strong"/>
          <w:rFonts w:ascii="Arial" w:hAnsi="Arial" w:cs="Arial"/>
          <w:sz w:val="21"/>
          <w:szCs w:val="21"/>
          <w:u w:val="single"/>
          <w:lang w:val="id-ID"/>
        </w:rPr>
        <w:t>2.2.6</w:t>
      </w:r>
      <w:r>
        <w:rPr>
          <w:rStyle w:val="Strong"/>
          <w:rFonts w:ascii="Arial" w:hAnsi="Arial" w:cs="Arial"/>
          <w:sz w:val="21"/>
          <w:szCs w:val="21"/>
          <w:u w:val="single"/>
          <w:lang w:val="id-ID"/>
        </w:rPr>
        <w:tab/>
        <w:t>THE EFFECT FIRM SIZE ON FIRM VALUE WITH DIVIDEND POLICY AS A MODERATING VARIABLE</w:t>
      </w:r>
    </w:p>
    <w:p w14:paraId="6F299348" w14:textId="77777777" w:rsidR="002F2202" w:rsidRDefault="00000000">
      <w:pPr>
        <w:pStyle w:val="NormalWeb"/>
        <w:jc w:val="both"/>
        <w:rPr>
          <w:rFonts w:ascii="Arial" w:eastAsia="sans-serif" w:hAnsi="Arial" w:cs="Arial"/>
          <w:sz w:val="20"/>
          <w:szCs w:val="20"/>
        </w:rPr>
      </w:pPr>
      <w:r>
        <w:rPr>
          <w:rFonts w:ascii="Arial" w:hAnsi="Arial" w:cs="Arial"/>
          <w:sz w:val="20"/>
          <w:szCs w:val="20"/>
        </w:rPr>
        <w:t xml:space="preserve">Large firms generally have stronger financial capacity, wider market access, and more stable operational performance compared to smaller companies. Such conditions allow large companies to maintain more consistent dividend distributions to shareholders. From the signaling theory perspective, dividend payments made by large companies may strengthen positive investor perceptions regarding financial security and long-term business sustainability. Investors are more likely to trust companies that not only possess substantial assets but also demonstrate financial stability through regular dividend payments. </w:t>
      </w:r>
      <w:r>
        <w:rPr>
          <w:rFonts w:ascii="Arial" w:eastAsia="sans-serif" w:hAnsi="Arial" w:cs="Arial"/>
          <w:sz w:val="20"/>
          <w:szCs w:val="20"/>
        </w:rPr>
        <w:t xml:space="preserve">Therefore, a company's dividend policy will likely strengthen the relationship between firm size and firm value. This is because investors may view consistent dividends as an indication of improved company performance and lower risk when they invest. According to a study by </w:t>
      </w:r>
      <w:proofErr w:type="spellStart"/>
      <w:r>
        <w:rPr>
          <w:rFonts w:ascii="Arial" w:eastAsia="sans-serif" w:hAnsi="Arial" w:cs="Arial"/>
          <w:sz w:val="20"/>
          <w:szCs w:val="20"/>
        </w:rPr>
        <w:t>Famalika</w:t>
      </w:r>
      <w:proofErr w:type="spellEnd"/>
      <w:r>
        <w:rPr>
          <w:rFonts w:ascii="Arial" w:eastAsia="sans-serif" w:hAnsi="Arial" w:cs="Arial"/>
          <w:sz w:val="20"/>
          <w:szCs w:val="20"/>
        </w:rPr>
        <w:t xml:space="preserve"> et al. (2025), a company's dividend policy can have an impact on the relationship between firm size and firm value.</w:t>
      </w:r>
    </w:p>
    <w:p w14:paraId="2904254C" w14:textId="77777777" w:rsidR="002F2202" w:rsidRDefault="00000000">
      <w:pPr>
        <w:pStyle w:val="NormalWeb"/>
        <w:jc w:val="both"/>
        <w:rPr>
          <w:rFonts w:ascii="Arial" w:hAnsi="Arial" w:cs="Arial"/>
          <w:sz w:val="20"/>
          <w:szCs w:val="20"/>
        </w:rPr>
      </w:pPr>
      <w:r>
        <w:rPr>
          <w:rFonts w:ascii="Arial" w:hAnsi="Arial" w:cs="Arial"/>
          <w:sz w:val="20"/>
          <w:szCs w:val="20"/>
        </w:rPr>
        <w:t>H</w:t>
      </w:r>
      <w:r>
        <w:rPr>
          <w:rFonts w:ascii="Arial" w:hAnsi="Arial" w:cs="Arial"/>
          <w:sz w:val="20"/>
          <w:szCs w:val="20"/>
          <w:lang w:val="id-ID"/>
        </w:rPr>
        <w:t>6</w:t>
      </w:r>
      <w:r>
        <w:rPr>
          <w:rFonts w:ascii="Arial" w:hAnsi="Arial" w:cs="Arial"/>
          <w:sz w:val="20"/>
          <w:szCs w:val="20"/>
        </w:rPr>
        <w:t xml:space="preserve">: Dividend policy moderates the effect of </w:t>
      </w:r>
      <w:r>
        <w:rPr>
          <w:rFonts w:ascii="Arial" w:hAnsi="Arial" w:cs="Arial"/>
          <w:sz w:val="20"/>
          <w:szCs w:val="20"/>
          <w:lang w:val="id-ID"/>
        </w:rPr>
        <w:t>firm size</w:t>
      </w:r>
      <w:r>
        <w:rPr>
          <w:rFonts w:ascii="Arial" w:hAnsi="Arial" w:cs="Arial"/>
          <w:sz w:val="20"/>
          <w:szCs w:val="20"/>
        </w:rPr>
        <w:t xml:space="preserve"> on firm value in food and beverage companies listed on the Indonesia Stock Exchange.</w:t>
      </w:r>
    </w:p>
    <w:p w14:paraId="1F179D11" w14:textId="77777777" w:rsidR="002F2202" w:rsidRDefault="00000000">
      <w:pPr>
        <w:pStyle w:val="NormalWeb"/>
        <w:spacing w:line="360" w:lineRule="auto"/>
        <w:jc w:val="center"/>
      </w:pPr>
      <w:r>
        <w:rPr>
          <w:noProof/>
        </w:rPr>
        <w:drawing>
          <wp:inline distT="0" distB="0" distL="114300" distR="114300" wp14:anchorId="7B37F3C5" wp14:editId="2C8FC0C8">
            <wp:extent cx="3767455" cy="2250440"/>
            <wp:effectExtent l="0" t="0" r="4445" b="1651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a:picLocks noChangeAspect="1"/>
                    </pic:cNvPicPr>
                  </pic:nvPicPr>
                  <pic:blipFill>
                    <a:blip r:embed="rId15"/>
                    <a:stretch>
                      <a:fillRect/>
                    </a:stretch>
                  </pic:blipFill>
                  <pic:spPr>
                    <a:xfrm>
                      <a:off x="0" y="0"/>
                      <a:ext cx="3767455" cy="2250440"/>
                    </a:xfrm>
                    <a:prstGeom prst="rect">
                      <a:avLst/>
                    </a:prstGeom>
                    <a:noFill/>
                    <a:ln>
                      <a:noFill/>
                    </a:ln>
                  </pic:spPr>
                </pic:pic>
              </a:graphicData>
            </a:graphic>
          </wp:inline>
        </w:drawing>
      </w:r>
    </w:p>
    <w:p w14:paraId="67F16173" w14:textId="77777777" w:rsidR="002F2202" w:rsidRDefault="00000000">
      <w:pPr>
        <w:pStyle w:val="NormalWeb"/>
        <w:spacing w:line="360" w:lineRule="auto"/>
        <w:jc w:val="center"/>
        <w:rPr>
          <w:rFonts w:ascii="Arial" w:hAnsi="Arial" w:cs="Arial"/>
          <w:b/>
          <w:bCs/>
          <w:sz w:val="20"/>
          <w:szCs w:val="20"/>
          <w:lang w:val="id-ID"/>
        </w:rPr>
      </w:pPr>
      <w:r>
        <w:rPr>
          <w:rFonts w:ascii="Arial" w:hAnsi="Arial" w:cs="Arial"/>
          <w:b/>
          <w:bCs/>
          <w:sz w:val="20"/>
          <w:szCs w:val="20"/>
          <w:lang w:val="id-ID"/>
        </w:rPr>
        <w:t>Fig 1. Conceptual framework of research</w:t>
      </w:r>
    </w:p>
    <w:p w14:paraId="32347589" w14:textId="77777777" w:rsidR="002F2202" w:rsidRDefault="00000000">
      <w:pPr>
        <w:pStyle w:val="NormalWeb"/>
        <w:jc w:val="both"/>
        <w:rPr>
          <w:rFonts w:ascii="Arial" w:hAnsi="Arial" w:cs="Arial"/>
          <w:sz w:val="20"/>
          <w:szCs w:val="20"/>
        </w:rPr>
      </w:pPr>
      <w:r>
        <w:rPr>
          <w:rFonts w:ascii="Arial" w:hAnsi="Arial" w:cs="Arial"/>
          <w:sz w:val="20"/>
          <w:szCs w:val="20"/>
        </w:rPr>
        <w:lastRenderedPageBreak/>
        <w:t>H1: Profitability positively affects firm value in food and beverage companies listed on the Indonesia Stock Exchange.</w:t>
      </w:r>
    </w:p>
    <w:p w14:paraId="218DCCCE" w14:textId="77777777" w:rsidR="002F2202" w:rsidRDefault="00000000">
      <w:pPr>
        <w:pStyle w:val="NormalWeb"/>
        <w:jc w:val="both"/>
        <w:rPr>
          <w:rFonts w:ascii="Arial" w:hAnsi="Arial" w:cs="Arial"/>
          <w:sz w:val="20"/>
          <w:szCs w:val="20"/>
        </w:rPr>
      </w:pPr>
      <w:r>
        <w:rPr>
          <w:rFonts w:ascii="Arial" w:hAnsi="Arial" w:cs="Arial"/>
          <w:sz w:val="20"/>
          <w:szCs w:val="20"/>
        </w:rPr>
        <w:t>H</w:t>
      </w:r>
      <w:r>
        <w:rPr>
          <w:rFonts w:ascii="Arial" w:hAnsi="Arial" w:cs="Arial"/>
          <w:sz w:val="20"/>
          <w:szCs w:val="20"/>
          <w:lang w:val="id-ID"/>
        </w:rPr>
        <w:t>2</w:t>
      </w:r>
      <w:r>
        <w:rPr>
          <w:rFonts w:ascii="Arial" w:hAnsi="Arial" w:cs="Arial"/>
          <w:sz w:val="20"/>
          <w:szCs w:val="20"/>
        </w:rPr>
        <w:t xml:space="preserve">: </w:t>
      </w:r>
      <w:r>
        <w:rPr>
          <w:rFonts w:ascii="Arial" w:hAnsi="Arial" w:cs="Arial"/>
          <w:sz w:val="20"/>
          <w:szCs w:val="20"/>
          <w:lang w:val="id-ID"/>
        </w:rPr>
        <w:t>Likuidity</w:t>
      </w:r>
      <w:r>
        <w:rPr>
          <w:rFonts w:ascii="Arial" w:hAnsi="Arial" w:cs="Arial"/>
          <w:sz w:val="20"/>
          <w:szCs w:val="20"/>
        </w:rPr>
        <w:t xml:space="preserve"> positively affects firm value in food and beverage companies listed on the Indonesia Stock Exchange.</w:t>
      </w:r>
    </w:p>
    <w:p w14:paraId="57F6D1FA" w14:textId="77777777" w:rsidR="002F2202" w:rsidRDefault="00000000">
      <w:pPr>
        <w:pStyle w:val="NormalWeb"/>
        <w:jc w:val="both"/>
        <w:rPr>
          <w:rFonts w:ascii="Arial" w:hAnsi="Arial" w:cs="Arial"/>
          <w:sz w:val="20"/>
          <w:szCs w:val="20"/>
        </w:rPr>
      </w:pPr>
      <w:r>
        <w:rPr>
          <w:rFonts w:ascii="Arial" w:hAnsi="Arial" w:cs="Arial"/>
          <w:sz w:val="20"/>
          <w:szCs w:val="20"/>
        </w:rPr>
        <w:t>H</w:t>
      </w:r>
      <w:r>
        <w:rPr>
          <w:rFonts w:ascii="Arial" w:hAnsi="Arial" w:cs="Arial"/>
          <w:sz w:val="20"/>
          <w:szCs w:val="20"/>
          <w:lang w:val="id-ID"/>
        </w:rPr>
        <w:t>3</w:t>
      </w:r>
      <w:r>
        <w:rPr>
          <w:rFonts w:ascii="Arial" w:hAnsi="Arial" w:cs="Arial"/>
          <w:sz w:val="20"/>
          <w:szCs w:val="20"/>
        </w:rPr>
        <w:t xml:space="preserve">: </w:t>
      </w:r>
      <w:r>
        <w:rPr>
          <w:rFonts w:ascii="Arial" w:hAnsi="Arial" w:cs="Arial"/>
          <w:sz w:val="20"/>
          <w:szCs w:val="20"/>
          <w:lang w:val="id-ID"/>
        </w:rPr>
        <w:t>Firm size</w:t>
      </w:r>
      <w:r>
        <w:rPr>
          <w:rFonts w:ascii="Arial" w:hAnsi="Arial" w:cs="Arial"/>
          <w:sz w:val="20"/>
          <w:szCs w:val="20"/>
        </w:rPr>
        <w:t xml:space="preserve"> positively affects firm value in food and beverage companies listed on the Indonesia Stock Exchange.</w:t>
      </w:r>
    </w:p>
    <w:p w14:paraId="32E2472D" w14:textId="77777777" w:rsidR="002F2202" w:rsidRDefault="00000000">
      <w:pPr>
        <w:pStyle w:val="NormalWeb"/>
        <w:jc w:val="both"/>
        <w:rPr>
          <w:rFonts w:ascii="Arial" w:hAnsi="Arial" w:cs="Arial"/>
          <w:sz w:val="20"/>
          <w:szCs w:val="20"/>
        </w:rPr>
      </w:pPr>
      <w:r>
        <w:rPr>
          <w:rFonts w:ascii="Arial" w:hAnsi="Arial" w:cs="Arial"/>
          <w:sz w:val="20"/>
          <w:szCs w:val="20"/>
        </w:rPr>
        <w:t>H4: Dividend policy moderates the effect of profitability on firm value in food and beverage companies listed on the Indonesia Stock Exchange.</w:t>
      </w:r>
    </w:p>
    <w:p w14:paraId="2DD15DA5" w14:textId="77777777" w:rsidR="002F2202" w:rsidRDefault="00000000">
      <w:pPr>
        <w:pStyle w:val="NormalWeb"/>
        <w:jc w:val="both"/>
        <w:rPr>
          <w:rFonts w:ascii="Arial" w:hAnsi="Arial" w:cs="Arial"/>
          <w:sz w:val="20"/>
          <w:szCs w:val="20"/>
        </w:rPr>
      </w:pPr>
      <w:r>
        <w:rPr>
          <w:rFonts w:ascii="Arial" w:hAnsi="Arial" w:cs="Arial"/>
          <w:sz w:val="20"/>
          <w:szCs w:val="20"/>
        </w:rPr>
        <w:t>H</w:t>
      </w:r>
      <w:r>
        <w:rPr>
          <w:rFonts w:ascii="Arial" w:hAnsi="Arial" w:cs="Arial"/>
          <w:sz w:val="20"/>
          <w:szCs w:val="20"/>
          <w:lang w:val="id-ID"/>
        </w:rPr>
        <w:t>5</w:t>
      </w:r>
      <w:r>
        <w:rPr>
          <w:rFonts w:ascii="Arial" w:hAnsi="Arial" w:cs="Arial"/>
          <w:sz w:val="20"/>
          <w:szCs w:val="20"/>
        </w:rPr>
        <w:t xml:space="preserve">: Dividend policy moderates the effect of </w:t>
      </w:r>
      <w:r>
        <w:rPr>
          <w:rFonts w:ascii="Arial" w:hAnsi="Arial" w:cs="Arial"/>
          <w:sz w:val="20"/>
          <w:szCs w:val="20"/>
          <w:lang w:val="id-ID"/>
        </w:rPr>
        <w:t>likuidity</w:t>
      </w:r>
      <w:r>
        <w:rPr>
          <w:rFonts w:ascii="Arial" w:hAnsi="Arial" w:cs="Arial"/>
          <w:sz w:val="20"/>
          <w:szCs w:val="20"/>
        </w:rPr>
        <w:t xml:space="preserve"> on firm value in food and beverage companies listed on the Indonesia Stock Exchange.</w:t>
      </w:r>
    </w:p>
    <w:p w14:paraId="540243AE" w14:textId="77777777" w:rsidR="002F2202" w:rsidRDefault="00000000">
      <w:pPr>
        <w:pStyle w:val="NormalWeb"/>
        <w:jc w:val="both"/>
        <w:rPr>
          <w:rFonts w:ascii="Arial" w:hAnsi="Arial" w:cs="Arial"/>
          <w:sz w:val="20"/>
          <w:szCs w:val="20"/>
        </w:rPr>
      </w:pPr>
      <w:r>
        <w:rPr>
          <w:rFonts w:ascii="Arial" w:hAnsi="Arial" w:cs="Arial"/>
          <w:sz w:val="20"/>
          <w:szCs w:val="20"/>
        </w:rPr>
        <w:t>H</w:t>
      </w:r>
      <w:r>
        <w:rPr>
          <w:rFonts w:ascii="Arial" w:hAnsi="Arial" w:cs="Arial"/>
          <w:sz w:val="20"/>
          <w:szCs w:val="20"/>
          <w:lang w:val="id-ID"/>
        </w:rPr>
        <w:t>6</w:t>
      </w:r>
      <w:r>
        <w:rPr>
          <w:rFonts w:ascii="Arial" w:hAnsi="Arial" w:cs="Arial"/>
          <w:sz w:val="20"/>
          <w:szCs w:val="20"/>
        </w:rPr>
        <w:t xml:space="preserve">: Dividend policy moderates the effect of </w:t>
      </w:r>
      <w:r>
        <w:rPr>
          <w:rFonts w:ascii="Arial" w:hAnsi="Arial" w:cs="Arial"/>
          <w:sz w:val="20"/>
          <w:szCs w:val="20"/>
          <w:lang w:val="id-ID"/>
        </w:rPr>
        <w:t>firm size</w:t>
      </w:r>
      <w:r>
        <w:rPr>
          <w:rFonts w:ascii="Arial" w:hAnsi="Arial" w:cs="Arial"/>
          <w:sz w:val="20"/>
          <w:szCs w:val="20"/>
        </w:rPr>
        <w:t xml:space="preserve"> on firm value in food and beverage companies listed on the Indonesia Stock Exchange.</w:t>
      </w:r>
    </w:p>
    <w:p w14:paraId="75EB41A6" w14:textId="77777777" w:rsidR="002F2202" w:rsidRDefault="00000000">
      <w:pPr>
        <w:pStyle w:val="Head1"/>
        <w:spacing w:after="0" w:line="360" w:lineRule="auto"/>
        <w:jc w:val="both"/>
        <w:rPr>
          <w:rFonts w:ascii="Arial" w:hAnsi="Arial" w:cs="Arial"/>
          <w:lang w:val="id-ID"/>
        </w:rPr>
      </w:pPr>
      <w:r>
        <w:rPr>
          <w:rFonts w:ascii="Arial" w:hAnsi="Arial" w:cs="Arial"/>
          <w:lang w:val="id-ID"/>
        </w:rPr>
        <w:t>2.3 METHODS</w:t>
      </w:r>
    </w:p>
    <w:p w14:paraId="5D427C88" w14:textId="77777777" w:rsidR="002F2202" w:rsidRDefault="00000000">
      <w:pPr>
        <w:pStyle w:val="Head1"/>
        <w:spacing w:after="0" w:line="360" w:lineRule="auto"/>
        <w:jc w:val="both"/>
        <w:rPr>
          <w:rFonts w:ascii="Arial" w:hAnsi="Arial" w:cs="Arial"/>
          <w:u w:val="single"/>
          <w:lang w:val="id-ID"/>
        </w:rPr>
      </w:pPr>
      <w:r>
        <w:rPr>
          <w:rFonts w:ascii="Arial" w:hAnsi="Arial" w:cs="Arial"/>
          <w:u w:val="single"/>
          <w:lang w:val="id-ID"/>
        </w:rPr>
        <w:t>2.3.1 Population And Sample</w:t>
      </w:r>
    </w:p>
    <w:p w14:paraId="5AB057BA" w14:textId="77777777" w:rsidR="002F2202" w:rsidRDefault="002F2202">
      <w:pPr>
        <w:pStyle w:val="Head1"/>
        <w:spacing w:after="0" w:line="360" w:lineRule="auto"/>
        <w:jc w:val="both"/>
        <w:rPr>
          <w:rFonts w:ascii="Arial" w:hAnsi="Arial" w:cs="Arial"/>
          <w:u w:val="single"/>
          <w:lang w:val="id-ID"/>
        </w:rPr>
      </w:pPr>
    </w:p>
    <w:p w14:paraId="3A22711C" w14:textId="77777777" w:rsidR="002F2202" w:rsidRDefault="00000000">
      <w:pPr>
        <w:pStyle w:val="Body"/>
        <w:spacing w:after="0"/>
        <w:rPr>
          <w:rFonts w:ascii="Arial" w:eastAsia="SimSun" w:hAnsi="Arial" w:cs="Arial"/>
          <w:lang w:val="id-ID" w:eastAsia="zh-CN"/>
        </w:rPr>
      </w:pPr>
      <w:r>
        <w:rPr>
          <w:rFonts w:ascii="Arial" w:eastAsia="sans-serif" w:hAnsi="Arial" w:cs="Arial"/>
        </w:rPr>
        <w:t>120 sets of observational data were first gathered for this study from food and beverage companies listed between 202</w:t>
      </w:r>
      <w:r>
        <w:rPr>
          <w:rFonts w:ascii="Arial" w:eastAsia="sans-serif" w:hAnsi="Arial" w:cs="Arial"/>
          <w:lang w:val="id-ID"/>
        </w:rPr>
        <w:t>1-</w:t>
      </w:r>
      <w:r>
        <w:rPr>
          <w:rFonts w:ascii="Arial" w:eastAsia="sans-serif" w:hAnsi="Arial" w:cs="Arial"/>
        </w:rPr>
        <w:t>2024 on the Indonesia Stock Exchange. The method used was purposive sampling, which relied on a few specific criteria that were determined in advance.</w:t>
      </w:r>
      <w:r>
        <w:rPr>
          <w:rFonts w:ascii="Arial" w:eastAsia="SimSun" w:hAnsi="Arial" w:cs="Arial"/>
          <w:lang w:val="id-ID" w:eastAsia="zh-CN"/>
        </w:rPr>
        <w:t xml:space="preserve"> Companies who regularly released yearly financial reports and paid dividends during the observation period met the requirements. 30 businesses were chosen as research samples based on the sampling procedure. Initially, the study collected 120 observational data points from financial records spanning four years. Nevertheless, 43 observational data were eliminated following the outlier testing procedure since they had extreme values that would have compromised the regression analysis's accuracy. Consequently, 77 pooled panel observations were the total number of observations employed in this investigation. Outlier testing was conducted to identify extreme data that could potentially distort the regression results and affect the accuracy of statistical observations containing extreme values, while the companies remained part of the research sample.</w:t>
      </w:r>
    </w:p>
    <w:p w14:paraId="565A0049" w14:textId="77777777" w:rsidR="002F2202" w:rsidRDefault="002F2202">
      <w:pPr>
        <w:pStyle w:val="Body"/>
        <w:spacing w:after="0"/>
        <w:rPr>
          <w:rFonts w:ascii="Arial" w:eastAsia="SimSun" w:hAnsi="Arial" w:cs="Arial"/>
          <w:lang w:val="id-ID" w:eastAsia="zh-CN"/>
        </w:rPr>
      </w:pPr>
    </w:p>
    <w:p w14:paraId="55C9C470" w14:textId="77777777" w:rsidR="002F2202" w:rsidRDefault="00000000">
      <w:pPr>
        <w:pStyle w:val="Body"/>
        <w:spacing w:after="0" w:line="360" w:lineRule="auto"/>
        <w:rPr>
          <w:rFonts w:ascii="Arial" w:eastAsia="SimSun" w:hAnsi="Arial" w:cs="Arial"/>
          <w:b/>
          <w:bCs/>
          <w:sz w:val="22"/>
          <w:szCs w:val="22"/>
          <w:u w:val="single"/>
          <w:lang w:val="id-ID" w:eastAsia="zh-CN"/>
        </w:rPr>
      </w:pPr>
      <w:r>
        <w:rPr>
          <w:rFonts w:ascii="Arial" w:eastAsia="SimSun" w:hAnsi="Arial" w:cs="Arial"/>
          <w:b/>
          <w:bCs/>
          <w:sz w:val="22"/>
          <w:szCs w:val="22"/>
          <w:u w:val="single"/>
          <w:lang w:val="id-ID" w:eastAsia="zh-CN"/>
        </w:rPr>
        <w:t>2.3.2 OPERATIONAL DEFINITION OF VARIABLES</w:t>
      </w:r>
    </w:p>
    <w:p w14:paraId="3881E750" w14:textId="77777777" w:rsidR="002F2202" w:rsidRDefault="002F2202">
      <w:pPr>
        <w:pStyle w:val="Body"/>
        <w:spacing w:after="0" w:line="360" w:lineRule="auto"/>
        <w:rPr>
          <w:rFonts w:ascii="Arial" w:eastAsia="SimSun" w:hAnsi="Arial" w:cs="Arial"/>
          <w:b/>
          <w:bCs/>
          <w:sz w:val="22"/>
          <w:szCs w:val="22"/>
          <w:u w:val="single"/>
          <w:lang w:val="id-ID" w:eastAsia="zh-CN"/>
        </w:rPr>
      </w:pPr>
    </w:p>
    <w:p w14:paraId="6A93ADBE" w14:textId="77777777" w:rsidR="002F2202" w:rsidRDefault="00000000">
      <w:pPr>
        <w:pStyle w:val="Body"/>
        <w:spacing w:after="0"/>
        <w:rPr>
          <w:rFonts w:ascii="Arial" w:eastAsia="SimSun" w:hAnsi="Arial" w:cs="Arial"/>
          <w:lang w:val="id-ID" w:eastAsia="zh-CN"/>
        </w:rPr>
      </w:pPr>
      <w:r>
        <w:rPr>
          <w:rFonts w:ascii="Arial" w:eastAsia="sans-serif" w:hAnsi="Arial" w:cs="Arial"/>
        </w:rPr>
        <w:t xml:space="preserve">This study looked at firm value as the main outcome we were interested in. We also considered profitability, liquidity, and firm size as factors that could influence this outcome. We also </w:t>
      </w:r>
      <w:proofErr w:type="gramStart"/>
      <w:r>
        <w:rPr>
          <w:rFonts w:ascii="Arial" w:eastAsia="sans-serif" w:hAnsi="Arial" w:cs="Arial"/>
        </w:rPr>
        <w:t>looked into</w:t>
      </w:r>
      <w:proofErr w:type="gramEnd"/>
      <w:r>
        <w:rPr>
          <w:rFonts w:ascii="Arial" w:eastAsia="sans-serif" w:hAnsi="Arial" w:cs="Arial"/>
        </w:rPr>
        <w:t xml:space="preserve"> how the dividend policy could influence the connection between these factors and the </w:t>
      </w:r>
      <w:r>
        <w:rPr>
          <w:rFonts w:ascii="Arial" w:eastAsia="sans-serif" w:hAnsi="Arial" w:cs="Arial"/>
          <w:lang w:val="id-ID"/>
        </w:rPr>
        <w:t>firm</w:t>
      </w:r>
      <w:r>
        <w:rPr>
          <w:rFonts w:ascii="Arial" w:eastAsia="sans-serif" w:hAnsi="Arial" w:cs="Arial"/>
        </w:rPr>
        <w:t xml:space="preserve"> value. Table 1 displays the definitions that explain how we understand and measure the different variables.</w:t>
      </w:r>
    </w:p>
    <w:p w14:paraId="3E7D4F61" w14:textId="77777777" w:rsidR="002F2202" w:rsidRDefault="002F2202">
      <w:pPr>
        <w:pStyle w:val="Body"/>
        <w:spacing w:after="0"/>
        <w:rPr>
          <w:rFonts w:ascii="Arial" w:eastAsia="SimSun" w:hAnsi="Arial" w:cs="Arial"/>
          <w:lang w:val="id-ID" w:eastAsia="zh-CN"/>
        </w:rPr>
      </w:pPr>
    </w:p>
    <w:p w14:paraId="685B11A8" w14:textId="77777777" w:rsidR="002F2202" w:rsidRDefault="002F2202">
      <w:pPr>
        <w:pStyle w:val="Body"/>
        <w:spacing w:after="0"/>
        <w:rPr>
          <w:rFonts w:ascii="Arial" w:eastAsia="SimSun" w:hAnsi="Arial" w:cs="Arial"/>
          <w:lang w:val="id-ID" w:eastAsia="zh-CN"/>
        </w:rPr>
      </w:pPr>
    </w:p>
    <w:p w14:paraId="08C13692" w14:textId="77777777" w:rsidR="002F2202" w:rsidRDefault="002F2202">
      <w:pPr>
        <w:pStyle w:val="Body"/>
        <w:spacing w:after="0"/>
        <w:rPr>
          <w:rFonts w:ascii="Arial" w:eastAsia="SimSun" w:hAnsi="Arial" w:cs="Arial"/>
          <w:lang w:val="id-ID" w:eastAsia="zh-CN"/>
        </w:rPr>
      </w:pPr>
    </w:p>
    <w:p w14:paraId="77573F06" w14:textId="77777777" w:rsidR="002F2202" w:rsidRDefault="002F2202">
      <w:pPr>
        <w:pStyle w:val="Body"/>
        <w:spacing w:after="0"/>
        <w:rPr>
          <w:rFonts w:ascii="Arial" w:eastAsia="SimSun" w:hAnsi="Arial" w:cs="Arial"/>
          <w:lang w:val="id-ID" w:eastAsia="zh-CN"/>
        </w:rPr>
      </w:pPr>
    </w:p>
    <w:p w14:paraId="6919CE06" w14:textId="77777777" w:rsidR="002F2202" w:rsidRDefault="002F2202">
      <w:pPr>
        <w:pStyle w:val="Body"/>
        <w:spacing w:after="0"/>
        <w:rPr>
          <w:rFonts w:ascii="Arial" w:eastAsia="SimSun" w:hAnsi="Arial" w:cs="Arial"/>
          <w:lang w:val="id-ID" w:eastAsia="zh-CN"/>
        </w:rPr>
      </w:pPr>
    </w:p>
    <w:p w14:paraId="1E01BE55" w14:textId="77777777" w:rsidR="002F2202" w:rsidRDefault="002F2202">
      <w:pPr>
        <w:pStyle w:val="Body"/>
        <w:spacing w:after="0"/>
        <w:rPr>
          <w:rFonts w:ascii="Arial" w:eastAsia="SimSun" w:hAnsi="Arial" w:cs="Arial"/>
          <w:lang w:val="id-ID" w:eastAsia="zh-CN"/>
        </w:rPr>
      </w:pPr>
    </w:p>
    <w:p w14:paraId="43EF89E9" w14:textId="77777777" w:rsidR="002F2202" w:rsidRDefault="002F2202">
      <w:pPr>
        <w:pStyle w:val="Body"/>
        <w:spacing w:after="0"/>
        <w:rPr>
          <w:rFonts w:ascii="Arial" w:eastAsia="SimSun" w:hAnsi="Arial" w:cs="Arial"/>
          <w:lang w:val="id-ID" w:eastAsia="zh-CN"/>
        </w:rPr>
      </w:pPr>
    </w:p>
    <w:p w14:paraId="578A90FA" w14:textId="77777777" w:rsidR="002F2202" w:rsidRDefault="002F2202">
      <w:pPr>
        <w:pStyle w:val="Body"/>
        <w:spacing w:after="0"/>
        <w:rPr>
          <w:rFonts w:ascii="Arial" w:eastAsia="SimSun" w:hAnsi="Arial" w:cs="Arial"/>
          <w:lang w:val="id-ID" w:eastAsia="zh-CN"/>
        </w:rPr>
      </w:pPr>
    </w:p>
    <w:p w14:paraId="79E89EC8" w14:textId="77777777" w:rsidR="002F2202" w:rsidRDefault="002F2202">
      <w:pPr>
        <w:pStyle w:val="Body"/>
        <w:spacing w:after="0"/>
        <w:rPr>
          <w:rFonts w:ascii="Arial" w:eastAsia="SimSun" w:hAnsi="Arial" w:cs="Arial"/>
          <w:lang w:val="id-ID" w:eastAsia="zh-CN"/>
        </w:rPr>
      </w:pPr>
    </w:p>
    <w:tbl>
      <w:tblPr>
        <w:tblStyle w:val="TableGrid"/>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3178"/>
        <w:gridCol w:w="3288"/>
      </w:tblGrid>
      <w:tr w:rsidR="002F2202" w14:paraId="4A17B935" w14:textId="77777777">
        <w:trPr>
          <w:trHeight w:val="459"/>
          <w:jc w:val="center"/>
        </w:trPr>
        <w:tc>
          <w:tcPr>
            <w:tcW w:w="1992" w:type="dxa"/>
            <w:tcBorders>
              <w:left w:val="nil"/>
              <w:right w:val="nil"/>
            </w:tcBorders>
            <w:vAlign w:val="center"/>
          </w:tcPr>
          <w:p w14:paraId="6C20684C" w14:textId="77777777" w:rsidR="002F2202" w:rsidRDefault="00000000">
            <w:pPr>
              <w:pStyle w:val="Body"/>
              <w:spacing w:after="0" w:line="360" w:lineRule="auto"/>
              <w:jc w:val="center"/>
              <w:rPr>
                <w:rFonts w:ascii="Arial" w:eastAsia="SimSun" w:hAnsi="Arial" w:cs="Arial"/>
                <w:b/>
                <w:bCs/>
                <w:lang w:val="id-ID" w:eastAsia="zh-CN"/>
              </w:rPr>
            </w:pPr>
            <w:r>
              <w:rPr>
                <w:rFonts w:ascii="Arial" w:eastAsia="SimSun" w:hAnsi="Arial" w:cs="Arial"/>
                <w:b/>
                <w:bCs/>
                <w:lang w:val="id-ID" w:eastAsia="zh-CN"/>
              </w:rPr>
              <w:t>Variable</w:t>
            </w:r>
          </w:p>
        </w:tc>
        <w:tc>
          <w:tcPr>
            <w:tcW w:w="3178" w:type="dxa"/>
            <w:tcBorders>
              <w:left w:val="nil"/>
              <w:right w:val="nil"/>
            </w:tcBorders>
            <w:vAlign w:val="center"/>
          </w:tcPr>
          <w:p w14:paraId="324E1F60" w14:textId="77777777" w:rsidR="002F2202" w:rsidRDefault="00000000">
            <w:pPr>
              <w:pStyle w:val="Body"/>
              <w:spacing w:after="0" w:line="360" w:lineRule="auto"/>
              <w:jc w:val="center"/>
              <w:rPr>
                <w:rFonts w:ascii="Arial" w:eastAsia="SimSun" w:hAnsi="Arial" w:cs="Arial"/>
                <w:b/>
                <w:bCs/>
                <w:lang w:val="id-ID" w:eastAsia="zh-CN"/>
              </w:rPr>
            </w:pPr>
            <w:r>
              <w:rPr>
                <w:rFonts w:ascii="Arial" w:eastAsia="SimSun" w:hAnsi="Arial" w:cs="Arial"/>
                <w:b/>
                <w:bCs/>
                <w:lang w:val="id-ID" w:eastAsia="zh-CN"/>
              </w:rPr>
              <w:t>Proxy</w:t>
            </w:r>
          </w:p>
        </w:tc>
        <w:tc>
          <w:tcPr>
            <w:tcW w:w="3288" w:type="dxa"/>
            <w:tcBorders>
              <w:left w:val="nil"/>
              <w:right w:val="nil"/>
            </w:tcBorders>
            <w:vAlign w:val="center"/>
          </w:tcPr>
          <w:p w14:paraId="7A1671C6" w14:textId="77777777" w:rsidR="002F2202" w:rsidRDefault="00000000">
            <w:pPr>
              <w:pStyle w:val="Body"/>
              <w:spacing w:after="0" w:line="360" w:lineRule="auto"/>
              <w:jc w:val="center"/>
              <w:rPr>
                <w:rFonts w:ascii="Arial" w:eastAsia="SimSun" w:hAnsi="Arial" w:cs="Arial"/>
                <w:b/>
                <w:bCs/>
                <w:lang w:val="id-ID" w:eastAsia="zh-CN"/>
              </w:rPr>
            </w:pPr>
            <w:r>
              <w:rPr>
                <w:rFonts w:ascii="Arial" w:eastAsia="SimSun" w:hAnsi="Arial" w:cs="Arial"/>
                <w:b/>
                <w:bCs/>
                <w:lang w:val="id-ID" w:eastAsia="zh-CN"/>
              </w:rPr>
              <w:t>Measurement Formula</w:t>
            </w:r>
          </w:p>
        </w:tc>
      </w:tr>
      <w:tr w:rsidR="002F2202" w14:paraId="20C99464" w14:textId="77777777">
        <w:trPr>
          <w:trHeight w:val="1004"/>
          <w:jc w:val="center"/>
        </w:trPr>
        <w:tc>
          <w:tcPr>
            <w:tcW w:w="1992" w:type="dxa"/>
            <w:tcBorders>
              <w:left w:val="nil"/>
              <w:right w:val="nil"/>
            </w:tcBorders>
            <w:vAlign w:val="center"/>
          </w:tcPr>
          <w:p w14:paraId="0B28FEE6" w14:textId="77777777" w:rsidR="002F2202" w:rsidRDefault="00000000">
            <w:pPr>
              <w:pStyle w:val="Body"/>
              <w:spacing w:after="0" w:line="360" w:lineRule="auto"/>
              <w:jc w:val="center"/>
              <w:rPr>
                <w:rFonts w:ascii="Arial" w:eastAsia="SimSun" w:hAnsi="Arial" w:cs="Arial"/>
                <w:lang w:val="id-ID" w:eastAsia="zh-CN"/>
              </w:rPr>
            </w:pPr>
            <w:r>
              <w:rPr>
                <w:rFonts w:ascii="Arial" w:eastAsia="SimSun" w:hAnsi="Arial" w:cs="Arial"/>
                <w:lang w:val="id-ID" w:eastAsia="zh-CN"/>
              </w:rPr>
              <w:t>Firm Vaue (Y)</w:t>
            </w:r>
          </w:p>
        </w:tc>
        <w:tc>
          <w:tcPr>
            <w:tcW w:w="3178" w:type="dxa"/>
            <w:tcBorders>
              <w:left w:val="nil"/>
              <w:right w:val="nil"/>
            </w:tcBorders>
            <w:vAlign w:val="center"/>
          </w:tcPr>
          <w:p w14:paraId="3EC76C76" w14:textId="77777777" w:rsidR="002F2202" w:rsidRDefault="00000000">
            <w:pPr>
              <w:pStyle w:val="Body"/>
              <w:spacing w:after="0" w:line="360" w:lineRule="auto"/>
              <w:jc w:val="center"/>
              <w:rPr>
                <w:rFonts w:ascii="Arial" w:eastAsia="SimSun" w:hAnsi="Arial" w:cs="Arial"/>
                <w:lang w:val="id-ID" w:eastAsia="zh-CN"/>
              </w:rPr>
            </w:pPr>
            <w:r>
              <w:rPr>
                <w:rFonts w:ascii="Arial" w:eastAsia="SimSun" w:hAnsi="Arial" w:cs="Arial"/>
                <w:lang w:val="id-ID" w:eastAsia="zh-CN"/>
              </w:rPr>
              <w:t>Price to Book Value</w:t>
            </w:r>
          </w:p>
        </w:tc>
        <w:tc>
          <w:tcPr>
            <w:tcW w:w="3288" w:type="dxa"/>
            <w:tcBorders>
              <w:left w:val="nil"/>
              <w:right w:val="nil"/>
            </w:tcBorders>
          </w:tcPr>
          <w:p w14:paraId="0398B979" w14:textId="77777777" w:rsidR="002F2202" w:rsidRDefault="002F2202">
            <w:pPr>
              <w:pStyle w:val="Body"/>
              <w:spacing w:after="0" w:line="360" w:lineRule="auto"/>
              <w:rPr>
                <w:rFonts w:hAnsi="Cambria Math" w:cs="Arial"/>
                <w:lang w:val="id-ID"/>
              </w:rPr>
            </w:pPr>
          </w:p>
          <w:p w14:paraId="150FF8D4" w14:textId="77777777" w:rsidR="002F2202" w:rsidRDefault="00000000">
            <w:pPr>
              <w:pStyle w:val="Body"/>
              <w:spacing w:after="0" w:line="360" w:lineRule="auto"/>
              <w:rPr>
                <w:rFonts w:ascii="Arial" w:eastAsia="SimSun" w:hAnsi="Arial" w:cs="Arial"/>
                <w:lang w:val="id-ID" w:eastAsia="zh-CN"/>
              </w:rPr>
            </w:pPr>
            <m:oMathPara>
              <m:oMath>
                <m:f>
                  <m:fPr>
                    <m:ctrlPr>
                      <w:rPr>
                        <w:rFonts w:ascii="Cambria Math" w:hAnsi="Cambria Math" w:cs="Cambria Math"/>
                        <w:i/>
                        <w:lang w:val="id-ID"/>
                      </w:rPr>
                    </m:ctrlPr>
                  </m:fPr>
                  <m:num>
                    <m:r>
                      <w:rPr>
                        <w:rFonts w:ascii="Cambria Math" w:hAnsi="Cambria Math" w:cs="Cambria Math"/>
                        <w:lang w:val="id-ID"/>
                      </w:rPr>
                      <m:t>Market per share</m:t>
                    </m:r>
                  </m:num>
                  <m:den>
                    <m:r>
                      <w:rPr>
                        <w:rFonts w:ascii="Cambria Math" w:hAnsi="Cambria Math" w:cs="Cambria Math"/>
                        <w:lang w:val="id-ID"/>
                      </w:rPr>
                      <m:t>Book Value per Share</m:t>
                    </m:r>
                  </m:den>
                </m:f>
              </m:oMath>
            </m:oMathPara>
          </w:p>
        </w:tc>
      </w:tr>
      <w:tr w:rsidR="002F2202" w14:paraId="21E1DCDD" w14:textId="77777777">
        <w:trPr>
          <w:trHeight w:val="574"/>
          <w:jc w:val="center"/>
        </w:trPr>
        <w:tc>
          <w:tcPr>
            <w:tcW w:w="1992" w:type="dxa"/>
            <w:tcBorders>
              <w:left w:val="nil"/>
              <w:right w:val="nil"/>
            </w:tcBorders>
            <w:vAlign w:val="center"/>
          </w:tcPr>
          <w:p w14:paraId="704E7CB8" w14:textId="77777777" w:rsidR="002F2202" w:rsidRDefault="00000000">
            <w:pPr>
              <w:pStyle w:val="Body"/>
              <w:spacing w:after="0" w:line="360" w:lineRule="auto"/>
              <w:jc w:val="center"/>
              <w:rPr>
                <w:rFonts w:ascii="Arial" w:eastAsia="SimSun" w:hAnsi="Arial" w:cs="Arial"/>
                <w:lang w:val="id-ID" w:eastAsia="zh-CN"/>
              </w:rPr>
            </w:pPr>
            <w:r>
              <w:rPr>
                <w:rFonts w:ascii="Arial" w:eastAsia="SimSun" w:hAnsi="Arial" w:cs="Arial"/>
                <w:lang w:val="id-ID" w:eastAsia="zh-CN"/>
              </w:rPr>
              <w:t>Profitability (X1)</w:t>
            </w:r>
          </w:p>
        </w:tc>
        <w:tc>
          <w:tcPr>
            <w:tcW w:w="3178" w:type="dxa"/>
            <w:tcBorders>
              <w:left w:val="nil"/>
              <w:right w:val="nil"/>
            </w:tcBorders>
            <w:vAlign w:val="center"/>
          </w:tcPr>
          <w:p w14:paraId="0E13881F" w14:textId="77777777" w:rsidR="002F2202" w:rsidRDefault="00000000">
            <w:pPr>
              <w:pStyle w:val="Body"/>
              <w:spacing w:after="0" w:line="360" w:lineRule="auto"/>
              <w:jc w:val="center"/>
              <w:rPr>
                <w:rFonts w:ascii="Arial" w:eastAsia="SimSun" w:hAnsi="Arial" w:cs="Arial"/>
                <w:lang w:val="id-ID" w:eastAsia="zh-CN"/>
              </w:rPr>
            </w:pPr>
            <w:r>
              <w:rPr>
                <w:rFonts w:ascii="Arial" w:eastAsia="SimSun" w:hAnsi="Arial" w:cs="Arial"/>
                <w:lang w:val="id-ID" w:eastAsia="zh-CN"/>
              </w:rPr>
              <w:t>Return on Equity</w:t>
            </w:r>
          </w:p>
        </w:tc>
        <w:tc>
          <w:tcPr>
            <w:tcW w:w="3288" w:type="dxa"/>
            <w:tcBorders>
              <w:left w:val="nil"/>
              <w:right w:val="nil"/>
            </w:tcBorders>
          </w:tcPr>
          <w:p w14:paraId="1E59C8AF" w14:textId="77777777" w:rsidR="002F2202" w:rsidRDefault="002F2202">
            <w:pPr>
              <w:pStyle w:val="Body"/>
              <w:spacing w:after="0" w:line="360" w:lineRule="auto"/>
              <w:rPr>
                <w:rFonts w:hAnsi="Cambria Math" w:cs="Arial"/>
                <w:lang w:val="id-ID"/>
              </w:rPr>
            </w:pPr>
          </w:p>
          <w:p w14:paraId="7574969F" w14:textId="77777777" w:rsidR="002F2202" w:rsidRDefault="00000000">
            <w:pPr>
              <w:pStyle w:val="Body"/>
              <w:spacing w:after="0" w:line="360" w:lineRule="auto"/>
              <w:rPr>
                <w:rFonts w:hAnsi="Cambria Math" w:cs="Arial"/>
                <w:lang w:val="id-ID"/>
              </w:rPr>
            </w:pPr>
            <m:oMathPara>
              <m:oMath>
                <m:f>
                  <m:fPr>
                    <m:ctrlPr>
                      <w:rPr>
                        <w:rFonts w:ascii="Cambria Math" w:hAnsi="Cambria Math" w:cs="Arial"/>
                        <w:i/>
                        <w:lang w:val="id-ID"/>
                      </w:rPr>
                    </m:ctrlPr>
                  </m:fPr>
                  <m:num>
                    <m:r>
                      <w:rPr>
                        <w:rFonts w:ascii="Cambria Math" w:hAnsi="Cambria Math" w:cs="Arial"/>
                        <w:lang w:val="id-ID"/>
                      </w:rPr>
                      <m:t>Net Income</m:t>
                    </m:r>
                  </m:num>
                  <m:den>
                    <m:r>
                      <w:rPr>
                        <w:rFonts w:ascii="Cambria Math" w:hAnsi="Cambria Math" w:cs="Arial"/>
                        <w:lang w:val="id-ID"/>
                      </w:rPr>
                      <m:t>Total Equity</m:t>
                    </m:r>
                  </m:den>
                </m:f>
              </m:oMath>
            </m:oMathPara>
          </w:p>
          <w:p w14:paraId="14C342AE" w14:textId="77777777" w:rsidR="002F2202" w:rsidRDefault="002F2202">
            <w:pPr>
              <w:pStyle w:val="Body"/>
              <w:spacing w:after="0" w:line="360" w:lineRule="auto"/>
              <w:rPr>
                <w:rFonts w:hAnsi="Cambria Math" w:cs="Arial"/>
                <w:lang w:val="id-ID" w:eastAsia="zh-CN"/>
              </w:rPr>
            </w:pPr>
          </w:p>
        </w:tc>
      </w:tr>
      <w:tr w:rsidR="002F2202" w14:paraId="0CA463B7" w14:textId="77777777">
        <w:trPr>
          <w:trHeight w:val="574"/>
          <w:jc w:val="center"/>
        </w:trPr>
        <w:tc>
          <w:tcPr>
            <w:tcW w:w="1992" w:type="dxa"/>
            <w:tcBorders>
              <w:left w:val="nil"/>
              <w:right w:val="nil"/>
            </w:tcBorders>
            <w:vAlign w:val="center"/>
          </w:tcPr>
          <w:p w14:paraId="70E2C0FB" w14:textId="77777777" w:rsidR="002F2202" w:rsidRDefault="00000000">
            <w:pPr>
              <w:pStyle w:val="Body"/>
              <w:spacing w:after="0" w:line="360" w:lineRule="auto"/>
              <w:jc w:val="center"/>
              <w:rPr>
                <w:rFonts w:ascii="Arial" w:eastAsia="SimSun" w:hAnsi="Arial" w:cs="Arial"/>
                <w:lang w:val="id-ID" w:eastAsia="zh-CN"/>
              </w:rPr>
            </w:pPr>
            <w:r>
              <w:rPr>
                <w:rFonts w:ascii="Arial" w:eastAsia="SimSun" w:hAnsi="Arial" w:cs="Arial"/>
                <w:lang w:val="id-ID" w:eastAsia="zh-CN"/>
              </w:rPr>
              <w:t>Liquidity (X2)</w:t>
            </w:r>
          </w:p>
        </w:tc>
        <w:tc>
          <w:tcPr>
            <w:tcW w:w="3178" w:type="dxa"/>
            <w:tcBorders>
              <w:left w:val="nil"/>
              <w:right w:val="nil"/>
            </w:tcBorders>
            <w:vAlign w:val="center"/>
          </w:tcPr>
          <w:p w14:paraId="46124DF3" w14:textId="77777777" w:rsidR="002F2202" w:rsidRDefault="00000000">
            <w:pPr>
              <w:pStyle w:val="Body"/>
              <w:spacing w:after="0" w:line="360" w:lineRule="auto"/>
              <w:jc w:val="center"/>
              <w:rPr>
                <w:rFonts w:ascii="Arial" w:eastAsia="SimSun" w:hAnsi="Arial" w:cs="Arial"/>
                <w:lang w:val="id-ID" w:eastAsia="zh-CN"/>
              </w:rPr>
            </w:pPr>
            <w:r>
              <w:rPr>
                <w:rFonts w:ascii="Arial" w:eastAsia="SimSun" w:hAnsi="Arial" w:cs="Arial"/>
                <w:lang w:val="id-ID" w:eastAsia="zh-CN"/>
              </w:rPr>
              <w:t>Cash Ratio</w:t>
            </w:r>
          </w:p>
        </w:tc>
        <w:tc>
          <w:tcPr>
            <w:tcW w:w="3288" w:type="dxa"/>
            <w:tcBorders>
              <w:left w:val="nil"/>
              <w:right w:val="nil"/>
            </w:tcBorders>
          </w:tcPr>
          <w:p w14:paraId="47454B5A" w14:textId="77777777" w:rsidR="002F2202" w:rsidRDefault="002F2202">
            <w:pPr>
              <w:pStyle w:val="Body"/>
              <w:spacing w:after="0" w:line="360" w:lineRule="auto"/>
              <w:rPr>
                <w:rFonts w:hAnsi="Cambria Math" w:cs="Arial"/>
                <w:lang w:val="id-ID"/>
              </w:rPr>
            </w:pPr>
          </w:p>
          <w:p w14:paraId="4868A100" w14:textId="77777777" w:rsidR="002F2202" w:rsidRDefault="00000000">
            <w:pPr>
              <w:pStyle w:val="Body"/>
              <w:spacing w:after="0" w:line="360" w:lineRule="auto"/>
              <w:rPr>
                <w:rFonts w:hAnsi="Cambria Math" w:cs="Arial"/>
                <w:lang w:val="id-ID"/>
              </w:rPr>
            </w:pPr>
            <m:oMathPara>
              <m:oMath>
                <m:f>
                  <m:fPr>
                    <m:ctrlPr>
                      <w:rPr>
                        <w:rFonts w:ascii="Cambria Math" w:hAnsi="Cambria Math" w:cs="Arial"/>
                        <w:i/>
                        <w:lang w:val="id-ID"/>
                      </w:rPr>
                    </m:ctrlPr>
                  </m:fPr>
                  <m:num>
                    <m:r>
                      <w:rPr>
                        <w:rFonts w:ascii="Cambria Math" w:hAnsi="Cambria Math" w:cs="Arial"/>
                        <w:lang w:val="id-ID"/>
                      </w:rPr>
                      <m:t>Cash and Cash Equivalents</m:t>
                    </m:r>
                  </m:num>
                  <m:den>
                    <m:r>
                      <w:rPr>
                        <w:rFonts w:ascii="Cambria Math" w:hAnsi="Cambria Math" w:cs="Arial"/>
                        <w:lang w:val="id-ID"/>
                      </w:rPr>
                      <m:t>Current Liabilities</m:t>
                    </m:r>
                  </m:den>
                </m:f>
              </m:oMath>
            </m:oMathPara>
          </w:p>
          <w:p w14:paraId="70F546A7" w14:textId="77777777" w:rsidR="002F2202" w:rsidRDefault="002F2202">
            <w:pPr>
              <w:pStyle w:val="Body"/>
              <w:spacing w:after="0" w:line="360" w:lineRule="auto"/>
              <w:rPr>
                <w:rFonts w:hAnsi="Cambria Math" w:cs="Arial"/>
                <w:lang w:val="id-ID" w:eastAsia="zh-CN"/>
              </w:rPr>
            </w:pPr>
          </w:p>
        </w:tc>
      </w:tr>
      <w:tr w:rsidR="002F2202" w14:paraId="2FC9C09E" w14:textId="77777777">
        <w:trPr>
          <w:trHeight w:val="574"/>
          <w:jc w:val="center"/>
        </w:trPr>
        <w:tc>
          <w:tcPr>
            <w:tcW w:w="1992" w:type="dxa"/>
            <w:tcBorders>
              <w:left w:val="nil"/>
              <w:right w:val="nil"/>
            </w:tcBorders>
            <w:vAlign w:val="center"/>
          </w:tcPr>
          <w:p w14:paraId="19921E74" w14:textId="77777777" w:rsidR="002F2202" w:rsidRDefault="00000000">
            <w:pPr>
              <w:pStyle w:val="Body"/>
              <w:spacing w:after="0" w:line="360" w:lineRule="auto"/>
              <w:jc w:val="center"/>
              <w:rPr>
                <w:rFonts w:ascii="Arial" w:eastAsia="SimSun" w:hAnsi="Arial" w:cs="Arial"/>
                <w:lang w:val="id-ID" w:eastAsia="zh-CN"/>
              </w:rPr>
            </w:pPr>
            <w:r>
              <w:rPr>
                <w:rFonts w:ascii="Arial" w:eastAsia="SimSun" w:hAnsi="Arial" w:cs="Arial"/>
                <w:lang w:val="id-ID" w:eastAsia="zh-CN"/>
              </w:rPr>
              <w:t>Firm Size (X3)</w:t>
            </w:r>
          </w:p>
        </w:tc>
        <w:tc>
          <w:tcPr>
            <w:tcW w:w="3178" w:type="dxa"/>
            <w:tcBorders>
              <w:left w:val="nil"/>
              <w:right w:val="nil"/>
            </w:tcBorders>
            <w:vAlign w:val="center"/>
          </w:tcPr>
          <w:p w14:paraId="15A6F9BF" w14:textId="77777777" w:rsidR="002F2202" w:rsidRDefault="00000000">
            <w:pPr>
              <w:pStyle w:val="Body"/>
              <w:spacing w:after="0" w:line="360" w:lineRule="auto"/>
              <w:jc w:val="center"/>
              <w:rPr>
                <w:rFonts w:ascii="Arial" w:eastAsia="SimSun" w:hAnsi="Arial" w:cs="Arial"/>
                <w:lang w:val="id-ID" w:eastAsia="zh-CN"/>
              </w:rPr>
            </w:pPr>
            <w:r>
              <w:rPr>
                <w:rFonts w:ascii="Arial" w:eastAsia="SimSun" w:hAnsi="Arial" w:cs="Arial"/>
                <w:lang w:val="id-ID" w:eastAsia="zh-CN"/>
              </w:rPr>
              <w:t>Firm Size</w:t>
            </w:r>
          </w:p>
        </w:tc>
        <w:tc>
          <w:tcPr>
            <w:tcW w:w="3288" w:type="dxa"/>
            <w:tcBorders>
              <w:left w:val="nil"/>
              <w:right w:val="nil"/>
            </w:tcBorders>
          </w:tcPr>
          <w:p w14:paraId="41C7D14E" w14:textId="77777777" w:rsidR="002F2202" w:rsidRDefault="002F2202">
            <w:pPr>
              <w:pStyle w:val="Body"/>
              <w:spacing w:after="0" w:line="360" w:lineRule="auto"/>
              <w:rPr>
                <w:rFonts w:eastAsia="SimSun" w:hAnsi="Cambria Math" w:cs="Arial"/>
                <w:lang w:val="id-ID" w:eastAsia="zh-CN"/>
              </w:rPr>
            </w:pPr>
          </w:p>
          <w:p w14:paraId="29B56AAA" w14:textId="77777777" w:rsidR="002F2202" w:rsidRDefault="00000000">
            <w:pPr>
              <w:pStyle w:val="Body"/>
              <w:spacing w:after="0" w:line="360" w:lineRule="auto"/>
              <w:rPr>
                <w:rFonts w:ascii="Arial" w:eastAsia="SimSun" w:hAnsi="Arial" w:cs="Arial"/>
                <w:lang w:val="id-ID" w:eastAsia="zh-CN"/>
              </w:rPr>
            </w:pPr>
            <m:oMathPara>
              <m:oMath>
                <m:r>
                  <w:rPr>
                    <w:rFonts w:ascii="Cambria Math" w:eastAsia="SimSun" w:hAnsi="Cambria Math" w:cs="Arial"/>
                    <w:lang w:val="id-ID" w:eastAsia="zh-CN"/>
                  </w:rPr>
                  <m:t>Ln. Total Assets</m:t>
                </m:r>
              </m:oMath>
            </m:oMathPara>
          </w:p>
        </w:tc>
      </w:tr>
      <w:tr w:rsidR="002F2202" w14:paraId="19E00917" w14:textId="77777777">
        <w:trPr>
          <w:trHeight w:val="625"/>
          <w:jc w:val="center"/>
        </w:trPr>
        <w:tc>
          <w:tcPr>
            <w:tcW w:w="1992" w:type="dxa"/>
            <w:tcBorders>
              <w:left w:val="nil"/>
              <w:right w:val="nil"/>
            </w:tcBorders>
            <w:vAlign w:val="center"/>
          </w:tcPr>
          <w:p w14:paraId="69EF4476" w14:textId="77777777" w:rsidR="002F2202" w:rsidRDefault="00000000">
            <w:pPr>
              <w:pStyle w:val="Body"/>
              <w:spacing w:after="0" w:line="360" w:lineRule="auto"/>
              <w:jc w:val="center"/>
              <w:rPr>
                <w:rFonts w:ascii="Arial" w:eastAsia="SimSun" w:hAnsi="Arial" w:cs="Arial"/>
                <w:lang w:val="id-ID" w:eastAsia="zh-CN"/>
              </w:rPr>
            </w:pPr>
            <w:r>
              <w:rPr>
                <w:rFonts w:ascii="Arial" w:eastAsia="SimSun" w:hAnsi="Arial" w:cs="Arial"/>
                <w:lang w:val="id-ID" w:eastAsia="zh-CN"/>
              </w:rPr>
              <w:t>Dividend Policy (Z)</w:t>
            </w:r>
          </w:p>
        </w:tc>
        <w:tc>
          <w:tcPr>
            <w:tcW w:w="3178" w:type="dxa"/>
            <w:tcBorders>
              <w:left w:val="nil"/>
              <w:right w:val="nil"/>
            </w:tcBorders>
            <w:vAlign w:val="center"/>
          </w:tcPr>
          <w:p w14:paraId="1B22659F" w14:textId="77777777" w:rsidR="002F2202" w:rsidRDefault="00000000">
            <w:pPr>
              <w:pStyle w:val="Body"/>
              <w:spacing w:after="0" w:line="360" w:lineRule="auto"/>
              <w:jc w:val="center"/>
              <w:rPr>
                <w:rFonts w:ascii="Arial" w:eastAsia="SimSun" w:hAnsi="Arial" w:cs="Arial"/>
                <w:lang w:val="id-ID" w:eastAsia="zh-CN"/>
              </w:rPr>
            </w:pPr>
            <w:r>
              <w:rPr>
                <w:rFonts w:ascii="Arial" w:eastAsia="SimSun" w:hAnsi="Arial" w:cs="Arial"/>
                <w:lang w:val="id-ID" w:eastAsia="zh-CN"/>
              </w:rPr>
              <w:t>Dividend Payout Ratio</w:t>
            </w:r>
          </w:p>
        </w:tc>
        <w:tc>
          <w:tcPr>
            <w:tcW w:w="3288" w:type="dxa"/>
            <w:tcBorders>
              <w:left w:val="nil"/>
              <w:right w:val="nil"/>
            </w:tcBorders>
          </w:tcPr>
          <w:p w14:paraId="11A136D1" w14:textId="77777777" w:rsidR="002F2202" w:rsidRDefault="002F2202">
            <w:pPr>
              <w:pStyle w:val="Body"/>
              <w:spacing w:after="0" w:line="360" w:lineRule="auto"/>
              <w:rPr>
                <w:rFonts w:hAnsi="Cambria Math" w:cs="Arial"/>
                <w:lang w:val="id-ID"/>
              </w:rPr>
            </w:pPr>
          </w:p>
          <w:p w14:paraId="70C0B049" w14:textId="77777777" w:rsidR="002F2202" w:rsidRDefault="00000000">
            <w:pPr>
              <w:pStyle w:val="Body"/>
              <w:spacing w:after="0" w:line="360" w:lineRule="auto"/>
              <w:rPr>
                <w:rFonts w:hAnsi="Cambria Math" w:cs="Arial"/>
                <w:lang w:val="id-ID"/>
              </w:rPr>
            </w:pPr>
            <m:oMathPara>
              <m:oMath>
                <m:f>
                  <m:fPr>
                    <m:ctrlPr>
                      <w:rPr>
                        <w:rFonts w:ascii="Cambria Math" w:hAnsi="Cambria Math" w:cs="Arial"/>
                        <w:i/>
                        <w:lang w:val="id-ID"/>
                      </w:rPr>
                    </m:ctrlPr>
                  </m:fPr>
                  <m:num>
                    <m:r>
                      <w:rPr>
                        <w:rFonts w:ascii="Cambria Math" w:hAnsi="Cambria Math" w:cs="Arial"/>
                        <w:lang w:val="id-ID"/>
                      </w:rPr>
                      <m:t>Dividend per Share</m:t>
                    </m:r>
                  </m:num>
                  <m:den>
                    <m:r>
                      <w:rPr>
                        <w:rFonts w:ascii="Cambria Math" w:hAnsi="Cambria Math" w:cs="Arial"/>
                        <w:lang w:val="id-ID"/>
                      </w:rPr>
                      <m:t>Earnings per Share</m:t>
                    </m:r>
                  </m:den>
                </m:f>
              </m:oMath>
            </m:oMathPara>
          </w:p>
          <w:p w14:paraId="2B37E1D9" w14:textId="77777777" w:rsidR="002F2202" w:rsidRDefault="002F2202">
            <w:pPr>
              <w:pStyle w:val="Body"/>
              <w:spacing w:after="0" w:line="360" w:lineRule="auto"/>
              <w:rPr>
                <w:rFonts w:hAnsi="Cambria Math" w:cs="Arial"/>
                <w:lang w:val="id-ID" w:eastAsia="zh-CN"/>
              </w:rPr>
            </w:pPr>
          </w:p>
        </w:tc>
      </w:tr>
    </w:tbl>
    <w:p w14:paraId="42C9873B" w14:textId="77777777" w:rsidR="002F2202" w:rsidRDefault="00000000">
      <w:pPr>
        <w:pStyle w:val="Body"/>
        <w:spacing w:after="0" w:line="360" w:lineRule="auto"/>
        <w:ind w:left="720" w:firstLine="720"/>
        <w:rPr>
          <w:rFonts w:ascii="Arial" w:eastAsia="SimSun" w:hAnsi="Arial" w:cs="Arial"/>
          <w:b/>
          <w:bCs/>
          <w:lang w:val="id-ID" w:eastAsia="zh-CN"/>
        </w:rPr>
      </w:pPr>
      <w:r>
        <w:rPr>
          <w:rFonts w:ascii="Arial" w:eastAsia="SimSun" w:hAnsi="Arial" w:cs="Arial"/>
          <w:b/>
          <w:bCs/>
          <w:lang w:val="id-ID" w:eastAsia="zh-CN"/>
        </w:rPr>
        <w:t>Table 1. Operational Definition and Measurement of Variables</w:t>
      </w:r>
    </w:p>
    <w:p w14:paraId="4855AE09" w14:textId="77777777" w:rsidR="002F2202" w:rsidRDefault="002F2202">
      <w:pPr>
        <w:pStyle w:val="Body"/>
        <w:spacing w:after="0" w:line="360" w:lineRule="auto"/>
        <w:rPr>
          <w:rFonts w:ascii="Arial" w:eastAsia="SimSun" w:hAnsi="Arial" w:cs="Arial"/>
          <w:b/>
          <w:bCs/>
          <w:u w:val="single"/>
          <w:lang w:val="id-ID" w:eastAsia="zh-CN"/>
        </w:rPr>
      </w:pPr>
    </w:p>
    <w:p w14:paraId="1A0273AD" w14:textId="77777777" w:rsidR="002F2202" w:rsidRDefault="00000000">
      <w:pPr>
        <w:pStyle w:val="Body"/>
        <w:spacing w:after="0" w:line="360" w:lineRule="auto"/>
        <w:rPr>
          <w:rFonts w:ascii="Arial" w:eastAsia="SimSun" w:hAnsi="Arial" w:cs="Arial"/>
          <w:b/>
          <w:bCs/>
          <w:sz w:val="22"/>
          <w:szCs w:val="22"/>
          <w:u w:val="single"/>
          <w:lang w:val="id-ID" w:eastAsia="zh-CN"/>
        </w:rPr>
      </w:pPr>
      <w:r>
        <w:rPr>
          <w:rFonts w:ascii="Arial" w:eastAsia="SimSun" w:hAnsi="Arial" w:cs="Arial"/>
          <w:b/>
          <w:bCs/>
          <w:sz w:val="22"/>
          <w:szCs w:val="22"/>
          <w:u w:val="single"/>
          <w:lang w:val="id-ID" w:eastAsia="zh-CN"/>
        </w:rPr>
        <w:t>2.3.3 Data Analys Technique</w:t>
      </w:r>
    </w:p>
    <w:p w14:paraId="6B1C769B" w14:textId="77777777" w:rsidR="002F2202" w:rsidRDefault="00000000">
      <w:pPr>
        <w:pStyle w:val="NormalWeb"/>
        <w:jc w:val="both"/>
        <w:rPr>
          <w:rFonts w:ascii="Arial" w:eastAsia="sans-serif" w:hAnsi="Arial" w:cs="Arial"/>
          <w:sz w:val="20"/>
          <w:szCs w:val="20"/>
          <w:lang w:val="id-ID"/>
        </w:rPr>
      </w:pPr>
      <w:r>
        <w:rPr>
          <w:rFonts w:ascii="Arial" w:eastAsia="sans-serif" w:hAnsi="Arial" w:cs="Arial"/>
          <w:sz w:val="20"/>
          <w:szCs w:val="20"/>
        </w:rPr>
        <w:t xml:space="preserve">IBM SPSS software was used for several quantitative testing methods to explore how profitability, liquidity, </w:t>
      </w:r>
      <w:r>
        <w:rPr>
          <w:rFonts w:ascii="Arial" w:eastAsia="sans-serif" w:hAnsi="Arial" w:cs="Arial"/>
          <w:sz w:val="20"/>
          <w:szCs w:val="20"/>
          <w:lang w:val="id-ID"/>
        </w:rPr>
        <w:t>firm</w:t>
      </w:r>
      <w:r>
        <w:rPr>
          <w:rFonts w:ascii="Arial" w:eastAsia="sans-serif" w:hAnsi="Arial" w:cs="Arial"/>
          <w:sz w:val="20"/>
          <w:szCs w:val="20"/>
        </w:rPr>
        <w:t xml:space="preserve"> size, and </w:t>
      </w:r>
      <w:r>
        <w:rPr>
          <w:rFonts w:ascii="Arial" w:eastAsia="sans-serif" w:hAnsi="Arial" w:cs="Arial"/>
          <w:sz w:val="20"/>
          <w:szCs w:val="20"/>
          <w:lang w:val="id-ID"/>
        </w:rPr>
        <w:t>firm</w:t>
      </w:r>
      <w:r>
        <w:rPr>
          <w:rFonts w:ascii="Arial" w:eastAsia="sans-serif" w:hAnsi="Arial" w:cs="Arial"/>
          <w:sz w:val="20"/>
          <w:szCs w:val="20"/>
        </w:rPr>
        <w:t xml:space="preserve"> value are related. Descriptive statistics were initially used to show how the data is spread out by using the smallest values, largest values, averages, and standard deviations. This helped to provide an initial overview of the research variables. To ensure that the study results are correct, the regression model was checked with standard assumption methods before testing the hypotheses. To check that the model satisfied the statistical requirements for regression analysis, the review included tests for normal distribution, multicollinearity, unequal spread of errors, and autocorrelation. Next, the coefficient of determination (R</w:t>
      </w:r>
      <w:r>
        <w:rPr>
          <w:rFonts w:ascii="Arial" w:eastAsia="sans-serif" w:hAnsi="Arial" w:cs="Arial"/>
          <w:sz w:val="20"/>
          <w:szCs w:val="20"/>
          <w:vertAlign w:val="superscript"/>
          <w:lang w:val="id-ID"/>
        </w:rPr>
        <w:t>2</w:t>
      </w:r>
      <w:r>
        <w:rPr>
          <w:rFonts w:ascii="Arial" w:eastAsia="sans-serif" w:hAnsi="Arial" w:cs="Arial"/>
          <w:sz w:val="20"/>
          <w:szCs w:val="20"/>
        </w:rPr>
        <w:t xml:space="preserve">) was used to assess how well the independent factors explained the firm's value. Additionally, we conducted hypothesis testing using simultaneous analysis (F-test) to investigate how profitability, liquidity, and the size of the firm collectively influence the value of the firm. A partial analysis, using a t-test, was also done to see how much each independent variable contributes by itself. The study used Moderated Regression Analysis (MRA) to examine how dividend policy influences the outcomes. The goal of this strategy was to see if the way companies distribute dividends could either improve or harm the connection between the independent factors and the value of </w:t>
      </w:r>
      <w:r>
        <w:rPr>
          <w:rFonts w:ascii="Arial" w:eastAsia="sans-serif" w:hAnsi="Arial" w:cs="Arial"/>
          <w:sz w:val="20"/>
          <w:szCs w:val="20"/>
        </w:rPr>
        <w:lastRenderedPageBreak/>
        <w:t>companies in the food and beverage industry that are listed on the Indonesia Stock Exchange.</w:t>
      </w:r>
    </w:p>
    <w:p w14:paraId="3DFF1271" w14:textId="77777777" w:rsidR="002F2202" w:rsidRDefault="00000000">
      <w:pPr>
        <w:pStyle w:val="Body"/>
        <w:numPr>
          <w:ilvl w:val="0"/>
          <w:numId w:val="4"/>
        </w:numPr>
        <w:spacing w:after="0" w:line="360" w:lineRule="auto"/>
        <w:rPr>
          <w:rFonts w:ascii="Arial" w:hAnsi="Arial" w:cs="Arial"/>
          <w:b/>
          <w:bCs/>
          <w:sz w:val="22"/>
          <w:szCs w:val="22"/>
          <w:lang w:val="id-ID"/>
        </w:rPr>
      </w:pPr>
      <w:r>
        <w:rPr>
          <w:rFonts w:ascii="Arial" w:hAnsi="Arial" w:cs="Arial"/>
          <w:b/>
          <w:bCs/>
          <w:sz w:val="22"/>
          <w:szCs w:val="22"/>
          <w:lang w:val="id-ID"/>
        </w:rPr>
        <w:t>RESULTS AND DISCUSSION</w:t>
      </w:r>
    </w:p>
    <w:p w14:paraId="7D7355E2" w14:textId="77777777" w:rsidR="002F2202" w:rsidRDefault="00000000">
      <w:pPr>
        <w:pStyle w:val="Body"/>
        <w:spacing w:after="0" w:line="360" w:lineRule="auto"/>
        <w:rPr>
          <w:rFonts w:ascii="Arial" w:hAnsi="Arial" w:cs="Arial"/>
          <w:b/>
          <w:bCs/>
          <w:sz w:val="22"/>
          <w:szCs w:val="22"/>
          <w:lang w:val="id-ID"/>
        </w:rPr>
      </w:pPr>
      <w:r>
        <w:rPr>
          <w:rFonts w:ascii="Arial" w:hAnsi="Arial" w:cs="Arial"/>
          <w:b/>
          <w:bCs/>
          <w:sz w:val="22"/>
          <w:szCs w:val="22"/>
          <w:lang w:val="id-ID"/>
        </w:rPr>
        <w:t>3.1</w:t>
      </w:r>
      <w:r>
        <w:rPr>
          <w:rFonts w:ascii="Arial" w:hAnsi="Arial" w:cs="Arial"/>
          <w:b/>
          <w:bCs/>
          <w:sz w:val="22"/>
          <w:szCs w:val="22"/>
          <w:lang w:val="id-ID"/>
        </w:rPr>
        <w:tab/>
        <w:t>RESULTS</w:t>
      </w:r>
    </w:p>
    <w:p w14:paraId="4CB2C154" w14:textId="77777777" w:rsidR="002F2202" w:rsidRDefault="00000000">
      <w:pPr>
        <w:pStyle w:val="Body"/>
        <w:spacing w:after="0" w:line="360" w:lineRule="auto"/>
        <w:rPr>
          <w:rFonts w:ascii="Arial" w:hAnsi="Arial" w:cs="Arial"/>
          <w:b/>
          <w:bCs/>
          <w:sz w:val="22"/>
          <w:szCs w:val="22"/>
          <w:u w:val="single"/>
          <w:lang w:val="id-ID"/>
        </w:rPr>
      </w:pPr>
      <w:r>
        <w:rPr>
          <w:rFonts w:ascii="Arial" w:hAnsi="Arial" w:cs="Arial"/>
          <w:b/>
          <w:bCs/>
          <w:sz w:val="22"/>
          <w:szCs w:val="22"/>
          <w:u w:val="single"/>
          <w:lang w:val="id-ID"/>
        </w:rPr>
        <w:t>3.1.1</w:t>
      </w:r>
      <w:r>
        <w:rPr>
          <w:rFonts w:ascii="Arial" w:hAnsi="Arial" w:cs="Arial"/>
          <w:b/>
          <w:bCs/>
          <w:sz w:val="22"/>
          <w:szCs w:val="22"/>
          <w:u w:val="single"/>
          <w:lang w:val="id-ID"/>
        </w:rPr>
        <w:tab/>
        <w:t>Outlier Test</w:t>
      </w:r>
    </w:p>
    <w:p w14:paraId="00AF81AC" w14:textId="77777777" w:rsidR="002F2202" w:rsidRDefault="002F2202">
      <w:pPr>
        <w:pStyle w:val="Body"/>
        <w:spacing w:after="0" w:line="360" w:lineRule="auto"/>
        <w:rPr>
          <w:rFonts w:ascii="Arial" w:hAnsi="Arial" w:cs="Arial"/>
          <w:b/>
          <w:bCs/>
          <w:lang w:val="id-ID"/>
        </w:rPr>
      </w:pPr>
    </w:p>
    <w:p w14:paraId="680E41E7" w14:textId="77777777" w:rsidR="002F2202" w:rsidRDefault="00000000">
      <w:pPr>
        <w:pStyle w:val="Body"/>
        <w:spacing w:after="0" w:line="360" w:lineRule="auto"/>
        <w:ind w:left="2160" w:firstLine="720"/>
        <w:rPr>
          <w:rFonts w:ascii="Arial" w:hAnsi="Arial" w:cs="Arial"/>
          <w:b/>
          <w:bCs/>
          <w:lang w:val="id-ID"/>
        </w:rPr>
      </w:pPr>
      <w:r>
        <w:rPr>
          <w:rFonts w:ascii="Arial" w:hAnsi="Arial" w:cs="Arial"/>
          <w:b/>
          <w:bCs/>
          <w:lang w:val="id-ID"/>
        </w:rPr>
        <w:t>Table. 2 Outlier Test Results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3227"/>
      </w:tblGrid>
      <w:tr w:rsidR="002F2202" w14:paraId="2A1AE1A4" w14:textId="77777777">
        <w:trPr>
          <w:jc w:val="center"/>
        </w:trPr>
        <w:tc>
          <w:tcPr>
            <w:tcW w:w="4600" w:type="dxa"/>
            <w:tcBorders>
              <w:left w:val="nil"/>
              <w:right w:val="nil"/>
            </w:tcBorders>
            <w:vAlign w:val="center"/>
          </w:tcPr>
          <w:p w14:paraId="06033162" w14:textId="77777777" w:rsidR="002F2202" w:rsidRDefault="00000000">
            <w:pPr>
              <w:pStyle w:val="Body"/>
              <w:spacing w:after="0" w:line="360" w:lineRule="auto"/>
              <w:jc w:val="center"/>
              <w:rPr>
                <w:rFonts w:ascii="Arial" w:hAnsi="Arial" w:cs="Arial"/>
                <w:b/>
                <w:bCs/>
                <w:sz w:val="20"/>
                <w:szCs w:val="20"/>
                <w:lang w:val="id-ID"/>
              </w:rPr>
            </w:pPr>
            <w:r>
              <w:rPr>
                <w:rFonts w:ascii="Arial" w:hAnsi="Arial" w:cs="Arial"/>
                <w:b/>
                <w:bCs/>
                <w:sz w:val="20"/>
                <w:szCs w:val="20"/>
                <w:lang w:val="id-ID"/>
              </w:rPr>
              <w:t>Description</w:t>
            </w:r>
          </w:p>
        </w:tc>
        <w:tc>
          <w:tcPr>
            <w:tcW w:w="3227" w:type="dxa"/>
            <w:tcBorders>
              <w:left w:val="nil"/>
              <w:right w:val="nil"/>
            </w:tcBorders>
            <w:vAlign w:val="center"/>
          </w:tcPr>
          <w:p w14:paraId="438A4236" w14:textId="77777777" w:rsidR="002F2202" w:rsidRDefault="00000000">
            <w:pPr>
              <w:pStyle w:val="Body"/>
              <w:spacing w:after="0" w:line="360" w:lineRule="auto"/>
              <w:jc w:val="center"/>
              <w:rPr>
                <w:rFonts w:ascii="Arial" w:hAnsi="Arial" w:cs="Arial"/>
                <w:b/>
                <w:bCs/>
                <w:sz w:val="20"/>
                <w:szCs w:val="20"/>
                <w:lang w:val="id-ID"/>
              </w:rPr>
            </w:pPr>
            <w:r>
              <w:rPr>
                <w:rFonts w:ascii="Arial" w:hAnsi="Arial" w:cs="Arial"/>
                <w:b/>
                <w:bCs/>
                <w:sz w:val="20"/>
                <w:szCs w:val="20"/>
                <w:lang w:val="id-ID"/>
              </w:rPr>
              <w:t>Value</w:t>
            </w:r>
          </w:p>
        </w:tc>
      </w:tr>
      <w:tr w:rsidR="002F2202" w14:paraId="0E093254" w14:textId="77777777">
        <w:trPr>
          <w:jc w:val="center"/>
        </w:trPr>
        <w:tc>
          <w:tcPr>
            <w:tcW w:w="4600" w:type="dxa"/>
            <w:tcBorders>
              <w:left w:val="nil"/>
              <w:right w:val="nil"/>
            </w:tcBorders>
            <w:vAlign w:val="center"/>
          </w:tcPr>
          <w:p w14:paraId="644F2A1E" w14:textId="77777777" w:rsidR="002F2202" w:rsidRDefault="00000000">
            <w:pPr>
              <w:pStyle w:val="Body"/>
              <w:spacing w:after="0" w:line="360" w:lineRule="auto"/>
              <w:rPr>
                <w:rFonts w:ascii="Arial" w:hAnsi="Arial" w:cs="Arial"/>
                <w:sz w:val="20"/>
                <w:szCs w:val="20"/>
                <w:lang w:val="id-ID"/>
              </w:rPr>
            </w:pPr>
            <w:r>
              <w:rPr>
                <w:rFonts w:ascii="Arial" w:hAnsi="Arial" w:cs="Arial"/>
                <w:sz w:val="20"/>
                <w:szCs w:val="20"/>
                <w:lang w:val="id-ID"/>
              </w:rPr>
              <w:t>Initial Observations</w:t>
            </w:r>
          </w:p>
        </w:tc>
        <w:tc>
          <w:tcPr>
            <w:tcW w:w="3227" w:type="dxa"/>
            <w:tcBorders>
              <w:left w:val="nil"/>
              <w:right w:val="nil"/>
            </w:tcBorders>
            <w:vAlign w:val="center"/>
          </w:tcPr>
          <w:p w14:paraId="4C0F9D0F" w14:textId="77777777" w:rsidR="002F2202" w:rsidRDefault="00000000">
            <w:pPr>
              <w:pStyle w:val="Body"/>
              <w:spacing w:after="0" w:line="360" w:lineRule="auto"/>
              <w:jc w:val="right"/>
              <w:rPr>
                <w:rFonts w:ascii="Arial" w:hAnsi="Arial" w:cs="Arial"/>
                <w:sz w:val="20"/>
                <w:szCs w:val="20"/>
                <w:lang w:val="id-ID"/>
              </w:rPr>
            </w:pPr>
            <w:r>
              <w:rPr>
                <w:rFonts w:ascii="Arial" w:hAnsi="Arial" w:cs="Arial"/>
                <w:sz w:val="20"/>
                <w:szCs w:val="20"/>
                <w:lang w:val="id-ID"/>
              </w:rPr>
              <w:t>120</w:t>
            </w:r>
          </w:p>
        </w:tc>
      </w:tr>
      <w:tr w:rsidR="002F2202" w14:paraId="3BEDC270" w14:textId="77777777">
        <w:trPr>
          <w:jc w:val="center"/>
        </w:trPr>
        <w:tc>
          <w:tcPr>
            <w:tcW w:w="4600" w:type="dxa"/>
            <w:tcBorders>
              <w:left w:val="nil"/>
              <w:right w:val="nil"/>
            </w:tcBorders>
            <w:vAlign w:val="center"/>
          </w:tcPr>
          <w:p w14:paraId="11DC66E2" w14:textId="77777777" w:rsidR="002F2202" w:rsidRDefault="00000000">
            <w:pPr>
              <w:pStyle w:val="Body"/>
              <w:spacing w:after="0" w:line="360" w:lineRule="auto"/>
              <w:rPr>
                <w:rFonts w:ascii="Arial" w:hAnsi="Arial" w:cs="Arial"/>
                <w:sz w:val="20"/>
                <w:szCs w:val="20"/>
                <w:lang w:val="id-ID"/>
              </w:rPr>
            </w:pPr>
            <w:r>
              <w:rPr>
                <w:rFonts w:ascii="Arial" w:hAnsi="Arial" w:cs="Arial"/>
                <w:sz w:val="20"/>
                <w:szCs w:val="20"/>
                <w:lang w:val="id-ID"/>
              </w:rPr>
              <w:t>Outlier observations removed</w:t>
            </w:r>
          </w:p>
        </w:tc>
        <w:tc>
          <w:tcPr>
            <w:tcW w:w="3227" w:type="dxa"/>
            <w:tcBorders>
              <w:left w:val="nil"/>
              <w:right w:val="nil"/>
            </w:tcBorders>
            <w:vAlign w:val="center"/>
          </w:tcPr>
          <w:p w14:paraId="4F639F94" w14:textId="77777777" w:rsidR="002F2202" w:rsidRDefault="00000000">
            <w:pPr>
              <w:pStyle w:val="Body"/>
              <w:spacing w:after="0" w:line="360" w:lineRule="auto"/>
              <w:jc w:val="right"/>
              <w:rPr>
                <w:rFonts w:ascii="Arial" w:hAnsi="Arial" w:cs="Arial"/>
                <w:sz w:val="20"/>
                <w:szCs w:val="20"/>
                <w:lang w:val="id-ID"/>
              </w:rPr>
            </w:pPr>
            <w:r>
              <w:rPr>
                <w:rFonts w:ascii="Arial" w:hAnsi="Arial" w:cs="Arial"/>
                <w:sz w:val="20"/>
                <w:szCs w:val="20"/>
                <w:lang w:val="id-ID"/>
              </w:rPr>
              <w:t>43</w:t>
            </w:r>
          </w:p>
        </w:tc>
      </w:tr>
      <w:tr w:rsidR="002F2202" w14:paraId="225E2287" w14:textId="77777777">
        <w:trPr>
          <w:jc w:val="center"/>
        </w:trPr>
        <w:tc>
          <w:tcPr>
            <w:tcW w:w="4600" w:type="dxa"/>
            <w:tcBorders>
              <w:left w:val="nil"/>
              <w:right w:val="nil"/>
            </w:tcBorders>
            <w:vAlign w:val="center"/>
          </w:tcPr>
          <w:p w14:paraId="2B491C14" w14:textId="77777777" w:rsidR="002F2202" w:rsidRDefault="00000000">
            <w:pPr>
              <w:pStyle w:val="Body"/>
              <w:spacing w:after="0" w:line="360" w:lineRule="auto"/>
              <w:rPr>
                <w:rFonts w:ascii="Arial" w:hAnsi="Arial" w:cs="Arial"/>
                <w:sz w:val="20"/>
                <w:szCs w:val="20"/>
                <w:lang w:val="id-ID"/>
              </w:rPr>
            </w:pPr>
            <w:r>
              <w:rPr>
                <w:rFonts w:ascii="Arial" w:hAnsi="Arial" w:cs="Arial"/>
                <w:sz w:val="20"/>
                <w:szCs w:val="20"/>
                <w:lang w:val="id-ID"/>
              </w:rPr>
              <w:t>Final observations</w:t>
            </w:r>
          </w:p>
        </w:tc>
        <w:tc>
          <w:tcPr>
            <w:tcW w:w="3227" w:type="dxa"/>
            <w:tcBorders>
              <w:left w:val="nil"/>
              <w:right w:val="nil"/>
            </w:tcBorders>
            <w:vAlign w:val="center"/>
          </w:tcPr>
          <w:p w14:paraId="2EC6F97E" w14:textId="77777777" w:rsidR="002F2202" w:rsidRDefault="00000000">
            <w:pPr>
              <w:pStyle w:val="Body"/>
              <w:spacing w:after="0" w:line="360" w:lineRule="auto"/>
              <w:jc w:val="right"/>
              <w:rPr>
                <w:rFonts w:ascii="Arial" w:hAnsi="Arial" w:cs="Arial"/>
                <w:sz w:val="20"/>
                <w:szCs w:val="20"/>
                <w:lang w:val="id-ID"/>
              </w:rPr>
            </w:pPr>
            <w:r>
              <w:rPr>
                <w:rFonts w:ascii="Arial" w:hAnsi="Arial" w:cs="Arial"/>
                <w:sz w:val="20"/>
                <w:szCs w:val="20"/>
                <w:lang w:val="id-ID"/>
              </w:rPr>
              <w:t>77</w:t>
            </w:r>
          </w:p>
        </w:tc>
      </w:tr>
      <w:tr w:rsidR="002F2202" w14:paraId="195AF08D" w14:textId="77777777">
        <w:trPr>
          <w:jc w:val="center"/>
        </w:trPr>
        <w:tc>
          <w:tcPr>
            <w:tcW w:w="4600" w:type="dxa"/>
            <w:tcBorders>
              <w:left w:val="nil"/>
              <w:right w:val="nil"/>
            </w:tcBorders>
            <w:vAlign w:val="center"/>
          </w:tcPr>
          <w:p w14:paraId="105F6106" w14:textId="77777777" w:rsidR="002F2202" w:rsidRDefault="00000000">
            <w:pPr>
              <w:pStyle w:val="Body"/>
              <w:spacing w:after="0" w:line="360" w:lineRule="auto"/>
              <w:rPr>
                <w:rFonts w:ascii="Arial" w:hAnsi="Arial" w:cs="Arial"/>
                <w:sz w:val="20"/>
                <w:szCs w:val="20"/>
                <w:lang w:val="id-ID"/>
              </w:rPr>
            </w:pPr>
            <w:r>
              <w:rPr>
                <w:rFonts w:ascii="Arial" w:hAnsi="Arial" w:cs="Arial"/>
                <w:sz w:val="20"/>
                <w:szCs w:val="20"/>
                <w:lang w:val="id-ID"/>
              </w:rPr>
              <w:t>Minimum residual value</w:t>
            </w:r>
          </w:p>
        </w:tc>
        <w:tc>
          <w:tcPr>
            <w:tcW w:w="3227" w:type="dxa"/>
            <w:tcBorders>
              <w:left w:val="nil"/>
              <w:right w:val="nil"/>
            </w:tcBorders>
            <w:vAlign w:val="center"/>
          </w:tcPr>
          <w:p w14:paraId="3619DDB3" w14:textId="77777777" w:rsidR="002F2202" w:rsidRDefault="00000000">
            <w:pPr>
              <w:pStyle w:val="Body"/>
              <w:spacing w:after="0" w:line="360" w:lineRule="auto"/>
              <w:jc w:val="right"/>
              <w:rPr>
                <w:rFonts w:ascii="Arial" w:hAnsi="Arial" w:cs="Arial"/>
                <w:sz w:val="20"/>
                <w:szCs w:val="20"/>
                <w:lang w:val="id-ID"/>
              </w:rPr>
            </w:pPr>
            <w:r>
              <w:rPr>
                <w:rFonts w:ascii="Arial" w:hAnsi="Arial" w:cs="Arial"/>
                <w:sz w:val="20"/>
                <w:szCs w:val="20"/>
                <w:lang w:val="id-ID"/>
              </w:rPr>
              <w:t>0.326</w:t>
            </w:r>
          </w:p>
        </w:tc>
      </w:tr>
      <w:tr w:rsidR="002F2202" w14:paraId="08D93A8B" w14:textId="77777777">
        <w:trPr>
          <w:jc w:val="center"/>
        </w:trPr>
        <w:tc>
          <w:tcPr>
            <w:tcW w:w="4600" w:type="dxa"/>
            <w:tcBorders>
              <w:left w:val="nil"/>
              <w:right w:val="nil"/>
            </w:tcBorders>
            <w:vAlign w:val="center"/>
          </w:tcPr>
          <w:p w14:paraId="50CB0080" w14:textId="77777777" w:rsidR="002F2202" w:rsidRDefault="00000000">
            <w:pPr>
              <w:pStyle w:val="Body"/>
              <w:spacing w:after="0" w:line="360" w:lineRule="auto"/>
              <w:rPr>
                <w:rFonts w:ascii="Arial" w:hAnsi="Arial" w:cs="Arial"/>
                <w:sz w:val="20"/>
                <w:szCs w:val="20"/>
                <w:lang w:val="id-ID"/>
              </w:rPr>
            </w:pPr>
            <w:r>
              <w:rPr>
                <w:rFonts w:ascii="Arial" w:hAnsi="Arial" w:cs="Arial"/>
                <w:sz w:val="20"/>
                <w:szCs w:val="20"/>
                <w:lang w:val="id-ID"/>
              </w:rPr>
              <w:t>Maximum residual value</w:t>
            </w:r>
          </w:p>
        </w:tc>
        <w:tc>
          <w:tcPr>
            <w:tcW w:w="3227" w:type="dxa"/>
            <w:tcBorders>
              <w:left w:val="nil"/>
              <w:right w:val="nil"/>
            </w:tcBorders>
            <w:vAlign w:val="center"/>
          </w:tcPr>
          <w:p w14:paraId="16DF1FF2" w14:textId="77777777" w:rsidR="002F2202" w:rsidRDefault="00000000">
            <w:pPr>
              <w:pStyle w:val="Body"/>
              <w:spacing w:after="0" w:line="360" w:lineRule="auto"/>
              <w:jc w:val="right"/>
              <w:rPr>
                <w:rFonts w:ascii="Arial" w:hAnsi="Arial" w:cs="Arial"/>
                <w:sz w:val="20"/>
                <w:szCs w:val="20"/>
                <w:lang w:val="id-ID"/>
              </w:rPr>
            </w:pPr>
            <w:r>
              <w:rPr>
                <w:rFonts w:ascii="Arial" w:hAnsi="Arial" w:cs="Arial"/>
                <w:sz w:val="20"/>
                <w:szCs w:val="20"/>
                <w:lang w:val="id-ID"/>
              </w:rPr>
              <w:t>19.068</w:t>
            </w:r>
          </w:p>
        </w:tc>
      </w:tr>
      <w:tr w:rsidR="002F2202" w14:paraId="0F0E1FF6" w14:textId="77777777">
        <w:trPr>
          <w:jc w:val="center"/>
        </w:trPr>
        <w:tc>
          <w:tcPr>
            <w:tcW w:w="4600" w:type="dxa"/>
            <w:tcBorders>
              <w:left w:val="nil"/>
              <w:right w:val="nil"/>
            </w:tcBorders>
            <w:vAlign w:val="center"/>
          </w:tcPr>
          <w:p w14:paraId="10A79FBF" w14:textId="77777777" w:rsidR="002F2202" w:rsidRDefault="00000000">
            <w:pPr>
              <w:pStyle w:val="Body"/>
              <w:spacing w:after="0" w:line="360" w:lineRule="auto"/>
              <w:rPr>
                <w:rFonts w:ascii="Arial" w:hAnsi="Arial" w:cs="Arial"/>
                <w:sz w:val="20"/>
                <w:szCs w:val="20"/>
                <w:lang w:val="id-ID"/>
              </w:rPr>
            </w:pPr>
            <w:r>
              <w:rPr>
                <w:rFonts w:ascii="Arial" w:hAnsi="Arial" w:cs="Arial"/>
                <w:sz w:val="20"/>
                <w:szCs w:val="20"/>
                <w:lang w:val="id-ID"/>
              </w:rPr>
              <w:t>Mean residual value</w:t>
            </w:r>
          </w:p>
        </w:tc>
        <w:tc>
          <w:tcPr>
            <w:tcW w:w="3227" w:type="dxa"/>
            <w:tcBorders>
              <w:left w:val="nil"/>
              <w:right w:val="nil"/>
            </w:tcBorders>
            <w:vAlign w:val="center"/>
          </w:tcPr>
          <w:p w14:paraId="09A80D2D" w14:textId="77777777" w:rsidR="002F2202" w:rsidRDefault="00000000">
            <w:pPr>
              <w:pStyle w:val="Body"/>
              <w:spacing w:after="0" w:line="360" w:lineRule="auto"/>
              <w:jc w:val="right"/>
              <w:rPr>
                <w:rFonts w:ascii="Arial" w:hAnsi="Arial" w:cs="Arial"/>
                <w:sz w:val="20"/>
                <w:szCs w:val="20"/>
                <w:lang w:val="id-ID"/>
              </w:rPr>
            </w:pPr>
            <w:r>
              <w:rPr>
                <w:rFonts w:ascii="Arial" w:hAnsi="Arial" w:cs="Arial"/>
                <w:sz w:val="20"/>
                <w:szCs w:val="20"/>
                <w:lang w:val="id-ID"/>
              </w:rPr>
              <w:t>3.948</w:t>
            </w:r>
          </w:p>
        </w:tc>
      </w:tr>
      <w:tr w:rsidR="002F2202" w14:paraId="04987C53" w14:textId="77777777">
        <w:trPr>
          <w:jc w:val="center"/>
        </w:trPr>
        <w:tc>
          <w:tcPr>
            <w:tcW w:w="4600" w:type="dxa"/>
            <w:tcBorders>
              <w:left w:val="nil"/>
              <w:right w:val="nil"/>
            </w:tcBorders>
            <w:vAlign w:val="center"/>
          </w:tcPr>
          <w:p w14:paraId="2BECE514" w14:textId="77777777" w:rsidR="002F2202" w:rsidRDefault="00000000">
            <w:pPr>
              <w:pStyle w:val="Body"/>
              <w:spacing w:after="0" w:line="360" w:lineRule="auto"/>
              <w:rPr>
                <w:rFonts w:ascii="Arial" w:hAnsi="Arial" w:cs="Arial"/>
                <w:sz w:val="20"/>
                <w:szCs w:val="20"/>
                <w:lang w:val="id-ID"/>
              </w:rPr>
            </w:pPr>
            <w:r>
              <w:rPr>
                <w:rFonts w:ascii="Arial" w:hAnsi="Arial" w:cs="Arial"/>
                <w:sz w:val="20"/>
                <w:szCs w:val="20"/>
                <w:lang w:val="id-ID"/>
              </w:rPr>
              <w:t>Standard deviation</w:t>
            </w:r>
          </w:p>
        </w:tc>
        <w:tc>
          <w:tcPr>
            <w:tcW w:w="3227" w:type="dxa"/>
            <w:tcBorders>
              <w:left w:val="nil"/>
              <w:right w:val="nil"/>
            </w:tcBorders>
            <w:vAlign w:val="center"/>
          </w:tcPr>
          <w:p w14:paraId="3A1CF965" w14:textId="77777777" w:rsidR="002F2202" w:rsidRDefault="00000000">
            <w:pPr>
              <w:pStyle w:val="Body"/>
              <w:spacing w:after="0" w:line="360" w:lineRule="auto"/>
              <w:jc w:val="right"/>
              <w:rPr>
                <w:rFonts w:ascii="Arial" w:hAnsi="Arial" w:cs="Arial"/>
                <w:sz w:val="20"/>
                <w:szCs w:val="20"/>
                <w:lang w:val="id-ID"/>
              </w:rPr>
            </w:pPr>
            <w:r>
              <w:rPr>
                <w:rFonts w:ascii="Arial" w:hAnsi="Arial" w:cs="Arial"/>
                <w:sz w:val="20"/>
                <w:szCs w:val="20"/>
                <w:lang w:val="id-ID"/>
              </w:rPr>
              <w:t>3.197</w:t>
            </w:r>
          </w:p>
        </w:tc>
      </w:tr>
    </w:tbl>
    <w:p w14:paraId="68E62D74" w14:textId="77777777" w:rsidR="002F2202" w:rsidRDefault="002F2202">
      <w:pPr>
        <w:pStyle w:val="Body"/>
        <w:spacing w:after="0" w:line="360" w:lineRule="auto"/>
        <w:rPr>
          <w:rFonts w:ascii="Arial" w:hAnsi="Arial" w:cs="Arial"/>
          <w:b/>
          <w:bCs/>
          <w:lang w:val="id-ID"/>
        </w:rPr>
      </w:pPr>
    </w:p>
    <w:p w14:paraId="616AA8E9" w14:textId="77777777" w:rsidR="002F2202" w:rsidRDefault="00000000">
      <w:pPr>
        <w:pStyle w:val="Body"/>
        <w:spacing w:after="0"/>
        <w:rPr>
          <w:rFonts w:ascii="Arial" w:hAnsi="Arial" w:cs="Arial"/>
          <w:lang w:val="id-ID"/>
        </w:rPr>
      </w:pPr>
      <w:r>
        <w:rPr>
          <w:rFonts w:ascii="Arial" w:eastAsia="sans-serif" w:hAnsi="Arial" w:cs="Arial"/>
        </w:rPr>
        <w:t>This study began by gathering 120 pieces of observational data from food and beverage companies that were listed on the Indonesia Stock Exchange from 2021 to 2024</w:t>
      </w:r>
      <w:r>
        <w:rPr>
          <w:rFonts w:ascii="Arial" w:hAnsi="Arial" w:cs="Arial"/>
          <w:lang w:val="id-ID"/>
        </w:rPr>
        <w:t>. Nevertheless, 43 observational data were eliminated following the outlier testing procedure due to the presence of extreme values beyond the normal distribution range. Consequently, 77 pooled panel observations were the total number of observations employed in this investigation. Only certain observations with extreme values were eliminated the companies were nevertheless included in the study sample.</w:t>
      </w:r>
    </w:p>
    <w:p w14:paraId="53DED074" w14:textId="77777777" w:rsidR="002F2202" w:rsidRDefault="002F2202">
      <w:pPr>
        <w:pStyle w:val="Body"/>
        <w:spacing w:after="0"/>
        <w:rPr>
          <w:rFonts w:ascii="Arial" w:hAnsi="Arial" w:cs="Arial"/>
          <w:lang w:val="id-ID"/>
        </w:rPr>
      </w:pPr>
    </w:p>
    <w:p w14:paraId="25EFDBDE" w14:textId="77777777" w:rsidR="002F2202" w:rsidRDefault="00000000">
      <w:pPr>
        <w:pStyle w:val="Body"/>
        <w:spacing w:after="0" w:line="360" w:lineRule="auto"/>
        <w:rPr>
          <w:rFonts w:ascii="Arial" w:hAnsi="Arial" w:cs="Arial"/>
          <w:b/>
          <w:bCs/>
          <w:sz w:val="22"/>
          <w:szCs w:val="22"/>
          <w:u w:val="single"/>
          <w:lang w:val="id-ID"/>
        </w:rPr>
      </w:pPr>
      <w:r>
        <w:rPr>
          <w:rFonts w:ascii="Arial" w:hAnsi="Arial" w:cs="Arial"/>
          <w:b/>
          <w:bCs/>
          <w:sz w:val="22"/>
          <w:szCs w:val="22"/>
          <w:u w:val="single"/>
          <w:lang w:val="id-ID"/>
        </w:rPr>
        <w:t>3.1.2 Normality Test</w:t>
      </w:r>
    </w:p>
    <w:p w14:paraId="7DD2926F" w14:textId="77777777" w:rsidR="002F2202" w:rsidRDefault="002F2202">
      <w:pPr>
        <w:spacing w:line="360" w:lineRule="auto"/>
        <w:jc w:val="both"/>
        <w:rPr>
          <w:rFonts w:ascii="Arial" w:hAnsi="Arial" w:cs="Arial"/>
          <w:lang w:val="id-ID" w:eastAsia="zh-CN"/>
        </w:rPr>
      </w:pPr>
    </w:p>
    <w:p w14:paraId="1248B4C6" w14:textId="77777777" w:rsidR="002F2202" w:rsidRDefault="00000000">
      <w:pPr>
        <w:spacing w:line="360" w:lineRule="auto"/>
        <w:ind w:left="2160" w:firstLine="720"/>
        <w:jc w:val="both"/>
        <w:rPr>
          <w:rFonts w:ascii="Arial" w:hAnsi="Arial" w:cs="Arial"/>
          <w:b/>
          <w:bCs/>
          <w:lang w:val="id-ID" w:eastAsia="zh-CN"/>
        </w:rPr>
      </w:pPr>
      <w:r>
        <w:rPr>
          <w:rFonts w:ascii="Arial" w:hAnsi="Arial" w:cs="Arial"/>
          <w:b/>
          <w:bCs/>
          <w:lang w:val="id-ID" w:eastAsia="zh-CN"/>
        </w:rPr>
        <w:t>Table. 3 Normality Test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8"/>
        <w:gridCol w:w="2808"/>
      </w:tblGrid>
      <w:tr w:rsidR="002F2202" w14:paraId="23DC54B5" w14:textId="77777777">
        <w:tc>
          <w:tcPr>
            <w:tcW w:w="2808" w:type="dxa"/>
            <w:tcBorders>
              <w:left w:val="nil"/>
              <w:right w:val="nil"/>
            </w:tcBorders>
            <w:vAlign w:val="center"/>
          </w:tcPr>
          <w:p w14:paraId="0A4BBA91"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Test</w:t>
            </w:r>
          </w:p>
        </w:tc>
        <w:tc>
          <w:tcPr>
            <w:tcW w:w="2808" w:type="dxa"/>
            <w:tcBorders>
              <w:left w:val="nil"/>
              <w:right w:val="nil"/>
            </w:tcBorders>
          </w:tcPr>
          <w:p w14:paraId="16410DB7"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Statistical Vaue</w:t>
            </w:r>
          </w:p>
        </w:tc>
        <w:tc>
          <w:tcPr>
            <w:tcW w:w="2808" w:type="dxa"/>
            <w:tcBorders>
              <w:left w:val="nil"/>
              <w:right w:val="nil"/>
            </w:tcBorders>
          </w:tcPr>
          <w:p w14:paraId="58B7F26E"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Threshold</w:t>
            </w:r>
          </w:p>
        </w:tc>
      </w:tr>
      <w:tr w:rsidR="002F2202" w14:paraId="563A9803" w14:textId="77777777">
        <w:tc>
          <w:tcPr>
            <w:tcW w:w="2808" w:type="dxa"/>
            <w:tcBorders>
              <w:left w:val="nil"/>
              <w:right w:val="nil"/>
            </w:tcBorders>
          </w:tcPr>
          <w:p w14:paraId="56AA6910"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Kolmogorov-Smirnov Test</w:t>
            </w:r>
          </w:p>
        </w:tc>
        <w:tc>
          <w:tcPr>
            <w:tcW w:w="2808" w:type="dxa"/>
            <w:tcBorders>
              <w:left w:val="nil"/>
              <w:right w:val="nil"/>
            </w:tcBorders>
          </w:tcPr>
          <w:p w14:paraId="628D6553"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0.085</w:t>
            </w:r>
          </w:p>
        </w:tc>
        <w:tc>
          <w:tcPr>
            <w:tcW w:w="2808" w:type="dxa"/>
            <w:tcBorders>
              <w:left w:val="nil"/>
              <w:right w:val="nil"/>
            </w:tcBorders>
          </w:tcPr>
          <w:p w14:paraId="65750B2D"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Sig. &gt; 0.05</w:t>
            </w:r>
          </w:p>
        </w:tc>
      </w:tr>
    </w:tbl>
    <w:p w14:paraId="20E67CB0" w14:textId="77777777" w:rsidR="002F2202" w:rsidRDefault="002F2202">
      <w:pPr>
        <w:pStyle w:val="Body"/>
        <w:spacing w:after="0" w:line="360" w:lineRule="auto"/>
        <w:rPr>
          <w:rFonts w:ascii="Arial" w:hAnsi="Arial" w:cs="Arial"/>
          <w:b/>
          <w:bCs/>
          <w:u w:val="single"/>
          <w:lang w:val="id-ID"/>
        </w:rPr>
      </w:pPr>
    </w:p>
    <w:p w14:paraId="454A3E5C" w14:textId="77777777" w:rsidR="002F2202" w:rsidRDefault="00000000">
      <w:pPr>
        <w:jc w:val="both"/>
        <w:rPr>
          <w:rFonts w:ascii="Arial" w:hAnsi="Arial" w:cs="Arial"/>
          <w:lang w:val="id-ID" w:eastAsia="zh-CN"/>
        </w:rPr>
      </w:pPr>
      <w:r>
        <w:rPr>
          <w:rFonts w:ascii="Arial" w:hAnsi="Arial" w:cs="Arial"/>
          <w:lang w:val="id-ID" w:eastAsia="zh-CN"/>
        </w:rPr>
        <w:t>Is higher than 0.05, suggesting a normal distribution for the residual data. As a result, the regression model is appropriate for additional statistical analysis and satisfies the normalcy assumption.</w:t>
      </w:r>
    </w:p>
    <w:p w14:paraId="4C4721C5" w14:textId="77777777" w:rsidR="002F2202" w:rsidRDefault="002F2202">
      <w:pPr>
        <w:jc w:val="both"/>
        <w:rPr>
          <w:rFonts w:ascii="Arial" w:hAnsi="Arial" w:cs="Arial"/>
          <w:lang w:val="id-ID" w:eastAsia="zh-CN"/>
        </w:rPr>
      </w:pPr>
    </w:p>
    <w:p w14:paraId="5FE74DF1" w14:textId="77777777" w:rsidR="002F2202" w:rsidRDefault="002F2202">
      <w:pPr>
        <w:jc w:val="both"/>
        <w:rPr>
          <w:rFonts w:ascii="Arial" w:hAnsi="Arial" w:cs="Arial"/>
          <w:lang w:val="id-ID" w:eastAsia="zh-CN"/>
        </w:rPr>
      </w:pPr>
    </w:p>
    <w:p w14:paraId="47A60C6A" w14:textId="77777777" w:rsidR="002F2202" w:rsidRDefault="002F2202">
      <w:pPr>
        <w:jc w:val="both"/>
        <w:rPr>
          <w:rFonts w:ascii="Arial" w:hAnsi="Arial" w:cs="Arial"/>
          <w:lang w:val="id-ID" w:eastAsia="zh-CN"/>
        </w:rPr>
      </w:pPr>
    </w:p>
    <w:p w14:paraId="48370DA2" w14:textId="77777777" w:rsidR="002F2202" w:rsidRDefault="002F2202">
      <w:pPr>
        <w:jc w:val="both"/>
        <w:rPr>
          <w:rFonts w:ascii="Arial" w:hAnsi="Arial" w:cs="Arial"/>
          <w:lang w:val="id-ID" w:eastAsia="zh-CN"/>
        </w:rPr>
      </w:pPr>
    </w:p>
    <w:p w14:paraId="0312D280" w14:textId="77777777" w:rsidR="002F2202" w:rsidRDefault="002F2202">
      <w:pPr>
        <w:jc w:val="both"/>
        <w:rPr>
          <w:rFonts w:ascii="Arial" w:hAnsi="Arial" w:cs="Arial"/>
          <w:lang w:val="id-ID" w:eastAsia="zh-CN"/>
        </w:rPr>
      </w:pPr>
    </w:p>
    <w:p w14:paraId="04223964" w14:textId="77777777" w:rsidR="002F2202" w:rsidRDefault="002F2202">
      <w:pPr>
        <w:jc w:val="both"/>
        <w:rPr>
          <w:rFonts w:ascii="Arial" w:hAnsi="Arial" w:cs="Arial"/>
          <w:lang w:val="id-ID" w:eastAsia="zh-CN"/>
        </w:rPr>
      </w:pPr>
    </w:p>
    <w:p w14:paraId="30007059" w14:textId="77777777" w:rsidR="002F2202" w:rsidRDefault="002F2202">
      <w:pPr>
        <w:jc w:val="both"/>
        <w:rPr>
          <w:rFonts w:ascii="Arial" w:hAnsi="Arial" w:cs="Arial"/>
          <w:lang w:val="id-ID" w:eastAsia="zh-CN"/>
        </w:rPr>
      </w:pPr>
    </w:p>
    <w:p w14:paraId="1BE2C796" w14:textId="77777777" w:rsidR="002F2202" w:rsidRDefault="002F2202">
      <w:pPr>
        <w:jc w:val="both"/>
        <w:rPr>
          <w:rFonts w:ascii="Arial" w:hAnsi="Arial" w:cs="Arial"/>
          <w:lang w:val="id-ID" w:eastAsia="zh-CN"/>
        </w:rPr>
      </w:pPr>
    </w:p>
    <w:p w14:paraId="660F9819" w14:textId="77777777" w:rsidR="002F2202" w:rsidRDefault="00000000">
      <w:pPr>
        <w:pStyle w:val="Body"/>
        <w:spacing w:after="0" w:line="360" w:lineRule="auto"/>
        <w:rPr>
          <w:rFonts w:ascii="Arial" w:hAnsi="Arial" w:cs="Arial"/>
          <w:b/>
          <w:bCs/>
          <w:sz w:val="22"/>
          <w:szCs w:val="22"/>
          <w:u w:val="single"/>
          <w:lang w:val="id-ID"/>
        </w:rPr>
      </w:pPr>
      <w:r>
        <w:rPr>
          <w:rFonts w:ascii="Arial" w:hAnsi="Arial" w:cs="Arial"/>
          <w:b/>
          <w:bCs/>
          <w:sz w:val="22"/>
          <w:szCs w:val="22"/>
          <w:u w:val="single"/>
          <w:lang w:val="id-ID"/>
        </w:rPr>
        <w:lastRenderedPageBreak/>
        <w:t>3.1.3 Autocorrelation Test</w:t>
      </w:r>
    </w:p>
    <w:p w14:paraId="7F4AEE07" w14:textId="77777777" w:rsidR="002F2202" w:rsidRDefault="002F2202">
      <w:pPr>
        <w:pStyle w:val="Body"/>
        <w:spacing w:after="0" w:line="360" w:lineRule="auto"/>
        <w:rPr>
          <w:rFonts w:ascii="Arial" w:hAnsi="Arial" w:cs="Arial"/>
          <w:b/>
          <w:bCs/>
          <w:sz w:val="22"/>
          <w:szCs w:val="22"/>
          <w:u w:val="single"/>
          <w:lang w:val="id-ID" w:eastAsia="zh-CN"/>
        </w:rPr>
      </w:pPr>
    </w:p>
    <w:p w14:paraId="789A7D1F" w14:textId="77777777" w:rsidR="002F2202" w:rsidRDefault="00000000">
      <w:pPr>
        <w:spacing w:line="360" w:lineRule="auto"/>
        <w:ind w:left="1440" w:firstLineChars="610" w:firstLine="1225"/>
        <w:jc w:val="both"/>
        <w:rPr>
          <w:rFonts w:ascii="Arial" w:hAnsi="Arial" w:cs="Arial"/>
          <w:b/>
          <w:bCs/>
          <w:lang w:val="id-ID" w:eastAsia="zh-CN"/>
        </w:rPr>
      </w:pPr>
      <w:r>
        <w:rPr>
          <w:rFonts w:ascii="Arial" w:hAnsi="Arial" w:cs="Arial"/>
          <w:b/>
          <w:bCs/>
          <w:lang w:val="id-ID" w:eastAsia="zh-CN"/>
        </w:rPr>
        <w:t>Table. 4 Autocorrelation Test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8"/>
        <w:gridCol w:w="2808"/>
      </w:tblGrid>
      <w:tr w:rsidR="002F2202" w14:paraId="5D9B36D9" w14:textId="77777777">
        <w:tc>
          <w:tcPr>
            <w:tcW w:w="2808" w:type="dxa"/>
            <w:tcBorders>
              <w:left w:val="nil"/>
              <w:right w:val="nil"/>
            </w:tcBorders>
          </w:tcPr>
          <w:p w14:paraId="59BF14C2"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Indicator</w:t>
            </w:r>
          </w:p>
        </w:tc>
        <w:tc>
          <w:tcPr>
            <w:tcW w:w="2808" w:type="dxa"/>
            <w:tcBorders>
              <w:left w:val="nil"/>
              <w:right w:val="nil"/>
            </w:tcBorders>
          </w:tcPr>
          <w:p w14:paraId="128C321E"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Value</w:t>
            </w:r>
          </w:p>
        </w:tc>
        <w:tc>
          <w:tcPr>
            <w:tcW w:w="2808" w:type="dxa"/>
            <w:tcBorders>
              <w:left w:val="nil"/>
              <w:right w:val="nil"/>
            </w:tcBorders>
          </w:tcPr>
          <w:p w14:paraId="276B61FF"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Decision Rule</w:t>
            </w:r>
          </w:p>
        </w:tc>
      </w:tr>
      <w:tr w:rsidR="002F2202" w14:paraId="12CC93DE" w14:textId="77777777">
        <w:tc>
          <w:tcPr>
            <w:tcW w:w="2808" w:type="dxa"/>
            <w:tcBorders>
              <w:left w:val="nil"/>
              <w:right w:val="nil"/>
            </w:tcBorders>
          </w:tcPr>
          <w:p w14:paraId="2693FA0D"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Durbin-Watson</w:t>
            </w:r>
          </w:p>
        </w:tc>
        <w:tc>
          <w:tcPr>
            <w:tcW w:w="2808" w:type="dxa"/>
            <w:tcBorders>
              <w:left w:val="nil"/>
              <w:right w:val="nil"/>
            </w:tcBorders>
          </w:tcPr>
          <w:p w14:paraId="15EC88AF"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2.220</w:t>
            </w:r>
          </w:p>
        </w:tc>
        <w:tc>
          <w:tcPr>
            <w:tcW w:w="2808" w:type="dxa"/>
            <w:tcBorders>
              <w:left w:val="nil"/>
              <w:right w:val="nil"/>
            </w:tcBorders>
          </w:tcPr>
          <w:p w14:paraId="2E4471C0"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dU &lt; DW &lt; 4 - dU</w:t>
            </w:r>
          </w:p>
        </w:tc>
      </w:tr>
    </w:tbl>
    <w:p w14:paraId="4D515934" w14:textId="77777777" w:rsidR="002F2202" w:rsidRDefault="002F2202">
      <w:pPr>
        <w:spacing w:line="360" w:lineRule="auto"/>
        <w:jc w:val="both"/>
        <w:rPr>
          <w:rFonts w:ascii="Arial" w:hAnsi="Arial" w:cs="Arial"/>
          <w:lang w:val="id-ID" w:eastAsia="zh-CN"/>
        </w:rPr>
      </w:pPr>
    </w:p>
    <w:p w14:paraId="44D80A83" w14:textId="77777777" w:rsidR="002F2202" w:rsidRDefault="00000000">
      <w:pPr>
        <w:jc w:val="both"/>
        <w:rPr>
          <w:rFonts w:ascii="Arial" w:eastAsia="sans-serif" w:hAnsi="Arial" w:cs="Arial"/>
        </w:rPr>
      </w:pPr>
      <w:r>
        <w:rPr>
          <w:rFonts w:ascii="Arial" w:eastAsia="sans-serif" w:hAnsi="Arial" w:cs="Arial"/>
          <w:lang w:val="id-ID"/>
        </w:rPr>
        <w:t>F</w:t>
      </w:r>
      <w:proofErr w:type="spellStart"/>
      <w:r>
        <w:rPr>
          <w:rFonts w:ascii="Arial" w:eastAsia="sans-serif" w:hAnsi="Arial" w:cs="Arial"/>
        </w:rPr>
        <w:t>alls</w:t>
      </w:r>
      <w:proofErr w:type="spellEnd"/>
      <w:r>
        <w:rPr>
          <w:rFonts w:ascii="Arial" w:eastAsia="sans-serif" w:hAnsi="Arial" w:cs="Arial"/>
        </w:rPr>
        <w:t xml:space="preserve"> between 4-dU and the lowest point (</w:t>
      </w:r>
      <w:proofErr w:type="spellStart"/>
      <w:r>
        <w:rPr>
          <w:rFonts w:ascii="Arial" w:eastAsia="sans-serif" w:hAnsi="Arial" w:cs="Arial"/>
        </w:rPr>
        <w:t>dU</w:t>
      </w:r>
      <w:proofErr w:type="spellEnd"/>
      <w:r>
        <w:rPr>
          <w:rFonts w:ascii="Arial" w:eastAsia="sans-serif" w:hAnsi="Arial" w:cs="Arial"/>
        </w:rPr>
        <w:t>). It can be said that the regression model fulfills the autocorrelation requirement and does not have any issues with autocorrelation.</w:t>
      </w:r>
    </w:p>
    <w:p w14:paraId="2F182FA3" w14:textId="77777777" w:rsidR="002F2202" w:rsidRDefault="002F2202">
      <w:pPr>
        <w:jc w:val="both"/>
        <w:rPr>
          <w:rFonts w:ascii="Arial" w:eastAsia="sans-serif" w:hAnsi="Arial" w:cs="Arial"/>
          <w:lang w:val="id-ID" w:eastAsia="zh-CN"/>
        </w:rPr>
      </w:pPr>
    </w:p>
    <w:p w14:paraId="4DE85735" w14:textId="77777777" w:rsidR="002F2202" w:rsidRDefault="00000000">
      <w:pPr>
        <w:spacing w:line="360" w:lineRule="auto"/>
        <w:jc w:val="both"/>
        <w:rPr>
          <w:rFonts w:ascii="Arial" w:hAnsi="Arial" w:cs="Arial"/>
          <w:b/>
          <w:bCs/>
          <w:sz w:val="22"/>
          <w:szCs w:val="22"/>
          <w:u w:val="single"/>
          <w:lang w:val="id-ID" w:eastAsia="zh-CN"/>
        </w:rPr>
      </w:pPr>
      <w:r>
        <w:rPr>
          <w:rFonts w:ascii="Arial" w:hAnsi="Arial" w:cs="Arial"/>
          <w:b/>
          <w:bCs/>
          <w:sz w:val="22"/>
          <w:szCs w:val="22"/>
          <w:u w:val="single"/>
          <w:lang w:val="id-ID" w:eastAsia="zh-CN"/>
        </w:rPr>
        <w:t>3.1.4 Multicollinearity Test</w:t>
      </w:r>
    </w:p>
    <w:p w14:paraId="656661AC" w14:textId="77777777" w:rsidR="002F2202" w:rsidRDefault="002F2202">
      <w:pPr>
        <w:spacing w:line="360" w:lineRule="auto"/>
        <w:jc w:val="both"/>
        <w:rPr>
          <w:rFonts w:ascii="Arial" w:hAnsi="Arial" w:cs="Arial"/>
          <w:b/>
          <w:bCs/>
          <w:sz w:val="22"/>
          <w:szCs w:val="22"/>
          <w:u w:val="single"/>
          <w:lang w:val="id-ID" w:eastAsia="zh-CN"/>
        </w:rPr>
      </w:pPr>
    </w:p>
    <w:p w14:paraId="23BDE006" w14:textId="77777777" w:rsidR="002F2202" w:rsidRDefault="00000000">
      <w:pPr>
        <w:spacing w:line="360" w:lineRule="auto"/>
        <w:ind w:left="1440" w:firstLineChars="560" w:firstLine="1124"/>
        <w:jc w:val="both"/>
        <w:rPr>
          <w:rFonts w:ascii="Arial" w:hAnsi="Arial" w:cs="Arial"/>
          <w:b/>
          <w:bCs/>
          <w:lang w:val="id-ID" w:eastAsia="zh-CN"/>
        </w:rPr>
      </w:pPr>
      <w:r>
        <w:rPr>
          <w:rFonts w:ascii="Arial" w:hAnsi="Arial" w:cs="Arial"/>
          <w:b/>
          <w:bCs/>
          <w:lang w:val="id-ID" w:eastAsia="zh-CN"/>
        </w:rPr>
        <w:t>Table. 5 Multicollinearity Test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8"/>
        <w:gridCol w:w="2808"/>
      </w:tblGrid>
      <w:tr w:rsidR="002F2202" w14:paraId="3CE0ADBE" w14:textId="77777777">
        <w:tc>
          <w:tcPr>
            <w:tcW w:w="2808" w:type="dxa"/>
            <w:tcBorders>
              <w:top w:val="single" w:sz="4" w:space="0" w:color="auto"/>
              <w:left w:val="nil"/>
              <w:bottom w:val="single" w:sz="4" w:space="0" w:color="auto"/>
              <w:right w:val="nil"/>
            </w:tcBorders>
          </w:tcPr>
          <w:p w14:paraId="4648062B"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Variable</w:t>
            </w:r>
          </w:p>
        </w:tc>
        <w:tc>
          <w:tcPr>
            <w:tcW w:w="2808" w:type="dxa"/>
            <w:tcBorders>
              <w:top w:val="single" w:sz="4" w:space="0" w:color="auto"/>
              <w:left w:val="nil"/>
              <w:bottom w:val="single" w:sz="4" w:space="0" w:color="auto"/>
              <w:right w:val="nil"/>
            </w:tcBorders>
          </w:tcPr>
          <w:p w14:paraId="54217E1B"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Tolerance</w:t>
            </w:r>
          </w:p>
        </w:tc>
        <w:tc>
          <w:tcPr>
            <w:tcW w:w="2808" w:type="dxa"/>
            <w:tcBorders>
              <w:top w:val="single" w:sz="4" w:space="0" w:color="auto"/>
              <w:left w:val="nil"/>
              <w:bottom w:val="single" w:sz="4" w:space="0" w:color="auto"/>
              <w:right w:val="nil"/>
            </w:tcBorders>
          </w:tcPr>
          <w:p w14:paraId="23EFAD86"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VIF</w:t>
            </w:r>
          </w:p>
        </w:tc>
      </w:tr>
      <w:tr w:rsidR="002F2202" w14:paraId="071C4E59" w14:textId="77777777">
        <w:tc>
          <w:tcPr>
            <w:tcW w:w="2808" w:type="dxa"/>
            <w:tcBorders>
              <w:top w:val="single" w:sz="4" w:space="0" w:color="auto"/>
              <w:left w:val="nil"/>
              <w:bottom w:val="single" w:sz="4" w:space="0" w:color="auto"/>
              <w:right w:val="nil"/>
            </w:tcBorders>
          </w:tcPr>
          <w:p w14:paraId="1276377B"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Profitability</w:t>
            </w:r>
          </w:p>
        </w:tc>
        <w:tc>
          <w:tcPr>
            <w:tcW w:w="2808" w:type="dxa"/>
            <w:tcBorders>
              <w:top w:val="single" w:sz="4" w:space="0" w:color="auto"/>
              <w:left w:val="nil"/>
              <w:bottom w:val="single" w:sz="4" w:space="0" w:color="auto"/>
              <w:right w:val="nil"/>
            </w:tcBorders>
          </w:tcPr>
          <w:p w14:paraId="5C3B1AE9"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0.928</w:t>
            </w:r>
          </w:p>
        </w:tc>
        <w:tc>
          <w:tcPr>
            <w:tcW w:w="2808" w:type="dxa"/>
            <w:tcBorders>
              <w:top w:val="single" w:sz="4" w:space="0" w:color="auto"/>
              <w:left w:val="nil"/>
              <w:bottom w:val="single" w:sz="4" w:space="0" w:color="auto"/>
              <w:right w:val="nil"/>
            </w:tcBorders>
          </w:tcPr>
          <w:p w14:paraId="62844372"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1.077</w:t>
            </w:r>
          </w:p>
        </w:tc>
      </w:tr>
      <w:tr w:rsidR="002F2202" w14:paraId="1B28AC9F" w14:textId="77777777">
        <w:tc>
          <w:tcPr>
            <w:tcW w:w="2808" w:type="dxa"/>
            <w:tcBorders>
              <w:top w:val="single" w:sz="4" w:space="0" w:color="auto"/>
              <w:left w:val="nil"/>
              <w:bottom w:val="single" w:sz="4" w:space="0" w:color="auto"/>
              <w:right w:val="nil"/>
            </w:tcBorders>
          </w:tcPr>
          <w:p w14:paraId="63F66F51"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Liquidity</w:t>
            </w:r>
          </w:p>
        </w:tc>
        <w:tc>
          <w:tcPr>
            <w:tcW w:w="2808" w:type="dxa"/>
            <w:tcBorders>
              <w:top w:val="single" w:sz="4" w:space="0" w:color="auto"/>
              <w:left w:val="nil"/>
              <w:bottom w:val="single" w:sz="4" w:space="0" w:color="auto"/>
              <w:right w:val="nil"/>
            </w:tcBorders>
          </w:tcPr>
          <w:p w14:paraId="00195F1B"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0.887</w:t>
            </w:r>
          </w:p>
        </w:tc>
        <w:tc>
          <w:tcPr>
            <w:tcW w:w="2808" w:type="dxa"/>
            <w:tcBorders>
              <w:top w:val="single" w:sz="4" w:space="0" w:color="auto"/>
              <w:left w:val="nil"/>
              <w:bottom w:val="single" w:sz="4" w:space="0" w:color="auto"/>
              <w:right w:val="nil"/>
            </w:tcBorders>
          </w:tcPr>
          <w:p w14:paraId="686238C4"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1.127</w:t>
            </w:r>
          </w:p>
        </w:tc>
      </w:tr>
      <w:tr w:rsidR="002F2202" w14:paraId="2D24D960" w14:textId="77777777">
        <w:tc>
          <w:tcPr>
            <w:tcW w:w="2808" w:type="dxa"/>
            <w:tcBorders>
              <w:top w:val="single" w:sz="4" w:space="0" w:color="auto"/>
              <w:left w:val="nil"/>
              <w:bottom w:val="single" w:sz="4" w:space="0" w:color="auto"/>
              <w:right w:val="nil"/>
            </w:tcBorders>
          </w:tcPr>
          <w:p w14:paraId="027302B8"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Firm Size</w:t>
            </w:r>
          </w:p>
        </w:tc>
        <w:tc>
          <w:tcPr>
            <w:tcW w:w="2808" w:type="dxa"/>
            <w:tcBorders>
              <w:top w:val="single" w:sz="4" w:space="0" w:color="auto"/>
              <w:left w:val="nil"/>
              <w:bottom w:val="single" w:sz="4" w:space="0" w:color="auto"/>
              <w:right w:val="nil"/>
            </w:tcBorders>
          </w:tcPr>
          <w:p w14:paraId="113BEDBE"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0.789</w:t>
            </w:r>
          </w:p>
        </w:tc>
        <w:tc>
          <w:tcPr>
            <w:tcW w:w="2808" w:type="dxa"/>
            <w:tcBorders>
              <w:top w:val="single" w:sz="4" w:space="0" w:color="auto"/>
              <w:left w:val="nil"/>
              <w:bottom w:val="single" w:sz="4" w:space="0" w:color="auto"/>
              <w:right w:val="nil"/>
            </w:tcBorders>
          </w:tcPr>
          <w:p w14:paraId="431C3B89"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1.267</w:t>
            </w:r>
          </w:p>
        </w:tc>
      </w:tr>
      <w:tr w:rsidR="002F2202" w14:paraId="54598FF8" w14:textId="77777777">
        <w:tc>
          <w:tcPr>
            <w:tcW w:w="2808" w:type="dxa"/>
            <w:tcBorders>
              <w:top w:val="single" w:sz="4" w:space="0" w:color="auto"/>
              <w:left w:val="nil"/>
              <w:bottom w:val="single" w:sz="4" w:space="0" w:color="auto"/>
              <w:right w:val="nil"/>
            </w:tcBorders>
          </w:tcPr>
          <w:p w14:paraId="79B41336"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Dividend Policy</w:t>
            </w:r>
          </w:p>
        </w:tc>
        <w:tc>
          <w:tcPr>
            <w:tcW w:w="2808" w:type="dxa"/>
            <w:tcBorders>
              <w:top w:val="single" w:sz="4" w:space="0" w:color="auto"/>
              <w:left w:val="nil"/>
              <w:bottom w:val="single" w:sz="4" w:space="0" w:color="auto"/>
              <w:right w:val="nil"/>
            </w:tcBorders>
          </w:tcPr>
          <w:p w14:paraId="0C51E892"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0.816</w:t>
            </w:r>
          </w:p>
        </w:tc>
        <w:tc>
          <w:tcPr>
            <w:tcW w:w="2808" w:type="dxa"/>
            <w:tcBorders>
              <w:top w:val="single" w:sz="4" w:space="0" w:color="auto"/>
              <w:left w:val="nil"/>
              <w:bottom w:val="single" w:sz="4" w:space="0" w:color="auto"/>
              <w:right w:val="nil"/>
            </w:tcBorders>
          </w:tcPr>
          <w:p w14:paraId="3D53D685"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1.226</w:t>
            </w:r>
          </w:p>
        </w:tc>
      </w:tr>
    </w:tbl>
    <w:p w14:paraId="0AF50D44" w14:textId="77777777" w:rsidR="002F2202" w:rsidRDefault="002F2202">
      <w:pPr>
        <w:spacing w:line="360" w:lineRule="auto"/>
        <w:jc w:val="both"/>
        <w:rPr>
          <w:rFonts w:ascii="Arial" w:hAnsi="Arial" w:cs="Arial"/>
          <w:lang w:val="id-ID" w:eastAsia="zh-CN"/>
        </w:rPr>
      </w:pPr>
    </w:p>
    <w:p w14:paraId="760A99F4" w14:textId="77777777" w:rsidR="002F2202" w:rsidRDefault="00000000">
      <w:pPr>
        <w:jc w:val="both"/>
        <w:rPr>
          <w:rFonts w:ascii="Arial" w:eastAsia="sans-serif" w:hAnsi="Arial" w:cs="Arial"/>
        </w:rPr>
      </w:pPr>
      <w:r>
        <w:rPr>
          <w:rFonts w:ascii="Arial" w:eastAsia="sans-serif" w:hAnsi="Arial" w:cs="Arial"/>
        </w:rPr>
        <w:t xml:space="preserve">Values </w:t>
      </w:r>
      <w:proofErr w:type="gramStart"/>
      <w:r>
        <w:rPr>
          <w:rFonts w:ascii="Arial" w:eastAsia="sans-serif" w:hAnsi="Arial" w:cs="Arial"/>
        </w:rPr>
        <w:t>lower</w:t>
      </w:r>
      <w:proofErr w:type="gramEnd"/>
      <w:r>
        <w:rPr>
          <w:rFonts w:ascii="Arial" w:eastAsia="sans-serif" w:hAnsi="Arial" w:cs="Arial"/>
        </w:rPr>
        <w:t xml:space="preserve"> than 0.10 and Variance Inflation Factor (VIF) numbers under 10. Therefore, we can conclude that there are no issues with multicollinearity in the regression model, and the independent variables can be used together in the regression analysis.</w:t>
      </w:r>
    </w:p>
    <w:p w14:paraId="0FC124F2" w14:textId="77777777" w:rsidR="002F2202" w:rsidRDefault="002F2202">
      <w:pPr>
        <w:jc w:val="both"/>
        <w:rPr>
          <w:rFonts w:ascii="sans-serif" w:eastAsia="sans-serif" w:hAnsi="sans-serif" w:cs="sans-serif"/>
          <w:color w:val="212529"/>
          <w:sz w:val="22"/>
          <w:szCs w:val="22"/>
        </w:rPr>
      </w:pPr>
    </w:p>
    <w:p w14:paraId="7FB322C4" w14:textId="77777777" w:rsidR="002F2202" w:rsidRDefault="00000000">
      <w:pPr>
        <w:spacing w:line="360" w:lineRule="auto"/>
        <w:jc w:val="both"/>
        <w:rPr>
          <w:rFonts w:ascii="Arial" w:hAnsi="Arial" w:cs="Arial"/>
          <w:b/>
          <w:bCs/>
          <w:sz w:val="22"/>
          <w:szCs w:val="22"/>
          <w:u w:val="single"/>
          <w:lang w:val="id-ID" w:eastAsia="zh-CN"/>
        </w:rPr>
      </w:pPr>
      <w:r>
        <w:rPr>
          <w:rFonts w:ascii="Arial" w:hAnsi="Arial" w:cs="Arial"/>
          <w:b/>
          <w:bCs/>
          <w:sz w:val="22"/>
          <w:szCs w:val="22"/>
          <w:u w:val="single"/>
          <w:lang w:val="id-ID" w:eastAsia="zh-CN"/>
        </w:rPr>
        <w:t>3.1.5 Heteroscedasticity Test</w:t>
      </w:r>
    </w:p>
    <w:p w14:paraId="1649A4A7" w14:textId="77777777" w:rsidR="002F2202" w:rsidRDefault="002F2202">
      <w:pPr>
        <w:spacing w:line="360" w:lineRule="auto"/>
        <w:jc w:val="both"/>
        <w:rPr>
          <w:rFonts w:ascii="Arial" w:hAnsi="Arial" w:cs="Arial"/>
          <w:lang w:val="id-ID" w:eastAsia="zh-CN"/>
        </w:rPr>
      </w:pPr>
    </w:p>
    <w:p w14:paraId="223E606E" w14:textId="77777777" w:rsidR="002F2202" w:rsidRDefault="00000000">
      <w:pPr>
        <w:spacing w:line="360" w:lineRule="auto"/>
        <w:ind w:left="1440" w:firstLine="720"/>
        <w:jc w:val="both"/>
        <w:rPr>
          <w:rFonts w:ascii="Arial" w:hAnsi="Arial" w:cs="Arial"/>
          <w:b/>
          <w:bCs/>
          <w:lang w:val="id-ID" w:eastAsia="zh-CN"/>
        </w:rPr>
      </w:pPr>
      <w:r>
        <w:rPr>
          <w:rFonts w:ascii="Arial" w:hAnsi="Arial" w:cs="Arial"/>
          <w:b/>
          <w:bCs/>
          <w:lang w:val="id-ID" w:eastAsia="zh-CN"/>
        </w:rPr>
        <w:t>Table. 6 Heteroscedasticity Test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8"/>
        <w:gridCol w:w="2808"/>
      </w:tblGrid>
      <w:tr w:rsidR="002F2202" w14:paraId="471043F1" w14:textId="77777777">
        <w:tc>
          <w:tcPr>
            <w:tcW w:w="2808" w:type="dxa"/>
            <w:tcBorders>
              <w:left w:val="nil"/>
              <w:right w:val="nil"/>
            </w:tcBorders>
          </w:tcPr>
          <w:p w14:paraId="4E06138F"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Variable</w:t>
            </w:r>
          </w:p>
        </w:tc>
        <w:tc>
          <w:tcPr>
            <w:tcW w:w="2808" w:type="dxa"/>
            <w:tcBorders>
              <w:left w:val="nil"/>
              <w:right w:val="nil"/>
            </w:tcBorders>
          </w:tcPr>
          <w:p w14:paraId="5A29263F"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t-statistic</w:t>
            </w:r>
          </w:p>
        </w:tc>
        <w:tc>
          <w:tcPr>
            <w:tcW w:w="2808" w:type="dxa"/>
            <w:tcBorders>
              <w:left w:val="nil"/>
              <w:right w:val="nil"/>
            </w:tcBorders>
          </w:tcPr>
          <w:p w14:paraId="77AD1BCB"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p-value</w:t>
            </w:r>
          </w:p>
        </w:tc>
      </w:tr>
      <w:tr w:rsidR="002F2202" w14:paraId="6ADD7891" w14:textId="77777777">
        <w:tc>
          <w:tcPr>
            <w:tcW w:w="2808" w:type="dxa"/>
            <w:tcBorders>
              <w:left w:val="nil"/>
              <w:right w:val="nil"/>
            </w:tcBorders>
          </w:tcPr>
          <w:p w14:paraId="560B3E81"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Profitability</w:t>
            </w:r>
          </w:p>
        </w:tc>
        <w:tc>
          <w:tcPr>
            <w:tcW w:w="2808" w:type="dxa"/>
            <w:tcBorders>
              <w:left w:val="nil"/>
              <w:right w:val="nil"/>
            </w:tcBorders>
          </w:tcPr>
          <w:p w14:paraId="0869BF6C"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-0.950</w:t>
            </w:r>
          </w:p>
        </w:tc>
        <w:tc>
          <w:tcPr>
            <w:tcW w:w="2808" w:type="dxa"/>
            <w:tcBorders>
              <w:left w:val="nil"/>
              <w:right w:val="nil"/>
            </w:tcBorders>
          </w:tcPr>
          <w:p w14:paraId="5BE13C91" w14:textId="77777777" w:rsidR="002F2202" w:rsidRDefault="00000000">
            <w:pPr>
              <w:spacing w:line="360" w:lineRule="auto"/>
              <w:ind w:left="60" w:right="60"/>
              <w:jc w:val="right"/>
              <w:rPr>
                <w:rFonts w:ascii="Arial" w:hAnsi="Arial" w:cs="Arial"/>
                <w:sz w:val="20"/>
                <w:szCs w:val="20"/>
                <w:lang w:val="id-ID" w:eastAsia="zh-CN"/>
              </w:rPr>
            </w:pPr>
            <w:r>
              <w:rPr>
                <w:rFonts w:ascii="Arial" w:hAnsi="Arial" w:cs="Arial"/>
                <w:sz w:val="20"/>
                <w:szCs w:val="20"/>
                <w:lang w:val="id-ID"/>
              </w:rPr>
              <w:t>0.345</w:t>
            </w:r>
          </w:p>
        </w:tc>
      </w:tr>
      <w:tr w:rsidR="002F2202" w14:paraId="6159ADCD" w14:textId="77777777">
        <w:tc>
          <w:tcPr>
            <w:tcW w:w="2808" w:type="dxa"/>
            <w:tcBorders>
              <w:left w:val="nil"/>
              <w:right w:val="nil"/>
            </w:tcBorders>
          </w:tcPr>
          <w:p w14:paraId="4D67301C"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Liquidity</w:t>
            </w:r>
          </w:p>
        </w:tc>
        <w:tc>
          <w:tcPr>
            <w:tcW w:w="2808" w:type="dxa"/>
            <w:tcBorders>
              <w:left w:val="nil"/>
              <w:right w:val="nil"/>
            </w:tcBorders>
          </w:tcPr>
          <w:p w14:paraId="0AAD8F7F"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1.039</w:t>
            </w:r>
          </w:p>
        </w:tc>
        <w:tc>
          <w:tcPr>
            <w:tcW w:w="2808" w:type="dxa"/>
            <w:tcBorders>
              <w:left w:val="nil"/>
              <w:right w:val="nil"/>
            </w:tcBorders>
          </w:tcPr>
          <w:p w14:paraId="3F66AF23" w14:textId="77777777" w:rsidR="002F2202" w:rsidRDefault="00000000">
            <w:pPr>
              <w:spacing w:line="360" w:lineRule="auto"/>
              <w:ind w:left="60" w:right="60"/>
              <w:jc w:val="right"/>
              <w:rPr>
                <w:rFonts w:ascii="Arial" w:hAnsi="Arial" w:cs="Arial"/>
                <w:sz w:val="20"/>
                <w:szCs w:val="20"/>
                <w:lang w:val="id-ID" w:eastAsia="zh-CN"/>
              </w:rPr>
            </w:pPr>
            <w:r>
              <w:rPr>
                <w:rFonts w:ascii="Arial" w:hAnsi="Arial" w:cs="Arial"/>
                <w:sz w:val="20"/>
                <w:szCs w:val="20"/>
                <w:lang w:val="id-ID"/>
              </w:rPr>
              <w:t>0.</w:t>
            </w:r>
            <w:r>
              <w:rPr>
                <w:rFonts w:ascii="Arial" w:hAnsi="Arial" w:cs="Arial"/>
                <w:sz w:val="20"/>
                <w:szCs w:val="20"/>
              </w:rPr>
              <w:t>3</w:t>
            </w:r>
            <w:r>
              <w:rPr>
                <w:rFonts w:ascii="Arial" w:hAnsi="Arial" w:cs="Arial"/>
                <w:sz w:val="20"/>
                <w:szCs w:val="20"/>
                <w:lang w:val="id-ID"/>
              </w:rPr>
              <w:t>02</w:t>
            </w:r>
          </w:p>
        </w:tc>
      </w:tr>
      <w:tr w:rsidR="002F2202" w14:paraId="7E28BCB2" w14:textId="77777777">
        <w:tc>
          <w:tcPr>
            <w:tcW w:w="2808" w:type="dxa"/>
            <w:tcBorders>
              <w:left w:val="nil"/>
              <w:right w:val="nil"/>
            </w:tcBorders>
          </w:tcPr>
          <w:p w14:paraId="486D7461"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Firm Size</w:t>
            </w:r>
          </w:p>
        </w:tc>
        <w:tc>
          <w:tcPr>
            <w:tcW w:w="2808" w:type="dxa"/>
            <w:tcBorders>
              <w:left w:val="nil"/>
              <w:right w:val="nil"/>
            </w:tcBorders>
          </w:tcPr>
          <w:p w14:paraId="2A167E16"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1.105</w:t>
            </w:r>
          </w:p>
        </w:tc>
        <w:tc>
          <w:tcPr>
            <w:tcW w:w="2808" w:type="dxa"/>
            <w:tcBorders>
              <w:left w:val="nil"/>
              <w:right w:val="nil"/>
            </w:tcBorders>
          </w:tcPr>
          <w:p w14:paraId="3BEFEB75" w14:textId="77777777" w:rsidR="002F2202" w:rsidRDefault="00000000">
            <w:pPr>
              <w:spacing w:line="360" w:lineRule="auto"/>
              <w:ind w:left="60" w:right="60"/>
              <w:jc w:val="right"/>
              <w:rPr>
                <w:rFonts w:ascii="Arial" w:hAnsi="Arial" w:cs="Arial"/>
                <w:sz w:val="20"/>
                <w:szCs w:val="20"/>
                <w:lang w:val="id-ID" w:eastAsia="zh-CN"/>
              </w:rPr>
            </w:pPr>
            <w:r>
              <w:rPr>
                <w:rFonts w:ascii="Arial" w:hAnsi="Arial" w:cs="Arial"/>
                <w:sz w:val="20"/>
                <w:szCs w:val="20"/>
                <w:lang w:val="id-ID"/>
              </w:rPr>
              <w:t>0.273</w:t>
            </w:r>
          </w:p>
        </w:tc>
      </w:tr>
      <w:tr w:rsidR="002F2202" w14:paraId="0173468A" w14:textId="77777777">
        <w:tc>
          <w:tcPr>
            <w:tcW w:w="2808" w:type="dxa"/>
            <w:tcBorders>
              <w:left w:val="nil"/>
              <w:right w:val="nil"/>
            </w:tcBorders>
          </w:tcPr>
          <w:p w14:paraId="7BDBE6A8"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Dividend Policy</w:t>
            </w:r>
          </w:p>
        </w:tc>
        <w:tc>
          <w:tcPr>
            <w:tcW w:w="2808" w:type="dxa"/>
            <w:tcBorders>
              <w:left w:val="nil"/>
              <w:right w:val="nil"/>
            </w:tcBorders>
          </w:tcPr>
          <w:p w14:paraId="3E2CADBF"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1.403</w:t>
            </w:r>
          </w:p>
        </w:tc>
        <w:tc>
          <w:tcPr>
            <w:tcW w:w="2808" w:type="dxa"/>
            <w:tcBorders>
              <w:left w:val="nil"/>
              <w:right w:val="nil"/>
            </w:tcBorders>
          </w:tcPr>
          <w:p w14:paraId="531255D2" w14:textId="77777777" w:rsidR="002F2202" w:rsidRDefault="00000000">
            <w:pPr>
              <w:spacing w:line="360" w:lineRule="auto"/>
              <w:ind w:left="60" w:right="60"/>
              <w:jc w:val="right"/>
              <w:rPr>
                <w:rFonts w:ascii="Arial" w:hAnsi="Arial" w:cs="Arial"/>
                <w:sz w:val="20"/>
                <w:szCs w:val="20"/>
                <w:lang w:val="id-ID" w:eastAsia="zh-CN"/>
              </w:rPr>
            </w:pPr>
            <w:r>
              <w:rPr>
                <w:rFonts w:ascii="Arial" w:hAnsi="Arial" w:cs="Arial"/>
                <w:sz w:val="20"/>
                <w:szCs w:val="20"/>
                <w:lang w:val="id-ID"/>
              </w:rPr>
              <w:t>-.165</w:t>
            </w:r>
          </w:p>
        </w:tc>
      </w:tr>
    </w:tbl>
    <w:p w14:paraId="3E65C92A" w14:textId="77777777" w:rsidR="002F2202" w:rsidRDefault="002F2202">
      <w:pPr>
        <w:pStyle w:val="Body"/>
        <w:spacing w:after="0" w:line="360" w:lineRule="auto"/>
        <w:rPr>
          <w:rFonts w:ascii="Arial" w:hAnsi="Arial" w:cs="Arial"/>
          <w:lang w:val="id-ID" w:eastAsia="zh-CN"/>
        </w:rPr>
      </w:pPr>
    </w:p>
    <w:p w14:paraId="61E33077" w14:textId="77777777" w:rsidR="002F2202" w:rsidRDefault="00000000">
      <w:pPr>
        <w:pStyle w:val="Body"/>
        <w:spacing w:after="0"/>
        <w:rPr>
          <w:rFonts w:ascii="Arial" w:hAnsi="Arial" w:cs="Arial"/>
          <w:lang w:val="id-ID" w:eastAsia="zh-CN"/>
        </w:rPr>
      </w:pPr>
      <w:r>
        <w:rPr>
          <w:rFonts w:ascii="Arial" w:eastAsia="sans-serif" w:hAnsi="Arial" w:cs="Arial"/>
        </w:rPr>
        <w:t>According to the findings from the heteroscedasticity test, the results for profitability are -0.950, for liquidity, it is 1.039, for firm size, it is 1.105, and for dividend policy, it is 1.403. These values show that none of the independent variables are important for explaining the absolute residuals, since the significance values (Sig.) for each variable are all above 0.05. We can say that the regression model does not display heteroscedasticity, which means that it meets the assumption of homoscedasticity.</w:t>
      </w:r>
    </w:p>
    <w:p w14:paraId="63C73339" w14:textId="77777777" w:rsidR="002F2202" w:rsidRDefault="002F2202">
      <w:pPr>
        <w:pStyle w:val="Body"/>
        <w:spacing w:after="0"/>
        <w:rPr>
          <w:rFonts w:ascii="Arial" w:hAnsi="Arial" w:cs="Arial"/>
          <w:lang w:val="id-ID" w:eastAsia="zh-CN"/>
        </w:rPr>
      </w:pPr>
    </w:p>
    <w:p w14:paraId="6C05046B" w14:textId="77777777" w:rsidR="002F2202" w:rsidRDefault="002F2202">
      <w:pPr>
        <w:pStyle w:val="Body"/>
        <w:spacing w:after="0"/>
        <w:rPr>
          <w:rFonts w:ascii="Arial" w:hAnsi="Arial" w:cs="Arial"/>
          <w:lang w:val="id-ID" w:eastAsia="zh-CN"/>
        </w:rPr>
      </w:pPr>
    </w:p>
    <w:p w14:paraId="17878099" w14:textId="77777777" w:rsidR="002F2202" w:rsidRDefault="002F2202">
      <w:pPr>
        <w:pStyle w:val="Body"/>
        <w:spacing w:after="0"/>
        <w:rPr>
          <w:rFonts w:ascii="Arial" w:hAnsi="Arial" w:cs="Arial"/>
          <w:lang w:val="id-ID" w:eastAsia="zh-CN"/>
        </w:rPr>
      </w:pPr>
    </w:p>
    <w:p w14:paraId="445D2DA5" w14:textId="77777777" w:rsidR="002F2202" w:rsidRDefault="00000000">
      <w:pPr>
        <w:spacing w:line="360" w:lineRule="auto"/>
        <w:jc w:val="both"/>
        <w:rPr>
          <w:rFonts w:ascii="Arial" w:hAnsi="Arial" w:cs="Arial"/>
          <w:b/>
          <w:bCs/>
          <w:sz w:val="22"/>
          <w:szCs w:val="22"/>
          <w:u w:val="single"/>
          <w:lang w:val="id-ID" w:eastAsia="zh-CN"/>
        </w:rPr>
      </w:pPr>
      <w:r>
        <w:rPr>
          <w:rFonts w:ascii="Arial" w:hAnsi="Arial" w:cs="Arial"/>
          <w:b/>
          <w:bCs/>
          <w:sz w:val="22"/>
          <w:szCs w:val="22"/>
          <w:u w:val="single"/>
          <w:lang w:val="id-ID" w:eastAsia="zh-CN"/>
        </w:rPr>
        <w:t>3.1.6 Moderated Regression Analysis</w:t>
      </w:r>
    </w:p>
    <w:p w14:paraId="45ACF865" w14:textId="77777777" w:rsidR="002F2202" w:rsidRDefault="002F2202">
      <w:pPr>
        <w:spacing w:line="360" w:lineRule="auto"/>
        <w:jc w:val="both"/>
        <w:rPr>
          <w:rFonts w:ascii="Arial" w:hAnsi="Arial" w:cs="Arial"/>
          <w:b/>
          <w:bCs/>
          <w:sz w:val="22"/>
          <w:szCs w:val="22"/>
          <w:u w:val="single"/>
          <w:lang w:val="id-ID" w:eastAsia="zh-CN"/>
        </w:rPr>
      </w:pPr>
    </w:p>
    <w:p w14:paraId="17C21249" w14:textId="77777777" w:rsidR="002F2202" w:rsidRDefault="00000000">
      <w:pPr>
        <w:spacing w:line="360" w:lineRule="auto"/>
        <w:ind w:left="1440" w:firstLine="720"/>
        <w:jc w:val="both"/>
        <w:rPr>
          <w:rFonts w:ascii="Arial" w:hAnsi="Arial" w:cs="Arial"/>
          <w:b/>
          <w:bCs/>
          <w:lang w:val="id-ID" w:eastAsia="zh-CN"/>
        </w:rPr>
      </w:pPr>
      <w:r>
        <w:rPr>
          <w:rFonts w:ascii="Arial" w:hAnsi="Arial" w:cs="Arial"/>
          <w:b/>
          <w:bCs/>
          <w:lang w:val="id-ID"/>
        </w:rPr>
        <w:t xml:space="preserve">Table. 7 </w:t>
      </w:r>
      <w:r>
        <w:rPr>
          <w:rFonts w:ascii="Arial" w:hAnsi="Arial" w:cs="Arial"/>
          <w:b/>
          <w:bCs/>
          <w:lang w:val="id-ID" w:eastAsia="zh-CN"/>
        </w:rPr>
        <w:t>Moderated Regression Analysis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1710"/>
        <w:gridCol w:w="1335"/>
        <w:gridCol w:w="1500"/>
        <w:gridCol w:w="1420"/>
      </w:tblGrid>
      <w:tr w:rsidR="002F2202" w14:paraId="4CAF04E5" w14:textId="77777777">
        <w:tc>
          <w:tcPr>
            <w:tcW w:w="2459" w:type="dxa"/>
            <w:tcBorders>
              <w:left w:val="nil"/>
              <w:bottom w:val="single" w:sz="4" w:space="0" w:color="auto"/>
              <w:right w:val="nil"/>
            </w:tcBorders>
          </w:tcPr>
          <w:p w14:paraId="0B443AF6"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Variables</w:t>
            </w:r>
          </w:p>
        </w:tc>
        <w:tc>
          <w:tcPr>
            <w:tcW w:w="1710" w:type="dxa"/>
            <w:tcBorders>
              <w:left w:val="nil"/>
              <w:bottom w:val="single" w:sz="4" w:space="0" w:color="auto"/>
              <w:right w:val="nil"/>
            </w:tcBorders>
          </w:tcPr>
          <w:p w14:paraId="5396AAEF"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Coefficient (β)</w:t>
            </w:r>
          </w:p>
        </w:tc>
        <w:tc>
          <w:tcPr>
            <w:tcW w:w="1335" w:type="dxa"/>
            <w:tcBorders>
              <w:left w:val="nil"/>
              <w:bottom w:val="single" w:sz="4" w:space="0" w:color="auto"/>
              <w:right w:val="nil"/>
            </w:tcBorders>
          </w:tcPr>
          <w:p w14:paraId="56287C2C"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Std. Error</w:t>
            </w:r>
          </w:p>
        </w:tc>
        <w:tc>
          <w:tcPr>
            <w:tcW w:w="1500" w:type="dxa"/>
            <w:tcBorders>
              <w:left w:val="nil"/>
              <w:bottom w:val="single" w:sz="4" w:space="0" w:color="auto"/>
              <w:right w:val="nil"/>
            </w:tcBorders>
          </w:tcPr>
          <w:p w14:paraId="6A308CA8"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t-statistic</w:t>
            </w:r>
          </w:p>
        </w:tc>
        <w:tc>
          <w:tcPr>
            <w:tcW w:w="1420" w:type="dxa"/>
            <w:tcBorders>
              <w:left w:val="nil"/>
              <w:bottom w:val="single" w:sz="4" w:space="0" w:color="auto"/>
              <w:right w:val="nil"/>
            </w:tcBorders>
          </w:tcPr>
          <w:p w14:paraId="6390FFB7"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p-value</w:t>
            </w:r>
          </w:p>
        </w:tc>
      </w:tr>
      <w:tr w:rsidR="002F2202" w14:paraId="4734FA4C" w14:textId="77777777">
        <w:tc>
          <w:tcPr>
            <w:tcW w:w="2459" w:type="dxa"/>
            <w:tcBorders>
              <w:top w:val="single" w:sz="4" w:space="0" w:color="auto"/>
              <w:left w:val="nil"/>
              <w:bottom w:val="single" w:sz="4" w:space="0" w:color="auto"/>
              <w:right w:val="nil"/>
            </w:tcBorders>
          </w:tcPr>
          <w:p w14:paraId="715B90DE"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Constant</w:t>
            </w:r>
          </w:p>
        </w:tc>
        <w:tc>
          <w:tcPr>
            <w:tcW w:w="1710" w:type="dxa"/>
            <w:tcBorders>
              <w:top w:val="single" w:sz="4" w:space="0" w:color="auto"/>
              <w:left w:val="nil"/>
              <w:bottom w:val="single" w:sz="4" w:space="0" w:color="auto"/>
              <w:right w:val="nil"/>
            </w:tcBorders>
          </w:tcPr>
          <w:p w14:paraId="60D18005"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3.354</w:t>
            </w:r>
          </w:p>
        </w:tc>
        <w:tc>
          <w:tcPr>
            <w:tcW w:w="1335" w:type="dxa"/>
            <w:tcBorders>
              <w:top w:val="single" w:sz="4" w:space="0" w:color="auto"/>
              <w:left w:val="nil"/>
              <w:bottom w:val="single" w:sz="4" w:space="0" w:color="auto"/>
              <w:right w:val="nil"/>
            </w:tcBorders>
          </w:tcPr>
          <w:p w14:paraId="602924E5"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2.101</w:t>
            </w:r>
          </w:p>
        </w:tc>
        <w:tc>
          <w:tcPr>
            <w:tcW w:w="1500" w:type="dxa"/>
            <w:tcBorders>
              <w:top w:val="single" w:sz="4" w:space="0" w:color="auto"/>
              <w:left w:val="nil"/>
              <w:bottom w:val="single" w:sz="4" w:space="0" w:color="auto"/>
              <w:right w:val="nil"/>
            </w:tcBorders>
          </w:tcPr>
          <w:p w14:paraId="2579404E"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1.596</w:t>
            </w:r>
          </w:p>
        </w:tc>
        <w:tc>
          <w:tcPr>
            <w:tcW w:w="1420" w:type="dxa"/>
            <w:tcBorders>
              <w:top w:val="single" w:sz="4" w:space="0" w:color="auto"/>
              <w:left w:val="nil"/>
              <w:bottom w:val="single" w:sz="4" w:space="0" w:color="auto"/>
              <w:right w:val="nil"/>
            </w:tcBorders>
          </w:tcPr>
          <w:p w14:paraId="37A4C561"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0.115</w:t>
            </w:r>
          </w:p>
        </w:tc>
      </w:tr>
      <w:tr w:rsidR="002F2202" w14:paraId="4C6D6B05" w14:textId="77777777">
        <w:tc>
          <w:tcPr>
            <w:tcW w:w="2459" w:type="dxa"/>
            <w:tcBorders>
              <w:top w:val="single" w:sz="4" w:space="0" w:color="auto"/>
              <w:left w:val="nil"/>
              <w:bottom w:val="single" w:sz="4" w:space="0" w:color="auto"/>
              <w:right w:val="nil"/>
            </w:tcBorders>
          </w:tcPr>
          <w:p w14:paraId="56730A34"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Profitability</w:t>
            </w:r>
          </w:p>
        </w:tc>
        <w:tc>
          <w:tcPr>
            <w:tcW w:w="1710" w:type="dxa"/>
            <w:tcBorders>
              <w:top w:val="single" w:sz="4" w:space="0" w:color="auto"/>
              <w:left w:val="nil"/>
              <w:bottom w:val="single" w:sz="4" w:space="0" w:color="auto"/>
              <w:right w:val="nil"/>
            </w:tcBorders>
          </w:tcPr>
          <w:p w14:paraId="165B4981"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-1.226</w:t>
            </w:r>
          </w:p>
        </w:tc>
        <w:tc>
          <w:tcPr>
            <w:tcW w:w="1335" w:type="dxa"/>
            <w:tcBorders>
              <w:top w:val="single" w:sz="4" w:space="0" w:color="auto"/>
              <w:left w:val="nil"/>
              <w:bottom w:val="single" w:sz="4" w:space="0" w:color="auto"/>
              <w:right w:val="nil"/>
            </w:tcBorders>
          </w:tcPr>
          <w:p w14:paraId="471FA0D2"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0.391</w:t>
            </w:r>
          </w:p>
        </w:tc>
        <w:tc>
          <w:tcPr>
            <w:tcW w:w="1500" w:type="dxa"/>
            <w:tcBorders>
              <w:top w:val="single" w:sz="4" w:space="0" w:color="auto"/>
              <w:left w:val="nil"/>
              <w:bottom w:val="single" w:sz="4" w:space="0" w:color="auto"/>
              <w:right w:val="nil"/>
            </w:tcBorders>
          </w:tcPr>
          <w:p w14:paraId="236972A8"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-3.133</w:t>
            </w:r>
          </w:p>
        </w:tc>
        <w:tc>
          <w:tcPr>
            <w:tcW w:w="1420" w:type="dxa"/>
            <w:tcBorders>
              <w:top w:val="single" w:sz="4" w:space="0" w:color="auto"/>
              <w:left w:val="nil"/>
              <w:bottom w:val="single" w:sz="4" w:space="0" w:color="auto"/>
              <w:right w:val="nil"/>
            </w:tcBorders>
          </w:tcPr>
          <w:p w14:paraId="1F604CC2"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0.003</w:t>
            </w:r>
          </w:p>
        </w:tc>
      </w:tr>
      <w:tr w:rsidR="002F2202" w14:paraId="02AAABC4" w14:textId="77777777">
        <w:tc>
          <w:tcPr>
            <w:tcW w:w="2459" w:type="dxa"/>
            <w:tcBorders>
              <w:top w:val="single" w:sz="4" w:space="0" w:color="auto"/>
              <w:left w:val="nil"/>
              <w:bottom w:val="single" w:sz="4" w:space="0" w:color="auto"/>
              <w:right w:val="nil"/>
            </w:tcBorders>
          </w:tcPr>
          <w:p w14:paraId="1CAF6FAB"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Liquidity</w:t>
            </w:r>
          </w:p>
        </w:tc>
        <w:tc>
          <w:tcPr>
            <w:tcW w:w="1710" w:type="dxa"/>
            <w:tcBorders>
              <w:top w:val="single" w:sz="4" w:space="0" w:color="auto"/>
              <w:left w:val="nil"/>
              <w:bottom w:val="single" w:sz="4" w:space="0" w:color="auto"/>
              <w:right w:val="nil"/>
            </w:tcBorders>
          </w:tcPr>
          <w:p w14:paraId="115BA63A"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0.287</w:t>
            </w:r>
          </w:p>
        </w:tc>
        <w:tc>
          <w:tcPr>
            <w:tcW w:w="1335" w:type="dxa"/>
            <w:tcBorders>
              <w:top w:val="single" w:sz="4" w:space="0" w:color="auto"/>
              <w:left w:val="nil"/>
              <w:bottom w:val="single" w:sz="4" w:space="0" w:color="auto"/>
              <w:right w:val="nil"/>
            </w:tcBorders>
          </w:tcPr>
          <w:p w14:paraId="0404ADE8"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0.106</w:t>
            </w:r>
          </w:p>
        </w:tc>
        <w:tc>
          <w:tcPr>
            <w:tcW w:w="1500" w:type="dxa"/>
            <w:tcBorders>
              <w:top w:val="single" w:sz="4" w:space="0" w:color="auto"/>
              <w:left w:val="nil"/>
              <w:bottom w:val="single" w:sz="4" w:space="0" w:color="auto"/>
              <w:right w:val="nil"/>
            </w:tcBorders>
          </w:tcPr>
          <w:p w14:paraId="42903E8D"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2.701</w:t>
            </w:r>
          </w:p>
        </w:tc>
        <w:tc>
          <w:tcPr>
            <w:tcW w:w="1420" w:type="dxa"/>
            <w:tcBorders>
              <w:top w:val="single" w:sz="4" w:space="0" w:color="auto"/>
              <w:left w:val="nil"/>
              <w:bottom w:val="single" w:sz="4" w:space="0" w:color="auto"/>
              <w:right w:val="nil"/>
            </w:tcBorders>
          </w:tcPr>
          <w:p w14:paraId="32BC7393"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0.009</w:t>
            </w:r>
          </w:p>
        </w:tc>
      </w:tr>
      <w:tr w:rsidR="002F2202" w14:paraId="74B94BCE" w14:textId="77777777">
        <w:tc>
          <w:tcPr>
            <w:tcW w:w="2459" w:type="dxa"/>
            <w:tcBorders>
              <w:top w:val="single" w:sz="4" w:space="0" w:color="auto"/>
              <w:left w:val="nil"/>
              <w:bottom w:val="single" w:sz="4" w:space="0" w:color="auto"/>
              <w:right w:val="nil"/>
            </w:tcBorders>
          </w:tcPr>
          <w:p w14:paraId="688C3E1D"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Firm Size</w:t>
            </w:r>
          </w:p>
        </w:tc>
        <w:tc>
          <w:tcPr>
            <w:tcW w:w="1710" w:type="dxa"/>
            <w:tcBorders>
              <w:top w:val="single" w:sz="4" w:space="0" w:color="auto"/>
              <w:left w:val="nil"/>
              <w:bottom w:val="single" w:sz="4" w:space="0" w:color="auto"/>
              <w:right w:val="nil"/>
            </w:tcBorders>
          </w:tcPr>
          <w:p w14:paraId="6737DC6A"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-0.082</w:t>
            </w:r>
          </w:p>
        </w:tc>
        <w:tc>
          <w:tcPr>
            <w:tcW w:w="1335" w:type="dxa"/>
            <w:tcBorders>
              <w:top w:val="single" w:sz="4" w:space="0" w:color="auto"/>
              <w:left w:val="nil"/>
              <w:bottom w:val="single" w:sz="4" w:space="0" w:color="auto"/>
              <w:right w:val="nil"/>
            </w:tcBorders>
          </w:tcPr>
          <w:p w14:paraId="650FC558"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0.069</w:t>
            </w:r>
          </w:p>
        </w:tc>
        <w:tc>
          <w:tcPr>
            <w:tcW w:w="1500" w:type="dxa"/>
            <w:tcBorders>
              <w:top w:val="single" w:sz="4" w:space="0" w:color="auto"/>
              <w:left w:val="nil"/>
              <w:bottom w:val="single" w:sz="4" w:space="0" w:color="auto"/>
              <w:right w:val="nil"/>
            </w:tcBorders>
          </w:tcPr>
          <w:p w14:paraId="29129DF5"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-1.187</w:t>
            </w:r>
          </w:p>
        </w:tc>
        <w:tc>
          <w:tcPr>
            <w:tcW w:w="1420" w:type="dxa"/>
            <w:tcBorders>
              <w:top w:val="single" w:sz="4" w:space="0" w:color="auto"/>
              <w:left w:val="nil"/>
              <w:bottom w:val="single" w:sz="4" w:space="0" w:color="auto"/>
              <w:right w:val="nil"/>
            </w:tcBorders>
          </w:tcPr>
          <w:p w14:paraId="4A428370"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0.239</w:t>
            </w:r>
          </w:p>
        </w:tc>
      </w:tr>
      <w:tr w:rsidR="002F2202" w14:paraId="64D32ADA" w14:textId="77777777">
        <w:tc>
          <w:tcPr>
            <w:tcW w:w="2459" w:type="dxa"/>
            <w:tcBorders>
              <w:top w:val="single" w:sz="4" w:space="0" w:color="auto"/>
              <w:left w:val="nil"/>
              <w:bottom w:val="single" w:sz="4" w:space="0" w:color="auto"/>
              <w:right w:val="nil"/>
            </w:tcBorders>
          </w:tcPr>
          <w:p w14:paraId="039E222A"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Dividend Policy</w:t>
            </w:r>
          </w:p>
        </w:tc>
        <w:tc>
          <w:tcPr>
            <w:tcW w:w="1710" w:type="dxa"/>
            <w:tcBorders>
              <w:top w:val="single" w:sz="4" w:space="0" w:color="auto"/>
              <w:left w:val="nil"/>
              <w:bottom w:val="single" w:sz="4" w:space="0" w:color="auto"/>
              <w:right w:val="nil"/>
            </w:tcBorders>
          </w:tcPr>
          <w:p w14:paraId="64915057"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-0.913</w:t>
            </w:r>
          </w:p>
        </w:tc>
        <w:tc>
          <w:tcPr>
            <w:tcW w:w="1335" w:type="dxa"/>
            <w:tcBorders>
              <w:top w:val="single" w:sz="4" w:space="0" w:color="auto"/>
              <w:left w:val="nil"/>
              <w:bottom w:val="single" w:sz="4" w:space="0" w:color="auto"/>
              <w:right w:val="nil"/>
            </w:tcBorders>
          </w:tcPr>
          <w:p w14:paraId="35C40474"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3.883</w:t>
            </w:r>
          </w:p>
        </w:tc>
        <w:tc>
          <w:tcPr>
            <w:tcW w:w="1500" w:type="dxa"/>
            <w:tcBorders>
              <w:top w:val="single" w:sz="4" w:space="0" w:color="auto"/>
              <w:left w:val="nil"/>
              <w:bottom w:val="single" w:sz="4" w:space="0" w:color="auto"/>
              <w:right w:val="nil"/>
            </w:tcBorders>
          </w:tcPr>
          <w:p w14:paraId="3BEBB0BB"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-0.235</w:t>
            </w:r>
          </w:p>
        </w:tc>
        <w:tc>
          <w:tcPr>
            <w:tcW w:w="1420" w:type="dxa"/>
            <w:tcBorders>
              <w:top w:val="single" w:sz="4" w:space="0" w:color="auto"/>
              <w:left w:val="nil"/>
              <w:bottom w:val="single" w:sz="4" w:space="0" w:color="auto"/>
              <w:right w:val="nil"/>
            </w:tcBorders>
          </w:tcPr>
          <w:p w14:paraId="5BE7C090"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0.815</w:t>
            </w:r>
          </w:p>
        </w:tc>
      </w:tr>
      <w:tr w:rsidR="002F2202" w14:paraId="00A43343" w14:textId="77777777">
        <w:tc>
          <w:tcPr>
            <w:tcW w:w="2459" w:type="dxa"/>
            <w:tcBorders>
              <w:top w:val="single" w:sz="4" w:space="0" w:color="auto"/>
              <w:left w:val="nil"/>
              <w:bottom w:val="single" w:sz="4" w:space="0" w:color="auto"/>
              <w:right w:val="nil"/>
            </w:tcBorders>
          </w:tcPr>
          <w:p w14:paraId="141FE588"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Profitability x Dividend Policy</w:t>
            </w:r>
          </w:p>
        </w:tc>
        <w:tc>
          <w:tcPr>
            <w:tcW w:w="1710" w:type="dxa"/>
            <w:tcBorders>
              <w:top w:val="single" w:sz="4" w:space="0" w:color="auto"/>
              <w:left w:val="nil"/>
              <w:bottom w:val="single" w:sz="4" w:space="0" w:color="auto"/>
              <w:right w:val="nil"/>
            </w:tcBorders>
          </w:tcPr>
          <w:p w14:paraId="26B5614F"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-0.553</w:t>
            </w:r>
          </w:p>
        </w:tc>
        <w:tc>
          <w:tcPr>
            <w:tcW w:w="1335" w:type="dxa"/>
            <w:tcBorders>
              <w:top w:val="single" w:sz="4" w:space="0" w:color="auto"/>
              <w:left w:val="nil"/>
              <w:bottom w:val="single" w:sz="4" w:space="0" w:color="auto"/>
              <w:right w:val="nil"/>
            </w:tcBorders>
          </w:tcPr>
          <w:p w14:paraId="1762D171"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0.552</w:t>
            </w:r>
          </w:p>
        </w:tc>
        <w:tc>
          <w:tcPr>
            <w:tcW w:w="1500" w:type="dxa"/>
            <w:tcBorders>
              <w:top w:val="single" w:sz="4" w:space="0" w:color="auto"/>
              <w:left w:val="nil"/>
              <w:bottom w:val="single" w:sz="4" w:space="0" w:color="auto"/>
              <w:right w:val="nil"/>
            </w:tcBorders>
          </w:tcPr>
          <w:p w14:paraId="4509A94D"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-1.002</w:t>
            </w:r>
          </w:p>
        </w:tc>
        <w:tc>
          <w:tcPr>
            <w:tcW w:w="1420" w:type="dxa"/>
            <w:tcBorders>
              <w:top w:val="single" w:sz="4" w:space="0" w:color="auto"/>
              <w:left w:val="nil"/>
              <w:bottom w:val="single" w:sz="4" w:space="0" w:color="auto"/>
              <w:right w:val="nil"/>
            </w:tcBorders>
          </w:tcPr>
          <w:p w14:paraId="1EB0D33B"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0.320</w:t>
            </w:r>
          </w:p>
        </w:tc>
      </w:tr>
      <w:tr w:rsidR="002F2202" w14:paraId="5E8D698B" w14:textId="77777777">
        <w:tc>
          <w:tcPr>
            <w:tcW w:w="2459" w:type="dxa"/>
            <w:tcBorders>
              <w:top w:val="single" w:sz="4" w:space="0" w:color="auto"/>
              <w:left w:val="nil"/>
              <w:bottom w:val="single" w:sz="4" w:space="0" w:color="auto"/>
              <w:right w:val="nil"/>
            </w:tcBorders>
          </w:tcPr>
          <w:p w14:paraId="364F46FD"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Liquidity x Dividend Policy</w:t>
            </w:r>
          </w:p>
        </w:tc>
        <w:tc>
          <w:tcPr>
            <w:tcW w:w="1710" w:type="dxa"/>
            <w:tcBorders>
              <w:top w:val="single" w:sz="4" w:space="0" w:color="auto"/>
              <w:left w:val="nil"/>
              <w:bottom w:val="single" w:sz="4" w:space="0" w:color="auto"/>
              <w:right w:val="nil"/>
            </w:tcBorders>
          </w:tcPr>
          <w:p w14:paraId="1A6333DA"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0.279</w:t>
            </w:r>
          </w:p>
        </w:tc>
        <w:tc>
          <w:tcPr>
            <w:tcW w:w="1335" w:type="dxa"/>
            <w:tcBorders>
              <w:top w:val="single" w:sz="4" w:space="0" w:color="auto"/>
              <w:left w:val="nil"/>
              <w:bottom w:val="single" w:sz="4" w:space="0" w:color="auto"/>
              <w:right w:val="nil"/>
            </w:tcBorders>
          </w:tcPr>
          <w:p w14:paraId="6AC8EC43"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0.162</w:t>
            </w:r>
          </w:p>
        </w:tc>
        <w:tc>
          <w:tcPr>
            <w:tcW w:w="1500" w:type="dxa"/>
            <w:tcBorders>
              <w:top w:val="single" w:sz="4" w:space="0" w:color="auto"/>
              <w:left w:val="nil"/>
              <w:bottom w:val="single" w:sz="4" w:space="0" w:color="auto"/>
              <w:right w:val="nil"/>
            </w:tcBorders>
          </w:tcPr>
          <w:p w14:paraId="391CBDC7"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1.721</w:t>
            </w:r>
          </w:p>
        </w:tc>
        <w:tc>
          <w:tcPr>
            <w:tcW w:w="1420" w:type="dxa"/>
            <w:tcBorders>
              <w:top w:val="single" w:sz="4" w:space="0" w:color="auto"/>
              <w:left w:val="nil"/>
              <w:bottom w:val="single" w:sz="4" w:space="0" w:color="auto"/>
              <w:right w:val="nil"/>
            </w:tcBorders>
          </w:tcPr>
          <w:p w14:paraId="1EA94374"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0.090</w:t>
            </w:r>
          </w:p>
        </w:tc>
      </w:tr>
      <w:tr w:rsidR="002F2202" w14:paraId="5DECA73B" w14:textId="77777777">
        <w:tc>
          <w:tcPr>
            <w:tcW w:w="2459" w:type="dxa"/>
            <w:tcBorders>
              <w:top w:val="single" w:sz="4" w:space="0" w:color="auto"/>
              <w:left w:val="nil"/>
              <w:right w:val="nil"/>
            </w:tcBorders>
          </w:tcPr>
          <w:p w14:paraId="7216E05F"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Firm Size x Dividend Policy</w:t>
            </w:r>
          </w:p>
        </w:tc>
        <w:tc>
          <w:tcPr>
            <w:tcW w:w="1710" w:type="dxa"/>
            <w:tcBorders>
              <w:top w:val="single" w:sz="4" w:space="0" w:color="auto"/>
              <w:left w:val="nil"/>
              <w:right w:val="nil"/>
            </w:tcBorders>
          </w:tcPr>
          <w:p w14:paraId="72AA8569"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0.049</w:t>
            </w:r>
          </w:p>
        </w:tc>
        <w:tc>
          <w:tcPr>
            <w:tcW w:w="1335" w:type="dxa"/>
            <w:tcBorders>
              <w:top w:val="single" w:sz="4" w:space="0" w:color="auto"/>
              <w:left w:val="nil"/>
              <w:right w:val="nil"/>
            </w:tcBorders>
          </w:tcPr>
          <w:p w14:paraId="12CCF260"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0.131</w:t>
            </w:r>
          </w:p>
        </w:tc>
        <w:tc>
          <w:tcPr>
            <w:tcW w:w="1500" w:type="dxa"/>
            <w:tcBorders>
              <w:top w:val="single" w:sz="4" w:space="0" w:color="auto"/>
              <w:left w:val="nil"/>
              <w:right w:val="nil"/>
            </w:tcBorders>
          </w:tcPr>
          <w:p w14:paraId="5B7B0FA2"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0.373</w:t>
            </w:r>
          </w:p>
        </w:tc>
        <w:tc>
          <w:tcPr>
            <w:tcW w:w="1420" w:type="dxa"/>
            <w:tcBorders>
              <w:top w:val="single" w:sz="4" w:space="0" w:color="auto"/>
              <w:left w:val="nil"/>
              <w:right w:val="nil"/>
            </w:tcBorders>
          </w:tcPr>
          <w:p w14:paraId="1B13B3FD"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0.710</w:t>
            </w:r>
          </w:p>
        </w:tc>
      </w:tr>
    </w:tbl>
    <w:p w14:paraId="5AD876B9" w14:textId="77777777" w:rsidR="002F2202" w:rsidRDefault="002F2202">
      <w:pPr>
        <w:spacing w:line="360" w:lineRule="auto"/>
        <w:jc w:val="both"/>
        <w:rPr>
          <w:rFonts w:ascii="Arial" w:hAnsi="Arial" w:cs="Arial"/>
          <w:b/>
          <w:bCs/>
          <w:u w:val="single"/>
          <w:lang w:val="id-ID" w:eastAsia="zh-CN"/>
        </w:rPr>
      </w:pPr>
    </w:p>
    <w:p w14:paraId="3D4F6D73" w14:textId="77777777" w:rsidR="002F2202" w:rsidRDefault="00000000">
      <w:pPr>
        <w:pStyle w:val="NormalWeb"/>
        <w:jc w:val="both"/>
        <w:rPr>
          <w:rFonts w:ascii="Arial" w:eastAsia="sans-serif" w:hAnsi="Arial" w:cs="Arial"/>
          <w:sz w:val="20"/>
          <w:szCs w:val="20"/>
          <w:lang w:val="id-ID"/>
        </w:rPr>
      </w:pPr>
      <w:r>
        <w:rPr>
          <w:rFonts w:ascii="Arial" w:hAnsi="Arial" w:cs="Arial"/>
          <w:sz w:val="20"/>
          <w:szCs w:val="20"/>
        </w:rPr>
        <w:t xml:space="preserve">The level of firm value when all independent and </w:t>
      </w:r>
      <w:proofErr w:type="gramStart"/>
      <w:r>
        <w:rPr>
          <w:rFonts w:ascii="Arial" w:hAnsi="Arial" w:cs="Arial"/>
          <w:sz w:val="20"/>
          <w:szCs w:val="20"/>
        </w:rPr>
        <w:t>moderating</w:t>
      </w:r>
      <w:proofErr w:type="gramEnd"/>
      <w:r>
        <w:rPr>
          <w:rFonts w:ascii="Arial" w:hAnsi="Arial" w:cs="Arial"/>
          <w:sz w:val="20"/>
          <w:szCs w:val="20"/>
        </w:rPr>
        <w:t xml:space="preserve"> variables are taken to be constant is 3.354, as Table 7 </w:t>
      </w:r>
      <w:proofErr w:type="spellStart"/>
      <w:proofErr w:type="gramStart"/>
      <w:r>
        <w:rPr>
          <w:rFonts w:ascii="Arial" w:hAnsi="Arial" w:cs="Arial"/>
          <w:sz w:val="20"/>
          <w:szCs w:val="20"/>
        </w:rPr>
        <w:t>illustrates.he</w:t>
      </w:r>
      <w:proofErr w:type="spellEnd"/>
      <w:proofErr w:type="gramEnd"/>
      <w:r>
        <w:rPr>
          <w:rFonts w:ascii="Arial" w:hAnsi="Arial" w:cs="Arial"/>
          <w:sz w:val="20"/>
          <w:szCs w:val="20"/>
        </w:rPr>
        <w:t xml:space="preserve"> profitability regression coefficient is -1.226, indicating a negative correlation with the firm's value. The value of liquidity is 0.287, which is positive. This implies that an increase in liquidity frequently leads to an increase in the firm's </w:t>
      </w:r>
      <w:r>
        <w:rPr>
          <w:rFonts w:ascii="Arial" w:hAnsi="Arial" w:cs="Arial"/>
          <w:sz w:val="20"/>
          <w:szCs w:val="20"/>
          <w:lang w:val="id-ID"/>
        </w:rPr>
        <w:t>value</w:t>
      </w:r>
      <w:r>
        <w:rPr>
          <w:rFonts w:ascii="Arial" w:hAnsi="Arial" w:cs="Arial"/>
          <w:sz w:val="20"/>
          <w:szCs w:val="20"/>
        </w:rPr>
        <w:t xml:space="preserve">. The correlation between firm size and value is -0.082, meaning that a larger corporation does not always have a greater firm value. The dividend policy's number, -0.913, shows a negative correlation with the </w:t>
      </w:r>
      <w:r>
        <w:rPr>
          <w:rFonts w:ascii="Arial" w:hAnsi="Arial" w:cs="Arial"/>
          <w:sz w:val="20"/>
          <w:szCs w:val="20"/>
          <w:lang w:val="id-ID"/>
        </w:rPr>
        <w:t>firm</w:t>
      </w:r>
      <w:r>
        <w:rPr>
          <w:rFonts w:ascii="Arial" w:hAnsi="Arial" w:cs="Arial"/>
          <w:sz w:val="20"/>
          <w:szCs w:val="20"/>
        </w:rPr>
        <w:t xml:space="preserve"> value. The figure that shows the relationship between profitability and dividend policy is -0.553.</w:t>
      </w:r>
      <w:r>
        <w:rPr>
          <w:rFonts w:ascii="Arial" w:hAnsi="Arial" w:cs="Arial"/>
          <w:sz w:val="20"/>
          <w:szCs w:val="20"/>
          <w:lang w:val="id-ID"/>
        </w:rPr>
        <w:t xml:space="preserve"> </w:t>
      </w:r>
      <w:r>
        <w:rPr>
          <w:rFonts w:ascii="Arial" w:eastAsia="sans-serif" w:hAnsi="Arial" w:cs="Arial"/>
          <w:sz w:val="20"/>
          <w:szCs w:val="20"/>
        </w:rPr>
        <w:t xml:space="preserve">This indicates that the way a corporation manages its dividend policy weakens the relationship between </w:t>
      </w:r>
      <w:r>
        <w:rPr>
          <w:rFonts w:ascii="Arial" w:eastAsia="sans-serif" w:hAnsi="Arial" w:cs="Arial"/>
          <w:sz w:val="20"/>
          <w:szCs w:val="20"/>
          <w:lang w:val="id-ID"/>
        </w:rPr>
        <w:t>profitability</w:t>
      </w:r>
      <w:r>
        <w:rPr>
          <w:rFonts w:ascii="Arial" w:eastAsia="sans-serif" w:hAnsi="Arial" w:cs="Arial"/>
          <w:sz w:val="20"/>
          <w:szCs w:val="20"/>
        </w:rPr>
        <w:t xml:space="preserve"> and firm value. Conversely, there is a positive correlation of 0.279 between dividend policy and liquidity. This implies that a company's dividend policy strengthens the effect of liquidity on the firm's value.</w:t>
      </w:r>
      <w:r>
        <w:rPr>
          <w:rFonts w:ascii="Arial" w:eastAsia="sans-serif" w:hAnsi="Arial" w:cs="Arial"/>
          <w:sz w:val="20"/>
          <w:szCs w:val="20"/>
          <w:lang w:val="id-ID"/>
        </w:rPr>
        <w:t xml:space="preserve"> C</w:t>
      </w:r>
      <w:proofErr w:type="spellStart"/>
      <w:r>
        <w:rPr>
          <w:rFonts w:ascii="Arial" w:eastAsia="sans-serif" w:hAnsi="Arial" w:cs="Arial"/>
          <w:sz w:val="20"/>
          <w:szCs w:val="20"/>
        </w:rPr>
        <w:t>ompany</w:t>
      </w:r>
      <w:proofErr w:type="spellEnd"/>
      <w:r>
        <w:rPr>
          <w:rFonts w:ascii="Arial" w:eastAsia="sans-serif" w:hAnsi="Arial" w:cs="Arial"/>
          <w:sz w:val="20"/>
          <w:szCs w:val="20"/>
        </w:rPr>
        <w:t xml:space="preserve"> size has a bigger influence on how dividend policy influences</w:t>
      </w:r>
      <w:r>
        <w:rPr>
          <w:rFonts w:ascii="Arial" w:eastAsia="sans-serif" w:hAnsi="Arial" w:cs="Arial"/>
          <w:sz w:val="20"/>
          <w:szCs w:val="20"/>
          <w:lang w:val="id-ID"/>
        </w:rPr>
        <w:t xml:space="preserve"> firm </w:t>
      </w:r>
      <w:r>
        <w:rPr>
          <w:rFonts w:ascii="Arial" w:eastAsia="sans-serif" w:hAnsi="Arial" w:cs="Arial"/>
          <w:sz w:val="20"/>
          <w:szCs w:val="20"/>
        </w:rPr>
        <w:t>value, according to the interaction coefficient of 0.049 between dividend policy and firm size.</w:t>
      </w:r>
    </w:p>
    <w:p w14:paraId="2B26B13E" w14:textId="77777777" w:rsidR="002F2202" w:rsidRDefault="00000000">
      <w:pPr>
        <w:spacing w:line="360" w:lineRule="auto"/>
        <w:jc w:val="both"/>
        <w:rPr>
          <w:rFonts w:ascii="Arial" w:hAnsi="Arial" w:cs="Arial"/>
          <w:b/>
          <w:bCs/>
          <w:sz w:val="22"/>
          <w:szCs w:val="22"/>
          <w:u w:val="single"/>
          <w:lang w:val="id-ID" w:eastAsia="zh-CN"/>
        </w:rPr>
      </w:pPr>
      <w:r>
        <w:rPr>
          <w:rFonts w:ascii="Arial" w:hAnsi="Arial" w:cs="Arial"/>
          <w:b/>
          <w:bCs/>
          <w:sz w:val="22"/>
          <w:szCs w:val="22"/>
          <w:u w:val="single"/>
          <w:lang w:val="id-ID" w:eastAsia="zh-CN"/>
        </w:rPr>
        <w:t>3.1.7 Coefficient of Determination Test</w:t>
      </w:r>
    </w:p>
    <w:p w14:paraId="066A508C" w14:textId="77777777" w:rsidR="002F2202" w:rsidRDefault="002F2202">
      <w:pPr>
        <w:pStyle w:val="Body"/>
        <w:spacing w:after="0" w:line="360" w:lineRule="auto"/>
        <w:rPr>
          <w:rFonts w:ascii="Arial" w:hAnsi="Arial" w:cs="Arial"/>
          <w:b/>
          <w:bCs/>
          <w:lang w:val="id-ID"/>
        </w:rPr>
      </w:pPr>
    </w:p>
    <w:p w14:paraId="37A0C71A" w14:textId="77777777" w:rsidR="002F2202" w:rsidRDefault="00000000">
      <w:pPr>
        <w:spacing w:line="360" w:lineRule="auto"/>
        <w:ind w:left="1440" w:firstLine="720"/>
        <w:jc w:val="both"/>
        <w:rPr>
          <w:rFonts w:ascii="Arial" w:hAnsi="Arial" w:cs="Arial"/>
          <w:b/>
          <w:bCs/>
          <w:lang w:val="id-ID" w:eastAsia="zh-CN"/>
        </w:rPr>
      </w:pPr>
      <w:r>
        <w:rPr>
          <w:rFonts w:ascii="Arial" w:hAnsi="Arial" w:cs="Arial"/>
          <w:b/>
          <w:bCs/>
          <w:lang w:val="id-ID"/>
        </w:rPr>
        <w:t xml:space="preserve">Table. 8 </w:t>
      </w:r>
      <w:r>
        <w:rPr>
          <w:rFonts w:ascii="Arial" w:hAnsi="Arial" w:cs="Arial"/>
          <w:b/>
          <w:bCs/>
          <w:lang w:val="id-ID" w:eastAsia="zh-CN"/>
        </w:rPr>
        <w:t>Coefficient of Determination Test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8"/>
        <w:gridCol w:w="2808"/>
      </w:tblGrid>
      <w:tr w:rsidR="002F2202" w14:paraId="4466BB15" w14:textId="77777777">
        <w:tc>
          <w:tcPr>
            <w:tcW w:w="2808" w:type="dxa"/>
            <w:tcBorders>
              <w:left w:val="nil"/>
              <w:right w:val="nil"/>
            </w:tcBorders>
          </w:tcPr>
          <w:p w14:paraId="2E030BC9"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R</w:t>
            </w:r>
          </w:p>
        </w:tc>
        <w:tc>
          <w:tcPr>
            <w:tcW w:w="2808" w:type="dxa"/>
            <w:tcBorders>
              <w:left w:val="nil"/>
              <w:right w:val="nil"/>
            </w:tcBorders>
          </w:tcPr>
          <w:p w14:paraId="45E7E19B" w14:textId="77777777" w:rsidR="002F2202" w:rsidRDefault="00000000">
            <w:pPr>
              <w:spacing w:line="360" w:lineRule="auto"/>
              <w:jc w:val="center"/>
              <w:rPr>
                <w:rFonts w:ascii="Arial" w:hAnsi="Arial" w:cs="Arial"/>
                <w:b/>
                <w:bCs/>
                <w:sz w:val="20"/>
                <w:szCs w:val="20"/>
                <w:vertAlign w:val="superscript"/>
                <w:lang w:val="id-ID" w:eastAsia="zh-CN"/>
              </w:rPr>
            </w:pPr>
            <w:r>
              <w:rPr>
                <w:rFonts w:ascii="Arial" w:hAnsi="Arial" w:cs="Arial"/>
                <w:b/>
                <w:bCs/>
                <w:sz w:val="20"/>
                <w:szCs w:val="20"/>
                <w:lang w:val="id-ID" w:eastAsia="zh-CN"/>
              </w:rPr>
              <w:t>R</w:t>
            </w:r>
            <w:r>
              <w:rPr>
                <w:rFonts w:ascii="Arial" w:hAnsi="Arial" w:cs="Arial"/>
                <w:b/>
                <w:bCs/>
                <w:sz w:val="20"/>
                <w:szCs w:val="20"/>
                <w:vertAlign w:val="superscript"/>
                <w:lang w:val="id-ID" w:eastAsia="zh-CN"/>
              </w:rPr>
              <w:t>2</w:t>
            </w:r>
          </w:p>
        </w:tc>
        <w:tc>
          <w:tcPr>
            <w:tcW w:w="2808" w:type="dxa"/>
            <w:tcBorders>
              <w:left w:val="nil"/>
              <w:right w:val="nil"/>
            </w:tcBorders>
          </w:tcPr>
          <w:p w14:paraId="6BC6CB00" w14:textId="77777777" w:rsidR="002F2202" w:rsidRDefault="00000000">
            <w:pPr>
              <w:spacing w:line="360" w:lineRule="auto"/>
              <w:jc w:val="center"/>
              <w:rPr>
                <w:rFonts w:ascii="Arial" w:hAnsi="Arial" w:cs="Arial"/>
                <w:b/>
                <w:bCs/>
                <w:sz w:val="20"/>
                <w:szCs w:val="20"/>
                <w:vertAlign w:val="superscript"/>
                <w:lang w:val="id-ID" w:eastAsia="zh-CN"/>
              </w:rPr>
            </w:pPr>
            <w:r>
              <w:rPr>
                <w:rFonts w:ascii="Arial" w:hAnsi="Arial" w:cs="Arial"/>
                <w:b/>
                <w:bCs/>
                <w:sz w:val="20"/>
                <w:szCs w:val="20"/>
                <w:lang w:val="id-ID" w:eastAsia="zh-CN"/>
              </w:rPr>
              <w:t>Adjusted R</w:t>
            </w:r>
            <w:r>
              <w:rPr>
                <w:rFonts w:ascii="Arial" w:hAnsi="Arial" w:cs="Arial"/>
                <w:b/>
                <w:bCs/>
                <w:sz w:val="20"/>
                <w:szCs w:val="20"/>
                <w:vertAlign w:val="superscript"/>
                <w:lang w:val="id-ID" w:eastAsia="zh-CN"/>
              </w:rPr>
              <w:t>2</w:t>
            </w:r>
          </w:p>
        </w:tc>
      </w:tr>
      <w:tr w:rsidR="002F2202" w14:paraId="43160EDB" w14:textId="77777777">
        <w:tc>
          <w:tcPr>
            <w:tcW w:w="2808" w:type="dxa"/>
            <w:tcBorders>
              <w:left w:val="nil"/>
              <w:right w:val="nil"/>
            </w:tcBorders>
          </w:tcPr>
          <w:p w14:paraId="3423E6AD"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0.799</w:t>
            </w:r>
          </w:p>
        </w:tc>
        <w:tc>
          <w:tcPr>
            <w:tcW w:w="2808" w:type="dxa"/>
            <w:tcBorders>
              <w:left w:val="nil"/>
              <w:right w:val="nil"/>
            </w:tcBorders>
          </w:tcPr>
          <w:p w14:paraId="605550B7"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0.639</w:t>
            </w:r>
          </w:p>
        </w:tc>
        <w:tc>
          <w:tcPr>
            <w:tcW w:w="2808" w:type="dxa"/>
            <w:tcBorders>
              <w:left w:val="nil"/>
              <w:right w:val="nil"/>
            </w:tcBorders>
          </w:tcPr>
          <w:p w14:paraId="44065C77"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0.619</w:t>
            </w:r>
          </w:p>
        </w:tc>
      </w:tr>
    </w:tbl>
    <w:p w14:paraId="4044C84B" w14:textId="77777777" w:rsidR="002F2202" w:rsidRDefault="002F2202">
      <w:pPr>
        <w:spacing w:line="360" w:lineRule="auto"/>
        <w:jc w:val="both"/>
        <w:rPr>
          <w:rFonts w:ascii="Arial" w:hAnsi="Arial" w:cs="Arial"/>
        </w:rPr>
      </w:pPr>
    </w:p>
    <w:p w14:paraId="29C4ABD5" w14:textId="77777777" w:rsidR="002F2202" w:rsidRDefault="00000000">
      <w:pPr>
        <w:pStyle w:val="Body"/>
        <w:spacing w:after="0"/>
        <w:rPr>
          <w:rFonts w:ascii="Arial" w:eastAsia="sans-serif" w:hAnsi="Arial" w:cs="Arial"/>
        </w:rPr>
      </w:pPr>
      <w:r>
        <w:rPr>
          <w:rFonts w:ascii="Arial" w:eastAsia="sans-serif" w:hAnsi="Arial" w:cs="Arial"/>
        </w:rPr>
        <w:t xml:space="preserve">According to Table 8, The firm value's R-square value is 0.639. These figures show that 63.9% of the fluctuations in firm value may be explained by factors including profitability, </w:t>
      </w:r>
      <w:r>
        <w:rPr>
          <w:rFonts w:ascii="Arial" w:eastAsia="sans-serif" w:hAnsi="Arial" w:cs="Arial"/>
        </w:rPr>
        <w:lastRenderedPageBreak/>
        <w:t>liquidity, firm size, and dividend policy, which acts as a moderating influence. Other factors not included in the model account for the remaining 36.9%.</w:t>
      </w:r>
    </w:p>
    <w:p w14:paraId="7900C1E6" w14:textId="77777777" w:rsidR="002F2202" w:rsidRDefault="002F2202">
      <w:pPr>
        <w:pStyle w:val="Body"/>
        <w:spacing w:after="0"/>
        <w:rPr>
          <w:rFonts w:ascii="Arial" w:eastAsia="sans-serif" w:hAnsi="Arial" w:cs="Arial"/>
          <w:lang w:val="id-ID"/>
        </w:rPr>
      </w:pPr>
    </w:p>
    <w:p w14:paraId="2D1B8540" w14:textId="77777777" w:rsidR="002F2202" w:rsidRDefault="00000000">
      <w:pPr>
        <w:spacing w:line="360" w:lineRule="auto"/>
        <w:jc w:val="both"/>
        <w:rPr>
          <w:rFonts w:ascii="Arial" w:hAnsi="Arial" w:cs="Arial"/>
          <w:sz w:val="22"/>
          <w:szCs w:val="22"/>
          <w:lang w:val="id-ID"/>
        </w:rPr>
      </w:pPr>
      <w:r>
        <w:rPr>
          <w:rFonts w:ascii="Arial" w:hAnsi="Arial" w:cs="Arial"/>
          <w:b/>
          <w:bCs/>
          <w:sz w:val="22"/>
          <w:szCs w:val="22"/>
          <w:u w:val="single"/>
          <w:lang w:val="id-ID" w:eastAsia="zh-CN"/>
        </w:rPr>
        <w:t>3.1.8 Partial Test</w:t>
      </w:r>
    </w:p>
    <w:p w14:paraId="13D3A2EC" w14:textId="77777777" w:rsidR="002F2202" w:rsidRDefault="00000000">
      <w:pPr>
        <w:spacing w:line="360" w:lineRule="auto"/>
        <w:ind w:left="2160" w:firstLineChars="510" w:firstLine="1024"/>
        <w:jc w:val="both"/>
        <w:rPr>
          <w:rFonts w:ascii="Arial" w:hAnsi="Arial" w:cs="Arial"/>
          <w:b/>
          <w:bCs/>
          <w:lang w:val="id-ID"/>
        </w:rPr>
      </w:pPr>
      <w:r>
        <w:rPr>
          <w:rFonts w:ascii="Arial" w:hAnsi="Arial" w:cs="Arial"/>
          <w:b/>
          <w:bCs/>
          <w:lang w:val="id-ID"/>
        </w:rPr>
        <w:t>Table. 9 Partial Test</w:t>
      </w:r>
    </w:p>
    <w:tbl>
      <w:tblPr>
        <w:tblStyle w:val="TableGrid"/>
        <w:tblW w:w="7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027"/>
        <w:gridCol w:w="1409"/>
        <w:gridCol w:w="1236"/>
        <w:gridCol w:w="1170"/>
      </w:tblGrid>
      <w:tr w:rsidR="002F2202" w14:paraId="516E6C3D" w14:textId="77777777">
        <w:trPr>
          <w:jc w:val="center"/>
        </w:trPr>
        <w:tc>
          <w:tcPr>
            <w:tcW w:w="2027" w:type="dxa"/>
            <w:tcBorders>
              <w:left w:val="nil"/>
              <w:bottom w:val="single" w:sz="4" w:space="0" w:color="auto"/>
              <w:right w:val="nil"/>
            </w:tcBorders>
          </w:tcPr>
          <w:p w14:paraId="391DF3D4"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Hypothesis</w:t>
            </w:r>
          </w:p>
        </w:tc>
        <w:tc>
          <w:tcPr>
            <w:tcW w:w="2027" w:type="dxa"/>
            <w:tcBorders>
              <w:left w:val="nil"/>
              <w:bottom w:val="single" w:sz="4" w:space="0" w:color="auto"/>
              <w:right w:val="nil"/>
            </w:tcBorders>
          </w:tcPr>
          <w:p w14:paraId="4D1FD96B"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Variables</w:t>
            </w:r>
          </w:p>
        </w:tc>
        <w:tc>
          <w:tcPr>
            <w:tcW w:w="1409" w:type="dxa"/>
            <w:tcBorders>
              <w:left w:val="nil"/>
              <w:bottom w:val="single" w:sz="4" w:space="0" w:color="auto"/>
              <w:right w:val="nil"/>
            </w:tcBorders>
          </w:tcPr>
          <w:p w14:paraId="59E4A9B3"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Coefficient (β)</w:t>
            </w:r>
          </w:p>
        </w:tc>
        <w:tc>
          <w:tcPr>
            <w:tcW w:w="1236" w:type="dxa"/>
            <w:tcBorders>
              <w:left w:val="nil"/>
              <w:bottom w:val="single" w:sz="4" w:space="0" w:color="auto"/>
              <w:right w:val="nil"/>
            </w:tcBorders>
          </w:tcPr>
          <w:p w14:paraId="344F0AF9"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t-statistic</w:t>
            </w:r>
          </w:p>
        </w:tc>
        <w:tc>
          <w:tcPr>
            <w:tcW w:w="1170" w:type="dxa"/>
            <w:tcBorders>
              <w:left w:val="nil"/>
              <w:bottom w:val="single" w:sz="4" w:space="0" w:color="auto"/>
              <w:right w:val="nil"/>
            </w:tcBorders>
          </w:tcPr>
          <w:p w14:paraId="5764CF38"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p-value</w:t>
            </w:r>
          </w:p>
        </w:tc>
      </w:tr>
      <w:tr w:rsidR="002F2202" w14:paraId="61A3BBA4" w14:textId="77777777">
        <w:trPr>
          <w:jc w:val="center"/>
        </w:trPr>
        <w:tc>
          <w:tcPr>
            <w:tcW w:w="2027" w:type="dxa"/>
            <w:tcBorders>
              <w:top w:val="single" w:sz="4" w:space="0" w:color="auto"/>
              <w:left w:val="nil"/>
              <w:bottom w:val="single" w:sz="4" w:space="0" w:color="auto"/>
              <w:right w:val="nil"/>
            </w:tcBorders>
          </w:tcPr>
          <w:p w14:paraId="143B3249"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H1</w:t>
            </w:r>
          </w:p>
        </w:tc>
        <w:tc>
          <w:tcPr>
            <w:tcW w:w="2027" w:type="dxa"/>
            <w:tcBorders>
              <w:top w:val="single" w:sz="4" w:space="0" w:color="auto"/>
              <w:left w:val="nil"/>
              <w:bottom w:val="single" w:sz="4" w:space="0" w:color="auto"/>
              <w:right w:val="nil"/>
            </w:tcBorders>
          </w:tcPr>
          <w:p w14:paraId="3E04D0FE"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Profitability -&gt; Firm Value</w:t>
            </w:r>
          </w:p>
        </w:tc>
        <w:tc>
          <w:tcPr>
            <w:tcW w:w="1409" w:type="dxa"/>
            <w:tcBorders>
              <w:top w:val="single" w:sz="4" w:space="0" w:color="auto"/>
              <w:left w:val="nil"/>
              <w:bottom w:val="single" w:sz="4" w:space="0" w:color="auto"/>
              <w:right w:val="nil"/>
            </w:tcBorders>
          </w:tcPr>
          <w:p w14:paraId="59D27C22"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-1.226</w:t>
            </w:r>
          </w:p>
        </w:tc>
        <w:tc>
          <w:tcPr>
            <w:tcW w:w="1236" w:type="dxa"/>
            <w:tcBorders>
              <w:top w:val="single" w:sz="4" w:space="0" w:color="auto"/>
              <w:left w:val="nil"/>
              <w:bottom w:val="single" w:sz="4" w:space="0" w:color="auto"/>
              <w:right w:val="nil"/>
            </w:tcBorders>
          </w:tcPr>
          <w:p w14:paraId="7AF118B6"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-3.133</w:t>
            </w:r>
          </w:p>
        </w:tc>
        <w:tc>
          <w:tcPr>
            <w:tcW w:w="1170" w:type="dxa"/>
            <w:tcBorders>
              <w:top w:val="single" w:sz="4" w:space="0" w:color="auto"/>
              <w:left w:val="nil"/>
              <w:bottom w:val="single" w:sz="4" w:space="0" w:color="auto"/>
              <w:right w:val="nil"/>
            </w:tcBorders>
          </w:tcPr>
          <w:p w14:paraId="0E4E01B2"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0.003</w:t>
            </w:r>
          </w:p>
        </w:tc>
      </w:tr>
      <w:tr w:rsidR="002F2202" w14:paraId="14959D8C" w14:textId="77777777">
        <w:trPr>
          <w:jc w:val="center"/>
        </w:trPr>
        <w:tc>
          <w:tcPr>
            <w:tcW w:w="2027" w:type="dxa"/>
            <w:tcBorders>
              <w:top w:val="single" w:sz="4" w:space="0" w:color="auto"/>
              <w:left w:val="nil"/>
              <w:bottom w:val="single" w:sz="4" w:space="0" w:color="auto"/>
              <w:right w:val="nil"/>
            </w:tcBorders>
          </w:tcPr>
          <w:p w14:paraId="61626256"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H2</w:t>
            </w:r>
          </w:p>
        </w:tc>
        <w:tc>
          <w:tcPr>
            <w:tcW w:w="2027" w:type="dxa"/>
            <w:tcBorders>
              <w:top w:val="single" w:sz="4" w:space="0" w:color="auto"/>
              <w:left w:val="nil"/>
              <w:bottom w:val="single" w:sz="4" w:space="0" w:color="auto"/>
              <w:right w:val="nil"/>
            </w:tcBorders>
          </w:tcPr>
          <w:p w14:paraId="16635C54"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Liquidity -&gt; Firm Value</w:t>
            </w:r>
          </w:p>
        </w:tc>
        <w:tc>
          <w:tcPr>
            <w:tcW w:w="1409" w:type="dxa"/>
            <w:tcBorders>
              <w:top w:val="single" w:sz="4" w:space="0" w:color="auto"/>
              <w:left w:val="nil"/>
              <w:bottom w:val="single" w:sz="4" w:space="0" w:color="auto"/>
              <w:right w:val="nil"/>
            </w:tcBorders>
          </w:tcPr>
          <w:p w14:paraId="7CD9C93F"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0.287</w:t>
            </w:r>
          </w:p>
        </w:tc>
        <w:tc>
          <w:tcPr>
            <w:tcW w:w="1236" w:type="dxa"/>
            <w:tcBorders>
              <w:top w:val="single" w:sz="4" w:space="0" w:color="auto"/>
              <w:left w:val="nil"/>
              <w:bottom w:val="single" w:sz="4" w:space="0" w:color="auto"/>
              <w:right w:val="nil"/>
            </w:tcBorders>
          </w:tcPr>
          <w:p w14:paraId="4A0A61B5"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2.701</w:t>
            </w:r>
          </w:p>
        </w:tc>
        <w:tc>
          <w:tcPr>
            <w:tcW w:w="1170" w:type="dxa"/>
            <w:tcBorders>
              <w:top w:val="single" w:sz="4" w:space="0" w:color="auto"/>
              <w:left w:val="nil"/>
              <w:bottom w:val="single" w:sz="4" w:space="0" w:color="auto"/>
              <w:right w:val="nil"/>
            </w:tcBorders>
          </w:tcPr>
          <w:p w14:paraId="0B534548"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0.009</w:t>
            </w:r>
          </w:p>
        </w:tc>
      </w:tr>
      <w:tr w:rsidR="002F2202" w14:paraId="119CF4CE" w14:textId="77777777">
        <w:trPr>
          <w:jc w:val="center"/>
        </w:trPr>
        <w:tc>
          <w:tcPr>
            <w:tcW w:w="2027" w:type="dxa"/>
            <w:tcBorders>
              <w:top w:val="single" w:sz="4" w:space="0" w:color="auto"/>
              <w:left w:val="nil"/>
              <w:bottom w:val="single" w:sz="4" w:space="0" w:color="auto"/>
              <w:right w:val="nil"/>
            </w:tcBorders>
          </w:tcPr>
          <w:p w14:paraId="4AC9B4CA"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H3</w:t>
            </w:r>
          </w:p>
        </w:tc>
        <w:tc>
          <w:tcPr>
            <w:tcW w:w="2027" w:type="dxa"/>
            <w:tcBorders>
              <w:top w:val="single" w:sz="4" w:space="0" w:color="auto"/>
              <w:left w:val="nil"/>
              <w:bottom w:val="single" w:sz="4" w:space="0" w:color="auto"/>
              <w:right w:val="nil"/>
            </w:tcBorders>
          </w:tcPr>
          <w:p w14:paraId="37297450"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Firm Size -&gt; Firm Value</w:t>
            </w:r>
          </w:p>
        </w:tc>
        <w:tc>
          <w:tcPr>
            <w:tcW w:w="1409" w:type="dxa"/>
            <w:tcBorders>
              <w:top w:val="single" w:sz="4" w:space="0" w:color="auto"/>
              <w:left w:val="nil"/>
              <w:bottom w:val="single" w:sz="4" w:space="0" w:color="auto"/>
              <w:right w:val="nil"/>
            </w:tcBorders>
          </w:tcPr>
          <w:p w14:paraId="4C5FED1D"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-0.082</w:t>
            </w:r>
          </w:p>
        </w:tc>
        <w:tc>
          <w:tcPr>
            <w:tcW w:w="1236" w:type="dxa"/>
            <w:tcBorders>
              <w:top w:val="single" w:sz="4" w:space="0" w:color="auto"/>
              <w:left w:val="nil"/>
              <w:bottom w:val="single" w:sz="4" w:space="0" w:color="auto"/>
              <w:right w:val="nil"/>
            </w:tcBorders>
          </w:tcPr>
          <w:p w14:paraId="17185963"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-1.187</w:t>
            </w:r>
          </w:p>
        </w:tc>
        <w:tc>
          <w:tcPr>
            <w:tcW w:w="1170" w:type="dxa"/>
            <w:tcBorders>
              <w:top w:val="single" w:sz="4" w:space="0" w:color="auto"/>
              <w:left w:val="nil"/>
              <w:bottom w:val="single" w:sz="4" w:space="0" w:color="auto"/>
              <w:right w:val="nil"/>
            </w:tcBorders>
          </w:tcPr>
          <w:p w14:paraId="1C29FB5E"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0.239</w:t>
            </w:r>
          </w:p>
        </w:tc>
      </w:tr>
      <w:tr w:rsidR="002F2202" w14:paraId="142707FF" w14:textId="77777777">
        <w:trPr>
          <w:jc w:val="center"/>
        </w:trPr>
        <w:tc>
          <w:tcPr>
            <w:tcW w:w="2027" w:type="dxa"/>
            <w:tcBorders>
              <w:top w:val="single" w:sz="4" w:space="0" w:color="auto"/>
              <w:left w:val="nil"/>
              <w:bottom w:val="single" w:sz="4" w:space="0" w:color="auto"/>
              <w:right w:val="nil"/>
            </w:tcBorders>
          </w:tcPr>
          <w:p w14:paraId="4D684A64"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H4</w:t>
            </w:r>
          </w:p>
        </w:tc>
        <w:tc>
          <w:tcPr>
            <w:tcW w:w="2027" w:type="dxa"/>
            <w:tcBorders>
              <w:top w:val="single" w:sz="4" w:space="0" w:color="auto"/>
              <w:left w:val="nil"/>
              <w:bottom w:val="single" w:sz="4" w:space="0" w:color="auto"/>
              <w:right w:val="nil"/>
            </w:tcBorders>
          </w:tcPr>
          <w:p w14:paraId="34FACA13"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Profitability x Dividend Policy -&gt; Firm Value</w:t>
            </w:r>
          </w:p>
        </w:tc>
        <w:tc>
          <w:tcPr>
            <w:tcW w:w="1409" w:type="dxa"/>
            <w:tcBorders>
              <w:top w:val="single" w:sz="4" w:space="0" w:color="auto"/>
              <w:left w:val="nil"/>
              <w:bottom w:val="single" w:sz="4" w:space="0" w:color="auto"/>
              <w:right w:val="nil"/>
            </w:tcBorders>
          </w:tcPr>
          <w:p w14:paraId="14271C63"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-0.553</w:t>
            </w:r>
          </w:p>
        </w:tc>
        <w:tc>
          <w:tcPr>
            <w:tcW w:w="1236" w:type="dxa"/>
            <w:tcBorders>
              <w:top w:val="single" w:sz="4" w:space="0" w:color="auto"/>
              <w:left w:val="nil"/>
              <w:bottom w:val="single" w:sz="4" w:space="0" w:color="auto"/>
              <w:right w:val="nil"/>
            </w:tcBorders>
          </w:tcPr>
          <w:p w14:paraId="3B78C181"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-1.002</w:t>
            </w:r>
          </w:p>
        </w:tc>
        <w:tc>
          <w:tcPr>
            <w:tcW w:w="1170" w:type="dxa"/>
            <w:tcBorders>
              <w:top w:val="single" w:sz="4" w:space="0" w:color="auto"/>
              <w:left w:val="nil"/>
              <w:bottom w:val="single" w:sz="4" w:space="0" w:color="auto"/>
              <w:right w:val="nil"/>
            </w:tcBorders>
          </w:tcPr>
          <w:p w14:paraId="22A44CE7"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0.320</w:t>
            </w:r>
          </w:p>
        </w:tc>
      </w:tr>
      <w:tr w:rsidR="002F2202" w14:paraId="43C1BDF1" w14:textId="77777777">
        <w:trPr>
          <w:jc w:val="center"/>
        </w:trPr>
        <w:tc>
          <w:tcPr>
            <w:tcW w:w="2027" w:type="dxa"/>
            <w:tcBorders>
              <w:top w:val="single" w:sz="4" w:space="0" w:color="auto"/>
              <w:left w:val="nil"/>
              <w:bottom w:val="single" w:sz="4" w:space="0" w:color="auto"/>
              <w:right w:val="nil"/>
            </w:tcBorders>
          </w:tcPr>
          <w:p w14:paraId="386A7F74"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H5</w:t>
            </w:r>
          </w:p>
        </w:tc>
        <w:tc>
          <w:tcPr>
            <w:tcW w:w="2027" w:type="dxa"/>
            <w:tcBorders>
              <w:top w:val="single" w:sz="4" w:space="0" w:color="auto"/>
              <w:left w:val="nil"/>
              <w:bottom w:val="single" w:sz="4" w:space="0" w:color="auto"/>
              <w:right w:val="nil"/>
            </w:tcBorders>
          </w:tcPr>
          <w:p w14:paraId="68A8595C"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Liquidity x Dividend Policy -&gt; Firm Value</w:t>
            </w:r>
          </w:p>
        </w:tc>
        <w:tc>
          <w:tcPr>
            <w:tcW w:w="1409" w:type="dxa"/>
            <w:tcBorders>
              <w:top w:val="single" w:sz="4" w:space="0" w:color="auto"/>
              <w:left w:val="nil"/>
              <w:bottom w:val="single" w:sz="4" w:space="0" w:color="auto"/>
              <w:right w:val="nil"/>
            </w:tcBorders>
          </w:tcPr>
          <w:p w14:paraId="1D78FE8F"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0.279</w:t>
            </w:r>
          </w:p>
        </w:tc>
        <w:tc>
          <w:tcPr>
            <w:tcW w:w="1236" w:type="dxa"/>
            <w:tcBorders>
              <w:top w:val="single" w:sz="4" w:space="0" w:color="auto"/>
              <w:left w:val="nil"/>
              <w:bottom w:val="single" w:sz="4" w:space="0" w:color="auto"/>
              <w:right w:val="nil"/>
            </w:tcBorders>
          </w:tcPr>
          <w:p w14:paraId="45CA6926"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1.721</w:t>
            </w:r>
          </w:p>
        </w:tc>
        <w:tc>
          <w:tcPr>
            <w:tcW w:w="1170" w:type="dxa"/>
            <w:tcBorders>
              <w:top w:val="single" w:sz="4" w:space="0" w:color="auto"/>
              <w:left w:val="nil"/>
              <w:bottom w:val="single" w:sz="4" w:space="0" w:color="auto"/>
              <w:right w:val="nil"/>
            </w:tcBorders>
          </w:tcPr>
          <w:p w14:paraId="0130AF4D"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0.090</w:t>
            </w:r>
          </w:p>
        </w:tc>
      </w:tr>
      <w:tr w:rsidR="002F2202" w14:paraId="598ADF06" w14:textId="77777777">
        <w:trPr>
          <w:jc w:val="center"/>
        </w:trPr>
        <w:tc>
          <w:tcPr>
            <w:tcW w:w="2027" w:type="dxa"/>
            <w:tcBorders>
              <w:top w:val="single" w:sz="4" w:space="0" w:color="auto"/>
              <w:left w:val="nil"/>
              <w:right w:val="nil"/>
            </w:tcBorders>
          </w:tcPr>
          <w:p w14:paraId="7AA09D64"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H6</w:t>
            </w:r>
          </w:p>
        </w:tc>
        <w:tc>
          <w:tcPr>
            <w:tcW w:w="2027" w:type="dxa"/>
            <w:tcBorders>
              <w:top w:val="single" w:sz="4" w:space="0" w:color="auto"/>
              <w:left w:val="nil"/>
              <w:right w:val="nil"/>
            </w:tcBorders>
          </w:tcPr>
          <w:p w14:paraId="7EC2FEA2"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Firm Size x Dividend Policy -&gt; Firm Value</w:t>
            </w:r>
          </w:p>
        </w:tc>
        <w:tc>
          <w:tcPr>
            <w:tcW w:w="1409" w:type="dxa"/>
            <w:tcBorders>
              <w:top w:val="single" w:sz="4" w:space="0" w:color="auto"/>
              <w:left w:val="nil"/>
              <w:right w:val="nil"/>
            </w:tcBorders>
          </w:tcPr>
          <w:p w14:paraId="19AF900E"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0.049</w:t>
            </w:r>
          </w:p>
        </w:tc>
        <w:tc>
          <w:tcPr>
            <w:tcW w:w="1236" w:type="dxa"/>
            <w:tcBorders>
              <w:top w:val="single" w:sz="4" w:space="0" w:color="auto"/>
              <w:left w:val="nil"/>
              <w:right w:val="nil"/>
            </w:tcBorders>
          </w:tcPr>
          <w:p w14:paraId="7F361EA8"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0.373</w:t>
            </w:r>
          </w:p>
        </w:tc>
        <w:tc>
          <w:tcPr>
            <w:tcW w:w="1170" w:type="dxa"/>
            <w:tcBorders>
              <w:top w:val="single" w:sz="4" w:space="0" w:color="auto"/>
              <w:left w:val="nil"/>
              <w:right w:val="nil"/>
            </w:tcBorders>
          </w:tcPr>
          <w:p w14:paraId="5A430E5D"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0.710</w:t>
            </w:r>
          </w:p>
        </w:tc>
      </w:tr>
    </w:tbl>
    <w:p w14:paraId="3F9ACFD5" w14:textId="77777777" w:rsidR="002F2202" w:rsidRDefault="002F2202">
      <w:pPr>
        <w:spacing w:line="360" w:lineRule="auto"/>
        <w:jc w:val="both"/>
        <w:rPr>
          <w:rFonts w:ascii="Arial" w:hAnsi="Arial" w:cs="Arial"/>
        </w:rPr>
      </w:pPr>
    </w:p>
    <w:p w14:paraId="3123F260" w14:textId="77777777" w:rsidR="002F2202" w:rsidRDefault="00000000">
      <w:pPr>
        <w:jc w:val="both"/>
        <w:rPr>
          <w:rFonts w:ascii="Arial" w:eastAsia="sans-serif" w:hAnsi="Arial" w:cs="Arial"/>
        </w:rPr>
      </w:pPr>
      <w:r>
        <w:rPr>
          <w:rFonts w:ascii="Arial" w:eastAsia="sans-serif" w:hAnsi="Arial" w:cs="Arial"/>
        </w:rPr>
        <w:t xml:space="preserve">The results of the hypothesis test show that the firm's </w:t>
      </w:r>
      <w:r>
        <w:rPr>
          <w:rFonts w:ascii="Arial" w:eastAsia="sans-serif" w:hAnsi="Arial" w:cs="Arial"/>
          <w:lang w:val="id-ID"/>
        </w:rPr>
        <w:t>value</w:t>
      </w:r>
      <w:r>
        <w:rPr>
          <w:rFonts w:ascii="Arial" w:eastAsia="sans-serif" w:hAnsi="Arial" w:cs="Arial"/>
        </w:rPr>
        <w:t xml:space="preserve"> really decreases as profitability increases.</w:t>
      </w:r>
      <w:r>
        <w:rPr>
          <w:rFonts w:ascii="Arial" w:eastAsia="sans-serif" w:hAnsi="Arial" w:cs="Arial"/>
          <w:lang w:val="id-ID"/>
        </w:rPr>
        <w:t xml:space="preserve"> The findings from the hypothesis test indicate that when profitability goes up, the value of the firm actually goes down. </w:t>
      </w:r>
      <w:r>
        <w:rPr>
          <w:rFonts w:ascii="Arial" w:eastAsia="sans-serif" w:hAnsi="Arial" w:cs="Arial"/>
        </w:rPr>
        <w:t xml:space="preserve">This means that even if a company is earning more money, it doesn’t always result in good reactions from investors. H1 is this rejected. liquidity significantly and favorably affects a </w:t>
      </w:r>
      <w:r>
        <w:rPr>
          <w:rFonts w:ascii="Arial" w:eastAsia="sans-serif" w:hAnsi="Arial" w:cs="Arial"/>
          <w:lang w:val="id-ID"/>
        </w:rPr>
        <w:t>firm value</w:t>
      </w:r>
      <w:r>
        <w:rPr>
          <w:rFonts w:ascii="Arial" w:eastAsia="sans-serif" w:hAnsi="Arial" w:cs="Arial"/>
        </w:rPr>
        <w:t xml:space="preserve">. This means that businesses that have better short-term financial resources usually gain more trust from investors. H2 is therefore accepted. The size of a company did not seem to greatly affect its value. This implies that investors might care more about how well the company operates and its financial results rather than just how many assets it has. H3 is therefore rejected. Also, the dividend policy could not change how profitability, liquidity, and the </w:t>
      </w:r>
      <w:r>
        <w:rPr>
          <w:rFonts w:ascii="Arial" w:eastAsia="sans-serif" w:hAnsi="Arial" w:cs="Arial"/>
          <w:lang w:val="id-ID"/>
        </w:rPr>
        <w:t xml:space="preserve">firm </w:t>
      </w:r>
      <w:r>
        <w:rPr>
          <w:rFonts w:ascii="Arial" w:eastAsia="sans-serif" w:hAnsi="Arial" w:cs="Arial"/>
        </w:rPr>
        <w:t xml:space="preserve">size of the </w:t>
      </w:r>
      <w:r>
        <w:rPr>
          <w:rFonts w:ascii="Arial" w:eastAsia="sans-serif" w:hAnsi="Arial" w:cs="Arial"/>
          <w:lang w:val="id-ID"/>
        </w:rPr>
        <w:t xml:space="preserve">firm </w:t>
      </w:r>
      <w:r>
        <w:rPr>
          <w:rFonts w:ascii="Arial" w:eastAsia="sans-serif" w:hAnsi="Arial" w:cs="Arial"/>
        </w:rPr>
        <w:t xml:space="preserve">value, as all the </w:t>
      </w:r>
      <w:proofErr w:type="gramStart"/>
      <w:r>
        <w:rPr>
          <w:rFonts w:ascii="Arial" w:eastAsia="sans-serif" w:hAnsi="Arial" w:cs="Arial"/>
        </w:rPr>
        <w:t>moderating</w:t>
      </w:r>
      <w:proofErr w:type="gramEnd"/>
      <w:r>
        <w:rPr>
          <w:rFonts w:ascii="Arial" w:eastAsia="sans-serif" w:hAnsi="Arial" w:cs="Arial"/>
        </w:rPr>
        <w:t xml:space="preserve"> factors showed results that were not significant. Therefore, H4, H5, and H6 are rejected.</w:t>
      </w:r>
    </w:p>
    <w:p w14:paraId="4B16181A" w14:textId="77777777" w:rsidR="002F2202" w:rsidRDefault="002F2202">
      <w:pPr>
        <w:spacing w:line="360" w:lineRule="auto"/>
        <w:jc w:val="both"/>
        <w:rPr>
          <w:rFonts w:ascii="Arial" w:eastAsia="sans-serif" w:hAnsi="Arial" w:cs="Arial"/>
        </w:rPr>
      </w:pPr>
    </w:p>
    <w:p w14:paraId="29A7855F" w14:textId="77777777" w:rsidR="002F2202" w:rsidRDefault="002F2202">
      <w:pPr>
        <w:spacing w:line="360" w:lineRule="auto"/>
        <w:jc w:val="both"/>
        <w:rPr>
          <w:rFonts w:ascii="Arial" w:eastAsia="sans-serif" w:hAnsi="Arial" w:cs="Arial"/>
        </w:rPr>
      </w:pPr>
    </w:p>
    <w:p w14:paraId="1AB464E1" w14:textId="77777777" w:rsidR="002F2202" w:rsidRDefault="002F2202">
      <w:pPr>
        <w:spacing w:line="360" w:lineRule="auto"/>
        <w:jc w:val="both"/>
        <w:rPr>
          <w:rFonts w:ascii="Arial" w:eastAsia="sans-serif" w:hAnsi="Arial" w:cs="Arial"/>
        </w:rPr>
      </w:pPr>
    </w:p>
    <w:p w14:paraId="158EDDA3" w14:textId="77777777" w:rsidR="002F2202" w:rsidRDefault="002F2202">
      <w:pPr>
        <w:spacing w:line="360" w:lineRule="auto"/>
        <w:jc w:val="both"/>
        <w:rPr>
          <w:rFonts w:ascii="Arial" w:eastAsia="sans-serif" w:hAnsi="Arial" w:cs="Arial"/>
        </w:rPr>
      </w:pPr>
    </w:p>
    <w:p w14:paraId="24D97E26" w14:textId="77777777" w:rsidR="002F2202" w:rsidRDefault="002F2202">
      <w:pPr>
        <w:spacing w:line="360" w:lineRule="auto"/>
        <w:jc w:val="both"/>
        <w:rPr>
          <w:rFonts w:ascii="Arial" w:eastAsia="sans-serif" w:hAnsi="Arial" w:cs="Arial"/>
        </w:rPr>
      </w:pPr>
    </w:p>
    <w:p w14:paraId="46C939AB" w14:textId="77777777" w:rsidR="002F2202" w:rsidRDefault="002F2202">
      <w:pPr>
        <w:spacing w:line="360" w:lineRule="auto"/>
        <w:jc w:val="both"/>
        <w:rPr>
          <w:rFonts w:ascii="Arial" w:eastAsia="sans-serif" w:hAnsi="Arial" w:cs="Arial"/>
        </w:rPr>
      </w:pPr>
    </w:p>
    <w:p w14:paraId="30B62200" w14:textId="77777777" w:rsidR="002F2202" w:rsidRDefault="002F2202">
      <w:pPr>
        <w:spacing w:line="360" w:lineRule="auto"/>
        <w:jc w:val="both"/>
        <w:rPr>
          <w:rFonts w:ascii="Arial" w:eastAsia="sans-serif" w:hAnsi="Arial" w:cs="Arial"/>
        </w:rPr>
      </w:pPr>
    </w:p>
    <w:p w14:paraId="56431B69" w14:textId="77777777" w:rsidR="002F2202" w:rsidRDefault="00000000">
      <w:pPr>
        <w:spacing w:line="360" w:lineRule="auto"/>
        <w:jc w:val="both"/>
        <w:rPr>
          <w:rFonts w:ascii="Arial" w:hAnsi="Arial" w:cs="Arial"/>
          <w:b/>
          <w:bCs/>
          <w:sz w:val="22"/>
          <w:szCs w:val="22"/>
          <w:u w:val="single"/>
          <w:lang w:val="id-ID" w:eastAsia="zh-CN"/>
        </w:rPr>
      </w:pPr>
      <w:r>
        <w:rPr>
          <w:rFonts w:ascii="Arial" w:hAnsi="Arial" w:cs="Arial"/>
          <w:b/>
          <w:bCs/>
          <w:sz w:val="22"/>
          <w:szCs w:val="22"/>
          <w:u w:val="single"/>
          <w:lang w:val="id-ID" w:eastAsia="zh-CN"/>
        </w:rPr>
        <w:t>3.1.9 Simultaneous Test</w:t>
      </w:r>
    </w:p>
    <w:p w14:paraId="677F7AEF" w14:textId="77777777" w:rsidR="002F2202" w:rsidRDefault="002F2202">
      <w:pPr>
        <w:spacing w:line="360" w:lineRule="auto"/>
        <w:jc w:val="both"/>
        <w:rPr>
          <w:rFonts w:ascii="Arial" w:hAnsi="Arial" w:cs="Arial"/>
          <w:sz w:val="22"/>
          <w:szCs w:val="22"/>
        </w:rPr>
      </w:pPr>
    </w:p>
    <w:p w14:paraId="209C2354" w14:textId="77777777" w:rsidR="002F2202" w:rsidRDefault="00000000">
      <w:pPr>
        <w:spacing w:line="360" w:lineRule="auto"/>
        <w:ind w:left="2160" w:firstLine="720"/>
        <w:jc w:val="both"/>
        <w:rPr>
          <w:rFonts w:ascii="Arial" w:hAnsi="Arial" w:cs="Arial"/>
          <w:b/>
          <w:bCs/>
          <w:lang w:val="id-ID" w:eastAsia="zh-CN"/>
        </w:rPr>
      </w:pPr>
      <w:r>
        <w:rPr>
          <w:rFonts w:ascii="Arial" w:hAnsi="Arial" w:cs="Arial"/>
          <w:b/>
          <w:bCs/>
          <w:lang w:val="id-ID"/>
        </w:rPr>
        <w:t>Table. 10</w:t>
      </w:r>
      <w:r>
        <w:rPr>
          <w:rFonts w:ascii="Arial" w:hAnsi="Arial" w:cs="Arial"/>
          <w:lang w:val="id-ID"/>
        </w:rPr>
        <w:t xml:space="preserve"> </w:t>
      </w:r>
      <w:r>
        <w:rPr>
          <w:rFonts w:ascii="Arial" w:hAnsi="Arial" w:cs="Arial"/>
          <w:b/>
          <w:bCs/>
          <w:lang w:val="id-ID" w:eastAsia="zh-CN"/>
        </w:rPr>
        <w:t>Simultaneous Test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8"/>
        <w:gridCol w:w="2808"/>
      </w:tblGrid>
      <w:tr w:rsidR="002F2202" w14:paraId="38C815E4" w14:textId="77777777">
        <w:tc>
          <w:tcPr>
            <w:tcW w:w="2808" w:type="dxa"/>
            <w:tcBorders>
              <w:left w:val="nil"/>
              <w:right w:val="nil"/>
            </w:tcBorders>
          </w:tcPr>
          <w:p w14:paraId="210414B3"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Model</w:t>
            </w:r>
          </w:p>
        </w:tc>
        <w:tc>
          <w:tcPr>
            <w:tcW w:w="2808" w:type="dxa"/>
            <w:tcBorders>
              <w:left w:val="nil"/>
              <w:right w:val="nil"/>
            </w:tcBorders>
          </w:tcPr>
          <w:p w14:paraId="349ADFEF"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Sum of Squares</w:t>
            </w:r>
          </w:p>
        </w:tc>
        <w:tc>
          <w:tcPr>
            <w:tcW w:w="2808" w:type="dxa"/>
            <w:tcBorders>
              <w:left w:val="nil"/>
              <w:right w:val="nil"/>
            </w:tcBorders>
          </w:tcPr>
          <w:p w14:paraId="348DA38D" w14:textId="77777777" w:rsidR="002F2202" w:rsidRDefault="00000000">
            <w:pPr>
              <w:spacing w:line="360" w:lineRule="auto"/>
              <w:jc w:val="center"/>
              <w:rPr>
                <w:rFonts w:ascii="Arial" w:hAnsi="Arial" w:cs="Arial"/>
                <w:b/>
                <w:bCs/>
                <w:sz w:val="20"/>
                <w:szCs w:val="20"/>
                <w:lang w:val="id-ID" w:eastAsia="zh-CN"/>
              </w:rPr>
            </w:pPr>
            <w:r>
              <w:rPr>
                <w:rFonts w:ascii="Arial" w:hAnsi="Arial" w:cs="Arial"/>
                <w:b/>
                <w:bCs/>
                <w:sz w:val="20"/>
                <w:szCs w:val="20"/>
                <w:lang w:val="id-ID" w:eastAsia="zh-CN"/>
              </w:rPr>
              <w:t>Significance</w:t>
            </w:r>
          </w:p>
        </w:tc>
      </w:tr>
      <w:tr w:rsidR="002F2202" w14:paraId="15B02AE4" w14:textId="77777777">
        <w:tc>
          <w:tcPr>
            <w:tcW w:w="2808" w:type="dxa"/>
            <w:tcBorders>
              <w:left w:val="nil"/>
              <w:right w:val="nil"/>
            </w:tcBorders>
          </w:tcPr>
          <w:p w14:paraId="6EFC921C"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Regression</w:t>
            </w:r>
          </w:p>
        </w:tc>
        <w:tc>
          <w:tcPr>
            <w:tcW w:w="2808" w:type="dxa"/>
            <w:tcBorders>
              <w:left w:val="nil"/>
              <w:right w:val="nil"/>
            </w:tcBorders>
          </w:tcPr>
          <w:p w14:paraId="6A7E248B"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38.713</w:t>
            </w:r>
          </w:p>
        </w:tc>
        <w:tc>
          <w:tcPr>
            <w:tcW w:w="2808" w:type="dxa"/>
            <w:tcBorders>
              <w:left w:val="nil"/>
              <w:right w:val="nil"/>
            </w:tcBorders>
          </w:tcPr>
          <w:p w14:paraId="044CE9C0"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&lt; 0.001</w:t>
            </w:r>
          </w:p>
        </w:tc>
      </w:tr>
      <w:tr w:rsidR="002F2202" w14:paraId="65B47F68" w14:textId="77777777">
        <w:tc>
          <w:tcPr>
            <w:tcW w:w="2808" w:type="dxa"/>
            <w:tcBorders>
              <w:left w:val="nil"/>
              <w:right w:val="nil"/>
            </w:tcBorders>
          </w:tcPr>
          <w:p w14:paraId="226A32E3"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Residual</w:t>
            </w:r>
          </w:p>
        </w:tc>
        <w:tc>
          <w:tcPr>
            <w:tcW w:w="2808" w:type="dxa"/>
            <w:tcBorders>
              <w:left w:val="nil"/>
              <w:right w:val="nil"/>
            </w:tcBorders>
          </w:tcPr>
          <w:p w14:paraId="5F2F01EF"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19.193</w:t>
            </w:r>
          </w:p>
        </w:tc>
        <w:tc>
          <w:tcPr>
            <w:tcW w:w="2808" w:type="dxa"/>
            <w:tcBorders>
              <w:left w:val="nil"/>
              <w:right w:val="nil"/>
            </w:tcBorders>
          </w:tcPr>
          <w:p w14:paraId="296A1501" w14:textId="77777777" w:rsidR="002F2202" w:rsidRDefault="002F2202">
            <w:pPr>
              <w:spacing w:line="360" w:lineRule="auto"/>
              <w:jc w:val="right"/>
              <w:rPr>
                <w:rFonts w:ascii="Arial" w:hAnsi="Arial" w:cs="Arial"/>
                <w:sz w:val="20"/>
                <w:szCs w:val="20"/>
                <w:lang w:val="id-ID" w:eastAsia="zh-CN"/>
              </w:rPr>
            </w:pPr>
          </w:p>
        </w:tc>
      </w:tr>
      <w:tr w:rsidR="002F2202" w14:paraId="48CC6ABC" w14:textId="77777777">
        <w:tc>
          <w:tcPr>
            <w:tcW w:w="2808" w:type="dxa"/>
            <w:tcBorders>
              <w:left w:val="nil"/>
              <w:right w:val="nil"/>
            </w:tcBorders>
          </w:tcPr>
          <w:p w14:paraId="5888B3E3" w14:textId="77777777" w:rsidR="002F2202" w:rsidRDefault="00000000">
            <w:pPr>
              <w:spacing w:line="360" w:lineRule="auto"/>
              <w:jc w:val="both"/>
              <w:rPr>
                <w:rFonts w:ascii="Arial" w:hAnsi="Arial" w:cs="Arial"/>
                <w:sz w:val="20"/>
                <w:szCs w:val="20"/>
                <w:lang w:val="id-ID" w:eastAsia="zh-CN"/>
              </w:rPr>
            </w:pPr>
            <w:r>
              <w:rPr>
                <w:rFonts w:ascii="Arial" w:hAnsi="Arial" w:cs="Arial"/>
                <w:sz w:val="20"/>
                <w:szCs w:val="20"/>
                <w:lang w:val="id-ID" w:eastAsia="zh-CN"/>
              </w:rPr>
              <w:t>Total</w:t>
            </w:r>
          </w:p>
        </w:tc>
        <w:tc>
          <w:tcPr>
            <w:tcW w:w="2808" w:type="dxa"/>
            <w:tcBorders>
              <w:left w:val="nil"/>
              <w:right w:val="nil"/>
            </w:tcBorders>
          </w:tcPr>
          <w:p w14:paraId="0F69F604" w14:textId="77777777" w:rsidR="002F2202" w:rsidRDefault="00000000">
            <w:pPr>
              <w:spacing w:line="360" w:lineRule="auto"/>
              <w:jc w:val="right"/>
              <w:rPr>
                <w:rFonts w:ascii="Arial" w:hAnsi="Arial" w:cs="Arial"/>
                <w:sz w:val="20"/>
                <w:szCs w:val="20"/>
                <w:lang w:val="id-ID" w:eastAsia="zh-CN"/>
              </w:rPr>
            </w:pPr>
            <w:r>
              <w:rPr>
                <w:rFonts w:ascii="Arial" w:hAnsi="Arial" w:cs="Arial"/>
                <w:sz w:val="20"/>
                <w:szCs w:val="20"/>
                <w:lang w:val="id-ID" w:eastAsia="zh-CN"/>
              </w:rPr>
              <w:t>57.906</w:t>
            </w:r>
          </w:p>
        </w:tc>
        <w:tc>
          <w:tcPr>
            <w:tcW w:w="2808" w:type="dxa"/>
            <w:tcBorders>
              <w:left w:val="nil"/>
              <w:right w:val="nil"/>
            </w:tcBorders>
          </w:tcPr>
          <w:p w14:paraId="6F0FB62A" w14:textId="77777777" w:rsidR="002F2202" w:rsidRDefault="002F2202">
            <w:pPr>
              <w:spacing w:line="360" w:lineRule="auto"/>
              <w:jc w:val="right"/>
              <w:rPr>
                <w:rFonts w:ascii="Arial" w:hAnsi="Arial" w:cs="Arial"/>
                <w:sz w:val="20"/>
                <w:szCs w:val="20"/>
                <w:lang w:val="id-ID" w:eastAsia="zh-CN"/>
              </w:rPr>
            </w:pPr>
          </w:p>
        </w:tc>
      </w:tr>
    </w:tbl>
    <w:p w14:paraId="65278357" w14:textId="77777777" w:rsidR="002F2202" w:rsidRDefault="002F2202">
      <w:pPr>
        <w:spacing w:line="360" w:lineRule="auto"/>
        <w:jc w:val="both"/>
        <w:rPr>
          <w:rFonts w:ascii="Arial" w:hAnsi="Arial" w:cs="Arial"/>
          <w:lang w:val="id-ID" w:eastAsia="zh-CN"/>
        </w:rPr>
      </w:pPr>
    </w:p>
    <w:p w14:paraId="37E680AA" w14:textId="77777777" w:rsidR="002F2202" w:rsidRDefault="00000000">
      <w:pPr>
        <w:jc w:val="both"/>
        <w:rPr>
          <w:rFonts w:ascii="Arial" w:eastAsia="sans-serif" w:hAnsi="Arial" w:cs="Arial"/>
        </w:rPr>
      </w:pPr>
      <w:r>
        <w:rPr>
          <w:rFonts w:ascii="Arial" w:eastAsia="sans-serif" w:hAnsi="Arial" w:cs="Arial"/>
        </w:rPr>
        <w:t xml:space="preserve">Table 9 indicates that the significance value is less than </w:t>
      </w:r>
      <w:proofErr w:type="gramStart"/>
      <w:r>
        <w:rPr>
          <w:rFonts w:ascii="Arial" w:eastAsia="sans-serif" w:hAnsi="Arial" w:cs="Arial"/>
        </w:rPr>
        <w:t>0.05.,</w:t>
      </w:r>
      <w:proofErr w:type="gramEnd"/>
      <w:r>
        <w:rPr>
          <w:rFonts w:ascii="Arial" w:eastAsia="sans-serif" w:hAnsi="Arial" w:cs="Arial"/>
        </w:rPr>
        <w:t xml:space="preserve"> indicating that the size of the firm, its profit, and its liquidity all significantly influence the value of the firm at the same time. These results suggest that a combination of </w:t>
      </w:r>
      <w:proofErr w:type="gramStart"/>
      <w:r>
        <w:rPr>
          <w:rFonts w:ascii="Arial" w:eastAsia="sans-serif" w:hAnsi="Arial" w:cs="Arial"/>
        </w:rPr>
        <w:t>a profitability</w:t>
      </w:r>
      <w:proofErr w:type="gramEnd"/>
      <w:r>
        <w:rPr>
          <w:rFonts w:ascii="Arial" w:eastAsia="sans-serif" w:hAnsi="Arial" w:cs="Arial"/>
        </w:rPr>
        <w:t xml:space="preserve">, liquidity, and </w:t>
      </w:r>
      <w:r>
        <w:rPr>
          <w:rFonts w:ascii="Arial" w:eastAsia="sans-serif" w:hAnsi="Arial" w:cs="Arial"/>
          <w:lang w:val="id-ID"/>
        </w:rPr>
        <w:t>firm size</w:t>
      </w:r>
      <w:r>
        <w:rPr>
          <w:rFonts w:ascii="Arial" w:eastAsia="sans-serif" w:hAnsi="Arial" w:cs="Arial"/>
        </w:rPr>
        <w:t xml:space="preserve"> may affect how investors see </w:t>
      </w:r>
      <w:r>
        <w:rPr>
          <w:rFonts w:ascii="Arial" w:eastAsia="sans-serif" w:hAnsi="Arial" w:cs="Arial"/>
          <w:lang w:val="id-ID"/>
        </w:rPr>
        <w:t>firm value</w:t>
      </w:r>
      <w:r>
        <w:rPr>
          <w:rFonts w:ascii="Arial" w:eastAsia="sans-serif" w:hAnsi="Arial" w:cs="Arial"/>
        </w:rPr>
        <w:t>. Therefore, the regression model employed in this investigation is thought to be successful.</w:t>
      </w:r>
    </w:p>
    <w:p w14:paraId="20E2CE5B" w14:textId="77777777" w:rsidR="002F2202" w:rsidRDefault="002F2202">
      <w:pPr>
        <w:jc w:val="both"/>
        <w:rPr>
          <w:rFonts w:ascii="Arial" w:eastAsia="sans-serif" w:hAnsi="Arial" w:cs="Arial"/>
          <w:lang w:val="id-ID" w:eastAsia="zh-CN"/>
        </w:rPr>
      </w:pPr>
    </w:p>
    <w:p w14:paraId="38132F4F" w14:textId="77777777" w:rsidR="002F2202" w:rsidRDefault="00000000">
      <w:pPr>
        <w:pStyle w:val="Body"/>
        <w:spacing w:after="0" w:line="360" w:lineRule="auto"/>
        <w:rPr>
          <w:rFonts w:ascii="Arial" w:hAnsi="Arial" w:cs="Arial"/>
          <w:b/>
          <w:bCs/>
          <w:sz w:val="22"/>
          <w:szCs w:val="22"/>
          <w:lang w:val="id-ID"/>
        </w:rPr>
      </w:pPr>
      <w:r>
        <w:rPr>
          <w:rFonts w:ascii="Arial" w:hAnsi="Arial" w:cs="Arial"/>
          <w:b/>
          <w:bCs/>
          <w:sz w:val="22"/>
          <w:szCs w:val="22"/>
          <w:lang w:val="id-ID"/>
        </w:rPr>
        <w:t>3.2 DISCUSSION</w:t>
      </w:r>
    </w:p>
    <w:p w14:paraId="530AB0A8" w14:textId="77777777" w:rsidR="002F2202" w:rsidRDefault="00000000">
      <w:pPr>
        <w:spacing w:line="360" w:lineRule="auto"/>
        <w:jc w:val="both"/>
        <w:rPr>
          <w:rFonts w:ascii="Arial" w:hAnsi="Arial" w:cs="Arial"/>
          <w:b/>
          <w:bCs/>
          <w:sz w:val="22"/>
          <w:szCs w:val="22"/>
          <w:u w:val="single"/>
        </w:rPr>
      </w:pPr>
      <w:r>
        <w:rPr>
          <w:rFonts w:ascii="Arial" w:hAnsi="Arial" w:cs="Arial"/>
          <w:b/>
          <w:bCs/>
          <w:sz w:val="22"/>
          <w:szCs w:val="22"/>
          <w:u w:val="single"/>
          <w:lang w:val="id-ID"/>
        </w:rPr>
        <w:t xml:space="preserve">3.2.1 </w:t>
      </w:r>
      <w:r>
        <w:rPr>
          <w:rFonts w:ascii="Arial" w:hAnsi="Arial" w:cs="Arial"/>
          <w:b/>
          <w:bCs/>
          <w:sz w:val="22"/>
          <w:szCs w:val="22"/>
          <w:u w:val="single"/>
        </w:rPr>
        <w:t>THE EFFECT OF PROFITABILITY ON FIRM VALUE</w:t>
      </w:r>
    </w:p>
    <w:p w14:paraId="5C27F765" w14:textId="77777777" w:rsidR="002F2202" w:rsidRDefault="002F2202">
      <w:pPr>
        <w:spacing w:line="360" w:lineRule="auto"/>
        <w:jc w:val="both"/>
        <w:rPr>
          <w:rFonts w:ascii="Arial" w:hAnsi="Arial" w:cs="Arial"/>
          <w:b/>
          <w:bCs/>
          <w:sz w:val="22"/>
          <w:szCs w:val="22"/>
          <w:u w:val="single"/>
        </w:rPr>
      </w:pPr>
    </w:p>
    <w:p w14:paraId="044AB9C8" w14:textId="77777777" w:rsidR="002F2202" w:rsidRDefault="00000000">
      <w:pPr>
        <w:jc w:val="both"/>
        <w:rPr>
          <w:rFonts w:ascii="Arial" w:eastAsia="sans-serif" w:hAnsi="Arial" w:cs="Arial"/>
        </w:rPr>
      </w:pPr>
      <w:r>
        <w:rPr>
          <w:rFonts w:ascii="Arial" w:eastAsia="sans-serif" w:hAnsi="Arial" w:cs="Arial"/>
        </w:rPr>
        <w:t>When investors perceive very high earnings as unsustainable or linked to increased operational risk, high profitability may lower the</w:t>
      </w:r>
      <w:r>
        <w:rPr>
          <w:rFonts w:ascii="Arial" w:eastAsia="sans-serif" w:hAnsi="Arial" w:cs="Arial"/>
          <w:lang w:val="id-ID"/>
        </w:rPr>
        <w:t xml:space="preserve"> firm</w:t>
      </w:r>
      <w:r>
        <w:rPr>
          <w:rFonts w:ascii="Arial" w:eastAsia="sans-serif" w:hAnsi="Arial" w:cs="Arial"/>
        </w:rPr>
        <w:t xml:space="preserve"> value of the company. Therefore, a higher market valuation does not automatically follow from better profitability. </w:t>
      </w:r>
      <w:proofErr w:type="spellStart"/>
      <w:r>
        <w:rPr>
          <w:rFonts w:ascii="Arial" w:eastAsia="sans-serif" w:hAnsi="Arial" w:cs="Arial"/>
        </w:rPr>
        <w:t>Febriyanti</w:t>
      </w:r>
      <w:proofErr w:type="spellEnd"/>
      <w:r>
        <w:rPr>
          <w:rFonts w:ascii="Arial" w:eastAsia="sans-serif" w:hAnsi="Arial" w:cs="Arial"/>
        </w:rPr>
        <w:t xml:space="preserve"> et al. (2023) and </w:t>
      </w:r>
      <w:proofErr w:type="spellStart"/>
      <w:r>
        <w:rPr>
          <w:rFonts w:ascii="Arial" w:eastAsia="sans-serif" w:hAnsi="Arial" w:cs="Arial"/>
        </w:rPr>
        <w:t>Ramadhania</w:t>
      </w:r>
      <w:proofErr w:type="spellEnd"/>
      <w:r>
        <w:rPr>
          <w:rFonts w:ascii="Arial" w:eastAsia="sans-serif" w:hAnsi="Arial" w:cs="Arial"/>
        </w:rPr>
        <w:t xml:space="preserve"> et al. (2025) also support this negative link, which is in line with </w:t>
      </w:r>
      <w:proofErr w:type="spellStart"/>
      <w:r>
        <w:rPr>
          <w:rFonts w:ascii="Arial" w:eastAsia="sans-serif" w:hAnsi="Arial" w:cs="Arial"/>
        </w:rPr>
        <w:t>Hamdana</w:t>
      </w:r>
      <w:proofErr w:type="spellEnd"/>
      <w:r>
        <w:rPr>
          <w:rFonts w:ascii="Arial" w:eastAsia="sans-serif" w:hAnsi="Arial" w:cs="Arial"/>
        </w:rPr>
        <w:t xml:space="preserve"> (2024) observation that the market may read extremely high profitability warily.</w:t>
      </w:r>
    </w:p>
    <w:p w14:paraId="41C5EA33" w14:textId="77777777" w:rsidR="002F2202" w:rsidRDefault="002F2202">
      <w:pPr>
        <w:jc w:val="both"/>
        <w:rPr>
          <w:rFonts w:ascii="Arial" w:eastAsia="sans-serif" w:hAnsi="Arial" w:cs="Arial"/>
          <w:lang w:val="id-ID"/>
        </w:rPr>
      </w:pPr>
    </w:p>
    <w:p w14:paraId="60B67760" w14:textId="77777777" w:rsidR="002F2202" w:rsidRDefault="00000000">
      <w:pPr>
        <w:spacing w:line="360" w:lineRule="auto"/>
        <w:jc w:val="both"/>
        <w:rPr>
          <w:rFonts w:ascii="Arial" w:hAnsi="Arial" w:cs="Arial"/>
          <w:b/>
          <w:bCs/>
          <w:sz w:val="22"/>
          <w:szCs w:val="22"/>
          <w:u w:val="single"/>
        </w:rPr>
      </w:pPr>
      <w:r>
        <w:rPr>
          <w:rFonts w:ascii="Arial" w:hAnsi="Arial" w:cs="Arial"/>
          <w:b/>
          <w:bCs/>
          <w:sz w:val="22"/>
          <w:szCs w:val="22"/>
          <w:u w:val="single"/>
          <w:lang w:val="id-ID"/>
        </w:rPr>
        <w:t>3.2.2</w:t>
      </w:r>
      <w:r>
        <w:rPr>
          <w:rFonts w:ascii="Arial" w:hAnsi="Arial" w:cs="Arial"/>
          <w:b/>
          <w:bCs/>
          <w:sz w:val="22"/>
          <w:szCs w:val="22"/>
          <w:u w:val="single"/>
        </w:rPr>
        <w:t>THE EFFECT OF LIQUIDITY ON FIRM VALUE</w:t>
      </w:r>
    </w:p>
    <w:p w14:paraId="530E7757" w14:textId="77777777" w:rsidR="002F2202" w:rsidRDefault="002F2202">
      <w:pPr>
        <w:spacing w:line="360" w:lineRule="auto"/>
        <w:jc w:val="both"/>
        <w:rPr>
          <w:rFonts w:ascii="Arial" w:hAnsi="Arial" w:cs="Arial"/>
          <w:b/>
          <w:bCs/>
          <w:sz w:val="22"/>
          <w:szCs w:val="22"/>
          <w:u w:val="single"/>
        </w:rPr>
      </w:pPr>
    </w:p>
    <w:p w14:paraId="6D0519CC" w14:textId="77777777" w:rsidR="002F2202" w:rsidRDefault="00000000">
      <w:pPr>
        <w:jc w:val="both"/>
        <w:rPr>
          <w:rFonts w:ascii="Arial" w:eastAsia="sans-serif" w:hAnsi="Arial" w:cs="Arial"/>
          <w:lang w:val="id-ID"/>
        </w:rPr>
      </w:pPr>
      <w:r>
        <w:rPr>
          <w:rFonts w:ascii="Arial" w:eastAsia="sans-serif" w:hAnsi="Arial" w:cs="Arial"/>
          <w:lang w:val="id-ID"/>
        </w:rPr>
        <w:t>Strong short-term financial health and the capacity to fulfill commitments are indicated by adequate liquidity, which lowers perceived risk and boosts investor confidence and raises firm value. According to signaling theory, a company with strong liquidity sends a good signal to the market about its stability and operational capacity, which raises share demand and increases the firm's value (Tampubolon &amp; Putra, 2024). Sarma and Handayani (2025) and Apsari and Yudiatmaja (2023), who discovered that liquidity greatly increases firm value through enhanced investor perception, corroborate this beneficial association.</w:t>
      </w:r>
    </w:p>
    <w:p w14:paraId="77BB951A" w14:textId="77777777" w:rsidR="002F2202" w:rsidRDefault="002F2202">
      <w:pPr>
        <w:spacing w:line="360" w:lineRule="auto"/>
        <w:jc w:val="both"/>
        <w:rPr>
          <w:rFonts w:ascii="Arial" w:eastAsia="sans-serif" w:hAnsi="Arial" w:cs="Arial"/>
          <w:lang w:val="id-ID"/>
        </w:rPr>
      </w:pPr>
    </w:p>
    <w:p w14:paraId="7253F928" w14:textId="77777777" w:rsidR="002F2202" w:rsidRDefault="00000000">
      <w:pPr>
        <w:spacing w:line="360" w:lineRule="auto"/>
        <w:jc w:val="both"/>
        <w:rPr>
          <w:rFonts w:ascii="Arial" w:hAnsi="Arial" w:cs="Arial"/>
          <w:b/>
          <w:bCs/>
          <w:sz w:val="22"/>
          <w:szCs w:val="22"/>
          <w:u w:val="single"/>
        </w:rPr>
      </w:pPr>
      <w:r>
        <w:rPr>
          <w:rFonts w:ascii="Arial" w:hAnsi="Arial" w:cs="Arial"/>
          <w:b/>
          <w:bCs/>
          <w:sz w:val="22"/>
          <w:szCs w:val="22"/>
          <w:u w:val="single"/>
          <w:lang w:val="id-ID"/>
        </w:rPr>
        <w:t xml:space="preserve">3.2.3 </w:t>
      </w:r>
      <w:r>
        <w:rPr>
          <w:rFonts w:ascii="Arial" w:hAnsi="Arial" w:cs="Arial"/>
          <w:b/>
          <w:bCs/>
          <w:sz w:val="22"/>
          <w:szCs w:val="22"/>
          <w:u w:val="single"/>
        </w:rPr>
        <w:t>THE EFFECT OF FIRM SIZE ON FIRM VALUE</w:t>
      </w:r>
    </w:p>
    <w:p w14:paraId="1A8A7755" w14:textId="77777777" w:rsidR="002F2202" w:rsidRDefault="002F2202">
      <w:pPr>
        <w:spacing w:line="360" w:lineRule="auto"/>
        <w:jc w:val="both"/>
        <w:rPr>
          <w:rFonts w:ascii="Arial" w:hAnsi="Arial" w:cs="Arial"/>
          <w:b/>
          <w:bCs/>
          <w:u w:val="single"/>
        </w:rPr>
      </w:pPr>
    </w:p>
    <w:p w14:paraId="4D10BED6" w14:textId="77777777" w:rsidR="002F2202" w:rsidRDefault="00000000">
      <w:pPr>
        <w:jc w:val="both"/>
        <w:rPr>
          <w:rFonts w:ascii="Arial" w:hAnsi="Arial" w:cs="Arial"/>
        </w:rPr>
      </w:pPr>
      <w:r>
        <w:rPr>
          <w:rFonts w:ascii="Arial" w:eastAsia="sans-serif" w:hAnsi="Arial" w:cs="Arial"/>
        </w:rPr>
        <w:t xml:space="preserve">Investors do not largely base their decisions on the size of a company's assets, as evidenced by the fact that firm size has little bearing on firm value. Rather, they put long-term profitability performance and financial stability first (Alfian &amp; Susilo, 2024). Bigger companies may also have to pay more for asset management and operations, which can limit value creation and decrease efficiency. This outcome is in line with the findings of </w:t>
      </w:r>
      <w:proofErr w:type="spellStart"/>
      <w:r>
        <w:rPr>
          <w:rFonts w:ascii="Arial" w:eastAsia="sans-serif" w:hAnsi="Arial" w:cs="Arial"/>
        </w:rPr>
        <w:t>Kalbuana</w:t>
      </w:r>
      <w:proofErr w:type="spellEnd"/>
      <w:r>
        <w:rPr>
          <w:rFonts w:ascii="Arial" w:eastAsia="sans-serif" w:hAnsi="Arial" w:cs="Arial"/>
        </w:rPr>
        <w:t xml:space="preserve"> et al. (2021) and Ratana &amp; Hermanto (2023), who likewise discovered a statistically negligible and negative correlation between firm size and firm value.</w:t>
      </w:r>
    </w:p>
    <w:p w14:paraId="1675F21C" w14:textId="77777777" w:rsidR="002F2202" w:rsidRDefault="00000000">
      <w:pPr>
        <w:spacing w:line="360" w:lineRule="auto"/>
        <w:jc w:val="both"/>
        <w:rPr>
          <w:rFonts w:ascii="Arial" w:hAnsi="Arial" w:cs="Arial"/>
          <w:b/>
          <w:bCs/>
          <w:sz w:val="22"/>
          <w:szCs w:val="22"/>
          <w:u w:val="single"/>
        </w:rPr>
      </w:pPr>
      <w:r>
        <w:rPr>
          <w:rFonts w:ascii="Arial" w:hAnsi="Arial" w:cs="Arial"/>
          <w:b/>
          <w:bCs/>
          <w:sz w:val="22"/>
          <w:szCs w:val="22"/>
          <w:u w:val="single"/>
          <w:lang w:val="id-ID"/>
        </w:rPr>
        <w:lastRenderedPageBreak/>
        <w:t xml:space="preserve">3.2.4 </w:t>
      </w:r>
      <w:r>
        <w:rPr>
          <w:rFonts w:ascii="Arial" w:hAnsi="Arial" w:cs="Arial"/>
          <w:b/>
          <w:bCs/>
          <w:sz w:val="22"/>
          <w:szCs w:val="22"/>
          <w:u w:val="single"/>
        </w:rPr>
        <w:t xml:space="preserve">THE EFFECT OF PROFITABILITY ON </w:t>
      </w:r>
      <w:r>
        <w:rPr>
          <w:rFonts w:ascii="Arial" w:hAnsi="Arial" w:cs="Arial"/>
          <w:b/>
          <w:bCs/>
          <w:sz w:val="22"/>
          <w:szCs w:val="22"/>
          <w:u w:val="single"/>
          <w:lang w:val="id-ID"/>
        </w:rPr>
        <w:t>FIRM VALUE</w:t>
      </w:r>
      <w:r>
        <w:rPr>
          <w:rFonts w:ascii="Arial" w:hAnsi="Arial" w:cs="Arial"/>
          <w:b/>
          <w:bCs/>
          <w:sz w:val="22"/>
          <w:szCs w:val="22"/>
          <w:u w:val="single"/>
        </w:rPr>
        <w:t xml:space="preserve"> WITH DIVIDEND POLICY AS A MODERATING VARIABLE</w:t>
      </w:r>
    </w:p>
    <w:p w14:paraId="45D5D1E5" w14:textId="77777777" w:rsidR="002F2202" w:rsidRDefault="002F2202">
      <w:pPr>
        <w:spacing w:line="360" w:lineRule="auto"/>
        <w:jc w:val="both"/>
        <w:rPr>
          <w:rFonts w:ascii="Arial" w:hAnsi="Arial" w:cs="Arial"/>
          <w:b/>
          <w:bCs/>
          <w:sz w:val="22"/>
          <w:szCs w:val="22"/>
          <w:u w:val="single"/>
        </w:rPr>
      </w:pPr>
    </w:p>
    <w:p w14:paraId="36E22119" w14:textId="77777777" w:rsidR="002F2202" w:rsidRDefault="00000000">
      <w:pPr>
        <w:jc w:val="both"/>
        <w:rPr>
          <w:rFonts w:ascii="Arial" w:eastAsia="sans-serif" w:hAnsi="Arial" w:cs="Arial"/>
        </w:rPr>
      </w:pPr>
      <w:r>
        <w:rPr>
          <w:rFonts w:ascii="Arial" w:eastAsia="sans-serif" w:hAnsi="Arial" w:cs="Arial"/>
        </w:rPr>
        <w:t xml:space="preserve">Investors do not give dividend payments much weight when assessing how profits translate into value, according to the moderated regression results, which demonstrate that dividend policy does not increase the association between profitability and firm value. Rather, investors are more likely to concentrate on future development potential and operational success (Ivani &amp; Efendi, 2024). Therefore, the impression of a firm value is not always improved by high profitability with dividend payments. This result is in line with that of </w:t>
      </w:r>
      <w:proofErr w:type="spellStart"/>
      <w:r>
        <w:rPr>
          <w:rFonts w:ascii="Arial" w:eastAsia="sans-serif" w:hAnsi="Arial" w:cs="Arial"/>
        </w:rPr>
        <w:t>Nugraha</w:t>
      </w:r>
      <w:proofErr w:type="spellEnd"/>
      <w:r>
        <w:rPr>
          <w:rFonts w:ascii="Arial" w:eastAsia="sans-serif" w:hAnsi="Arial" w:cs="Arial"/>
        </w:rPr>
        <w:t xml:space="preserve"> et al. (2020) and </w:t>
      </w:r>
      <w:proofErr w:type="spellStart"/>
      <w:r>
        <w:rPr>
          <w:rFonts w:ascii="Arial" w:eastAsia="sans-serif" w:hAnsi="Arial" w:cs="Arial"/>
        </w:rPr>
        <w:t>Budiasih</w:t>
      </w:r>
      <w:proofErr w:type="spellEnd"/>
      <w:r>
        <w:rPr>
          <w:rFonts w:ascii="Arial" w:eastAsia="sans-serif" w:hAnsi="Arial" w:cs="Arial"/>
        </w:rPr>
        <w:t xml:space="preserve"> et al. (2023), who similarly discovered that the link between profitability and firm value is not considerably moderated by dividend policy.</w:t>
      </w:r>
    </w:p>
    <w:p w14:paraId="1C1C8CEF" w14:textId="77777777" w:rsidR="002F2202" w:rsidRDefault="002F2202">
      <w:pPr>
        <w:spacing w:line="360" w:lineRule="auto"/>
        <w:jc w:val="both"/>
        <w:rPr>
          <w:rFonts w:ascii="Arial" w:eastAsia="sans-serif" w:hAnsi="Arial" w:cs="Arial"/>
        </w:rPr>
      </w:pPr>
    </w:p>
    <w:p w14:paraId="0E575FEE" w14:textId="77777777" w:rsidR="002F2202" w:rsidRDefault="00000000">
      <w:pPr>
        <w:spacing w:line="360" w:lineRule="auto"/>
        <w:jc w:val="both"/>
        <w:rPr>
          <w:rFonts w:ascii="Arial" w:hAnsi="Arial" w:cs="Arial"/>
          <w:b/>
          <w:bCs/>
          <w:sz w:val="22"/>
          <w:szCs w:val="22"/>
          <w:u w:val="single"/>
        </w:rPr>
      </w:pPr>
      <w:r>
        <w:rPr>
          <w:rFonts w:ascii="Arial" w:hAnsi="Arial" w:cs="Arial"/>
          <w:b/>
          <w:bCs/>
          <w:sz w:val="22"/>
          <w:szCs w:val="22"/>
          <w:u w:val="single"/>
          <w:lang w:val="id-ID"/>
        </w:rPr>
        <w:t xml:space="preserve">3.2.5 </w:t>
      </w:r>
      <w:r>
        <w:rPr>
          <w:rFonts w:ascii="Arial" w:hAnsi="Arial" w:cs="Arial"/>
          <w:b/>
          <w:bCs/>
          <w:sz w:val="22"/>
          <w:szCs w:val="22"/>
          <w:u w:val="single"/>
        </w:rPr>
        <w:t>THE EFFECT OF LIQUIDITY ON FIRM VALUE WITH DIVIDEND POLICY AS A MODERATING VARIABLE</w:t>
      </w:r>
    </w:p>
    <w:p w14:paraId="4907DC4A" w14:textId="77777777" w:rsidR="002F2202" w:rsidRDefault="002F2202">
      <w:pPr>
        <w:spacing w:line="360" w:lineRule="auto"/>
        <w:jc w:val="both"/>
        <w:rPr>
          <w:rFonts w:ascii="Arial" w:hAnsi="Arial" w:cs="Arial"/>
          <w:b/>
          <w:bCs/>
          <w:u w:val="single"/>
        </w:rPr>
      </w:pPr>
    </w:p>
    <w:p w14:paraId="4D9AF0E1" w14:textId="77777777" w:rsidR="002F2202" w:rsidRDefault="00000000">
      <w:pPr>
        <w:jc w:val="both"/>
        <w:rPr>
          <w:rFonts w:ascii="Arial" w:eastAsia="sans-serif" w:hAnsi="Arial" w:cs="Arial"/>
        </w:rPr>
      </w:pPr>
      <w:r>
        <w:rPr>
          <w:rFonts w:ascii="Arial" w:eastAsia="sans-serif" w:hAnsi="Arial" w:cs="Arial"/>
        </w:rPr>
        <w:t xml:space="preserve">The findings of the moderated regression show that the relationship between liquidity and firm value is not strengthened by dividend policy. Even when dividends are paid out, good liquidity does not always translate into higher market valuation because it can also be seen as inefficient asset usage, </w:t>
      </w:r>
      <w:proofErr w:type="gramStart"/>
      <w:r>
        <w:rPr>
          <w:rFonts w:ascii="Arial" w:eastAsia="sans-serif" w:hAnsi="Arial" w:cs="Arial"/>
        </w:rPr>
        <w:t>despite the fact that</w:t>
      </w:r>
      <w:proofErr w:type="gramEnd"/>
      <w:r>
        <w:rPr>
          <w:rFonts w:ascii="Arial" w:eastAsia="sans-serif" w:hAnsi="Arial" w:cs="Arial"/>
        </w:rPr>
        <w:t xml:space="preserve"> companies with strong liquidity are thought to be more reliable. As a result, dividend payments are not seen to play a significant role in how liquidity affects firm value. This result is in line with the findings of Arifin and Fitriana (2021) and </w:t>
      </w:r>
      <w:proofErr w:type="spellStart"/>
      <w:r>
        <w:rPr>
          <w:rFonts w:ascii="Arial" w:eastAsia="sans-serif" w:hAnsi="Arial" w:cs="Arial"/>
        </w:rPr>
        <w:t>Nugraha</w:t>
      </w:r>
      <w:proofErr w:type="spellEnd"/>
      <w:r>
        <w:rPr>
          <w:rFonts w:ascii="Arial" w:eastAsia="sans-serif" w:hAnsi="Arial" w:cs="Arial"/>
        </w:rPr>
        <w:t xml:space="preserve"> et al. (2020), who also discovered that the link between liquidity and firm value is not much impacted by dividend policy.</w:t>
      </w:r>
    </w:p>
    <w:p w14:paraId="4C17B417" w14:textId="77777777" w:rsidR="002F2202" w:rsidRDefault="002F2202">
      <w:pPr>
        <w:spacing w:line="360" w:lineRule="auto"/>
        <w:jc w:val="both"/>
        <w:rPr>
          <w:rFonts w:ascii="Arial" w:eastAsia="sans-serif" w:hAnsi="Arial" w:cs="Arial"/>
        </w:rPr>
      </w:pPr>
    </w:p>
    <w:p w14:paraId="4464B3B7" w14:textId="77777777" w:rsidR="002F2202" w:rsidRDefault="00000000">
      <w:pPr>
        <w:spacing w:line="360" w:lineRule="auto"/>
        <w:jc w:val="both"/>
        <w:rPr>
          <w:rFonts w:ascii="Arial" w:hAnsi="Arial" w:cs="Arial"/>
          <w:b/>
          <w:bCs/>
          <w:sz w:val="22"/>
          <w:szCs w:val="22"/>
          <w:u w:val="single"/>
        </w:rPr>
      </w:pPr>
      <w:r>
        <w:rPr>
          <w:rFonts w:ascii="Arial" w:hAnsi="Arial" w:cs="Arial"/>
          <w:b/>
          <w:bCs/>
          <w:sz w:val="22"/>
          <w:szCs w:val="22"/>
          <w:u w:val="single"/>
          <w:lang w:val="id-ID"/>
        </w:rPr>
        <w:t xml:space="preserve">3.2.6 </w:t>
      </w:r>
      <w:r>
        <w:rPr>
          <w:rFonts w:ascii="Arial" w:hAnsi="Arial" w:cs="Arial"/>
          <w:b/>
          <w:bCs/>
          <w:sz w:val="22"/>
          <w:szCs w:val="22"/>
          <w:u w:val="single"/>
        </w:rPr>
        <w:t xml:space="preserve">THE EFFECT OF </w:t>
      </w:r>
      <w:r>
        <w:rPr>
          <w:rFonts w:ascii="Arial" w:hAnsi="Arial" w:cs="Arial"/>
          <w:b/>
          <w:bCs/>
          <w:sz w:val="22"/>
          <w:szCs w:val="22"/>
          <w:u w:val="single"/>
          <w:lang w:val="id-ID"/>
        </w:rPr>
        <w:t>FIRM SIZE</w:t>
      </w:r>
      <w:r>
        <w:rPr>
          <w:rFonts w:ascii="Arial" w:hAnsi="Arial" w:cs="Arial"/>
          <w:b/>
          <w:bCs/>
          <w:sz w:val="22"/>
          <w:szCs w:val="22"/>
          <w:u w:val="single"/>
        </w:rPr>
        <w:t xml:space="preserve"> ON FIRM VALUE WITH DIVIDEND POLICY AS A MODERATING VARIABLE</w:t>
      </w:r>
    </w:p>
    <w:p w14:paraId="664F59C1" w14:textId="77777777" w:rsidR="002F2202" w:rsidRDefault="002F2202">
      <w:pPr>
        <w:spacing w:line="360" w:lineRule="auto"/>
        <w:jc w:val="both"/>
        <w:rPr>
          <w:rFonts w:ascii="Arial" w:hAnsi="Arial" w:cs="Arial"/>
          <w:b/>
          <w:bCs/>
          <w:u w:val="single"/>
        </w:rPr>
      </w:pPr>
    </w:p>
    <w:p w14:paraId="0D333EFF" w14:textId="77777777" w:rsidR="002F2202" w:rsidRDefault="00000000">
      <w:pPr>
        <w:jc w:val="both"/>
        <w:rPr>
          <w:rFonts w:ascii="Arial" w:eastAsia="sans-serif" w:hAnsi="Arial" w:cs="Arial"/>
        </w:rPr>
      </w:pPr>
      <w:r>
        <w:rPr>
          <w:rFonts w:ascii="Arial" w:eastAsia="sans-serif" w:hAnsi="Arial" w:cs="Arial"/>
        </w:rPr>
        <w:t xml:space="preserve">The findings demonstrate that the relationship between firm size and firm value is not strengthened by dividend policy, which means that changes in dividend policy do not result in better market valuations for larger asset bases. Instead of employing dividends as a primary strategy to draw in investors, large organizations typically prioritize expansion, operational efficiency, and innovation (Rahmawati et al., 2023). As a result, investors pay more attention to long-term growth prospects and financial success than to dividend payments or firm size. This result is in line with the findings of Aldi et al. (2020) and </w:t>
      </w:r>
      <w:proofErr w:type="spellStart"/>
      <w:r>
        <w:rPr>
          <w:rFonts w:ascii="Arial" w:eastAsia="sans-serif" w:hAnsi="Arial" w:cs="Arial"/>
        </w:rPr>
        <w:t>Nofika</w:t>
      </w:r>
      <w:proofErr w:type="spellEnd"/>
      <w:r>
        <w:rPr>
          <w:rFonts w:ascii="Arial" w:eastAsia="sans-serif" w:hAnsi="Arial" w:cs="Arial"/>
        </w:rPr>
        <w:t xml:space="preserve"> and Nurhayati (2022), who also discovered that the link between firm size and firm value is not considerably impacted by dividend policy.</w:t>
      </w:r>
    </w:p>
    <w:p w14:paraId="0204761C" w14:textId="77777777" w:rsidR="002F2202" w:rsidRDefault="002F2202">
      <w:pPr>
        <w:spacing w:line="360" w:lineRule="auto"/>
        <w:jc w:val="both"/>
        <w:rPr>
          <w:rFonts w:ascii="Arial" w:eastAsia="sans-serif" w:hAnsi="Arial" w:cs="Arial"/>
          <w:lang w:val="id-ID"/>
        </w:rPr>
      </w:pPr>
    </w:p>
    <w:p w14:paraId="0033CFDD" w14:textId="77777777" w:rsidR="002F2202" w:rsidRDefault="00000000">
      <w:pPr>
        <w:pStyle w:val="ConcHead"/>
        <w:numPr>
          <w:ilvl w:val="0"/>
          <w:numId w:val="4"/>
        </w:numPr>
        <w:spacing w:after="0" w:line="360" w:lineRule="auto"/>
        <w:jc w:val="both"/>
        <w:rPr>
          <w:rFonts w:ascii="Arial" w:hAnsi="Arial" w:cs="Arial"/>
        </w:rPr>
      </w:pPr>
      <w:r>
        <w:rPr>
          <w:rFonts w:ascii="Arial" w:hAnsi="Arial" w:cs="Arial"/>
        </w:rPr>
        <w:t>Conclusion</w:t>
      </w:r>
    </w:p>
    <w:p w14:paraId="5EBA13E6" w14:textId="77777777" w:rsidR="002F2202" w:rsidRDefault="002F2202">
      <w:pPr>
        <w:pStyle w:val="ConcHead"/>
        <w:spacing w:after="0" w:line="360" w:lineRule="auto"/>
        <w:jc w:val="both"/>
        <w:rPr>
          <w:rFonts w:ascii="Arial" w:hAnsi="Arial" w:cs="Arial"/>
        </w:rPr>
      </w:pPr>
    </w:p>
    <w:p w14:paraId="239A3B63" w14:textId="77777777" w:rsidR="002F2202" w:rsidRDefault="00000000">
      <w:pPr>
        <w:jc w:val="both"/>
        <w:rPr>
          <w:rFonts w:ascii="Arial" w:hAnsi="Arial" w:cs="Arial"/>
          <w:lang w:val="id-ID"/>
        </w:rPr>
      </w:pPr>
      <w:r>
        <w:rPr>
          <w:rFonts w:ascii="Arial" w:hAnsi="Arial" w:cs="Arial"/>
          <w:lang w:val="id-ID"/>
        </w:rPr>
        <w:t xml:space="preserve">In order to determine if dividend policy moderates the relationship between financial performance and firm value, this study examines food and beverage companies listed on the Indonesia Stock Exchange between 2021 and 2024. The findings demonstrate that while profitability has a negative correlation with firm value, liquidity is the most important element. However, the effects of firm size, profitability, and liquidity on firm value are not amplified by dividend policy. These results imply that, in post-pandemic recovery settings, investors </w:t>
      </w:r>
      <w:r>
        <w:rPr>
          <w:rFonts w:ascii="Arial" w:hAnsi="Arial" w:cs="Arial"/>
          <w:lang w:val="id-ID"/>
        </w:rPr>
        <w:lastRenderedPageBreak/>
        <w:t>prioritize financial stability over dividend distribution. It is advised that future studies employ a longer observation time, include more variables, and broaden the sample breadth.</w:t>
      </w:r>
    </w:p>
    <w:p w14:paraId="6EE51091" w14:textId="77777777" w:rsidR="002F2202" w:rsidRDefault="002F2202">
      <w:pPr>
        <w:jc w:val="both"/>
        <w:rPr>
          <w:rFonts w:ascii="Arial" w:hAnsi="Arial" w:cs="Arial"/>
          <w:lang w:val="id-ID"/>
        </w:rPr>
      </w:pPr>
    </w:p>
    <w:p w14:paraId="64B96F14" w14:textId="77777777" w:rsidR="002F2202" w:rsidRDefault="00000000">
      <w:pPr>
        <w:spacing w:line="360" w:lineRule="auto"/>
        <w:jc w:val="both"/>
        <w:rPr>
          <w:rFonts w:ascii="Arial" w:hAnsi="Arial" w:cs="Arial"/>
          <w:b/>
          <w:bCs/>
          <w:sz w:val="22"/>
          <w:szCs w:val="22"/>
          <w:lang w:val="id-ID"/>
        </w:rPr>
      </w:pPr>
      <w:r>
        <w:rPr>
          <w:rFonts w:ascii="Arial" w:hAnsi="Arial" w:cs="Arial"/>
          <w:b/>
          <w:bCs/>
          <w:sz w:val="22"/>
          <w:szCs w:val="22"/>
          <w:lang w:val="id-ID"/>
        </w:rPr>
        <w:t>DISCLAIMER (Artificial Intelligence)</w:t>
      </w:r>
    </w:p>
    <w:p w14:paraId="38E73B64" w14:textId="77777777" w:rsidR="002F2202" w:rsidRDefault="002F2202">
      <w:pPr>
        <w:spacing w:line="360" w:lineRule="auto"/>
        <w:jc w:val="both"/>
        <w:rPr>
          <w:rFonts w:ascii="Arial" w:hAnsi="Arial" w:cs="Arial"/>
          <w:b/>
          <w:bCs/>
          <w:sz w:val="22"/>
          <w:szCs w:val="22"/>
          <w:lang w:val="id-ID"/>
        </w:rPr>
      </w:pPr>
    </w:p>
    <w:p w14:paraId="19DE3F1A" w14:textId="77777777" w:rsidR="002F2202" w:rsidRDefault="00000000">
      <w:pPr>
        <w:jc w:val="both"/>
        <w:rPr>
          <w:rFonts w:ascii="Arial" w:hAnsi="Arial" w:cs="Arial"/>
          <w:lang w:val="id-ID"/>
        </w:rPr>
      </w:pPr>
      <w:r>
        <w:rPr>
          <w:rFonts w:ascii="Arial" w:hAnsi="Arial" w:cs="Arial"/>
          <w:lang w:val="id-ID"/>
        </w:rPr>
        <w:t xml:space="preserve">The author(s) </w:t>
      </w:r>
      <w:r>
        <w:rPr>
          <w:rFonts w:ascii="Arial" w:eastAsia="sans-serif" w:hAnsi="Arial" w:cs="Arial"/>
        </w:rPr>
        <w:t>want to make it clear that they are using generative artificial intelligence technologies, like Large Language Models such as Chat GPT</w:t>
      </w:r>
      <w:r>
        <w:rPr>
          <w:rFonts w:ascii="Arial" w:hAnsi="Arial" w:cs="Arial"/>
          <w:lang w:val="id-ID"/>
        </w:rPr>
        <w:t>, was limited to helping to improve the writing's clarity, coherence, and language quality (grammar and wording). The manuscript's content is entirely the authors' responsibility.</w:t>
      </w:r>
    </w:p>
    <w:p w14:paraId="7E277EC4" w14:textId="77777777" w:rsidR="002F2202" w:rsidRDefault="002F2202">
      <w:pPr>
        <w:spacing w:line="360" w:lineRule="auto"/>
        <w:jc w:val="both"/>
        <w:rPr>
          <w:rFonts w:ascii="Arial" w:hAnsi="Arial" w:cs="Arial"/>
          <w:lang w:val="id-ID"/>
        </w:rPr>
      </w:pPr>
    </w:p>
    <w:p w14:paraId="4C37197E" w14:textId="77777777" w:rsidR="002F2202" w:rsidRDefault="00000000">
      <w:pPr>
        <w:pStyle w:val="ReferHead"/>
        <w:spacing w:after="0" w:line="360" w:lineRule="auto"/>
        <w:jc w:val="both"/>
        <w:rPr>
          <w:rFonts w:ascii="Arial" w:hAnsi="Arial" w:cs="Arial"/>
        </w:rPr>
      </w:pPr>
      <w:r>
        <w:rPr>
          <w:rFonts w:ascii="Arial" w:hAnsi="Arial" w:cs="Arial"/>
        </w:rPr>
        <w:t>References</w:t>
      </w:r>
    </w:p>
    <w:p w14:paraId="78D9CD03" w14:textId="77777777" w:rsidR="002F2202" w:rsidRDefault="002F2202">
      <w:pPr>
        <w:pStyle w:val="ReferHead"/>
        <w:spacing w:after="0" w:line="360" w:lineRule="auto"/>
        <w:jc w:val="both"/>
        <w:rPr>
          <w:rFonts w:ascii="Arial" w:hAnsi="Arial" w:cs="Arial"/>
        </w:rPr>
      </w:pPr>
    </w:p>
    <w:p w14:paraId="569AEEEA" w14:textId="77777777" w:rsidR="002F2202" w:rsidRDefault="00000000">
      <w:pPr>
        <w:spacing w:line="360" w:lineRule="auto"/>
        <w:jc w:val="both"/>
        <w:rPr>
          <w:rFonts w:ascii="Arial" w:hAnsi="Arial" w:cs="Arial"/>
        </w:rPr>
      </w:pPr>
      <w:r>
        <w:rPr>
          <w:rFonts w:ascii="Arial" w:hAnsi="Arial" w:cs="Arial"/>
        </w:rPr>
        <w:t xml:space="preserve">Aldi, M. F., Erlina, E., &amp; Amalia, K. (2020). The Effect of Firm Size, Leverage, Profitability, </w:t>
      </w:r>
      <w:r>
        <w:rPr>
          <w:rFonts w:ascii="Arial" w:hAnsi="Arial" w:cs="Arial"/>
          <w:lang w:val="id-ID"/>
        </w:rPr>
        <w:tab/>
      </w:r>
      <w:r>
        <w:rPr>
          <w:rFonts w:ascii="Arial" w:hAnsi="Arial" w:cs="Arial"/>
        </w:rPr>
        <w:t xml:space="preserve">and Liquidity on Firm Value with as a Moderating Variable in Consumer Goods </w:t>
      </w:r>
      <w:r>
        <w:rPr>
          <w:rFonts w:ascii="Arial" w:hAnsi="Arial" w:cs="Arial"/>
          <w:lang w:val="id-ID"/>
        </w:rPr>
        <w:tab/>
      </w:r>
      <w:r>
        <w:rPr>
          <w:rFonts w:ascii="Arial" w:hAnsi="Arial" w:cs="Arial"/>
          <w:lang w:val="id-ID"/>
        </w:rPr>
        <w:tab/>
      </w:r>
      <w:r>
        <w:rPr>
          <w:rFonts w:ascii="Arial" w:hAnsi="Arial" w:cs="Arial"/>
        </w:rPr>
        <w:t xml:space="preserve">Companies Listed on the IDX for the Period 2007–2018. Journal of Social Sciences </w:t>
      </w:r>
      <w:r>
        <w:rPr>
          <w:rFonts w:ascii="Arial" w:hAnsi="Arial" w:cs="Arial"/>
          <w:lang w:val="id-ID"/>
        </w:rPr>
        <w:tab/>
      </w:r>
      <w:r>
        <w:rPr>
          <w:rFonts w:ascii="Arial" w:hAnsi="Arial" w:cs="Arial"/>
        </w:rPr>
        <w:t>and Humanities, 4(1), 264–276.</w:t>
      </w:r>
    </w:p>
    <w:p w14:paraId="10CC668B" w14:textId="77777777" w:rsidR="002F2202" w:rsidRDefault="00000000">
      <w:pPr>
        <w:spacing w:line="360" w:lineRule="auto"/>
        <w:jc w:val="both"/>
        <w:rPr>
          <w:rFonts w:ascii="Arial" w:eastAsia="SimSun" w:hAnsi="Arial" w:cs="Arial"/>
        </w:rPr>
      </w:pPr>
      <w:proofErr w:type="spellStart"/>
      <w:r>
        <w:rPr>
          <w:rFonts w:ascii="Arial" w:eastAsia="SimSun" w:hAnsi="Arial" w:cs="Arial"/>
        </w:rPr>
        <w:t>Alifian</w:t>
      </w:r>
      <w:proofErr w:type="spellEnd"/>
      <w:r>
        <w:rPr>
          <w:rFonts w:ascii="Arial" w:eastAsia="SimSun" w:hAnsi="Arial" w:cs="Arial"/>
        </w:rPr>
        <w:t>, D., &amp; Susilo, D. E. (2024). The effect of profitability, liquidity, firm size, and capital</w:t>
      </w:r>
      <w:r>
        <w:rPr>
          <w:rFonts w:ascii="Arial" w:eastAsia="SimSun" w:hAnsi="Arial" w:cs="Arial"/>
          <w:lang w:val="id-ID"/>
        </w:rPr>
        <w:tab/>
      </w:r>
      <w:r>
        <w:rPr>
          <w:rFonts w:ascii="Arial" w:eastAsia="SimSun" w:hAnsi="Arial" w:cs="Arial"/>
          <w:lang w:val="id-ID"/>
        </w:rPr>
        <w:tab/>
      </w:r>
      <w:r>
        <w:rPr>
          <w:rFonts w:ascii="Arial" w:eastAsia="SimSun" w:hAnsi="Arial" w:cs="Arial"/>
        </w:rPr>
        <w:t xml:space="preserve">structure on firm value. </w:t>
      </w:r>
      <w:r>
        <w:rPr>
          <w:rStyle w:val="Emphasis"/>
          <w:rFonts w:ascii="Arial" w:eastAsia="SimSun" w:hAnsi="Arial" w:cs="Arial"/>
        </w:rPr>
        <w:t>Owner: Research and Accounting Journal, 8</w:t>
      </w:r>
      <w:r>
        <w:rPr>
          <w:rFonts w:ascii="Arial" w:eastAsia="SimSun" w:hAnsi="Arial" w:cs="Arial"/>
        </w:rPr>
        <w:t>(1), 46–55.</w:t>
      </w:r>
    </w:p>
    <w:p w14:paraId="0C86ACAE" w14:textId="77777777" w:rsidR="002F2202" w:rsidRDefault="00000000">
      <w:pPr>
        <w:spacing w:line="360" w:lineRule="auto"/>
        <w:jc w:val="both"/>
        <w:rPr>
          <w:rFonts w:ascii="Arial" w:hAnsi="Arial" w:cs="Arial"/>
        </w:rPr>
      </w:pPr>
      <w:proofErr w:type="spellStart"/>
      <w:r>
        <w:rPr>
          <w:rFonts w:ascii="Arial" w:hAnsi="Arial" w:cs="Arial"/>
        </w:rPr>
        <w:t>Apsari</w:t>
      </w:r>
      <w:proofErr w:type="spellEnd"/>
      <w:r>
        <w:rPr>
          <w:rFonts w:ascii="Arial" w:hAnsi="Arial" w:cs="Arial"/>
        </w:rPr>
        <w:t xml:space="preserve">, N. L. P. Y. W., &amp; </w:t>
      </w:r>
      <w:proofErr w:type="spellStart"/>
      <w:r>
        <w:rPr>
          <w:rFonts w:ascii="Arial" w:hAnsi="Arial" w:cs="Arial"/>
        </w:rPr>
        <w:t>Yudiatmaja</w:t>
      </w:r>
      <w:proofErr w:type="spellEnd"/>
      <w:r>
        <w:rPr>
          <w:rFonts w:ascii="Arial" w:hAnsi="Arial" w:cs="Arial"/>
        </w:rPr>
        <w:t xml:space="preserve">, F. (2023). The Effect of Liquidity, Leverage, and </w:t>
      </w:r>
      <w:r>
        <w:rPr>
          <w:rFonts w:ascii="Arial" w:hAnsi="Arial" w:cs="Arial"/>
          <w:lang w:val="id-ID"/>
        </w:rPr>
        <w:tab/>
      </w:r>
      <w:r>
        <w:rPr>
          <w:rFonts w:ascii="Arial" w:hAnsi="Arial" w:cs="Arial"/>
        </w:rPr>
        <w:t xml:space="preserve">Profitability on Firm Value in the Textile and Garment Industry Listed </w:t>
      </w:r>
      <w:proofErr w:type="spellStart"/>
      <w:r>
        <w:rPr>
          <w:rFonts w:ascii="Arial" w:hAnsi="Arial" w:cs="Arial"/>
        </w:rPr>
        <w:t>Listed</w:t>
      </w:r>
      <w:proofErr w:type="spellEnd"/>
      <w:r>
        <w:rPr>
          <w:rFonts w:ascii="Arial" w:hAnsi="Arial" w:cs="Arial"/>
        </w:rPr>
        <w:t xml:space="preserve"> on the </w:t>
      </w:r>
      <w:r>
        <w:rPr>
          <w:rFonts w:ascii="Arial" w:hAnsi="Arial" w:cs="Arial"/>
          <w:lang w:val="id-ID"/>
        </w:rPr>
        <w:tab/>
      </w:r>
      <w:r>
        <w:rPr>
          <w:rFonts w:ascii="Arial" w:hAnsi="Arial" w:cs="Arial"/>
        </w:rPr>
        <w:t xml:space="preserve">Indonesia Stock Exchange. </w:t>
      </w:r>
      <w:proofErr w:type="spellStart"/>
      <w:r>
        <w:rPr>
          <w:rFonts w:ascii="Arial" w:hAnsi="Arial" w:cs="Arial"/>
        </w:rPr>
        <w:t>Prospek</w:t>
      </w:r>
      <w:proofErr w:type="spellEnd"/>
      <w:r>
        <w:rPr>
          <w:rFonts w:ascii="Arial" w:hAnsi="Arial" w:cs="Arial"/>
        </w:rPr>
        <w:t xml:space="preserve">: Journal of Management and Business, 5(3), </w:t>
      </w:r>
      <w:r>
        <w:rPr>
          <w:rFonts w:ascii="Arial" w:hAnsi="Arial" w:cs="Arial"/>
          <w:lang w:val="id-ID"/>
        </w:rPr>
        <w:tab/>
      </w:r>
      <w:r>
        <w:rPr>
          <w:rFonts w:ascii="Arial" w:hAnsi="Arial" w:cs="Arial"/>
        </w:rPr>
        <w:t>383–392.</w:t>
      </w:r>
    </w:p>
    <w:p w14:paraId="259B3BF2" w14:textId="77777777" w:rsidR="002F2202" w:rsidRDefault="00000000">
      <w:pPr>
        <w:spacing w:line="360" w:lineRule="auto"/>
        <w:jc w:val="both"/>
        <w:rPr>
          <w:rFonts w:ascii="Arial" w:hAnsi="Arial" w:cs="Arial"/>
        </w:rPr>
      </w:pPr>
      <w:proofErr w:type="spellStart"/>
      <w:r>
        <w:rPr>
          <w:rFonts w:ascii="Arial" w:hAnsi="Arial" w:cs="Arial"/>
        </w:rPr>
        <w:t>Ardianto</w:t>
      </w:r>
      <w:proofErr w:type="spellEnd"/>
      <w:r>
        <w:rPr>
          <w:rFonts w:ascii="Arial" w:hAnsi="Arial" w:cs="Arial"/>
        </w:rPr>
        <w:t xml:space="preserve">, C. N. (2023). Firm Value: The Effects of Profitability and Good Corporate </w:t>
      </w:r>
      <w:r>
        <w:rPr>
          <w:rFonts w:ascii="Arial" w:hAnsi="Arial" w:cs="Arial"/>
          <w:lang w:val="id-ID"/>
        </w:rPr>
        <w:tab/>
      </w:r>
      <w:r>
        <w:rPr>
          <w:rFonts w:ascii="Arial" w:hAnsi="Arial" w:cs="Arial"/>
        </w:rPr>
        <w:t xml:space="preserve">Governance. Scientific Journal of Management, Economics, &amp; Accounting (MEA), </w:t>
      </w:r>
      <w:r>
        <w:rPr>
          <w:rFonts w:ascii="Arial" w:hAnsi="Arial" w:cs="Arial"/>
          <w:lang w:val="id-ID"/>
        </w:rPr>
        <w:tab/>
      </w:r>
      <w:r>
        <w:rPr>
          <w:rFonts w:ascii="Arial" w:hAnsi="Arial" w:cs="Arial"/>
        </w:rPr>
        <w:t xml:space="preserve">7(2), 1087–1106. </w:t>
      </w:r>
    </w:p>
    <w:p w14:paraId="4F577740" w14:textId="77777777" w:rsidR="002F2202" w:rsidRDefault="00000000">
      <w:pPr>
        <w:spacing w:line="360" w:lineRule="auto"/>
        <w:jc w:val="both"/>
        <w:rPr>
          <w:rFonts w:ascii="Arial" w:hAnsi="Arial" w:cs="Arial"/>
        </w:rPr>
      </w:pPr>
      <w:r>
        <w:rPr>
          <w:rFonts w:ascii="Arial" w:hAnsi="Arial" w:cs="Arial"/>
        </w:rPr>
        <w:t xml:space="preserve">Arifin, A., &amp; Fitriana, M. F. (2022). The effect of profitability, liquidity, and leverage on with </w:t>
      </w:r>
      <w:r>
        <w:rPr>
          <w:rFonts w:ascii="Arial" w:hAnsi="Arial" w:cs="Arial"/>
          <w:lang w:val="id-ID"/>
        </w:rPr>
        <w:tab/>
      </w:r>
      <w:r>
        <w:rPr>
          <w:rFonts w:ascii="Arial" w:hAnsi="Arial" w:cs="Arial"/>
        </w:rPr>
        <w:t xml:space="preserve">Dividend Policy as a Moderating Variable (An Empirical Study of manufacturing </w:t>
      </w:r>
      <w:r>
        <w:rPr>
          <w:rFonts w:ascii="Arial" w:hAnsi="Arial" w:cs="Arial"/>
          <w:lang w:val="id-ID"/>
        </w:rPr>
        <w:tab/>
      </w:r>
      <w:r>
        <w:rPr>
          <w:rFonts w:ascii="Arial" w:hAnsi="Arial" w:cs="Arial"/>
          <w:lang w:val="id-ID"/>
        </w:rPr>
        <w:tab/>
      </w:r>
      <w:r>
        <w:rPr>
          <w:rFonts w:ascii="Arial" w:hAnsi="Arial" w:cs="Arial"/>
        </w:rPr>
        <w:t xml:space="preserve">companies listed on the Indonesia Stock Exchange from 2018 to 2020). In </w:t>
      </w:r>
      <w:r>
        <w:rPr>
          <w:rFonts w:ascii="Arial" w:hAnsi="Arial" w:cs="Arial"/>
          <w:lang w:val="id-ID"/>
        </w:rPr>
        <w:tab/>
      </w:r>
      <w:r>
        <w:rPr>
          <w:rFonts w:ascii="Arial" w:hAnsi="Arial" w:cs="Arial"/>
        </w:rPr>
        <w:t xml:space="preserve">Proceedings of the National Seminar on Law, Business, Science, and Technology </w:t>
      </w:r>
      <w:r>
        <w:rPr>
          <w:rFonts w:ascii="Arial" w:hAnsi="Arial" w:cs="Arial"/>
          <w:lang w:val="id-ID"/>
        </w:rPr>
        <w:tab/>
      </w:r>
      <w:r>
        <w:rPr>
          <w:rFonts w:ascii="Arial" w:hAnsi="Arial" w:cs="Arial"/>
        </w:rPr>
        <w:t>(Vol. 2, No. 1, pp. 1083–1083).</w:t>
      </w:r>
    </w:p>
    <w:p w14:paraId="69869EE6" w14:textId="77777777" w:rsidR="002F2202" w:rsidRDefault="00000000">
      <w:pPr>
        <w:spacing w:line="360" w:lineRule="auto"/>
        <w:jc w:val="both"/>
        <w:rPr>
          <w:rFonts w:ascii="Arial" w:eastAsia="SimSun" w:hAnsi="Arial" w:cs="Arial"/>
        </w:rPr>
      </w:pPr>
      <w:r>
        <w:rPr>
          <w:rFonts w:ascii="Arial" w:eastAsia="SimSun" w:hAnsi="Arial" w:cs="Arial"/>
        </w:rPr>
        <w:t xml:space="preserve">Aziz, M. S. N. H., &amp; </w:t>
      </w:r>
      <w:proofErr w:type="spellStart"/>
      <w:r>
        <w:rPr>
          <w:rFonts w:ascii="Arial" w:eastAsia="SimSun" w:hAnsi="Arial" w:cs="Arial"/>
        </w:rPr>
        <w:t>Widati</w:t>
      </w:r>
      <w:proofErr w:type="spellEnd"/>
      <w:r>
        <w:rPr>
          <w:rFonts w:ascii="Arial" w:eastAsia="SimSun" w:hAnsi="Arial" w:cs="Arial"/>
        </w:rPr>
        <w:t xml:space="preserve">, L. W. (2023). The effect of leverage, profitability, company </w:t>
      </w:r>
      <w:r>
        <w:rPr>
          <w:rFonts w:ascii="Arial" w:eastAsia="SimSun" w:hAnsi="Arial" w:cs="Arial"/>
          <w:lang w:val="id-ID"/>
        </w:rPr>
        <w:tab/>
      </w:r>
      <w:r>
        <w:rPr>
          <w:rFonts w:ascii="Arial" w:eastAsia="SimSun" w:hAnsi="Arial" w:cs="Arial"/>
        </w:rPr>
        <w:t xml:space="preserve">growth, and firm size on firm value. </w:t>
      </w:r>
      <w:r>
        <w:rPr>
          <w:rStyle w:val="Emphasis"/>
          <w:rFonts w:ascii="Arial" w:eastAsia="SimSun" w:hAnsi="Arial" w:cs="Arial"/>
        </w:rPr>
        <w:t xml:space="preserve">Journal of Information System, Applied, </w:t>
      </w:r>
      <w:r>
        <w:rPr>
          <w:rStyle w:val="Emphasis"/>
          <w:rFonts w:ascii="Arial" w:eastAsia="SimSun" w:hAnsi="Arial" w:cs="Arial"/>
          <w:lang w:val="id-ID"/>
        </w:rPr>
        <w:tab/>
      </w:r>
      <w:r>
        <w:rPr>
          <w:rStyle w:val="Emphasis"/>
          <w:rFonts w:ascii="Arial" w:eastAsia="SimSun" w:hAnsi="Arial" w:cs="Arial"/>
        </w:rPr>
        <w:t>Management, Accounting and Research, 7</w:t>
      </w:r>
      <w:r>
        <w:rPr>
          <w:rFonts w:ascii="Arial" w:eastAsia="SimSun" w:hAnsi="Arial" w:cs="Arial"/>
        </w:rPr>
        <w:t>(1), 171–184.</w:t>
      </w:r>
    </w:p>
    <w:p w14:paraId="6C8AD6C9" w14:textId="77777777" w:rsidR="002F2202" w:rsidRDefault="00000000">
      <w:pPr>
        <w:spacing w:line="360" w:lineRule="auto"/>
        <w:jc w:val="both"/>
        <w:rPr>
          <w:rFonts w:ascii="Arial" w:hAnsi="Arial" w:cs="Arial"/>
        </w:rPr>
      </w:pPr>
      <w:proofErr w:type="spellStart"/>
      <w:r>
        <w:rPr>
          <w:rFonts w:ascii="Arial" w:hAnsi="Arial" w:cs="Arial"/>
        </w:rPr>
        <w:t>Budiasih</w:t>
      </w:r>
      <w:proofErr w:type="spellEnd"/>
      <w:r>
        <w:rPr>
          <w:rFonts w:ascii="Arial" w:hAnsi="Arial" w:cs="Arial"/>
        </w:rPr>
        <w:t xml:space="preserve">, Y., </w:t>
      </w:r>
      <w:proofErr w:type="spellStart"/>
      <w:r>
        <w:rPr>
          <w:rFonts w:ascii="Arial" w:hAnsi="Arial" w:cs="Arial"/>
        </w:rPr>
        <w:t>Fitri</w:t>
      </w:r>
      <w:proofErr w:type="spellEnd"/>
      <w:r>
        <w:rPr>
          <w:rFonts w:ascii="Arial" w:hAnsi="Arial" w:cs="Arial"/>
        </w:rPr>
        <w:t xml:space="preserve">, F., Renaldi, V., </w:t>
      </w:r>
      <w:proofErr w:type="spellStart"/>
      <w:r>
        <w:rPr>
          <w:rFonts w:ascii="Arial" w:hAnsi="Arial" w:cs="Arial"/>
        </w:rPr>
        <w:t>Sutarsa</w:t>
      </w:r>
      <w:proofErr w:type="spellEnd"/>
      <w:r>
        <w:rPr>
          <w:rFonts w:ascii="Arial" w:hAnsi="Arial" w:cs="Arial"/>
        </w:rPr>
        <w:t xml:space="preserve">, M., &amp; </w:t>
      </w:r>
      <w:proofErr w:type="spellStart"/>
      <w:r>
        <w:rPr>
          <w:rFonts w:ascii="Arial" w:hAnsi="Arial" w:cs="Arial"/>
        </w:rPr>
        <w:t>Sevendy</w:t>
      </w:r>
      <w:proofErr w:type="spellEnd"/>
      <w:r>
        <w:rPr>
          <w:rFonts w:ascii="Arial" w:hAnsi="Arial" w:cs="Arial"/>
        </w:rPr>
        <w:t xml:space="preserve">, T. (2024). dividend as a </w:t>
      </w:r>
      <w:r>
        <w:rPr>
          <w:rFonts w:ascii="Arial" w:hAnsi="Arial" w:cs="Arial"/>
          <w:lang w:val="id-ID"/>
        </w:rPr>
        <w:tab/>
      </w:r>
      <w:r>
        <w:rPr>
          <w:rFonts w:ascii="Arial" w:hAnsi="Arial" w:cs="Arial"/>
        </w:rPr>
        <w:t xml:space="preserve">moderator of profitability on firm value. Scientific </w:t>
      </w:r>
      <w:proofErr w:type="spellStart"/>
      <w:r>
        <w:rPr>
          <w:rFonts w:ascii="Arial" w:hAnsi="Arial" w:cs="Arial"/>
        </w:rPr>
        <w:t>Edunomika</w:t>
      </w:r>
      <w:proofErr w:type="spellEnd"/>
      <w:r>
        <w:rPr>
          <w:rFonts w:ascii="Arial" w:hAnsi="Arial" w:cs="Arial"/>
        </w:rPr>
        <w:t>, 8(1).</w:t>
      </w:r>
    </w:p>
    <w:p w14:paraId="255ED92D" w14:textId="77777777" w:rsidR="002F2202" w:rsidRDefault="00000000">
      <w:pPr>
        <w:spacing w:line="360" w:lineRule="auto"/>
        <w:jc w:val="both"/>
        <w:rPr>
          <w:rFonts w:ascii="Arial" w:hAnsi="Arial" w:cs="Arial"/>
        </w:rPr>
      </w:pPr>
      <w:r>
        <w:rPr>
          <w:rFonts w:ascii="Arial" w:hAnsi="Arial" w:cs="Arial"/>
        </w:rPr>
        <w:t>Brigham, E. F., &amp; Houston, J. F. (2019). Fundamentals of Financial Management.</w:t>
      </w:r>
    </w:p>
    <w:p w14:paraId="42BE6C70" w14:textId="77777777" w:rsidR="002F2202" w:rsidRDefault="00000000">
      <w:pPr>
        <w:spacing w:line="360" w:lineRule="auto"/>
        <w:jc w:val="both"/>
        <w:rPr>
          <w:rFonts w:ascii="Arial" w:eastAsia="SimSun" w:hAnsi="Arial" w:cs="Arial"/>
        </w:rPr>
      </w:pPr>
      <w:r>
        <w:rPr>
          <w:rFonts w:ascii="Arial" w:eastAsia="SimSun" w:hAnsi="Arial" w:cs="Arial"/>
        </w:rPr>
        <w:lastRenderedPageBreak/>
        <w:t xml:space="preserve">Davanicho, A., &amp; Lestari, P. (2025). The effect of profitability, liquidity, and leverage on firm </w:t>
      </w:r>
      <w:r>
        <w:rPr>
          <w:rFonts w:ascii="Arial" w:eastAsia="SimSun" w:hAnsi="Arial" w:cs="Arial"/>
          <w:lang w:val="id-ID"/>
        </w:rPr>
        <w:tab/>
      </w:r>
      <w:r>
        <w:rPr>
          <w:rFonts w:ascii="Arial" w:eastAsia="SimSun" w:hAnsi="Arial" w:cs="Arial"/>
        </w:rPr>
        <w:t xml:space="preserve">value with dividend policy as a </w:t>
      </w:r>
      <w:proofErr w:type="gramStart"/>
      <w:r>
        <w:rPr>
          <w:rFonts w:ascii="Arial" w:eastAsia="SimSun" w:hAnsi="Arial" w:cs="Arial"/>
        </w:rPr>
        <w:t>moderating</w:t>
      </w:r>
      <w:proofErr w:type="gramEnd"/>
      <w:r>
        <w:rPr>
          <w:rFonts w:ascii="Arial" w:eastAsia="SimSun" w:hAnsi="Arial" w:cs="Arial"/>
        </w:rPr>
        <w:t xml:space="preserve"> variable. </w:t>
      </w:r>
      <w:r>
        <w:rPr>
          <w:rStyle w:val="Emphasis"/>
          <w:rFonts w:ascii="Arial" w:eastAsia="SimSun" w:hAnsi="Arial" w:cs="Arial"/>
        </w:rPr>
        <w:t xml:space="preserve">Indonesian Business </w:t>
      </w:r>
      <w:r>
        <w:rPr>
          <w:rStyle w:val="Emphasis"/>
          <w:rFonts w:ascii="Arial" w:eastAsia="SimSun" w:hAnsi="Arial" w:cs="Arial"/>
          <w:lang w:val="id-ID"/>
        </w:rPr>
        <w:tab/>
      </w:r>
      <w:r>
        <w:rPr>
          <w:rStyle w:val="Emphasis"/>
          <w:rFonts w:ascii="Arial" w:eastAsia="SimSun" w:hAnsi="Arial" w:cs="Arial"/>
        </w:rPr>
        <w:t>Management Journal</w:t>
      </w:r>
      <w:r>
        <w:rPr>
          <w:rFonts w:ascii="Arial" w:eastAsia="SimSun" w:hAnsi="Arial" w:cs="Arial"/>
        </w:rPr>
        <w:t>.</w:t>
      </w:r>
    </w:p>
    <w:p w14:paraId="1E52DD68" w14:textId="77777777" w:rsidR="002F2202" w:rsidRDefault="00000000">
      <w:pPr>
        <w:spacing w:line="360" w:lineRule="auto"/>
        <w:jc w:val="both"/>
        <w:rPr>
          <w:rFonts w:ascii="Arial" w:eastAsia="SimSun" w:hAnsi="Arial" w:cs="Arial"/>
          <w:color w:val="222222"/>
          <w:shd w:val="clear" w:color="auto" w:fill="FFFFFF"/>
        </w:rPr>
      </w:pPr>
      <w:r>
        <w:rPr>
          <w:rFonts w:ascii="Arial" w:eastAsia="SimSun" w:hAnsi="Arial" w:cs="Arial"/>
        </w:rPr>
        <w:t xml:space="preserve">Deliana, A., &amp; </w:t>
      </w:r>
      <w:proofErr w:type="spellStart"/>
      <w:r>
        <w:rPr>
          <w:rFonts w:ascii="Arial" w:eastAsia="SimSun" w:hAnsi="Arial" w:cs="Arial"/>
        </w:rPr>
        <w:t>Santioso</w:t>
      </w:r>
      <w:proofErr w:type="spellEnd"/>
      <w:r>
        <w:rPr>
          <w:rFonts w:ascii="Arial" w:eastAsia="SimSun" w:hAnsi="Arial" w:cs="Arial"/>
        </w:rPr>
        <w:t xml:space="preserve">, L. (2024). The effect of firm size, leverage, profitability, liquidity and </w:t>
      </w:r>
      <w:r>
        <w:rPr>
          <w:rFonts w:ascii="Arial" w:eastAsia="SimSun" w:hAnsi="Arial" w:cs="Arial"/>
          <w:lang w:val="id-ID"/>
        </w:rPr>
        <w:tab/>
      </w:r>
      <w:r>
        <w:rPr>
          <w:rFonts w:ascii="Arial" w:eastAsia="SimSun" w:hAnsi="Arial" w:cs="Arial"/>
        </w:rPr>
        <w:t xml:space="preserve">dividend policy on firm value on non-cyclical consumer sector companies listed on </w:t>
      </w:r>
      <w:r>
        <w:rPr>
          <w:rFonts w:ascii="Arial" w:eastAsia="SimSun" w:hAnsi="Arial" w:cs="Arial"/>
          <w:lang w:val="id-ID"/>
        </w:rPr>
        <w:tab/>
      </w:r>
      <w:r>
        <w:rPr>
          <w:rFonts w:ascii="Arial" w:eastAsia="SimSun" w:hAnsi="Arial" w:cs="Arial"/>
        </w:rPr>
        <w:t xml:space="preserve">the Indonesia Stock Exchange in 2019–2022. </w:t>
      </w:r>
      <w:r>
        <w:rPr>
          <w:rStyle w:val="Emphasis"/>
          <w:rFonts w:ascii="Arial" w:eastAsia="SimSun" w:hAnsi="Arial" w:cs="Arial"/>
        </w:rPr>
        <w:t xml:space="preserve">International Journal of Application on </w:t>
      </w:r>
      <w:r>
        <w:rPr>
          <w:rStyle w:val="Emphasis"/>
          <w:rFonts w:ascii="Arial" w:eastAsia="SimSun" w:hAnsi="Arial" w:cs="Arial"/>
          <w:lang w:val="id-ID"/>
        </w:rPr>
        <w:tab/>
      </w:r>
      <w:r>
        <w:rPr>
          <w:rStyle w:val="Emphasis"/>
          <w:rFonts w:ascii="Arial" w:eastAsia="SimSun" w:hAnsi="Arial" w:cs="Arial"/>
        </w:rPr>
        <w:t>Economics and Business, 2</w:t>
      </w:r>
      <w:r>
        <w:rPr>
          <w:rFonts w:ascii="Arial" w:eastAsia="SimSun" w:hAnsi="Arial" w:cs="Arial"/>
        </w:rPr>
        <w:t>(3), 297–307.</w:t>
      </w:r>
    </w:p>
    <w:p w14:paraId="6C0494A7" w14:textId="77777777" w:rsidR="002F2202" w:rsidRDefault="00000000">
      <w:pPr>
        <w:spacing w:line="360" w:lineRule="auto"/>
        <w:jc w:val="both"/>
        <w:rPr>
          <w:rFonts w:ascii="Arial" w:hAnsi="Arial" w:cs="Arial"/>
        </w:rPr>
      </w:pPr>
      <w:r>
        <w:rPr>
          <w:rFonts w:ascii="Arial" w:eastAsia="SimSun" w:hAnsi="Arial" w:cs="Arial"/>
          <w:color w:val="222222"/>
          <w:shd w:val="clear" w:color="auto" w:fill="FFFFFF"/>
        </w:rPr>
        <w:t xml:space="preserve">Deshi, N. N., &amp; Sunday, S. K. (2025). Ownership Structure and Firm Value: A Quantitative </w:t>
      </w:r>
      <w:r>
        <w:rPr>
          <w:rFonts w:ascii="Arial" w:eastAsia="SimSun" w:hAnsi="Arial" w:cs="Arial"/>
          <w:color w:val="222222"/>
          <w:shd w:val="clear" w:color="auto" w:fill="FFFFFF"/>
          <w:lang w:val="id-ID"/>
        </w:rPr>
        <w:tab/>
      </w:r>
      <w:r>
        <w:rPr>
          <w:rFonts w:ascii="Arial" w:eastAsia="SimSun" w:hAnsi="Arial" w:cs="Arial"/>
          <w:color w:val="222222"/>
          <w:shd w:val="clear" w:color="auto" w:fill="FFFFFF"/>
        </w:rPr>
        <w:t>Study of Listed Money Deposit Banks in Nigeria. </w:t>
      </w:r>
      <w:r>
        <w:rPr>
          <w:rFonts w:ascii="Arial" w:eastAsia="SimSun" w:hAnsi="Arial" w:cs="Arial"/>
          <w:i/>
          <w:iCs/>
          <w:color w:val="222222"/>
          <w:shd w:val="clear" w:color="auto" w:fill="FFFFFF"/>
        </w:rPr>
        <w:t>Indiana Journal of Economics</w:t>
      </w:r>
      <w:proofErr w:type="gramStart"/>
      <w:r>
        <w:rPr>
          <w:rFonts w:ascii="Arial" w:eastAsia="SimSun" w:hAnsi="Arial" w:cs="Arial"/>
          <w:i/>
          <w:iCs/>
          <w:color w:val="222222"/>
          <w:shd w:val="clear" w:color="auto" w:fill="FFFFFF"/>
        </w:rPr>
        <w:t xml:space="preserve">, </w:t>
      </w:r>
      <w:r>
        <w:rPr>
          <w:rFonts w:ascii="Arial" w:eastAsia="SimSun" w:hAnsi="Arial" w:cs="Arial"/>
          <w:i/>
          <w:iCs/>
          <w:color w:val="222222"/>
          <w:shd w:val="clear" w:color="auto" w:fill="FFFFFF"/>
          <w:lang w:val="id-ID"/>
        </w:rPr>
        <w:tab/>
      </w:r>
      <w:r>
        <w:rPr>
          <w:rFonts w:ascii="Arial" w:eastAsia="SimSun" w:hAnsi="Arial" w:cs="Arial"/>
          <w:i/>
          <w:iCs/>
          <w:color w:val="222222"/>
          <w:shd w:val="clear" w:color="auto" w:fill="FFFFFF"/>
        </w:rPr>
        <w:t>Business</w:t>
      </w:r>
      <w:proofErr w:type="gramEnd"/>
      <w:r>
        <w:rPr>
          <w:rFonts w:ascii="Arial" w:eastAsia="SimSun" w:hAnsi="Arial" w:cs="Arial"/>
          <w:i/>
          <w:iCs/>
          <w:color w:val="222222"/>
          <w:shd w:val="clear" w:color="auto" w:fill="FFFFFF"/>
        </w:rPr>
        <w:t xml:space="preserve"> and Management</w:t>
      </w:r>
      <w:r>
        <w:rPr>
          <w:rFonts w:ascii="Arial" w:eastAsia="SimSun" w:hAnsi="Arial" w:cs="Arial"/>
          <w:color w:val="222222"/>
          <w:shd w:val="clear" w:color="auto" w:fill="FFFFFF"/>
        </w:rPr>
        <w:t>, </w:t>
      </w:r>
      <w:r>
        <w:rPr>
          <w:rFonts w:ascii="Arial" w:eastAsia="SimSun" w:hAnsi="Arial" w:cs="Arial"/>
          <w:i/>
          <w:iCs/>
          <w:color w:val="222222"/>
          <w:shd w:val="clear" w:color="auto" w:fill="FFFFFF"/>
        </w:rPr>
        <w:t>5</w:t>
      </w:r>
      <w:r>
        <w:rPr>
          <w:rFonts w:ascii="Arial" w:eastAsia="SimSun" w:hAnsi="Arial" w:cs="Arial"/>
          <w:color w:val="222222"/>
          <w:shd w:val="clear" w:color="auto" w:fill="FFFFFF"/>
        </w:rPr>
        <w:t>(3), 82-98.</w:t>
      </w:r>
    </w:p>
    <w:p w14:paraId="06C7BB84" w14:textId="77777777" w:rsidR="002F2202" w:rsidRDefault="00000000">
      <w:pPr>
        <w:spacing w:line="360" w:lineRule="auto"/>
        <w:jc w:val="both"/>
        <w:rPr>
          <w:rFonts w:ascii="Arial" w:hAnsi="Arial" w:cs="Arial"/>
        </w:rPr>
      </w:pPr>
      <w:r>
        <w:rPr>
          <w:rFonts w:ascii="Arial" w:hAnsi="Arial" w:cs="Arial"/>
        </w:rPr>
        <w:t xml:space="preserve">Dewantari, N. K. Y., </w:t>
      </w:r>
      <w:proofErr w:type="spellStart"/>
      <w:r>
        <w:rPr>
          <w:rFonts w:ascii="Arial" w:hAnsi="Arial" w:cs="Arial"/>
        </w:rPr>
        <w:t>Endiana</w:t>
      </w:r>
      <w:proofErr w:type="spellEnd"/>
      <w:r>
        <w:rPr>
          <w:rFonts w:ascii="Arial" w:hAnsi="Arial" w:cs="Arial"/>
        </w:rPr>
        <w:t xml:space="preserve">, I. D. M., &amp; </w:t>
      </w:r>
      <w:proofErr w:type="spellStart"/>
      <w:r>
        <w:rPr>
          <w:rFonts w:ascii="Arial" w:hAnsi="Arial" w:cs="Arial"/>
        </w:rPr>
        <w:t>Kumalasari</w:t>
      </w:r>
      <w:proofErr w:type="spellEnd"/>
      <w:r>
        <w:rPr>
          <w:rFonts w:ascii="Arial" w:hAnsi="Arial" w:cs="Arial"/>
        </w:rPr>
        <w:t>, P. D. (2023). The Effect of</w:t>
      </w:r>
      <w:r>
        <w:rPr>
          <w:rFonts w:ascii="Arial" w:hAnsi="Arial" w:cs="Arial"/>
        </w:rPr>
        <w:tab/>
        <w:t xml:space="preserve">Asset </w:t>
      </w:r>
      <w:r>
        <w:rPr>
          <w:rFonts w:ascii="Arial" w:hAnsi="Arial" w:cs="Arial"/>
          <w:lang w:val="id-ID"/>
        </w:rPr>
        <w:tab/>
      </w:r>
      <w:r>
        <w:rPr>
          <w:rFonts w:ascii="Arial" w:hAnsi="Arial" w:cs="Arial"/>
        </w:rPr>
        <w:t xml:space="preserve">Growth, Firm Size, Investment Decisions, and </w:t>
      </w:r>
      <w:proofErr w:type="spellStart"/>
      <w:r>
        <w:rPr>
          <w:rFonts w:ascii="Arial" w:hAnsi="Arial" w:cs="Arial"/>
        </w:rPr>
        <w:t>and</w:t>
      </w:r>
      <w:proofErr w:type="spellEnd"/>
      <w:r>
        <w:rPr>
          <w:rFonts w:ascii="Arial" w:hAnsi="Arial" w:cs="Arial"/>
        </w:rPr>
        <w:t xml:space="preserve"> Dividend Policy and Dividend</w:t>
      </w:r>
      <w:r>
        <w:rPr>
          <w:rFonts w:ascii="Arial" w:hAnsi="Arial" w:cs="Arial"/>
          <w:lang w:val="id-ID"/>
        </w:rPr>
        <w:tab/>
      </w:r>
      <w:r>
        <w:rPr>
          <w:rFonts w:ascii="Arial" w:hAnsi="Arial" w:cs="Arial"/>
          <w:lang w:val="id-ID"/>
        </w:rPr>
        <w:tab/>
      </w:r>
      <w:r>
        <w:rPr>
          <w:rFonts w:ascii="Arial" w:hAnsi="Arial" w:cs="Arial"/>
        </w:rPr>
        <w:t xml:space="preserve">Policy on Firm Value. Collection of Student Research Results (KHARISMA), 5(1), </w:t>
      </w:r>
      <w:r>
        <w:rPr>
          <w:rFonts w:ascii="Arial" w:hAnsi="Arial" w:cs="Arial"/>
          <w:lang w:val="id-ID"/>
        </w:rPr>
        <w:tab/>
      </w:r>
      <w:r>
        <w:rPr>
          <w:rFonts w:ascii="Arial" w:hAnsi="Arial" w:cs="Arial"/>
        </w:rPr>
        <w:t>145–157.</w:t>
      </w:r>
    </w:p>
    <w:p w14:paraId="37715959" w14:textId="77777777" w:rsidR="002F2202" w:rsidRDefault="00000000">
      <w:pPr>
        <w:spacing w:line="360" w:lineRule="auto"/>
        <w:jc w:val="both"/>
        <w:rPr>
          <w:rFonts w:ascii="Arial" w:hAnsi="Arial" w:cs="Arial"/>
        </w:rPr>
      </w:pPr>
      <w:proofErr w:type="spellStart"/>
      <w:r>
        <w:rPr>
          <w:rFonts w:ascii="Arial" w:hAnsi="Arial" w:cs="Arial"/>
        </w:rPr>
        <w:t>Fakhrudinsyah</w:t>
      </w:r>
      <w:proofErr w:type="spellEnd"/>
      <w:r>
        <w:rPr>
          <w:rFonts w:ascii="Arial" w:hAnsi="Arial" w:cs="Arial"/>
        </w:rPr>
        <w:t xml:space="preserve">, V., &amp; </w:t>
      </w:r>
      <w:proofErr w:type="spellStart"/>
      <w:r>
        <w:rPr>
          <w:rFonts w:ascii="Arial" w:hAnsi="Arial" w:cs="Arial"/>
        </w:rPr>
        <w:t>Takarini</w:t>
      </w:r>
      <w:proofErr w:type="spellEnd"/>
      <w:r>
        <w:rPr>
          <w:rFonts w:ascii="Arial" w:hAnsi="Arial" w:cs="Arial"/>
        </w:rPr>
        <w:t xml:space="preserve">, N. (2022). Analysis of Dividend Policy in Listed </w:t>
      </w:r>
      <w:proofErr w:type="spellStart"/>
      <w:r>
        <w:rPr>
          <w:rFonts w:ascii="Arial" w:hAnsi="Arial" w:cs="Arial"/>
        </w:rPr>
        <w:t>Listed</w:t>
      </w:r>
      <w:proofErr w:type="spellEnd"/>
      <w:r>
        <w:rPr>
          <w:rFonts w:ascii="Arial" w:hAnsi="Arial" w:cs="Arial"/>
        </w:rPr>
        <w:t xml:space="preserve"> on the </w:t>
      </w:r>
      <w:r>
        <w:rPr>
          <w:rFonts w:ascii="Arial" w:hAnsi="Arial" w:cs="Arial"/>
          <w:lang w:val="id-ID"/>
        </w:rPr>
        <w:tab/>
      </w:r>
      <w:r>
        <w:rPr>
          <w:rFonts w:ascii="Arial" w:hAnsi="Arial" w:cs="Arial"/>
        </w:rPr>
        <w:t xml:space="preserve">Indonesia Stock Exchange (IDX). </w:t>
      </w:r>
      <w:proofErr w:type="spellStart"/>
      <w:r>
        <w:rPr>
          <w:rFonts w:ascii="Arial" w:hAnsi="Arial" w:cs="Arial"/>
        </w:rPr>
        <w:t>Ecobisma</w:t>
      </w:r>
      <w:proofErr w:type="spellEnd"/>
      <w:r>
        <w:rPr>
          <w:rFonts w:ascii="Arial" w:hAnsi="Arial" w:cs="Arial"/>
        </w:rPr>
        <w:t xml:space="preserve"> (Journal of Economics, Business, and </w:t>
      </w:r>
      <w:r>
        <w:rPr>
          <w:rFonts w:ascii="Arial" w:hAnsi="Arial" w:cs="Arial"/>
          <w:lang w:val="id-ID"/>
        </w:rPr>
        <w:tab/>
      </w:r>
      <w:r>
        <w:rPr>
          <w:rFonts w:ascii="Arial" w:hAnsi="Arial" w:cs="Arial"/>
        </w:rPr>
        <w:t>Management), 9(1), 1-11.</w:t>
      </w:r>
    </w:p>
    <w:p w14:paraId="127D6D1F" w14:textId="77777777" w:rsidR="002F2202" w:rsidRDefault="00000000">
      <w:pPr>
        <w:spacing w:line="360" w:lineRule="auto"/>
        <w:jc w:val="both"/>
        <w:rPr>
          <w:rFonts w:ascii="Arial" w:eastAsia="SimSun" w:hAnsi="Arial" w:cs="Arial"/>
        </w:rPr>
      </w:pPr>
      <w:proofErr w:type="spellStart"/>
      <w:r>
        <w:rPr>
          <w:rFonts w:ascii="Arial" w:eastAsia="SimSun" w:hAnsi="Arial" w:cs="Arial"/>
        </w:rPr>
        <w:t>Famalika</w:t>
      </w:r>
      <w:proofErr w:type="spellEnd"/>
      <w:r>
        <w:rPr>
          <w:rFonts w:ascii="Arial" w:eastAsia="SimSun" w:hAnsi="Arial" w:cs="Arial"/>
        </w:rPr>
        <w:t xml:space="preserve">, A., Rimbano, D., &amp; Nuriyah, N. (2025). The role of dividend policy in moderating </w:t>
      </w:r>
      <w:r>
        <w:rPr>
          <w:rFonts w:ascii="Arial" w:eastAsia="SimSun" w:hAnsi="Arial" w:cs="Arial"/>
          <w:lang w:val="id-ID"/>
        </w:rPr>
        <w:tab/>
      </w:r>
      <w:r>
        <w:rPr>
          <w:rFonts w:ascii="Arial" w:eastAsia="SimSun" w:hAnsi="Arial" w:cs="Arial"/>
        </w:rPr>
        <w:t xml:space="preserve">the effect of financial performance and firm size on manufacturing firm value. </w:t>
      </w:r>
      <w:r>
        <w:rPr>
          <w:rStyle w:val="Emphasis"/>
          <w:rFonts w:ascii="Arial" w:eastAsia="SimSun" w:hAnsi="Arial" w:cs="Arial"/>
        </w:rPr>
        <w:t>RIGGS</w:t>
      </w:r>
      <w:proofErr w:type="gramStart"/>
      <w:r>
        <w:rPr>
          <w:rStyle w:val="Emphasis"/>
          <w:rFonts w:ascii="Arial" w:eastAsia="SimSun" w:hAnsi="Arial" w:cs="Arial"/>
        </w:rPr>
        <w:t xml:space="preserve">: </w:t>
      </w:r>
      <w:r>
        <w:rPr>
          <w:rStyle w:val="Emphasis"/>
          <w:rFonts w:ascii="Arial" w:eastAsia="SimSun" w:hAnsi="Arial" w:cs="Arial"/>
          <w:lang w:val="id-ID"/>
        </w:rPr>
        <w:tab/>
      </w:r>
      <w:r>
        <w:rPr>
          <w:rStyle w:val="Emphasis"/>
          <w:rFonts w:ascii="Arial" w:eastAsia="SimSun" w:hAnsi="Arial" w:cs="Arial"/>
        </w:rPr>
        <w:t>Journal</w:t>
      </w:r>
      <w:proofErr w:type="gramEnd"/>
      <w:r>
        <w:rPr>
          <w:rStyle w:val="Emphasis"/>
          <w:rFonts w:ascii="Arial" w:eastAsia="SimSun" w:hAnsi="Arial" w:cs="Arial"/>
        </w:rPr>
        <w:t xml:space="preserve"> of Artificial Intelligence and Digital Business, 4</w:t>
      </w:r>
      <w:r>
        <w:rPr>
          <w:rFonts w:ascii="Arial" w:eastAsia="SimSun" w:hAnsi="Arial" w:cs="Arial"/>
        </w:rPr>
        <w:t>(2).</w:t>
      </w:r>
    </w:p>
    <w:p w14:paraId="70D0042B" w14:textId="77777777" w:rsidR="002F2202" w:rsidRDefault="00000000">
      <w:pPr>
        <w:spacing w:line="360" w:lineRule="auto"/>
        <w:jc w:val="both"/>
        <w:rPr>
          <w:rFonts w:ascii="Arial" w:eastAsia="SimSun" w:hAnsi="Arial" w:cs="Arial"/>
        </w:rPr>
      </w:pPr>
      <w:proofErr w:type="spellStart"/>
      <w:r>
        <w:rPr>
          <w:rFonts w:ascii="Arial" w:eastAsia="SimSun" w:hAnsi="Arial" w:cs="Arial"/>
        </w:rPr>
        <w:t>Febiyanti</w:t>
      </w:r>
      <w:proofErr w:type="spellEnd"/>
      <w:r>
        <w:rPr>
          <w:rFonts w:ascii="Arial" w:eastAsia="SimSun" w:hAnsi="Arial" w:cs="Arial"/>
        </w:rPr>
        <w:t xml:space="preserve">, T. I., &amp; Anwar, M. (2022). The effect of profitability on firm value with dividend </w:t>
      </w:r>
      <w:r>
        <w:rPr>
          <w:rFonts w:ascii="Arial" w:eastAsia="SimSun" w:hAnsi="Arial" w:cs="Arial"/>
          <w:lang w:val="id-ID"/>
        </w:rPr>
        <w:tab/>
      </w:r>
      <w:r>
        <w:rPr>
          <w:rFonts w:ascii="Arial" w:eastAsia="SimSun" w:hAnsi="Arial" w:cs="Arial"/>
        </w:rPr>
        <w:t xml:space="preserve">policy as a moderating variable in property and real estate companies. </w:t>
      </w:r>
      <w:r>
        <w:rPr>
          <w:rStyle w:val="Emphasis"/>
          <w:rFonts w:ascii="Arial" w:eastAsia="SimSun" w:hAnsi="Arial" w:cs="Arial"/>
        </w:rPr>
        <w:t>Al-</w:t>
      </w:r>
      <w:proofErr w:type="spellStart"/>
      <w:r>
        <w:rPr>
          <w:rStyle w:val="Emphasis"/>
          <w:rFonts w:ascii="Arial" w:eastAsia="SimSun" w:hAnsi="Arial" w:cs="Arial"/>
        </w:rPr>
        <w:t>Kharaj</w:t>
      </w:r>
      <w:proofErr w:type="spellEnd"/>
      <w:r>
        <w:rPr>
          <w:rStyle w:val="Emphasis"/>
          <w:rFonts w:ascii="Arial" w:eastAsia="SimSun" w:hAnsi="Arial" w:cs="Arial"/>
        </w:rPr>
        <w:t xml:space="preserve">: </w:t>
      </w:r>
      <w:r>
        <w:rPr>
          <w:rStyle w:val="Emphasis"/>
          <w:rFonts w:ascii="Arial" w:eastAsia="SimSun" w:hAnsi="Arial" w:cs="Arial"/>
          <w:lang w:val="id-ID"/>
        </w:rPr>
        <w:tab/>
      </w:r>
      <w:r>
        <w:rPr>
          <w:rStyle w:val="Emphasis"/>
          <w:rFonts w:ascii="Arial" w:eastAsia="SimSun" w:hAnsi="Arial" w:cs="Arial"/>
        </w:rPr>
        <w:t>Journal of Islamic Economics, Finance &amp; Business, 4</w:t>
      </w:r>
      <w:r>
        <w:rPr>
          <w:rFonts w:ascii="Arial" w:eastAsia="SimSun" w:hAnsi="Arial" w:cs="Arial"/>
        </w:rPr>
        <w:t>(6), 1784–1794.</w:t>
      </w:r>
    </w:p>
    <w:p w14:paraId="773CD184" w14:textId="77777777" w:rsidR="002F2202" w:rsidRDefault="00000000">
      <w:pPr>
        <w:spacing w:line="360" w:lineRule="auto"/>
        <w:jc w:val="both"/>
        <w:rPr>
          <w:rFonts w:ascii="Arial" w:hAnsi="Arial" w:cs="Arial"/>
        </w:rPr>
      </w:pPr>
      <w:proofErr w:type="spellStart"/>
      <w:r>
        <w:rPr>
          <w:rFonts w:ascii="Arial" w:hAnsi="Arial" w:cs="Arial"/>
        </w:rPr>
        <w:t>Febriyanti</w:t>
      </w:r>
      <w:proofErr w:type="spellEnd"/>
      <w:r>
        <w:rPr>
          <w:rFonts w:ascii="Arial" w:hAnsi="Arial" w:cs="Arial"/>
        </w:rPr>
        <w:t xml:space="preserve">, N. R., Aryani, F., &amp; </w:t>
      </w:r>
      <w:proofErr w:type="spellStart"/>
      <w:r>
        <w:rPr>
          <w:rFonts w:ascii="Arial" w:hAnsi="Arial" w:cs="Arial"/>
        </w:rPr>
        <w:t>Hendratni</w:t>
      </w:r>
      <w:proofErr w:type="spellEnd"/>
      <w:r>
        <w:rPr>
          <w:rFonts w:ascii="Arial" w:hAnsi="Arial" w:cs="Arial"/>
        </w:rPr>
        <w:t xml:space="preserve">, T. W. (2023). THE EFFECT OF LEVERAGE AND </w:t>
      </w:r>
      <w:r>
        <w:rPr>
          <w:rFonts w:ascii="Arial" w:hAnsi="Arial" w:cs="Arial"/>
          <w:lang w:val="id-ID"/>
        </w:rPr>
        <w:tab/>
      </w:r>
      <w:r>
        <w:rPr>
          <w:rFonts w:ascii="Arial" w:hAnsi="Arial" w:cs="Arial"/>
        </w:rPr>
        <w:t xml:space="preserve">PROFITABILITY ON COMPANY VALUE (A Case Study of Telecommunications </w:t>
      </w:r>
      <w:r>
        <w:rPr>
          <w:rFonts w:ascii="Arial" w:hAnsi="Arial" w:cs="Arial"/>
          <w:lang w:val="id-ID"/>
        </w:rPr>
        <w:tab/>
      </w:r>
      <w:r>
        <w:rPr>
          <w:rFonts w:ascii="Arial" w:hAnsi="Arial" w:cs="Arial"/>
          <w:lang w:val="id-ID"/>
        </w:rPr>
        <w:tab/>
      </w:r>
      <w:r>
        <w:rPr>
          <w:rFonts w:ascii="Arial" w:hAnsi="Arial" w:cs="Arial"/>
        </w:rPr>
        <w:t xml:space="preserve">Sub-Sector Companies Listed on the Indonesia Stock Exchange (IDX) 2016–2021. </w:t>
      </w:r>
      <w:r>
        <w:rPr>
          <w:rFonts w:ascii="Arial" w:hAnsi="Arial" w:cs="Arial"/>
          <w:lang w:val="id-ID"/>
        </w:rPr>
        <w:tab/>
      </w:r>
      <w:r>
        <w:rPr>
          <w:rFonts w:ascii="Arial" w:hAnsi="Arial" w:cs="Arial"/>
        </w:rPr>
        <w:t>JIMP:</w:t>
      </w:r>
      <w:r>
        <w:rPr>
          <w:rFonts w:ascii="Arial" w:hAnsi="Arial" w:cs="Arial"/>
          <w:lang w:val="id-ID"/>
        </w:rPr>
        <w:t xml:space="preserve"> </w:t>
      </w:r>
      <w:r>
        <w:rPr>
          <w:rFonts w:ascii="Arial" w:hAnsi="Arial" w:cs="Arial"/>
        </w:rPr>
        <w:t xml:space="preserve">Pancasila Management Scientific Journal, 3(2), 99–109. </w:t>
      </w:r>
    </w:p>
    <w:p w14:paraId="733EA45E" w14:textId="77777777" w:rsidR="002F2202" w:rsidRDefault="00000000">
      <w:pPr>
        <w:spacing w:line="360" w:lineRule="auto"/>
        <w:jc w:val="both"/>
        <w:rPr>
          <w:rFonts w:ascii="Arial" w:hAnsi="Arial" w:cs="Arial"/>
        </w:rPr>
      </w:pPr>
      <w:proofErr w:type="spellStart"/>
      <w:r>
        <w:rPr>
          <w:rFonts w:ascii="Arial" w:hAnsi="Arial" w:cs="Arial"/>
        </w:rPr>
        <w:t>Hamdana</w:t>
      </w:r>
      <w:proofErr w:type="spellEnd"/>
      <w:r>
        <w:rPr>
          <w:rFonts w:ascii="Arial" w:hAnsi="Arial" w:cs="Arial"/>
        </w:rPr>
        <w:t xml:space="preserve">, H. (2024). Dynamic Interactions: The Implementation of Green Accounting, </w:t>
      </w:r>
      <w:r>
        <w:rPr>
          <w:rFonts w:ascii="Arial" w:hAnsi="Arial" w:cs="Arial"/>
          <w:lang w:val="id-ID"/>
        </w:rPr>
        <w:tab/>
      </w:r>
      <w:r>
        <w:rPr>
          <w:rFonts w:ascii="Arial" w:hAnsi="Arial" w:cs="Arial"/>
        </w:rPr>
        <w:t>Environmental Performance</w:t>
      </w:r>
      <w:r>
        <w:rPr>
          <w:rFonts w:ascii="Arial" w:hAnsi="Arial" w:cs="Arial"/>
          <w:lang w:val="id-ID"/>
        </w:rPr>
        <w:t xml:space="preserve"> </w:t>
      </w:r>
      <w:r>
        <w:rPr>
          <w:rFonts w:ascii="Arial" w:hAnsi="Arial" w:cs="Arial"/>
        </w:rPr>
        <w:t xml:space="preserve">and Its Impact on Firm Value Through the Lens of </w:t>
      </w:r>
      <w:r>
        <w:rPr>
          <w:rFonts w:ascii="Arial" w:hAnsi="Arial" w:cs="Arial"/>
          <w:lang w:val="id-ID"/>
        </w:rPr>
        <w:tab/>
      </w:r>
      <w:r>
        <w:rPr>
          <w:rFonts w:ascii="Arial" w:hAnsi="Arial" w:cs="Arial"/>
        </w:rPr>
        <w:t xml:space="preserve">Profitability at Industrial Companies Listed on the IDX for the Period 2019–2023. </w:t>
      </w:r>
      <w:r>
        <w:rPr>
          <w:rFonts w:ascii="Arial" w:hAnsi="Arial" w:cs="Arial"/>
          <w:lang w:val="id-ID"/>
        </w:rPr>
        <w:tab/>
      </w:r>
      <w:r>
        <w:rPr>
          <w:rFonts w:ascii="Arial" w:hAnsi="Arial" w:cs="Arial"/>
        </w:rPr>
        <w:t xml:space="preserve">Journal of </w:t>
      </w:r>
      <w:proofErr w:type="spellStart"/>
      <w:r>
        <w:rPr>
          <w:rFonts w:ascii="Arial" w:hAnsi="Arial" w:cs="Arial"/>
        </w:rPr>
        <w:t>GeoEconomics</w:t>
      </w:r>
      <w:proofErr w:type="spellEnd"/>
      <w:r>
        <w:rPr>
          <w:rFonts w:ascii="Arial" w:hAnsi="Arial" w:cs="Arial"/>
        </w:rPr>
        <w:t>, 15(2), 247–250.</w:t>
      </w:r>
    </w:p>
    <w:p w14:paraId="4534AE3F" w14:textId="77777777" w:rsidR="002F2202" w:rsidRDefault="00000000">
      <w:pPr>
        <w:spacing w:line="360" w:lineRule="auto"/>
        <w:jc w:val="both"/>
        <w:rPr>
          <w:rFonts w:ascii="SimSun" w:eastAsia="SimSun" w:hAnsi="SimSun" w:cs="SimSun"/>
          <w:sz w:val="24"/>
          <w:szCs w:val="24"/>
        </w:rPr>
      </w:pPr>
      <w:r>
        <w:rPr>
          <w:rFonts w:ascii="Arial" w:eastAsia="SimSun" w:hAnsi="Arial" w:cs="Arial"/>
        </w:rPr>
        <w:t xml:space="preserve">Ivani, T. P., &amp; Efendi, D. (2024). The effect of company growth, investment decisions, and </w:t>
      </w:r>
      <w:r>
        <w:rPr>
          <w:rFonts w:ascii="Arial" w:eastAsia="SimSun" w:hAnsi="Arial" w:cs="Arial"/>
          <w:lang w:val="id-ID"/>
        </w:rPr>
        <w:tab/>
      </w:r>
      <w:r>
        <w:rPr>
          <w:rFonts w:ascii="Arial" w:eastAsia="SimSun" w:hAnsi="Arial" w:cs="Arial"/>
        </w:rPr>
        <w:t xml:space="preserve">profitability on firm value with dividend policy as a moderating variable. </w:t>
      </w:r>
      <w:r>
        <w:rPr>
          <w:rStyle w:val="Emphasis"/>
          <w:rFonts w:ascii="Arial" w:eastAsia="SimSun" w:hAnsi="Arial" w:cs="Arial"/>
        </w:rPr>
        <w:t xml:space="preserve">Journal of </w:t>
      </w:r>
      <w:r>
        <w:rPr>
          <w:rStyle w:val="Emphasis"/>
          <w:rFonts w:ascii="Arial" w:eastAsia="SimSun" w:hAnsi="Arial" w:cs="Arial"/>
          <w:lang w:val="id-ID"/>
        </w:rPr>
        <w:tab/>
      </w:r>
      <w:r>
        <w:rPr>
          <w:rStyle w:val="Emphasis"/>
          <w:rFonts w:ascii="Arial" w:eastAsia="SimSun" w:hAnsi="Arial" w:cs="Arial"/>
        </w:rPr>
        <w:t>Accounting Science and Research (JIRA), 13</w:t>
      </w:r>
      <w:r>
        <w:rPr>
          <w:rFonts w:ascii="Arial" w:eastAsia="SimSun" w:hAnsi="Arial" w:cs="Arial"/>
        </w:rPr>
        <w:t>(5).</w:t>
      </w:r>
    </w:p>
    <w:p w14:paraId="110D89B8" w14:textId="77777777" w:rsidR="002F2202" w:rsidRDefault="00000000">
      <w:pPr>
        <w:spacing w:line="360" w:lineRule="auto"/>
        <w:jc w:val="both"/>
        <w:rPr>
          <w:rFonts w:ascii="Arial" w:hAnsi="Arial" w:cs="Arial"/>
        </w:rPr>
      </w:pPr>
      <w:proofErr w:type="spellStart"/>
      <w:r>
        <w:rPr>
          <w:rFonts w:ascii="Arial" w:hAnsi="Arial" w:cs="Arial"/>
        </w:rPr>
        <w:lastRenderedPageBreak/>
        <w:t>Laksono</w:t>
      </w:r>
      <w:proofErr w:type="spellEnd"/>
      <w:r>
        <w:rPr>
          <w:rFonts w:ascii="Arial" w:hAnsi="Arial" w:cs="Arial"/>
        </w:rPr>
        <w:t xml:space="preserve">, N. K. E., &amp; </w:t>
      </w:r>
      <w:proofErr w:type="spellStart"/>
      <w:r>
        <w:rPr>
          <w:rFonts w:ascii="Arial" w:hAnsi="Arial" w:cs="Arial"/>
        </w:rPr>
        <w:t>Wahidahwati</w:t>
      </w:r>
      <w:proofErr w:type="spellEnd"/>
      <w:r>
        <w:rPr>
          <w:rFonts w:ascii="Arial" w:hAnsi="Arial" w:cs="Arial"/>
        </w:rPr>
        <w:t>. (2024). The effects of profitability, liquidity, firm size</w:t>
      </w:r>
      <w:proofErr w:type="gramStart"/>
      <w:r>
        <w:rPr>
          <w:rFonts w:ascii="Arial" w:hAnsi="Arial" w:cs="Arial"/>
        </w:rPr>
        <w:t xml:space="preserve">, </w:t>
      </w:r>
      <w:r>
        <w:rPr>
          <w:rFonts w:ascii="Arial" w:hAnsi="Arial" w:cs="Arial"/>
          <w:lang w:val="id-ID"/>
        </w:rPr>
        <w:tab/>
      </w:r>
      <w:r>
        <w:rPr>
          <w:rFonts w:ascii="Arial" w:hAnsi="Arial" w:cs="Arial"/>
        </w:rPr>
        <w:t>dividend</w:t>
      </w:r>
      <w:proofErr w:type="gramEnd"/>
      <w:r>
        <w:rPr>
          <w:rFonts w:ascii="Arial" w:hAnsi="Arial" w:cs="Arial"/>
        </w:rPr>
        <w:t xml:space="preserve"> policy, and investment decisions on firm value. Journal of Accounting </w:t>
      </w:r>
      <w:r>
        <w:rPr>
          <w:rFonts w:ascii="Arial" w:hAnsi="Arial" w:cs="Arial"/>
          <w:lang w:val="id-ID"/>
        </w:rPr>
        <w:tab/>
      </w:r>
      <w:r>
        <w:rPr>
          <w:rFonts w:ascii="Arial" w:hAnsi="Arial" w:cs="Arial"/>
        </w:rPr>
        <w:t>Science and Research (JIRA), 13(6).</w:t>
      </w:r>
    </w:p>
    <w:p w14:paraId="4F6921B9" w14:textId="77777777" w:rsidR="002F2202" w:rsidRDefault="00000000">
      <w:pPr>
        <w:spacing w:line="360" w:lineRule="auto"/>
        <w:jc w:val="both"/>
        <w:rPr>
          <w:rFonts w:ascii="Arial" w:hAnsi="Arial" w:cs="Arial"/>
        </w:rPr>
      </w:pPr>
      <w:proofErr w:type="spellStart"/>
      <w:r>
        <w:rPr>
          <w:rFonts w:ascii="Arial" w:hAnsi="Arial" w:cs="Arial"/>
        </w:rPr>
        <w:t>Kalbuana</w:t>
      </w:r>
      <w:proofErr w:type="spellEnd"/>
      <w:r>
        <w:rPr>
          <w:rFonts w:ascii="Arial" w:hAnsi="Arial" w:cs="Arial"/>
        </w:rPr>
        <w:t xml:space="preserve">, N., Yohana, Y., Bp, A. I., &amp; Cahyadi, C. I. (2021). The Effect </w:t>
      </w:r>
      <w:proofErr w:type="gramStart"/>
      <w:r>
        <w:rPr>
          <w:rFonts w:ascii="Arial" w:hAnsi="Arial" w:cs="Arial"/>
        </w:rPr>
        <w:t>of ,</w:t>
      </w:r>
      <w:proofErr w:type="gramEnd"/>
      <w:r>
        <w:rPr>
          <w:rFonts w:ascii="Arial" w:hAnsi="Arial" w:cs="Arial"/>
        </w:rPr>
        <w:t xml:space="preserve"> Debt Policy, and </w:t>
      </w:r>
      <w:r>
        <w:rPr>
          <w:rFonts w:ascii="Arial" w:hAnsi="Arial" w:cs="Arial"/>
          <w:lang w:val="id-ID"/>
        </w:rPr>
        <w:tab/>
      </w:r>
      <w:r>
        <w:rPr>
          <w:rFonts w:ascii="Arial" w:hAnsi="Arial" w:cs="Arial"/>
        </w:rPr>
        <w:t xml:space="preserve">Profitability on Firm Value (A Case Study of Listed on the Indonesia Stock Exchange, </w:t>
      </w:r>
      <w:r>
        <w:rPr>
          <w:rFonts w:ascii="Arial" w:hAnsi="Arial" w:cs="Arial"/>
          <w:lang w:val="id-ID"/>
        </w:rPr>
        <w:tab/>
      </w:r>
      <w:r>
        <w:rPr>
          <w:rFonts w:ascii="Arial" w:hAnsi="Arial" w:cs="Arial"/>
        </w:rPr>
        <w:t xml:space="preserve">2016–2020). </w:t>
      </w:r>
      <w:proofErr w:type="spellStart"/>
      <w:r>
        <w:rPr>
          <w:rFonts w:ascii="Arial" w:hAnsi="Arial" w:cs="Arial"/>
        </w:rPr>
        <w:t>Politala</w:t>
      </w:r>
      <w:proofErr w:type="spellEnd"/>
      <w:r>
        <w:rPr>
          <w:rFonts w:ascii="Arial" w:hAnsi="Arial" w:cs="Arial"/>
        </w:rPr>
        <w:t xml:space="preserve"> Journal </w:t>
      </w:r>
      <w:proofErr w:type="gramStart"/>
      <w:r>
        <w:rPr>
          <w:rFonts w:ascii="Arial" w:hAnsi="Arial" w:cs="Arial"/>
        </w:rPr>
        <w:t>of ,</w:t>
      </w:r>
      <w:proofErr w:type="gramEnd"/>
      <w:r>
        <w:rPr>
          <w:rFonts w:ascii="Arial" w:hAnsi="Arial" w:cs="Arial"/>
        </w:rPr>
        <w:t xml:space="preserve"> 4(2), 58–66. </w:t>
      </w:r>
    </w:p>
    <w:p w14:paraId="0F3F93CC" w14:textId="77777777" w:rsidR="002F2202" w:rsidRDefault="00000000">
      <w:pPr>
        <w:spacing w:line="360" w:lineRule="auto"/>
        <w:jc w:val="both"/>
        <w:rPr>
          <w:rFonts w:ascii="Arial" w:eastAsia="SimSun" w:hAnsi="Arial" w:cs="Arial"/>
        </w:rPr>
      </w:pPr>
      <w:r>
        <w:rPr>
          <w:rFonts w:ascii="Arial" w:eastAsia="SimSun" w:hAnsi="Arial" w:cs="Arial"/>
        </w:rPr>
        <w:t xml:space="preserve">Kurniawan, I., </w:t>
      </w:r>
      <w:proofErr w:type="spellStart"/>
      <w:r>
        <w:rPr>
          <w:rFonts w:ascii="Arial" w:eastAsia="SimSun" w:hAnsi="Arial" w:cs="Arial"/>
        </w:rPr>
        <w:t>Waspada</w:t>
      </w:r>
      <w:proofErr w:type="spellEnd"/>
      <w:r>
        <w:rPr>
          <w:rFonts w:ascii="Arial" w:eastAsia="SimSun" w:hAnsi="Arial" w:cs="Arial"/>
        </w:rPr>
        <w:t>, I., &amp; Sari, M. (2025). The effect of profitability, leverage, liquidity</w:t>
      </w:r>
      <w:proofErr w:type="gramStart"/>
      <w:r>
        <w:rPr>
          <w:rFonts w:ascii="Arial" w:eastAsia="SimSun" w:hAnsi="Arial" w:cs="Arial"/>
        </w:rPr>
        <w:t xml:space="preserve">, </w:t>
      </w:r>
      <w:r>
        <w:rPr>
          <w:rFonts w:ascii="Arial" w:eastAsia="SimSun" w:hAnsi="Arial" w:cs="Arial"/>
          <w:lang w:val="id-ID"/>
        </w:rPr>
        <w:tab/>
      </w:r>
      <w:r>
        <w:rPr>
          <w:rFonts w:ascii="Arial" w:eastAsia="SimSun" w:hAnsi="Arial" w:cs="Arial"/>
        </w:rPr>
        <w:t>profit</w:t>
      </w:r>
      <w:proofErr w:type="gramEnd"/>
      <w:r>
        <w:rPr>
          <w:rFonts w:ascii="Arial" w:eastAsia="SimSun" w:hAnsi="Arial" w:cs="Arial"/>
        </w:rPr>
        <w:t xml:space="preserve"> efficiency on firm value with dividend policy as moderation. </w:t>
      </w:r>
      <w:r>
        <w:rPr>
          <w:rStyle w:val="Emphasis"/>
          <w:rFonts w:ascii="Arial" w:eastAsia="SimSun" w:hAnsi="Arial" w:cs="Arial"/>
        </w:rPr>
        <w:t>JRAP (</w:t>
      </w:r>
      <w:proofErr w:type="spellStart"/>
      <w:r>
        <w:rPr>
          <w:rStyle w:val="Emphasis"/>
          <w:rFonts w:ascii="Arial" w:eastAsia="SimSun" w:hAnsi="Arial" w:cs="Arial"/>
        </w:rPr>
        <w:t>Jurnal</w:t>
      </w:r>
      <w:proofErr w:type="spellEnd"/>
      <w:r>
        <w:rPr>
          <w:rStyle w:val="Emphasis"/>
          <w:rFonts w:ascii="Arial" w:eastAsia="SimSun" w:hAnsi="Arial" w:cs="Arial"/>
        </w:rPr>
        <w:t xml:space="preserve"> Riset </w:t>
      </w:r>
      <w:r>
        <w:rPr>
          <w:rStyle w:val="Emphasis"/>
          <w:rFonts w:ascii="Arial" w:eastAsia="SimSun" w:hAnsi="Arial" w:cs="Arial"/>
          <w:lang w:val="id-ID"/>
        </w:rPr>
        <w:tab/>
      </w:r>
      <w:proofErr w:type="spellStart"/>
      <w:r>
        <w:rPr>
          <w:rStyle w:val="Emphasis"/>
          <w:rFonts w:ascii="Arial" w:eastAsia="SimSun" w:hAnsi="Arial" w:cs="Arial"/>
        </w:rPr>
        <w:t>Akuntansi</w:t>
      </w:r>
      <w:proofErr w:type="spellEnd"/>
      <w:r>
        <w:rPr>
          <w:rStyle w:val="Emphasis"/>
          <w:rFonts w:ascii="Arial" w:eastAsia="SimSun" w:hAnsi="Arial" w:cs="Arial"/>
        </w:rPr>
        <w:t xml:space="preserve"> dan </w:t>
      </w:r>
      <w:proofErr w:type="spellStart"/>
      <w:r>
        <w:rPr>
          <w:rStyle w:val="Emphasis"/>
          <w:rFonts w:ascii="Arial" w:eastAsia="SimSun" w:hAnsi="Arial" w:cs="Arial"/>
        </w:rPr>
        <w:t>Perpajakan</w:t>
      </w:r>
      <w:proofErr w:type="spellEnd"/>
      <w:r>
        <w:rPr>
          <w:rStyle w:val="Emphasis"/>
          <w:rFonts w:ascii="Arial" w:eastAsia="SimSun" w:hAnsi="Arial" w:cs="Arial"/>
        </w:rPr>
        <w:t>), 11</w:t>
      </w:r>
      <w:r>
        <w:rPr>
          <w:rFonts w:ascii="Arial" w:eastAsia="SimSun" w:hAnsi="Arial" w:cs="Arial"/>
        </w:rPr>
        <w:t>(2), 357–371.</w:t>
      </w:r>
    </w:p>
    <w:p w14:paraId="1515A791" w14:textId="77777777" w:rsidR="002F2202" w:rsidRDefault="00000000">
      <w:pPr>
        <w:spacing w:line="360" w:lineRule="auto"/>
        <w:jc w:val="both"/>
        <w:rPr>
          <w:rFonts w:ascii="Arial" w:hAnsi="Arial" w:cs="Arial"/>
        </w:rPr>
      </w:pPr>
      <w:proofErr w:type="spellStart"/>
      <w:r>
        <w:rPr>
          <w:rFonts w:ascii="Arial" w:eastAsia="SimSun" w:hAnsi="Arial" w:cs="Arial"/>
        </w:rPr>
        <w:t>Kurniawanto</w:t>
      </w:r>
      <w:proofErr w:type="spellEnd"/>
      <w:r>
        <w:rPr>
          <w:rFonts w:ascii="Arial" w:eastAsia="SimSun" w:hAnsi="Arial" w:cs="Arial"/>
        </w:rPr>
        <w:t xml:space="preserve">, H., </w:t>
      </w:r>
      <w:proofErr w:type="spellStart"/>
      <w:r>
        <w:rPr>
          <w:rFonts w:ascii="Arial" w:eastAsia="SimSun" w:hAnsi="Arial" w:cs="Arial"/>
        </w:rPr>
        <w:t>Widarno</w:t>
      </w:r>
      <w:proofErr w:type="spellEnd"/>
      <w:r>
        <w:rPr>
          <w:rFonts w:ascii="Arial" w:eastAsia="SimSun" w:hAnsi="Arial" w:cs="Arial"/>
        </w:rPr>
        <w:t xml:space="preserve">, B., &amp; </w:t>
      </w:r>
      <w:proofErr w:type="spellStart"/>
      <w:r>
        <w:rPr>
          <w:rFonts w:ascii="Arial" w:eastAsia="SimSun" w:hAnsi="Arial" w:cs="Arial"/>
        </w:rPr>
        <w:t>Hapsari</w:t>
      </w:r>
      <w:proofErr w:type="spellEnd"/>
      <w:r>
        <w:rPr>
          <w:rFonts w:ascii="Arial" w:eastAsia="SimSun" w:hAnsi="Arial" w:cs="Arial"/>
        </w:rPr>
        <w:t xml:space="preserve">, Y. M. (2025). Dividend policy as a moderating </w:t>
      </w:r>
      <w:r>
        <w:rPr>
          <w:rFonts w:ascii="Arial" w:eastAsia="SimSun" w:hAnsi="Arial" w:cs="Arial"/>
          <w:lang w:val="id-ID"/>
        </w:rPr>
        <w:tab/>
      </w:r>
      <w:r>
        <w:rPr>
          <w:rFonts w:ascii="Arial" w:eastAsia="SimSun" w:hAnsi="Arial" w:cs="Arial"/>
        </w:rPr>
        <w:t xml:space="preserve">variable on the relationship between profitability, leverage, and firm value in the </w:t>
      </w:r>
      <w:r>
        <w:rPr>
          <w:rFonts w:ascii="Arial" w:eastAsia="SimSun" w:hAnsi="Arial" w:cs="Arial"/>
          <w:lang w:val="id-ID"/>
        </w:rPr>
        <w:tab/>
      </w:r>
      <w:r>
        <w:rPr>
          <w:rFonts w:ascii="Arial" w:eastAsia="SimSun" w:hAnsi="Arial" w:cs="Arial"/>
          <w:lang w:val="id-ID"/>
        </w:rPr>
        <w:tab/>
      </w:r>
      <w:r>
        <w:rPr>
          <w:rFonts w:ascii="Arial" w:eastAsia="SimSun" w:hAnsi="Arial" w:cs="Arial"/>
        </w:rPr>
        <w:t xml:space="preserve">consumer goods manufacturing sector listed on the Indonesia Stock Exchange. </w:t>
      </w:r>
      <w:r>
        <w:rPr>
          <w:rFonts w:ascii="Arial" w:eastAsia="SimSun" w:hAnsi="Arial" w:cs="Arial"/>
          <w:lang w:val="id-ID"/>
        </w:rPr>
        <w:tab/>
      </w:r>
      <w:r>
        <w:rPr>
          <w:rFonts w:ascii="Arial" w:eastAsia="SimSun" w:hAnsi="Arial" w:cs="Arial"/>
          <w:lang w:val="id-ID"/>
        </w:rPr>
        <w:tab/>
      </w:r>
      <w:r>
        <w:rPr>
          <w:rStyle w:val="Emphasis"/>
          <w:rFonts w:ascii="Arial" w:eastAsia="SimSun" w:hAnsi="Arial" w:cs="Arial"/>
        </w:rPr>
        <w:t>Archives of Business Research, 13</w:t>
      </w:r>
      <w:r>
        <w:rPr>
          <w:rFonts w:ascii="Arial" w:eastAsia="SimSun" w:hAnsi="Arial" w:cs="Arial"/>
        </w:rPr>
        <w:t>(3), 226–236.</w:t>
      </w:r>
    </w:p>
    <w:p w14:paraId="7ACA30D3" w14:textId="77777777" w:rsidR="002F2202" w:rsidRDefault="00000000">
      <w:pPr>
        <w:spacing w:line="360" w:lineRule="auto"/>
        <w:jc w:val="both"/>
        <w:rPr>
          <w:rFonts w:ascii="Arial" w:hAnsi="Arial" w:cs="Arial"/>
        </w:rPr>
      </w:pPr>
      <w:proofErr w:type="spellStart"/>
      <w:r>
        <w:rPr>
          <w:rFonts w:ascii="Arial" w:hAnsi="Arial" w:cs="Arial"/>
        </w:rPr>
        <w:t>Mar’aqonitatillah</w:t>
      </w:r>
      <w:proofErr w:type="spellEnd"/>
      <w:r>
        <w:rPr>
          <w:rFonts w:ascii="Arial" w:hAnsi="Arial" w:cs="Arial"/>
        </w:rPr>
        <w:t xml:space="preserve">, A., &amp; </w:t>
      </w:r>
      <w:proofErr w:type="spellStart"/>
      <w:r>
        <w:rPr>
          <w:rFonts w:ascii="Arial" w:hAnsi="Arial" w:cs="Arial"/>
        </w:rPr>
        <w:t>Setiyono</w:t>
      </w:r>
      <w:proofErr w:type="spellEnd"/>
      <w:r>
        <w:rPr>
          <w:rFonts w:ascii="Arial" w:hAnsi="Arial" w:cs="Arial"/>
        </w:rPr>
        <w:t xml:space="preserve">, W. P. (2024). Liquidity, Profitability, and Leverage Have a </w:t>
      </w:r>
      <w:r>
        <w:rPr>
          <w:rFonts w:ascii="Arial" w:hAnsi="Arial" w:cs="Arial"/>
          <w:lang w:val="id-ID"/>
        </w:rPr>
        <w:tab/>
      </w:r>
      <w:r>
        <w:rPr>
          <w:rFonts w:ascii="Arial" w:hAnsi="Arial" w:cs="Arial"/>
        </w:rPr>
        <w:t xml:space="preserve">Significant Impact on Firm Value in the Indonesian Pharmaceutical </w:t>
      </w:r>
      <w:proofErr w:type="gramStart"/>
      <w:r>
        <w:rPr>
          <w:rFonts w:ascii="Arial" w:hAnsi="Arial" w:cs="Arial"/>
        </w:rPr>
        <w:t>Sector .</w:t>
      </w:r>
      <w:proofErr w:type="gramEnd"/>
      <w:r>
        <w:rPr>
          <w:rFonts w:ascii="Arial" w:hAnsi="Arial" w:cs="Arial"/>
        </w:rPr>
        <w:t xml:space="preserve"> </w:t>
      </w:r>
      <w:r>
        <w:rPr>
          <w:rFonts w:ascii="Arial" w:hAnsi="Arial" w:cs="Arial"/>
          <w:lang w:val="id-ID"/>
        </w:rPr>
        <w:tab/>
      </w:r>
      <w:r>
        <w:rPr>
          <w:rFonts w:ascii="Arial" w:hAnsi="Arial" w:cs="Arial"/>
        </w:rPr>
        <w:t>Sciences and Clinical Pharmacy Research Journal, 1(2), 16.</w:t>
      </w:r>
    </w:p>
    <w:p w14:paraId="39C015F9" w14:textId="77777777" w:rsidR="002F2202" w:rsidRDefault="00000000">
      <w:pPr>
        <w:spacing w:line="360" w:lineRule="auto"/>
        <w:jc w:val="both"/>
        <w:rPr>
          <w:rFonts w:ascii="Arial" w:hAnsi="Arial" w:cs="Arial"/>
        </w:rPr>
      </w:pPr>
      <w:r>
        <w:rPr>
          <w:rFonts w:ascii="Arial" w:hAnsi="Arial" w:cs="Arial"/>
        </w:rPr>
        <w:t xml:space="preserve">Marshella, M., &amp; Wijaya, H. (2024). The Effect of Profitability, Leverage, and Institutional </w:t>
      </w:r>
      <w:r>
        <w:rPr>
          <w:rFonts w:ascii="Arial" w:hAnsi="Arial" w:cs="Arial"/>
          <w:lang w:val="id-ID"/>
        </w:rPr>
        <w:tab/>
      </w:r>
      <w:r>
        <w:rPr>
          <w:rFonts w:ascii="Arial" w:hAnsi="Arial" w:cs="Arial"/>
        </w:rPr>
        <w:t xml:space="preserve">Ownership on Firm Value in the Infrastructure Sector for the Period 2021–2023. </w:t>
      </w:r>
      <w:r>
        <w:rPr>
          <w:rFonts w:ascii="Arial" w:hAnsi="Arial" w:cs="Arial"/>
          <w:lang w:val="id-ID"/>
        </w:rPr>
        <w:tab/>
      </w:r>
      <w:proofErr w:type="spellStart"/>
      <w:r>
        <w:rPr>
          <w:rFonts w:ascii="Arial" w:hAnsi="Arial" w:cs="Arial"/>
        </w:rPr>
        <w:t>Jurnal</w:t>
      </w:r>
      <w:proofErr w:type="spellEnd"/>
      <w:r>
        <w:rPr>
          <w:rFonts w:ascii="Arial" w:hAnsi="Arial" w:cs="Arial"/>
        </w:rPr>
        <w:t xml:space="preserve"> Bina Accounting, 11(2), 114–129.</w:t>
      </w:r>
    </w:p>
    <w:p w14:paraId="1917CD19" w14:textId="77777777" w:rsidR="002F2202" w:rsidRDefault="00000000">
      <w:pPr>
        <w:spacing w:line="360" w:lineRule="auto"/>
        <w:jc w:val="both"/>
        <w:rPr>
          <w:rFonts w:ascii="Arial" w:eastAsia="SimSun" w:hAnsi="Arial" w:cs="Arial"/>
        </w:rPr>
      </w:pPr>
      <w:r>
        <w:rPr>
          <w:rFonts w:ascii="Arial" w:eastAsia="SimSun" w:hAnsi="Arial" w:cs="Arial"/>
        </w:rPr>
        <w:t xml:space="preserve">Murti, P. H., Zamzamy, F. R., &amp; Maharani, N. K. (2024). Analysis of capital structure policy, </w:t>
      </w:r>
      <w:r>
        <w:rPr>
          <w:rFonts w:ascii="Arial" w:eastAsia="SimSun" w:hAnsi="Arial" w:cs="Arial"/>
          <w:lang w:val="id-ID"/>
        </w:rPr>
        <w:tab/>
      </w:r>
      <w:r>
        <w:rPr>
          <w:rFonts w:ascii="Arial" w:eastAsia="SimSun" w:hAnsi="Arial" w:cs="Arial"/>
        </w:rPr>
        <w:t xml:space="preserve">earnings management, and public ownership on financial distress: Empirical study in </w:t>
      </w:r>
      <w:r>
        <w:rPr>
          <w:rFonts w:ascii="Arial" w:eastAsia="SimSun" w:hAnsi="Arial" w:cs="Arial"/>
          <w:lang w:val="id-ID"/>
        </w:rPr>
        <w:tab/>
      </w:r>
      <w:r>
        <w:rPr>
          <w:rFonts w:ascii="Arial" w:eastAsia="SimSun" w:hAnsi="Arial" w:cs="Arial"/>
        </w:rPr>
        <w:t xml:space="preserve">the food and beverage industry in Indonesia. </w:t>
      </w:r>
      <w:r>
        <w:rPr>
          <w:rStyle w:val="Emphasis"/>
          <w:rFonts w:ascii="Arial" w:eastAsia="SimSun" w:hAnsi="Arial" w:cs="Arial"/>
        </w:rPr>
        <w:t xml:space="preserve">Robust: Research of Business and </w:t>
      </w:r>
      <w:r>
        <w:rPr>
          <w:rStyle w:val="Emphasis"/>
          <w:rFonts w:ascii="Arial" w:eastAsia="SimSun" w:hAnsi="Arial" w:cs="Arial"/>
          <w:lang w:val="id-ID"/>
        </w:rPr>
        <w:tab/>
      </w:r>
      <w:r>
        <w:rPr>
          <w:rStyle w:val="Emphasis"/>
          <w:rFonts w:ascii="Arial" w:eastAsia="SimSun" w:hAnsi="Arial" w:cs="Arial"/>
        </w:rPr>
        <w:t>Economics Studies, 4</w:t>
      </w:r>
      <w:r>
        <w:rPr>
          <w:rFonts w:ascii="Arial" w:eastAsia="SimSun" w:hAnsi="Arial" w:cs="Arial"/>
        </w:rPr>
        <w:t>(1), 1–11.</w:t>
      </w:r>
    </w:p>
    <w:p w14:paraId="4123F12D" w14:textId="77777777" w:rsidR="002F2202" w:rsidRDefault="00000000">
      <w:pPr>
        <w:spacing w:line="360" w:lineRule="auto"/>
        <w:jc w:val="both"/>
        <w:rPr>
          <w:rFonts w:ascii="Arial" w:hAnsi="Arial" w:cs="Arial"/>
        </w:rPr>
      </w:pPr>
      <w:r>
        <w:rPr>
          <w:rFonts w:ascii="Arial" w:hAnsi="Arial" w:cs="Arial"/>
        </w:rPr>
        <w:t xml:space="preserve">Nainggolan, M. N., </w:t>
      </w:r>
      <w:proofErr w:type="spellStart"/>
      <w:r>
        <w:rPr>
          <w:rFonts w:ascii="Arial" w:hAnsi="Arial" w:cs="Arial"/>
        </w:rPr>
        <w:t>Sirait</w:t>
      </w:r>
      <w:proofErr w:type="spellEnd"/>
      <w:r>
        <w:rPr>
          <w:rFonts w:ascii="Arial" w:hAnsi="Arial" w:cs="Arial"/>
        </w:rPr>
        <w:t>, A., Nasution, O. N., &amp; Astuty, F. (2022). The Effect of Firm Size,</w:t>
      </w:r>
      <w:r>
        <w:rPr>
          <w:rFonts w:ascii="Arial" w:hAnsi="Arial" w:cs="Arial"/>
          <w:lang w:val="id-ID"/>
        </w:rPr>
        <w:t xml:space="preserve"> </w:t>
      </w:r>
      <w:r>
        <w:rPr>
          <w:rFonts w:ascii="Arial" w:hAnsi="Arial" w:cs="Arial"/>
          <w:lang w:val="id-ID"/>
        </w:rPr>
        <w:tab/>
      </w:r>
      <w:r>
        <w:rPr>
          <w:rFonts w:ascii="Arial" w:hAnsi="Arial" w:cs="Arial"/>
        </w:rPr>
        <w:t xml:space="preserve">Sales Growth, and Leverage on Profitability through the ROA in the Food &amp; </w:t>
      </w:r>
      <w:r>
        <w:rPr>
          <w:rFonts w:ascii="Arial" w:hAnsi="Arial" w:cs="Arial"/>
          <w:lang w:val="id-ID"/>
        </w:rPr>
        <w:tab/>
      </w:r>
      <w:r>
        <w:rPr>
          <w:rFonts w:ascii="Arial" w:hAnsi="Arial" w:cs="Arial"/>
        </w:rPr>
        <w:t xml:space="preserve">Beverage sector on the IDX during the 2015–2019 period. Publisher: Research and </w:t>
      </w:r>
      <w:r>
        <w:rPr>
          <w:rFonts w:ascii="Arial" w:hAnsi="Arial" w:cs="Arial"/>
          <w:lang w:val="id-ID"/>
        </w:rPr>
        <w:tab/>
      </w:r>
      <w:r>
        <w:rPr>
          <w:rFonts w:ascii="Arial" w:hAnsi="Arial" w:cs="Arial"/>
        </w:rPr>
        <w:t xml:space="preserve">Accounting Journal, 6(1), 948–963. </w:t>
      </w:r>
    </w:p>
    <w:p w14:paraId="1AE834ED" w14:textId="77777777" w:rsidR="002F2202" w:rsidRDefault="00000000">
      <w:pPr>
        <w:spacing w:line="360" w:lineRule="auto"/>
        <w:jc w:val="both"/>
        <w:rPr>
          <w:rFonts w:ascii="Arial" w:hAnsi="Arial" w:cs="Arial"/>
        </w:rPr>
      </w:pPr>
      <w:proofErr w:type="spellStart"/>
      <w:r>
        <w:rPr>
          <w:rFonts w:ascii="Arial" w:hAnsi="Arial" w:cs="Arial"/>
        </w:rPr>
        <w:t>Ndruru</w:t>
      </w:r>
      <w:proofErr w:type="spellEnd"/>
      <w:r>
        <w:rPr>
          <w:rFonts w:ascii="Arial" w:hAnsi="Arial" w:cs="Arial"/>
        </w:rPr>
        <w:t xml:space="preserve">, M., </w:t>
      </w:r>
      <w:proofErr w:type="spellStart"/>
      <w:r>
        <w:rPr>
          <w:rFonts w:ascii="Arial" w:hAnsi="Arial" w:cs="Arial"/>
        </w:rPr>
        <w:t>Silaban</w:t>
      </w:r>
      <w:proofErr w:type="spellEnd"/>
      <w:r>
        <w:rPr>
          <w:rFonts w:ascii="Arial" w:hAnsi="Arial" w:cs="Arial"/>
        </w:rPr>
        <w:t xml:space="preserve">, P. B., </w:t>
      </w:r>
      <w:proofErr w:type="spellStart"/>
      <w:r>
        <w:rPr>
          <w:rFonts w:ascii="Arial" w:hAnsi="Arial" w:cs="Arial"/>
        </w:rPr>
        <w:t>Sihaloho</w:t>
      </w:r>
      <w:proofErr w:type="spellEnd"/>
      <w:r>
        <w:rPr>
          <w:rFonts w:ascii="Arial" w:hAnsi="Arial" w:cs="Arial"/>
        </w:rPr>
        <w:t xml:space="preserve">, J., </w:t>
      </w:r>
      <w:proofErr w:type="spellStart"/>
      <w:r>
        <w:rPr>
          <w:rFonts w:ascii="Arial" w:hAnsi="Arial" w:cs="Arial"/>
        </w:rPr>
        <w:t>Manurung</w:t>
      </w:r>
      <w:proofErr w:type="spellEnd"/>
      <w:r>
        <w:rPr>
          <w:rFonts w:ascii="Arial" w:hAnsi="Arial" w:cs="Arial"/>
        </w:rPr>
        <w:t xml:space="preserve">, K. M., &amp; </w:t>
      </w:r>
      <w:proofErr w:type="spellStart"/>
      <w:r>
        <w:rPr>
          <w:rFonts w:ascii="Arial" w:hAnsi="Arial" w:cs="Arial"/>
        </w:rPr>
        <w:t>Sipahutar</w:t>
      </w:r>
      <w:proofErr w:type="spellEnd"/>
      <w:r>
        <w:rPr>
          <w:rFonts w:ascii="Arial" w:hAnsi="Arial" w:cs="Arial"/>
        </w:rPr>
        <w:t xml:space="preserve">, T. T. U. (2020). The </w:t>
      </w:r>
      <w:r>
        <w:rPr>
          <w:rFonts w:ascii="Arial" w:hAnsi="Arial" w:cs="Arial"/>
          <w:lang w:val="id-ID"/>
        </w:rPr>
        <w:tab/>
      </w:r>
      <w:r>
        <w:rPr>
          <w:rFonts w:ascii="Arial" w:hAnsi="Arial" w:cs="Arial"/>
        </w:rPr>
        <w:t>influence of liquidity, leverage, and profitability on firm value in manufacturing</w:t>
      </w:r>
      <w:r>
        <w:rPr>
          <w:rFonts w:ascii="Arial" w:hAnsi="Arial" w:cs="Arial"/>
          <w:lang w:val="id-ID"/>
        </w:rPr>
        <w:t xml:space="preserve"> </w:t>
      </w:r>
      <w:r>
        <w:rPr>
          <w:rFonts w:ascii="Arial" w:hAnsi="Arial" w:cs="Arial"/>
          <w:lang w:val="id-ID"/>
        </w:rPr>
        <w:tab/>
      </w:r>
      <w:r>
        <w:rPr>
          <w:rFonts w:ascii="Arial" w:hAnsi="Arial" w:cs="Arial"/>
        </w:rPr>
        <w:t xml:space="preserve">companies from 2015 to 2017. Journal of Management, Economics, and </w:t>
      </w:r>
      <w:r>
        <w:rPr>
          <w:rFonts w:ascii="Arial" w:hAnsi="Arial" w:cs="Arial"/>
        </w:rPr>
        <w:tab/>
        <w:t xml:space="preserve">Accounting, </w:t>
      </w:r>
      <w:r>
        <w:rPr>
          <w:rFonts w:ascii="Arial" w:hAnsi="Arial" w:cs="Arial"/>
          <w:lang w:val="id-ID"/>
        </w:rPr>
        <w:tab/>
      </w:r>
      <w:r>
        <w:rPr>
          <w:rFonts w:ascii="Arial" w:hAnsi="Arial" w:cs="Arial"/>
        </w:rPr>
        <w:t>4(3), 390–405.</w:t>
      </w:r>
    </w:p>
    <w:p w14:paraId="594318F3" w14:textId="77777777" w:rsidR="002F2202" w:rsidRDefault="00000000">
      <w:pPr>
        <w:spacing w:line="360" w:lineRule="auto"/>
        <w:jc w:val="both"/>
        <w:rPr>
          <w:rFonts w:ascii="Arial" w:hAnsi="Arial" w:cs="Arial"/>
        </w:rPr>
      </w:pPr>
      <w:proofErr w:type="spellStart"/>
      <w:r>
        <w:rPr>
          <w:rFonts w:ascii="Arial" w:hAnsi="Arial" w:cs="Arial"/>
        </w:rPr>
        <w:t>Nugraha</w:t>
      </w:r>
      <w:proofErr w:type="spellEnd"/>
      <w:r>
        <w:rPr>
          <w:rFonts w:ascii="Arial" w:hAnsi="Arial" w:cs="Arial"/>
        </w:rPr>
        <w:t xml:space="preserve">, K. P., </w:t>
      </w:r>
      <w:proofErr w:type="spellStart"/>
      <w:r>
        <w:rPr>
          <w:rFonts w:ascii="Arial" w:hAnsi="Arial" w:cs="Arial"/>
        </w:rPr>
        <w:t>Budiwitjaksono</w:t>
      </w:r>
      <w:proofErr w:type="spellEnd"/>
      <w:r>
        <w:rPr>
          <w:rFonts w:ascii="Arial" w:hAnsi="Arial" w:cs="Arial"/>
        </w:rPr>
        <w:t xml:space="preserve">, G. S., &amp; Suhartini, D. (2020). The role of dividend policy in </w:t>
      </w:r>
      <w:r>
        <w:rPr>
          <w:rFonts w:ascii="Arial" w:hAnsi="Arial" w:cs="Arial"/>
          <w:lang w:val="id-ID"/>
        </w:rPr>
        <w:tab/>
      </w:r>
      <w:r>
        <w:rPr>
          <w:rFonts w:ascii="Arial" w:hAnsi="Arial" w:cs="Arial"/>
        </w:rPr>
        <w:t xml:space="preserve">moderating the effects of profitability and liquidity on firm value. Journal MEBIS </w:t>
      </w:r>
      <w:r>
        <w:rPr>
          <w:rFonts w:ascii="Arial" w:hAnsi="Arial" w:cs="Arial"/>
          <w:lang w:val="id-ID"/>
        </w:rPr>
        <w:tab/>
      </w:r>
      <w:r>
        <w:rPr>
          <w:rFonts w:ascii="Arial" w:hAnsi="Arial" w:cs="Arial"/>
        </w:rPr>
        <w:t>(Management and Business), 5(1), 18–23.</w:t>
      </w:r>
    </w:p>
    <w:p w14:paraId="7E210C99" w14:textId="77777777" w:rsidR="002F2202" w:rsidRDefault="00000000">
      <w:pPr>
        <w:spacing w:line="360" w:lineRule="auto"/>
        <w:jc w:val="both"/>
        <w:rPr>
          <w:rFonts w:ascii="Arial" w:hAnsi="Arial" w:cs="Arial"/>
        </w:rPr>
      </w:pPr>
      <w:proofErr w:type="spellStart"/>
      <w:r>
        <w:rPr>
          <w:rFonts w:ascii="Arial" w:hAnsi="Arial" w:cs="Arial"/>
        </w:rPr>
        <w:t>Nofika</w:t>
      </w:r>
      <w:proofErr w:type="spellEnd"/>
      <w:r>
        <w:rPr>
          <w:rFonts w:ascii="Arial" w:hAnsi="Arial" w:cs="Arial"/>
        </w:rPr>
        <w:t xml:space="preserve">, S., &amp; Nurhayati, I. (2022). Analysis of factors </w:t>
      </w:r>
      <w:proofErr w:type="gramStart"/>
      <w:r>
        <w:rPr>
          <w:rFonts w:ascii="Arial" w:hAnsi="Arial" w:cs="Arial"/>
        </w:rPr>
        <w:t>influencing with</w:t>
      </w:r>
      <w:proofErr w:type="gramEnd"/>
      <w:r>
        <w:rPr>
          <w:rFonts w:ascii="Arial" w:hAnsi="Arial" w:cs="Arial"/>
        </w:rPr>
        <w:t xml:space="preserve"> dividend policy as a</w:t>
      </w:r>
      <w:r>
        <w:rPr>
          <w:rFonts w:ascii="Arial" w:hAnsi="Arial" w:cs="Arial"/>
          <w:lang w:val="id-ID"/>
        </w:rPr>
        <w:tab/>
      </w:r>
      <w:r>
        <w:rPr>
          <w:rFonts w:ascii="Arial" w:hAnsi="Arial" w:cs="Arial"/>
          <w:lang w:val="id-ID"/>
        </w:rPr>
        <w:tab/>
      </w:r>
      <w:r>
        <w:rPr>
          <w:rFonts w:ascii="Arial" w:hAnsi="Arial" w:cs="Arial"/>
        </w:rPr>
        <w:t>moderating variable. Owner: Research and Journal of Accounting, 6(1), 828–845.</w:t>
      </w:r>
    </w:p>
    <w:p w14:paraId="54ED401E" w14:textId="77777777" w:rsidR="002F2202" w:rsidRDefault="00000000">
      <w:pPr>
        <w:spacing w:line="360" w:lineRule="auto"/>
        <w:jc w:val="both"/>
        <w:rPr>
          <w:rFonts w:ascii="Arial" w:eastAsia="SimSun" w:hAnsi="Arial" w:cs="Arial"/>
        </w:rPr>
      </w:pPr>
      <w:proofErr w:type="spellStart"/>
      <w:r>
        <w:rPr>
          <w:rFonts w:ascii="Arial" w:eastAsia="SimSun" w:hAnsi="Arial" w:cs="Arial"/>
        </w:rPr>
        <w:lastRenderedPageBreak/>
        <w:t>Novianti</w:t>
      </w:r>
      <w:proofErr w:type="spellEnd"/>
      <w:r>
        <w:rPr>
          <w:rFonts w:ascii="Arial" w:eastAsia="SimSun" w:hAnsi="Arial" w:cs="Arial"/>
        </w:rPr>
        <w:t xml:space="preserve">, M., Abbas, D. S., &amp; </w:t>
      </w:r>
      <w:proofErr w:type="spellStart"/>
      <w:r>
        <w:rPr>
          <w:rFonts w:ascii="Arial" w:eastAsia="SimSun" w:hAnsi="Arial" w:cs="Arial"/>
        </w:rPr>
        <w:t>Aulia</w:t>
      </w:r>
      <w:proofErr w:type="spellEnd"/>
      <w:r>
        <w:rPr>
          <w:rFonts w:ascii="Arial" w:eastAsia="SimSun" w:hAnsi="Arial" w:cs="Arial"/>
        </w:rPr>
        <w:t xml:space="preserve">, T. Z. (2024). The effect of liquidity and profitability on firm </w:t>
      </w:r>
      <w:r>
        <w:rPr>
          <w:rFonts w:ascii="Arial" w:eastAsia="SimSun" w:hAnsi="Arial" w:cs="Arial"/>
          <w:lang w:val="id-ID"/>
        </w:rPr>
        <w:tab/>
      </w:r>
      <w:r>
        <w:rPr>
          <w:rFonts w:ascii="Arial" w:eastAsia="SimSun" w:hAnsi="Arial" w:cs="Arial"/>
        </w:rPr>
        <w:t xml:space="preserve">value. </w:t>
      </w:r>
      <w:r>
        <w:rPr>
          <w:rStyle w:val="Emphasis"/>
          <w:rFonts w:ascii="Arial" w:eastAsia="SimSun" w:hAnsi="Arial" w:cs="Arial"/>
        </w:rPr>
        <w:t>Journal of Accounting Science Pearls, 2</w:t>
      </w:r>
      <w:r>
        <w:rPr>
          <w:rFonts w:ascii="Arial" w:eastAsia="SimSun" w:hAnsi="Arial" w:cs="Arial"/>
        </w:rPr>
        <w:t>(1), 56–66.</w:t>
      </w:r>
    </w:p>
    <w:p w14:paraId="2CC1A687" w14:textId="77777777" w:rsidR="002F2202" w:rsidRDefault="00000000">
      <w:pPr>
        <w:spacing w:line="360" w:lineRule="auto"/>
        <w:jc w:val="both"/>
        <w:rPr>
          <w:rFonts w:ascii="Arial" w:hAnsi="Arial" w:cs="Arial"/>
        </w:rPr>
      </w:pPr>
      <w:r>
        <w:rPr>
          <w:rFonts w:ascii="Arial" w:hAnsi="Arial" w:cs="Arial"/>
        </w:rPr>
        <w:t xml:space="preserve">Purnomo, D. W., Fatimah, &amp; Nurhalimah. (2023). The Effect of Dividend Policy, Profitability, </w:t>
      </w:r>
      <w:r>
        <w:rPr>
          <w:rFonts w:ascii="Arial" w:hAnsi="Arial" w:cs="Arial"/>
          <w:lang w:val="id-ID"/>
        </w:rPr>
        <w:tab/>
      </w:r>
      <w:r>
        <w:rPr>
          <w:rFonts w:ascii="Arial" w:hAnsi="Arial" w:cs="Arial"/>
        </w:rPr>
        <w:t xml:space="preserve">and Company Size on Firm Value in Manufacturing Companies on the Indonesia </w:t>
      </w:r>
      <w:r>
        <w:rPr>
          <w:rFonts w:ascii="Arial" w:hAnsi="Arial" w:cs="Arial"/>
          <w:lang w:val="id-ID"/>
        </w:rPr>
        <w:tab/>
      </w:r>
      <w:r>
        <w:rPr>
          <w:rFonts w:ascii="Arial" w:hAnsi="Arial" w:cs="Arial"/>
        </w:rPr>
        <w:t xml:space="preserve">Stock </w:t>
      </w:r>
      <w:proofErr w:type="gramStart"/>
      <w:r>
        <w:rPr>
          <w:rFonts w:ascii="Arial" w:hAnsi="Arial" w:cs="Arial"/>
        </w:rPr>
        <w:t>Exchange .</w:t>
      </w:r>
      <w:proofErr w:type="gramEnd"/>
      <w:r>
        <w:rPr>
          <w:rFonts w:ascii="Arial" w:hAnsi="Arial" w:cs="Arial"/>
        </w:rPr>
        <w:t xml:space="preserve"> Journal of Accounting and Business Science, 9(2), 80–92.</w:t>
      </w:r>
    </w:p>
    <w:p w14:paraId="1C1E448A" w14:textId="77777777" w:rsidR="002F2202" w:rsidRDefault="00000000">
      <w:pPr>
        <w:spacing w:line="360" w:lineRule="auto"/>
        <w:jc w:val="both"/>
        <w:rPr>
          <w:rFonts w:ascii="Arial" w:hAnsi="Arial" w:cs="Arial"/>
        </w:rPr>
      </w:pPr>
      <w:r>
        <w:rPr>
          <w:rFonts w:ascii="Arial" w:eastAsia="SimSun" w:hAnsi="Arial" w:cs="Arial"/>
        </w:rPr>
        <w:t xml:space="preserve">Pratama, G., &amp; Nurhayati, I. (2022). The effect of profitability, liquidity, and leverage on firm </w:t>
      </w:r>
      <w:r>
        <w:rPr>
          <w:rFonts w:ascii="Arial" w:eastAsia="SimSun" w:hAnsi="Arial" w:cs="Arial"/>
          <w:lang w:val="id-ID"/>
        </w:rPr>
        <w:tab/>
      </w:r>
      <w:r>
        <w:rPr>
          <w:rFonts w:ascii="Arial" w:eastAsia="SimSun" w:hAnsi="Arial" w:cs="Arial"/>
        </w:rPr>
        <w:t xml:space="preserve">value with dividend policy as a </w:t>
      </w:r>
      <w:proofErr w:type="gramStart"/>
      <w:r>
        <w:rPr>
          <w:rFonts w:ascii="Arial" w:eastAsia="SimSun" w:hAnsi="Arial" w:cs="Arial"/>
        </w:rPr>
        <w:t>moderating</w:t>
      </w:r>
      <w:proofErr w:type="gramEnd"/>
      <w:r>
        <w:rPr>
          <w:rFonts w:ascii="Arial" w:eastAsia="SimSun" w:hAnsi="Arial" w:cs="Arial"/>
        </w:rPr>
        <w:t xml:space="preserve"> variable. </w:t>
      </w:r>
      <w:r>
        <w:rPr>
          <w:rStyle w:val="Emphasis"/>
          <w:rFonts w:ascii="Arial" w:eastAsia="SimSun" w:hAnsi="Arial" w:cs="Arial"/>
        </w:rPr>
        <w:t xml:space="preserve">JIMAT (Scientific Journal of </w:t>
      </w:r>
      <w:r>
        <w:rPr>
          <w:rStyle w:val="Emphasis"/>
          <w:rFonts w:ascii="Arial" w:eastAsia="SimSun" w:hAnsi="Arial" w:cs="Arial"/>
          <w:lang w:val="id-ID"/>
        </w:rPr>
        <w:tab/>
      </w:r>
      <w:r>
        <w:rPr>
          <w:rStyle w:val="Emphasis"/>
          <w:rFonts w:ascii="Arial" w:eastAsia="SimSun" w:hAnsi="Arial" w:cs="Arial"/>
        </w:rPr>
        <w:t xml:space="preserve">Accounting Students of </w:t>
      </w:r>
      <w:proofErr w:type="spellStart"/>
      <w:r>
        <w:rPr>
          <w:rStyle w:val="Emphasis"/>
          <w:rFonts w:ascii="Arial" w:eastAsia="SimSun" w:hAnsi="Arial" w:cs="Arial"/>
        </w:rPr>
        <w:t>Undiksha</w:t>
      </w:r>
      <w:proofErr w:type="spellEnd"/>
      <w:r>
        <w:rPr>
          <w:rStyle w:val="Emphasis"/>
          <w:rFonts w:ascii="Arial" w:eastAsia="SimSun" w:hAnsi="Arial" w:cs="Arial"/>
        </w:rPr>
        <w:t>), 13</w:t>
      </w:r>
      <w:r>
        <w:rPr>
          <w:rFonts w:ascii="Arial" w:eastAsia="SimSun" w:hAnsi="Arial" w:cs="Arial"/>
        </w:rPr>
        <w:t>(02), 647–659.</w:t>
      </w:r>
      <w:r>
        <w:rPr>
          <w:rFonts w:ascii="Arial" w:eastAsia="SimSun" w:hAnsi="Arial" w:cs="Arial"/>
          <w:color w:val="222222"/>
          <w:shd w:val="clear" w:color="auto" w:fill="FFFFFF"/>
          <w:lang w:val="id-ID"/>
        </w:rPr>
        <w:tab/>
      </w:r>
    </w:p>
    <w:p w14:paraId="50381E26" w14:textId="77777777" w:rsidR="002F2202" w:rsidRDefault="00000000">
      <w:pPr>
        <w:spacing w:line="360" w:lineRule="auto"/>
        <w:jc w:val="both"/>
        <w:rPr>
          <w:rFonts w:ascii="Arial" w:hAnsi="Arial" w:cs="Arial"/>
        </w:rPr>
      </w:pPr>
      <w:r>
        <w:rPr>
          <w:rFonts w:ascii="Arial" w:hAnsi="Arial" w:cs="Arial"/>
        </w:rPr>
        <w:t xml:space="preserve">Ratana, C., &amp; Hermanto, H. (2023). The Effects of Firm Size, Investment Decisions, Debt </w:t>
      </w:r>
      <w:r>
        <w:rPr>
          <w:rFonts w:ascii="Arial" w:hAnsi="Arial" w:cs="Arial"/>
          <w:lang w:val="id-ID"/>
        </w:rPr>
        <w:tab/>
      </w:r>
      <w:r>
        <w:rPr>
          <w:rFonts w:ascii="Arial" w:hAnsi="Arial" w:cs="Arial"/>
        </w:rPr>
        <w:t>Policy, and Inventory Turnover on Firm Value. JIIP-Journal of Educational Sciences</w:t>
      </w:r>
      <w:proofErr w:type="gramStart"/>
      <w:r>
        <w:rPr>
          <w:rFonts w:ascii="Arial" w:hAnsi="Arial" w:cs="Arial"/>
        </w:rPr>
        <w:t xml:space="preserve">, </w:t>
      </w:r>
      <w:r>
        <w:rPr>
          <w:rFonts w:ascii="Arial" w:hAnsi="Arial" w:cs="Arial"/>
          <w:lang w:val="id-ID"/>
        </w:rPr>
        <w:tab/>
      </w:r>
      <w:r>
        <w:rPr>
          <w:rFonts w:ascii="Arial" w:hAnsi="Arial" w:cs="Arial"/>
        </w:rPr>
        <w:t>6</w:t>
      </w:r>
      <w:proofErr w:type="gramEnd"/>
      <w:r>
        <w:rPr>
          <w:rFonts w:ascii="Arial" w:hAnsi="Arial" w:cs="Arial"/>
        </w:rPr>
        <w:t>(5), 2994-3001.</w:t>
      </w:r>
    </w:p>
    <w:p w14:paraId="13E9849B" w14:textId="77777777" w:rsidR="002F2202" w:rsidRDefault="00000000">
      <w:pPr>
        <w:spacing w:line="360" w:lineRule="auto"/>
        <w:jc w:val="both"/>
        <w:rPr>
          <w:rFonts w:ascii="Arial" w:eastAsia="SimSun" w:hAnsi="Arial" w:cs="Arial"/>
        </w:rPr>
      </w:pPr>
      <w:r>
        <w:rPr>
          <w:rFonts w:ascii="Arial" w:eastAsia="SimSun" w:hAnsi="Arial" w:cs="Arial"/>
        </w:rPr>
        <w:t xml:space="preserve">Rahmawati, D. V., Wahyuni, S., </w:t>
      </w:r>
      <w:proofErr w:type="spellStart"/>
      <w:r>
        <w:rPr>
          <w:rFonts w:ascii="Arial" w:eastAsia="SimSun" w:hAnsi="Arial" w:cs="Arial"/>
        </w:rPr>
        <w:t>Fitriati</w:t>
      </w:r>
      <w:proofErr w:type="spellEnd"/>
      <w:r>
        <w:rPr>
          <w:rFonts w:ascii="Arial" w:eastAsia="SimSun" w:hAnsi="Arial" w:cs="Arial"/>
        </w:rPr>
        <w:t xml:space="preserve">, A., &amp; </w:t>
      </w:r>
      <w:proofErr w:type="spellStart"/>
      <w:r>
        <w:rPr>
          <w:rFonts w:ascii="Arial" w:eastAsia="SimSun" w:hAnsi="Arial" w:cs="Arial"/>
        </w:rPr>
        <w:t>Purwidianti</w:t>
      </w:r>
      <w:proofErr w:type="spellEnd"/>
      <w:r>
        <w:rPr>
          <w:rFonts w:ascii="Arial" w:eastAsia="SimSun" w:hAnsi="Arial" w:cs="Arial"/>
        </w:rPr>
        <w:t>, W. (2023). Dividend policy as a</w:t>
      </w:r>
      <w:r>
        <w:rPr>
          <w:rFonts w:ascii="Arial" w:eastAsia="SimSun" w:hAnsi="Arial" w:cs="Arial"/>
          <w:lang w:val="id-ID"/>
        </w:rPr>
        <w:tab/>
      </w:r>
      <w:r>
        <w:rPr>
          <w:rFonts w:ascii="Arial" w:eastAsia="SimSun" w:hAnsi="Arial" w:cs="Arial"/>
        </w:rPr>
        <w:t xml:space="preserve">moderating variable on the determinants of firm value. </w:t>
      </w:r>
      <w:r>
        <w:rPr>
          <w:rStyle w:val="Emphasis"/>
          <w:rFonts w:ascii="Arial" w:eastAsia="SimSun" w:hAnsi="Arial" w:cs="Arial"/>
        </w:rPr>
        <w:t xml:space="preserve">Journal of Accounting and </w:t>
      </w:r>
      <w:r>
        <w:rPr>
          <w:rStyle w:val="Emphasis"/>
          <w:rFonts w:ascii="Arial" w:eastAsia="SimSun" w:hAnsi="Arial" w:cs="Arial"/>
          <w:lang w:val="id-ID"/>
        </w:rPr>
        <w:tab/>
      </w:r>
      <w:r>
        <w:rPr>
          <w:rStyle w:val="Emphasis"/>
          <w:rFonts w:ascii="Arial" w:eastAsia="SimSun" w:hAnsi="Arial" w:cs="Arial"/>
        </w:rPr>
        <w:t>Taxation, 24</w:t>
      </w:r>
      <w:r>
        <w:rPr>
          <w:rFonts w:ascii="Arial" w:eastAsia="SimSun" w:hAnsi="Arial" w:cs="Arial"/>
        </w:rPr>
        <w:t>(1).</w:t>
      </w:r>
    </w:p>
    <w:p w14:paraId="0090D7E6" w14:textId="77777777" w:rsidR="002F2202" w:rsidRDefault="00000000">
      <w:pPr>
        <w:spacing w:line="360" w:lineRule="auto"/>
        <w:jc w:val="both"/>
        <w:rPr>
          <w:rFonts w:ascii="Arial" w:hAnsi="Arial" w:cs="Arial"/>
        </w:rPr>
      </w:pPr>
      <w:r>
        <w:rPr>
          <w:rFonts w:ascii="Arial" w:hAnsi="Arial" w:cs="Arial"/>
        </w:rPr>
        <w:t xml:space="preserve">Ramadhani, F., Herawati, R., </w:t>
      </w:r>
      <w:proofErr w:type="spellStart"/>
      <w:r>
        <w:rPr>
          <w:rFonts w:ascii="Arial" w:hAnsi="Arial" w:cs="Arial"/>
        </w:rPr>
        <w:t>Mardjono</w:t>
      </w:r>
      <w:proofErr w:type="spellEnd"/>
      <w:r>
        <w:rPr>
          <w:rFonts w:ascii="Arial" w:hAnsi="Arial" w:cs="Arial"/>
        </w:rPr>
        <w:t xml:space="preserve">, E. S., &amp; </w:t>
      </w:r>
      <w:proofErr w:type="spellStart"/>
      <w:r>
        <w:rPr>
          <w:rFonts w:ascii="Arial" w:hAnsi="Arial" w:cs="Arial"/>
        </w:rPr>
        <w:t>Minarso</w:t>
      </w:r>
      <w:proofErr w:type="spellEnd"/>
      <w:r>
        <w:rPr>
          <w:rFonts w:ascii="Arial" w:hAnsi="Arial" w:cs="Arial"/>
        </w:rPr>
        <w:t xml:space="preserve">, B. (2025). Dynamics </w:t>
      </w:r>
      <w:proofErr w:type="gramStart"/>
      <w:r>
        <w:rPr>
          <w:rFonts w:ascii="Arial" w:hAnsi="Arial" w:cs="Arial"/>
        </w:rPr>
        <w:t>of :</w:t>
      </w:r>
      <w:proofErr w:type="gramEnd"/>
      <w:r>
        <w:rPr>
          <w:rFonts w:ascii="Arial" w:hAnsi="Arial" w:cs="Arial"/>
        </w:rPr>
        <w:t xml:space="preserve"> An </w:t>
      </w:r>
      <w:r>
        <w:rPr>
          <w:rFonts w:ascii="Arial" w:hAnsi="Arial" w:cs="Arial"/>
          <w:lang w:val="id-ID"/>
        </w:rPr>
        <w:tab/>
      </w:r>
      <w:r>
        <w:rPr>
          <w:rFonts w:ascii="Arial" w:hAnsi="Arial" w:cs="Arial"/>
        </w:rPr>
        <w:t xml:space="preserve">Empirical Study on the Effects of Investment </w:t>
      </w:r>
      <w:proofErr w:type="gramStart"/>
      <w:r>
        <w:rPr>
          <w:rFonts w:ascii="Arial" w:hAnsi="Arial" w:cs="Arial"/>
        </w:rPr>
        <w:t>Decisions ,</w:t>
      </w:r>
      <w:proofErr w:type="gramEnd"/>
      <w:r>
        <w:rPr>
          <w:rFonts w:ascii="Arial" w:hAnsi="Arial" w:cs="Arial"/>
        </w:rPr>
        <w:t xml:space="preserve"> and </w:t>
      </w:r>
      <w:proofErr w:type="gramStart"/>
      <w:r>
        <w:rPr>
          <w:rFonts w:ascii="Arial" w:hAnsi="Arial" w:cs="Arial"/>
        </w:rPr>
        <w:t>dividend</w:t>
      </w:r>
      <w:proofErr w:type="gramEnd"/>
      <w:r>
        <w:rPr>
          <w:rFonts w:ascii="Arial" w:hAnsi="Arial" w:cs="Arial"/>
        </w:rPr>
        <w:t xml:space="preserve"> policy. Journal </w:t>
      </w:r>
      <w:r>
        <w:rPr>
          <w:rFonts w:ascii="Arial" w:hAnsi="Arial" w:cs="Arial"/>
          <w:lang w:val="id-ID"/>
        </w:rPr>
        <w:tab/>
      </w:r>
      <w:r>
        <w:rPr>
          <w:rFonts w:ascii="Arial" w:hAnsi="Arial" w:cs="Arial"/>
        </w:rPr>
        <w:t>of Business and Accounting (JBA), 12(2), 56–68.</w:t>
      </w:r>
    </w:p>
    <w:p w14:paraId="4FB73EC3" w14:textId="77777777" w:rsidR="002F2202" w:rsidRDefault="00000000">
      <w:pPr>
        <w:spacing w:line="360" w:lineRule="auto"/>
        <w:jc w:val="both"/>
        <w:rPr>
          <w:rFonts w:ascii="Arial" w:eastAsia="SimSun" w:hAnsi="Arial" w:cs="Arial"/>
        </w:rPr>
      </w:pPr>
      <w:proofErr w:type="spellStart"/>
      <w:r>
        <w:rPr>
          <w:rFonts w:ascii="Arial" w:eastAsia="SimSun" w:hAnsi="Arial" w:cs="Arial"/>
        </w:rPr>
        <w:t>Ramadhania</w:t>
      </w:r>
      <w:proofErr w:type="spellEnd"/>
      <w:r>
        <w:rPr>
          <w:rFonts w:ascii="Arial" w:eastAsia="SimSun" w:hAnsi="Arial" w:cs="Arial"/>
        </w:rPr>
        <w:t xml:space="preserve">, I., Suryani, D., &amp; Purnomo, M. W. (2025). The effect of profitability and firm </w:t>
      </w:r>
      <w:r>
        <w:rPr>
          <w:rFonts w:ascii="Arial" w:eastAsia="SimSun" w:hAnsi="Arial" w:cs="Arial"/>
          <w:lang w:val="id-ID"/>
        </w:rPr>
        <w:tab/>
      </w:r>
      <w:r>
        <w:rPr>
          <w:rFonts w:ascii="Arial" w:eastAsia="SimSun" w:hAnsi="Arial" w:cs="Arial"/>
          <w:lang w:val="id-ID"/>
        </w:rPr>
        <w:tab/>
      </w:r>
      <w:r>
        <w:rPr>
          <w:rFonts w:ascii="Arial" w:eastAsia="SimSun" w:hAnsi="Arial" w:cs="Arial"/>
        </w:rPr>
        <w:t xml:space="preserve">size on firm value in transportation and logistics companies listed on the Indonesia </w:t>
      </w:r>
      <w:r>
        <w:rPr>
          <w:rFonts w:ascii="Arial" w:eastAsia="SimSun" w:hAnsi="Arial" w:cs="Arial"/>
          <w:lang w:val="id-ID"/>
        </w:rPr>
        <w:tab/>
      </w:r>
      <w:r>
        <w:rPr>
          <w:rFonts w:ascii="Arial" w:eastAsia="SimSun" w:hAnsi="Arial" w:cs="Arial"/>
        </w:rPr>
        <w:t xml:space="preserve">Stock Exchange during the 2020–2023 period. </w:t>
      </w:r>
      <w:r>
        <w:rPr>
          <w:rStyle w:val="Emphasis"/>
          <w:rFonts w:ascii="Arial" w:eastAsia="SimSun" w:hAnsi="Arial" w:cs="Arial"/>
        </w:rPr>
        <w:t xml:space="preserve">Antarctica Business Economics </w:t>
      </w:r>
      <w:r>
        <w:rPr>
          <w:rStyle w:val="Emphasis"/>
          <w:rFonts w:ascii="Arial" w:eastAsia="SimSun" w:hAnsi="Arial" w:cs="Arial"/>
          <w:lang w:val="id-ID"/>
        </w:rPr>
        <w:tab/>
      </w:r>
      <w:r>
        <w:rPr>
          <w:rStyle w:val="Emphasis"/>
          <w:rFonts w:ascii="Arial" w:eastAsia="SimSun" w:hAnsi="Arial" w:cs="Arial"/>
        </w:rPr>
        <w:t>Journal, 3</w:t>
      </w:r>
      <w:r>
        <w:rPr>
          <w:rFonts w:ascii="Arial" w:eastAsia="SimSun" w:hAnsi="Arial" w:cs="Arial"/>
        </w:rPr>
        <w:t>(2), 172–180.</w:t>
      </w:r>
    </w:p>
    <w:p w14:paraId="43EF9F20" w14:textId="77777777" w:rsidR="002F2202" w:rsidRDefault="00000000">
      <w:pPr>
        <w:spacing w:line="360" w:lineRule="auto"/>
        <w:jc w:val="both"/>
        <w:rPr>
          <w:rFonts w:ascii="Arial" w:hAnsi="Arial" w:cs="Arial"/>
        </w:rPr>
      </w:pPr>
      <w:r>
        <w:rPr>
          <w:rFonts w:ascii="Arial" w:hAnsi="Arial" w:cs="Arial"/>
          <w:lang w:val="fr-FR"/>
        </w:rPr>
        <w:t xml:space="preserve">Rorlen, A., </w:t>
      </w:r>
      <w:proofErr w:type="spellStart"/>
      <w:r>
        <w:rPr>
          <w:rFonts w:ascii="Arial" w:hAnsi="Arial" w:cs="Arial"/>
          <w:lang w:val="fr-FR"/>
        </w:rPr>
        <w:t>Astari</w:t>
      </w:r>
      <w:proofErr w:type="spellEnd"/>
      <w:proofErr w:type="gramStart"/>
      <w:r>
        <w:rPr>
          <w:rFonts w:ascii="Arial" w:hAnsi="Arial" w:cs="Arial"/>
          <w:lang w:val="fr-FR"/>
        </w:rPr>
        <w:t>, ,</w:t>
      </w:r>
      <w:proofErr w:type="gramEnd"/>
      <w:r>
        <w:rPr>
          <w:rFonts w:ascii="Arial" w:hAnsi="Arial" w:cs="Arial"/>
          <w:lang w:val="fr-FR"/>
        </w:rPr>
        <w:t xml:space="preserve"> &amp; Huang, V. J. (2025). </w:t>
      </w:r>
      <w:r>
        <w:rPr>
          <w:rFonts w:ascii="Arial" w:hAnsi="Arial" w:cs="Arial"/>
        </w:rPr>
        <w:t xml:space="preserve">The influence of signaling theory on stock price </w:t>
      </w:r>
      <w:r>
        <w:rPr>
          <w:rFonts w:ascii="Arial" w:hAnsi="Arial" w:cs="Arial"/>
          <w:lang w:val="id-ID"/>
        </w:rPr>
        <w:tab/>
      </w:r>
      <w:r>
        <w:rPr>
          <w:rFonts w:ascii="Arial" w:hAnsi="Arial" w:cs="Arial"/>
        </w:rPr>
        <w:t xml:space="preserve">movements of LQ45 companies on the Indonesia Stock Exchange – Third Quarter </w:t>
      </w:r>
      <w:r>
        <w:rPr>
          <w:rFonts w:ascii="Arial" w:hAnsi="Arial" w:cs="Arial"/>
          <w:lang w:val="id-ID"/>
        </w:rPr>
        <w:tab/>
      </w:r>
      <w:r>
        <w:rPr>
          <w:rFonts w:ascii="Arial" w:hAnsi="Arial" w:cs="Arial"/>
        </w:rPr>
        <w:t>2024. Serina Journal of Economics and Business, 3(1), 96–105.</w:t>
      </w:r>
    </w:p>
    <w:p w14:paraId="5AB85D39" w14:textId="77777777" w:rsidR="002F2202" w:rsidRDefault="00000000">
      <w:pPr>
        <w:spacing w:line="360" w:lineRule="auto"/>
        <w:jc w:val="both"/>
        <w:rPr>
          <w:rFonts w:ascii="Arial" w:hAnsi="Arial" w:cs="Arial"/>
        </w:rPr>
      </w:pPr>
      <w:r>
        <w:rPr>
          <w:rFonts w:ascii="Arial" w:hAnsi="Arial" w:cs="Arial"/>
        </w:rPr>
        <w:t xml:space="preserve">Sarma, F. F. A. &amp; </w:t>
      </w:r>
      <w:proofErr w:type="spellStart"/>
      <w:r>
        <w:rPr>
          <w:rFonts w:ascii="Arial" w:hAnsi="Arial" w:cs="Arial"/>
        </w:rPr>
        <w:t>Handayani</w:t>
      </w:r>
      <w:proofErr w:type="spellEnd"/>
      <w:r>
        <w:rPr>
          <w:rFonts w:ascii="Arial" w:hAnsi="Arial" w:cs="Arial"/>
        </w:rPr>
        <w:t xml:space="preserve">, N. (2025). The Effect of Profitability, Liquidity, Capital </w:t>
      </w:r>
      <w:r>
        <w:rPr>
          <w:rFonts w:ascii="Arial" w:hAnsi="Arial" w:cs="Arial"/>
          <w:lang w:val="id-ID"/>
        </w:rPr>
        <w:tab/>
      </w:r>
      <w:r>
        <w:rPr>
          <w:rFonts w:ascii="Arial" w:hAnsi="Arial" w:cs="Arial"/>
        </w:rPr>
        <w:t>Structure, and Firm Size on Firm Value. Journal of Economics and Business Journal</w:t>
      </w:r>
      <w:proofErr w:type="gramStart"/>
      <w:r>
        <w:rPr>
          <w:rFonts w:ascii="Arial" w:hAnsi="Arial" w:cs="Arial"/>
        </w:rPr>
        <w:t xml:space="preserve">, </w:t>
      </w:r>
      <w:r>
        <w:rPr>
          <w:rFonts w:ascii="Arial" w:hAnsi="Arial" w:cs="Arial"/>
          <w:lang w:val="id-ID"/>
        </w:rPr>
        <w:tab/>
      </w:r>
      <w:r>
        <w:rPr>
          <w:rFonts w:ascii="Arial" w:hAnsi="Arial" w:cs="Arial"/>
        </w:rPr>
        <w:t>19</w:t>
      </w:r>
      <w:proofErr w:type="gramEnd"/>
      <w:r>
        <w:rPr>
          <w:rFonts w:ascii="Arial" w:hAnsi="Arial" w:cs="Arial"/>
        </w:rPr>
        <w:t>(1).</w:t>
      </w:r>
    </w:p>
    <w:p w14:paraId="6DDD424C" w14:textId="77777777" w:rsidR="002F2202" w:rsidRDefault="00000000">
      <w:pPr>
        <w:spacing w:line="360" w:lineRule="auto"/>
        <w:jc w:val="both"/>
        <w:rPr>
          <w:rFonts w:ascii="Arial" w:hAnsi="Arial" w:cs="Arial"/>
        </w:rPr>
      </w:pPr>
      <w:r>
        <w:rPr>
          <w:rFonts w:ascii="Arial" w:hAnsi="Arial" w:cs="Arial"/>
        </w:rPr>
        <w:t xml:space="preserve">Sastra, E. (2019). The Effect of Working Capital, Liquidity, and Capital Structure on </w:t>
      </w:r>
      <w:r>
        <w:rPr>
          <w:rFonts w:ascii="Arial" w:hAnsi="Arial" w:cs="Arial"/>
          <w:lang w:val="id-ID"/>
        </w:rPr>
        <w:tab/>
      </w:r>
      <w:r>
        <w:rPr>
          <w:rFonts w:ascii="Arial" w:hAnsi="Arial" w:cs="Arial"/>
        </w:rPr>
        <w:t xml:space="preserve">Profitability of Manufacturing Companies 2012–2014. Journal of Economics, 24(1), </w:t>
      </w:r>
      <w:r>
        <w:rPr>
          <w:rFonts w:ascii="Arial" w:hAnsi="Arial" w:cs="Arial"/>
          <w:lang w:val="id-ID"/>
        </w:rPr>
        <w:tab/>
      </w:r>
      <w:r>
        <w:rPr>
          <w:rFonts w:ascii="Arial" w:hAnsi="Arial" w:cs="Arial"/>
        </w:rPr>
        <w:t>80–93.</w:t>
      </w:r>
    </w:p>
    <w:p w14:paraId="5C4561B5" w14:textId="77777777" w:rsidR="002F2202" w:rsidRDefault="00000000">
      <w:pPr>
        <w:spacing w:line="360" w:lineRule="auto"/>
        <w:jc w:val="both"/>
        <w:rPr>
          <w:rFonts w:ascii="Arial" w:hAnsi="Arial" w:cs="Arial"/>
        </w:rPr>
      </w:pPr>
      <w:r>
        <w:rPr>
          <w:rFonts w:ascii="Arial" w:eastAsia="SimSun" w:hAnsi="Arial" w:cs="Arial"/>
        </w:rPr>
        <w:t xml:space="preserve">Simon, H. V., &amp; </w:t>
      </w:r>
      <w:proofErr w:type="spellStart"/>
      <w:r>
        <w:rPr>
          <w:rFonts w:ascii="Arial" w:eastAsia="SimSun" w:hAnsi="Arial" w:cs="Arial"/>
        </w:rPr>
        <w:t>Jumono</w:t>
      </w:r>
      <w:proofErr w:type="spellEnd"/>
      <w:r>
        <w:rPr>
          <w:rFonts w:ascii="Arial" w:eastAsia="SimSun" w:hAnsi="Arial" w:cs="Arial"/>
        </w:rPr>
        <w:t xml:space="preserve">, S. (2025). Peran dividend policy </w:t>
      </w:r>
      <w:proofErr w:type="spellStart"/>
      <w:r>
        <w:rPr>
          <w:rFonts w:ascii="Arial" w:eastAsia="SimSun" w:hAnsi="Arial" w:cs="Arial"/>
        </w:rPr>
        <w:t>dalam</w:t>
      </w:r>
      <w:proofErr w:type="spellEnd"/>
      <w:r>
        <w:rPr>
          <w:rFonts w:ascii="Arial" w:eastAsia="SimSun" w:hAnsi="Arial" w:cs="Arial"/>
        </w:rPr>
        <w:t xml:space="preserve"> </w:t>
      </w:r>
      <w:proofErr w:type="spellStart"/>
      <w:r>
        <w:rPr>
          <w:rFonts w:ascii="Arial" w:eastAsia="SimSun" w:hAnsi="Arial" w:cs="Arial"/>
        </w:rPr>
        <w:t>memoderasi</w:t>
      </w:r>
      <w:proofErr w:type="spellEnd"/>
      <w:r>
        <w:rPr>
          <w:rFonts w:ascii="Arial" w:eastAsia="SimSun" w:hAnsi="Arial" w:cs="Arial"/>
        </w:rPr>
        <w:t xml:space="preserve"> </w:t>
      </w:r>
      <w:proofErr w:type="spellStart"/>
      <w:r>
        <w:rPr>
          <w:rFonts w:ascii="Arial" w:eastAsia="SimSun" w:hAnsi="Arial" w:cs="Arial"/>
        </w:rPr>
        <w:t>pengaruh</w:t>
      </w:r>
      <w:proofErr w:type="spellEnd"/>
      <w:r>
        <w:rPr>
          <w:rFonts w:ascii="Arial" w:eastAsia="SimSun" w:hAnsi="Arial" w:cs="Arial"/>
        </w:rPr>
        <w:t xml:space="preserve"> </w:t>
      </w:r>
      <w:r>
        <w:rPr>
          <w:rFonts w:ascii="Arial" w:eastAsia="SimSun" w:hAnsi="Arial" w:cs="Arial"/>
          <w:lang w:val="id-ID"/>
        </w:rPr>
        <w:tab/>
      </w:r>
      <w:r>
        <w:rPr>
          <w:rFonts w:ascii="Arial" w:eastAsia="SimSun" w:hAnsi="Arial" w:cs="Arial"/>
        </w:rPr>
        <w:t xml:space="preserve">liquidity, firm size, earnings quality, dan profitability </w:t>
      </w:r>
      <w:proofErr w:type="spellStart"/>
      <w:r>
        <w:rPr>
          <w:rFonts w:ascii="Arial" w:eastAsia="SimSun" w:hAnsi="Arial" w:cs="Arial"/>
        </w:rPr>
        <w:t>terhadap</w:t>
      </w:r>
      <w:proofErr w:type="spellEnd"/>
      <w:r>
        <w:rPr>
          <w:rFonts w:ascii="Arial" w:eastAsia="SimSun" w:hAnsi="Arial" w:cs="Arial"/>
        </w:rPr>
        <w:t xml:space="preserve"> firm value. </w:t>
      </w:r>
      <w:proofErr w:type="spellStart"/>
      <w:r>
        <w:rPr>
          <w:rStyle w:val="Emphasis"/>
          <w:rFonts w:ascii="Arial" w:eastAsia="SimSun" w:hAnsi="Arial" w:cs="Arial"/>
        </w:rPr>
        <w:t>Jurnal</w:t>
      </w:r>
      <w:proofErr w:type="spellEnd"/>
      <w:r>
        <w:rPr>
          <w:rStyle w:val="Emphasis"/>
          <w:rFonts w:ascii="Arial" w:eastAsia="SimSun" w:hAnsi="Arial" w:cs="Arial"/>
        </w:rPr>
        <w:t xml:space="preserve"> </w:t>
      </w:r>
      <w:r>
        <w:rPr>
          <w:rStyle w:val="Emphasis"/>
          <w:rFonts w:ascii="Arial" w:eastAsia="SimSun" w:hAnsi="Arial" w:cs="Arial"/>
          <w:lang w:val="id-ID"/>
        </w:rPr>
        <w:tab/>
      </w:r>
      <w:proofErr w:type="spellStart"/>
      <w:r>
        <w:rPr>
          <w:rStyle w:val="Emphasis"/>
          <w:rFonts w:ascii="Arial" w:eastAsia="SimSun" w:hAnsi="Arial" w:cs="Arial"/>
        </w:rPr>
        <w:t>Lentera</w:t>
      </w:r>
      <w:proofErr w:type="spellEnd"/>
      <w:r>
        <w:rPr>
          <w:rStyle w:val="Emphasis"/>
          <w:rFonts w:ascii="Arial" w:eastAsia="SimSun" w:hAnsi="Arial" w:cs="Arial"/>
        </w:rPr>
        <w:t xml:space="preserve"> Akuntansi, 11</w:t>
      </w:r>
      <w:r>
        <w:rPr>
          <w:rFonts w:ascii="Arial" w:eastAsia="SimSun" w:hAnsi="Arial" w:cs="Arial"/>
        </w:rPr>
        <w:t>(1).</w:t>
      </w:r>
    </w:p>
    <w:p w14:paraId="6CC23F95" w14:textId="77777777" w:rsidR="002F2202" w:rsidRDefault="00000000">
      <w:pPr>
        <w:spacing w:line="360" w:lineRule="auto"/>
        <w:jc w:val="both"/>
        <w:rPr>
          <w:rFonts w:ascii="Arial" w:hAnsi="Arial" w:cs="Arial"/>
        </w:rPr>
      </w:pPr>
      <w:proofErr w:type="spellStart"/>
      <w:r>
        <w:rPr>
          <w:rFonts w:ascii="Arial" w:hAnsi="Arial" w:cs="Arial"/>
        </w:rPr>
        <w:t>Sudana</w:t>
      </w:r>
      <w:proofErr w:type="spellEnd"/>
      <w:r>
        <w:rPr>
          <w:rFonts w:ascii="Arial" w:hAnsi="Arial" w:cs="Arial"/>
        </w:rPr>
        <w:t>,</w:t>
      </w:r>
      <w:r>
        <w:rPr>
          <w:rFonts w:ascii="Arial" w:hAnsi="Arial" w:cs="Arial"/>
          <w:lang w:val="id-ID"/>
        </w:rPr>
        <w:t xml:space="preserve"> </w:t>
      </w:r>
      <w:r>
        <w:rPr>
          <w:rFonts w:ascii="Arial" w:hAnsi="Arial" w:cs="Arial"/>
        </w:rPr>
        <w:t xml:space="preserve">I. M. (2019). Corporate Financial Management. </w:t>
      </w:r>
      <w:proofErr w:type="spellStart"/>
      <w:r>
        <w:rPr>
          <w:rFonts w:ascii="Arial" w:hAnsi="Arial" w:cs="Arial"/>
        </w:rPr>
        <w:t>Erlangga</w:t>
      </w:r>
      <w:proofErr w:type="spellEnd"/>
      <w:r>
        <w:rPr>
          <w:rFonts w:ascii="Arial" w:hAnsi="Arial" w:cs="Arial"/>
        </w:rPr>
        <w:t>.</w:t>
      </w:r>
    </w:p>
    <w:p w14:paraId="730E275E" w14:textId="77777777" w:rsidR="002F2202" w:rsidRDefault="002F2202">
      <w:pPr>
        <w:spacing w:line="360" w:lineRule="auto"/>
        <w:jc w:val="both"/>
        <w:rPr>
          <w:rFonts w:ascii="Arial" w:hAnsi="Arial" w:cs="Arial"/>
        </w:rPr>
      </w:pPr>
    </w:p>
    <w:p w14:paraId="01094540" w14:textId="77777777" w:rsidR="002F2202" w:rsidRDefault="00000000">
      <w:pPr>
        <w:spacing w:line="360" w:lineRule="auto"/>
        <w:jc w:val="both"/>
        <w:rPr>
          <w:rFonts w:ascii="Arial" w:eastAsia="SimSun" w:hAnsi="Arial" w:cs="Arial"/>
        </w:rPr>
      </w:pPr>
      <w:r>
        <w:rPr>
          <w:rFonts w:ascii="Arial" w:eastAsia="SimSun" w:hAnsi="Arial" w:cs="Arial"/>
        </w:rPr>
        <w:lastRenderedPageBreak/>
        <w:t xml:space="preserve">Tampubolon, G. C., &amp; Putra, A. (2024). Analysis of the effect of capital structure, liquidity, </w:t>
      </w:r>
      <w:r>
        <w:rPr>
          <w:rFonts w:ascii="Arial" w:eastAsia="SimSun" w:hAnsi="Arial" w:cs="Arial"/>
          <w:lang w:val="id-ID"/>
        </w:rPr>
        <w:tab/>
      </w:r>
      <w:r>
        <w:rPr>
          <w:rFonts w:ascii="Arial" w:eastAsia="SimSun" w:hAnsi="Arial" w:cs="Arial"/>
        </w:rPr>
        <w:t xml:space="preserve">and inventory turnover on firm value in the property and real estate subsector listed </w:t>
      </w:r>
      <w:r>
        <w:rPr>
          <w:rFonts w:ascii="Arial" w:eastAsia="SimSun" w:hAnsi="Arial" w:cs="Arial"/>
          <w:lang w:val="id-ID"/>
        </w:rPr>
        <w:tab/>
      </w:r>
      <w:r>
        <w:rPr>
          <w:rFonts w:ascii="Arial" w:eastAsia="SimSun" w:hAnsi="Arial" w:cs="Arial"/>
        </w:rPr>
        <w:t xml:space="preserve">on the Indonesia Stock Exchange during the 2020–2022 period. </w:t>
      </w:r>
      <w:r>
        <w:rPr>
          <w:rStyle w:val="Emphasis"/>
          <w:rFonts w:ascii="Arial" w:eastAsia="SimSun" w:hAnsi="Arial" w:cs="Arial"/>
        </w:rPr>
        <w:t xml:space="preserve">Journal of </w:t>
      </w:r>
      <w:r>
        <w:rPr>
          <w:rStyle w:val="Emphasis"/>
          <w:rFonts w:ascii="Arial" w:eastAsia="SimSun" w:hAnsi="Arial" w:cs="Arial"/>
          <w:lang w:val="id-ID"/>
        </w:rPr>
        <w:tab/>
      </w:r>
      <w:proofErr w:type="spellStart"/>
      <w:r>
        <w:rPr>
          <w:rStyle w:val="Emphasis"/>
          <w:rFonts w:ascii="Arial" w:eastAsia="SimSun" w:hAnsi="Arial" w:cs="Arial"/>
        </w:rPr>
        <w:t>Tambusai</w:t>
      </w:r>
      <w:proofErr w:type="spellEnd"/>
      <w:r>
        <w:rPr>
          <w:rStyle w:val="Emphasis"/>
          <w:rFonts w:ascii="Arial" w:eastAsia="SimSun" w:hAnsi="Arial" w:cs="Arial"/>
        </w:rPr>
        <w:t xml:space="preserve"> Education, 8</w:t>
      </w:r>
      <w:r>
        <w:rPr>
          <w:rFonts w:ascii="Arial" w:eastAsia="SimSun" w:hAnsi="Arial" w:cs="Arial"/>
        </w:rPr>
        <w:t>(1), 16471–16481.</w:t>
      </w:r>
    </w:p>
    <w:p w14:paraId="5BB264B7" w14:textId="77777777" w:rsidR="002F2202" w:rsidRDefault="00000000">
      <w:pPr>
        <w:spacing w:line="360" w:lineRule="auto"/>
        <w:jc w:val="both"/>
        <w:rPr>
          <w:rFonts w:ascii="Arial" w:hAnsi="Arial" w:cs="Arial"/>
        </w:rPr>
      </w:pPr>
      <w:r>
        <w:rPr>
          <w:rFonts w:ascii="Arial" w:hAnsi="Arial" w:cs="Arial"/>
        </w:rPr>
        <w:t xml:space="preserve">Takarini, N., &amp; Pratiwi, N. D. (2022). Analysis of Factors Affecting Profitability in Listed </w:t>
      </w:r>
      <w:r>
        <w:rPr>
          <w:rFonts w:ascii="Arial" w:hAnsi="Arial" w:cs="Arial"/>
          <w:lang w:val="id-ID"/>
        </w:rPr>
        <w:tab/>
      </w:r>
      <w:r>
        <w:rPr>
          <w:rFonts w:ascii="Arial" w:hAnsi="Arial" w:cs="Arial"/>
        </w:rPr>
        <w:t>Companies in the Food and Beverage Subsector Listed</w:t>
      </w:r>
      <w:r>
        <w:rPr>
          <w:rFonts w:ascii="Arial" w:hAnsi="Arial" w:cs="Arial"/>
          <w:lang w:val="id-ID"/>
        </w:rPr>
        <w:t xml:space="preserve"> </w:t>
      </w:r>
      <w:r>
        <w:rPr>
          <w:rFonts w:ascii="Arial" w:hAnsi="Arial" w:cs="Arial"/>
        </w:rPr>
        <w:t xml:space="preserve">on the IDX. Journal of </w:t>
      </w:r>
      <w:r>
        <w:rPr>
          <w:rFonts w:ascii="Arial" w:hAnsi="Arial" w:cs="Arial"/>
          <w:lang w:val="id-ID"/>
        </w:rPr>
        <w:tab/>
      </w:r>
      <w:r>
        <w:rPr>
          <w:rFonts w:ascii="Arial" w:hAnsi="Arial" w:cs="Arial"/>
        </w:rPr>
        <w:t>Economic Education (JURKAMI), 7(3), 491-501.</w:t>
      </w:r>
    </w:p>
    <w:p w14:paraId="65CEB0B9" w14:textId="77777777" w:rsidR="002F2202" w:rsidRDefault="00000000">
      <w:pPr>
        <w:spacing w:line="360" w:lineRule="auto"/>
        <w:jc w:val="both"/>
        <w:rPr>
          <w:rFonts w:ascii="Arial" w:hAnsi="Arial" w:cs="Arial"/>
        </w:rPr>
      </w:pPr>
      <w:r>
        <w:rPr>
          <w:rFonts w:ascii="Arial" w:hAnsi="Arial" w:cs="Arial"/>
        </w:rPr>
        <w:t xml:space="preserve">Toni, N., MM, C., </w:t>
      </w:r>
      <w:proofErr w:type="spellStart"/>
      <w:r>
        <w:rPr>
          <w:rFonts w:ascii="Arial" w:hAnsi="Arial" w:cs="Arial"/>
        </w:rPr>
        <w:t>Anggara</w:t>
      </w:r>
      <w:proofErr w:type="spellEnd"/>
      <w:r>
        <w:rPr>
          <w:rFonts w:ascii="Arial" w:hAnsi="Arial" w:cs="Arial"/>
        </w:rPr>
        <w:t xml:space="preserve">, L., Ak, S., &amp; Ak, M. (2021). Partial Least Squares Analysis Study </w:t>
      </w:r>
      <w:r>
        <w:rPr>
          <w:rFonts w:ascii="Arial" w:hAnsi="Arial" w:cs="Arial"/>
          <w:lang w:val="id-ID"/>
        </w:rPr>
        <w:tab/>
      </w:r>
      <w:r>
        <w:rPr>
          <w:rFonts w:ascii="Arial" w:hAnsi="Arial" w:cs="Arial"/>
        </w:rPr>
        <w:t xml:space="preserve">of Property and Real Estate Companies Listed on the Indonesia Stock </w:t>
      </w:r>
      <w:proofErr w:type="gramStart"/>
      <w:r>
        <w:rPr>
          <w:rFonts w:ascii="Arial" w:hAnsi="Arial" w:cs="Arial"/>
        </w:rPr>
        <w:t>Exchange .</w:t>
      </w:r>
      <w:proofErr w:type="gramEnd"/>
      <w:r>
        <w:rPr>
          <w:rFonts w:ascii="Arial" w:hAnsi="Arial" w:cs="Arial"/>
        </w:rPr>
        <w:t xml:space="preserve"> </w:t>
      </w:r>
      <w:r>
        <w:rPr>
          <w:rFonts w:ascii="Arial" w:hAnsi="Arial" w:cs="Arial"/>
          <w:lang w:val="id-ID"/>
        </w:rPr>
        <w:tab/>
      </w:r>
      <w:r>
        <w:rPr>
          <w:rFonts w:ascii="Arial" w:hAnsi="Arial" w:cs="Arial"/>
        </w:rPr>
        <w:t xml:space="preserve">Merdeka </w:t>
      </w:r>
      <w:proofErr w:type="spellStart"/>
      <w:r>
        <w:rPr>
          <w:rFonts w:ascii="Arial" w:hAnsi="Arial" w:cs="Arial"/>
        </w:rPr>
        <w:t>Kreasi</w:t>
      </w:r>
      <w:proofErr w:type="spellEnd"/>
      <w:r>
        <w:rPr>
          <w:rFonts w:ascii="Arial" w:hAnsi="Arial" w:cs="Arial"/>
        </w:rPr>
        <w:t xml:space="preserve"> Group.</w:t>
      </w:r>
    </w:p>
    <w:p w14:paraId="455E9242" w14:textId="77777777" w:rsidR="002F2202" w:rsidRDefault="00000000">
      <w:pPr>
        <w:spacing w:line="360" w:lineRule="auto"/>
        <w:jc w:val="both"/>
        <w:rPr>
          <w:rFonts w:ascii="Arial" w:hAnsi="Arial" w:cs="Arial"/>
        </w:rPr>
      </w:pPr>
      <w:r>
        <w:rPr>
          <w:rFonts w:ascii="Arial" w:hAnsi="Arial" w:cs="Arial"/>
        </w:rPr>
        <w:t xml:space="preserve">Utami, M. S., &amp; </w:t>
      </w:r>
      <w:proofErr w:type="spellStart"/>
      <w:r>
        <w:rPr>
          <w:rFonts w:ascii="Arial" w:hAnsi="Arial" w:cs="Arial"/>
        </w:rPr>
        <w:t>Kushermanto</w:t>
      </w:r>
      <w:proofErr w:type="spellEnd"/>
      <w:r>
        <w:rPr>
          <w:rFonts w:ascii="Arial" w:hAnsi="Arial" w:cs="Arial"/>
        </w:rPr>
        <w:t xml:space="preserve">, A. (2024). The Effect of Corporate Social Responsibility, </w:t>
      </w:r>
      <w:r>
        <w:rPr>
          <w:rFonts w:ascii="Arial" w:hAnsi="Arial" w:cs="Arial"/>
          <w:lang w:val="id-ID"/>
        </w:rPr>
        <w:tab/>
      </w:r>
      <w:r>
        <w:rPr>
          <w:rFonts w:ascii="Arial" w:hAnsi="Arial" w:cs="Arial"/>
        </w:rPr>
        <w:t xml:space="preserve">Profitability, Liquidity, Activity, and Firm Size on Firm Value (A Study of Companies </w:t>
      </w:r>
      <w:r>
        <w:rPr>
          <w:rFonts w:ascii="Arial" w:hAnsi="Arial" w:cs="Arial"/>
          <w:lang w:val="id-ID"/>
        </w:rPr>
        <w:tab/>
      </w:r>
      <w:r>
        <w:rPr>
          <w:rFonts w:ascii="Arial" w:hAnsi="Arial" w:cs="Arial"/>
        </w:rPr>
        <w:t xml:space="preserve">in the Industrial Subsector Listed on the IDX for the 2018–2021 Period). Journal of </w:t>
      </w:r>
      <w:r>
        <w:rPr>
          <w:rFonts w:ascii="Arial" w:hAnsi="Arial" w:cs="Arial"/>
          <w:lang w:val="id-ID"/>
        </w:rPr>
        <w:tab/>
      </w:r>
      <w:r>
        <w:rPr>
          <w:rFonts w:ascii="Arial" w:hAnsi="Arial" w:cs="Arial"/>
        </w:rPr>
        <w:t>Accounting and Management's Student, 1(2).</w:t>
      </w:r>
    </w:p>
    <w:p w14:paraId="581DBAC7" w14:textId="77777777" w:rsidR="002F2202" w:rsidRDefault="00000000">
      <w:pPr>
        <w:spacing w:line="360" w:lineRule="auto"/>
        <w:jc w:val="both"/>
        <w:rPr>
          <w:rFonts w:ascii="Arial" w:hAnsi="Arial" w:cs="Arial"/>
        </w:rPr>
      </w:pPr>
      <w:proofErr w:type="spellStart"/>
      <w:r>
        <w:rPr>
          <w:rFonts w:ascii="Arial" w:hAnsi="Arial" w:cs="Arial"/>
        </w:rPr>
        <w:t>Yuniningsih</w:t>
      </w:r>
      <w:proofErr w:type="spellEnd"/>
      <w:r>
        <w:rPr>
          <w:rFonts w:ascii="Arial" w:hAnsi="Arial" w:cs="Arial"/>
        </w:rPr>
        <w:t xml:space="preserve">, Y., Pertiwi, T. K., &amp; Purwanto, E. (2019). Fundamental factors of financial </w:t>
      </w:r>
      <w:r>
        <w:rPr>
          <w:rFonts w:ascii="Arial" w:hAnsi="Arial" w:cs="Arial"/>
          <w:lang w:val="id-ID"/>
        </w:rPr>
        <w:tab/>
      </w:r>
      <w:r>
        <w:rPr>
          <w:rFonts w:ascii="Arial" w:hAnsi="Arial" w:cs="Arial"/>
        </w:rPr>
        <w:t xml:space="preserve">management in determining company values. Management Science Letters, 9(2), </w:t>
      </w:r>
      <w:r>
        <w:rPr>
          <w:rFonts w:ascii="Arial" w:hAnsi="Arial" w:cs="Arial"/>
          <w:lang w:val="id-ID"/>
        </w:rPr>
        <w:tab/>
      </w:r>
      <w:r>
        <w:rPr>
          <w:rFonts w:ascii="Arial" w:hAnsi="Arial" w:cs="Arial"/>
        </w:rPr>
        <w:t>205–216.</w:t>
      </w:r>
    </w:p>
    <w:p w14:paraId="0793451B" w14:textId="77777777" w:rsidR="002F2202" w:rsidRDefault="002F2202">
      <w:pPr>
        <w:pStyle w:val="Appendix"/>
        <w:spacing w:after="0" w:line="360" w:lineRule="auto"/>
        <w:jc w:val="both"/>
        <w:rPr>
          <w:rFonts w:ascii="Arial" w:hAnsi="Arial" w:cs="Arial"/>
          <w:b w:val="0"/>
        </w:rPr>
        <w:sectPr w:rsidR="002F220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37CEC3FF" w14:textId="77777777" w:rsidR="002F2202" w:rsidRDefault="002F2202">
      <w:pPr>
        <w:pStyle w:val="Appendix"/>
        <w:spacing w:after="0" w:line="360" w:lineRule="auto"/>
        <w:jc w:val="both"/>
        <w:rPr>
          <w:rFonts w:ascii="Arial" w:hAnsi="Arial" w:cs="Arial"/>
          <w:b w:val="0"/>
        </w:rPr>
      </w:pPr>
    </w:p>
    <w:sectPr w:rsidR="002F220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6631" w14:textId="77777777" w:rsidR="002B6616" w:rsidRDefault="002B6616">
      <w:r>
        <w:separator/>
      </w:r>
    </w:p>
  </w:endnote>
  <w:endnote w:type="continuationSeparator" w:id="0">
    <w:p w14:paraId="42A6B914" w14:textId="77777777" w:rsidR="002B6616" w:rsidRDefault="002B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E728" w14:textId="77777777" w:rsidR="002F2202" w:rsidRDefault="002F2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AE3D" w14:textId="77777777" w:rsidR="002F2202" w:rsidRDefault="002F2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70E0" w14:textId="77777777" w:rsidR="002F2202" w:rsidRDefault="002F22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CC52" w14:textId="77777777" w:rsidR="002F2202" w:rsidRDefault="002F2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4194" w14:textId="77777777" w:rsidR="002B6616" w:rsidRDefault="002B6616">
      <w:r>
        <w:separator/>
      </w:r>
    </w:p>
  </w:footnote>
  <w:footnote w:type="continuationSeparator" w:id="0">
    <w:p w14:paraId="74BCCA57" w14:textId="77777777" w:rsidR="002B6616" w:rsidRDefault="002B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7222" w14:textId="77777777" w:rsidR="002F2202" w:rsidRDefault="00000000">
    <w:pPr>
      <w:pStyle w:val="Header"/>
    </w:pPr>
    <w:r>
      <w:pict w14:anchorId="78EE0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5" o:spid="_x0000_s1026"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044A" w14:textId="77777777" w:rsidR="002F2202" w:rsidRDefault="00000000">
    <w:pPr>
      <w:pStyle w:val="Header"/>
    </w:pPr>
    <w:r>
      <w:pict w14:anchorId="70395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6" o:spid="_x0000_s1027"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5643" w14:textId="77777777" w:rsidR="002F2202" w:rsidRDefault="00000000">
    <w:pPr>
      <w:ind w:left="2160"/>
      <w:jc w:val="center"/>
      <w:rPr>
        <w:rFonts w:ascii="Times New Roman" w:eastAsia="Calibri" w:hAnsi="Times New Roman"/>
        <w:i/>
        <w:sz w:val="18"/>
        <w:szCs w:val="22"/>
      </w:rPr>
    </w:pPr>
    <w:r>
      <w:pict w14:anchorId="0F319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4" o:spid="_x0000_s1025"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1996246E" w14:textId="77777777" w:rsidR="002F2202"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0004C81" w14:textId="77777777" w:rsidR="002F2202"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1683C1B7" w14:textId="77777777" w:rsidR="002F2202"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7AB3C95" w14:textId="77777777" w:rsidR="002F2202"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F3FF552" w14:textId="77777777" w:rsidR="002F2202"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B338C9" w14:textId="77777777" w:rsidR="002F2202"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0B24" w14:textId="77777777" w:rsidR="002F2202" w:rsidRDefault="00000000">
    <w:pPr>
      <w:pStyle w:val="Header"/>
    </w:pPr>
    <w:r>
      <w:pict w14:anchorId="57463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8" o:spid="_x0000_s1031" type="#_x0000_t136" style="position:absolute;margin-left:0;margin-top:0;width:520.65pt;height:57.8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r>
      <w:pict w14:anchorId="3C4D7CC4">
        <v:shape id="_x0000_s1030"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0162" w14:textId="77777777" w:rsidR="002F2202" w:rsidRDefault="00000000">
    <w:pPr>
      <w:pStyle w:val="Header"/>
    </w:pPr>
    <w:r>
      <w:pict w14:anchorId="03B83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9" o:spid="_x0000_s1033" type="#_x0000_t136" style="position:absolute;margin-left:0;margin-top:0;width:520.65pt;height:57.85pt;rotation:315;z-index:-25164800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r>
      <w:pict w14:anchorId="4D7FFCB7">
        <v:shape id="_x0000_s1032" type="#_x0000_t136" style="position:absolute;margin-left:0;margin-top:0;width:520.65pt;height:57.8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75EC" w14:textId="77777777" w:rsidR="002F2202" w:rsidRDefault="00000000">
    <w:pPr>
      <w:ind w:left="2160"/>
      <w:jc w:val="center"/>
      <w:rPr>
        <w:rFonts w:ascii="Times New Roman" w:eastAsia="Calibri" w:hAnsi="Times New Roman"/>
        <w:i/>
        <w:sz w:val="18"/>
        <w:szCs w:val="22"/>
      </w:rPr>
    </w:pPr>
    <w:r>
      <w:pict w14:anchorId="420EC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7" o:spid="_x0000_s1029" type="#_x0000_t136" style="position:absolute;left:0;text-align:left;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r>
      <w:pict w14:anchorId="4B939D63">
        <v:shape id="_x0000_s1028" type="#_x0000_t136" style="position:absolute;left:0;text-align:left;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4455A3D1" w14:textId="77777777" w:rsidR="002F2202"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47A74E6" w14:textId="77777777" w:rsidR="002F2202"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08E36B95" w14:textId="77777777" w:rsidR="002F2202"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7A2E64F" w14:textId="77777777" w:rsidR="002F2202"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F6A1A7F" w14:textId="77777777" w:rsidR="002F2202"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876404" w14:textId="77777777" w:rsidR="002F2202" w:rsidRDefault="0000000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B"/>
    <w:lvl w:ilvl="0">
      <w:start w:val="1"/>
      <w:numFmt w:val="upperRoman"/>
      <w:lvlText w:val="%1."/>
      <w:legacy w:legacy="1" w:legacySpace="144" w:legacyIndent="144"/>
      <w:lvlJc w:val="left"/>
      <w:rPr>
        <w:b/>
      </w:rPr>
    </w:lvl>
    <w:lvl w:ilvl="1">
      <w:start w:val="1"/>
      <w:numFmt w:val="upperLetter"/>
      <w:pStyle w:val="Heading2"/>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512" w:hanging="720"/>
      </w:pPr>
    </w:lvl>
    <w:lvl w:ilvl="4">
      <w:start w:val="1"/>
      <w:numFmt w:val="decimal"/>
      <w:lvlText w:val="(%5)"/>
      <w:legacy w:legacy="1" w:legacySpace="0" w:legacyIndent="720"/>
      <w:lvlJc w:val="left"/>
      <w:pPr>
        <w:ind w:left="2232" w:hanging="720"/>
      </w:pPr>
    </w:lvl>
    <w:lvl w:ilvl="5">
      <w:start w:val="1"/>
      <w:numFmt w:val="lowerLetter"/>
      <w:lvlText w:val="(%6)"/>
      <w:legacy w:legacy="1" w:legacySpace="0" w:legacyIndent="720"/>
      <w:lvlJc w:val="left"/>
      <w:pPr>
        <w:ind w:left="2952" w:hanging="720"/>
      </w:pPr>
    </w:lvl>
    <w:lvl w:ilvl="6">
      <w:start w:val="1"/>
      <w:numFmt w:val="lowerRoman"/>
      <w:lvlText w:val="(%7)"/>
      <w:legacy w:legacy="1" w:legacySpace="0" w:legacyIndent="720"/>
      <w:lvlJc w:val="left"/>
      <w:pPr>
        <w:ind w:left="3672" w:hanging="720"/>
      </w:pPr>
    </w:lvl>
    <w:lvl w:ilvl="7">
      <w:start w:val="1"/>
      <w:numFmt w:val="lowerLetter"/>
      <w:lvlText w:val="(%8)"/>
      <w:legacy w:legacy="1" w:legacySpace="0" w:legacyIndent="720"/>
      <w:lvlJc w:val="left"/>
      <w:pPr>
        <w:ind w:left="4392" w:hanging="720"/>
      </w:pPr>
    </w:lvl>
    <w:lvl w:ilvl="8">
      <w:start w:val="1"/>
      <w:numFmt w:val="lowerRoman"/>
      <w:lvlText w:val="(%9)"/>
      <w:legacy w:legacy="1" w:legacySpace="0" w:legacyIndent="720"/>
      <w:lvlJc w:val="left"/>
      <w:pPr>
        <w:ind w:left="5112" w:hanging="720"/>
      </w:pPr>
    </w:lvl>
  </w:abstractNum>
  <w:abstractNum w:abstractNumId="1" w15:restartNumberingAfterBreak="0">
    <w:nsid w:val="4CDEB63B"/>
    <w:multiLevelType w:val="multilevel"/>
    <w:tmpl w:val="4CDEB63B"/>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singl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50232215"/>
    <w:multiLevelType w:val="multilevel"/>
    <w:tmpl w:val="50232215"/>
    <w:lvl w:ilvl="0">
      <w:start w:val="1"/>
      <w:numFmt w:val="upperLetter"/>
      <w:pStyle w:val="IEEEHeading2"/>
      <w:lvlText w:val="%1."/>
      <w:lvlJc w:val="left"/>
      <w:pPr>
        <w:tabs>
          <w:tab w:val="left"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46875527">
    <w:abstractNumId w:val="0"/>
  </w:num>
  <w:num w:numId="2" w16cid:durableId="771129145">
    <w:abstractNumId w:val="3"/>
  </w:num>
  <w:num w:numId="3" w16cid:durableId="1739791165">
    <w:abstractNumId w:val="2"/>
  </w:num>
  <w:num w:numId="4" w16cid:durableId="152096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4743"/>
    <w:rsid w:val="00231920"/>
    <w:rsid w:val="0023195C"/>
    <w:rsid w:val="0024282C"/>
    <w:rsid w:val="002460DC"/>
    <w:rsid w:val="00250985"/>
    <w:rsid w:val="002556F6"/>
    <w:rsid w:val="00283105"/>
    <w:rsid w:val="00284C4C"/>
    <w:rsid w:val="00287E68"/>
    <w:rsid w:val="00296529"/>
    <w:rsid w:val="002B27FB"/>
    <w:rsid w:val="002B6616"/>
    <w:rsid w:val="002B685A"/>
    <w:rsid w:val="002C57D2"/>
    <w:rsid w:val="002E0D56"/>
    <w:rsid w:val="002F2202"/>
    <w:rsid w:val="00315186"/>
    <w:rsid w:val="0033343E"/>
    <w:rsid w:val="003512C2"/>
    <w:rsid w:val="00371FB6"/>
    <w:rsid w:val="003763C1"/>
    <w:rsid w:val="00376BBE"/>
    <w:rsid w:val="0039224F"/>
    <w:rsid w:val="003A43A4"/>
    <w:rsid w:val="003A7D51"/>
    <w:rsid w:val="003A7E18"/>
    <w:rsid w:val="003C4C86"/>
    <w:rsid w:val="003C6258"/>
    <w:rsid w:val="003E2904"/>
    <w:rsid w:val="00401927"/>
    <w:rsid w:val="004027E1"/>
    <w:rsid w:val="004078E0"/>
    <w:rsid w:val="0041027F"/>
    <w:rsid w:val="00412475"/>
    <w:rsid w:val="00423789"/>
    <w:rsid w:val="00440F43"/>
    <w:rsid w:val="00441B6F"/>
    <w:rsid w:val="00441CE7"/>
    <w:rsid w:val="00446221"/>
    <w:rsid w:val="00450E62"/>
    <w:rsid w:val="004539DB"/>
    <w:rsid w:val="00471A80"/>
    <w:rsid w:val="004D305E"/>
    <w:rsid w:val="004D4277"/>
    <w:rsid w:val="004F4C69"/>
    <w:rsid w:val="00502516"/>
    <w:rsid w:val="00505F06"/>
    <w:rsid w:val="00506828"/>
    <w:rsid w:val="0053056E"/>
    <w:rsid w:val="00554FDA"/>
    <w:rsid w:val="005C2D7B"/>
    <w:rsid w:val="005C784C"/>
    <w:rsid w:val="005D17F6"/>
    <w:rsid w:val="005E5539"/>
    <w:rsid w:val="00602BF5"/>
    <w:rsid w:val="00617FDD"/>
    <w:rsid w:val="00633614"/>
    <w:rsid w:val="00633F68"/>
    <w:rsid w:val="00636EB2"/>
    <w:rsid w:val="006375B8"/>
    <w:rsid w:val="00637D0A"/>
    <w:rsid w:val="0066510A"/>
    <w:rsid w:val="00673F9F"/>
    <w:rsid w:val="00684975"/>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E7C03"/>
    <w:rsid w:val="008F69D6"/>
    <w:rsid w:val="00902823"/>
    <w:rsid w:val="00915CA6"/>
    <w:rsid w:val="0092463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1CBB"/>
    <w:rsid w:val="00B1776C"/>
    <w:rsid w:val="00B52583"/>
    <w:rsid w:val="00B52896"/>
    <w:rsid w:val="00B7108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5962"/>
    <w:rsid w:val="00CD6755"/>
    <w:rsid w:val="00CD6856"/>
    <w:rsid w:val="00CE0089"/>
    <w:rsid w:val="00CE793C"/>
    <w:rsid w:val="00CF193C"/>
    <w:rsid w:val="00D173F1"/>
    <w:rsid w:val="00D638E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1A16979"/>
    <w:rsid w:val="02093F9C"/>
    <w:rsid w:val="02C81B1F"/>
    <w:rsid w:val="05BD0878"/>
    <w:rsid w:val="0B0D3F2D"/>
    <w:rsid w:val="0CDD41A8"/>
    <w:rsid w:val="101910F7"/>
    <w:rsid w:val="1788002A"/>
    <w:rsid w:val="19D4436C"/>
    <w:rsid w:val="1C3D6D64"/>
    <w:rsid w:val="25762D04"/>
    <w:rsid w:val="28344EF6"/>
    <w:rsid w:val="285707DB"/>
    <w:rsid w:val="2D4A15DA"/>
    <w:rsid w:val="366E68DA"/>
    <w:rsid w:val="37CC2099"/>
    <w:rsid w:val="38157F0F"/>
    <w:rsid w:val="38C47481"/>
    <w:rsid w:val="3AC41D77"/>
    <w:rsid w:val="3BB106FB"/>
    <w:rsid w:val="3E7241D4"/>
    <w:rsid w:val="419E6238"/>
    <w:rsid w:val="4CC3212F"/>
    <w:rsid w:val="51A16EBD"/>
    <w:rsid w:val="54CA5EE5"/>
    <w:rsid w:val="55E46FF7"/>
    <w:rsid w:val="57497744"/>
    <w:rsid w:val="58E31EE2"/>
    <w:rsid w:val="5AAC6F50"/>
    <w:rsid w:val="5CB318A3"/>
    <w:rsid w:val="639578ED"/>
    <w:rsid w:val="665A5F7E"/>
    <w:rsid w:val="6FD85E0E"/>
    <w:rsid w:val="76C07630"/>
    <w:rsid w:val="77F812E1"/>
    <w:rsid w:val="7AAD7251"/>
    <w:rsid w:val="7B8008AE"/>
    <w:rsid w:val="7D622FC2"/>
    <w:rsid w:val="7F7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3771B2"/>
  <w15:docId w15:val="{C1EB162F-EA1E-42B8-95F2-025E1AED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numPr>
        <w:ilvl w:val="1"/>
        <w:numId w:val="1"/>
      </w:numPr>
      <w:autoSpaceDE w:val="0"/>
      <w:autoSpaceDN w:val="0"/>
      <w:spacing w:before="120" w:after="60"/>
      <w:ind w:left="144"/>
      <w:outlineLvl w:val="1"/>
    </w:pPr>
    <w:rPr>
      <w:rFonts w:ascii="Times New Roman" w:eastAsia="PMingLiU"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spacing w:line="228" w:lineRule="auto"/>
      <w:ind w:firstLine="288"/>
      <w:jc w:val="both"/>
    </w:pPr>
    <w:rPr>
      <w:rFonts w:ascii="Times New Roman" w:eastAsia="SimSun" w:hAnsi="Times New Roman"/>
      <w:spacing w:val="-1"/>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2"/>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IEEEHeading2">
    <w:name w:val="IEEE Heading 2"/>
    <w:basedOn w:val="Normal"/>
    <w:next w:val="IEEEParagraph"/>
    <w:qFormat/>
    <w:pPr>
      <w:numPr>
        <w:numId w:val="3"/>
      </w:numPr>
      <w:adjustRightInd w:val="0"/>
      <w:snapToGrid w:val="0"/>
      <w:spacing w:before="150" w:after="60"/>
      <w:ind w:left="289" w:hanging="289"/>
    </w:pPr>
    <w:rPr>
      <w:rFonts w:ascii="Times New Roman" w:eastAsia="SimSun" w:hAnsi="Times New Roman"/>
      <w:i/>
      <w:szCs w:val="24"/>
      <w:lang w:val="en-AU" w:eastAsia="zh-CN"/>
    </w:rPr>
  </w:style>
  <w:style w:type="paragraph" w:customStyle="1" w:styleId="IEEEParagraph">
    <w:name w:val="IEEE Paragraph"/>
    <w:basedOn w:val="Normal"/>
    <w:qFormat/>
    <w:pPr>
      <w:adjustRightInd w:val="0"/>
      <w:snapToGrid w:val="0"/>
      <w:ind w:firstLine="216"/>
      <w:jc w:val="both"/>
    </w:pPr>
    <w:rPr>
      <w:rFonts w:ascii="Times New Roman" w:eastAsia="SimSun" w:hAnsi="Times New Roman"/>
      <w:szCs w:val="24"/>
      <w:lang w:val="en-AU" w:eastAsia="zh-CN"/>
    </w:rPr>
  </w:style>
  <w:style w:type="character" w:customStyle="1" w:styleId="Heading2Char">
    <w:name w:val="Heading 2 Char"/>
    <w:link w:val="Heading2"/>
    <w:qFormat/>
    <w:rPr>
      <w:rFonts w:ascii="Times New Roman" w:eastAsia="PMingLiU" w:hAnsi="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7"/>
    <customShpInfo spid="_x0000_s1026" textRotate="1"/>
    <customShpInfo spid="_x0000_s1025"/>
    <customShpInfo spid="_x0000_s1033"/>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651E6301-8FC1-4ED5-8508-072600352E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19</TotalTime>
  <Pages>19</Pages>
  <Words>6676</Words>
  <Characters>38059</Characters>
  <Application>Microsoft Office Word</Application>
  <DocSecurity>0</DocSecurity>
  <Lines>317</Lines>
  <Paragraphs>89</Paragraphs>
  <ScaleCrop>false</ScaleCrop>
  <Company>aaaa</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14</cp:revision>
  <cp:lastPrinted>1999-07-06T11:00:00Z</cp:lastPrinted>
  <dcterms:created xsi:type="dcterms:W3CDTF">2014-10-25T14:34:00Z</dcterms:created>
  <dcterms:modified xsi:type="dcterms:W3CDTF">2026-05-26T08:39:00Z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eyJoZGlkIjoiNjFlOGFhNDJhZjE3Y2UyMjViZDk2NDAzOWM0NDQ2ZWUiLCJ1c2VySWQiOiI4ODEzNzUxNTIwNjQwIn0=</vt:lpwstr>
  </property>
  <property fmtid="{D5CDD505-2E9C-101B-9397-08002B2CF9AE}" pid="3" name="KSOProductBuildVer">
    <vt:lpwstr>1057-12.1.0.26372</vt:lpwstr>
  </property>
  <property fmtid="{D5CDD505-2E9C-101B-9397-08002B2CF9AE}" pid="4" name="ICV">
    <vt:lpwstr>3F46F9CD23814F30B3445FBA9940BBCA_13</vt:lpwstr>
  </property>
</Properties>
</file>