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11C4" w14:textId="5F0A1006" w:rsidR="00F6524D" w:rsidRDefault="0045066C" w:rsidP="0045066C">
      <w:pPr>
        <w:spacing w:after="200" w:line="276" w:lineRule="auto"/>
        <w:jc w:val="center"/>
        <w:rPr>
          <w:b/>
          <w:bCs/>
        </w:rPr>
      </w:pPr>
      <w:r w:rsidRPr="0045066C">
        <w:rPr>
          <w:b/>
          <w:bCs/>
          <w:highlight w:val="yellow"/>
        </w:rPr>
        <w:t xml:space="preserve">Cytokine Profile and Demographic Characteristics in Plasmodium falciparum </w:t>
      </w:r>
      <w:proofErr w:type="spellStart"/>
      <w:r w:rsidRPr="0045066C">
        <w:rPr>
          <w:b/>
          <w:bCs/>
          <w:highlight w:val="yellow"/>
        </w:rPr>
        <w:t>Parasitaemia</w:t>
      </w:r>
      <w:proofErr w:type="spellEnd"/>
      <w:r w:rsidRPr="0045066C">
        <w:rPr>
          <w:b/>
          <w:bCs/>
          <w:highlight w:val="yellow"/>
        </w:rPr>
        <w:t>: A Hospital-Based Study in Port Harcourt, Nigeria</w:t>
      </w:r>
    </w:p>
    <w:p w14:paraId="7BC9FCB8" w14:textId="0FA175B5" w:rsidR="003D71BF" w:rsidRPr="00D70696" w:rsidRDefault="00E643F5" w:rsidP="009E77D4">
      <w:pPr>
        <w:spacing w:after="200" w:line="276" w:lineRule="auto"/>
      </w:pPr>
      <w:r w:rsidRPr="00D70696">
        <w:rPr>
          <w:b/>
          <w:bCs/>
        </w:rPr>
        <w:t>Abstract</w:t>
      </w:r>
    </w:p>
    <w:p w14:paraId="0EF129C4" w14:textId="77777777" w:rsidR="00B176CE" w:rsidRDefault="00B176CE" w:rsidP="009E77D4">
      <w:pPr>
        <w:spacing w:before="80" w:after="200" w:line="276" w:lineRule="auto"/>
        <w:jc w:val="both"/>
        <w:rPr>
          <w:bCs/>
        </w:rPr>
      </w:pPr>
      <w:r w:rsidRPr="0020733B">
        <w:rPr>
          <w:b/>
          <w:bCs/>
        </w:rPr>
        <w:t>Background:</w:t>
      </w:r>
      <w:r w:rsidRPr="00B176CE">
        <w:rPr>
          <w:bCs/>
        </w:rPr>
        <w:t xml:space="preserve"> Malaria remains a significant global health challenge, particularly in sub-Saharan Africa where </w:t>
      </w:r>
      <w:r w:rsidRPr="00EF578D">
        <w:rPr>
          <w:bCs/>
          <w:i/>
        </w:rPr>
        <w:t>Plasmodium falciparum</w:t>
      </w:r>
      <w:r w:rsidRPr="00B176CE">
        <w:rPr>
          <w:bCs/>
        </w:rPr>
        <w:t xml:space="preserve"> causes the majority of severe illness. This study characterized the demographic profile and evaluated plasma levels of IL-10, IL-6, and TNF-alpha across different </w:t>
      </w:r>
      <w:proofErr w:type="spellStart"/>
      <w:r w:rsidRPr="00B176CE">
        <w:rPr>
          <w:bCs/>
        </w:rPr>
        <w:t>parasitaemia</w:t>
      </w:r>
      <w:proofErr w:type="spellEnd"/>
      <w:r w:rsidRPr="00B176CE">
        <w:rPr>
          <w:bCs/>
        </w:rPr>
        <w:t xml:space="preserve"> groups at the University of Port Harcourt Primary Health Care Centre, Nigeria.</w:t>
      </w:r>
    </w:p>
    <w:p w14:paraId="54DBEEB0" w14:textId="59B52607" w:rsidR="00B176CE" w:rsidRDefault="00B176CE" w:rsidP="009E77D4">
      <w:pPr>
        <w:spacing w:before="80" w:after="200" w:line="276" w:lineRule="auto"/>
        <w:jc w:val="both"/>
        <w:rPr>
          <w:bCs/>
        </w:rPr>
      </w:pPr>
      <w:r w:rsidRPr="00B176CE">
        <w:rPr>
          <w:b/>
          <w:bCs/>
        </w:rPr>
        <w:t>Methods:</w:t>
      </w:r>
      <w:r w:rsidRPr="00B176CE">
        <w:rPr>
          <w:bCs/>
        </w:rPr>
        <w:t xml:space="preserve"> A cross-sectional, hospital-based study was conducted between May and Aug</w:t>
      </w:r>
      <w:r w:rsidR="002609DC">
        <w:rPr>
          <w:bCs/>
        </w:rPr>
        <w:t>ust 2020. Blood samples from 376</w:t>
      </w:r>
      <w:r w:rsidRPr="00B176CE">
        <w:rPr>
          <w:bCs/>
        </w:rPr>
        <w:t xml:space="preserve"> patients were screened using Rapid Diagnostic Tests and microscopy. For cytokine analysis, 6</w:t>
      </w:r>
      <w:r w:rsidR="008A6026">
        <w:rPr>
          <w:bCs/>
        </w:rPr>
        <w:t>9</w:t>
      </w:r>
      <w:r w:rsidRPr="00B176CE">
        <w:rPr>
          <w:bCs/>
        </w:rPr>
        <w:t xml:space="preserve"> samples were st</w:t>
      </w:r>
      <w:r>
        <w:rPr>
          <w:bCs/>
        </w:rPr>
        <w:t>ratified into Negative (n = 49), Moderate (n = 6), and High (n = 14</w:t>
      </w:r>
      <w:r w:rsidRPr="00B176CE">
        <w:rPr>
          <w:bCs/>
        </w:rPr>
        <w:t xml:space="preserve">) </w:t>
      </w:r>
      <w:proofErr w:type="spellStart"/>
      <w:r w:rsidRPr="00B176CE">
        <w:rPr>
          <w:bCs/>
        </w:rPr>
        <w:t>parasitaemia</w:t>
      </w:r>
      <w:proofErr w:type="spellEnd"/>
      <w:r w:rsidRPr="00B176CE">
        <w:rPr>
          <w:bCs/>
        </w:rPr>
        <w:t xml:space="preserve"> groups. Plasma cytokine concentrations were quantified using ELISA.</w:t>
      </w:r>
      <w:r w:rsidR="002B70BA">
        <w:rPr>
          <w:bCs/>
        </w:rPr>
        <w:t xml:space="preserve"> </w:t>
      </w:r>
      <w:r w:rsidR="00DE41F3">
        <w:rPr>
          <w:bCs/>
          <w:highlight w:val="yellow"/>
        </w:rPr>
        <w:t>ANOVA</w:t>
      </w:r>
      <w:r w:rsidR="002B70BA" w:rsidRPr="002B70BA">
        <w:rPr>
          <w:bCs/>
          <w:highlight w:val="yellow"/>
        </w:rPr>
        <w:t xml:space="preserve"> and </w:t>
      </w:r>
      <w:proofErr w:type="spellStart"/>
      <w:r w:rsidR="002B70BA" w:rsidRPr="002B70BA">
        <w:rPr>
          <w:bCs/>
          <w:highlight w:val="yellow"/>
        </w:rPr>
        <w:t>pearson</w:t>
      </w:r>
      <w:proofErr w:type="spellEnd"/>
      <w:r w:rsidR="002B70BA" w:rsidRPr="002B70BA">
        <w:rPr>
          <w:bCs/>
          <w:highlight w:val="yellow"/>
        </w:rPr>
        <w:t xml:space="preserve"> correlation </w:t>
      </w:r>
      <w:proofErr w:type="gramStart"/>
      <w:r w:rsidR="002B70BA" w:rsidRPr="002B70BA">
        <w:rPr>
          <w:bCs/>
          <w:highlight w:val="yellow"/>
        </w:rPr>
        <w:t>was</w:t>
      </w:r>
      <w:proofErr w:type="gramEnd"/>
      <w:r w:rsidR="002B70BA" w:rsidRPr="002B70BA">
        <w:rPr>
          <w:bCs/>
          <w:highlight w:val="yellow"/>
        </w:rPr>
        <w:t xml:space="preserve"> used for comparison and relationship assessment respectively.</w:t>
      </w:r>
    </w:p>
    <w:p w14:paraId="1460AF68" w14:textId="45F99867" w:rsidR="00B176CE" w:rsidRDefault="00B176CE" w:rsidP="009E77D4">
      <w:pPr>
        <w:spacing w:before="80" w:after="200" w:line="276" w:lineRule="auto"/>
        <w:jc w:val="both"/>
        <w:rPr>
          <w:bCs/>
        </w:rPr>
      </w:pPr>
      <w:r w:rsidRPr="00B176CE">
        <w:rPr>
          <w:b/>
          <w:bCs/>
        </w:rPr>
        <w:t>Results:</w:t>
      </w:r>
      <w:r>
        <w:rPr>
          <w:b/>
          <w:bCs/>
        </w:rPr>
        <w:t xml:space="preserve"> </w:t>
      </w:r>
      <w:r w:rsidRPr="00B176CE">
        <w:rPr>
          <w:bCs/>
        </w:rPr>
        <w:t xml:space="preserve">Females were over-represented in the Moderate (83.33%) and High (71.42%) </w:t>
      </w:r>
      <w:proofErr w:type="spellStart"/>
      <w:r w:rsidRPr="00B176CE">
        <w:rPr>
          <w:bCs/>
        </w:rPr>
        <w:t>parasitaemia</w:t>
      </w:r>
      <w:proofErr w:type="spellEnd"/>
      <w:r w:rsidRPr="00B176CE">
        <w:rPr>
          <w:bCs/>
        </w:rPr>
        <w:t xml:space="preserve"> groups. The mean age decreased as parasite density increased, from 39.5 years in the Negative group to 26.8 years in the High group. IL-10 was significantly elevated in the High </w:t>
      </w:r>
      <w:proofErr w:type="spellStart"/>
      <w:r w:rsidRPr="00B176CE">
        <w:rPr>
          <w:bCs/>
        </w:rPr>
        <w:t>parasita</w:t>
      </w:r>
      <w:r>
        <w:rPr>
          <w:bCs/>
        </w:rPr>
        <w:t>emia</w:t>
      </w:r>
      <w:proofErr w:type="spellEnd"/>
      <w:r>
        <w:rPr>
          <w:bCs/>
        </w:rPr>
        <w:t xml:space="preserve"> group (</w:t>
      </w:r>
      <w:r w:rsidR="00EF578D">
        <w:rPr>
          <w:bCs/>
        </w:rPr>
        <w:t xml:space="preserve">836.30 </w:t>
      </w:r>
      <w:r w:rsidR="00EF578D" w:rsidRPr="00D70696">
        <w:t>±</w:t>
      </w:r>
      <w:r>
        <w:rPr>
          <w:bCs/>
        </w:rPr>
        <w:t>1144.06</w:t>
      </w:r>
      <w:r w:rsidRPr="00B176CE">
        <w:rPr>
          <w:bCs/>
        </w:rPr>
        <w:t xml:space="preserve"> </w:t>
      </w:r>
      <w:proofErr w:type="spellStart"/>
      <w:r w:rsidRPr="00B176CE">
        <w:rPr>
          <w:bCs/>
        </w:rPr>
        <w:t>pg</w:t>
      </w:r>
      <w:proofErr w:type="spellEnd"/>
      <w:r w:rsidRPr="00B176CE">
        <w:rPr>
          <w:bCs/>
        </w:rPr>
        <w:t>/mL) compared to the Negative gr</w:t>
      </w:r>
      <w:r>
        <w:rPr>
          <w:bCs/>
        </w:rPr>
        <w:t>oup (</w:t>
      </w:r>
      <w:r w:rsidR="00EF578D">
        <w:rPr>
          <w:bCs/>
        </w:rPr>
        <w:t>101.75</w:t>
      </w:r>
      <w:r w:rsidR="00EF578D" w:rsidRPr="00D70696">
        <w:t>±</w:t>
      </w:r>
      <w:r>
        <w:rPr>
          <w:bCs/>
        </w:rPr>
        <w:t xml:space="preserve">56.03 </w:t>
      </w:r>
      <w:proofErr w:type="spellStart"/>
      <w:r>
        <w:rPr>
          <w:bCs/>
        </w:rPr>
        <w:t>pg</w:t>
      </w:r>
      <w:proofErr w:type="spellEnd"/>
      <w:r>
        <w:rPr>
          <w:bCs/>
        </w:rPr>
        <w:t>/mL; p = 0.001</w:t>
      </w:r>
      <w:r w:rsidRPr="00B176CE">
        <w:rPr>
          <w:bCs/>
        </w:rPr>
        <w:t>). Differences in TNF-</w:t>
      </w:r>
      <w:r>
        <w:rPr>
          <w:bCs/>
        </w:rPr>
        <w:t xml:space="preserve">α </w:t>
      </w:r>
      <w:r w:rsidRPr="00B176CE">
        <w:rPr>
          <w:bCs/>
        </w:rPr>
        <w:t xml:space="preserve">and IL-6 levels across groups were not statistically significant. </w:t>
      </w:r>
      <w:r w:rsidR="003F414B" w:rsidRPr="003F414B">
        <w:rPr>
          <w:bCs/>
          <w:highlight w:val="yellow"/>
        </w:rPr>
        <w:t>Pearson</w:t>
      </w:r>
      <w:r w:rsidRPr="003F414B">
        <w:rPr>
          <w:bCs/>
          <w:highlight w:val="yellow"/>
        </w:rPr>
        <w:t>’s</w:t>
      </w:r>
      <w:r w:rsidRPr="00B176CE">
        <w:rPr>
          <w:bCs/>
        </w:rPr>
        <w:t xml:space="preserve"> correlation showed no significant association between parasite density and any studied cytokines.</w:t>
      </w:r>
    </w:p>
    <w:p w14:paraId="5C35D79C" w14:textId="1F5217E7" w:rsidR="00B176CE" w:rsidRPr="00B176CE" w:rsidRDefault="00B176CE" w:rsidP="009E77D4">
      <w:pPr>
        <w:spacing w:before="80" w:after="200" w:line="276" w:lineRule="auto"/>
        <w:jc w:val="both"/>
        <w:rPr>
          <w:bCs/>
        </w:rPr>
      </w:pPr>
      <w:r w:rsidRPr="00B176CE">
        <w:rPr>
          <w:b/>
          <w:bCs/>
        </w:rPr>
        <w:t>Conclusion:</w:t>
      </w:r>
      <w:r w:rsidRPr="00B176CE">
        <w:rPr>
          <w:bCs/>
        </w:rPr>
        <w:t xml:space="preserve"> </w:t>
      </w:r>
      <w:r w:rsidR="0063492B" w:rsidRPr="0063492B">
        <w:rPr>
          <w:bCs/>
          <w:highlight w:val="yellow"/>
        </w:rPr>
        <w:t xml:space="preserve">IL-10 is significantly elevated in high </w:t>
      </w:r>
      <w:proofErr w:type="spellStart"/>
      <w:r w:rsidR="0063492B" w:rsidRPr="0063492B">
        <w:rPr>
          <w:bCs/>
          <w:highlight w:val="yellow"/>
        </w:rPr>
        <w:t>parasitaemia</w:t>
      </w:r>
      <w:proofErr w:type="spellEnd"/>
      <w:r w:rsidR="0063492B" w:rsidRPr="0063492B">
        <w:rPr>
          <w:bCs/>
          <w:highlight w:val="yellow"/>
        </w:rPr>
        <w:t>, but no significant correlation with parasite density was observed. Larger studies are needed to assess its utility as a biomarker.</w:t>
      </w:r>
    </w:p>
    <w:p w14:paraId="189D69AB" w14:textId="3CB86083" w:rsidR="003D71BF" w:rsidRPr="009330A0" w:rsidRDefault="00E643F5" w:rsidP="009E77D4">
      <w:pPr>
        <w:spacing w:before="80" w:after="200" w:line="276" w:lineRule="auto"/>
        <w:rPr>
          <w:lang w:val="fr-FR"/>
        </w:rPr>
      </w:pPr>
      <w:proofErr w:type="gramStart"/>
      <w:r w:rsidRPr="009330A0">
        <w:rPr>
          <w:b/>
          <w:bCs/>
          <w:lang w:val="fr-FR"/>
        </w:rPr>
        <w:t>Keywords:</w:t>
      </w:r>
      <w:proofErr w:type="gramEnd"/>
      <w:r w:rsidRPr="009330A0">
        <w:rPr>
          <w:b/>
          <w:bCs/>
          <w:lang w:val="fr-FR"/>
        </w:rPr>
        <w:t xml:space="preserve"> </w:t>
      </w:r>
      <w:r w:rsidR="00B4097E" w:rsidRPr="009330A0">
        <w:rPr>
          <w:i/>
          <w:iCs/>
          <w:lang w:val="fr-FR"/>
        </w:rPr>
        <w:t xml:space="preserve">Cytokines, ELISA, IL-10, IL-6, malaria, </w:t>
      </w:r>
      <w:proofErr w:type="spellStart"/>
      <w:r w:rsidR="00B4097E" w:rsidRPr="009330A0">
        <w:rPr>
          <w:i/>
          <w:iCs/>
          <w:lang w:val="fr-FR"/>
        </w:rPr>
        <w:t>parasitaemia</w:t>
      </w:r>
      <w:proofErr w:type="spellEnd"/>
      <w:r w:rsidR="00B4097E" w:rsidRPr="009330A0">
        <w:rPr>
          <w:i/>
          <w:iCs/>
          <w:lang w:val="fr-FR"/>
        </w:rPr>
        <w:t>, Plasmodium falciparum, Port Harcourt, TNF-alpha</w:t>
      </w:r>
      <w:r w:rsidR="005A61EA">
        <w:rPr>
          <w:i/>
          <w:iCs/>
          <w:lang w:val="fr-FR"/>
        </w:rPr>
        <w:t xml:space="preserve">, </w:t>
      </w:r>
    </w:p>
    <w:p w14:paraId="69EB9179" w14:textId="77777777" w:rsidR="003D71BF" w:rsidRPr="00D70696" w:rsidRDefault="00E643F5" w:rsidP="009E77D4">
      <w:pPr>
        <w:pStyle w:val="Heading1"/>
        <w:spacing w:line="276" w:lineRule="auto"/>
        <w:rPr>
          <w:sz w:val="24"/>
          <w:szCs w:val="24"/>
        </w:rPr>
      </w:pPr>
      <w:r w:rsidRPr="00D70696">
        <w:rPr>
          <w:sz w:val="24"/>
          <w:szCs w:val="24"/>
        </w:rPr>
        <w:t>Introduction</w:t>
      </w:r>
    </w:p>
    <w:p w14:paraId="0D38AC52" w14:textId="2C9E9791" w:rsidR="003D71BF" w:rsidRDefault="00E643F5" w:rsidP="009E77D4">
      <w:pPr>
        <w:spacing w:before="100" w:after="100" w:line="276" w:lineRule="auto"/>
        <w:jc w:val="both"/>
      </w:pPr>
      <w:r w:rsidRPr="00D70696">
        <w:t xml:space="preserve">Malaria is a life-threatening parasitic disease caused by </w:t>
      </w:r>
      <w:r w:rsidRPr="00D70696">
        <w:rPr>
          <w:i/>
        </w:rPr>
        <w:t>Plasmodium species</w:t>
      </w:r>
      <w:r w:rsidRPr="00D70696">
        <w:t xml:space="preserve"> and transmitted through the bites of infected female Anopheles mosquitoes</w:t>
      </w:r>
      <w:r w:rsidR="006E61FD">
        <w:t xml:space="preserve"> </w:t>
      </w:r>
      <w:r w:rsidR="00D35030">
        <w:t>[1]</w:t>
      </w:r>
      <w:r w:rsidRPr="00D70696">
        <w:t xml:space="preserve">. </w:t>
      </w:r>
      <w:r w:rsidR="006E61FD">
        <w:t xml:space="preserve">According to the WHO, malaria </w:t>
      </w:r>
      <w:r w:rsidRPr="00D70696">
        <w:t>remains one of the most significant public health challenges</w:t>
      </w:r>
      <w:r w:rsidR="006E61FD">
        <w:t xml:space="preserve"> globally</w:t>
      </w:r>
      <w:r w:rsidRPr="00D70696">
        <w:t>, with an estimated 219 million cases recorded in 87 countries and approximately 435,000 deaths in 2017 alone. The African region bears the greatest burden, accounting for 92% of all malaria cases and 93% of associated mortality in that year</w:t>
      </w:r>
      <w:r w:rsidR="00827A8F">
        <w:t xml:space="preserve"> [2]</w:t>
      </w:r>
      <w:r w:rsidRPr="00D70696">
        <w:t>.</w:t>
      </w:r>
    </w:p>
    <w:p w14:paraId="5EA8C457" w14:textId="77777777" w:rsidR="00827A8F" w:rsidRPr="00D70696" w:rsidRDefault="00827A8F" w:rsidP="009E77D4">
      <w:pPr>
        <w:spacing w:before="100" w:after="100" w:line="276" w:lineRule="auto"/>
        <w:jc w:val="both"/>
      </w:pPr>
    </w:p>
    <w:p w14:paraId="523785B4" w14:textId="686EABB4" w:rsidR="003D71BF" w:rsidRPr="00D70696" w:rsidRDefault="00E643F5" w:rsidP="009E77D4">
      <w:pPr>
        <w:spacing w:before="100" w:after="100" w:line="276" w:lineRule="auto"/>
        <w:jc w:val="both"/>
      </w:pPr>
      <w:r w:rsidRPr="00D70696">
        <w:rPr>
          <w:i/>
        </w:rPr>
        <w:t>P</w:t>
      </w:r>
      <w:r w:rsidR="00C07AEC">
        <w:rPr>
          <w:i/>
        </w:rPr>
        <w:t>.</w:t>
      </w:r>
      <w:r w:rsidRPr="00D70696">
        <w:rPr>
          <w:i/>
        </w:rPr>
        <w:t xml:space="preserve"> falciparum</w:t>
      </w:r>
      <w:r w:rsidRPr="00D70696">
        <w:t xml:space="preserve"> is the predominant and most dangerous species infecting humans, particularly in sub-Saharan Africa where it is responsible for the majority of severe illness and death</w:t>
      </w:r>
      <w:r w:rsidR="00F95335">
        <w:t xml:space="preserve"> </w:t>
      </w:r>
      <w:r w:rsidR="00F30EBB">
        <w:t>[3]</w:t>
      </w:r>
      <w:r w:rsidRPr="00D70696">
        <w:t xml:space="preserve">. The </w:t>
      </w:r>
      <w:r w:rsidRPr="00D70696">
        <w:lastRenderedPageBreak/>
        <w:t xml:space="preserve">clinical spectrum of </w:t>
      </w:r>
      <w:r w:rsidRPr="00D70696">
        <w:rPr>
          <w:i/>
        </w:rPr>
        <w:t>P. falciparum</w:t>
      </w:r>
      <w:r w:rsidRPr="00D70696">
        <w:t xml:space="preserve"> infection ranges from asymptomatic </w:t>
      </w:r>
      <w:proofErr w:type="spellStart"/>
      <w:r w:rsidRPr="00D70696">
        <w:t>parasitaemia</w:t>
      </w:r>
      <w:proofErr w:type="spellEnd"/>
      <w:r w:rsidRPr="00D70696">
        <w:t xml:space="preserve"> to uncomplicated and severe malaria, and ultimately death in high-risk populations </w:t>
      </w:r>
      <w:r w:rsidR="00F30EBB">
        <w:t>[4]</w:t>
      </w:r>
      <w:r w:rsidRPr="00D70696">
        <w:t xml:space="preserve">. Groups at greatest risk include young children without established partial immunity, pregnant women especially during the first and second pregnancies, and non-immune </w:t>
      </w:r>
      <w:proofErr w:type="spellStart"/>
      <w:r w:rsidRPr="00D70696">
        <w:t>travellers</w:t>
      </w:r>
      <w:proofErr w:type="spellEnd"/>
      <w:r w:rsidRPr="00D70696">
        <w:t xml:space="preserve"> or migran</w:t>
      </w:r>
      <w:r w:rsidR="00842F37">
        <w:t>ts from low-transmission areas [5, 6]</w:t>
      </w:r>
      <w:r w:rsidRPr="00D70696">
        <w:t>.</w:t>
      </w:r>
    </w:p>
    <w:p w14:paraId="755B8054" w14:textId="77777777" w:rsidR="00827A8F" w:rsidRDefault="00827A8F" w:rsidP="009E77D4">
      <w:pPr>
        <w:spacing w:before="100" w:after="100" w:line="276" w:lineRule="auto"/>
        <w:jc w:val="both"/>
      </w:pPr>
    </w:p>
    <w:p w14:paraId="371121E8" w14:textId="5D0FAB68" w:rsidR="003D71BF" w:rsidRPr="00D70696" w:rsidRDefault="00E643F5" w:rsidP="009E77D4">
      <w:pPr>
        <w:spacing w:before="100" w:after="100" w:line="276" w:lineRule="auto"/>
        <w:jc w:val="both"/>
      </w:pPr>
      <w:r w:rsidRPr="00D70696">
        <w:t>Cytokines are immunomodulatory proteins that mediate and regulate the host immune response to malaria infection</w:t>
      </w:r>
      <w:r w:rsidR="002B7313">
        <w:t xml:space="preserve"> </w:t>
      </w:r>
      <w:r w:rsidR="00842F37">
        <w:t>[7]</w:t>
      </w:r>
      <w:r w:rsidRPr="00D70696">
        <w:t xml:space="preserve">. The balance between pro-inflammatory and anti-inflammatory cytokines is widely recognized as a critical determinant of clinical outcome in </w:t>
      </w:r>
      <w:r w:rsidRPr="00D70696">
        <w:rPr>
          <w:i/>
        </w:rPr>
        <w:t>P</w:t>
      </w:r>
      <w:r w:rsidR="00C07AEC">
        <w:rPr>
          <w:i/>
        </w:rPr>
        <w:t>.</w:t>
      </w:r>
      <w:r w:rsidRPr="00D70696">
        <w:rPr>
          <w:i/>
        </w:rPr>
        <w:t xml:space="preserve"> falciparum</w:t>
      </w:r>
      <w:r w:rsidRPr="00D70696">
        <w:t xml:space="preserve"> infection</w:t>
      </w:r>
      <w:r w:rsidR="00BD1B2F">
        <w:t xml:space="preserve"> </w:t>
      </w:r>
      <w:r w:rsidR="00842F37">
        <w:t>[8]</w:t>
      </w:r>
      <w:r w:rsidRPr="00D70696">
        <w:t xml:space="preserve">. Tumor necrosis factor-alpha (TNF-α) is the principal mediator of acute inflammation, functioning to activate endothelial cells, recruit leukocytes, and stimulate macrophage activity </w:t>
      </w:r>
      <w:r w:rsidR="00842F37">
        <w:t>[9]</w:t>
      </w:r>
      <w:r w:rsidRPr="00D70696">
        <w:t xml:space="preserve">. Elevated TNF-α has been associated with malaria symptoms including fever, headache, and thrombocytopenia, as well as with severe malaria in non-immune individuals </w:t>
      </w:r>
      <w:r w:rsidR="00842F37">
        <w:t>[10. 11]</w:t>
      </w:r>
      <w:r w:rsidRPr="00D70696">
        <w:t>.</w:t>
      </w:r>
    </w:p>
    <w:p w14:paraId="71C785E5" w14:textId="77777777" w:rsidR="00827A8F" w:rsidRDefault="00827A8F" w:rsidP="009E77D4">
      <w:pPr>
        <w:spacing w:before="100" w:after="100" w:line="276" w:lineRule="auto"/>
        <w:jc w:val="both"/>
      </w:pPr>
    </w:p>
    <w:p w14:paraId="274EA11E" w14:textId="525714D8" w:rsidR="003D71BF" w:rsidRPr="00D70696" w:rsidRDefault="00E643F5" w:rsidP="009E77D4">
      <w:pPr>
        <w:spacing w:before="100" w:after="100" w:line="276" w:lineRule="auto"/>
        <w:jc w:val="both"/>
      </w:pPr>
      <w:r w:rsidRPr="00D70696">
        <w:t xml:space="preserve">Interleukin-6 (IL-6) stimulates hepatic production of acute phase proteins, promotes B-lymphocyte proliferation, and increases neutrophil output </w:t>
      </w:r>
      <w:r w:rsidR="00842F37">
        <w:t>[12]</w:t>
      </w:r>
      <w:r w:rsidRPr="00D70696">
        <w:t xml:space="preserve">. It plays a significant role in the inflammatory cascade during acute malaria and has been observed to fluctuate in relation to parasite density and erythrocyte destruction. Interleukin-10 (IL-10), by contrast, is an anti-inflammatory cytokine produced predominantly by macrophages and TH2 cells. IL-10 suppresses the production of pro-inflammatory cytokines including IL-12 and TNF-α, and downregulates MHC-II expression and co-stimulatory molecules on antigen-presenting cells </w:t>
      </w:r>
      <w:r w:rsidR="00842F37">
        <w:t>[13]</w:t>
      </w:r>
      <w:r w:rsidRPr="00D70696">
        <w:t>. While IL-10 may protect against inflammatory pathology, its immunosuppressive function has also been implicated in permitting higher parasite burdens, particularly in endemic populations wit</w:t>
      </w:r>
      <w:r w:rsidR="00DB2977">
        <w:t>h established partial immunity [14].</w:t>
      </w:r>
    </w:p>
    <w:p w14:paraId="5F616C0E" w14:textId="77777777" w:rsidR="00827A8F" w:rsidRDefault="00827A8F" w:rsidP="009E77D4">
      <w:pPr>
        <w:spacing w:before="100" w:after="100" w:line="276" w:lineRule="auto"/>
        <w:jc w:val="both"/>
      </w:pPr>
    </w:p>
    <w:p w14:paraId="0E87BB97" w14:textId="0E68A3D2" w:rsidR="003D71BF" w:rsidRPr="00D70696" w:rsidRDefault="006E3805" w:rsidP="009E77D4">
      <w:pPr>
        <w:spacing w:before="100" w:after="100" w:line="276" w:lineRule="auto"/>
        <w:jc w:val="both"/>
      </w:pPr>
      <w:r>
        <w:t xml:space="preserve">Studies show </w:t>
      </w:r>
      <w:r w:rsidR="00E643F5" w:rsidRPr="00D70696">
        <w:t xml:space="preserve">that in high malaria transmission settings, both pro-inflammatory and anti-inflammatory cytokine responses are progressively blunted with age and repeated exposure </w:t>
      </w:r>
      <w:r w:rsidR="00EE7C57">
        <w:t>[15, 16].</w:t>
      </w:r>
      <w:r w:rsidR="00E643F5" w:rsidRPr="00D70696">
        <w:t xml:space="preserve"> This tolerance may obscure traditional cytokine markers of disease severity in adults from endemic areas. Despite these insights,</w:t>
      </w:r>
      <w:r w:rsidR="0004614A" w:rsidRPr="00D70696">
        <w:t xml:space="preserve"> data from Nigerian populations, </w:t>
      </w:r>
      <w:r w:rsidR="00E643F5" w:rsidRPr="00D70696">
        <w:t xml:space="preserve">particularly from Rivers State, which is </w:t>
      </w:r>
      <w:r w:rsidR="003558C1">
        <w:t>highly endemic</w:t>
      </w:r>
      <w:r w:rsidR="00E643F5" w:rsidRPr="00D70696">
        <w:t xml:space="preserve"> for </w:t>
      </w:r>
      <w:r w:rsidR="00E643F5" w:rsidRPr="00D70696">
        <w:rPr>
          <w:i/>
        </w:rPr>
        <w:t>P. falciparum</w:t>
      </w:r>
      <w:r w:rsidR="00713CB3" w:rsidRPr="00D70696">
        <w:t xml:space="preserve">, </w:t>
      </w:r>
      <w:r w:rsidR="00E643F5" w:rsidRPr="00D70696">
        <w:t xml:space="preserve">remain limited regarding the </w:t>
      </w:r>
      <w:r w:rsidR="003558C1">
        <w:t>association</w:t>
      </w:r>
      <w:r w:rsidR="00E643F5" w:rsidRPr="00D70696">
        <w:t xml:space="preserve"> between parasite load categories and specific cytokine profiles.</w:t>
      </w:r>
    </w:p>
    <w:p w14:paraId="0D8D1736" w14:textId="77777777" w:rsidR="00827A8F" w:rsidRDefault="00827A8F" w:rsidP="009E77D4">
      <w:pPr>
        <w:spacing w:before="100" w:after="100" w:line="276" w:lineRule="auto"/>
        <w:jc w:val="both"/>
      </w:pPr>
    </w:p>
    <w:p w14:paraId="08345278" w14:textId="173A7700" w:rsidR="00F31D96" w:rsidRDefault="00E643F5" w:rsidP="009E77D4">
      <w:pPr>
        <w:spacing w:before="100" w:after="100" w:line="276" w:lineRule="auto"/>
        <w:jc w:val="both"/>
      </w:pPr>
      <w:r w:rsidRPr="00D70696">
        <w:t xml:space="preserve">This study was therefore conducted to characterize the demographic profile of patients presenting for malaria diagnosis at the University of Port Harcourt Primary Health Care Centre (Lulu Briggs), and to evaluate plasma levels of IL-10, IL-6, and TNF-α across Negative, Moderate, and High </w:t>
      </w:r>
      <w:proofErr w:type="spellStart"/>
      <w:r w:rsidRPr="00D70696">
        <w:t>parasitaemia</w:t>
      </w:r>
      <w:proofErr w:type="spellEnd"/>
      <w:r w:rsidRPr="00D70696">
        <w:t xml:space="preserve"> groups, as well as to </w:t>
      </w:r>
      <w:r w:rsidR="00E61625">
        <w:t>measure</w:t>
      </w:r>
      <w:r w:rsidRPr="00D70696">
        <w:t xml:space="preserve"> any correlation between parasite density and cytokine concentrations.</w:t>
      </w:r>
      <w:r w:rsidR="0063492B">
        <w:t xml:space="preserve"> </w:t>
      </w:r>
      <w:r w:rsidR="0063492B">
        <w:rPr>
          <w:highlight w:val="yellow"/>
        </w:rPr>
        <w:t>In this study w</w:t>
      </w:r>
      <w:r w:rsidR="0063492B" w:rsidRPr="0063492B">
        <w:rPr>
          <w:highlight w:val="yellow"/>
        </w:rPr>
        <w:t xml:space="preserve">e hypothesized that IL-10 would be elevated in high </w:t>
      </w:r>
      <w:proofErr w:type="spellStart"/>
      <w:r w:rsidR="0063492B" w:rsidRPr="0063492B">
        <w:rPr>
          <w:highlight w:val="yellow"/>
        </w:rPr>
        <w:t>parasitaemia</w:t>
      </w:r>
      <w:proofErr w:type="spellEnd"/>
      <w:r w:rsidR="0063492B" w:rsidRPr="0063492B">
        <w:rPr>
          <w:highlight w:val="yellow"/>
        </w:rPr>
        <w:t>, while TNF-α and IL-6 would show blunted responses due to immune tolerance.</w:t>
      </w:r>
    </w:p>
    <w:p w14:paraId="7DFB1E77" w14:textId="77777777" w:rsidR="00827A8F" w:rsidRDefault="00827A8F" w:rsidP="009E77D4">
      <w:pPr>
        <w:spacing w:before="100" w:after="100" w:line="276" w:lineRule="auto"/>
        <w:jc w:val="both"/>
        <w:rPr>
          <w:b/>
        </w:rPr>
      </w:pPr>
    </w:p>
    <w:p w14:paraId="5A4C8B6D" w14:textId="78C02291" w:rsidR="003D71BF" w:rsidRPr="00F31D96" w:rsidRDefault="00E643F5" w:rsidP="009E77D4">
      <w:pPr>
        <w:spacing w:before="100" w:after="100" w:line="276" w:lineRule="auto"/>
        <w:jc w:val="both"/>
        <w:rPr>
          <w:b/>
        </w:rPr>
      </w:pPr>
      <w:r w:rsidRPr="00F31D96">
        <w:rPr>
          <w:b/>
        </w:rPr>
        <w:t>Materials and Methods</w:t>
      </w:r>
    </w:p>
    <w:p w14:paraId="458DB987" w14:textId="77777777" w:rsidR="003D71BF" w:rsidRPr="00D70696" w:rsidRDefault="00E643F5" w:rsidP="009E77D4">
      <w:pPr>
        <w:spacing w:before="200" w:after="100" w:line="276" w:lineRule="auto"/>
      </w:pPr>
      <w:r w:rsidRPr="00D70696">
        <w:rPr>
          <w:b/>
          <w:bCs/>
        </w:rPr>
        <w:t>Study Design and Setting</w:t>
      </w:r>
    </w:p>
    <w:p w14:paraId="69133D38" w14:textId="6D0CF196" w:rsidR="003D71BF" w:rsidRPr="00D70696" w:rsidRDefault="00E643F5" w:rsidP="009E77D4">
      <w:pPr>
        <w:spacing w:before="100" w:after="100" w:line="276" w:lineRule="auto"/>
        <w:jc w:val="both"/>
      </w:pPr>
      <w:r w:rsidRPr="00D70696">
        <w:t xml:space="preserve">This was a cross-sectional, hospital-based study conducted from May to August 2020, during the height of the COVID-19 pandemic. The study was carried out at the University of Port Harcourt Primary Health Care Centre, Lulu Briggs Health Centre, located in the south-south geopolitical zone of Nigeria. The </w:t>
      </w:r>
      <w:proofErr w:type="spellStart"/>
      <w:r w:rsidRPr="00D70696">
        <w:t>centre</w:t>
      </w:r>
      <w:proofErr w:type="spellEnd"/>
      <w:r w:rsidRPr="00D70696">
        <w:t xml:space="preserve"> serves a multicultural population comprising students and staff of the University of Port Harcourt and their </w:t>
      </w:r>
      <w:r w:rsidR="00827A8F" w:rsidRPr="00827A8F">
        <w:rPr>
          <w:highlight w:val="yellow"/>
        </w:rPr>
        <w:t>depend</w:t>
      </w:r>
      <w:r w:rsidR="00F353CB">
        <w:rPr>
          <w:highlight w:val="yellow"/>
        </w:rPr>
        <w:t>e</w:t>
      </w:r>
      <w:r w:rsidR="00827A8F" w:rsidRPr="00827A8F">
        <w:rPr>
          <w:highlight w:val="yellow"/>
        </w:rPr>
        <w:t>nts</w:t>
      </w:r>
      <w:r w:rsidRPr="00D70696">
        <w:t>. The study area lies within the Niger Delta region, characterized by a flat topography intersected by r</w:t>
      </w:r>
      <w:r w:rsidR="003B0D85" w:rsidRPr="00D70696">
        <w:t>ivers, creeks, and tributaries,</w:t>
      </w:r>
      <w:r w:rsidRPr="00D70696">
        <w:t xml:space="preserve"> an environment that </w:t>
      </w:r>
      <w:proofErr w:type="spellStart"/>
      <w:r w:rsidRPr="00D70696">
        <w:t>favours</w:t>
      </w:r>
      <w:proofErr w:type="spellEnd"/>
      <w:r w:rsidRPr="00D70696">
        <w:t xml:space="preserve"> prolific breeding of Anopheles mosquito vectors and sustains high-intensity malaria transmission year-round.</w:t>
      </w:r>
    </w:p>
    <w:p w14:paraId="22206AA2" w14:textId="77777777" w:rsidR="003D71BF" w:rsidRPr="00D70696" w:rsidRDefault="00B242E9" w:rsidP="009E77D4">
      <w:pPr>
        <w:spacing w:before="200" w:after="100" w:line="276" w:lineRule="auto"/>
      </w:pPr>
      <w:r>
        <w:rPr>
          <w:b/>
          <w:bCs/>
        </w:rPr>
        <w:t xml:space="preserve">Study </w:t>
      </w:r>
      <w:r w:rsidR="00EF578D">
        <w:rPr>
          <w:b/>
          <w:bCs/>
        </w:rPr>
        <w:t>Sample</w:t>
      </w:r>
    </w:p>
    <w:p w14:paraId="50A781CC" w14:textId="31D788A5" w:rsidR="003D71BF" w:rsidRPr="00D70696" w:rsidRDefault="00E643F5" w:rsidP="009E77D4">
      <w:pPr>
        <w:spacing w:before="100" w:after="100" w:line="276" w:lineRule="auto"/>
        <w:jc w:val="both"/>
      </w:pPr>
      <w:r w:rsidRPr="00D70696">
        <w:t>The study population encompassed all ages and was multicultural, comprising students and staff of the University of Port Harcourt. Investigators did not make direct contact with patients or their relatives; only blood samples submitted to the medical laboratory for rou</w:t>
      </w:r>
      <w:bookmarkStart w:id="0" w:name="_GoBack"/>
      <w:bookmarkEnd w:id="0"/>
      <w:r w:rsidRPr="00D70696">
        <w:t>tine malaria diagnosis were recruited. Patient details were obtained from registration forms accompanying each sample. All patient information was handl</w:t>
      </w:r>
      <w:r w:rsidR="00EE1A0C">
        <w:t>ed with strict confidentiality.</w:t>
      </w:r>
      <w:r w:rsidR="0038050B">
        <w:t xml:space="preserve"> </w:t>
      </w:r>
      <w:r w:rsidR="0038050B" w:rsidRPr="007B06C5">
        <w:rPr>
          <w:highlight w:val="yellow"/>
        </w:rPr>
        <w:t>Patients having co-infections and other diseases such as COVID-19 and other inflammatory diseases had their samples excluded from the study since these conditions could also aff</w:t>
      </w:r>
      <w:r w:rsidR="007B06C5" w:rsidRPr="007B06C5">
        <w:rPr>
          <w:highlight w:val="yellow"/>
        </w:rPr>
        <w:t>ect cytokine levels. Those considered for control were not only malaria free but were also free from other inflammatory conditions. These were assessed from their clinical folders.</w:t>
      </w:r>
    </w:p>
    <w:p w14:paraId="452B4ABF" w14:textId="77777777" w:rsidR="003D71BF" w:rsidRPr="00D70696" w:rsidRDefault="00E643F5" w:rsidP="009E77D4">
      <w:pPr>
        <w:spacing w:before="200" w:after="100" w:line="276" w:lineRule="auto"/>
      </w:pPr>
      <w:r w:rsidRPr="00D70696">
        <w:rPr>
          <w:b/>
          <w:bCs/>
        </w:rPr>
        <w:t>Sample Size and Sampling Method</w:t>
      </w:r>
    </w:p>
    <w:p w14:paraId="28DF60D9" w14:textId="77777777" w:rsidR="003D71BF" w:rsidRPr="00D70696" w:rsidRDefault="00E643F5" w:rsidP="009E77D4">
      <w:pPr>
        <w:spacing w:before="100" w:after="100" w:line="276" w:lineRule="auto"/>
        <w:jc w:val="both"/>
      </w:pPr>
      <w:r w:rsidRPr="00D70696">
        <w:t xml:space="preserve">The sample size was calculated using the formula for estimating proportions as described by Daniel </w:t>
      </w:r>
      <w:r w:rsidR="00A83789">
        <w:t>[17].</w:t>
      </w:r>
    </w:p>
    <w:p w14:paraId="1C93280C" w14:textId="77777777" w:rsidR="003D71BF" w:rsidRPr="00D70696" w:rsidRDefault="00E643F5" w:rsidP="009E77D4">
      <w:pPr>
        <w:spacing w:before="80" w:after="80" w:line="276" w:lineRule="auto"/>
        <w:jc w:val="center"/>
      </w:pPr>
      <w:r w:rsidRPr="00D70696">
        <w:t>N = Z²p(1−p) / d²</w:t>
      </w:r>
    </w:p>
    <w:p w14:paraId="54740536" w14:textId="1484872F" w:rsidR="003D71BF" w:rsidRPr="00D70696" w:rsidRDefault="00E643F5" w:rsidP="009E77D4">
      <w:pPr>
        <w:spacing w:before="100" w:after="100" w:line="276" w:lineRule="auto"/>
        <w:jc w:val="both"/>
      </w:pPr>
      <w:r w:rsidRPr="00D70696">
        <w:t xml:space="preserve">Where N = required sample size; Z = 1.96 (at 95% confidence level); P = 0.43 (malaria prevalence of 43% from </w:t>
      </w:r>
      <w:proofErr w:type="spellStart"/>
      <w:r w:rsidRPr="00D70696">
        <w:t>Wogu</w:t>
      </w:r>
      <w:proofErr w:type="spellEnd"/>
      <w:r w:rsidRPr="00D70696">
        <w:t xml:space="preserve"> and Nduka, </w:t>
      </w:r>
      <w:r w:rsidR="00E445E5">
        <w:t>[18]</w:t>
      </w:r>
      <w:r w:rsidRPr="00D70696">
        <w:t xml:space="preserve">; and d = 0.05 (desired precision). This yielded a minimum sample size of 376. From these, </w:t>
      </w:r>
      <w:r w:rsidRPr="00BD0EAE">
        <w:rPr>
          <w:highlight w:val="yellow"/>
        </w:rPr>
        <w:t>6</w:t>
      </w:r>
      <w:r w:rsidR="00BD0EAE" w:rsidRPr="00BD0EAE">
        <w:rPr>
          <w:highlight w:val="yellow"/>
        </w:rPr>
        <w:t>9</w:t>
      </w:r>
      <w:r w:rsidRPr="00D70696">
        <w:t xml:space="preserve"> samples were selected using random stratified sampling for cytokine analysis and grouped according to parasite load into Negative (n = 49), Moderate </w:t>
      </w:r>
      <w:proofErr w:type="spellStart"/>
      <w:r w:rsidRPr="00D70696">
        <w:t>parasitaemia</w:t>
      </w:r>
      <w:proofErr w:type="spellEnd"/>
      <w:r w:rsidRPr="00D70696">
        <w:t xml:space="preserve"> (n = 6), and High </w:t>
      </w:r>
      <w:proofErr w:type="spellStart"/>
      <w:r w:rsidRPr="00D70696">
        <w:t>parasitaemia</w:t>
      </w:r>
      <w:proofErr w:type="spellEnd"/>
      <w:r w:rsidRPr="00D70696">
        <w:t xml:space="preserve"> (n = 14).</w:t>
      </w:r>
    </w:p>
    <w:p w14:paraId="01F8D2F2" w14:textId="77777777" w:rsidR="003D71BF" w:rsidRPr="00D70696" w:rsidRDefault="00E643F5" w:rsidP="009E77D4">
      <w:pPr>
        <w:spacing w:before="200" w:after="100" w:line="276" w:lineRule="auto"/>
      </w:pPr>
      <w:r w:rsidRPr="00D70696">
        <w:rPr>
          <w:b/>
          <w:bCs/>
        </w:rPr>
        <w:t>Blood Sample Collection and Malaria Diagnosis</w:t>
      </w:r>
    </w:p>
    <w:p w14:paraId="41C137B9" w14:textId="77777777" w:rsidR="003D71BF" w:rsidRPr="00D70696" w:rsidRDefault="00175ECD" w:rsidP="009E77D4">
      <w:pPr>
        <w:spacing w:before="100" w:after="100" w:line="276" w:lineRule="auto"/>
        <w:jc w:val="both"/>
      </w:pPr>
      <w:r>
        <w:t>A total of 376</w:t>
      </w:r>
      <w:r w:rsidR="00E643F5" w:rsidRPr="00D70696">
        <w:t xml:space="preserve"> blood samples were screened for malaria using the </w:t>
      </w:r>
      <w:proofErr w:type="spellStart"/>
      <w:r w:rsidR="00E643F5" w:rsidRPr="00D70696">
        <w:t>CareStart</w:t>
      </w:r>
      <w:proofErr w:type="spellEnd"/>
      <w:r w:rsidR="00E643F5" w:rsidRPr="00D70696">
        <w:t xml:space="preserve"> Malaria HRP2 (</w:t>
      </w:r>
      <w:proofErr w:type="spellStart"/>
      <w:r w:rsidR="00E643F5" w:rsidRPr="00D70696">
        <w:t>Pf</w:t>
      </w:r>
      <w:proofErr w:type="spellEnd"/>
      <w:r w:rsidR="00E643F5" w:rsidRPr="00D70696">
        <w:t>) Rapid Diagnostic Test (RDT) (</w:t>
      </w:r>
      <w:proofErr w:type="spellStart"/>
      <w:r w:rsidR="00E643F5" w:rsidRPr="00D70696">
        <w:t>AccessBio</w:t>
      </w:r>
      <w:proofErr w:type="spellEnd"/>
      <w:r w:rsidR="00E643F5" w:rsidRPr="00D70696">
        <w:t xml:space="preserve">, Inc., USA), following the manufacturer's directions. Peripheral blood films (thick and thin) were prepared for all RDT-positive samples according to </w:t>
      </w:r>
      <w:proofErr w:type="spellStart"/>
      <w:r w:rsidR="00E643F5" w:rsidRPr="00D70696">
        <w:t>Cheesbrough</w:t>
      </w:r>
      <w:proofErr w:type="spellEnd"/>
      <w:r w:rsidR="00E643F5" w:rsidRPr="00D70696">
        <w:t xml:space="preserve"> </w:t>
      </w:r>
      <w:r w:rsidR="00E8409C">
        <w:t>[19]</w:t>
      </w:r>
      <w:r w:rsidR="00E643F5" w:rsidRPr="00D70696">
        <w:t xml:space="preserve">. Films were fixed with methanol and stained with 3% Giemsa stain for 30 </w:t>
      </w:r>
      <w:r w:rsidR="00E643F5" w:rsidRPr="00D70696">
        <w:lastRenderedPageBreak/>
        <w:t xml:space="preserve">minutes </w:t>
      </w:r>
      <w:r w:rsidR="002B1499">
        <w:t>[20]</w:t>
      </w:r>
      <w:r w:rsidR="00E643F5" w:rsidRPr="00D70696">
        <w:t>, then examined under oil immersion microscopy for parasite identification and density quantification.</w:t>
      </w:r>
    </w:p>
    <w:p w14:paraId="2C839BB0" w14:textId="77777777" w:rsidR="00483308" w:rsidRDefault="00E643F5" w:rsidP="009E77D4">
      <w:pPr>
        <w:spacing w:before="100" w:after="100" w:line="276" w:lineRule="auto"/>
        <w:jc w:val="both"/>
      </w:pPr>
      <w:r w:rsidRPr="00D70696">
        <w:t>Parasite density was estimated using the formula: Parasites/µL = Number of parasites × (800</w:t>
      </w:r>
      <w:r w:rsidR="006527E8">
        <w:t>0</w:t>
      </w:r>
      <w:r w:rsidRPr="00D70696">
        <w:t xml:space="preserve"> / Number of WBCs counted) </w:t>
      </w:r>
      <w:r w:rsidR="00F94E50">
        <w:t>[21]</w:t>
      </w:r>
      <w:r w:rsidRPr="00D70696">
        <w:t xml:space="preserve">. </w:t>
      </w:r>
      <w:proofErr w:type="spellStart"/>
      <w:r w:rsidRPr="00D70696">
        <w:t>Parasitaemia</w:t>
      </w:r>
      <w:proofErr w:type="spellEnd"/>
      <w:r w:rsidRPr="00D70696">
        <w:t xml:space="preserve"> categories were defined as: Low (&lt;1,000 parasites/µL), Moderate (&gt;1,000 to &lt;10,000 parasites/µL), and High (≥10,000 parasites/µL), based on the classification by </w:t>
      </w:r>
      <w:proofErr w:type="spellStart"/>
      <w:r w:rsidR="008B62F1" w:rsidRPr="008B62F1">
        <w:t>Wokem</w:t>
      </w:r>
      <w:proofErr w:type="spellEnd"/>
      <w:r w:rsidR="008B62F1" w:rsidRPr="008B62F1">
        <w:t xml:space="preserve"> </w:t>
      </w:r>
      <w:r w:rsidR="008B62F1">
        <w:t>et al. (2021</w:t>
      </w:r>
      <w:r w:rsidRPr="00D70696">
        <w:t>).</w:t>
      </w:r>
    </w:p>
    <w:p w14:paraId="4FF8737F" w14:textId="77777777" w:rsidR="003D71BF" w:rsidRPr="00D70696" w:rsidRDefault="00E643F5" w:rsidP="009E77D4">
      <w:pPr>
        <w:spacing w:before="100" w:after="100" w:line="276" w:lineRule="auto"/>
        <w:jc w:val="both"/>
      </w:pPr>
      <w:r w:rsidRPr="00D70696">
        <w:rPr>
          <w:b/>
          <w:bCs/>
        </w:rPr>
        <w:t>Cytokine Quantification</w:t>
      </w:r>
    </w:p>
    <w:p w14:paraId="0973B0B2" w14:textId="77777777" w:rsidR="003D71BF" w:rsidRPr="00D70696" w:rsidRDefault="00E643F5" w:rsidP="009E77D4">
      <w:pPr>
        <w:spacing w:before="100" w:after="100" w:line="276" w:lineRule="auto"/>
        <w:jc w:val="both"/>
      </w:pPr>
      <w:r w:rsidRPr="00D70696">
        <w:t>For cytokine analysis, whole blood from the 65 recruited samples was centrifuged at 3,000 rpm for 10 minutes. Separated plasma was stored at 4°C until use. Plasma concentrations of IL-6 and TNF-α were quantified using capture ELISA kits (</w:t>
      </w:r>
      <w:proofErr w:type="spellStart"/>
      <w:r w:rsidRPr="00D70696">
        <w:t>Elabscience</w:t>
      </w:r>
      <w:proofErr w:type="spellEnd"/>
      <w:r w:rsidRPr="00D70696">
        <w:t>, USA), while IL-10 was measured using kits from Bioassay Technology Laboratory (Shanghai, China), following the respective manufacturers' instructions. Analysis was conducted at the Department of Chemical Pathology, University of Port Harcourt Teaching Hospital.</w:t>
      </w:r>
    </w:p>
    <w:p w14:paraId="364E632C" w14:textId="77777777" w:rsidR="003D71BF" w:rsidRPr="00D70696" w:rsidRDefault="00E643F5" w:rsidP="009E77D4">
      <w:pPr>
        <w:spacing w:before="100" w:after="100" w:line="276" w:lineRule="auto"/>
        <w:jc w:val="both"/>
      </w:pPr>
      <w:r w:rsidRPr="00D70696">
        <w:t xml:space="preserve">Briefly, 100 µL of standards, controls, and samples were added to </w:t>
      </w:r>
      <w:proofErr w:type="spellStart"/>
      <w:r w:rsidRPr="00D70696">
        <w:t>microtitre</w:t>
      </w:r>
      <w:proofErr w:type="spellEnd"/>
      <w:r w:rsidRPr="00D70696">
        <w:t xml:space="preserve"> plate wells and incubated at 37°C for 90 minutes. Following four washes, 100 µL of biotinylated detector antibody was added and incubated for 60 minutes at 37°C. After further washes, 100 µL of Avidin-Biotin-Peroxidase Complex (ABC) was added and incubated for 30 minutes, followed by 100 µL of substrate solution for 20 minutes. The reaction was stopped with 100 µL stop solution, and optical density was read at 450 nm (reference: 630 nm) using a microplate spectrophotometric reader. All samples were assayed in duplicate and diluted 1:2; concentrations were adjusted by the dilution factor.</w:t>
      </w:r>
    </w:p>
    <w:p w14:paraId="783F65E6" w14:textId="77777777" w:rsidR="003D71BF" w:rsidRPr="00D70696" w:rsidRDefault="00E643F5" w:rsidP="009E77D4">
      <w:pPr>
        <w:spacing w:before="200" w:after="100" w:line="276" w:lineRule="auto"/>
      </w:pPr>
      <w:r w:rsidRPr="00D70696">
        <w:rPr>
          <w:b/>
          <w:bCs/>
        </w:rPr>
        <w:t>Statistical Analysis</w:t>
      </w:r>
    </w:p>
    <w:p w14:paraId="33351D5E" w14:textId="0AF43ADC" w:rsidR="003D71BF" w:rsidRDefault="00E643F5" w:rsidP="009E77D4">
      <w:pPr>
        <w:spacing w:before="100" w:after="100" w:line="276" w:lineRule="auto"/>
        <w:jc w:val="both"/>
      </w:pPr>
      <w:r w:rsidRPr="00D70696">
        <w:t xml:space="preserve">Data are presented as mean ± standard deviation. Differences in cytokine concentrations </w:t>
      </w:r>
      <w:r w:rsidR="009006C2">
        <w:rPr>
          <w:highlight w:val="yellow"/>
        </w:rPr>
        <w:t>among</w:t>
      </w:r>
      <w:r w:rsidRPr="003C42AF">
        <w:rPr>
          <w:highlight w:val="yellow"/>
        </w:rPr>
        <w:t xml:space="preserve"> the t</w:t>
      </w:r>
      <w:r w:rsidR="009006C2">
        <w:rPr>
          <w:highlight w:val="yellow"/>
        </w:rPr>
        <w:t>hree</w:t>
      </w:r>
      <w:r w:rsidRPr="003C42AF">
        <w:rPr>
          <w:highlight w:val="yellow"/>
        </w:rPr>
        <w:t xml:space="preserve"> groups</w:t>
      </w:r>
      <w:r w:rsidRPr="00D70696">
        <w:t xml:space="preserve"> (</w:t>
      </w:r>
      <w:r w:rsidR="009006C2">
        <w:t xml:space="preserve">Negative, </w:t>
      </w:r>
      <w:r w:rsidRPr="00D70696">
        <w:t xml:space="preserve">Moderate and High </w:t>
      </w:r>
      <w:proofErr w:type="spellStart"/>
      <w:r w:rsidRPr="00D70696">
        <w:t>parasitaemia</w:t>
      </w:r>
      <w:proofErr w:type="spellEnd"/>
      <w:r w:rsidRPr="00D70696">
        <w:t xml:space="preserve">) were assessed by </w:t>
      </w:r>
      <w:r w:rsidR="009006C2" w:rsidRPr="009006C2">
        <w:rPr>
          <w:highlight w:val="yellow"/>
        </w:rPr>
        <w:t>One-way ANOVA</w:t>
      </w:r>
      <w:r w:rsidRPr="00D70696">
        <w:t xml:space="preserve">. </w:t>
      </w:r>
      <w:r w:rsidR="002B70BA" w:rsidRPr="002B70BA">
        <w:rPr>
          <w:highlight w:val="yellow"/>
        </w:rPr>
        <w:t>P</w:t>
      </w:r>
      <w:r w:rsidRPr="002B70BA">
        <w:rPr>
          <w:highlight w:val="yellow"/>
        </w:rPr>
        <w:t>ear</w:t>
      </w:r>
      <w:r w:rsidR="002B70BA" w:rsidRPr="002B70BA">
        <w:rPr>
          <w:highlight w:val="yellow"/>
        </w:rPr>
        <w:t>son</w:t>
      </w:r>
      <w:r w:rsidRPr="002B70BA">
        <w:rPr>
          <w:highlight w:val="yellow"/>
        </w:rPr>
        <w:t>'s</w:t>
      </w:r>
      <w:r w:rsidRPr="00D70696">
        <w:t xml:space="preserve"> correlation coefficient was used to assess the association between </w:t>
      </w:r>
      <w:proofErr w:type="spellStart"/>
      <w:r w:rsidRPr="00D70696">
        <w:t>parasitaemia</w:t>
      </w:r>
      <w:proofErr w:type="spellEnd"/>
      <w:r w:rsidRPr="00D70696">
        <w:t xml:space="preserve"> levels and plasma cytokine concentrations. All analyses were performed using SPSS version 25.0. Statistical significance was set at p &lt; 0.05.</w:t>
      </w:r>
    </w:p>
    <w:p w14:paraId="06EB6277" w14:textId="77777777" w:rsidR="003F7F6D" w:rsidRDefault="003F7F6D" w:rsidP="009E77D4">
      <w:pPr>
        <w:spacing w:before="100" w:after="100" w:line="276" w:lineRule="auto"/>
        <w:jc w:val="both"/>
      </w:pPr>
    </w:p>
    <w:p w14:paraId="0F2D1334" w14:textId="77777777" w:rsidR="003D71BF" w:rsidRPr="003F7F6D" w:rsidRDefault="00E643F5" w:rsidP="009E77D4">
      <w:pPr>
        <w:spacing w:before="100" w:after="100" w:line="276" w:lineRule="auto"/>
        <w:jc w:val="both"/>
        <w:rPr>
          <w:b/>
        </w:rPr>
      </w:pPr>
      <w:r w:rsidRPr="003F7F6D">
        <w:rPr>
          <w:b/>
        </w:rPr>
        <w:t>Results</w:t>
      </w:r>
    </w:p>
    <w:p w14:paraId="4F465D30" w14:textId="1F8A692A" w:rsidR="003D71BF" w:rsidRPr="00D70696" w:rsidRDefault="00E643F5" w:rsidP="009E77D4">
      <w:pPr>
        <w:spacing w:before="200" w:after="100" w:line="276" w:lineRule="auto"/>
      </w:pPr>
      <w:r w:rsidRPr="00D70696">
        <w:rPr>
          <w:b/>
          <w:bCs/>
        </w:rPr>
        <w:t>Demographic Characteristics of Study Participants</w:t>
      </w:r>
    </w:p>
    <w:p w14:paraId="5971EAF1" w14:textId="112204DD" w:rsidR="003D71BF" w:rsidRPr="00D70696" w:rsidRDefault="002609DC" w:rsidP="009E77D4">
      <w:pPr>
        <w:spacing w:before="100" w:after="100" w:line="276" w:lineRule="auto"/>
        <w:jc w:val="both"/>
      </w:pPr>
      <w:r>
        <w:t>A total of 376</w:t>
      </w:r>
      <w:r w:rsidR="00E643F5" w:rsidRPr="00D70696">
        <w:t xml:space="preserve"> patients were enrolled in this study, comprising 172 males and 203 females. Ages ranged from 0 to over 60 years and were categorized into five groups: 0–14 years (n = 2), 15–29 years (n = 101), 30–44 years (n = 115), 45–59 years (n = 130), and ≥60 years (n = 28). The demographic distribution across </w:t>
      </w:r>
      <w:proofErr w:type="spellStart"/>
      <w:r w:rsidR="00E643F5" w:rsidRPr="00D70696">
        <w:t>parasitaemia</w:t>
      </w:r>
      <w:proofErr w:type="spellEnd"/>
      <w:r w:rsidR="00E643F5" w:rsidRPr="00D70696">
        <w:t xml:space="preserve"> groups is presented in </w:t>
      </w:r>
      <w:r w:rsidR="00E643F5" w:rsidRPr="00BD4EE2">
        <w:rPr>
          <w:highlight w:val="yellow"/>
        </w:rPr>
        <w:t>Table 1</w:t>
      </w:r>
      <w:r w:rsidR="00E643F5" w:rsidRPr="00D70696">
        <w:t>.</w:t>
      </w:r>
    </w:p>
    <w:p w14:paraId="024F024F" w14:textId="77777777" w:rsidR="003D71BF" w:rsidRDefault="00E643F5" w:rsidP="009E77D4">
      <w:pPr>
        <w:spacing w:before="100" w:after="100" w:line="276" w:lineRule="auto"/>
        <w:jc w:val="both"/>
      </w:pPr>
      <w:r w:rsidRPr="00D70696">
        <w:t xml:space="preserve">Among the Negative group (n = 356), 167 (46.94%) were male and 189 (53.06%) were female, with a mean age of 39.5 years. In the Moderate </w:t>
      </w:r>
      <w:proofErr w:type="spellStart"/>
      <w:r w:rsidRPr="00D70696">
        <w:t>parasitaemia</w:t>
      </w:r>
      <w:proofErr w:type="spellEnd"/>
      <w:r w:rsidRPr="00D70696">
        <w:t xml:space="preserve"> group (n = 6), one participant </w:t>
      </w:r>
      <w:r w:rsidRPr="00D70696">
        <w:lastRenderedPageBreak/>
        <w:t xml:space="preserve">(16.67%) was male and five (83.33%) were female, with a mean age of 31.2 years. The High </w:t>
      </w:r>
      <w:proofErr w:type="spellStart"/>
      <w:r w:rsidRPr="00D70696">
        <w:t>parasitaemia</w:t>
      </w:r>
      <w:proofErr w:type="spellEnd"/>
      <w:r w:rsidRPr="00D70696">
        <w:t xml:space="preserve"> group (n = 14) comprised four males (28.57%) and ten females (71.42%), with a mean age of 26.8 years. Females were thus over-represented in both </w:t>
      </w:r>
      <w:proofErr w:type="spellStart"/>
      <w:r w:rsidRPr="00D70696">
        <w:t>parasitaemia</w:t>
      </w:r>
      <w:proofErr w:type="spellEnd"/>
      <w:r w:rsidRPr="00D70696">
        <w:t>-positive groups.</w:t>
      </w:r>
    </w:p>
    <w:p w14:paraId="2C18539D" w14:textId="77777777" w:rsidR="00D70696" w:rsidRPr="00D70696" w:rsidRDefault="00D70696" w:rsidP="009E77D4">
      <w:pPr>
        <w:spacing w:before="100" w:after="100" w:line="276" w:lineRule="auto"/>
        <w:ind w:firstLine="720"/>
        <w:jc w:val="both"/>
      </w:pPr>
    </w:p>
    <w:p w14:paraId="3C4C6962" w14:textId="77777777" w:rsidR="003D71BF" w:rsidRPr="00D70696" w:rsidRDefault="00B818DC" w:rsidP="009E77D4">
      <w:pPr>
        <w:spacing w:before="160" w:after="60" w:line="276" w:lineRule="auto"/>
      </w:pPr>
      <w:r>
        <w:rPr>
          <w:b/>
          <w:bCs/>
        </w:rPr>
        <w:t>Table 1.</w:t>
      </w:r>
      <w:r w:rsidR="00E643F5" w:rsidRPr="00D70696">
        <w:rPr>
          <w:b/>
          <w:bCs/>
        </w:rPr>
        <w:t xml:space="preserve"> Demographic Data of Study Participants</w:t>
      </w:r>
    </w:p>
    <w:p w14:paraId="5A7399AF" w14:textId="77777777" w:rsidR="00D70696" w:rsidRPr="00D70696" w:rsidRDefault="00D70696" w:rsidP="009E77D4">
      <w:pPr>
        <w:spacing w:line="276" w:lineRule="auto"/>
        <w:jc w:val="both"/>
      </w:pPr>
      <w:r w:rsidRPr="00D70696">
        <w:t xml:space="preserve">Moderate (&gt;1000 &lt;10,000 </w:t>
      </w:r>
      <w:proofErr w:type="spellStart"/>
      <w:r w:rsidRPr="00D70696">
        <w:t>mp</w:t>
      </w:r>
      <w:proofErr w:type="spellEnd"/>
      <w:r w:rsidRPr="00D70696">
        <w:t>/ul of blood)</w:t>
      </w:r>
    </w:p>
    <w:p w14:paraId="1FDBBA8C" w14:textId="77777777" w:rsidR="00D70696" w:rsidRPr="00D70696" w:rsidRDefault="00D70696" w:rsidP="009E77D4">
      <w:pPr>
        <w:spacing w:line="276" w:lineRule="auto"/>
        <w:jc w:val="both"/>
      </w:pPr>
      <w:r w:rsidRPr="00D70696">
        <w:t xml:space="preserve">High (10,000 and above </w:t>
      </w:r>
      <w:proofErr w:type="spellStart"/>
      <w:r w:rsidRPr="00D70696">
        <w:t>mp</w:t>
      </w:r>
      <w:proofErr w:type="spellEnd"/>
      <w:r w:rsidRPr="00D70696">
        <w:t>/ul of blood)</w:t>
      </w:r>
    </w:p>
    <w:p w14:paraId="4B905CE2" w14:textId="77777777" w:rsidR="00D70696" w:rsidRPr="00D70696" w:rsidRDefault="00D70696" w:rsidP="009E77D4">
      <w:pPr>
        <w:spacing w:line="276" w:lineRule="auto"/>
        <w:jc w:val="both"/>
        <w:rPr>
          <w:b/>
          <w:bCs/>
        </w:rPr>
      </w:pPr>
    </w:p>
    <w:tbl>
      <w:tblPr>
        <w:tblW w:w="7200" w:type="dxa"/>
        <w:tblInd w:w="108" w:type="dxa"/>
        <w:tblBorders>
          <w:top w:val="single" w:sz="4" w:space="0" w:color="auto"/>
          <w:bottom w:val="single" w:sz="4" w:space="0" w:color="auto"/>
        </w:tblBorders>
        <w:tblLayout w:type="fixed"/>
        <w:tblLook w:val="04A0" w:firstRow="1" w:lastRow="0" w:firstColumn="1" w:lastColumn="0" w:noHBand="0" w:noVBand="1"/>
      </w:tblPr>
      <w:tblGrid>
        <w:gridCol w:w="1440"/>
        <w:gridCol w:w="720"/>
        <w:gridCol w:w="2070"/>
        <w:gridCol w:w="1440"/>
        <w:gridCol w:w="1530"/>
      </w:tblGrid>
      <w:tr w:rsidR="00D70696" w:rsidRPr="00D70696" w14:paraId="2FE24BEE" w14:textId="77777777" w:rsidTr="00D70696">
        <w:tc>
          <w:tcPr>
            <w:tcW w:w="1440" w:type="dxa"/>
            <w:tcBorders>
              <w:top w:val="single" w:sz="4" w:space="0" w:color="auto"/>
              <w:bottom w:val="single" w:sz="4" w:space="0" w:color="auto"/>
            </w:tcBorders>
          </w:tcPr>
          <w:p w14:paraId="7C4823A3" w14:textId="77777777" w:rsidR="00D70696" w:rsidRPr="00D70696" w:rsidRDefault="00D70696" w:rsidP="009E77D4">
            <w:pPr>
              <w:spacing w:line="276" w:lineRule="auto"/>
              <w:jc w:val="both"/>
              <w:rPr>
                <w:b/>
              </w:rPr>
            </w:pPr>
            <w:r w:rsidRPr="00D70696">
              <w:rPr>
                <w:b/>
              </w:rPr>
              <w:t>Variables</w:t>
            </w:r>
          </w:p>
        </w:tc>
        <w:tc>
          <w:tcPr>
            <w:tcW w:w="720" w:type="dxa"/>
            <w:tcBorders>
              <w:top w:val="single" w:sz="4" w:space="0" w:color="auto"/>
              <w:bottom w:val="single" w:sz="4" w:space="0" w:color="auto"/>
            </w:tcBorders>
          </w:tcPr>
          <w:p w14:paraId="768C26BD" w14:textId="77777777" w:rsidR="00D70696" w:rsidRPr="00D70696" w:rsidRDefault="00D70696" w:rsidP="009E77D4">
            <w:pPr>
              <w:spacing w:line="276" w:lineRule="auto"/>
              <w:jc w:val="both"/>
              <w:rPr>
                <w:b/>
              </w:rPr>
            </w:pPr>
          </w:p>
          <w:p w14:paraId="79B70AAE" w14:textId="77777777" w:rsidR="00D70696" w:rsidRPr="00D70696" w:rsidRDefault="00D70696" w:rsidP="009E77D4">
            <w:pPr>
              <w:spacing w:line="276" w:lineRule="auto"/>
              <w:jc w:val="both"/>
              <w:rPr>
                <w:b/>
              </w:rPr>
            </w:pPr>
          </w:p>
        </w:tc>
        <w:tc>
          <w:tcPr>
            <w:tcW w:w="2070" w:type="dxa"/>
            <w:tcBorders>
              <w:top w:val="single" w:sz="4" w:space="0" w:color="auto"/>
              <w:bottom w:val="single" w:sz="4" w:space="0" w:color="auto"/>
            </w:tcBorders>
          </w:tcPr>
          <w:p w14:paraId="7E21B64F" w14:textId="77777777" w:rsidR="00D70696" w:rsidRPr="00D70696" w:rsidRDefault="00D70696" w:rsidP="009E77D4">
            <w:pPr>
              <w:spacing w:line="276" w:lineRule="auto"/>
              <w:jc w:val="both"/>
              <w:rPr>
                <w:b/>
              </w:rPr>
            </w:pPr>
            <w:r w:rsidRPr="00D70696">
              <w:rPr>
                <w:b/>
              </w:rPr>
              <w:t xml:space="preserve">Negative </w:t>
            </w:r>
          </w:p>
          <w:p w14:paraId="6E5BF3B3" w14:textId="38248875" w:rsidR="00D70696" w:rsidRPr="00D70696" w:rsidRDefault="00D70696" w:rsidP="009E77D4">
            <w:pPr>
              <w:spacing w:line="276" w:lineRule="auto"/>
              <w:jc w:val="both"/>
              <w:rPr>
                <w:b/>
              </w:rPr>
            </w:pPr>
            <w:r w:rsidRPr="00D70696">
              <w:rPr>
                <w:b/>
              </w:rPr>
              <w:t>(n = 356)</w:t>
            </w:r>
          </w:p>
        </w:tc>
        <w:tc>
          <w:tcPr>
            <w:tcW w:w="1440" w:type="dxa"/>
            <w:tcBorders>
              <w:top w:val="single" w:sz="4" w:space="0" w:color="auto"/>
              <w:bottom w:val="single" w:sz="4" w:space="0" w:color="auto"/>
            </w:tcBorders>
          </w:tcPr>
          <w:p w14:paraId="58A115BC" w14:textId="77777777" w:rsidR="00D70696" w:rsidRPr="00D70696" w:rsidRDefault="00D70696" w:rsidP="009E77D4">
            <w:pPr>
              <w:spacing w:line="276" w:lineRule="auto"/>
              <w:jc w:val="both"/>
              <w:rPr>
                <w:b/>
              </w:rPr>
            </w:pPr>
            <w:r w:rsidRPr="00D70696">
              <w:rPr>
                <w:b/>
              </w:rPr>
              <w:t>Moderate</w:t>
            </w:r>
          </w:p>
          <w:p w14:paraId="36CBA2F1" w14:textId="77777777" w:rsidR="00D70696" w:rsidRPr="00D70696" w:rsidRDefault="00D70696" w:rsidP="009E77D4">
            <w:pPr>
              <w:spacing w:line="276" w:lineRule="auto"/>
              <w:jc w:val="both"/>
              <w:rPr>
                <w:b/>
              </w:rPr>
            </w:pPr>
            <w:r w:rsidRPr="00D70696">
              <w:rPr>
                <w:b/>
              </w:rPr>
              <w:t>(n = 6)</w:t>
            </w:r>
          </w:p>
        </w:tc>
        <w:tc>
          <w:tcPr>
            <w:tcW w:w="1530" w:type="dxa"/>
            <w:tcBorders>
              <w:top w:val="single" w:sz="4" w:space="0" w:color="auto"/>
              <w:bottom w:val="single" w:sz="4" w:space="0" w:color="auto"/>
            </w:tcBorders>
          </w:tcPr>
          <w:p w14:paraId="3D36C2A1" w14:textId="77777777" w:rsidR="00D70696" w:rsidRPr="00D70696" w:rsidRDefault="00D70696" w:rsidP="009E77D4">
            <w:pPr>
              <w:spacing w:line="276" w:lineRule="auto"/>
              <w:jc w:val="both"/>
              <w:rPr>
                <w:b/>
              </w:rPr>
            </w:pPr>
            <w:r w:rsidRPr="00D70696">
              <w:rPr>
                <w:b/>
              </w:rPr>
              <w:t>High</w:t>
            </w:r>
          </w:p>
          <w:p w14:paraId="78D57479" w14:textId="77777777" w:rsidR="00D70696" w:rsidRPr="00D70696" w:rsidRDefault="00D70696" w:rsidP="009E77D4">
            <w:pPr>
              <w:spacing w:line="276" w:lineRule="auto"/>
              <w:jc w:val="both"/>
              <w:rPr>
                <w:b/>
              </w:rPr>
            </w:pPr>
            <w:r w:rsidRPr="00D70696">
              <w:rPr>
                <w:b/>
              </w:rPr>
              <w:t>(n =14)</w:t>
            </w:r>
          </w:p>
        </w:tc>
      </w:tr>
      <w:tr w:rsidR="00D70696" w:rsidRPr="00D70696" w14:paraId="5677FE37" w14:textId="77777777" w:rsidTr="00D70696">
        <w:tc>
          <w:tcPr>
            <w:tcW w:w="1440" w:type="dxa"/>
            <w:tcBorders>
              <w:top w:val="single" w:sz="4" w:space="0" w:color="auto"/>
              <w:bottom w:val="nil"/>
            </w:tcBorders>
          </w:tcPr>
          <w:p w14:paraId="1787BA9C" w14:textId="77777777" w:rsidR="00D70696" w:rsidRPr="00D70696" w:rsidRDefault="00D70696" w:rsidP="009E77D4">
            <w:pPr>
              <w:spacing w:line="276" w:lineRule="auto"/>
              <w:jc w:val="both"/>
            </w:pPr>
            <w:r w:rsidRPr="00D70696">
              <w:t>Gender</w:t>
            </w:r>
          </w:p>
        </w:tc>
        <w:tc>
          <w:tcPr>
            <w:tcW w:w="720" w:type="dxa"/>
            <w:tcBorders>
              <w:top w:val="single" w:sz="4" w:space="0" w:color="auto"/>
              <w:bottom w:val="nil"/>
            </w:tcBorders>
          </w:tcPr>
          <w:p w14:paraId="4D0EC1A5" w14:textId="77777777" w:rsidR="00D70696" w:rsidRPr="00D70696" w:rsidRDefault="00D70696" w:rsidP="009E77D4">
            <w:pPr>
              <w:spacing w:line="276" w:lineRule="auto"/>
              <w:jc w:val="both"/>
            </w:pPr>
          </w:p>
        </w:tc>
        <w:tc>
          <w:tcPr>
            <w:tcW w:w="2070" w:type="dxa"/>
            <w:tcBorders>
              <w:top w:val="single" w:sz="4" w:space="0" w:color="auto"/>
              <w:bottom w:val="nil"/>
            </w:tcBorders>
          </w:tcPr>
          <w:p w14:paraId="4A27C203" w14:textId="77777777" w:rsidR="00D70696" w:rsidRPr="00D70696" w:rsidRDefault="00D70696" w:rsidP="009E77D4">
            <w:pPr>
              <w:spacing w:line="276" w:lineRule="auto"/>
              <w:jc w:val="both"/>
            </w:pPr>
          </w:p>
        </w:tc>
        <w:tc>
          <w:tcPr>
            <w:tcW w:w="1440" w:type="dxa"/>
            <w:tcBorders>
              <w:top w:val="single" w:sz="4" w:space="0" w:color="auto"/>
              <w:bottom w:val="nil"/>
            </w:tcBorders>
          </w:tcPr>
          <w:p w14:paraId="724ADC95" w14:textId="77777777" w:rsidR="00D70696" w:rsidRPr="00D70696" w:rsidRDefault="00D70696" w:rsidP="009E77D4">
            <w:pPr>
              <w:spacing w:line="276" w:lineRule="auto"/>
              <w:jc w:val="both"/>
            </w:pPr>
          </w:p>
        </w:tc>
        <w:tc>
          <w:tcPr>
            <w:tcW w:w="1530" w:type="dxa"/>
            <w:tcBorders>
              <w:top w:val="single" w:sz="4" w:space="0" w:color="auto"/>
              <w:bottom w:val="nil"/>
            </w:tcBorders>
          </w:tcPr>
          <w:p w14:paraId="3CFD24C2" w14:textId="77777777" w:rsidR="00D70696" w:rsidRPr="00D70696" w:rsidRDefault="00D70696" w:rsidP="009E77D4">
            <w:pPr>
              <w:spacing w:line="276" w:lineRule="auto"/>
              <w:jc w:val="both"/>
            </w:pPr>
          </w:p>
        </w:tc>
      </w:tr>
      <w:tr w:rsidR="00D70696" w:rsidRPr="00D70696" w14:paraId="5D9FBBB3" w14:textId="77777777" w:rsidTr="00D70696">
        <w:tc>
          <w:tcPr>
            <w:tcW w:w="1440" w:type="dxa"/>
            <w:tcBorders>
              <w:top w:val="nil"/>
              <w:bottom w:val="nil"/>
            </w:tcBorders>
          </w:tcPr>
          <w:p w14:paraId="546078B8" w14:textId="77777777" w:rsidR="00D70696" w:rsidRPr="00D70696" w:rsidRDefault="00D70696" w:rsidP="009E77D4">
            <w:pPr>
              <w:spacing w:line="276" w:lineRule="auto"/>
              <w:jc w:val="both"/>
            </w:pPr>
            <w:r w:rsidRPr="00D70696">
              <w:t>Male</w:t>
            </w:r>
          </w:p>
        </w:tc>
        <w:tc>
          <w:tcPr>
            <w:tcW w:w="720" w:type="dxa"/>
            <w:tcBorders>
              <w:top w:val="nil"/>
              <w:bottom w:val="nil"/>
            </w:tcBorders>
          </w:tcPr>
          <w:p w14:paraId="14040489" w14:textId="77777777" w:rsidR="00D70696" w:rsidRPr="00D70696" w:rsidRDefault="00D70696" w:rsidP="009E77D4">
            <w:pPr>
              <w:spacing w:line="276" w:lineRule="auto"/>
              <w:jc w:val="both"/>
            </w:pPr>
          </w:p>
        </w:tc>
        <w:tc>
          <w:tcPr>
            <w:tcW w:w="2070" w:type="dxa"/>
            <w:tcBorders>
              <w:top w:val="nil"/>
              <w:bottom w:val="nil"/>
            </w:tcBorders>
          </w:tcPr>
          <w:p w14:paraId="792EBF80" w14:textId="77777777" w:rsidR="00D70696" w:rsidRPr="00D70696" w:rsidRDefault="00D70696" w:rsidP="009E77D4">
            <w:pPr>
              <w:spacing w:line="276" w:lineRule="auto"/>
              <w:jc w:val="both"/>
            </w:pPr>
            <w:r w:rsidRPr="00D70696">
              <w:t>167 (46.94)</w:t>
            </w:r>
          </w:p>
        </w:tc>
        <w:tc>
          <w:tcPr>
            <w:tcW w:w="1440" w:type="dxa"/>
            <w:tcBorders>
              <w:top w:val="nil"/>
              <w:bottom w:val="nil"/>
            </w:tcBorders>
          </w:tcPr>
          <w:p w14:paraId="1175997F" w14:textId="77777777" w:rsidR="00D70696" w:rsidRPr="00D70696" w:rsidRDefault="00D70696" w:rsidP="009E77D4">
            <w:pPr>
              <w:spacing w:line="276" w:lineRule="auto"/>
              <w:jc w:val="both"/>
            </w:pPr>
            <w:r w:rsidRPr="00D70696">
              <w:t>1 (16.6)</w:t>
            </w:r>
          </w:p>
        </w:tc>
        <w:tc>
          <w:tcPr>
            <w:tcW w:w="1530" w:type="dxa"/>
            <w:tcBorders>
              <w:top w:val="nil"/>
              <w:bottom w:val="nil"/>
            </w:tcBorders>
          </w:tcPr>
          <w:p w14:paraId="678E6AAF" w14:textId="77777777" w:rsidR="00D70696" w:rsidRPr="00D70696" w:rsidRDefault="00D70696" w:rsidP="009E77D4">
            <w:pPr>
              <w:spacing w:line="276" w:lineRule="auto"/>
              <w:jc w:val="both"/>
            </w:pPr>
            <w:r w:rsidRPr="00D70696">
              <w:t>4 (28.57)</w:t>
            </w:r>
          </w:p>
        </w:tc>
      </w:tr>
      <w:tr w:rsidR="00D70696" w:rsidRPr="00D70696" w14:paraId="404C4E86" w14:textId="77777777" w:rsidTr="00D70696">
        <w:tc>
          <w:tcPr>
            <w:tcW w:w="1440" w:type="dxa"/>
            <w:tcBorders>
              <w:top w:val="nil"/>
              <w:bottom w:val="nil"/>
            </w:tcBorders>
          </w:tcPr>
          <w:p w14:paraId="53F0B318" w14:textId="77777777" w:rsidR="00D70696" w:rsidRPr="00D70696" w:rsidRDefault="00D70696" w:rsidP="009E77D4">
            <w:pPr>
              <w:spacing w:line="276" w:lineRule="auto"/>
              <w:jc w:val="both"/>
            </w:pPr>
            <w:r w:rsidRPr="00D70696">
              <w:t>Female</w:t>
            </w:r>
          </w:p>
        </w:tc>
        <w:tc>
          <w:tcPr>
            <w:tcW w:w="720" w:type="dxa"/>
            <w:tcBorders>
              <w:top w:val="nil"/>
              <w:bottom w:val="nil"/>
            </w:tcBorders>
          </w:tcPr>
          <w:p w14:paraId="54137D3A" w14:textId="77777777" w:rsidR="00D70696" w:rsidRPr="00D70696" w:rsidRDefault="00D70696" w:rsidP="009E77D4">
            <w:pPr>
              <w:spacing w:line="276" w:lineRule="auto"/>
              <w:jc w:val="both"/>
            </w:pPr>
          </w:p>
        </w:tc>
        <w:tc>
          <w:tcPr>
            <w:tcW w:w="2070" w:type="dxa"/>
            <w:tcBorders>
              <w:top w:val="nil"/>
              <w:bottom w:val="nil"/>
            </w:tcBorders>
          </w:tcPr>
          <w:p w14:paraId="0AB80E4A" w14:textId="77777777" w:rsidR="00D70696" w:rsidRPr="00D70696" w:rsidRDefault="00D70696" w:rsidP="009E77D4">
            <w:pPr>
              <w:spacing w:line="276" w:lineRule="auto"/>
              <w:jc w:val="both"/>
            </w:pPr>
            <w:r w:rsidRPr="00D70696">
              <w:t>189 (53.06)</w:t>
            </w:r>
          </w:p>
        </w:tc>
        <w:tc>
          <w:tcPr>
            <w:tcW w:w="1440" w:type="dxa"/>
            <w:tcBorders>
              <w:top w:val="nil"/>
              <w:bottom w:val="nil"/>
            </w:tcBorders>
          </w:tcPr>
          <w:p w14:paraId="5208D5CB" w14:textId="77777777" w:rsidR="00D70696" w:rsidRPr="00D70696" w:rsidRDefault="00D70696" w:rsidP="009E77D4">
            <w:pPr>
              <w:spacing w:line="276" w:lineRule="auto"/>
              <w:jc w:val="both"/>
            </w:pPr>
            <w:r w:rsidRPr="00D70696">
              <w:t>5 (83.3)</w:t>
            </w:r>
          </w:p>
        </w:tc>
        <w:tc>
          <w:tcPr>
            <w:tcW w:w="1530" w:type="dxa"/>
            <w:tcBorders>
              <w:top w:val="nil"/>
              <w:bottom w:val="nil"/>
            </w:tcBorders>
          </w:tcPr>
          <w:p w14:paraId="37FEAD54" w14:textId="77777777" w:rsidR="00D70696" w:rsidRPr="00D70696" w:rsidRDefault="00D70696" w:rsidP="009E77D4">
            <w:pPr>
              <w:spacing w:line="276" w:lineRule="auto"/>
              <w:jc w:val="both"/>
            </w:pPr>
            <w:r w:rsidRPr="00D70696">
              <w:t>10 (71.42)</w:t>
            </w:r>
          </w:p>
        </w:tc>
      </w:tr>
      <w:tr w:rsidR="00D70696" w:rsidRPr="00D70696" w14:paraId="3BBEECDE" w14:textId="77777777" w:rsidTr="00D70696">
        <w:trPr>
          <w:trHeight w:val="87"/>
        </w:trPr>
        <w:tc>
          <w:tcPr>
            <w:tcW w:w="1440" w:type="dxa"/>
            <w:tcBorders>
              <w:top w:val="nil"/>
              <w:bottom w:val="single" w:sz="4" w:space="0" w:color="auto"/>
            </w:tcBorders>
          </w:tcPr>
          <w:p w14:paraId="4A6D50CE" w14:textId="77777777" w:rsidR="00D70696" w:rsidRPr="00D70696" w:rsidRDefault="00D70696" w:rsidP="009E77D4">
            <w:pPr>
              <w:spacing w:line="276" w:lineRule="auto"/>
              <w:jc w:val="both"/>
            </w:pPr>
          </w:p>
        </w:tc>
        <w:tc>
          <w:tcPr>
            <w:tcW w:w="720" w:type="dxa"/>
            <w:tcBorders>
              <w:top w:val="nil"/>
              <w:bottom w:val="single" w:sz="4" w:space="0" w:color="auto"/>
            </w:tcBorders>
          </w:tcPr>
          <w:p w14:paraId="5EC1DEC7" w14:textId="77777777" w:rsidR="00D70696" w:rsidRPr="00D70696" w:rsidRDefault="00D70696" w:rsidP="009E77D4">
            <w:pPr>
              <w:spacing w:line="276" w:lineRule="auto"/>
              <w:jc w:val="both"/>
            </w:pPr>
          </w:p>
        </w:tc>
        <w:tc>
          <w:tcPr>
            <w:tcW w:w="2070" w:type="dxa"/>
            <w:tcBorders>
              <w:top w:val="nil"/>
              <w:bottom w:val="single" w:sz="4" w:space="0" w:color="auto"/>
            </w:tcBorders>
          </w:tcPr>
          <w:p w14:paraId="4E8C605E" w14:textId="77777777" w:rsidR="00D70696" w:rsidRPr="00D70696" w:rsidRDefault="00D70696" w:rsidP="009E77D4">
            <w:pPr>
              <w:spacing w:line="276" w:lineRule="auto"/>
              <w:jc w:val="both"/>
            </w:pPr>
          </w:p>
        </w:tc>
        <w:tc>
          <w:tcPr>
            <w:tcW w:w="1440" w:type="dxa"/>
            <w:tcBorders>
              <w:top w:val="nil"/>
              <w:bottom w:val="single" w:sz="4" w:space="0" w:color="auto"/>
            </w:tcBorders>
          </w:tcPr>
          <w:p w14:paraId="7A59DB73" w14:textId="77777777" w:rsidR="00D70696" w:rsidRPr="00D70696" w:rsidRDefault="00D70696" w:rsidP="009E77D4">
            <w:pPr>
              <w:spacing w:line="276" w:lineRule="auto"/>
              <w:jc w:val="both"/>
            </w:pPr>
          </w:p>
        </w:tc>
        <w:tc>
          <w:tcPr>
            <w:tcW w:w="1530" w:type="dxa"/>
            <w:tcBorders>
              <w:top w:val="nil"/>
              <w:bottom w:val="single" w:sz="4" w:space="0" w:color="auto"/>
            </w:tcBorders>
          </w:tcPr>
          <w:p w14:paraId="6444BACB" w14:textId="77777777" w:rsidR="00D70696" w:rsidRPr="00D70696" w:rsidRDefault="00D70696" w:rsidP="009E77D4">
            <w:pPr>
              <w:spacing w:line="276" w:lineRule="auto"/>
              <w:jc w:val="both"/>
            </w:pPr>
          </w:p>
        </w:tc>
      </w:tr>
      <w:tr w:rsidR="00D70696" w:rsidRPr="00D70696" w14:paraId="249601A2" w14:textId="77777777" w:rsidTr="00D70696">
        <w:tc>
          <w:tcPr>
            <w:tcW w:w="1440" w:type="dxa"/>
            <w:tcBorders>
              <w:top w:val="single" w:sz="4" w:space="0" w:color="auto"/>
              <w:bottom w:val="nil"/>
            </w:tcBorders>
          </w:tcPr>
          <w:p w14:paraId="2691C270" w14:textId="77777777" w:rsidR="00D70696" w:rsidRPr="00D70696" w:rsidRDefault="00D70696" w:rsidP="009E77D4">
            <w:pPr>
              <w:spacing w:line="276" w:lineRule="auto"/>
              <w:jc w:val="both"/>
            </w:pPr>
            <w:r w:rsidRPr="00D70696">
              <w:t>Age Group (years)</w:t>
            </w:r>
          </w:p>
        </w:tc>
        <w:tc>
          <w:tcPr>
            <w:tcW w:w="720" w:type="dxa"/>
            <w:tcBorders>
              <w:top w:val="single" w:sz="4" w:space="0" w:color="auto"/>
              <w:bottom w:val="nil"/>
            </w:tcBorders>
          </w:tcPr>
          <w:p w14:paraId="40DD0899" w14:textId="77777777" w:rsidR="00D70696" w:rsidRPr="00D70696" w:rsidRDefault="00D70696" w:rsidP="009E77D4">
            <w:pPr>
              <w:spacing w:line="276" w:lineRule="auto"/>
              <w:jc w:val="both"/>
            </w:pPr>
          </w:p>
        </w:tc>
        <w:tc>
          <w:tcPr>
            <w:tcW w:w="2070" w:type="dxa"/>
            <w:tcBorders>
              <w:top w:val="single" w:sz="4" w:space="0" w:color="auto"/>
              <w:bottom w:val="nil"/>
            </w:tcBorders>
          </w:tcPr>
          <w:p w14:paraId="7A9F9B1D" w14:textId="77777777" w:rsidR="00D70696" w:rsidRPr="00D70696" w:rsidRDefault="00D70696" w:rsidP="009E77D4">
            <w:pPr>
              <w:spacing w:line="276" w:lineRule="auto"/>
              <w:jc w:val="both"/>
            </w:pPr>
          </w:p>
        </w:tc>
        <w:tc>
          <w:tcPr>
            <w:tcW w:w="1440" w:type="dxa"/>
            <w:tcBorders>
              <w:top w:val="single" w:sz="4" w:space="0" w:color="auto"/>
              <w:bottom w:val="nil"/>
            </w:tcBorders>
          </w:tcPr>
          <w:p w14:paraId="580E96F4" w14:textId="77777777" w:rsidR="00D70696" w:rsidRPr="00D70696" w:rsidRDefault="00D70696" w:rsidP="009E77D4">
            <w:pPr>
              <w:spacing w:line="276" w:lineRule="auto"/>
              <w:jc w:val="both"/>
            </w:pPr>
          </w:p>
        </w:tc>
        <w:tc>
          <w:tcPr>
            <w:tcW w:w="1530" w:type="dxa"/>
            <w:tcBorders>
              <w:top w:val="single" w:sz="4" w:space="0" w:color="auto"/>
              <w:bottom w:val="nil"/>
            </w:tcBorders>
          </w:tcPr>
          <w:p w14:paraId="42C1EC60" w14:textId="77777777" w:rsidR="00D70696" w:rsidRPr="00D70696" w:rsidRDefault="00D70696" w:rsidP="009E77D4">
            <w:pPr>
              <w:spacing w:line="276" w:lineRule="auto"/>
              <w:jc w:val="both"/>
            </w:pPr>
          </w:p>
        </w:tc>
      </w:tr>
      <w:tr w:rsidR="00D70696" w:rsidRPr="00D70696" w14:paraId="5A45547F" w14:textId="77777777" w:rsidTr="00D70696">
        <w:tc>
          <w:tcPr>
            <w:tcW w:w="1440" w:type="dxa"/>
            <w:tcBorders>
              <w:top w:val="nil"/>
              <w:bottom w:val="nil"/>
            </w:tcBorders>
          </w:tcPr>
          <w:p w14:paraId="29C966C4" w14:textId="77777777" w:rsidR="00D70696" w:rsidRPr="00D70696" w:rsidRDefault="00D70696" w:rsidP="009E77D4">
            <w:pPr>
              <w:spacing w:line="276" w:lineRule="auto"/>
              <w:jc w:val="both"/>
            </w:pPr>
            <w:r w:rsidRPr="00D70696">
              <w:t>0—14</w:t>
            </w:r>
          </w:p>
        </w:tc>
        <w:tc>
          <w:tcPr>
            <w:tcW w:w="720" w:type="dxa"/>
            <w:tcBorders>
              <w:top w:val="nil"/>
              <w:bottom w:val="nil"/>
            </w:tcBorders>
          </w:tcPr>
          <w:p w14:paraId="2E78288C" w14:textId="77777777" w:rsidR="00D70696" w:rsidRPr="00D70696" w:rsidRDefault="00D70696" w:rsidP="009E77D4">
            <w:pPr>
              <w:spacing w:line="276" w:lineRule="auto"/>
              <w:jc w:val="both"/>
            </w:pPr>
          </w:p>
        </w:tc>
        <w:tc>
          <w:tcPr>
            <w:tcW w:w="2070" w:type="dxa"/>
            <w:tcBorders>
              <w:top w:val="nil"/>
              <w:bottom w:val="nil"/>
            </w:tcBorders>
          </w:tcPr>
          <w:p w14:paraId="52B8574E" w14:textId="77777777" w:rsidR="00D70696" w:rsidRPr="00D70696" w:rsidRDefault="00D70696" w:rsidP="009E77D4">
            <w:pPr>
              <w:spacing w:line="276" w:lineRule="auto"/>
              <w:jc w:val="both"/>
            </w:pPr>
            <w:r w:rsidRPr="00D70696">
              <w:t>0 (0.00)</w:t>
            </w:r>
          </w:p>
        </w:tc>
        <w:tc>
          <w:tcPr>
            <w:tcW w:w="1440" w:type="dxa"/>
            <w:tcBorders>
              <w:top w:val="nil"/>
              <w:bottom w:val="nil"/>
            </w:tcBorders>
          </w:tcPr>
          <w:p w14:paraId="04FA1A04" w14:textId="77777777" w:rsidR="00D70696" w:rsidRPr="00D70696" w:rsidRDefault="00D70696" w:rsidP="009E77D4">
            <w:pPr>
              <w:spacing w:line="276" w:lineRule="auto"/>
              <w:jc w:val="both"/>
            </w:pPr>
            <w:r w:rsidRPr="00D70696">
              <w:t>0 (0.00)</w:t>
            </w:r>
          </w:p>
        </w:tc>
        <w:tc>
          <w:tcPr>
            <w:tcW w:w="1530" w:type="dxa"/>
            <w:tcBorders>
              <w:top w:val="nil"/>
              <w:bottom w:val="nil"/>
            </w:tcBorders>
          </w:tcPr>
          <w:p w14:paraId="09C4B44B" w14:textId="77777777" w:rsidR="00D70696" w:rsidRPr="00D70696" w:rsidRDefault="00D70696" w:rsidP="009E77D4">
            <w:pPr>
              <w:spacing w:line="276" w:lineRule="auto"/>
              <w:jc w:val="both"/>
            </w:pPr>
            <w:r w:rsidRPr="00D70696">
              <w:t>2 (14.29)</w:t>
            </w:r>
          </w:p>
        </w:tc>
      </w:tr>
      <w:tr w:rsidR="00D70696" w:rsidRPr="00D70696" w14:paraId="3E93C7BD" w14:textId="77777777" w:rsidTr="00D70696">
        <w:tc>
          <w:tcPr>
            <w:tcW w:w="1440" w:type="dxa"/>
            <w:tcBorders>
              <w:top w:val="nil"/>
              <w:bottom w:val="nil"/>
            </w:tcBorders>
          </w:tcPr>
          <w:p w14:paraId="30C76F45" w14:textId="77777777" w:rsidR="00D70696" w:rsidRPr="00D70696" w:rsidRDefault="00D70696" w:rsidP="009E77D4">
            <w:pPr>
              <w:spacing w:line="276" w:lineRule="auto"/>
              <w:jc w:val="both"/>
            </w:pPr>
            <w:r w:rsidRPr="00D70696">
              <w:t>15-29</w:t>
            </w:r>
          </w:p>
        </w:tc>
        <w:tc>
          <w:tcPr>
            <w:tcW w:w="720" w:type="dxa"/>
            <w:tcBorders>
              <w:top w:val="nil"/>
              <w:bottom w:val="nil"/>
            </w:tcBorders>
          </w:tcPr>
          <w:p w14:paraId="6E046974" w14:textId="77777777" w:rsidR="00D70696" w:rsidRPr="00D70696" w:rsidRDefault="00D70696" w:rsidP="009E77D4">
            <w:pPr>
              <w:spacing w:line="276" w:lineRule="auto"/>
              <w:jc w:val="both"/>
            </w:pPr>
          </w:p>
        </w:tc>
        <w:tc>
          <w:tcPr>
            <w:tcW w:w="2070" w:type="dxa"/>
            <w:tcBorders>
              <w:top w:val="nil"/>
              <w:bottom w:val="nil"/>
            </w:tcBorders>
          </w:tcPr>
          <w:p w14:paraId="3A4E7A9B" w14:textId="77777777" w:rsidR="00D70696" w:rsidRPr="00D70696" w:rsidRDefault="00D70696" w:rsidP="009E77D4">
            <w:pPr>
              <w:spacing w:line="276" w:lineRule="auto"/>
              <w:jc w:val="both"/>
            </w:pPr>
            <w:r w:rsidRPr="00D70696">
              <w:t>95 (26.53)</w:t>
            </w:r>
          </w:p>
        </w:tc>
        <w:tc>
          <w:tcPr>
            <w:tcW w:w="1440" w:type="dxa"/>
            <w:tcBorders>
              <w:top w:val="nil"/>
              <w:bottom w:val="nil"/>
            </w:tcBorders>
          </w:tcPr>
          <w:p w14:paraId="6FC262B3" w14:textId="77777777" w:rsidR="00D70696" w:rsidRPr="00D70696" w:rsidRDefault="00D70696" w:rsidP="009E77D4">
            <w:pPr>
              <w:spacing w:line="276" w:lineRule="auto"/>
              <w:jc w:val="both"/>
            </w:pPr>
            <w:r w:rsidRPr="00D70696">
              <w:t>2 (33.33)</w:t>
            </w:r>
          </w:p>
        </w:tc>
        <w:tc>
          <w:tcPr>
            <w:tcW w:w="1530" w:type="dxa"/>
            <w:tcBorders>
              <w:top w:val="nil"/>
              <w:bottom w:val="nil"/>
            </w:tcBorders>
          </w:tcPr>
          <w:p w14:paraId="0F51576E" w14:textId="77777777" w:rsidR="00D70696" w:rsidRPr="00D70696" w:rsidRDefault="00D70696" w:rsidP="009E77D4">
            <w:pPr>
              <w:spacing w:line="276" w:lineRule="auto"/>
              <w:jc w:val="both"/>
            </w:pPr>
            <w:r w:rsidRPr="00D70696">
              <w:t>4 (28.74)</w:t>
            </w:r>
          </w:p>
        </w:tc>
      </w:tr>
      <w:tr w:rsidR="00D70696" w:rsidRPr="00D70696" w14:paraId="7A01C79F" w14:textId="77777777" w:rsidTr="00D70696">
        <w:tc>
          <w:tcPr>
            <w:tcW w:w="1440" w:type="dxa"/>
            <w:tcBorders>
              <w:top w:val="nil"/>
              <w:bottom w:val="nil"/>
            </w:tcBorders>
          </w:tcPr>
          <w:p w14:paraId="46628104" w14:textId="77777777" w:rsidR="00D70696" w:rsidRPr="00D70696" w:rsidRDefault="00D70696" w:rsidP="009E77D4">
            <w:pPr>
              <w:spacing w:line="276" w:lineRule="auto"/>
              <w:jc w:val="both"/>
            </w:pPr>
            <w:r w:rsidRPr="00D70696">
              <w:t>30-44</w:t>
            </w:r>
          </w:p>
        </w:tc>
        <w:tc>
          <w:tcPr>
            <w:tcW w:w="720" w:type="dxa"/>
            <w:tcBorders>
              <w:top w:val="nil"/>
              <w:bottom w:val="nil"/>
            </w:tcBorders>
          </w:tcPr>
          <w:p w14:paraId="4BFC4ABF" w14:textId="77777777" w:rsidR="00D70696" w:rsidRPr="00D70696" w:rsidRDefault="00D70696" w:rsidP="009E77D4">
            <w:pPr>
              <w:spacing w:line="276" w:lineRule="auto"/>
              <w:jc w:val="both"/>
            </w:pPr>
          </w:p>
        </w:tc>
        <w:tc>
          <w:tcPr>
            <w:tcW w:w="2070" w:type="dxa"/>
            <w:tcBorders>
              <w:top w:val="nil"/>
              <w:bottom w:val="nil"/>
            </w:tcBorders>
          </w:tcPr>
          <w:p w14:paraId="28CC687D" w14:textId="77777777" w:rsidR="00D70696" w:rsidRPr="00D70696" w:rsidRDefault="00D70696" w:rsidP="009E77D4">
            <w:pPr>
              <w:spacing w:line="276" w:lineRule="auto"/>
              <w:jc w:val="both"/>
            </w:pPr>
            <w:r w:rsidRPr="00D70696">
              <w:t>109 (30.61)</w:t>
            </w:r>
          </w:p>
        </w:tc>
        <w:tc>
          <w:tcPr>
            <w:tcW w:w="1440" w:type="dxa"/>
            <w:tcBorders>
              <w:top w:val="nil"/>
              <w:bottom w:val="nil"/>
            </w:tcBorders>
          </w:tcPr>
          <w:p w14:paraId="44D15ADA" w14:textId="77777777" w:rsidR="00D70696" w:rsidRPr="00D70696" w:rsidRDefault="00D70696" w:rsidP="009E77D4">
            <w:pPr>
              <w:spacing w:line="276" w:lineRule="auto"/>
              <w:jc w:val="both"/>
            </w:pPr>
            <w:r w:rsidRPr="00D70696">
              <w:t>3 (50.00)</w:t>
            </w:r>
          </w:p>
        </w:tc>
        <w:tc>
          <w:tcPr>
            <w:tcW w:w="1530" w:type="dxa"/>
            <w:tcBorders>
              <w:top w:val="nil"/>
              <w:bottom w:val="nil"/>
            </w:tcBorders>
          </w:tcPr>
          <w:p w14:paraId="2E973610" w14:textId="77777777" w:rsidR="00D70696" w:rsidRPr="00D70696" w:rsidRDefault="00D70696" w:rsidP="009E77D4">
            <w:pPr>
              <w:spacing w:line="276" w:lineRule="auto"/>
              <w:jc w:val="both"/>
            </w:pPr>
            <w:r w:rsidRPr="00D70696">
              <w:t>3 (21.43)</w:t>
            </w:r>
          </w:p>
        </w:tc>
      </w:tr>
      <w:tr w:rsidR="00D70696" w:rsidRPr="00D70696" w14:paraId="589483ED" w14:textId="77777777" w:rsidTr="00D70696">
        <w:tc>
          <w:tcPr>
            <w:tcW w:w="1440" w:type="dxa"/>
            <w:tcBorders>
              <w:top w:val="nil"/>
              <w:bottom w:val="nil"/>
            </w:tcBorders>
          </w:tcPr>
          <w:p w14:paraId="3154075D" w14:textId="77777777" w:rsidR="00D70696" w:rsidRPr="00D70696" w:rsidRDefault="00D70696" w:rsidP="009E77D4">
            <w:pPr>
              <w:spacing w:line="276" w:lineRule="auto"/>
              <w:jc w:val="both"/>
            </w:pPr>
            <w:r w:rsidRPr="00D70696">
              <w:t>45-59</w:t>
            </w:r>
          </w:p>
        </w:tc>
        <w:tc>
          <w:tcPr>
            <w:tcW w:w="720" w:type="dxa"/>
            <w:tcBorders>
              <w:top w:val="nil"/>
              <w:bottom w:val="nil"/>
            </w:tcBorders>
          </w:tcPr>
          <w:p w14:paraId="7FAB4423" w14:textId="77777777" w:rsidR="00D70696" w:rsidRPr="00D70696" w:rsidRDefault="00D70696" w:rsidP="009E77D4">
            <w:pPr>
              <w:spacing w:line="276" w:lineRule="auto"/>
              <w:jc w:val="both"/>
            </w:pPr>
          </w:p>
        </w:tc>
        <w:tc>
          <w:tcPr>
            <w:tcW w:w="2070" w:type="dxa"/>
            <w:tcBorders>
              <w:top w:val="nil"/>
              <w:bottom w:val="nil"/>
            </w:tcBorders>
          </w:tcPr>
          <w:p w14:paraId="6861EC3F" w14:textId="77777777" w:rsidR="00D70696" w:rsidRPr="00D70696" w:rsidRDefault="00D70696" w:rsidP="009E77D4">
            <w:pPr>
              <w:spacing w:line="276" w:lineRule="auto"/>
              <w:jc w:val="both"/>
            </w:pPr>
            <w:r w:rsidRPr="00D70696">
              <w:t>124 (34.69)</w:t>
            </w:r>
          </w:p>
        </w:tc>
        <w:tc>
          <w:tcPr>
            <w:tcW w:w="1440" w:type="dxa"/>
            <w:tcBorders>
              <w:top w:val="nil"/>
              <w:bottom w:val="nil"/>
            </w:tcBorders>
          </w:tcPr>
          <w:p w14:paraId="0FB11EB5" w14:textId="77777777" w:rsidR="00D70696" w:rsidRPr="00D70696" w:rsidRDefault="00D70696" w:rsidP="009E77D4">
            <w:pPr>
              <w:spacing w:line="276" w:lineRule="auto"/>
              <w:jc w:val="both"/>
            </w:pPr>
            <w:r w:rsidRPr="00D70696">
              <w:t>1 (16.66)</w:t>
            </w:r>
          </w:p>
        </w:tc>
        <w:tc>
          <w:tcPr>
            <w:tcW w:w="1530" w:type="dxa"/>
            <w:tcBorders>
              <w:top w:val="nil"/>
              <w:bottom w:val="nil"/>
            </w:tcBorders>
          </w:tcPr>
          <w:p w14:paraId="18F3B5DC" w14:textId="77777777" w:rsidR="00D70696" w:rsidRPr="00D70696" w:rsidRDefault="00D70696" w:rsidP="009E77D4">
            <w:pPr>
              <w:spacing w:line="276" w:lineRule="auto"/>
              <w:jc w:val="both"/>
            </w:pPr>
            <w:r w:rsidRPr="00D70696">
              <w:t>5(35.71)</w:t>
            </w:r>
          </w:p>
        </w:tc>
      </w:tr>
      <w:tr w:rsidR="00D70696" w:rsidRPr="00D70696" w14:paraId="7AD62EB4" w14:textId="77777777" w:rsidTr="00D70696">
        <w:tc>
          <w:tcPr>
            <w:tcW w:w="1440" w:type="dxa"/>
            <w:tcBorders>
              <w:top w:val="nil"/>
              <w:bottom w:val="nil"/>
            </w:tcBorders>
          </w:tcPr>
          <w:p w14:paraId="5495EE1E" w14:textId="77777777" w:rsidR="00D70696" w:rsidRPr="00D70696" w:rsidRDefault="00D70696" w:rsidP="009E77D4">
            <w:pPr>
              <w:spacing w:line="276" w:lineRule="auto"/>
              <w:jc w:val="both"/>
            </w:pPr>
            <w:r w:rsidRPr="00D70696">
              <w:t>≥ 60</w:t>
            </w:r>
          </w:p>
        </w:tc>
        <w:tc>
          <w:tcPr>
            <w:tcW w:w="720" w:type="dxa"/>
            <w:tcBorders>
              <w:top w:val="nil"/>
              <w:bottom w:val="nil"/>
            </w:tcBorders>
          </w:tcPr>
          <w:p w14:paraId="16DCD8A1" w14:textId="77777777" w:rsidR="00D70696" w:rsidRPr="00D70696" w:rsidRDefault="00D70696" w:rsidP="009E77D4">
            <w:pPr>
              <w:spacing w:line="276" w:lineRule="auto"/>
              <w:jc w:val="both"/>
            </w:pPr>
          </w:p>
        </w:tc>
        <w:tc>
          <w:tcPr>
            <w:tcW w:w="2070" w:type="dxa"/>
            <w:tcBorders>
              <w:top w:val="nil"/>
              <w:bottom w:val="nil"/>
            </w:tcBorders>
          </w:tcPr>
          <w:p w14:paraId="316F6943" w14:textId="77777777" w:rsidR="00D70696" w:rsidRPr="00D70696" w:rsidRDefault="00D70696" w:rsidP="009E77D4">
            <w:pPr>
              <w:spacing w:line="276" w:lineRule="auto"/>
              <w:jc w:val="both"/>
            </w:pPr>
            <w:r w:rsidRPr="00D70696">
              <w:t>28 (7.87)</w:t>
            </w:r>
          </w:p>
        </w:tc>
        <w:tc>
          <w:tcPr>
            <w:tcW w:w="1440" w:type="dxa"/>
            <w:tcBorders>
              <w:top w:val="nil"/>
              <w:bottom w:val="nil"/>
            </w:tcBorders>
          </w:tcPr>
          <w:p w14:paraId="1A2601D7" w14:textId="77777777" w:rsidR="00D70696" w:rsidRPr="00D70696" w:rsidRDefault="00D70696" w:rsidP="009E77D4">
            <w:pPr>
              <w:spacing w:line="276" w:lineRule="auto"/>
              <w:jc w:val="both"/>
            </w:pPr>
            <w:r w:rsidRPr="00D70696">
              <w:t>0 (0.00)</w:t>
            </w:r>
          </w:p>
        </w:tc>
        <w:tc>
          <w:tcPr>
            <w:tcW w:w="1530" w:type="dxa"/>
            <w:tcBorders>
              <w:top w:val="nil"/>
              <w:bottom w:val="nil"/>
            </w:tcBorders>
          </w:tcPr>
          <w:p w14:paraId="3F21480F" w14:textId="77777777" w:rsidR="00D70696" w:rsidRPr="00D70696" w:rsidRDefault="00D70696" w:rsidP="009E77D4">
            <w:pPr>
              <w:spacing w:line="276" w:lineRule="auto"/>
              <w:jc w:val="both"/>
            </w:pPr>
            <w:r w:rsidRPr="00D70696">
              <w:t>0 (0.00)</w:t>
            </w:r>
          </w:p>
        </w:tc>
      </w:tr>
      <w:tr w:rsidR="00D70696" w:rsidRPr="00D70696" w14:paraId="746510E7" w14:textId="77777777" w:rsidTr="00D70696">
        <w:tc>
          <w:tcPr>
            <w:tcW w:w="1440" w:type="dxa"/>
            <w:tcBorders>
              <w:top w:val="nil"/>
              <w:bottom w:val="single" w:sz="4" w:space="0" w:color="auto"/>
            </w:tcBorders>
          </w:tcPr>
          <w:p w14:paraId="05CAA5A2" w14:textId="77777777" w:rsidR="00D70696" w:rsidRPr="00D70696" w:rsidRDefault="00D70696" w:rsidP="009E77D4">
            <w:pPr>
              <w:spacing w:line="276" w:lineRule="auto"/>
              <w:jc w:val="both"/>
            </w:pPr>
          </w:p>
        </w:tc>
        <w:tc>
          <w:tcPr>
            <w:tcW w:w="720" w:type="dxa"/>
            <w:tcBorders>
              <w:top w:val="nil"/>
              <w:bottom w:val="single" w:sz="4" w:space="0" w:color="auto"/>
            </w:tcBorders>
          </w:tcPr>
          <w:p w14:paraId="4A40DD3E" w14:textId="77777777" w:rsidR="00D70696" w:rsidRPr="00D70696" w:rsidRDefault="00D70696" w:rsidP="009E77D4">
            <w:pPr>
              <w:spacing w:line="276" w:lineRule="auto"/>
              <w:jc w:val="both"/>
            </w:pPr>
          </w:p>
        </w:tc>
        <w:tc>
          <w:tcPr>
            <w:tcW w:w="2070" w:type="dxa"/>
            <w:tcBorders>
              <w:top w:val="nil"/>
              <w:bottom w:val="single" w:sz="4" w:space="0" w:color="auto"/>
            </w:tcBorders>
          </w:tcPr>
          <w:p w14:paraId="35745F80" w14:textId="77777777" w:rsidR="00D70696" w:rsidRPr="00D70696" w:rsidRDefault="00D70696" w:rsidP="009E77D4">
            <w:pPr>
              <w:spacing w:line="276" w:lineRule="auto"/>
              <w:jc w:val="both"/>
            </w:pPr>
          </w:p>
        </w:tc>
        <w:tc>
          <w:tcPr>
            <w:tcW w:w="1440" w:type="dxa"/>
            <w:tcBorders>
              <w:top w:val="nil"/>
              <w:bottom w:val="single" w:sz="4" w:space="0" w:color="auto"/>
            </w:tcBorders>
          </w:tcPr>
          <w:p w14:paraId="4C809262" w14:textId="77777777" w:rsidR="00D70696" w:rsidRPr="00D70696" w:rsidRDefault="00D70696" w:rsidP="009E77D4">
            <w:pPr>
              <w:spacing w:line="276" w:lineRule="auto"/>
              <w:jc w:val="both"/>
            </w:pPr>
          </w:p>
        </w:tc>
        <w:tc>
          <w:tcPr>
            <w:tcW w:w="1530" w:type="dxa"/>
            <w:tcBorders>
              <w:top w:val="nil"/>
              <w:bottom w:val="single" w:sz="4" w:space="0" w:color="auto"/>
            </w:tcBorders>
          </w:tcPr>
          <w:p w14:paraId="7B7C8E1E" w14:textId="77777777" w:rsidR="00D70696" w:rsidRPr="00D70696" w:rsidRDefault="00D70696" w:rsidP="009E77D4">
            <w:pPr>
              <w:spacing w:line="276" w:lineRule="auto"/>
              <w:jc w:val="both"/>
            </w:pPr>
          </w:p>
        </w:tc>
      </w:tr>
      <w:tr w:rsidR="00D70696" w:rsidRPr="00D70696" w14:paraId="18631D58" w14:textId="77777777" w:rsidTr="00D70696">
        <w:tc>
          <w:tcPr>
            <w:tcW w:w="1440" w:type="dxa"/>
            <w:tcBorders>
              <w:top w:val="single" w:sz="4" w:space="0" w:color="auto"/>
              <w:bottom w:val="single" w:sz="4" w:space="0" w:color="auto"/>
            </w:tcBorders>
          </w:tcPr>
          <w:p w14:paraId="64465F6F" w14:textId="77777777" w:rsidR="00D70696" w:rsidRPr="00D70696" w:rsidRDefault="00D70696" w:rsidP="009E77D4">
            <w:pPr>
              <w:spacing w:line="276" w:lineRule="auto"/>
              <w:jc w:val="both"/>
            </w:pPr>
            <w:r w:rsidRPr="00D70696">
              <w:t>Mean Age (years)</w:t>
            </w:r>
          </w:p>
        </w:tc>
        <w:tc>
          <w:tcPr>
            <w:tcW w:w="720" w:type="dxa"/>
            <w:tcBorders>
              <w:top w:val="single" w:sz="4" w:space="0" w:color="auto"/>
              <w:bottom w:val="single" w:sz="4" w:space="0" w:color="auto"/>
            </w:tcBorders>
          </w:tcPr>
          <w:p w14:paraId="7AC8065A" w14:textId="77777777" w:rsidR="00D70696" w:rsidRPr="00D70696" w:rsidRDefault="00D70696" w:rsidP="009E77D4">
            <w:pPr>
              <w:spacing w:line="276" w:lineRule="auto"/>
              <w:jc w:val="both"/>
            </w:pPr>
          </w:p>
        </w:tc>
        <w:tc>
          <w:tcPr>
            <w:tcW w:w="2070" w:type="dxa"/>
            <w:tcBorders>
              <w:top w:val="single" w:sz="4" w:space="0" w:color="auto"/>
              <w:bottom w:val="single" w:sz="4" w:space="0" w:color="auto"/>
            </w:tcBorders>
          </w:tcPr>
          <w:p w14:paraId="66A8B383" w14:textId="77777777" w:rsidR="00D70696" w:rsidRPr="00D70696" w:rsidRDefault="00D70696" w:rsidP="009E77D4">
            <w:pPr>
              <w:spacing w:line="276" w:lineRule="auto"/>
              <w:jc w:val="both"/>
            </w:pPr>
            <w:r w:rsidRPr="00D70696">
              <w:t>39.5</w:t>
            </w:r>
          </w:p>
        </w:tc>
        <w:tc>
          <w:tcPr>
            <w:tcW w:w="1440" w:type="dxa"/>
            <w:tcBorders>
              <w:top w:val="single" w:sz="4" w:space="0" w:color="auto"/>
              <w:bottom w:val="single" w:sz="4" w:space="0" w:color="auto"/>
            </w:tcBorders>
          </w:tcPr>
          <w:p w14:paraId="70FB9C80" w14:textId="77777777" w:rsidR="00D70696" w:rsidRPr="00D70696" w:rsidRDefault="00D70696" w:rsidP="009E77D4">
            <w:pPr>
              <w:spacing w:line="276" w:lineRule="auto"/>
              <w:jc w:val="both"/>
            </w:pPr>
            <w:r w:rsidRPr="00D70696">
              <w:t>31.2</w:t>
            </w:r>
          </w:p>
        </w:tc>
        <w:tc>
          <w:tcPr>
            <w:tcW w:w="1530" w:type="dxa"/>
            <w:tcBorders>
              <w:top w:val="single" w:sz="4" w:space="0" w:color="auto"/>
              <w:bottom w:val="single" w:sz="4" w:space="0" w:color="auto"/>
            </w:tcBorders>
          </w:tcPr>
          <w:p w14:paraId="7FAFDAA0" w14:textId="77777777" w:rsidR="00D70696" w:rsidRPr="00D70696" w:rsidRDefault="00D70696" w:rsidP="009E77D4">
            <w:pPr>
              <w:spacing w:line="276" w:lineRule="auto"/>
              <w:jc w:val="both"/>
            </w:pPr>
            <w:r w:rsidRPr="00D70696">
              <w:t>26.8</w:t>
            </w:r>
          </w:p>
        </w:tc>
      </w:tr>
    </w:tbl>
    <w:p w14:paraId="2D697E21" w14:textId="77777777" w:rsidR="003D71BF" w:rsidRPr="00D70696" w:rsidRDefault="00E643F5" w:rsidP="009E77D4">
      <w:pPr>
        <w:spacing w:before="80" w:after="160" w:line="276" w:lineRule="auto"/>
      </w:pPr>
      <w:r w:rsidRPr="00D70696">
        <w:rPr>
          <w:i/>
          <w:iCs/>
        </w:rPr>
        <w:t>Values in parentheses represent percentages.</w:t>
      </w:r>
    </w:p>
    <w:p w14:paraId="43188491" w14:textId="77777777" w:rsidR="00EA197A" w:rsidRDefault="00EA197A" w:rsidP="009E77D4">
      <w:pPr>
        <w:spacing w:before="200" w:after="100" w:line="276" w:lineRule="auto"/>
        <w:rPr>
          <w:b/>
          <w:bCs/>
        </w:rPr>
      </w:pPr>
    </w:p>
    <w:p w14:paraId="1EA27A95" w14:textId="77777777" w:rsidR="003D71BF" w:rsidRPr="00D70696" w:rsidRDefault="00E643F5" w:rsidP="009E77D4">
      <w:pPr>
        <w:spacing w:before="200" w:after="100" w:line="276" w:lineRule="auto"/>
      </w:pPr>
      <w:r w:rsidRPr="00D70696">
        <w:rPr>
          <w:b/>
          <w:bCs/>
        </w:rPr>
        <w:t xml:space="preserve">Cytokine Profile </w:t>
      </w:r>
      <w:r w:rsidR="00EA197A" w:rsidRPr="00D70696">
        <w:rPr>
          <w:b/>
          <w:bCs/>
        </w:rPr>
        <w:t>across</w:t>
      </w:r>
      <w:r w:rsidRPr="00D70696">
        <w:rPr>
          <w:b/>
          <w:bCs/>
        </w:rPr>
        <w:t xml:space="preserve"> </w:t>
      </w:r>
      <w:proofErr w:type="spellStart"/>
      <w:r w:rsidRPr="00D70696">
        <w:rPr>
          <w:b/>
          <w:bCs/>
        </w:rPr>
        <w:t>Parasitaemia</w:t>
      </w:r>
      <w:proofErr w:type="spellEnd"/>
      <w:r w:rsidRPr="00D70696">
        <w:rPr>
          <w:b/>
          <w:bCs/>
        </w:rPr>
        <w:t xml:space="preserve"> Groups</w:t>
      </w:r>
    </w:p>
    <w:p w14:paraId="5A4559AE" w14:textId="116A6E23" w:rsidR="00614920" w:rsidRDefault="00E643F5" w:rsidP="009E77D4">
      <w:pPr>
        <w:spacing w:before="100" w:after="100" w:line="276" w:lineRule="auto"/>
        <w:jc w:val="both"/>
      </w:pPr>
      <w:r w:rsidRPr="00D70696">
        <w:t xml:space="preserve">Plasma cytokine concentrations (IL-10, TNF-α, and IL-6) were evaluated in 65 sera across the three </w:t>
      </w:r>
      <w:proofErr w:type="spellStart"/>
      <w:r w:rsidRPr="00D70696">
        <w:t>parasitaemia</w:t>
      </w:r>
      <w:proofErr w:type="spellEnd"/>
      <w:r w:rsidRPr="00D70696">
        <w:t xml:space="preserve"> groups. Results are presented in </w:t>
      </w:r>
      <w:r w:rsidRPr="0076283E">
        <w:rPr>
          <w:highlight w:val="yellow"/>
        </w:rPr>
        <w:t xml:space="preserve">Table </w:t>
      </w:r>
      <w:r w:rsidR="0076283E" w:rsidRPr="0076283E">
        <w:rPr>
          <w:highlight w:val="yellow"/>
        </w:rPr>
        <w:t>2</w:t>
      </w:r>
      <w:r w:rsidRPr="00D70696">
        <w:t xml:space="preserve">. Mean plasma IL-10 was substantially elevated in the High </w:t>
      </w:r>
      <w:proofErr w:type="spellStart"/>
      <w:r w:rsidRPr="00D70696">
        <w:t>parasitaemia</w:t>
      </w:r>
      <w:proofErr w:type="spellEnd"/>
      <w:r w:rsidRPr="00D70696">
        <w:t xml:space="preserve"> group (836.30 ± 1144.06 </w:t>
      </w:r>
      <w:proofErr w:type="spellStart"/>
      <w:r w:rsidRPr="00D70696">
        <w:t>pg</w:t>
      </w:r>
      <w:proofErr w:type="spellEnd"/>
      <w:r w:rsidRPr="00D70696">
        <w:t xml:space="preserve">/mL) compared to the Negative group (101.75 ± 56.03 </w:t>
      </w:r>
      <w:proofErr w:type="spellStart"/>
      <w:r w:rsidRPr="00D70696">
        <w:t>pg</w:t>
      </w:r>
      <w:proofErr w:type="spellEnd"/>
      <w:r w:rsidRPr="00D70696">
        <w:t xml:space="preserve">/mL), a difference that was statistically significant (p = 0.001). IL-10 in the Moderate group (449.88 </w:t>
      </w:r>
      <w:proofErr w:type="spellStart"/>
      <w:r w:rsidRPr="00D70696">
        <w:t>pg</w:t>
      </w:r>
      <w:proofErr w:type="spellEnd"/>
      <w:r w:rsidRPr="00D70696">
        <w:t>/mL) was also higher than the Negative group, though the difference from the High group was not statistically significant (p = 0.248).</w:t>
      </w:r>
    </w:p>
    <w:p w14:paraId="318E40DA" w14:textId="0C395340" w:rsidR="003D71BF" w:rsidRDefault="00E643F5" w:rsidP="009E77D4">
      <w:pPr>
        <w:spacing w:before="100" w:after="100" w:line="276" w:lineRule="auto"/>
        <w:jc w:val="both"/>
      </w:pPr>
      <w:r w:rsidRPr="00D70696">
        <w:t>TNF-α</w:t>
      </w:r>
      <w:r w:rsidR="00614920">
        <w:t xml:space="preserve"> concentration demonstrated an in</w:t>
      </w:r>
      <w:r w:rsidRPr="00D70696">
        <w:t xml:space="preserve">creasing trend with increasing </w:t>
      </w:r>
      <w:proofErr w:type="spellStart"/>
      <w:r w:rsidRPr="00D70696">
        <w:t>parasitaemia</w:t>
      </w:r>
      <w:proofErr w:type="spellEnd"/>
      <w:r w:rsidRPr="00D70696">
        <w:t xml:space="preserve">: levels were higher in the Moderate group (4.88 </w:t>
      </w:r>
      <w:proofErr w:type="spellStart"/>
      <w:r w:rsidRPr="00D70696">
        <w:t>pg</w:t>
      </w:r>
      <w:proofErr w:type="spellEnd"/>
      <w:r w:rsidRPr="00D70696">
        <w:t>/mL) than i</w:t>
      </w:r>
      <w:r w:rsidR="000E7E4C" w:rsidRPr="00D70696">
        <w:t xml:space="preserve">n the High group (115.16 </w:t>
      </w:r>
      <w:proofErr w:type="spellStart"/>
      <w:r w:rsidR="000E7E4C" w:rsidRPr="00D70696">
        <w:t>pg</w:t>
      </w:r>
      <w:proofErr w:type="spellEnd"/>
      <w:r w:rsidR="000E7E4C" w:rsidRPr="00D70696">
        <w:t xml:space="preserve">/mL), </w:t>
      </w:r>
      <w:r w:rsidRPr="00D70696">
        <w:t xml:space="preserve">though the values in </w:t>
      </w:r>
      <w:r w:rsidRPr="00BD4EE2">
        <w:rPr>
          <w:highlight w:val="yellow"/>
        </w:rPr>
        <w:t xml:space="preserve">Table </w:t>
      </w:r>
      <w:r w:rsidR="00BD4EE2" w:rsidRPr="00BD4EE2">
        <w:rPr>
          <w:highlight w:val="yellow"/>
        </w:rPr>
        <w:t>2</w:t>
      </w:r>
      <w:r w:rsidRPr="00D70696">
        <w:t xml:space="preserve"> suggest the raw data for the High gr</w:t>
      </w:r>
      <w:r w:rsidR="000E7E4C" w:rsidRPr="00D70696">
        <w:t xml:space="preserve">oup may reflect assay variation, </w:t>
      </w:r>
      <w:r w:rsidRPr="00D70696">
        <w:t xml:space="preserve">and the overall difference was not statistically significant (p = 0.517). IL-6 levels were highest in the </w:t>
      </w:r>
      <w:r w:rsidRPr="00D70696">
        <w:lastRenderedPageBreak/>
        <w:t xml:space="preserve">Moderate </w:t>
      </w:r>
      <w:proofErr w:type="spellStart"/>
      <w:r w:rsidRPr="00D70696">
        <w:t>parasitaemia</w:t>
      </w:r>
      <w:proofErr w:type="spellEnd"/>
      <w:r w:rsidRPr="00D70696">
        <w:t xml:space="preserve"> group (205.7 </w:t>
      </w:r>
      <w:proofErr w:type="spellStart"/>
      <w:r w:rsidRPr="00D70696">
        <w:t>pg</w:t>
      </w:r>
      <w:proofErr w:type="spellEnd"/>
      <w:r w:rsidRPr="00D70696">
        <w:t xml:space="preserve">/mL) compared to both the Negative and High groups (130.83 </w:t>
      </w:r>
      <w:proofErr w:type="spellStart"/>
      <w:r w:rsidRPr="00D70696">
        <w:t>pg</w:t>
      </w:r>
      <w:proofErr w:type="spellEnd"/>
      <w:r w:rsidRPr="00D70696">
        <w:t>/mL), though the difference was not statistically significant (p = 0.457).</w:t>
      </w:r>
    </w:p>
    <w:p w14:paraId="395AC077" w14:textId="77777777" w:rsidR="008107CB" w:rsidRPr="00D70696" w:rsidRDefault="008107CB" w:rsidP="009E77D4">
      <w:pPr>
        <w:spacing w:before="100" w:after="100" w:line="276" w:lineRule="auto"/>
        <w:jc w:val="both"/>
      </w:pPr>
    </w:p>
    <w:p w14:paraId="699663D4" w14:textId="77777777" w:rsidR="003D71BF" w:rsidRPr="00D70696" w:rsidRDefault="006D21D5" w:rsidP="009E77D4">
      <w:pPr>
        <w:spacing w:before="160" w:after="60" w:line="276" w:lineRule="auto"/>
      </w:pPr>
      <w:r>
        <w:rPr>
          <w:b/>
          <w:bCs/>
        </w:rPr>
        <w:t xml:space="preserve">Table </w:t>
      </w:r>
      <w:r w:rsidR="005A1679">
        <w:rPr>
          <w:b/>
          <w:bCs/>
        </w:rPr>
        <w:t>2</w:t>
      </w:r>
      <w:r w:rsidR="007437DC">
        <w:rPr>
          <w:b/>
          <w:bCs/>
        </w:rPr>
        <w:t>.</w:t>
      </w:r>
      <w:r w:rsidR="00E643F5" w:rsidRPr="00D70696">
        <w:rPr>
          <w:b/>
          <w:bCs/>
        </w:rPr>
        <w:t xml:space="preserve"> Parasite Load and Cytokine Levels</w:t>
      </w:r>
    </w:p>
    <w:p w14:paraId="4980AA9C" w14:textId="77777777" w:rsidR="00B172C9" w:rsidRPr="00B172C9" w:rsidRDefault="00B172C9" w:rsidP="009E77D4">
      <w:pPr>
        <w:spacing w:line="276" w:lineRule="auto"/>
        <w:jc w:val="both"/>
      </w:pPr>
      <w:r w:rsidRPr="00B172C9">
        <w:t xml:space="preserve">Moderate (&gt;1000 &lt;10,000 </w:t>
      </w:r>
      <w:proofErr w:type="spellStart"/>
      <w:r w:rsidRPr="00B172C9">
        <w:t>mp</w:t>
      </w:r>
      <w:proofErr w:type="spellEnd"/>
      <w:r w:rsidRPr="00B172C9">
        <w:t>/ul of blood)</w:t>
      </w:r>
    </w:p>
    <w:p w14:paraId="681E0068" w14:textId="77777777" w:rsidR="00B172C9" w:rsidRPr="00B172C9" w:rsidRDefault="00B172C9" w:rsidP="009E77D4">
      <w:pPr>
        <w:spacing w:line="276" w:lineRule="auto"/>
        <w:jc w:val="both"/>
      </w:pPr>
      <w:r w:rsidRPr="00B172C9">
        <w:t xml:space="preserve">High (10,000 and above </w:t>
      </w:r>
      <w:proofErr w:type="spellStart"/>
      <w:r w:rsidRPr="00B172C9">
        <w:t>mp</w:t>
      </w:r>
      <w:proofErr w:type="spellEnd"/>
      <w:r w:rsidRPr="00B172C9">
        <w:t>/ul of blood)</w:t>
      </w:r>
    </w:p>
    <w:tbl>
      <w:tblPr>
        <w:tblW w:w="7092" w:type="dxa"/>
        <w:tblLook w:val="04A0" w:firstRow="1" w:lastRow="0" w:firstColumn="1" w:lastColumn="0" w:noHBand="0" w:noVBand="1"/>
      </w:tblPr>
      <w:tblGrid>
        <w:gridCol w:w="1843"/>
        <w:gridCol w:w="1847"/>
        <w:gridCol w:w="1827"/>
        <w:gridCol w:w="1575"/>
      </w:tblGrid>
      <w:tr w:rsidR="00B172C9" w:rsidRPr="0076283E" w14:paraId="48312912" w14:textId="77777777" w:rsidTr="0076283E">
        <w:trPr>
          <w:trHeight w:val="330"/>
        </w:trPr>
        <w:tc>
          <w:tcPr>
            <w:tcW w:w="1843" w:type="dxa"/>
            <w:tcBorders>
              <w:top w:val="single" w:sz="4" w:space="0" w:color="auto"/>
              <w:bottom w:val="single" w:sz="4" w:space="0" w:color="auto"/>
            </w:tcBorders>
            <w:vAlign w:val="center"/>
            <w:hideMark/>
          </w:tcPr>
          <w:p w14:paraId="62027889" w14:textId="77777777" w:rsidR="00B172C9" w:rsidRPr="0076283E" w:rsidRDefault="00B172C9" w:rsidP="009E77D4">
            <w:pPr>
              <w:spacing w:line="276" w:lineRule="auto"/>
              <w:rPr>
                <w:b/>
                <w:sz w:val="22"/>
                <w:szCs w:val="22"/>
              </w:rPr>
            </w:pPr>
            <w:r w:rsidRPr="0076283E">
              <w:rPr>
                <w:b/>
                <w:sz w:val="22"/>
                <w:szCs w:val="22"/>
              </w:rPr>
              <w:t>Parasite</w:t>
            </w:r>
          </w:p>
          <w:p w14:paraId="13D7090C" w14:textId="77777777" w:rsidR="00B172C9" w:rsidRPr="0076283E" w:rsidRDefault="00B172C9" w:rsidP="009E77D4">
            <w:pPr>
              <w:spacing w:line="276" w:lineRule="auto"/>
              <w:rPr>
                <w:b/>
                <w:sz w:val="22"/>
                <w:szCs w:val="22"/>
              </w:rPr>
            </w:pPr>
            <w:r w:rsidRPr="0076283E">
              <w:rPr>
                <w:b/>
                <w:sz w:val="22"/>
                <w:szCs w:val="22"/>
              </w:rPr>
              <w:t>Density(</w:t>
            </w:r>
            <w:proofErr w:type="spellStart"/>
            <w:r w:rsidRPr="0076283E">
              <w:rPr>
                <w:b/>
                <w:sz w:val="22"/>
                <w:szCs w:val="22"/>
              </w:rPr>
              <w:t>mp</w:t>
            </w:r>
            <w:proofErr w:type="spellEnd"/>
            <w:r w:rsidRPr="0076283E">
              <w:rPr>
                <w:b/>
                <w:sz w:val="22"/>
                <w:szCs w:val="22"/>
              </w:rPr>
              <w:t>/</w:t>
            </w:r>
            <w:proofErr w:type="spellStart"/>
            <w:r w:rsidRPr="0076283E">
              <w:rPr>
                <w:b/>
                <w:sz w:val="22"/>
                <w:szCs w:val="22"/>
              </w:rPr>
              <w:t>uL</w:t>
            </w:r>
            <w:proofErr w:type="spellEnd"/>
            <w:r w:rsidRPr="0076283E">
              <w:rPr>
                <w:b/>
                <w:sz w:val="22"/>
                <w:szCs w:val="22"/>
              </w:rPr>
              <w:t>)</w:t>
            </w:r>
          </w:p>
        </w:tc>
        <w:tc>
          <w:tcPr>
            <w:tcW w:w="1847" w:type="dxa"/>
            <w:tcBorders>
              <w:top w:val="single" w:sz="4" w:space="0" w:color="auto"/>
              <w:bottom w:val="single" w:sz="4" w:space="0" w:color="auto"/>
            </w:tcBorders>
            <w:vAlign w:val="center"/>
            <w:hideMark/>
          </w:tcPr>
          <w:p w14:paraId="3B82CCB4" w14:textId="77777777" w:rsidR="00B172C9" w:rsidRPr="0076283E" w:rsidRDefault="00B172C9" w:rsidP="009E77D4">
            <w:pPr>
              <w:spacing w:line="276" w:lineRule="auto"/>
              <w:rPr>
                <w:b/>
                <w:sz w:val="22"/>
                <w:szCs w:val="22"/>
              </w:rPr>
            </w:pPr>
            <w:r w:rsidRPr="0076283E">
              <w:rPr>
                <w:b/>
                <w:sz w:val="22"/>
                <w:szCs w:val="22"/>
              </w:rPr>
              <w:t>IL</w:t>
            </w:r>
            <w:r w:rsidR="00DB6907" w:rsidRPr="0076283E">
              <w:rPr>
                <w:b/>
                <w:sz w:val="22"/>
                <w:szCs w:val="22"/>
              </w:rPr>
              <w:t>-</w:t>
            </w:r>
            <w:r w:rsidRPr="0076283E">
              <w:rPr>
                <w:b/>
                <w:sz w:val="22"/>
                <w:szCs w:val="22"/>
              </w:rPr>
              <w:t>10(</w:t>
            </w:r>
            <w:proofErr w:type="spellStart"/>
            <w:r w:rsidR="009E5B64" w:rsidRPr="0076283E">
              <w:rPr>
                <w:b/>
                <w:sz w:val="22"/>
                <w:szCs w:val="22"/>
              </w:rPr>
              <w:t>pg</w:t>
            </w:r>
            <w:proofErr w:type="spellEnd"/>
            <w:r w:rsidR="009E5B64" w:rsidRPr="0076283E">
              <w:rPr>
                <w:b/>
                <w:sz w:val="22"/>
                <w:szCs w:val="22"/>
              </w:rPr>
              <w:t>/mL</w:t>
            </w:r>
            <w:r w:rsidRPr="0076283E">
              <w:rPr>
                <w:b/>
                <w:sz w:val="22"/>
                <w:szCs w:val="22"/>
              </w:rPr>
              <w:t>)</w:t>
            </w:r>
          </w:p>
        </w:tc>
        <w:tc>
          <w:tcPr>
            <w:tcW w:w="1827" w:type="dxa"/>
            <w:tcBorders>
              <w:top w:val="single" w:sz="4" w:space="0" w:color="auto"/>
              <w:bottom w:val="single" w:sz="4" w:space="0" w:color="auto"/>
            </w:tcBorders>
            <w:vAlign w:val="center"/>
            <w:hideMark/>
          </w:tcPr>
          <w:p w14:paraId="23F3E9D6" w14:textId="77777777" w:rsidR="00B172C9" w:rsidRPr="0076283E" w:rsidRDefault="00B172C9" w:rsidP="009E77D4">
            <w:pPr>
              <w:spacing w:line="276" w:lineRule="auto"/>
              <w:rPr>
                <w:b/>
                <w:sz w:val="22"/>
                <w:szCs w:val="22"/>
              </w:rPr>
            </w:pPr>
            <w:r w:rsidRPr="0076283E">
              <w:rPr>
                <w:b/>
                <w:sz w:val="22"/>
                <w:szCs w:val="22"/>
              </w:rPr>
              <w:t>TNF</w:t>
            </w:r>
            <w:r w:rsidR="00DB6907" w:rsidRPr="0076283E">
              <w:rPr>
                <w:b/>
                <w:sz w:val="22"/>
                <w:szCs w:val="22"/>
              </w:rPr>
              <w:t>-α</w:t>
            </w:r>
            <w:r w:rsidRPr="0076283E">
              <w:rPr>
                <w:b/>
                <w:sz w:val="22"/>
                <w:szCs w:val="22"/>
              </w:rPr>
              <w:t>(</w:t>
            </w:r>
            <w:proofErr w:type="spellStart"/>
            <w:r w:rsidR="009E5B64" w:rsidRPr="0076283E">
              <w:rPr>
                <w:b/>
                <w:sz w:val="22"/>
                <w:szCs w:val="22"/>
              </w:rPr>
              <w:t>pg</w:t>
            </w:r>
            <w:proofErr w:type="spellEnd"/>
            <w:r w:rsidR="009E5B64" w:rsidRPr="0076283E">
              <w:rPr>
                <w:b/>
                <w:sz w:val="22"/>
                <w:szCs w:val="22"/>
              </w:rPr>
              <w:t>/mL</w:t>
            </w:r>
            <w:r w:rsidRPr="0076283E">
              <w:rPr>
                <w:b/>
                <w:sz w:val="22"/>
                <w:szCs w:val="22"/>
              </w:rPr>
              <w:t>)</w:t>
            </w:r>
          </w:p>
        </w:tc>
        <w:tc>
          <w:tcPr>
            <w:tcW w:w="1575" w:type="dxa"/>
            <w:tcBorders>
              <w:top w:val="single" w:sz="4" w:space="0" w:color="auto"/>
              <w:bottom w:val="single" w:sz="4" w:space="0" w:color="auto"/>
            </w:tcBorders>
            <w:vAlign w:val="center"/>
            <w:hideMark/>
          </w:tcPr>
          <w:p w14:paraId="5F5E856A" w14:textId="77777777" w:rsidR="00B172C9" w:rsidRPr="0076283E" w:rsidRDefault="00B172C9" w:rsidP="009E77D4">
            <w:pPr>
              <w:spacing w:line="276" w:lineRule="auto"/>
              <w:rPr>
                <w:b/>
                <w:sz w:val="22"/>
                <w:szCs w:val="22"/>
              </w:rPr>
            </w:pPr>
            <w:r w:rsidRPr="0076283E">
              <w:rPr>
                <w:b/>
                <w:sz w:val="22"/>
                <w:szCs w:val="22"/>
              </w:rPr>
              <w:t>IL</w:t>
            </w:r>
            <w:r w:rsidR="00DB6907" w:rsidRPr="0076283E">
              <w:rPr>
                <w:b/>
                <w:sz w:val="22"/>
                <w:szCs w:val="22"/>
              </w:rPr>
              <w:t>-</w:t>
            </w:r>
            <w:r w:rsidRPr="0076283E">
              <w:rPr>
                <w:b/>
                <w:sz w:val="22"/>
                <w:szCs w:val="22"/>
              </w:rPr>
              <w:t>6(</w:t>
            </w:r>
            <w:proofErr w:type="spellStart"/>
            <w:r w:rsidR="009E5B64" w:rsidRPr="0076283E">
              <w:rPr>
                <w:b/>
                <w:sz w:val="22"/>
                <w:szCs w:val="22"/>
              </w:rPr>
              <w:t>pg</w:t>
            </w:r>
            <w:proofErr w:type="spellEnd"/>
            <w:r w:rsidR="009E5B64" w:rsidRPr="0076283E">
              <w:rPr>
                <w:b/>
                <w:sz w:val="22"/>
                <w:szCs w:val="22"/>
              </w:rPr>
              <w:t>/mL</w:t>
            </w:r>
            <w:r w:rsidRPr="0076283E">
              <w:rPr>
                <w:b/>
                <w:sz w:val="22"/>
                <w:szCs w:val="22"/>
              </w:rPr>
              <w:t>)</w:t>
            </w:r>
          </w:p>
        </w:tc>
      </w:tr>
      <w:tr w:rsidR="00302948" w:rsidRPr="0076283E" w14:paraId="779B5189" w14:textId="77777777" w:rsidTr="0076283E">
        <w:trPr>
          <w:trHeight w:val="330"/>
        </w:trPr>
        <w:tc>
          <w:tcPr>
            <w:tcW w:w="1843" w:type="dxa"/>
            <w:tcBorders>
              <w:top w:val="single" w:sz="4" w:space="0" w:color="auto"/>
            </w:tcBorders>
            <w:vAlign w:val="center"/>
          </w:tcPr>
          <w:p w14:paraId="2B6DCE27" w14:textId="6BE26DE1" w:rsidR="00302948" w:rsidRPr="0076283E" w:rsidRDefault="00302948" w:rsidP="009E77D4">
            <w:pPr>
              <w:spacing w:line="276" w:lineRule="auto"/>
              <w:rPr>
                <w:sz w:val="22"/>
                <w:szCs w:val="22"/>
              </w:rPr>
            </w:pPr>
            <w:r w:rsidRPr="0076283E">
              <w:rPr>
                <w:sz w:val="22"/>
                <w:szCs w:val="22"/>
              </w:rPr>
              <w:t>Negative</w:t>
            </w:r>
          </w:p>
        </w:tc>
        <w:tc>
          <w:tcPr>
            <w:tcW w:w="1847" w:type="dxa"/>
            <w:tcBorders>
              <w:top w:val="single" w:sz="4" w:space="0" w:color="auto"/>
            </w:tcBorders>
            <w:vAlign w:val="center"/>
          </w:tcPr>
          <w:p w14:paraId="2E8A6F95" w14:textId="6FF90808" w:rsidR="00302948" w:rsidRPr="0076283E" w:rsidRDefault="0076283E" w:rsidP="009E77D4">
            <w:pPr>
              <w:spacing w:line="276" w:lineRule="auto"/>
              <w:rPr>
                <w:sz w:val="22"/>
                <w:szCs w:val="22"/>
              </w:rPr>
            </w:pPr>
            <w:r w:rsidRPr="0076283E">
              <w:rPr>
                <w:sz w:val="22"/>
                <w:szCs w:val="22"/>
              </w:rPr>
              <w:t>101.75</w:t>
            </w:r>
            <w:r>
              <w:rPr>
                <w:sz w:val="22"/>
                <w:szCs w:val="22"/>
              </w:rPr>
              <w:t xml:space="preserve"> </w:t>
            </w:r>
            <w:r w:rsidRPr="0076283E">
              <w:rPr>
                <w:sz w:val="22"/>
                <w:szCs w:val="22"/>
              </w:rPr>
              <w:t>±</w:t>
            </w:r>
            <w:r>
              <w:rPr>
                <w:sz w:val="22"/>
                <w:szCs w:val="22"/>
              </w:rPr>
              <w:t xml:space="preserve"> </w:t>
            </w:r>
            <w:r w:rsidRPr="0076283E">
              <w:rPr>
                <w:sz w:val="22"/>
                <w:szCs w:val="22"/>
              </w:rPr>
              <w:t>56.03</w:t>
            </w:r>
          </w:p>
        </w:tc>
        <w:tc>
          <w:tcPr>
            <w:tcW w:w="1827" w:type="dxa"/>
            <w:tcBorders>
              <w:top w:val="single" w:sz="4" w:space="0" w:color="auto"/>
            </w:tcBorders>
            <w:vAlign w:val="center"/>
          </w:tcPr>
          <w:p w14:paraId="0FE77090" w14:textId="7A250CED" w:rsidR="00302948" w:rsidRPr="0076283E" w:rsidRDefault="00CE6024" w:rsidP="009E77D4">
            <w:pPr>
              <w:spacing w:line="276" w:lineRule="auto"/>
              <w:rPr>
                <w:sz w:val="22"/>
                <w:szCs w:val="22"/>
              </w:rPr>
            </w:pPr>
            <w:r>
              <w:rPr>
                <w:sz w:val="22"/>
                <w:szCs w:val="22"/>
              </w:rPr>
              <w:t xml:space="preserve">3.55 </w:t>
            </w:r>
            <w:r w:rsidRPr="0076283E">
              <w:rPr>
                <w:sz w:val="22"/>
                <w:szCs w:val="22"/>
              </w:rPr>
              <w:t>±</w:t>
            </w:r>
            <w:r>
              <w:rPr>
                <w:sz w:val="22"/>
                <w:szCs w:val="22"/>
              </w:rPr>
              <w:t xml:space="preserve"> 0.7</w:t>
            </w:r>
          </w:p>
        </w:tc>
        <w:tc>
          <w:tcPr>
            <w:tcW w:w="1575" w:type="dxa"/>
            <w:tcBorders>
              <w:top w:val="single" w:sz="4" w:space="0" w:color="auto"/>
            </w:tcBorders>
            <w:vAlign w:val="center"/>
          </w:tcPr>
          <w:p w14:paraId="3CD5F817" w14:textId="19A0A456" w:rsidR="00302948" w:rsidRPr="0076283E" w:rsidRDefault="00CE6024" w:rsidP="009E77D4">
            <w:pPr>
              <w:spacing w:line="276" w:lineRule="auto"/>
              <w:rPr>
                <w:sz w:val="22"/>
                <w:szCs w:val="22"/>
              </w:rPr>
            </w:pPr>
            <w:r>
              <w:rPr>
                <w:sz w:val="22"/>
                <w:szCs w:val="22"/>
              </w:rPr>
              <w:t>17.4</w:t>
            </w:r>
            <w:r w:rsidR="009006C2">
              <w:rPr>
                <w:sz w:val="22"/>
                <w:szCs w:val="22"/>
              </w:rPr>
              <w:t xml:space="preserve"> </w:t>
            </w:r>
            <w:r w:rsidR="009006C2" w:rsidRPr="0076283E">
              <w:rPr>
                <w:sz w:val="22"/>
                <w:szCs w:val="22"/>
              </w:rPr>
              <w:t>±</w:t>
            </w:r>
            <w:r w:rsidR="009006C2">
              <w:rPr>
                <w:sz w:val="22"/>
                <w:szCs w:val="22"/>
              </w:rPr>
              <w:t xml:space="preserve"> 5.5</w:t>
            </w:r>
          </w:p>
        </w:tc>
      </w:tr>
      <w:tr w:rsidR="00B172C9" w:rsidRPr="0076283E" w14:paraId="07DD5FCA" w14:textId="77777777" w:rsidTr="0076283E">
        <w:trPr>
          <w:trHeight w:val="330"/>
        </w:trPr>
        <w:tc>
          <w:tcPr>
            <w:tcW w:w="1843" w:type="dxa"/>
            <w:vAlign w:val="center"/>
            <w:hideMark/>
          </w:tcPr>
          <w:p w14:paraId="21017128" w14:textId="77777777" w:rsidR="00B172C9" w:rsidRPr="0076283E" w:rsidRDefault="00B172C9" w:rsidP="009E77D4">
            <w:pPr>
              <w:spacing w:line="276" w:lineRule="auto"/>
              <w:rPr>
                <w:sz w:val="22"/>
                <w:szCs w:val="22"/>
              </w:rPr>
            </w:pPr>
            <w:r w:rsidRPr="0076283E">
              <w:rPr>
                <w:sz w:val="22"/>
                <w:szCs w:val="22"/>
              </w:rPr>
              <w:t>Moderate</w:t>
            </w:r>
          </w:p>
        </w:tc>
        <w:tc>
          <w:tcPr>
            <w:tcW w:w="1847" w:type="dxa"/>
            <w:vAlign w:val="center"/>
            <w:hideMark/>
          </w:tcPr>
          <w:p w14:paraId="4F5EC84C" w14:textId="4AC9D95D" w:rsidR="00B172C9" w:rsidRPr="0076283E" w:rsidRDefault="00B22038" w:rsidP="009E77D4">
            <w:pPr>
              <w:spacing w:line="276" w:lineRule="auto"/>
              <w:rPr>
                <w:sz w:val="22"/>
                <w:szCs w:val="22"/>
              </w:rPr>
            </w:pPr>
            <w:r w:rsidRPr="0076283E">
              <w:rPr>
                <w:sz w:val="22"/>
                <w:szCs w:val="22"/>
              </w:rPr>
              <w:t>44</w:t>
            </w:r>
            <w:r w:rsidR="00B172C9" w:rsidRPr="0076283E">
              <w:rPr>
                <w:sz w:val="22"/>
                <w:szCs w:val="22"/>
              </w:rPr>
              <w:t>9.88</w:t>
            </w:r>
            <w:r w:rsidR="0076283E">
              <w:rPr>
                <w:sz w:val="22"/>
                <w:szCs w:val="22"/>
              </w:rPr>
              <w:t xml:space="preserve"> </w:t>
            </w:r>
            <w:r w:rsidR="0076283E" w:rsidRPr="0076283E">
              <w:rPr>
                <w:sz w:val="22"/>
                <w:szCs w:val="22"/>
              </w:rPr>
              <w:t>±</w:t>
            </w:r>
            <w:r w:rsidR="0076283E">
              <w:rPr>
                <w:sz w:val="22"/>
                <w:szCs w:val="22"/>
              </w:rPr>
              <w:t xml:space="preserve"> 126.11</w:t>
            </w:r>
          </w:p>
        </w:tc>
        <w:tc>
          <w:tcPr>
            <w:tcW w:w="1827" w:type="dxa"/>
            <w:vAlign w:val="center"/>
            <w:hideMark/>
          </w:tcPr>
          <w:p w14:paraId="0236F15E" w14:textId="0C6CD7CA" w:rsidR="00B172C9" w:rsidRPr="0076283E" w:rsidRDefault="00B172C9" w:rsidP="009E77D4">
            <w:pPr>
              <w:spacing w:line="276" w:lineRule="auto"/>
              <w:rPr>
                <w:sz w:val="22"/>
                <w:szCs w:val="22"/>
              </w:rPr>
            </w:pPr>
            <w:r w:rsidRPr="0076283E">
              <w:rPr>
                <w:sz w:val="22"/>
                <w:szCs w:val="22"/>
              </w:rPr>
              <w:t>4.88</w:t>
            </w:r>
            <w:r w:rsidR="0076283E">
              <w:rPr>
                <w:sz w:val="22"/>
                <w:szCs w:val="22"/>
              </w:rPr>
              <w:t xml:space="preserve"> </w:t>
            </w:r>
            <w:r w:rsidR="0076283E" w:rsidRPr="0076283E">
              <w:rPr>
                <w:sz w:val="22"/>
                <w:szCs w:val="22"/>
              </w:rPr>
              <w:t>±</w:t>
            </w:r>
            <w:r w:rsidR="00CE6024">
              <w:rPr>
                <w:sz w:val="22"/>
                <w:szCs w:val="22"/>
              </w:rPr>
              <w:t xml:space="preserve"> 1.1</w:t>
            </w:r>
          </w:p>
        </w:tc>
        <w:tc>
          <w:tcPr>
            <w:tcW w:w="1575" w:type="dxa"/>
            <w:vAlign w:val="center"/>
            <w:hideMark/>
          </w:tcPr>
          <w:p w14:paraId="10D649E4" w14:textId="1A47449D" w:rsidR="00B172C9" w:rsidRPr="0076283E" w:rsidRDefault="00B172C9" w:rsidP="009E77D4">
            <w:pPr>
              <w:spacing w:line="276" w:lineRule="auto"/>
              <w:rPr>
                <w:sz w:val="22"/>
                <w:szCs w:val="22"/>
              </w:rPr>
            </w:pPr>
            <w:r w:rsidRPr="0076283E">
              <w:rPr>
                <w:sz w:val="22"/>
                <w:szCs w:val="22"/>
              </w:rPr>
              <w:t>205.7</w:t>
            </w:r>
            <w:r w:rsidR="0076283E">
              <w:rPr>
                <w:sz w:val="22"/>
                <w:szCs w:val="22"/>
              </w:rPr>
              <w:t xml:space="preserve"> </w:t>
            </w:r>
            <w:r w:rsidR="0076283E" w:rsidRPr="0076283E">
              <w:rPr>
                <w:sz w:val="22"/>
                <w:szCs w:val="22"/>
              </w:rPr>
              <w:t>±</w:t>
            </w:r>
            <w:r w:rsidR="009006C2">
              <w:rPr>
                <w:sz w:val="22"/>
                <w:szCs w:val="22"/>
              </w:rPr>
              <w:t xml:space="preserve"> 57.2</w:t>
            </w:r>
          </w:p>
        </w:tc>
      </w:tr>
      <w:tr w:rsidR="00B172C9" w:rsidRPr="0076283E" w14:paraId="2F5E29E5" w14:textId="77777777" w:rsidTr="0076283E">
        <w:trPr>
          <w:trHeight w:val="330"/>
        </w:trPr>
        <w:tc>
          <w:tcPr>
            <w:tcW w:w="1843" w:type="dxa"/>
            <w:vAlign w:val="center"/>
            <w:hideMark/>
          </w:tcPr>
          <w:p w14:paraId="52B07617" w14:textId="77777777" w:rsidR="00B172C9" w:rsidRPr="0076283E" w:rsidRDefault="00B172C9" w:rsidP="009E77D4">
            <w:pPr>
              <w:spacing w:line="276" w:lineRule="auto"/>
              <w:rPr>
                <w:sz w:val="22"/>
                <w:szCs w:val="22"/>
              </w:rPr>
            </w:pPr>
            <w:r w:rsidRPr="0076283E">
              <w:rPr>
                <w:sz w:val="22"/>
                <w:szCs w:val="22"/>
              </w:rPr>
              <w:t>High</w:t>
            </w:r>
          </w:p>
        </w:tc>
        <w:tc>
          <w:tcPr>
            <w:tcW w:w="1847" w:type="dxa"/>
            <w:vAlign w:val="center"/>
            <w:hideMark/>
          </w:tcPr>
          <w:p w14:paraId="56AF228D" w14:textId="2BCCE95A" w:rsidR="00B172C9" w:rsidRPr="0076283E" w:rsidRDefault="0076283E" w:rsidP="009E77D4">
            <w:pPr>
              <w:spacing w:line="276" w:lineRule="auto"/>
              <w:rPr>
                <w:sz w:val="22"/>
                <w:szCs w:val="22"/>
              </w:rPr>
            </w:pPr>
            <w:r w:rsidRPr="0076283E">
              <w:rPr>
                <w:sz w:val="22"/>
                <w:szCs w:val="22"/>
              </w:rPr>
              <w:t>836.30</w:t>
            </w:r>
            <w:r>
              <w:rPr>
                <w:sz w:val="22"/>
                <w:szCs w:val="22"/>
              </w:rPr>
              <w:t xml:space="preserve"> </w:t>
            </w:r>
            <w:r w:rsidRPr="0076283E">
              <w:rPr>
                <w:sz w:val="22"/>
                <w:szCs w:val="22"/>
              </w:rPr>
              <w:t>±</w:t>
            </w:r>
            <w:r>
              <w:rPr>
                <w:sz w:val="22"/>
                <w:szCs w:val="22"/>
              </w:rPr>
              <w:t xml:space="preserve"> </w:t>
            </w:r>
            <w:r w:rsidRPr="0076283E">
              <w:rPr>
                <w:sz w:val="22"/>
                <w:szCs w:val="22"/>
              </w:rPr>
              <w:t>1144.06</w:t>
            </w:r>
          </w:p>
        </w:tc>
        <w:tc>
          <w:tcPr>
            <w:tcW w:w="1827" w:type="dxa"/>
            <w:vAlign w:val="center"/>
            <w:hideMark/>
          </w:tcPr>
          <w:p w14:paraId="17CD5F08" w14:textId="423549FD" w:rsidR="00B172C9" w:rsidRPr="0076283E" w:rsidRDefault="00B172C9" w:rsidP="009E77D4">
            <w:pPr>
              <w:spacing w:line="276" w:lineRule="auto"/>
              <w:rPr>
                <w:sz w:val="22"/>
                <w:szCs w:val="22"/>
              </w:rPr>
            </w:pPr>
            <w:r w:rsidRPr="0076283E">
              <w:rPr>
                <w:sz w:val="22"/>
                <w:szCs w:val="22"/>
              </w:rPr>
              <w:t>115.16</w:t>
            </w:r>
            <w:r w:rsidR="0076283E">
              <w:rPr>
                <w:sz w:val="22"/>
                <w:szCs w:val="22"/>
              </w:rPr>
              <w:t xml:space="preserve"> </w:t>
            </w:r>
            <w:r w:rsidR="0076283E" w:rsidRPr="0076283E">
              <w:rPr>
                <w:sz w:val="22"/>
                <w:szCs w:val="22"/>
              </w:rPr>
              <w:t>±</w:t>
            </w:r>
            <w:r w:rsidR="00CE6024">
              <w:rPr>
                <w:sz w:val="22"/>
                <w:szCs w:val="22"/>
              </w:rPr>
              <w:t xml:space="preserve"> 5.9</w:t>
            </w:r>
          </w:p>
        </w:tc>
        <w:tc>
          <w:tcPr>
            <w:tcW w:w="1575" w:type="dxa"/>
            <w:vAlign w:val="center"/>
            <w:hideMark/>
          </w:tcPr>
          <w:p w14:paraId="3CC36749" w14:textId="3F442714" w:rsidR="00B172C9" w:rsidRPr="0076283E" w:rsidRDefault="00B172C9" w:rsidP="009E77D4">
            <w:pPr>
              <w:spacing w:line="276" w:lineRule="auto"/>
              <w:rPr>
                <w:sz w:val="22"/>
                <w:szCs w:val="22"/>
              </w:rPr>
            </w:pPr>
            <w:r w:rsidRPr="0076283E">
              <w:rPr>
                <w:sz w:val="22"/>
                <w:szCs w:val="22"/>
              </w:rPr>
              <w:t>130.83</w:t>
            </w:r>
            <w:r w:rsidR="0076283E">
              <w:rPr>
                <w:sz w:val="22"/>
                <w:szCs w:val="22"/>
              </w:rPr>
              <w:t xml:space="preserve"> </w:t>
            </w:r>
            <w:r w:rsidR="0076283E" w:rsidRPr="0076283E">
              <w:rPr>
                <w:sz w:val="22"/>
                <w:szCs w:val="22"/>
              </w:rPr>
              <w:t>±</w:t>
            </w:r>
            <w:r w:rsidR="009006C2">
              <w:rPr>
                <w:sz w:val="22"/>
                <w:szCs w:val="22"/>
              </w:rPr>
              <w:t xml:space="preserve"> 30.3</w:t>
            </w:r>
          </w:p>
        </w:tc>
      </w:tr>
      <w:tr w:rsidR="00B172C9" w:rsidRPr="0076283E" w14:paraId="422CEE7E" w14:textId="77777777" w:rsidTr="0076283E">
        <w:trPr>
          <w:trHeight w:val="330"/>
        </w:trPr>
        <w:tc>
          <w:tcPr>
            <w:tcW w:w="1843" w:type="dxa"/>
            <w:tcBorders>
              <w:bottom w:val="single" w:sz="4" w:space="0" w:color="auto"/>
            </w:tcBorders>
            <w:vAlign w:val="center"/>
            <w:hideMark/>
          </w:tcPr>
          <w:p w14:paraId="4A7A0FE1" w14:textId="77777777" w:rsidR="00B172C9" w:rsidRPr="0076283E" w:rsidRDefault="00B172C9" w:rsidP="009E77D4">
            <w:pPr>
              <w:spacing w:line="276" w:lineRule="auto"/>
              <w:rPr>
                <w:sz w:val="22"/>
                <w:szCs w:val="22"/>
              </w:rPr>
            </w:pPr>
            <w:r w:rsidRPr="0076283E">
              <w:rPr>
                <w:sz w:val="22"/>
                <w:szCs w:val="22"/>
              </w:rPr>
              <w:t>P value</w:t>
            </w:r>
          </w:p>
        </w:tc>
        <w:tc>
          <w:tcPr>
            <w:tcW w:w="1847" w:type="dxa"/>
            <w:tcBorders>
              <w:bottom w:val="single" w:sz="4" w:space="0" w:color="auto"/>
            </w:tcBorders>
            <w:vAlign w:val="center"/>
            <w:hideMark/>
          </w:tcPr>
          <w:p w14:paraId="47C014D6" w14:textId="77777777" w:rsidR="00B172C9" w:rsidRPr="0076283E" w:rsidRDefault="00B172C9" w:rsidP="009E77D4">
            <w:pPr>
              <w:spacing w:line="276" w:lineRule="auto"/>
              <w:rPr>
                <w:sz w:val="22"/>
                <w:szCs w:val="22"/>
              </w:rPr>
            </w:pPr>
            <w:r w:rsidRPr="0076283E">
              <w:rPr>
                <w:sz w:val="22"/>
                <w:szCs w:val="22"/>
              </w:rPr>
              <w:t>0.248</w:t>
            </w:r>
          </w:p>
        </w:tc>
        <w:tc>
          <w:tcPr>
            <w:tcW w:w="1827" w:type="dxa"/>
            <w:tcBorders>
              <w:bottom w:val="single" w:sz="4" w:space="0" w:color="auto"/>
            </w:tcBorders>
            <w:vAlign w:val="center"/>
            <w:hideMark/>
          </w:tcPr>
          <w:p w14:paraId="2EEC3760" w14:textId="77777777" w:rsidR="00B172C9" w:rsidRPr="0076283E" w:rsidRDefault="00B172C9" w:rsidP="009E77D4">
            <w:pPr>
              <w:spacing w:line="276" w:lineRule="auto"/>
              <w:rPr>
                <w:sz w:val="22"/>
                <w:szCs w:val="22"/>
              </w:rPr>
            </w:pPr>
            <w:r w:rsidRPr="0076283E">
              <w:rPr>
                <w:sz w:val="22"/>
                <w:szCs w:val="22"/>
              </w:rPr>
              <w:t>0.517</w:t>
            </w:r>
          </w:p>
        </w:tc>
        <w:tc>
          <w:tcPr>
            <w:tcW w:w="1575" w:type="dxa"/>
            <w:tcBorders>
              <w:bottom w:val="single" w:sz="4" w:space="0" w:color="auto"/>
            </w:tcBorders>
            <w:vAlign w:val="center"/>
            <w:hideMark/>
          </w:tcPr>
          <w:p w14:paraId="37152B5A" w14:textId="77777777" w:rsidR="00B172C9" w:rsidRPr="0076283E" w:rsidRDefault="00B172C9" w:rsidP="009E77D4">
            <w:pPr>
              <w:spacing w:line="276" w:lineRule="auto"/>
              <w:rPr>
                <w:sz w:val="22"/>
                <w:szCs w:val="22"/>
              </w:rPr>
            </w:pPr>
            <w:r w:rsidRPr="0076283E">
              <w:rPr>
                <w:sz w:val="22"/>
                <w:szCs w:val="22"/>
              </w:rPr>
              <w:t>0.457</w:t>
            </w:r>
          </w:p>
        </w:tc>
      </w:tr>
    </w:tbl>
    <w:p w14:paraId="50C62699" w14:textId="3870DA99" w:rsidR="003D71BF" w:rsidRDefault="00302948" w:rsidP="009E77D4">
      <w:pPr>
        <w:spacing w:before="80" w:after="160" w:line="276" w:lineRule="auto"/>
        <w:rPr>
          <w:i/>
          <w:iCs/>
        </w:rPr>
      </w:pPr>
      <w:r>
        <w:rPr>
          <w:i/>
          <w:iCs/>
        </w:rPr>
        <w:t>ANOVA</w:t>
      </w:r>
      <w:r w:rsidR="00E643F5" w:rsidRPr="00D70696">
        <w:rPr>
          <w:i/>
          <w:iCs/>
        </w:rPr>
        <w:t>; Significance set at p &lt; 0.05.</w:t>
      </w:r>
    </w:p>
    <w:p w14:paraId="5CC398B7" w14:textId="77777777" w:rsidR="00B172C9" w:rsidRPr="00D70696" w:rsidRDefault="00B172C9" w:rsidP="009E77D4">
      <w:pPr>
        <w:spacing w:before="80" w:after="160" w:line="276" w:lineRule="auto"/>
      </w:pPr>
    </w:p>
    <w:p w14:paraId="56C69C37" w14:textId="77777777" w:rsidR="003D71BF" w:rsidRPr="00D70696" w:rsidRDefault="00E643F5" w:rsidP="009E77D4">
      <w:pPr>
        <w:spacing w:before="200" w:after="100" w:line="276" w:lineRule="auto"/>
      </w:pPr>
      <w:r w:rsidRPr="00D70696">
        <w:rPr>
          <w:b/>
          <w:bCs/>
        </w:rPr>
        <w:t xml:space="preserve">Correlation </w:t>
      </w:r>
      <w:r w:rsidR="00B172C9" w:rsidRPr="00D70696">
        <w:rPr>
          <w:b/>
          <w:bCs/>
        </w:rPr>
        <w:t>between</w:t>
      </w:r>
      <w:r w:rsidRPr="00D70696">
        <w:rPr>
          <w:b/>
          <w:bCs/>
        </w:rPr>
        <w:t xml:space="preserve"> Parasite Density and Cytokine Levels</w:t>
      </w:r>
    </w:p>
    <w:p w14:paraId="1C63CDDD" w14:textId="1CE8437A" w:rsidR="003D71BF" w:rsidRDefault="003F414B" w:rsidP="009E77D4">
      <w:pPr>
        <w:spacing w:before="100" w:after="100" w:line="276" w:lineRule="auto"/>
        <w:jc w:val="both"/>
      </w:pPr>
      <w:proofErr w:type="spellStart"/>
      <w:r>
        <w:t>pearson</w:t>
      </w:r>
      <w:r w:rsidR="00E643F5" w:rsidRPr="00D70696">
        <w:t>'s</w:t>
      </w:r>
      <w:proofErr w:type="spellEnd"/>
      <w:r w:rsidR="00E643F5" w:rsidRPr="00D70696">
        <w:t xml:space="preserve"> correlation analysis was performed to determine the relationship between the degree of </w:t>
      </w:r>
      <w:r w:rsidR="00E643F5" w:rsidRPr="00D70696">
        <w:rPr>
          <w:i/>
        </w:rPr>
        <w:t>P</w:t>
      </w:r>
      <w:r w:rsidR="00C07AEC">
        <w:rPr>
          <w:i/>
        </w:rPr>
        <w:t>.</w:t>
      </w:r>
      <w:r w:rsidR="00E643F5" w:rsidRPr="00D70696">
        <w:t xml:space="preserve"> </w:t>
      </w:r>
      <w:r w:rsidR="00E643F5" w:rsidRPr="00D70696">
        <w:rPr>
          <w:i/>
        </w:rPr>
        <w:t>falciparum</w:t>
      </w:r>
      <w:r w:rsidR="00E643F5" w:rsidRPr="00D70696">
        <w:t xml:space="preserve"> </w:t>
      </w:r>
      <w:proofErr w:type="spellStart"/>
      <w:r w:rsidR="00E643F5" w:rsidRPr="00D70696">
        <w:t>parasitaemia</w:t>
      </w:r>
      <w:proofErr w:type="spellEnd"/>
      <w:r w:rsidR="00E643F5" w:rsidRPr="00D70696">
        <w:t xml:space="preserve"> and plasma cytokine concentrations. Results are presented in </w:t>
      </w:r>
      <w:r w:rsidR="00E643F5" w:rsidRPr="00BD4EE2">
        <w:rPr>
          <w:highlight w:val="yellow"/>
        </w:rPr>
        <w:t xml:space="preserve">Table </w:t>
      </w:r>
      <w:r w:rsidR="00BD4EE2" w:rsidRPr="00BD4EE2">
        <w:rPr>
          <w:highlight w:val="yellow"/>
        </w:rPr>
        <w:t>3</w:t>
      </w:r>
      <w:r w:rsidR="00E643F5" w:rsidRPr="00D70696">
        <w:t>. None of the cytokines showed a statistically significant correlation with parasite density. IL-10 had the highest correlation coefficient (r = 0.637; p = 0.248), followed by IL-6 (r = 0.441; p = 0.457) and TNF-α (r = 0.389; p = 0.517). All correlations were non-significant at the p &lt; 0.05 level.</w:t>
      </w:r>
    </w:p>
    <w:p w14:paraId="3BDD4FA2" w14:textId="77777777" w:rsidR="00F8061C" w:rsidRPr="00D70696" w:rsidRDefault="00F8061C" w:rsidP="009E77D4">
      <w:pPr>
        <w:spacing w:before="100" w:after="100" w:line="276" w:lineRule="auto"/>
        <w:jc w:val="both"/>
      </w:pPr>
    </w:p>
    <w:p w14:paraId="3444C41B" w14:textId="77777777" w:rsidR="00F8061C" w:rsidRPr="00F8061C" w:rsidRDefault="00720555" w:rsidP="009E77D4">
      <w:pPr>
        <w:spacing w:line="276" w:lineRule="auto"/>
        <w:jc w:val="both"/>
      </w:pPr>
      <w:r>
        <w:rPr>
          <w:b/>
          <w:bCs/>
        </w:rPr>
        <w:t xml:space="preserve">Table </w:t>
      </w:r>
      <w:r w:rsidR="006D21D5">
        <w:rPr>
          <w:b/>
          <w:bCs/>
        </w:rPr>
        <w:t>3</w:t>
      </w:r>
      <w:r w:rsidR="00644331">
        <w:rPr>
          <w:b/>
          <w:bCs/>
        </w:rPr>
        <w:t>.</w:t>
      </w:r>
      <w:r w:rsidR="00F8061C" w:rsidRPr="00F8061C">
        <w:rPr>
          <w:b/>
          <w:bCs/>
        </w:rPr>
        <w:t xml:space="preserve"> Correlation between malaria severity and cytokine profile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610"/>
        <w:gridCol w:w="1350"/>
      </w:tblGrid>
      <w:tr w:rsidR="00BD4EE2" w:rsidRPr="00F8061C" w14:paraId="4CC18F54" w14:textId="77777777" w:rsidTr="00EF5090">
        <w:tc>
          <w:tcPr>
            <w:tcW w:w="2178" w:type="dxa"/>
            <w:tcBorders>
              <w:bottom w:val="single" w:sz="4" w:space="0" w:color="auto"/>
            </w:tcBorders>
          </w:tcPr>
          <w:p w14:paraId="4D2419DF" w14:textId="77777777" w:rsidR="00BD4EE2" w:rsidRPr="00F8061C" w:rsidRDefault="00BD4EE2" w:rsidP="009E77D4">
            <w:pPr>
              <w:spacing w:line="276" w:lineRule="auto"/>
              <w:jc w:val="both"/>
              <w:rPr>
                <w:rFonts w:ascii="Times New Roman" w:hAnsi="Times New Roman" w:cs="Times New Roman"/>
                <w:b/>
                <w:bCs/>
                <w:sz w:val="24"/>
                <w:szCs w:val="24"/>
              </w:rPr>
            </w:pPr>
            <w:r w:rsidRPr="00F8061C">
              <w:rPr>
                <w:rFonts w:ascii="Times New Roman" w:hAnsi="Times New Roman" w:cs="Times New Roman"/>
                <w:b/>
                <w:bCs/>
                <w:sz w:val="24"/>
                <w:szCs w:val="24"/>
              </w:rPr>
              <w:t>Cytokines</w:t>
            </w:r>
          </w:p>
        </w:tc>
        <w:tc>
          <w:tcPr>
            <w:tcW w:w="2610" w:type="dxa"/>
            <w:tcBorders>
              <w:bottom w:val="single" w:sz="4" w:space="0" w:color="auto"/>
            </w:tcBorders>
          </w:tcPr>
          <w:p w14:paraId="7D016696" w14:textId="77777777" w:rsidR="00BD4EE2" w:rsidRPr="00F8061C" w:rsidRDefault="00BD4EE2" w:rsidP="009E77D4">
            <w:pPr>
              <w:spacing w:line="276" w:lineRule="auto"/>
              <w:jc w:val="both"/>
              <w:rPr>
                <w:rFonts w:ascii="Times New Roman" w:hAnsi="Times New Roman" w:cs="Times New Roman"/>
                <w:b/>
                <w:bCs/>
                <w:sz w:val="24"/>
                <w:szCs w:val="24"/>
              </w:rPr>
            </w:pPr>
            <w:r w:rsidRPr="00F8061C">
              <w:rPr>
                <w:rFonts w:ascii="Times New Roman" w:hAnsi="Times New Roman" w:cs="Times New Roman"/>
                <w:b/>
                <w:bCs/>
                <w:sz w:val="24"/>
                <w:szCs w:val="24"/>
              </w:rPr>
              <w:t>Correlation coefficient</w:t>
            </w:r>
          </w:p>
        </w:tc>
        <w:tc>
          <w:tcPr>
            <w:tcW w:w="1350" w:type="dxa"/>
            <w:tcBorders>
              <w:bottom w:val="single" w:sz="4" w:space="0" w:color="auto"/>
            </w:tcBorders>
          </w:tcPr>
          <w:p w14:paraId="39C97BE2" w14:textId="77777777" w:rsidR="00BD4EE2" w:rsidRPr="00F8061C" w:rsidRDefault="00BD4EE2" w:rsidP="009E77D4">
            <w:pPr>
              <w:spacing w:line="276" w:lineRule="auto"/>
              <w:jc w:val="both"/>
              <w:rPr>
                <w:rFonts w:ascii="Times New Roman" w:hAnsi="Times New Roman" w:cs="Times New Roman"/>
                <w:b/>
                <w:bCs/>
                <w:sz w:val="24"/>
                <w:szCs w:val="24"/>
              </w:rPr>
            </w:pPr>
            <w:r w:rsidRPr="00F8061C">
              <w:rPr>
                <w:rFonts w:ascii="Times New Roman" w:hAnsi="Times New Roman" w:cs="Times New Roman"/>
                <w:b/>
                <w:bCs/>
                <w:sz w:val="24"/>
                <w:szCs w:val="24"/>
              </w:rPr>
              <w:t>p-value</w:t>
            </w:r>
          </w:p>
        </w:tc>
      </w:tr>
      <w:tr w:rsidR="00BD4EE2" w:rsidRPr="00F8061C" w14:paraId="78CABF2D" w14:textId="77777777" w:rsidTr="00EF5090">
        <w:tc>
          <w:tcPr>
            <w:tcW w:w="2178" w:type="dxa"/>
            <w:tcBorders>
              <w:top w:val="single" w:sz="4" w:space="0" w:color="auto"/>
              <w:bottom w:val="nil"/>
            </w:tcBorders>
          </w:tcPr>
          <w:p w14:paraId="38A46468" w14:textId="77777777" w:rsidR="00BD4EE2" w:rsidRPr="00F8061C" w:rsidRDefault="00BD4EE2" w:rsidP="009E77D4">
            <w:pPr>
              <w:spacing w:line="276" w:lineRule="auto"/>
              <w:jc w:val="both"/>
              <w:rPr>
                <w:rFonts w:ascii="Times New Roman" w:hAnsi="Times New Roman" w:cs="Times New Roman"/>
                <w:sz w:val="24"/>
                <w:szCs w:val="24"/>
              </w:rPr>
            </w:pPr>
            <w:r w:rsidRPr="00F8061C">
              <w:rPr>
                <w:rFonts w:ascii="Times New Roman" w:hAnsi="Times New Roman" w:cs="Times New Roman"/>
                <w:sz w:val="24"/>
                <w:szCs w:val="24"/>
              </w:rPr>
              <w:t>IL-10 (</w:t>
            </w:r>
            <w:proofErr w:type="spellStart"/>
            <w:r w:rsidRPr="00F8061C">
              <w:rPr>
                <w:rFonts w:ascii="Times New Roman" w:hAnsi="Times New Roman" w:cs="Times New Roman"/>
                <w:sz w:val="24"/>
                <w:szCs w:val="24"/>
              </w:rPr>
              <w:t>pg</w:t>
            </w:r>
            <w:proofErr w:type="spellEnd"/>
            <w:r w:rsidRPr="00F8061C">
              <w:rPr>
                <w:rFonts w:ascii="Times New Roman" w:hAnsi="Times New Roman" w:cs="Times New Roman"/>
                <w:sz w:val="24"/>
                <w:szCs w:val="24"/>
              </w:rPr>
              <w:t>/mL)</w:t>
            </w:r>
          </w:p>
        </w:tc>
        <w:tc>
          <w:tcPr>
            <w:tcW w:w="2610" w:type="dxa"/>
            <w:tcBorders>
              <w:top w:val="single" w:sz="4" w:space="0" w:color="auto"/>
              <w:bottom w:val="nil"/>
            </w:tcBorders>
          </w:tcPr>
          <w:p w14:paraId="15ACB563"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0.637</w:t>
            </w:r>
          </w:p>
        </w:tc>
        <w:tc>
          <w:tcPr>
            <w:tcW w:w="1350" w:type="dxa"/>
            <w:tcBorders>
              <w:top w:val="single" w:sz="4" w:space="0" w:color="auto"/>
              <w:bottom w:val="nil"/>
            </w:tcBorders>
          </w:tcPr>
          <w:p w14:paraId="1DB75502"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0.248</w:t>
            </w:r>
          </w:p>
        </w:tc>
      </w:tr>
      <w:tr w:rsidR="00BD4EE2" w:rsidRPr="00F8061C" w14:paraId="0660B60A" w14:textId="77777777" w:rsidTr="00EF5090">
        <w:tc>
          <w:tcPr>
            <w:tcW w:w="2178" w:type="dxa"/>
            <w:tcBorders>
              <w:top w:val="nil"/>
            </w:tcBorders>
          </w:tcPr>
          <w:p w14:paraId="15152466" w14:textId="77777777" w:rsidR="00BD4EE2" w:rsidRPr="00F8061C" w:rsidRDefault="00BD4EE2" w:rsidP="009E77D4">
            <w:pPr>
              <w:spacing w:line="276" w:lineRule="auto"/>
              <w:jc w:val="both"/>
              <w:rPr>
                <w:rFonts w:ascii="Times New Roman" w:hAnsi="Times New Roman" w:cs="Times New Roman"/>
                <w:sz w:val="24"/>
                <w:szCs w:val="24"/>
              </w:rPr>
            </w:pPr>
            <w:r w:rsidRPr="00F8061C">
              <w:rPr>
                <w:rFonts w:ascii="Times New Roman" w:hAnsi="Times New Roman" w:cs="Times New Roman"/>
                <w:sz w:val="24"/>
                <w:szCs w:val="24"/>
              </w:rPr>
              <w:t>TNF-α (</w:t>
            </w:r>
            <w:proofErr w:type="spellStart"/>
            <w:r w:rsidRPr="00F8061C">
              <w:rPr>
                <w:rFonts w:ascii="Times New Roman" w:hAnsi="Times New Roman" w:cs="Times New Roman"/>
                <w:sz w:val="24"/>
                <w:szCs w:val="24"/>
              </w:rPr>
              <w:t>pg</w:t>
            </w:r>
            <w:proofErr w:type="spellEnd"/>
            <w:r w:rsidRPr="00F8061C">
              <w:rPr>
                <w:rFonts w:ascii="Times New Roman" w:hAnsi="Times New Roman" w:cs="Times New Roman"/>
                <w:sz w:val="24"/>
                <w:szCs w:val="24"/>
              </w:rPr>
              <w:t>/mL)</w:t>
            </w:r>
          </w:p>
        </w:tc>
        <w:tc>
          <w:tcPr>
            <w:tcW w:w="2610" w:type="dxa"/>
            <w:tcBorders>
              <w:top w:val="nil"/>
            </w:tcBorders>
          </w:tcPr>
          <w:p w14:paraId="67222B0E"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0.389</w:t>
            </w:r>
          </w:p>
        </w:tc>
        <w:tc>
          <w:tcPr>
            <w:tcW w:w="1350" w:type="dxa"/>
            <w:tcBorders>
              <w:top w:val="nil"/>
            </w:tcBorders>
          </w:tcPr>
          <w:p w14:paraId="24DA954C"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0.517</w:t>
            </w:r>
          </w:p>
        </w:tc>
      </w:tr>
      <w:tr w:rsidR="00BD4EE2" w14:paraId="7D695D1F" w14:textId="77777777" w:rsidTr="00EF5090">
        <w:tc>
          <w:tcPr>
            <w:tcW w:w="2178" w:type="dxa"/>
          </w:tcPr>
          <w:p w14:paraId="47345681" w14:textId="77777777" w:rsidR="00BD4EE2" w:rsidRPr="00F8061C" w:rsidRDefault="00BD4EE2" w:rsidP="009E77D4">
            <w:pPr>
              <w:spacing w:line="276" w:lineRule="auto"/>
              <w:jc w:val="both"/>
              <w:rPr>
                <w:rFonts w:ascii="Times New Roman" w:hAnsi="Times New Roman" w:cs="Times New Roman"/>
                <w:sz w:val="24"/>
                <w:szCs w:val="24"/>
              </w:rPr>
            </w:pPr>
            <w:r w:rsidRPr="00F8061C">
              <w:rPr>
                <w:rFonts w:ascii="Times New Roman" w:hAnsi="Times New Roman" w:cs="Times New Roman"/>
                <w:sz w:val="24"/>
                <w:szCs w:val="24"/>
              </w:rPr>
              <w:t>IL-6 (</w:t>
            </w:r>
            <w:proofErr w:type="spellStart"/>
            <w:r w:rsidRPr="00F8061C">
              <w:rPr>
                <w:rFonts w:ascii="Times New Roman" w:hAnsi="Times New Roman" w:cs="Times New Roman"/>
                <w:sz w:val="24"/>
                <w:szCs w:val="24"/>
              </w:rPr>
              <w:t>pg</w:t>
            </w:r>
            <w:proofErr w:type="spellEnd"/>
            <w:r w:rsidRPr="00F8061C">
              <w:rPr>
                <w:rFonts w:ascii="Times New Roman" w:hAnsi="Times New Roman" w:cs="Times New Roman"/>
                <w:sz w:val="24"/>
                <w:szCs w:val="24"/>
              </w:rPr>
              <w:t>/mL)</w:t>
            </w:r>
          </w:p>
        </w:tc>
        <w:tc>
          <w:tcPr>
            <w:tcW w:w="2610" w:type="dxa"/>
          </w:tcPr>
          <w:p w14:paraId="3DE76788"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0.441</w:t>
            </w:r>
          </w:p>
        </w:tc>
        <w:tc>
          <w:tcPr>
            <w:tcW w:w="1350" w:type="dxa"/>
          </w:tcPr>
          <w:p w14:paraId="717BAFFC" w14:textId="77777777" w:rsidR="00BD4EE2" w:rsidRPr="00F8061C" w:rsidRDefault="00BD4EE2"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0.457</w:t>
            </w:r>
          </w:p>
        </w:tc>
      </w:tr>
    </w:tbl>
    <w:p w14:paraId="187F8052" w14:textId="031E0FFA" w:rsidR="009006C2" w:rsidRDefault="009006C2" w:rsidP="009006C2">
      <w:pPr>
        <w:spacing w:before="80"/>
        <w:rPr>
          <w:i/>
          <w:iCs/>
        </w:rPr>
      </w:pPr>
      <w:r w:rsidRPr="009006C2">
        <w:rPr>
          <w:i/>
          <w:iCs/>
          <w:highlight w:val="yellow"/>
        </w:rPr>
        <w:t>n=20</w:t>
      </w:r>
    </w:p>
    <w:p w14:paraId="4E266D31" w14:textId="39053999" w:rsidR="00C31E0F" w:rsidRPr="00D70696" w:rsidRDefault="003F414B" w:rsidP="009006C2">
      <w:pPr>
        <w:spacing w:before="80"/>
        <w:rPr>
          <w:i/>
          <w:iCs/>
        </w:rPr>
      </w:pPr>
      <w:r>
        <w:rPr>
          <w:i/>
          <w:iCs/>
        </w:rPr>
        <w:t>Pearson</w:t>
      </w:r>
      <w:r w:rsidR="00E643F5" w:rsidRPr="00D70696">
        <w:rPr>
          <w:i/>
          <w:iCs/>
        </w:rPr>
        <w:t>'s correlation; Significance set at p &lt; 0.05.</w:t>
      </w:r>
    </w:p>
    <w:p w14:paraId="3337BF40" w14:textId="77777777" w:rsidR="00F8061C" w:rsidRDefault="00F8061C" w:rsidP="009E77D4">
      <w:pPr>
        <w:spacing w:before="80" w:after="160" w:line="276" w:lineRule="auto"/>
        <w:rPr>
          <w:b/>
          <w:bCs/>
        </w:rPr>
      </w:pPr>
    </w:p>
    <w:p w14:paraId="7CB0DAE7" w14:textId="77777777" w:rsidR="003D71BF" w:rsidRPr="00D70696" w:rsidRDefault="00E643F5" w:rsidP="009E77D4">
      <w:pPr>
        <w:spacing w:before="80" w:after="160" w:line="276" w:lineRule="auto"/>
      </w:pPr>
      <w:r w:rsidRPr="00D70696">
        <w:rPr>
          <w:b/>
          <w:bCs/>
        </w:rPr>
        <w:t>Discussion</w:t>
      </w:r>
    </w:p>
    <w:p w14:paraId="27CADC43" w14:textId="2AC504A0" w:rsidR="003D71BF" w:rsidRPr="00D70696" w:rsidRDefault="00E643F5" w:rsidP="009E77D4">
      <w:pPr>
        <w:spacing w:before="100" w:after="100" w:line="276" w:lineRule="auto"/>
        <w:jc w:val="both"/>
      </w:pPr>
      <w:r w:rsidRPr="00D70696">
        <w:t xml:space="preserve">The present study </w:t>
      </w:r>
      <w:r w:rsidR="00EB54B5">
        <w:t>investigated</w:t>
      </w:r>
      <w:r w:rsidRPr="00D70696">
        <w:t xml:space="preserve"> the demographic characteristics of patients presenting for malaria diagnosis and evaluated plasma cytokine responses across Negative, Moderate, and High </w:t>
      </w:r>
      <w:r w:rsidRPr="00D70696">
        <w:rPr>
          <w:i/>
        </w:rPr>
        <w:t>P</w:t>
      </w:r>
      <w:r w:rsidR="00C07AEC">
        <w:rPr>
          <w:i/>
        </w:rPr>
        <w:t>.</w:t>
      </w:r>
      <w:r w:rsidRPr="00D70696">
        <w:t xml:space="preserve"> </w:t>
      </w:r>
      <w:r w:rsidRPr="00D70696">
        <w:rPr>
          <w:i/>
        </w:rPr>
        <w:t>falciparum</w:t>
      </w:r>
      <w:r w:rsidRPr="00D70696">
        <w:t xml:space="preserve"> </w:t>
      </w:r>
      <w:proofErr w:type="spellStart"/>
      <w:r w:rsidRPr="00D70696">
        <w:t>parasitaemia</w:t>
      </w:r>
      <w:proofErr w:type="spellEnd"/>
      <w:r w:rsidRPr="00D70696">
        <w:t xml:space="preserve"> groups at Lulu Briggs Health Centre, University of Port Harcourt. The </w:t>
      </w:r>
      <w:r w:rsidRPr="00D70696">
        <w:lastRenderedPageBreak/>
        <w:t>findings provide insights into the immunological profile of a predominantly adult, malaria-endemic population.</w:t>
      </w:r>
    </w:p>
    <w:p w14:paraId="3A78E07C" w14:textId="77777777" w:rsidR="00827A8F" w:rsidRDefault="00827A8F" w:rsidP="009E77D4">
      <w:pPr>
        <w:spacing w:before="100" w:after="100" w:line="276" w:lineRule="auto"/>
        <w:jc w:val="both"/>
      </w:pPr>
    </w:p>
    <w:p w14:paraId="2C70B20F" w14:textId="25CCBCEF" w:rsidR="003D71BF" w:rsidRPr="00D70696" w:rsidRDefault="00E643F5" w:rsidP="009E77D4">
      <w:pPr>
        <w:spacing w:before="100" w:after="100" w:line="276" w:lineRule="auto"/>
        <w:jc w:val="both"/>
      </w:pPr>
      <w:r w:rsidRPr="00D70696">
        <w:t xml:space="preserve">The demographic data </w:t>
      </w:r>
      <w:r w:rsidR="00743085">
        <w:t xml:space="preserve">in </w:t>
      </w:r>
      <w:r w:rsidR="00743085" w:rsidRPr="00573CE8">
        <w:rPr>
          <w:b/>
        </w:rPr>
        <w:t>Table 1</w:t>
      </w:r>
      <w:r w:rsidR="00743085">
        <w:t xml:space="preserve"> </w:t>
      </w:r>
      <w:r w:rsidRPr="00D70696">
        <w:t xml:space="preserve">revealed that females constituted the majority of both the Moderate (83.33%) and High (71.42%) </w:t>
      </w:r>
      <w:proofErr w:type="spellStart"/>
      <w:r w:rsidRPr="00D70696">
        <w:t>parasitaemia</w:t>
      </w:r>
      <w:proofErr w:type="spellEnd"/>
      <w:r w:rsidRPr="00D70696">
        <w:t xml:space="preserve"> groups. The mean age of positive participants was lower than that of the Negative group (31.2 years and 26.8 years versus 39.5 years). These patterns may reflect the biological </w:t>
      </w:r>
      <w:r w:rsidR="00700771">
        <w:t xml:space="preserve">and environmental </w:t>
      </w:r>
      <w:r w:rsidRPr="00D70696">
        <w:t>susceptibility of younger women, particularly those in reproductive age brackets, to malaria infection</w:t>
      </w:r>
      <w:r w:rsidR="00700771">
        <w:t xml:space="preserve"> according to existing study by </w:t>
      </w:r>
      <w:r w:rsidR="00700771" w:rsidRPr="00700771">
        <w:t>Das</w:t>
      </w:r>
      <w:r w:rsidR="00700771">
        <w:t xml:space="preserve"> et al. </w:t>
      </w:r>
      <w:r w:rsidR="00903CFA">
        <w:t>[22]</w:t>
      </w:r>
      <w:r w:rsidR="00700771">
        <w:t xml:space="preserve"> who reported that hormonal influences like the estrogen and progesterone are capable of suppressing cell-mediated immunity during pregnancy, while iron can affect </w:t>
      </w:r>
      <w:r w:rsidR="00700771" w:rsidRPr="00457147">
        <w:rPr>
          <w:i/>
        </w:rPr>
        <w:t>Plasmodium</w:t>
      </w:r>
      <w:r w:rsidR="00700771">
        <w:t xml:space="preserve"> replication.</w:t>
      </w:r>
      <w:r w:rsidR="005B4F8E">
        <w:t xml:space="preserve"> </w:t>
      </w:r>
      <w:r w:rsidRPr="00D70696">
        <w:t>The relative absence of participants in the ≥60 age group from both positive groups may suggest acquired partial immunity through decades of repeated exposure, a phenomenon well-documen</w:t>
      </w:r>
      <w:r w:rsidR="00566B86">
        <w:t xml:space="preserve">ted in highly endemic settings </w:t>
      </w:r>
      <w:r w:rsidR="00DE12B3">
        <w:t>[23</w:t>
      </w:r>
      <w:r w:rsidR="00566B86">
        <w:t>]</w:t>
      </w:r>
      <w:r w:rsidRPr="00D70696">
        <w:t>.</w:t>
      </w:r>
    </w:p>
    <w:p w14:paraId="66554AB6" w14:textId="77777777" w:rsidR="00827A8F" w:rsidRDefault="00827A8F" w:rsidP="009E77D4">
      <w:pPr>
        <w:spacing w:before="100" w:after="100" w:line="276" w:lineRule="auto"/>
        <w:jc w:val="both"/>
      </w:pPr>
    </w:p>
    <w:p w14:paraId="7A6BBA5E" w14:textId="4A48CFB6" w:rsidR="003D71BF" w:rsidRPr="00D70696" w:rsidRDefault="00573CE8" w:rsidP="009E77D4">
      <w:pPr>
        <w:spacing w:before="100" w:after="100" w:line="276" w:lineRule="auto"/>
        <w:jc w:val="both"/>
      </w:pPr>
      <w:r>
        <w:t xml:space="preserve">The data in </w:t>
      </w:r>
      <w:r w:rsidRPr="00573CE8">
        <w:rPr>
          <w:b/>
        </w:rPr>
        <w:t>Table 2</w:t>
      </w:r>
      <w:r>
        <w:t xml:space="preserve"> represents t</w:t>
      </w:r>
      <w:r w:rsidR="00E643F5" w:rsidRPr="00D70696">
        <w:t xml:space="preserve">he most significant cytokine finding in this study was the marked elevation of IL-10 in the High </w:t>
      </w:r>
      <w:proofErr w:type="spellStart"/>
      <w:r w:rsidR="00E643F5" w:rsidRPr="00D70696">
        <w:t>parasitaemia</w:t>
      </w:r>
      <w:proofErr w:type="spellEnd"/>
      <w:r w:rsidR="00E643F5" w:rsidRPr="00D70696">
        <w:t xml:space="preserve"> group compared to the Negative control group (p = 0.001). This finding </w:t>
      </w:r>
      <w:proofErr w:type="gramStart"/>
      <w:r w:rsidR="00E643F5" w:rsidRPr="00D70696">
        <w:t>is in agreement</w:t>
      </w:r>
      <w:proofErr w:type="gramEnd"/>
      <w:r w:rsidR="00E643F5" w:rsidRPr="00D70696">
        <w:t xml:space="preserve"> with reports by </w:t>
      </w:r>
      <w:proofErr w:type="spellStart"/>
      <w:r w:rsidR="00E643F5" w:rsidRPr="00D70696">
        <w:t>Wroczyńska</w:t>
      </w:r>
      <w:proofErr w:type="spellEnd"/>
      <w:r w:rsidR="00E643F5" w:rsidRPr="00D70696">
        <w:t xml:space="preserve"> et al. </w:t>
      </w:r>
      <w:r w:rsidR="00DE12B3">
        <w:t>[24</w:t>
      </w:r>
      <w:r w:rsidR="00C13B7B">
        <w:t>]</w:t>
      </w:r>
      <w:r w:rsidR="00E643F5" w:rsidRPr="00D70696">
        <w:t xml:space="preserve">, who found an association between IL-10 and malaria, and with Edward et al. </w:t>
      </w:r>
      <w:r w:rsidR="00DE12B3">
        <w:t>[25]</w:t>
      </w:r>
      <w:r w:rsidR="00E643F5" w:rsidRPr="00D70696">
        <w:t xml:space="preserve"> and </w:t>
      </w:r>
      <w:r w:rsidR="00E90D42" w:rsidRPr="00E90D42">
        <w:t xml:space="preserve">Barkat </w:t>
      </w:r>
      <w:r w:rsidR="00E643F5" w:rsidRPr="00D70696">
        <w:t xml:space="preserve">et al. </w:t>
      </w:r>
      <w:r w:rsidR="00DE12B3">
        <w:t>[26]</w:t>
      </w:r>
      <w:r w:rsidR="00E643F5" w:rsidRPr="00D70696">
        <w:t xml:space="preserve">, who similarly documented significantly higher IL-10 in </w:t>
      </w:r>
      <w:proofErr w:type="spellStart"/>
      <w:r w:rsidR="00E643F5" w:rsidRPr="00D70696">
        <w:t>parasitaemic</w:t>
      </w:r>
      <w:proofErr w:type="spellEnd"/>
      <w:r w:rsidR="00E643F5" w:rsidRPr="00D70696">
        <w:t xml:space="preserve"> groups compared to non-</w:t>
      </w:r>
      <w:proofErr w:type="spellStart"/>
      <w:r w:rsidR="00E643F5" w:rsidRPr="00D70696">
        <w:t>parasitaemic</w:t>
      </w:r>
      <w:proofErr w:type="spellEnd"/>
      <w:r w:rsidR="00E643F5" w:rsidRPr="00D70696">
        <w:t xml:space="preserve"> controls. IL-10, as an anti-inflammatory cytokine of the TH2 immune arm, may exert a dual function: stimulating humoral immunity through antibody production while simultaneously suppressing pro-inflammatory effectors such as TNF-α and IL-6 </w:t>
      </w:r>
      <w:r w:rsidR="00DE12B3">
        <w:t>[27]</w:t>
      </w:r>
      <w:r w:rsidR="00E643F5" w:rsidRPr="00D70696">
        <w:t xml:space="preserve">. In malaria-endemic adults, elevated IL-10 may </w:t>
      </w:r>
      <w:r w:rsidR="00122EDC">
        <w:t>therefore</w:t>
      </w:r>
      <w:r w:rsidR="00E643F5" w:rsidRPr="00D70696">
        <w:t xml:space="preserve"> facilitate parasite tolerance by dampening the inflammatory response, a mechanism that could allow higher parasite loads to be sustained without proportionate clinical severity.</w:t>
      </w:r>
    </w:p>
    <w:p w14:paraId="789B1043" w14:textId="77777777" w:rsidR="00827A8F" w:rsidRDefault="00827A8F" w:rsidP="009E77D4">
      <w:pPr>
        <w:spacing w:before="100" w:after="100" w:line="276" w:lineRule="auto"/>
        <w:jc w:val="both"/>
      </w:pPr>
    </w:p>
    <w:p w14:paraId="11D9AEF3" w14:textId="712020E6" w:rsidR="003D71BF" w:rsidRPr="00D70696" w:rsidRDefault="00E643F5" w:rsidP="009E77D4">
      <w:pPr>
        <w:spacing w:before="100" w:after="100" w:line="276" w:lineRule="auto"/>
        <w:jc w:val="both"/>
      </w:pPr>
      <w:r w:rsidRPr="00D70696">
        <w:t>TNF-</w:t>
      </w:r>
      <w:r w:rsidR="007F447F">
        <w:t>α exhibited a non-significant in</w:t>
      </w:r>
      <w:r w:rsidRPr="00D70696">
        <w:t xml:space="preserve">creasing trend with increasing </w:t>
      </w:r>
      <w:proofErr w:type="spellStart"/>
      <w:r w:rsidRPr="00D70696">
        <w:t>parasitaemia</w:t>
      </w:r>
      <w:proofErr w:type="spellEnd"/>
      <w:r w:rsidRPr="00D70696">
        <w:t xml:space="preserve"> (p = 0.517). This observation </w:t>
      </w:r>
      <w:r w:rsidR="00D203DB" w:rsidRPr="00D203DB">
        <w:t>contrasts with the sharp, significant elevations reported by Grau et al</w:t>
      </w:r>
      <w:r w:rsidR="00D203DB">
        <w:t>.</w:t>
      </w:r>
      <w:r w:rsidRPr="00D70696">
        <w:t xml:space="preserve"> </w:t>
      </w:r>
      <w:r w:rsidR="007830FF">
        <w:t>[11]</w:t>
      </w:r>
      <w:r w:rsidRPr="00D70696">
        <w:t xml:space="preserve">, who documented elevated TNF-α in children with severe </w:t>
      </w:r>
      <w:r w:rsidRPr="00D70696">
        <w:rPr>
          <w:i/>
        </w:rPr>
        <w:t>falciparum</w:t>
      </w:r>
      <w:r w:rsidRPr="00D70696">
        <w:t xml:space="preserve"> malaria</w:t>
      </w:r>
      <w:r w:rsidR="00D203DB">
        <w:t>, suggesting that among endemic adult population, the pro-inflammatory response is suppressed rather than completely absent</w:t>
      </w:r>
      <w:r w:rsidRPr="00D70696">
        <w:t xml:space="preserve">. However, the blunted TNF-α response observed here is consistent with the findings of </w:t>
      </w:r>
      <w:proofErr w:type="spellStart"/>
      <w:r w:rsidRPr="00D70696">
        <w:t>Ademolue</w:t>
      </w:r>
      <w:proofErr w:type="spellEnd"/>
      <w:r w:rsidRPr="00D70696">
        <w:t xml:space="preserve"> et al</w:t>
      </w:r>
      <w:r w:rsidR="009D2E16">
        <w:t xml:space="preserve"> [15]</w:t>
      </w:r>
      <w:r w:rsidRPr="00D70696">
        <w:t xml:space="preserve">, who demonstrated that pro-inflammatory cytokine levels decrease with increasing malaria transmission intensity and that transmission intensity is a stronger predictor of cytokine levels than age, gender, or </w:t>
      </w:r>
      <w:proofErr w:type="spellStart"/>
      <w:r w:rsidRPr="00D70696">
        <w:t>parasitaemia</w:t>
      </w:r>
      <w:proofErr w:type="spellEnd"/>
      <w:r w:rsidRPr="00D70696">
        <w:t xml:space="preserve"> alone. Given that Rivers State is hyperendemic for </w:t>
      </w:r>
      <w:r w:rsidRPr="00D70696">
        <w:rPr>
          <w:i/>
        </w:rPr>
        <w:t>P. falciparum</w:t>
      </w:r>
      <w:r w:rsidRPr="00D70696">
        <w:t xml:space="preserve">, it is plausible that the chronically exposed adult </w:t>
      </w:r>
      <w:r w:rsidR="00EF578D">
        <w:t>sample</w:t>
      </w:r>
      <w:r w:rsidRPr="00D70696">
        <w:t xml:space="preserve"> in this study has developed immune tolerance characterized by suppressed TNF-α responses. This interpretation is further supported by Farrington et al. </w:t>
      </w:r>
      <w:r w:rsidR="00176144">
        <w:t>[16],</w:t>
      </w:r>
      <w:r w:rsidRPr="00D70696">
        <w:t xml:space="preserve"> who reported blunting of both pro-inflammatory and anti-inflammatory cytokine responses with increasing age in highly exposed children.</w:t>
      </w:r>
    </w:p>
    <w:p w14:paraId="7863F112" w14:textId="77777777" w:rsidR="00827A8F" w:rsidRDefault="00827A8F" w:rsidP="009E77D4">
      <w:pPr>
        <w:spacing w:before="100" w:after="100" w:line="276" w:lineRule="auto"/>
        <w:jc w:val="both"/>
      </w:pPr>
    </w:p>
    <w:p w14:paraId="67194B0F" w14:textId="25290F8C" w:rsidR="003D71BF" w:rsidRPr="00D70696" w:rsidRDefault="00E643F5" w:rsidP="009E77D4">
      <w:pPr>
        <w:spacing w:before="100" w:after="100" w:line="276" w:lineRule="auto"/>
        <w:jc w:val="both"/>
      </w:pPr>
      <w:r w:rsidRPr="00D70696">
        <w:t xml:space="preserve">IL-6 was highest in the Moderate </w:t>
      </w:r>
      <w:proofErr w:type="spellStart"/>
      <w:r w:rsidRPr="00D70696">
        <w:t>parasitaemia</w:t>
      </w:r>
      <w:proofErr w:type="spellEnd"/>
      <w:r w:rsidRPr="00D70696">
        <w:t xml:space="preserve"> group relative to both controls and the High group, though the differences were non-significant (p = 0.457)</w:t>
      </w:r>
      <w:r w:rsidR="006150CC">
        <w:t xml:space="preserve"> </w:t>
      </w:r>
      <w:r w:rsidR="006150CC" w:rsidRPr="00FB527B">
        <w:rPr>
          <w:highlight w:val="yellow"/>
        </w:rPr>
        <w:t xml:space="preserve">but then larger studies are needed to make stronger </w:t>
      </w:r>
      <w:r w:rsidR="00FB527B">
        <w:rPr>
          <w:highlight w:val="yellow"/>
        </w:rPr>
        <w:t xml:space="preserve">and more valid </w:t>
      </w:r>
      <w:r w:rsidR="006150CC" w:rsidRPr="00FB527B">
        <w:rPr>
          <w:highlight w:val="yellow"/>
        </w:rPr>
        <w:t>inference</w:t>
      </w:r>
      <w:r w:rsidRPr="00FB527B">
        <w:rPr>
          <w:highlight w:val="yellow"/>
        </w:rPr>
        <w:t>.</w:t>
      </w:r>
      <w:r w:rsidRPr="00D70696">
        <w:t xml:space="preserve"> This </w:t>
      </w:r>
      <w:r w:rsidR="0015508F">
        <w:t>outcome</w:t>
      </w:r>
      <w:r w:rsidRPr="00D70696">
        <w:t xml:space="preserve"> </w:t>
      </w:r>
      <w:r w:rsidR="00D33A02">
        <w:t>agrees</w:t>
      </w:r>
      <w:r w:rsidRPr="00D70696">
        <w:t xml:space="preserve"> with findings by </w:t>
      </w:r>
      <w:proofErr w:type="spellStart"/>
      <w:r w:rsidR="008B62F1" w:rsidRPr="008B62F1">
        <w:t>Wokem</w:t>
      </w:r>
      <w:proofErr w:type="spellEnd"/>
      <w:r w:rsidR="008B62F1" w:rsidRPr="008B62F1">
        <w:t xml:space="preserve"> </w:t>
      </w:r>
      <w:r w:rsidR="008B62F1">
        <w:t xml:space="preserve">et al. </w:t>
      </w:r>
      <w:r w:rsidR="008800D2">
        <w:t>[28]</w:t>
      </w:r>
      <w:r w:rsidRPr="00D70696">
        <w:t xml:space="preserve"> and may be attributable to erythrocyte destruction in the High </w:t>
      </w:r>
      <w:proofErr w:type="spellStart"/>
      <w:r w:rsidRPr="00D70696">
        <w:t>parasitaemia</w:t>
      </w:r>
      <w:proofErr w:type="spellEnd"/>
      <w:r w:rsidRPr="00D70696">
        <w:t xml:space="preserve"> group. IL-6 plays a pivotal role in red blood cell metabolism, including activating heme progenitors and inducing iron transport to the liver and bone marrow; with extensive erythrocyte lysis in high </w:t>
      </w:r>
      <w:proofErr w:type="spellStart"/>
      <w:r w:rsidRPr="00D70696">
        <w:t>parasitaemia</w:t>
      </w:r>
      <w:proofErr w:type="spellEnd"/>
      <w:r w:rsidRPr="00D70696">
        <w:t xml:space="preserve">, the pool of cells producing IL-6 may be reduced, resulting in relatively lower IL-6 concentrations </w:t>
      </w:r>
      <w:r w:rsidR="00372B65">
        <w:t>[27]</w:t>
      </w:r>
      <w:r w:rsidRPr="00D70696">
        <w:t>.</w:t>
      </w:r>
    </w:p>
    <w:p w14:paraId="61833B38" w14:textId="77777777" w:rsidR="00827A8F" w:rsidRDefault="00827A8F" w:rsidP="009E77D4">
      <w:pPr>
        <w:spacing w:before="100" w:after="100" w:line="276" w:lineRule="auto"/>
        <w:jc w:val="both"/>
      </w:pPr>
    </w:p>
    <w:p w14:paraId="506173C9" w14:textId="21C5E4AD" w:rsidR="003D71BF" w:rsidRPr="00D70696" w:rsidRDefault="004B19BD" w:rsidP="009E77D4">
      <w:pPr>
        <w:spacing w:before="100" w:after="100" w:line="276" w:lineRule="auto"/>
        <w:jc w:val="both"/>
      </w:pPr>
      <w:r w:rsidRPr="004B19BD">
        <w:rPr>
          <w:highlight w:val="yellow"/>
        </w:rPr>
        <w:t>Pearson</w:t>
      </w:r>
      <w:r w:rsidR="00E643F5" w:rsidRPr="00D70696">
        <w:t xml:space="preserve"> correlation analysis revealed no statistically significant association between parasite density and any of the three cytokines studied, in agreement with </w:t>
      </w:r>
      <w:r w:rsidR="00E90D42" w:rsidRPr="00E90D42">
        <w:t xml:space="preserve">Barkat </w:t>
      </w:r>
      <w:r w:rsidR="00E643F5" w:rsidRPr="00D70696">
        <w:t xml:space="preserve">et al. </w:t>
      </w:r>
      <w:r w:rsidR="001531FD">
        <w:t>[26]</w:t>
      </w:r>
      <w:r w:rsidR="00E643F5" w:rsidRPr="00D70696">
        <w:t xml:space="preserve">. The highest correlation coefficient was observed for IL-10 (r = 0.637), suggesting a moderate positive trend that, while non-significant in this sample, </w:t>
      </w:r>
      <w:r w:rsidR="00D33A02">
        <w:t>needs to be</w:t>
      </w:r>
      <w:r w:rsidR="00E643F5" w:rsidRPr="00D70696">
        <w:t xml:space="preserve"> </w:t>
      </w:r>
      <w:r w:rsidR="00D33A02">
        <w:t xml:space="preserve">studied further </w:t>
      </w:r>
      <w:r w:rsidR="00E643F5" w:rsidRPr="00D70696">
        <w:t>in larger cohorts. The absence of significant correlations is likely reflective of the immune tolerance characteristic of endemic adult populations, rather than an absence of a true biological relationship.</w:t>
      </w:r>
    </w:p>
    <w:p w14:paraId="128EBF1E" w14:textId="77777777" w:rsidR="00827A8F" w:rsidRDefault="00827A8F" w:rsidP="009E77D4">
      <w:pPr>
        <w:spacing w:before="100" w:after="100" w:line="276" w:lineRule="auto"/>
        <w:jc w:val="both"/>
      </w:pPr>
    </w:p>
    <w:p w14:paraId="45A3D118" w14:textId="3A87A9EE" w:rsidR="006F5339" w:rsidRPr="00D70696" w:rsidRDefault="00E643F5" w:rsidP="009E77D4">
      <w:pPr>
        <w:spacing w:before="100" w:after="100" w:line="276" w:lineRule="auto"/>
        <w:jc w:val="both"/>
      </w:pPr>
      <w:r w:rsidRPr="00D70696">
        <w:t xml:space="preserve">These findings have important clinical implications. The elevation of IL-10 in high </w:t>
      </w:r>
      <w:proofErr w:type="spellStart"/>
      <w:r w:rsidRPr="00D70696">
        <w:t>parasitaemia</w:t>
      </w:r>
      <w:proofErr w:type="spellEnd"/>
      <w:r w:rsidRPr="00D70696">
        <w:t xml:space="preserve">, even in the absence of proportionate TNF-α responses, supports the hypothesis that IL-10 </w:t>
      </w:r>
      <w:r w:rsidRPr="006150CC">
        <w:rPr>
          <w:highlight w:val="yellow"/>
        </w:rPr>
        <w:t xml:space="preserve">may </w:t>
      </w:r>
      <w:r w:rsidR="006150CC" w:rsidRPr="006150CC">
        <w:rPr>
          <w:highlight w:val="yellow"/>
        </w:rPr>
        <w:t>be elevated</w:t>
      </w:r>
      <w:r w:rsidR="006150CC">
        <w:t xml:space="preserve"> in this</w:t>
      </w:r>
      <w:r w:rsidRPr="00D70696">
        <w:t xml:space="preserve"> populations. If validated in larger studies, IL-10 assays could </w:t>
      </w:r>
      <w:r w:rsidR="008C2640">
        <w:t>provide</w:t>
      </w:r>
      <w:r w:rsidRPr="00D70696">
        <w:t xml:space="preserve"> a complementary </w:t>
      </w:r>
      <w:r w:rsidR="00CA00EF">
        <w:t>technique</w:t>
      </w:r>
      <w:r w:rsidRPr="00D70696">
        <w:t xml:space="preserve"> to traditional microscopy in settings where parasite density and inflammatory burden need to be tracked simultaneously. </w:t>
      </w:r>
      <w:r w:rsidR="00DC51AD">
        <w:t>Additionally</w:t>
      </w:r>
      <w:r w:rsidRPr="00D70696">
        <w:t xml:space="preserve">, the suppressed pro-inflammatory responses seen in this </w:t>
      </w:r>
      <w:r w:rsidR="00060EFC">
        <w:t>sample</w:t>
      </w:r>
      <w:r w:rsidRPr="00D70696">
        <w:t xml:space="preserve"> </w:t>
      </w:r>
      <w:r w:rsidR="00F23E55">
        <w:t>reveals</w:t>
      </w:r>
      <w:r w:rsidRPr="00D70696">
        <w:t xml:space="preserve"> the need to interpret cytokine data within the context of transmission intensity and chronicity of exposure.</w:t>
      </w:r>
      <w:r w:rsidR="004B19BD">
        <w:t xml:space="preserve"> </w:t>
      </w:r>
      <w:r w:rsidR="004B19BD" w:rsidRPr="002E527E">
        <w:rPr>
          <w:highlight w:val="yellow"/>
        </w:rPr>
        <w:t xml:space="preserve">While these implications are necessary to mention, we must understand a key limitation in the sample distribution among subgroups which could limit the generalization of the result outcomes. Some age groups had very low </w:t>
      </w:r>
      <w:r w:rsidR="002E527E" w:rsidRPr="002E527E">
        <w:rPr>
          <w:highlight w:val="yellow"/>
        </w:rPr>
        <w:t>participants reasonable enough to make valid conclusion</w:t>
      </w:r>
      <w:r w:rsidR="0038050B" w:rsidRPr="00887011">
        <w:rPr>
          <w:highlight w:val="yellow"/>
        </w:rPr>
        <w:t>.</w:t>
      </w:r>
      <w:r w:rsidR="00887011" w:rsidRPr="00887011">
        <w:rPr>
          <w:highlight w:val="yellow"/>
        </w:rPr>
        <w:t xml:space="preserve"> Also, small positive-group sizes and cross-sectional design may affect result generalization.</w:t>
      </w:r>
    </w:p>
    <w:p w14:paraId="74F44001" w14:textId="77777777" w:rsidR="00827A8F" w:rsidRDefault="00827A8F" w:rsidP="009E77D4">
      <w:pPr>
        <w:spacing w:before="100" w:after="100" w:line="276" w:lineRule="auto"/>
        <w:jc w:val="both"/>
        <w:rPr>
          <w:b/>
          <w:bCs/>
        </w:rPr>
      </w:pPr>
    </w:p>
    <w:p w14:paraId="38994ED9" w14:textId="09469CA6" w:rsidR="003D71BF" w:rsidRPr="00D70696" w:rsidRDefault="00E643F5" w:rsidP="009E77D4">
      <w:pPr>
        <w:spacing w:before="100" w:after="100" w:line="276" w:lineRule="auto"/>
        <w:jc w:val="both"/>
      </w:pPr>
      <w:r w:rsidRPr="00D70696">
        <w:rPr>
          <w:b/>
          <w:bCs/>
        </w:rPr>
        <w:t>5. Conclusion</w:t>
      </w:r>
    </w:p>
    <w:p w14:paraId="6C72BF75" w14:textId="5BACCC8F" w:rsidR="003D71BF" w:rsidRPr="00D70696" w:rsidRDefault="00E643F5" w:rsidP="009E77D4">
      <w:pPr>
        <w:spacing w:before="100" w:after="100" w:line="276" w:lineRule="auto"/>
        <w:jc w:val="both"/>
      </w:pPr>
      <w:r w:rsidRPr="00D70696">
        <w:t xml:space="preserve">This study </w:t>
      </w:r>
      <w:r w:rsidR="00F23E55">
        <w:t>established</w:t>
      </w:r>
      <w:r w:rsidRPr="00D70696">
        <w:t xml:space="preserve"> that plasma IL-10 is significantly elevated in patients with high </w:t>
      </w:r>
      <w:r w:rsidRPr="00D70696">
        <w:rPr>
          <w:i/>
        </w:rPr>
        <w:t>P</w:t>
      </w:r>
      <w:r w:rsidR="00C07AEC">
        <w:rPr>
          <w:i/>
        </w:rPr>
        <w:t>.</w:t>
      </w:r>
      <w:r w:rsidRPr="00D70696">
        <w:rPr>
          <w:i/>
        </w:rPr>
        <w:t xml:space="preserve"> falciparum</w:t>
      </w:r>
      <w:r w:rsidRPr="00D70696">
        <w:t xml:space="preserve"> </w:t>
      </w:r>
      <w:proofErr w:type="spellStart"/>
      <w:r w:rsidRPr="00D70696">
        <w:t>parasitaemia</w:t>
      </w:r>
      <w:proofErr w:type="spellEnd"/>
      <w:r w:rsidRPr="00D70696">
        <w:t xml:space="preserve"> compared to malaria-negative controls at Lulu Briggs Health Centre, University of Port Harcourt. The absence of corresponding elevations in TNF-α and IL-6, combined with the non-significant correlations between parasite density and individual cytokines, is consistent with immune tolerance in a chronically exposed, malaria-endemic adult population. The demographic data indicate a predominance of younger females in the </w:t>
      </w:r>
      <w:proofErr w:type="spellStart"/>
      <w:r w:rsidRPr="00D70696">
        <w:t>parasitaemia</w:t>
      </w:r>
      <w:proofErr w:type="spellEnd"/>
      <w:r w:rsidRPr="00D70696">
        <w:t>-positive groups, highlighting the continued vulnerability of women of reproductive age to malaria infection in this setting.</w:t>
      </w:r>
    </w:p>
    <w:p w14:paraId="0927E989" w14:textId="7BF19EF6" w:rsidR="003D71BF" w:rsidRDefault="00E643F5" w:rsidP="009E77D4">
      <w:pPr>
        <w:spacing w:before="100" w:after="100" w:line="276" w:lineRule="auto"/>
        <w:jc w:val="both"/>
      </w:pPr>
      <w:r w:rsidRPr="00D70696">
        <w:lastRenderedPageBreak/>
        <w:t>IL-10 may represent a potential proxy indicator for parasite burden and warrants further investigation as a biomarker for malaria severity in endemic populations. Routine malaria diagnosis and prompt treatment are strongly recommended in endemic areas, as pro</w:t>
      </w:r>
      <w:r w:rsidR="001410A4" w:rsidRPr="00D70696">
        <w:t xml:space="preserve">longed subclinical </w:t>
      </w:r>
      <w:proofErr w:type="spellStart"/>
      <w:r w:rsidR="001410A4" w:rsidRPr="00D70696">
        <w:t>parasitaemia</w:t>
      </w:r>
      <w:proofErr w:type="spellEnd"/>
      <w:r w:rsidR="001410A4" w:rsidRPr="00D70696">
        <w:t xml:space="preserve">, </w:t>
      </w:r>
      <w:r w:rsidRPr="00D70696">
        <w:t>facilitated by cyt</w:t>
      </w:r>
      <w:r w:rsidR="001410A4" w:rsidRPr="00D70696">
        <w:t xml:space="preserve">okine-mediated immune tolerance, </w:t>
      </w:r>
      <w:r w:rsidRPr="00D70696">
        <w:t xml:space="preserve">may allow </w:t>
      </w:r>
      <w:r w:rsidRPr="00D70696">
        <w:rPr>
          <w:i/>
        </w:rPr>
        <w:t>P</w:t>
      </w:r>
      <w:r w:rsidR="00C07AEC">
        <w:rPr>
          <w:i/>
        </w:rPr>
        <w:t>.</w:t>
      </w:r>
      <w:r w:rsidRPr="00D70696">
        <w:rPr>
          <w:i/>
        </w:rPr>
        <w:t xml:space="preserve"> falciparum</w:t>
      </w:r>
      <w:r w:rsidRPr="00D70696">
        <w:t xml:space="preserve"> to accumulate and adhere to sensitive tissues, potentially precipitating severe complications including cerebral malaria and </w:t>
      </w:r>
      <w:proofErr w:type="spellStart"/>
      <w:r w:rsidRPr="00D70696">
        <w:t>hypoglycaemia</w:t>
      </w:r>
      <w:proofErr w:type="spellEnd"/>
      <w:r w:rsidRPr="00D70696">
        <w:t xml:space="preserve">. Future studies with larger, age-stratified samples and longitudinal cytokine profiling would further clarify the relationship between </w:t>
      </w:r>
      <w:proofErr w:type="spellStart"/>
      <w:r w:rsidRPr="00D70696">
        <w:t>parasitaemia</w:t>
      </w:r>
      <w:proofErr w:type="spellEnd"/>
      <w:r w:rsidRPr="00D70696">
        <w:t>, cytokine kinetics, and clinical outcomes in this population.</w:t>
      </w:r>
    </w:p>
    <w:p w14:paraId="1F0F5145" w14:textId="77777777" w:rsidR="00C21E2D" w:rsidRPr="00EE1A0C" w:rsidRDefault="00C21E2D" w:rsidP="00C21E2D">
      <w:pPr>
        <w:spacing w:before="100" w:after="100" w:line="276" w:lineRule="auto"/>
        <w:jc w:val="both"/>
        <w:rPr>
          <w:b/>
        </w:rPr>
      </w:pPr>
      <w:r w:rsidRPr="00EE1A0C">
        <w:rPr>
          <w:b/>
        </w:rPr>
        <w:t xml:space="preserve">Ethical </w:t>
      </w:r>
      <w:r>
        <w:rPr>
          <w:b/>
        </w:rPr>
        <w:t>Approval</w:t>
      </w:r>
    </w:p>
    <w:p w14:paraId="29AD833C" w14:textId="77777777" w:rsidR="00C21E2D" w:rsidRDefault="00C21E2D" w:rsidP="00C21E2D">
      <w:pPr>
        <w:spacing w:before="100" w:after="100" w:line="276" w:lineRule="auto"/>
        <w:jc w:val="both"/>
      </w:pPr>
      <w:r w:rsidRPr="00D70696">
        <w:t>Ethical approval was obtained from the ethics committees of both the University of Port Harcourt and the University of Port Harcourt Teaching Hospital prior to commencement of the study.</w:t>
      </w:r>
    </w:p>
    <w:p w14:paraId="5B3C5F1A" w14:textId="36195D56" w:rsidR="009330A0" w:rsidRDefault="009330A0" w:rsidP="009E77D4">
      <w:pPr>
        <w:spacing w:before="100" w:after="100" w:line="276" w:lineRule="auto"/>
        <w:jc w:val="both"/>
      </w:pPr>
    </w:p>
    <w:p w14:paraId="0DD6780D" w14:textId="77777777" w:rsidR="009330A0" w:rsidRPr="009330A0" w:rsidRDefault="009330A0" w:rsidP="009330A0">
      <w:pPr>
        <w:rPr>
          <w:rFonts w:eastAsia="Calibri"/>
          <w:kern w:val="2"/>
          <w:sz w:val="22"/>
          <w:szCs w:val="22"/>
          <w:highlight w:val="yellow"/>
        </w:rPr>
      </w:pPr>
      <w:bookmarkStart w:id="1" w:name="_Hlk198031404"/>
      <w:r w:rsidRPr="009330A0">
        <w:rPr>
          <w:rFonts w:eastAsia="Calibri"/>
          <w:kern w:val="2"/>
          <w:sz w:val="22"/>
          <w:szCs w:val="22"/>
          <w:highlight w:val="yellow"/>
        </w:rPr>
        <w:t>Disclaimer (Artificial intelligence)</w:t>
      </w:r>
    </w:p>
    <w:p w14:paraId="77C84E58" w14:textId="77777777" w:rsidR="009330A0" w:rsidRPr="009330A0" w:rsidRDefault="009330A0" w:rsidP="009330A0">
      <w:pPr>
        <w:rPr>
          <w:rFonts w:eastAsia="Calibri"/>
          <w:kern w:val="2"/>
          <w:sz w:val="22"/>
          <w:szCs w:val="22"/>
          <w:highlight w:val="yellow"/>
        </w:rPr>
      </w:pPr>
    </w:p>
    <w:p w14:paraId="5A727054" w14:textId="77777777" w:rsidR="009330A0" w:rsidRPr="009330A0" w:rsidRDefault="009330A0" w:rsidP="009330A0">
      <w:pPr>
        <w:rPr>
          <w:rFonts w:eastAsia="Calibri"/>
          <w:kern w:val="2"/>
          <w:sz w:val="22"/>
          <w:szCs w:val="22"/>
          <w:highlight w:val="yellow"/>
        </w:rPr>
      </w:pPr>
      <w:r w:rsidRPr="009330A0">
        <w:rPr>
          <w:rFonts w:eastAsia="Calibri"/>
          <w:kern w:val="2"/>
          <w:sz w:val="22"/>
          <w:szCs w:val="22"/>
          <w:highlight w:val="yellow"/>
        </w:rPr>
        <w:t>Author(s) hereby declare that NO generative AI technologies such as Large Language Models (</w:t>
      </w:r>
      <w:proofErr w:type="spellStart"/>
      <w:r w:rsidRPr="009330A0">
        <w:rPr>
          <w:rFonts w:eastAsia="Calibri"/>
          <w:kern w:val="2"/>
          <w:sz w:val="22"/>
          <w:szCs w:val="22"/>
          <w:highlight w:val="yellow"/>
        </w:rPr>
        <w:t>ChatGPT</w:t>
      </w:r>
      <w:proofErr w:type="spellEnd"/>
      <w:r w:rsidRPr="009330A0">
        <w:rPr>
          <w:rFonts w:eastAsia="Calibri"/>
          <w:kern w:val="2"/>
          <w:sz w:val="22"/>
          <w:szCs w:val="22"/>
          <w:highlight w:val="yellow"/>
        </w:rPr>
        <w:t xml:space="preserve">, COPILOT, etc.) and text-to-image generators have been used during the writing or editing of this manuscript. </w:t>
      </w:r>
    </w:p>
    <w:bookmarkEnd w:id="1"/>
    <w:p w14:paraId="061E6D82" w14:textId="77777777" w:rsidR="009330A0" w:rsidRPr="00D70696" w:rsidRDefault="009330A0" w:rsidP="009E77D4">
      <w:pPr>
        <w:spacing w:before="100" w:after="100" w:line="276" w:lineRule="auto"/>
        <w:jc w:val="both"/>
      </w:pPr>
    </w:p>
    <w:p w14:paraId="5B36F453" w14:textId="77777777" w:rsidR="009E5B64" w:rsidRDefault="00E643F5" w:rsidP="009E77D4">
      <w:pPr>
        <w:pStyle w:val="Heading1"/>
        <w:spacing w:line="276" w:lineRule="auto"/>
        <w:rPr>
          <w:sz w:val="24"/>
          <w:szCs w:val="24"/>
        </w:rPr>
      </w:pPr>
      <w:r w:rsidRPr="00D70696">
        <w:rPr>
          <w:sz w:val="24"/>
          <w:szCs w:val="24"/>
        </w:rPr>
        <w:t>References</w:t>
      </w:r>
    </w:p>
    <w:p w14:paraId="6647FFE6" w14:textId="77777777" w:rsidR="009E5B64" w:rsidRPr="009E5B64" w:rsidRDefault="009E5B64" w:rsidP="009E77D4">
      <w:pPr>
        <w:pStyle w:val="Heading1"/>
        <w:numPr>
          <w:ilvl w:val="0"/>
          <w:numId w:val="3"/>
        </w:numPr>
        <w:spacing w:line="276" w:lineRule="auto"/>
        <w:jc w:val="both"/>
        <w:rPr>
          <w:sz w:val="24"/>
          <w:szCs w:val="24"/>
        </w:rPr>
      </w:pPr>
      <w:r w:rsidRPr="009E5B64">
        <w:rPr>
          <w:b w:val="0"/>
          <w:sz w:val="24"/>
          <w:szCs w:val="24"/>
        </w:rPr>
        <w:t>World Health Organization. Malaria: Fact sheet. Geneva: WHO; 2025 Dec 4 [cited 2026 Mar 27]. Available from: https://www.who.int/news-room/fact-sheets/detail/malaria</w:t>
      </w:r>
    </w:p>
    <w:p w14:paraId="7330FC09" w14:textId="77777777" w:rsid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World Health Organization. World malaria report 2017. Geneva: WHO; 2017. Available from: </w:t>
      </w:r>
      <w:hyperlink r:id="rId7" w:history="1">
        <w:r w:rsidRPr="00F57433">
          <w:rPr>
            <w:rStyle w:val="Hyperlink"/>
            <w:b w:val="0"/>
            <w:sz w:val="24"/>
            <w:szCs w:val="24"/>
          </w:rPr>
          <w:t>https://apps.who.int/iris/bitstream/10665/259492</w:t>
        </w:r>
      </w:hyperlink>
    </w:p>
    <w:p w14:paraId="3941CB2C" w14:textId="77777777" w:rsidR="009E5B64" w:rsidRPr="009E5B64" w:rsidRDefault="009E5B64" w:rsidP="009E77D4">
      <w:pPr>
        <w:pStyle w:val="ListParagraph"/>
        <w:numPr>
          <w:ilvl w:val="0"/>
          <w:numId w:val="3"/>
        </w:numPr>
        <w:spacing w:line="276" w:lineRule="auto"/>
        <w:jc w:val="both"/>
      </w:pPr>
      <w:r w:rsidRPr="009E5B64">
        <w:t xml:space="preserve">Centers for Disease Control and Prevention. Malaria – </w:t>
      </w:r>
      <w:proofErr w:type="spellStart"/>
      <w:r w:rsidRPr="009E5B64">
        <w:t>DPDx</w:t>
      </w:r>
      <w:proofErr w:type="spellEnd"/>
      <w:r w:rsidRPr="009E5B64">
        <w:t xml:space="preserve"> laboratory identification of parasites of public health concern. Atlanta (GA): CDC; 2024 [cited 2026 Mar 27]. Available from: https://www.cdc.gov/dpdx/malaria/index.html</w:t>
      </w:r>
    </w:p>
    <w:p w14:paraId="2C1C3206"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World Health Organization. Severe malaria. Trop Med Int Health. 2014;19(Suppl 1):7–131. Available from: https://www.who.int/malaria/publications/atoz/severe-malaria-tmih-supplement-2014.pdf</w:t>
      </w:r>
    </w:p>
    <w:p w14:paraId="50B7DE41"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Malaria Genomic Epidemiology Network. Insights into malaria susceptibility using genome-wide data on 17,000 individuals from Africa, Asia and Oceania. Nat </w:t>
      </w:r>
      <w:proofErr w:type="spellStart"/>
      <w:r w:rsidRPr="009E5B64">
        <w:rPr>
          <w:b w:val="0"/>
          <w:sz w:val="24"/>
          <w:szCs w:val="24"/>
        </w:rPr>
        <w:t>Commun</w:t>
      </w:r>
      <w:proofErr w:type="spellEnd"/>
      <w:r w:rsidRPr="009E5B64">
        <w:rPr>
          <w:b w:val="0"/>
          <w:sz w:val="24"/>
          <w:szCs w:val="24"/>
        </w:rPr>
        <w:t xml:space="preserve">. </w:t>
      </w:r>
      <w:proofErr w:type="gramStart"/>
      <w:r w:rsidRPr="009E5B64">
        <w:rPr>
          <w:b w:val="0"/>
          <w:sz w:val="24"/>
          <w:szCs w:val="24"/>
        </w:rPr>
        <w:t>2019;10:5732</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10.1038/s41467-019-13480-z.</w:t>
      </w:r>
    </w:p>
    <w:p w14:paraId="38D647CB"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Centers for Disease Control and Prevention. Malaria. Atlanta (GA): CDC; 2019 [cited 2026 Mar 27]. Available from: https://www.cdc.gov/malaria</w:t>
      </w:r>
    </w:p>
    <w:p w14:paraId="0F8D0AF8"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lastRenderedPageBreak/>
        <w:t>Antwi</w:t>
      </w:r>
      <w:proofErr w:type="spellEnd"/>
      <w:r w:rsidRPr="009E5B64">
        <w:rPr>
          <w:b w:val="0"/>
          <w:sz w:val="24"/>
          <w:szCs w:val="24"/>
        </w:rPr>
        <w:t xml:space="preserve">-Baffour S, Mensah BT, </w:t>
      </w:r>
      <w:proofErr w:type="spellStart"/>
      <w:r w:rsidRPr="009E5B64">
        <w:rPr>
          <w:b w:val="0"/>
          <w:sz w:val="24"/>
          <w:szCs w:val="24"/>
        </w:rPr>
        <w:t>Annison</w:t>
      </w:r>
      <w:proofErr w:type="spellEnd"/>
      <w:r w:rsidRPr="009E5B64">
        <w:rPr>
          <w:b w:val="0"/>
          <w:sz w:val="24"/>
          <w:szCs w:val="24"/>
        </w:rPr>
        <w:t xml:space="preserve"> L. Overview of the host immune response to Plasmodium falciparum malaria. J </w:t>
      </w:r>
      <w:proofErr w:type="spellStart"/>
      <w:r w:rsidRPr="009E5B64">
        <w:rPr>
          <w:b w:val="0"/>
          <w:sz w:val="24"/>
          <w:szCs w:val="24"/>
        </w:rPr>
        <w:t>Parasitol</w:t>
      </w:r>
      <w:proofErr w:type="spellEnd"/>
      <w:r w:rsidRPr="009E5B64">
        <w:rPr>
          <w:b w:val="0"/>
          <w:sz w:val="24"/>
          <w:szCs w:val="24"/>
        </w:rPr>
        <w:t xml:space="preserve"> Dis. 2025;49(3):548–564.</w:t>
      </w:r>
    </w:p>
    <w:p w14:paraId="30EA85DD"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Segbefia</w:t>
      </w:r>
      <w:proofErr w:type="spellEnd"/>
      <w:r w:rsidRPr="009E5B64">
        <w:rPr>
          <w:b w:val="0"/>
          <w:sz w:val="24"/>
          <w:szCs w:val="24"/>
        </w:rPr>
        <w:t xml:space="preserve"> SP, </w:t>
      </w:r>
      <w:proofErr w:type="spellStart"/>
      <w:r w:rsidRPr="009E5B64">
        <w:rPr>
          <w:b w:val="0"/>
          <w:sz w:val="24"/>
          <w:szCs w:val="24"/>
        </w:rPr>
        <w:t>Asandem</w:t>
      </w:r>
      <w:proofErr w:type="spellEnd"/>
      <w:r w:rsidRPr="009E5B64">
        <w:rPr>
          <w:b w:val="0"/>
          <w:sz w:val="24"/>
          <w:szCs w:val="24"/>
        </w:rPr>
        <w:t xml:space="preserve"> DD, Amoah LE, </w:t>
      </w:r>
      <w:proofErr w:type="spellStart"/>
      <w:r w:rsidRPr="009E5B64">
        <w:rPr>
          <w:b w:val="0"/>
          <w:sz w:val="24"/>
          <w:szCs w:val="24"/>
        </w:rPr>
        <w:t>Kusi</w:t>
      </w:r>
      <w:proofErr w:type="spellEnd"/>
      <w:r w:rsidRPr="009E5B64">
        <w:rPr>
          <w:b w:val="0"/>
          <w:sz w:val="24"/>
          <w:szCs w:val="24"/>
        </w:rPr>
        <w:t xml:space="preserve"> KA. Cytokine gene polymorphisms implicated in the pathogenesis of Plasmodium falciparum infection outcome. Front Immunol. </w:t>
      </w:r>
      <w:proofErr w:type="gramStart"/>
      <w:r w:rsidRPr="009E5B64">
        <w:rPr>
          <w:b w:val="0"/>
          <w:sz w:val="24"/>
          <w:szCs w:val="24"/>
        </w:rPr>
        <w:t>2024;15:1285411</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10.3389/fimmu.2024.1285411.</w:t>
      </w:r>
    </w:p>
    <w:p w14:paraId="301E4AD9"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Kaiser G. Cytokines important in innate immunity. Baltimore: Community College of Baltimore County; 2019. Section 11.3C.</w:t>
      </w:r>
    </w:p>
    <w:p w14:paraId="152A3F53"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Perkins DL, Were T, Gregory C, Davenport GC, </w:t>
      </w:r>
      <w:proofErr w:type="spellStart"/>
      <w:r w:rsidRPr="009E5B64">
        <w:rPr>
          <w:b w:val="0"/>
          <w:sz w:val="24"/>
          <w:szCs w:val="24"/>
        </w:rPr>
        <w:t>Hittner</w:t>
      </w:r>
      <w:proofErr w:type="spellEnd"/>
      <w:r w:rsidRPr="009E5B64">
        <w:rPr>
          <w:b w:val="0"/>
          <w:sz w:val="24"/>
          <w:szCs w:val="24"/>
        </w:rPr>
        <w:t xml:space="preserve"> JB, </w:t>
      </w:r>
      <w:proofErr w:type="spellStart"/>
      <w:r w:rsidRPr="009E5B64">
        <w:rPr>
          <w:b w:val="0"/>
          <w:sz w:val="24"/>
          <w:szCs w:val="24"/>
        </w:rPr>
        <w:t>Ong’echa</w:t>
      </w:r>
      <w:proofErr w:type="spellEnd"/>
      <w:r w:rsidRPr="009E5B64">
        <w:rPr>
          <w:b w:val="0"/>
          <w:sz w:val="24"/>
          <w:szCs w:val="24"/>
        </w:rPr>
        <w:t xml:space="preserve"> JM. Severe malarial anemia: innate immunity and pathogenesis. Int J Biol Sci. 2011;7(9):1427–1442.</w:t>
      </w:r>
    </w:p>
    <w:p w14:paraId="10CC1A7D" w14:textId="77777777" w:rsidR="009E5B64" w:rsidRPr="009E5B64" w:rsidRDefault="009E5B64" w:rsidP="009E77D4">
      <w:pPr>
        <w:pStyle w:val="Heading1"/>
        <w:numPr>
          <w:ilvl w:val="0"/>
          <w:numId w:val="3"/>
        </w:numPr>
        <w:spacing w:line="276" w:lineRule="auto"/>
        <w:jc w:val="both"/>
        <w:rPr>
          <w:b w:val="0"/>
          <w:sz w:val="24"/>
          <w:szCs w:val="24"/>
        </w:rPr>
      </w:pPr>
      <w:r w:rsidRPr="009330A0">
        <w:rPr>
          <w:b w:val="0"/>
          <w:sz w:val="24"/>
          <w:szCs w:val="24"/>
          <w:lang w:val="fr-FR"/>
        </w:rPr>
        <w:t xml:space="preserve">Grau GE, Taylor TE, </w:t>
      </w:r>
      <w:proofErr w:type="spellStart"/>
      <w:r w:rsidRPr="009330A0">
        <w:rPr>
          <w:b w:val="0"/>
          <w:sz w:val="24"/>
          <w:szCs w:val="24"/>
          <w:lang w:val="fr-FR"/>
        </w:rPr>
        <w:t>Molyneux</w:t>
      </w:r>
      <w:proofErr w:type="spellEnd"/>
      <w:r w:rsidRPr="009330A0">
        <w:rPr>
          <w:b w:val="0"/>
          <w:sz w:val="24"/>
          <w:szCs w:val="24"/>
          <w:lang w:val="fr-FR"/>
        </w:rPr>
        <w:t xml:space="preserve"> ME, </w:t>
      </w:r>
      <w:proofErr w:type="spellStart"/>
      <w:r w:rsidRPr="009330A0">
        <w:rPr>
          <w:b w:val="0"/>
          <w:sz w:val="24"/>
          <w:szCs w:val="24"/>
          <w:lang w:val="fr-FR"/>
        </w:rPr>
        <w:t>Wirima</w:t>
      </w:r>
      <w:proofErr w:type="spellEnd"/>
      <w:r w:rsidRPr="009330A0">
        <w:rPr>
          <w:b w:val="0"/>
          <w:sz w:val="24"/>
          <w:szCs w:val="24"/>
          <w:lang w:val="fr-FR"/>
        </w:rPr>
        <w:t xml:space="preserve"> JJ, </w:t>
      </w:r>
      <w:proofErr w:type="spellStart"/>
      <w:r w:rsidRPr="009330A0">
        <w:rPr>
          <w:b w:val="0"/>
          <w:sz w:val="24"/>
          <w:szCs w:val="24"/>
          <w:lang w:val="fr-FR"/>
        </w:rPr>
        <w:t>Vassalli</w:t>
      </w:r>
      <w:proofErr w:type="spellEnd"/>
      <w:r w:rsidRPr="009330A0">
        <w:rPr>
          <w:b w:val="0"/>
          <w:sz w:val="24"/>
          <w:szCs w:val="24"/>
          <w:lang w:val="fr-FR"/>
        </w:rPr>
        <w:t xml:space="preserve"> P, Hommel M, et al. </w:t>
      </w:r>
      <w:r w:rsidRPr="009E5B64">
        <w:rPr>
          <w:b w:val="0"/>
          <w:sz w:val="24"/>
          <w:szCs w:val="24"/>
        </w:rPr>
        <w:t xml:space="preserve">Tumor necrosis factor and disease severity in children with falciparum malaria. N </w:t>
      </w:r>
      <w:proofErr w:type="spellStart"/>
      <w:r w:rsidRPr="009E5B64">
        <w:rPr>
          <w:b w:val="0"/>
          <w:sz w:val="24"/>
          <w:szCs w:val="24"/>
        </w:rPr>
        <w:t>Engl</w:t>
      </w:r>
      <w:proofErr w:type="spellEnd"/>
      <w:r w:rsidRPr="009E5B64">
        <w:rPr>
          <w:b w:val="0"/>
          <w:sz w:val="24"/>
          <w:szCs w:val="24"/>
        </w:rPr>
        <w:t xml:space="preserve"> J Med. 1989;320(24):1586–1591.</w:t>
      </w:r>
    </w:p>
    <w:p w14:paraId="0120DDE5"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Tanaka T, </w:t>
      </w:r>
      <w:proofErr w:type="spellStart"/>
      <w:r w:rsidRPr="009E5B64">
        <w:rPr>
          <w:b w:val="0"/>
          <w:sz w:val="24"/>
          <w:szCs w:val="24"/>
        </w:rPr>
        <w:t>Narazaki</w:t>
      </w:r>
      <w:proofErr w:type="spellEnd"/>
      <w:r w:rsidRPr="009E5B64">
        <w:rPr>
          <w:b w:val="0"/>
          <w:sz w:val="24"/>
          <w:szCs w:val="24"/>
        </w:rPr>
        <w:t xml:space="preserve"> M, </w:t>
      </w:r>
      <w:proofErr w:type="spellStart"/>
      <w:r w:rsidRPr="009E5B64">
        <w:rPr>
          <w:b w:val="0"/>
          <w:sz w:val="24"/>
          <w:szCs w:val="24"/>
        </w:rPr>
        <w:t>Kishimoto</w:t>
      </w:r>
      <w:proofErr w:type="spellEnd"/>
      <w:r w:rsidRPr="009E5B64">
        <w:rPr>
          <w:b w:val="0"/>
          <w:sz w:val="24"/>
          <w:szCs w:val="24"/>
        </w:rPr>
        <w:t xml:space="preserve"> T. IL-6 in inflammation, immunity and disease. Cold Spring </w:t>
      </w:r>
      <w:proofErr w:type="spellStart"/>
      <w:r w:rsidRPr="009E5B64">
        <w:rPr>
          <w:b w:val="0"/>
          <w:sz w:val="24"/>
          <w:szCs w:val="24"/>
        </w:rPr>
        <w:t>Harb</w:t>
      </w:r>
      <w:proofErr w:type="spellEnd"/>
      <w:r w:rsidRPr="009E5B64">
        <w:rPr>
          <w:b w:val="0"/>
          <w:sz w:val="24"/>
          <w:szCs w:val="24"/>
        </w:rPr>
        <w:t xml:space="preserve"> </w:t>
      </w:r>
      <w:proofErr w:type="spellStart"/>
      <w:r w:rsidRPr="009E5B64">
        <w:rPr>
          <w:b w:val="0"/>
          <w:sz w:val="24"/>
          <w:szCs w:val="24"/>
        </w:rPr>
        <w:t>Perspect</w:t>
      </w:r>
      <w:proofErr w:type="spellEnd"/>
      <w:r w:rsidRPr="009E5B64">
        <w:rPr>
          <w:b w:val="0"/>
          <w:sz w:val="24"/>
          <w:szCs w:val="24"/>
        </w:rPr>
        <w:t xml:space="preserve"> Biol. 2014;6(10</w:t>
      </w:r>
      <w:proofErr w:type="gramStart"/>
      <w:r w:rsidRPr="009E5B64">
        <w:rPr>
          <w:b w:val="0"/>
          <w:sz w:val="24"/>
          <w:szCs w:val="24"/>
        </w:rPr>
        <w:t>):a</w:t>
      </w:r>
      <w:proofErr w:type="gramEnd"/>
      <w:r w:rsidRPr="009E5B64">
        <w:rPr>
          <w:b w:val="0"/>
          <w:sz w:val="24"/>
          <w:szCs w:val="24"/>
        </w:rPr>
        <w:t xml:space="preserve">016295. </w:t>
      </w:r>
      <w:proofErr w:type="spellStart"/>
      <w:r w:rsidRPr="009E5B64">
        <w:rPr>
          <w:b w:val="0"/>
          <w:sz w:val="24"/>
          <w:szCs w:val="24"/>
        </w:rPr>
        <w:t>doi</w:t>
      </w:r>
      <w:proofErr w:type="spellEnd"/>
      <w:r w:rsidRPr="009E5B64">
        <w:rPr>
          <w:b w:val="0"/>
          <w:sz w:val="24"/>
          <w:szCs w:val="24"/>
        </w:rPr>
        <w:t>: 10.1101/</w:t>
      </w:r>
      <w:proofErr w:type="gramStart"/>
      <w:r w:rsidRPr="009E5B64">
        <w:rPr>
          <w:b w:val="0"/>
          <w:sz w:val="24"/>
          <w:szCs w:val="24"/>
        </w:rPr>
        <w:t>cshperspect.a</w:t>
      </w:r>
      <w:proofErr w:type="gramEnd"/>
      <w:r w:rsidRPr="009E5B64">
        <w:rPr>
          <w:b w:val="0"/>
          <w:sz w:val="24"/>
          <w:szCs w:val="24"/>
        </w:rPr>
        <w:t>016295.</w:t>
      </w:r>
    </w:p>
    <w:p w14:paraId="64ED3B4F"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Couper KN, Blount DG, Riley EM. IL-10: The master regulator of immunity to infection. J Immunol. 2008;180(9):5771–5777. </w:t>
      </w:r>
      <w:proofErr w:type="spellStart"/>
      <w:r w:rsidRPr="009E5B64">
        <w:rPr>
          <w:b w:val="0"/>
          <w:sz w:val="24"/>
          <w:szCs w:val="24"/>
        </w:rPr>
        <w:t>doi</w:t>
      </w:r>
      <w:proofErr w:type="spellEnd"/>
      <w:r w:rsidRPr="009E5B64">
        <w:rPr>
          <w:b w:val="0"/>
          <w:sz w:val="24"/>
          <w:szCs w:val="24"/>
        </w:rPr>
        <w:t>: 10.4049/jimmunol.180.9.5771.</w:t>
      </w:r>
    </w:p>
    <w:p w14:paraId="7C092A7A"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Kumar R, Ng S, </w:t>
      </w:r>
      <w:proofErr w:type="spellStart"/>
      <w:r w:rsidRPr="009E5B64">
        <w:rPr>
          <w:b w:val="0"/>
          <w:sz w:val="24"/>
          <w:szCs w:val="24"/>
        </w:rPr>
        <w:t>Engwerda</w:t>
      </w:r>
      <w:proofErr w:type="spellEnd"/>
      <w:r w:rsidRPr="009E5B64">
        <w:rPr>
          <w:b w:val="0"/>
          <w:sz w:val="24"/>
          <w:szCs w:val="24"/>
        </w:rPr>
        <w:t xml:space="preserve"> C. The role of IL-10 in malaria: a double-edged sword. Front Immunol. </w:t>
      </w:r>
      <w:proofErr w:type="gramStart"/>
      <w:r w:rsidRPr="009E5B64">
        <w:rPr>
          <w:b w:val="0"/>
          <w:sz w:val="24"/>
          <w:szCs w:val="24"/>
        </w:rPr>
        <w:t>2019;10:453</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10.3389/fimmu.2019.00453.</w:t>
      </w:r>
    </w:p>
    <w:p w14:paraId="06AF7B64"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Ademolue</w:t>
      </w:r>
      <w:proofErr w:type="spellEnd"/>
      <w:r w:rsidRPr="009E5B64">
        <w:rPr>
          <w:b w:val="0"/>
          <w:sz w:val="24"/>
          <w:szCs w:val="24"/>
        </w:rPr>
        <w:t xml:space="preserve"> TW, </w:t>
      </w:r>
      <w:proofErr w:type="spellStart"/>
      <w:r w:rsidRPr="009E5B64">
        <w:rPr>
          <w:b w:val="0"/>
          <w:sz w:val="24"/>
          <w:szCs w:val="24"/>
        </w:rPr>
        <w:t>Aniweh</w:t>
      </w:r>
      <w:proofErr w:type="spellEnd"/>
      <w:r w:rsidRPr="009E5B64">
        <w:rPr>
          <w:b w:val="0"/>
          <w:sz w:val="24"/>
          <w:szCs w:val="24"/>
        </w:rPr>
        <w:t xml:space="preserve"> Y, </w:t>
      </w:r>
      <w:proofErr w:type="spellStart"/>
      <w:r w:rsidRPr="009E5B64">
        <w:rPr>
          <w:b w:val="0"/>
          <w:sz w:val="24"/>
          <w:szCs w:val="24"/>
        </w:rPr>
        <w:t>Kusi</w:t>
      </w:r>
      <w:proofErr w:type="spellEnd"/>
      <w:r w:rsidRPr="009E5B64">
        <w:rPr>
          <w:b w:val="0"/>
          <w:sz w:val="24"/>
          <w:szCs w:val="24"/>
        </w:rPr>
        <w:t xml:space="preserve"> KA, </w:t>
      </w:r>
      <w:proofErr w:type="spellStart"/>
      <w:r w:rsidRPr="009E5B64">
        <w:rPr>
          <w:b w:val="0"/>
          <w:sz w:val="24"/>
          <w:szCs w:val="24"/>
        </w:rPr>
        <w:t>Awandare</w:t>
      </w:r>
      <w:proofErr w:type="spellEnd"/>
      <w:r w:rsidRPr="009E5B64">
        <w:rPr>
          <w:b w:val="0"/>
          <w:sz w:val="24"/>
          <w:szCs w:val="24"/>
        </w:rPr>
        <w:t xml:space="preserve"> GA. Patterns of inflammatory responses and parasite tolerance vary with malaria transmission. Malar J. </w:t>
      </w:r>
      <w:proofErr w:type="gramStart"/>
      <w:r w:rsidRPr="009E5B64">
        <w:rPr>
          <w:b w:val="0"/>
          <w:sz w:val="24"/>
          <w:szCs w:val="24"/>
        </w:rPr>
        <w:t>2017;16:145</w:t>
      </w:r>
      <w:proofErr w:type="gramEnd"/>
      <w:r w:rsidRPr="009E5B64">
        <w:rPr>
          <w:b w:val="0"/>
          <w:sz w:val="24"/>
          <w:szCs w:val="24"/>
        </w:rPr>
        <w:t>.</w:t>
      </w:r>
    </w:p>
    <w:p w14:paraId="151D628E"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Farrington L, Vance H, </w:t>
      </w:r>
      <w:proofErr w:type="spellStart"/>
      <w:r w:rsidRPr="009E5B64">
        <w:rPr>
          <w:b w:val="0"/>
          <w:sz w:val="24"/>
          <w:szCs w:val="24"/>
        </w:rPr>
        <w:t>Rek</w:t>
      </w:r>
      <w:proofErr w:type="spellEnd"/>
      <w:r w:rsidRPr="009E5B64">
        <w:rPr>
          <w:b w:val="0"/>
          <w:sz w:val="24"/>
          <w:szCs w:val="24"/>
        </w:rPr>
        <w:t xml:space="preserve"> J, </w:t>
      </w:r>
      <w:proofErr w:type="spellStart"/>
      <w:r w:rsidRPr="009E5B64">
        <w:rPr>
          <w:b w:val="0"/>
          <w:sz w:val="24"/>
          <w:szCs w:val="24"/>
        </w:rPr>
        <w:t>Prahl</w:t>
      </w:r>
      <w:proofErr w:type="spellEnd"/>
      <w:r w:rsidRPr="009E5B64">
        <w:rPr>
          <w:b w:val="0"/>
          <w:sz w:val="24"/>
          <w:szCs w:val="24"/>
        </w:rPr>
        <w:t xml:space="preserve"> M, Jagannathan P, et al. Both inflammatory and regulatory cytokine responses to malaria are blunted with increasing age in highly exposed children. Malar J. </w:t>
      </w:r>
      <w:proofErr w:type="gramStart"/>
      <w:r w:rsidRPr="009E5B64">
        <w:rPr>
          <w:b w:val="0"/>
          <w:sz w:val="24"/>
          <w:szCs w:val="24"/>
        </w:rPr>
        <w:t>2017;16:499</w:t>
      </w:r>
      <w:proofErr w:type="gramEnd"/>
      <w:r w:rsidRPr="009E5B64">
        <w:rPr>
          <w:b w:val="0"/>
          <w:sz w:val="24"/>
          <w:szCs w:val="24"/>
        </w:rPr>
        <w:t>.</w:t>
      </w:r>
    </w:p>
    <w:p w14:paraId="235A900B"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Daniel WW. Biostatistics: a foundation for analysis in the health sciences. 7th ed. New York: Wiley; 1999.</w:t>
      </w:r>
    </w:p>
    <w:p w14:paraId="6454C126"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Wogu</w:t>
      </w:r>
      <w:proofErr w:type="spellEnd"/>
      <w:r w:rsidRPr="009E5B64">
        <w:rPr>
          <w:b w:val="0"/>
          <w:sz w:val="24"/>
          <w:szCs w:val="24"/>
        </w:rPr>
        <w:t xml:space="preserve"> MN, Nduka FO, </w:t>
      </w:r>
      <w:proofErr w:type="spellStart"/>
      <w:r w:rsidRPr="009E5B64">
        <w:rPr>
          <w:b w:val="0"/>
          <w:sz w:val="24"/>
          <w:szCs w:val="24"/>
        </w:rPr>
        <w:t>Wariso</w:t>
      </w:r>
      <w:proofErr w:type="spellEnd"/>
      <w:r w:rsidRPr="009E5B64">
        <w:rPr>
          <w:b w:val="0"/>
          <w:sz w:val="24"/>
          <w:szCs w:val="24"/>
        </w:rPr>
        <w:t xml:space="preserve"> KT. Prevalence of uncomplicated and severe malaria in outpatients of a tertiary hospital in Rivers State, Nigeria. J Appl Life Sci Int. 2017;15(3):1–5.</w:t>
      </w:r>
    </w:p>
    <w:p w14:paraId="2282AFC4"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Cheesbrough</w:t>
      </w:r>
      <w:proofErr w:type="spellEnd"/>
      <w:r w:rsidRPr="009E5B64">
        <w:rPr>
          <w:b w:val="0"/>
          <w:sz w:val="24"/>
          <w:szCs w:val="24"/>
        </w:rPr>
        <w:t xml:space="preserve"> M. District laboratory practice in tropical countries. Part 1. 2nd ed. New York: Cambridge University Press; 2006.</w:t>
      </w:r>
    </w:p>
    <w:p w14:paraId="0A9DA755"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World Health Organization. Basic malaria microscopy. 2nd ed. Geneva: WHO; 2010.</w:t>
      </w:r>
    </w:p>
    <w:p w14:paraId="5D291309"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lastRenderedPageBreak/>
        <w:t>Kloub</w:t>
      </w:r>
      <w:proofErr w:type="spellEnd"/>
      <w:r w:rsidRPr="009E5B64">
        <w:rPr>
          <w:b w:val="0"/>
          <w:sz w:val="24"/>
          <w:szCs w:val="24"/>
        </w:rPr>
        <w:t xml:space="preserve"> AA. Comparison of different methods for estimating and counting malaria parasite density. J </w:t>
      </w:r>
      <w:proofErr w:type="spellStart"/>
      <w:r w:rsidRPr="009E5B64">
        <w:rPr>
          <w:b w:val="0"/>
          <w:sz w:val="24"/>
          <w:szCs w:val="24"/>
        </w:rPr>
        <w:t>Parasit</w:t>
      </w:r>
      <w:proofErr w:type="spellEnd"/>
      <w:r w:rsidRPr="009E5B64">
        <w:rPr>
          <w:b w:val="0"/>
          <w:sz w:val="24"/>
          <w:szCs w:val="24"/>
        </w:rPr>
        <w:t xml:space="preserve"> Dis. 2019;43(3):382-391. </w:t>
      </w:r>
      <w:proofErr w:type="spellStart"/>
      <w:r w:rsidRPr="009E5B64">
        <w:rPr>
          <w:b w:val="0"/>
          <w:sz w:val="24"/>
          <w:szCs w:val="24"/>
        </w:rPr>
        <w:t>doi</w:t>
      </w:r>
      <w:proofErr w:type="spellEnd"/>
      <w:r w:rsidRPr="009E5B64">
        <w:rPr>
          <w:b w:val="0"/>
          <w:sz w:val="24"/>
          <w:szCs w:val="24"/>
        </w:rPr>
        <w:t>: 10.1007/s12639-019-01101-y.</w:t>
      </w:r>
    </w:p>
    <w:p w14:paraId="0BCC3217"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Das A, </w:t>
      </w:r>
      <w:proofErr w:type="spellStart"/>
      <w:r w:rsidRPr="009E5B64">
        <w:rPr>
          <w:b w:val="0"/>
          <w:sz w:val="24"/>
          <w:szCs w:val="24"/>
        </w:rPr>
        <w:t>Suar</w:t>
      </w:r>
      <w:proofErr w:type="spellEnd"/>
      <w:r w:rsidRPr="009E5B64">
        <w:rPr>
          <w:b w:val="0"/>
          <w:sz w:val="24"/>
          <w:szCs w:val="24"/>
        </w:rPr>
        <w:t xml:space="preserve"> M, Reddy KS. Hormones in malaria infection: influence on disease severity, host physiology, and therapeutic opportunities. </w:t>
      </w:r>
      <w:proofErr w:type="spellStart"/>
      <w:r w:rsidRPr="009E5B64">
        <w:rPr>
          <w:b w:val="0"/>
          <w:sz w:val="24"/>
          <w:szCs w:val="24"/>
        </w:rPr>
        <w:t>Biosci</w:t>
      </w:r>
      <w:proofErr w:type="spellEnd"/>
      <w:r w:rsidRPr="009E5B64">
        <w:rPr>
          <w:b w:val="0"/>
          <w:sz w:val="24"/>
          <w:szCs w:val="24"/>
        </w:rPr>
        <w:t xml:space="preserve"> Rep. 2024;44(11</w:t>
      </w:r>
      <w:proofErr w:type="gramStart"/>
      <w:r w:rsidRPr="009E5B64">
        <w:rPr>
          <w:b w:val="0"/>
          <w:sz w:val="24"/>
          <w:szCs w:val="24"/>
        </w:rPr>
        <w:t>):BSR</w:t>
      </w:r>
      <w:proofErr w:type="gramEnd"/>
      <w:r w:rsidRPr="009E5B64">
        <w:rPr>
          <w:b w:val="0"/>
          <w:sz w:val="24"/>
          <w:szCs w:val="24"/>
        </w:rPr>
        <w:t xml:space="preserve">20240482. </w:t>
      </w:r>
      <w:proofErr w:type="spellStart"/>
      <w:r w:rsidRPr="009E5B64">
        <w:rPr>
          <w:b w:val="0"/>
          <w:sz w:val="24"/>
          <w:szCs w:val="24"/>
        </w:rPr>
        <w:t>doi</w:t>
      </w:r>
      <w:proofErr w:type="spellEnd"/>
      <w:r w:rsidRPr="009E5B64">
        <w:rPr>
          <w:b w:val="0"/>
          <w:sz w:val="24"/>
          <w:szCs w:val="24"/>
        </w:rPr>
        <w:t>: 10.1042/BSR20240482.</w:t>
      </w:r>
    </w:p>
    <w:p w14:paraId="33AA4C76"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Wroczyńska</w:t>
      </w:r>
      <w:proofErr w:type="spellEnd"/>
      <w:r w:rsidRPr="009E5B64">
        <w:rPr>
          <w:b w:val="0"/>
          <w:sz w:val="24"/>
          <w:szCs w:val="24"/>
        </w:rPr>
        <w:t xml:space="preserve"> A, </w:t>
      </w:r>
      <w:proofErr w:type="spellStart"/>
      <w:r w:rsidRPr="009E5B64">
        <w:rPr>
          <w:b w:val="0"/>
          <w:sz w:val="24"/>
          <w:szCs w:val="24"/>
        </w:rPr>
        <w:t>Nahorski</w:t>
      </w:r>
      <w:proofErr w:type="spellEnd"/>
      <w:r w:rsidRPr="009E5B64">
        <w:rPr>
          <w:b w:val="0"/>
          <w:sz w:val="24"/>
          <w:szCs w:val="24"/>
        </w:rPr>
        <w:t xml:space="preserve"> W, </w:t>
      </w:r>
      <w:proofErr w:type="spellStart"/>
      <w:r w:rsidRPr="009E5B64">
        <w:rPr>
          <w:b w:val="0"/>
          <w:sz w:val="24"/>
          <w:szCs w:val="24"/>
        </w:rPr>
        <w:t>Bąkowska</w:t>
      </w:r>
      <w:proofErr w:type="spellEnd"/>
      <w:r w:rsidRPr="009E5B64">
        <w:rPr>
          <w:b w:val="0"/>
          <w:sz w:val="24"/>
          <w:szCs w:val="24"/>
        </w:rPr>
        <w:t xml:space="preserve"> A, </w:t>
      </w:r>
      <w:proofErr w:type="spellStart"/>
      <w:r w:rsidRPr="009E5B64">
        <w:rPr>
          <w:b w:val="0"/>
          <w:sz w:val="24"/>
          <w:szCs w:val="24"/>
        </w:rPr>
        <w:t>Pietkiewicz</w:t>
      </w:r>
      <w:proofErr w:type="spellEnd"/>
      <w:r w:rsidRPr="009E5B64">
        <w:rPr>
          <w:b w:val="0"/>
          <w:sz w:val="24"/>
          <w:szCs w:val="24"/>
        </w:rPr>
        <w:t xml:space="preserve"> H. Cytokines and clinical manifestations of malaria in adults with severe and uncomplicated disease. Int </w:t>
      </w:r>
      <w:proofErr w:type="spellStart"/>
      <w:r w:rsidRPr="009E5B64">
        <w:rPr>
          <w:b w:val="0"/>
          <w:sz w:val="24"/>
          <w:szCs w:val="24"/>
        </w:rPr>
        <w:t>Mar</w:t>
      </w:r>
      <w:r>
        <w:rPr>
          <w:b w:val="0"/>
          <w:sz w:val="24"/>
          <w:szCs w:val="24"/>
        </w:rPr>
        <w:t>it</w:t>
      </w:r>
      <w:proofErr w:type="spellEnd"/>
      <w:r>
        <w:rPr>
          <w:b w:val="0"/>
          <w:sz w:val="24"/>
          <w:szCs w:val="24"/>
        </w:rPr>
        <w:t xml:space="preserve"> Health. 2005;56(1–4):103–114</w:t>
      </w:r>
    </w:p>
    <w:p w14:paraId="274415DF"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Edward RK, </w:t>
      </w:r>
      <w:proofErr w:type="spellStart"/>
      <w:r w:rsidRPr="009E5B64">
        <w:rPr>
          <w:b w:val="0"/>
          <w:sz w:val="24"/>
          <w:szCs w:val="24"/>
        </w:rPr>
        <w:t>Atis</w:t>
      </w:r>
      <w:proofErr w:type="spellEnd"/>
      <w:r w:rsidRPr="009E5B64">
        <w:rPr>
          <w:b w:val="0"/>
          <w:sz w:val="24"/>
          <w:szCs w:val="24"/>
        </w:rPr>
        <w:t xml:space="preserve"> M, Kurtis DJ, </w:t>
      </w:r>
      <w:proofErr w:type="spellStart"/>
      <w:r w:rsidRPr="009E5B64">
        <w:rPr>
          <w:b w:val="0"/>
          <w:sz w:val="24"/>
          <w:szCs w:val="24"/>
        </w:rPr>
        <w:t>Mutabingwa</w:t>
      </w:r>
      <w:proofErr w:type="spellEnd"/>
      <w:r w:rsidRPr="009E5B64">
        <w:rPr>
          <w:b w:val="0"/>
          <w:sz w:val="24"/>
          <w:szCs w:val="24"/>
        </w:rPr>
        <w:t xml:space="preserve"> YK, Fried M, Duffy PE. Maternal peripheral blood level of IL-10 as a marker for inflammatory placental malaria. Malar J. </w:t>
      </w:r>
      <w:proofErr w:type="gramStart"/>
      <w:r w:rsidRPr="009E5B64">
        <w:rPr>
          <w:b w:val="0"/>
          <w:sz w:val="24"/>
          <w:szCs w:val="24"/>
        </w:rPr>
        <w:t>2008;7:26</w:t>
      </w:r>
      <w:proofErr w:type="gramEnd"/>
      <w:r w:rsidRPr="009E5B64">
        <w:rPr>
          <w:b w:val="0"/>
          <w:sz w:val="24"/>
          <w:szCs w:val="24"/>
        </w:rPr>
        <w:t>.</w:t>
      </w:r>
    </w:p>
    <w:p w14:paraId="7A07DF07"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Barkat H, Abd </w:t>
      </w:r>
      <w:proofErr w:type="spellStart"/>
      <w:r w:rsidRPr="009E5B64">
        <w:rPr>
          <w:b w:val="0"/>
          <w:sz w:val="24"/>
          <w:szCs w:val="24"/>
        </w:rPr>
        <w:t>Alla</w:t>
      </w:r>
      <w:proofErr w:type="spellEnd"/>
      <w:r w:rsidRPr="009E5B64">
        <w:rPr>
          <w:b w:val="0"/>
          <w:sz w:val="24"/>
          <w:szCs w:val="24"/>
        </w:rPr>
        <w:t xml:space="preserve"> AB, </w:t>
      </w:r>
      <w:proofErr w:type="spellStart"/>
      <w:r w:rsidRPr="009E5B64">
        <w:rPr>
          <w:b w:val="0"/>
          <w:sz w:val="24"/>
          <w:szCs w:val="24"/>
        </w:rPr>
        <w:t>Galander</w:t>
      </w:r>
      <w:proofErr w:type="spellEnd"/>
      <w:r w:rsidRPr="009E5B64">
        <w:rPr>
          <w:b w:val="0"/>
          <w:sz w:val="24"/>
          <w:szCs w:val="24"/>
        </w:rPr>
        <w:t xml:space="preserve"> A, Salah T, </w:t>
      </w:r>
      <w:proofErr w:type="spellStart"/>
      <w:r w:rsidRPr="009E5B64">
        <w:rPr>
          <w:b w:val="0"/>
          <w:sz w:val="24"/>
          <w:szCs w:val="24"/>
        </w:rPr>
        <w:t>Elfaki</w:t>
      </w:r>
      <w:proofErr w:type="spellEnd"/>
      <w:r w:rsidRPr="009E5B64">
        <w:rPr>
          <w:b w:val="0"/>
          <w:sz w:val="24"/>
          <w:szCs w:val="24"/>
        </w:rPr>
        <w:t xml:space="preserve"> T, Nasir A. Prevalence of malaria and quantification of cytokine levels during infection in East Nile locality, Khartoum State: a cross-sectional study. F1000Res. </w:t>
      </w:r>
      <w:proofErr w:type="gramStart"/>
      <w:r w:rsidRPr="009E5B64">
        <w:rPr>
          <w:b w:val="0"/>
          <w:sz w:val="24"/>
          <w:szCs w:val="24"/>
        </w:rPr>
        <w:t>2019;8:1529</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10.12688/f1000research.19217.2.</w:t>
      </w:r>
    </w:p>
    <w:p w14:paraId="1B0419A3"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Jason J, Archibald LK, </w:t>
      </w:r>
      <w:proofErr w:type="spellStart"/>
      <w:r w:rsidRPr="009E5B64">
        <w:rPr>
          <w:b w:val="0"/>
          <w:sz w:val="24"/>
          <w:szCs w:val="24"/>
        </w:rPr>
        <w:t>Nwanyanwu</w:t>
      </w:r>
      <w:proofErr w:type="spellEnd"/>
      <w:r w:rsidRPr="009E5B64">
        <w:rPr>
          <w:b w:val="0"/>
          <w:sz w:val="24"/>
          <w:szCs w:val="24"/>
        </w:rPr>
        <w:t xml:space="preserve"> OC, Bell M, Buchanan I, Kazembe PN, et al. Cytokines and malaria parasitemia. Clin Immunol. 2001;100(2):208–218. </w:t>
      </w:r>
      <w:proofErr w:type="spellStart"/>
      <w:r w:rsidRPr="009E5B64">
        <w:rPr>
          <w:b w:val="0"/>
          <w:sz w:val="24"/>
          <w:szCs w:val="24"/>
        </w:rPr>
        <w:t>doi</w:t>
      </w:r>
      <w:proofErr w:type="spellEnd"/>
      <w:r w:rsidRPr="009E5B64">
        <w:rPr>
          <w:b w:val="0"/>
          <w:sz w:val="24"/>
          <w:szCs w:val="24"/>
        </w:rPr>
        <w:t>: 10.1006/clim.2001.5057.</w:t>
      </w:r>
    </w:p>
    <w:p w14:paraId="07585311"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Wokem</w:t>
      </w:r>
      <w:proofErr w:type="spellEnd"/>
      <w:r w:rsidRPr="009E5B64">
        <w:rPr>
          <w:b w:val="0"/>
          <w:sz w:val="24"/>
          <w:szCs w:val="24"/>
        </w:rPr>
        <w:t xml:space="preserve"> GN, </w:t>
      </w:r>
      <w:proofErr w:type="spellStart"/>
      <w:r w:rsidRPr="009E5B64">
        <w:rPr>
          <w:b w:val="0"/>
          <w:sz w:val="24"/>
          <w:szCs w:val="24"/>
        </w:rPr>
        <w:t>Dimkpa</w:t>
      </w:r>
      <w:proofErr w:type="spellEnd"/>
      <w:r w:rsidRPr="009E5B64">
        <w:rPr>
          <w:b w:val="0"/>
          <w:sz w:val="24"/>
          <w:szCs w:val="24"/>
        </w:rPr>
        <w:t xml:space="preserve"> FB, </w:t>
      </w:r>
      <w:proofErr w:type="spellStart"/>
      <w:r w:rsidRPr="009E5B64">
        <w:rPr>
          <w:b w:val="0"/>
          <w:sz w:val="24"/>
          <w:szCs w:val="24"/>
        </w:rPr>
        <w:t>Azuonwu</w:t>
      </w:r>
      <w:proofErr w:type="spellEnd"/>
      <w:r w:rsidRPr="009E5B64">
        <w:rPr>
          <w:b w:val="0"/>
          <w:sz w:val="24"/>
          <w:szCs w:val="24"/>
        </w:rPr>
        <w:t xml:space="preserve"> O. Evaluation of Plasmodium falciparum </w:t>
      </w:r>
      <w:proofErr w:type="spellStart"/>
      <w:r w:rsidRPr="009E5B64">
        <w:rPr>
          <w:b w:val="0"/>
          <w:sz w:val="24"/>
          <w:szCs w:val="24"/>
        </w:rPr>
        <w:t>parasitaemia</w:t>
      </w:r>
      <w:proofErr w:type="spellEnd"/>
      <w:r w:rsidRPr="009E5B64">
        <w:rPr>
          <w:b w:val="0"/>
          <w:sz w:val="24"/>
          <w:szCs w:val="24"/>
        </w:rPr>
        <w:t xml:space="preserve"> and associated inflammatory cytokines among malaria-vulnerable subjects in Port Harcourt, Rivers State, Nigeria. Niger J </w:t>
      </w:r>
      <w:proofErr w:type="spellStart"/>
      <w:r w:rsidRPr="009E5B64">
        <w:rPr>
          <w:b w:val="0"/>
          <w:sz w:val="24"/>
          <w:szCs w:val="24"/>
        </w:rPr>
        <w:t>Parasitol</w:t>
      </w:r>
      <w:proofErr w:type="spellEnd"/>
      <w:r w:rsidRPr="009E5B64">
        <w:rPr>
          <w:b w:val="0"/>
          <w:sz w:val="24"/>
          <w:szCs w:val="24"/>
        </w:rPr>
        <w:t>. 2021;42(2):145–152.</w:t>
      </w:r>
    </w:p>
    <w:sectPr w:rsidR="009E5B64" w:rsidRPr="009E5B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0D06A" w14:textId="77777777" w:rsidR="004076D5" w:rsidRDefault="004076D5" w:rsidP="005E76BD">
      <w:r>
        <w:separator/>
      </w:r>
    </w:p>
  </w:endnote>
  <w:endnote w:type="continuationSeparator" w:id="0">
    <w:p w14:paraId="13A8F913" w14:textId="77777777" w:rsidR="004076D5" w:rsidRDefault="004076D5" w:rsidP="005E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5488B" w14:textId="77777777" w:rsidR="005E76BD" w:rsidRDefault="005E7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89AD" w14:textId="77777777" w:rsidR="005E76BD" w:rsidRDefault="005E7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9EB3D" w14:textId="77777777" w:rsidR="005E76BD" w:rsidRDefault="005E7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82FD7" w14:textId="77777777" w:rsidR="004076D5" w:rsidRDefault="004076D5" w:rsidP="005E76BD">
      <w:r>
        <w:separator/>
      </w:r>
    </w:p>
  </w:footnote>
  <w:footnote w:type="continuationSeparator" w:id="0">
    <w:p w14:paraId="67864AB1" w14:textId="77777777" w:rsidR="004076D5" w:rsidRDefault="004076D5" w:rsidP="005E7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9B945" w14:textId="607A39B4" w:rsidR="005E76BD" w:rsidRDefault="004076D5">
    <w:pPr>
      <w:pStyle w:val="Header"/>
    </w:pPr>
    <w:r>
      <w:rPr>
        <w:noProof/>
      </w:rPr>
      <w:pict w14:anchorId="48041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126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DBD1F" w14:textId="40775D2A" w:rsidR="005E76BD" w:rsidRDefault="004076D5">
    <w:pPr>
      <w:pStyle w:val="Header"/>
    </w:pPr>
    <w:r>
      <w:rPr>
        <w:noProof/>
      </w:rPr>
      <w:pict w14:anchorId="23D1B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126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3756" w14:textId="2CC19222" w:rsidR="005E76BD" w:rsidRDefault="004076D5">
    <w:pPr>
      <w:pStyle w:val="Header"/>
    </w:pPr>
    <w:r>
      <w:rPr>
        <w:noProof/>
      </w:rPr>
      <w:pict w14:anchorId="4E123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126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03695"/>
    <w:multiLevelType w:val="hybridMultilevel"/>
    <w:tmpl w:val="75B2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62498"/>
    <w:multiLevelType w:val="multilevel"/>
    <w:tmpl w:val="0DA0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9F3A5E"/>
    <w:multiLevelType w:val="hybridMultilevel"/>
    <w:tmpl w:val="F334BA0E"/>
    <w:lvl w:ilvl="0" w:tplc="49884B38">
      <w:start w:val="1"/>
      <w:numFmt w:val="bullet"/>
      <w:lvlText w:val="●"/>
      <w:lvlJc w:val="left"/>
      <w:pPr>
        <w:ind w:left="720" w:hanging="360"/>
      </w:pPr>
    </w:lvl>
    <w:lvl w:ilvl="1" w:tplc="33187BCE">
      <w:start w:val="1"/>
      <w:numFmt w:val="bullet"/>
      <w:lvlText w:val="○"/>
      <w:lvlJc w:val="left"/>
      <w:pPr>
        <w:ind w:left="1440" w:hanging="360"/>
      </w:pPr>
    </w:lvl>
    <w:lvl w:ilvl="2" w:tplc="FA8EE6CE">
      <w:start w:val="1"/>
      <w:numFmt w:val="bullet"/>
      <w:lvlText w:val="■"/>
      <w:lvlJc w:val="left"/>
      <w:pPr>
        <w:ind w:left="2160" w:hanging="360"/>
      </w:pPr>
    </w:lvl>
    <w:lvl w:ilvl="3" w:tplc="05249A5A">
      <w:start w:val="1"/>
      <w:numFmt w:val="bullet"/>
      <w:lvlText w:val="●"/>
      <w:lvlJc w:val="left"/>
      <w:pPr>
        <w:ind w:left="2880" w:hanging="360"/>
      </w:pPr>
    </w:lvl>
    <w:lvl w:ilvl="4" w:tplc="E3303128">
      <w:start w:val="1"/>
      <w:numFmt w:val="bullet"/>
      <w:lvlText w:val="○"/>
      <w:lvlJc w:val="left"/>
      <w:pPr>
        <w:ind w:left="3600" w:hanging="360"/>
      </w:pPr>
    </w:lvl>
    <w:lvl w:ilvl="5" w:tplc="5B6E12F2">
      <w:start w:val="1"/>
      <w:numFmt w:val="bullet"/>
      <w:lvlText w:val="■"/>
      <w:lvlJc w:val="left"/>
      <w:pPr>
        <w:ind w:left="4320" w:hanging="360"/>
      </w:pPr>
    </w:lvl>
    <w:lvl w:ilvl="6" w:tplc="11E02F7A">
      <w:start w:val="1"/>
      <w:numFmt w:val="bullet"/>
      <w:lvlText w:val="●"/>
      <w:lvlJc w:val="left"/>
      <w:pPr>
        <w:ind w:left="5040" w:hanging="360"/>
      </w:pPr>
    </w:lvl>
    <w:lvl w:ilvl="7" w:tplc="E7541E50">
      <w:start w:val="1"/>
      <w:numFmt w:val="bullet"/>
      <w:lvlText w:val="●"/>
      <w:lvlJc w:val="left"/>
      <w:pPr>
        <w:ind w:left="5760" w:hanging="360"/>
      </w:pPr>
    </w:lvl>
    <w:lvl w:ilvl="8" w:tplc="5352049E">
      <w:start w:val="1"/>
      <w:numFmt w:val="bullet"/>
      <w:lvlText w:val="●"/>
      <w:lvlJc w:val="left"/>
      <w:pPr>
        <w:ind w:left="6480" w:hanging="360"/>
      </w:pPr>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1BF"/>
    <w:rsid w:val="00013CB3"/>
    <w:rsid w:val="0004614A"/>
    <w:rsid w:val="00060EFC"/>
    <w:rsid w:val="0006270B"/>
    <w:rsid w:val="000940EB"/>
    <w:rsid w:val="000E7E4C"/>
    <w:rsid w:val="001118A3"/>
    <w:rsid w:val="00122EDC"/>
    <w:rsid w:val="001410A4"/>
    <w:rsid w:val="001531FD"/>
    <w:rsid w:val="0015508F"/>
    <w:rsid w:val="00175ECD"/>
    <w:rsid w:val="00176144"/>
    <w:rsid w:val="001A221D"/>
    <w:rsid w:val="001D661A"/>
    <w:rsid w:val="001F2AF4"/>
    <w:rsid w:val="0020733B"/>
    <w:rsid w:val="002609DC"/>
    <w:rsid w:val="00277AF1"/>
    <w:rsid w:val="00286A5B"/>
    <w:rsid w:val="002B1499"/>
    <w:rsid w:val="002B70BA"/>
    <w:rsid w:val="002B7313"/>
    <w:rsid w:val="002E527E"/>
    <w:rsid w:val="00302948"/>
    <w:rsid w:val="00333C15"/>
    <w:rsid w:val="003558C1"/>
    <w:rsid w:val="003721B5"/>
    <w:rsid w:val="00372B65"/>
    <w:rsid w:val="0038050B"/>
    <w:rsid w:val="003B0D85"/>
    <w:rsid w:val="003B0DAB"/>
    <w:rsid w:val="003C42AF"/>
    <w:rsid w:val="003D71BF"/>
    <w:rsid w:val="003F414B"/>
    <w:rsid w:val="003F7F6D"/>
    <w:rsid w:val="004076D5"/>
    <w:rsid w:val="0045066C"/>
    <w:rsid w:val="00457147"/>
    <w:rsid w:val="0047651F"/>
    <w:rsid w:val="00483308"/>
    <w:rsid w:val="004B19BD"/>
    <w:rsid w:val="004F7AD6"/>
    <w:rsid w:val="00523C60"/>
    <w:rsid w:val="00526395"/>
    <w:rsid w:val="00561A82"/>
    <w:rsid w:val="00566B86"/>
    <w:rsid w:val="00573CE8"/>
    <w:rsid w:val="0058003C"/>
    <w:rsid w:val="005A1679"/>
    <w:rsid w:val="005A1A79"/>
    <w:rsid w:val="005A61EA"/>
    <w:rsid w:val="005B4F8E"/>
    <w:rsid w:val="005E76BD"/>
    <w:rsid w:val="00614920"/>
    <w:rsid w:val="006150CC"/>
    <w:rsid w:val="0063492B"/>
    <w:rsid w:val="00644331"/>
    <w:rsid w:val="006527E8"/>
    <w:rsid w:val="006D1748"/>
    <w:rsid w:val="006D21D5"/>
    <w:rsid w:val="006E3805"/>
    <w:rsid w:val="006E61FD"/>
    <w:rsid w:val="006F5339"/>
    <w:rsid w:val="00700771"/>
    <w:rsid w:val="00713CB3"/>
    <w:rsid w:val="00720555"/>
    <w:rsid w:val="00743085"/>
    <w:rsid w:val="007437DC"/>
    <w:rsid w:val="0076283E"/>
    <w:rsid w:val="007830FF"/>
    <w:rsid w:val="007B06C5"/>
    <w:rsid w:val="007F447F"/>
    <w:rsid w:val="008107CB"/>
    <w:rsid w:val="00827A8F"/>
    <w:rsid w:val="00832FF1"/>
    <w:rsid w:val="00842F37"/>
    <w:rsid w:val="00871513"/>
    <w:rsid w:val="00874696"/>
    <w:rsid w:val="008800D2"/>
    <w:rsid w:val="00887011"/>
    <w:rsid w:val="00895342"/>
    <w:rsid w:val="008A6026"/>
    <w:rsid w:val="008A783A"/>
    <w:rsid w:val="008B62F1"/>
    <w:rsid w:val="008C2640"/>
    <w:rsid w:val="009006C2"/>
    <w:rsid w:val="00903CFA"/>
    <w:rsid w:val="00921C29"/>
    <w:rsid w:val="009330A0"/>
    <w:rsid w:val="009422F1"/>
    <w:rsid w:val="00967107"/>
    <w:rsid w:val="00967143"/>
    <w:rsid w:val="00991D65"/>
    <w:rsid w:val="009A26B2"/>
    <w:rsid w:val="009D2E16"/>
    <w:rsid w:val="009E5B64"/>
    <w:rsid w:val="009E77D4"/>
    <w:rsid w:val="00A27F44"/>
    <w:rsid w:val="00A60182"/>
    <w:rsid w:val="00A83789"/>
    <w:rsid w:val="00A93E65"/>
    <w:rsid w:val="00B150F9"/>
    <w:rsid w:val="00B172C9"/>
    <w:rsid w:val="00B176CE"/>
    <w:rsid w:val="00B22038"/>
    <w:rsid w:val="00B242E9"/>
    <w:rsid w:val="00B4097E"/>
    <w:rsid w:val="00B818DC"/>
    <w:rsid w:val="00BD0EAE"/>
    <w:rsid w:val="00BD1B2F"/>
    <w:rsid w:val="00BD4EE2"/>
    <w:rsid w:val="00C07AEC"/>
    <w:rsid w:val="00C13B7B"/>
    <w:rsid w:val="00C21E2D"/>
    <w:rsid w:val="00C31E0F"/>
    <w:rsid w:val="00C56C9E"/>
    <w:rsid w:val="00C67E48"/>
    <w:rsid w:val="00CA00EF"/>
    <w:rsid w:val="00CE6024"/>
    <w:rsid w:val="00D203DB"/>
    <w:rsid w:val="00D33A02"/>
    <w:rsid w:val="00D35030"/>
    <w:rsid w:val="00D70696"/>
    <w:rsid w:val="00D73074"/>
    <w:rsid w:val="00D876E5"/>
    <w:rsid w:val="00DA72B6"/>
    <w:rsid w:val="00DB2977"/>
    <w:rsid w:val="00DB6907"/>
    <w:rsid w:val="00DC51AD"/>
    <w:rsid w:val="00DE12B3"/>
    <w:rsid w:val="00DE41F3"/>
    <w:rsid w:val="00E445E5"/>
    <w:rsid w:val="00E56DBB"/>
    <w:rsid w:val="00E61625"/>
    <w:rsid w:val="00E643F5"/>
    <w:rsid w:val="00E8409C"/>
    <w:rsid w:val="00E90D42"/>
    <w:rsid w:val="00EA197A"/>
    <w:rsid w:val="00EB54B5"/>
    <w:rsid w:val="00EE1A0C"/>
    <w:rsid w:val="00EE7C57"/>
    <w:rsid w:val="00EF578D"/>
    <w:rsid w:val="00F23E55"/>
    <w:rsid w:val="00F26A4F"/>
    <w:rsid w:val="00F30EBB"/>
    <w:rsid w:val="00F31D96"/>
    <w:rsid w:val="00F353CB"/>
    <w:rsid w:val="00F6524D"/>
    <w:rsid w:val="00F8061C"/>
    <w:rsid w:val="00F94E50"/>
    <w:rsid w:val="00F95335"/>
    <w:rsid w:val="00FB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9B86FD"/>
  <w15:docId w15:val="{EACC6803-B45C-46AC-B788-FFA1EDED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spacing w:before="240" w:after="120"/>
      <w:outlineLvl w:val="0"/>
    </w:pPr>
    <w:rPr>
      <w:b/>
      <w:bCs/>
      <w:sz w:val="28"/>
      <w:szCs w:val="28"/>
    </w:rPr>
  </w:style>
  <w:style w:type="paragraph" w:styleId="Heading2">
    <w:name w:val="heading 2"/>
    <w:qFormat/>
    <w:pPr>
      <w:spacing w:before="200" w:after="80"/>
      <w:outlineLvl w:val="1"/>
    </w:pPr>
    <w:rPr>
      <w:b/>
      <w:bCs/>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F806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1D65"/>
    <w:pPr>
      <w:spacing w:before="100" w:beforeAutospacing="1" w:after="100" w:afterAutospacing="1"/>
    </w:pPr>
  </w:style>
  <w:style w:type="character" w:styleId="Emphasis">
    <w:name w:val="Emphasis"/>
    <w:basedOn w:val="DefaultParagraphFont"/>
    <w:uiPriority w:val="20"/>
    <w:qFormat/>
    <w:rsid w:val="00991D65"/>
    <w:rPr>
      <w:i/>
      <w:iCs/>
    </w:rPr>
  </w:style>
  <w:style w:type="character" w:styleId="HTMLCode">
    <w:name w:val="HTML Code"/>
    <w:basedOn w:val="DefaultParagraphFont"/>
    <w:uiPriority w:val="99"/>
    <w:semiHidden/>
    <w:unhideWhenUsed/>
    <w:rsid w:val="00991D65"/>
    <w:rPr>
      <w:rFonts w:ascii="Courier New" w:eastAsia="Times New Roman" w:hAnsi="Courier New" w:cs="Courier New"/>
      <w:sz w:val="20"/>
      <w:szCs w:val="20"/>
    </w:rPr>
  </w:style>
  <w:style w:type="paragraph" w:styleId="NoSpacing">
    <w:name w:val="No Spacing"/>
    <w:uiPriority w:val="1"/>
    <w:qFormat/>
    <w:rsid w:val="00D730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D661A"/>
    <w:rPr>
      <w:color w:val="605E5C"/>
      <w:shd w:val="clear" w:color="auto" w:fill="E1DFDD"/>
    </w:rPr>
  </w:style>
  <w:style w:type="paragraph" w:styleId="Header">
    <w:name w:val="header"/>
    <w:basedOn w:val="Normal"/>
    <w:link w:val="HeaderChar"/>
    <w:uiPriority w:val="99"/>
    <w:unhideWhenUsed/>
    <w:rsid w:val="005E76BD"/>
    <w:pPr>
      <w:tabs>
        <w:tab w:val="center" w:pos="4680"/>
        <w:tab w:val="right" w:pos="9360"/>
      </w:tabs>
    </w:pPr>
  </w:style>
  <w:style w:type="character" w:customStyle="1" w:styleId="HeaderChar">
    <w:name w:val="Header Char"/>
    <w:basedOn w:val="DefaultParagraphFont"/>
    <w:link w:val="Header"/>
    <w:uiPriority w:val="99"/>
    <w:rsid w:val="005E76BD"/>
  </w:style>
  <w:style w:type="paragraph" w:styleId="Footer">
    <w:name w:val="footer"/>
    <w:basedOn w:val="Normal"/>
    <w:link w:val="FooterChar"/>
    <w:uiPriority w:val="99"/>
    <w:unhideWhenUsed/>
    <w:rsid w:val="005E76BD"/>
    <w:pPr>
      <w:tabs>
        <w:tab w:val="center" w:pos="4680"/>
        <w:tab w:val="right" w:pos="9360"/>
      </w:tabs>
    </w:pPr>
  </w:style>
  <w:style w:type="character" w:customStyle="1" w:styleId="FooterChar">
    <w:name w:val="Footer Char"/>
    <w:basedOn w:val="DefaultParagraphFont"/>
    <w:link w:val="Footer"/>
    <w:uiPriority w:val="99"/>
    <w:rsid w:val="005E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pps.who.int/iris/bitstream/10665/2594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11</Pages>
  <Words>3916</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1089</cp:lastModifiedBy>
  <cp:revision>121</cp:revision>
  <dcterms:created xsi:type="dcterms:W3CDTF">2026-03-26T05:36:00Z</dcterms:created>
  <dcterms:modified xsi:type="dcterms:W3CDTF">2026-05-07T10:21:00Z</dcterms:modified>
</cp:coreProperties>
</file>