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B1C29" w14:textId="77777777" w:rsidR="00754C9A" w:rsidRPr="008A0A90" w:rsidRDefault="00754C9A" w:rsidP="00441B6F">
      <w:pPr>
        <w:pStyle w:val="Title"/>
        <w:spacing w:after="0"/>
        <w:jc w:val="both"/>
        <w:rPr>
          <w:rFonts w:ascii="Arial" w:hAnsi="Arial" w:cs="Arial"/>
          <w:sz w:val="22"/>
          <w:szCs w:val="22"/>
        </w:rPr>
      </w:pPr>
    </w:p>
    <w:p w14:paraId="68E0748B" w14:textId="2B4F38E1" w:rsidR="00790ADA" w:rsidRPr="008A0A90" w:rsidRDefault="007056BE" w:rsidP="007056BE">
      <w:pPr>
        <w:pStyle w:val="Affiliation"/>
        <w:spacing w:after="0" w:line="240" w:lineRule="auto"/>
        <w:jc w:val="left"/>
        <w:rPr>
          <w:rFonts w:ascii="Arial" w:hAnsi="Arial" w:cs="Arial"/>
          <w:sz w:val="22"/>
          <w:szCs w:val="22"/>
        </w:rPr>
      </w:pPr>
      <w:r w:rsidRPr="008A0A90">
        <w:rPr>
          <w:rFonts w:ascii="Arial" w:hAnsi="Arial" w:cs="Arial"/>
          <w:b/>
          <w:bCs/>
          <w:sz w:val="22"/>
          <w:szCs w:val="22"/>
        </w:rPr>
        <w:t>ASSESSING THE DIFFERENTIAL EFFECTS OF BOVINE LACTOFERRIN ON THE GROWTH OF VARIOUS BACTERIAL SPECIES</w:t>
      </w:r>
    </w:p>
    <w:p w14:paraId="76AEEE0E" w14:textId="2FEF8CF7" w:rsidR="00943424" w:rsidRPr="008A0A90" w:rsidRDefault="00943424" w:rsidP="00441B6F">
      <w:pPr>
        <w:pStyle w:val="Affiliation"/>
        <w:spacing w:after="0" w:line="240" w:lineRule="auto"/>
        <w:jc w:val="both"/>
        <w:rPr>
          <w:rFonts w:ascii="Arial" w:hAnsi="Arial" w:cs="Arial"/>
          <w:sz w:val="22"/>
          <w:szCs w:val="22"/>
        </w:rPr>
      </w:pPr>
    </w:p>
    <w:p w14:paraId="13FFBF91" w14:textId="77777777" w:rsidR="00943424" w:rsidRPr="008A0A90" w:rsidRDefault="00943424" w:rsidP="00441B6F">
      <w:pPr>
        <w:pStyle w:val="Affiliation"/>
        <w:spacing w:after="0" w:line="240" w:lineRule="auto"/>
        <w:jc w:val="both"/>
        <w:rPr>
          <w:rFonts w:ascii="Arial" w:hAnsi="Arial" w:cs="Arial"/>
          <w:sz w:val="22"/>
          <w:szCs w:val="22"/>
        </w:rPr>
      </w:pPr>
    </w:p>
    <w:p w14:paraId="05E3F375" w14:textId="77777777" w:rsidR="002C57D2" w:rsidRPr="008A0A90" w:rsidRDefault="002C57D2" w:rsidP="00441B6F">
      <w:pPr>
        <w:pStyle w:val="Affiliation"/>
        <w:spacing w:after="0" w:line="240" w:lineRule="auto"/>
        <w:jc w:val="both"/>
        <w:rPr>
          <w:rFonts w:ascii="Arial" w:hAnsi="Arial" w:cs="Arial"/>
          <w:sz w:val="22"/>
          <w:szCs w:val="22"/>
        </w:rPr>
      </w:pPr>
    </w:p>
    <w:p w14:paraId="14FF85C1" w14:textId="77777777" w:rsidR="00B01FCD" w:rsidRPr="008A0A90" w:rsidRDefault="0046004C" w:rsidP="00441B6F">
      <w:pPr>
        <w:pStyle w:val="Copyright"/>
        <w:spacing w:after="0" w:line="240" w:lineRule="auto"/>
        <w:jc w:val="both"/>
        <w:rPr>
          <w:rFonts w:ascii="Arial" w:hAnsi="Arial" w:cs="Arial"/>
          <w:sz w:val="22"/>
          <w:szCs w:val="22"/>
        </w:rPr>
        <w:sectPr w:rsidR="00B01FCD" w:rsidRPr="008A0A90" w:rsidSect="00943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sz w:val="22"/>
          <w:szCs w:val="22"/>
        </w:rPr>
      </w:r>
      <w:r>
        <w:rPr>
          <w:rFonts w:ascii="Arial" w:hAnsi="Arial" w:cs="Arial"/>
          <w:sz w:val="22"/>
          <w:szCs w:val="22"/>
        </w:rPr>
        <w:pict w14:anchorId="1BBF248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A0A90">
        <w:rPr>
          <w:rFonts w:ascii="Arial" w:hAnsi="Arial" w:cs="Arial"/>
          <w:sz w:val="22"/>
          <w:szCs w:val="22"/>
        </w:rPr>
        <w:t>.</w:t>
      </w:r>
    </w:p>
    <w:p w14:paraId="29BB0412" w14:textId="77777777" w:rsidR="00B01FCD" w:rsidRPr="008A0A90" w:rsidRDefault="00B01FCD" w:rsidP="00441B6F">
      <w:pPr>
        <w:pStyle w:val="AbstHead"/>
        <w:spacing w:after="0"/>
        <w:jc w:val="both"/>
        <w:rPr>
          <w:rFonts w:ascii="Arial" w:hAnsi="Arial" w:cs="Arial"/>
          <w:szCs w:val="22"/>
        </w:rPr>
      </w:pPr>
      <w:r w:rsidRPr="008A0A90">
        <w:rPr>
          <w:rFonts w:ascii="Arial" w:hAnsi="Arial" w:cs="Arial"/>
          <w:szCs w:val="22"/>
        </w:rPr>
        <w:t>ABSTRACT</w:t>
      </w:r>
    </w:p>
    <w:p w14:paraId="069800E8" w14:textId="77777777" w:rsidR="00790ADA" w:rsidRPr="008A0A90"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A0A90" w14:paraId="687498AF" w14:textId="77777777" w:rsidTr="001E44FE">
        <w:tc>
          <w:tcPr>
            <w:tcW w:w="9576" w:type="dxa"/>
            <w:shd w:val="clear" w:color="auto" w:fill="F2F2F2"/>
          </w:tcPr>
          <w:p w14:paraId="10677A02" w14:textId="047C98E4"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Aims:</w:t>
            </w:r>
            <w:r w:rsidRPr="008A0A90">
              <w:rPr>
                <w:rFonts w:ascii="Arial" w:eastAsia="Calibri" w:hAnsi="Arial" w:cs="Arial"/>
                <w:sz w:val="22"/>
                <w:szCs w:val="22"/>
              </w:rPr>
              <w:br/>
            </w:r>
            <w:r w:rsidR="00901354" w:rsidRPr="008A0A90">
              <w:rPr>
                <w:rFonts w:ascii="Arial" w:eastAsia="Calibri" w:hAnsi="Arial" w:cs="Arial"/>
                <w:sz w:val="22"/>
                <w:szCs w:val="22"/>
              </w:rPr>
              <w:t xml:space="preserve">This study </w:t>
            </w:r>
            <w:r w:rsidRPr="008A0A90">
              <w:rPr>
                <w:rFonts w:ascii="Arial" w:eastAsia="Calibri" w:hAnsi="Arial" w:cs="Arial"/>
                <w:sz w:val="22"/>
                <w:szCs w:val="22"/>
              </w:rPr>
              <w:t>aimed to evaluate the effects of bovine lactoferrin on bacterial growth and determine whether the effect varies among species.</w:t>
            </w:r>
          </w:p>
          <w:p w14:paraId="6CC05B44" w14:textId="77777777" w:rsidR="00F55E91" w:rsidRPr="008A0A90" w:rsidRDefault="00F55E91" w:rsidP="00F55E91">
            <w:pPr>
              <w:pStyle w:val="Body"/>
              <w:spacing w:after="0"/>
              <w:jc w:val="left"/>
              <w:rPr>
                <w:rFonts w:ascii="Arial" w:eastAsia="Calibri" w:hAnsi="Arial" w:cs="Arial"/>
                <w:sz w:val="22"/>
                <w:szCs w:val="22"/>
              </w:rPr>
            </w:pPr>
          </w:p>
          <w:p w14:paraId="2A7A36EA" w14:textId="0DFA4C0E"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Study design:</w:t>
            </w:r>
            <w:r w:rsidR="00034B65" w:rsidRPr="008A0A90">
              <w:rPr>
                <w:rFonts w:ascii="Arial" w:eastAsia="Calibri" w:hAnsi="Arial" w:cs="Arial"/>
                <w:sz w:val="22"/>
                <w:szCs w:val="22"/>
              </w:rPr>
              <w:br/>
            </w:r>
            <w:r w:rsidR="00F518DB" w:rsidRPr="008A0A90">
              <w:rPr>
                <w:rFonts w:ascii="Arial" w:eastAsia="Calibri" w:hAnsi="Arial" w:cs="Arial"/>
                <w:sz w:val="22"/>
                <w:szCs w:val="22"/>
              </w:rPr>
              <w:t>A</w:t>
            </w:r>
            <w:r w:rsidR="00034B65" w:rsidRPr="008A0A90">
              <w:rPr>
                <w:rFonts w:ascii="Arial" w:eastAsia="Calibri" w:hAnsi="Arial" w:cs="Arial"/>
                <w:sz w:val="22"/>
                <w:szCs w:val="22"/>
              </w:rPr>
              <w:t xml:space="preserve"> factorial</w:t>
            </w:r>
            <w:r w:rsidRPr="008A0A90">
              <w:rPr>
                <w:rFonts w:ascii="Arial" w:eastAsia="Calibri" w:hAnsi="Arial" w:cs="Arial"/>
                <w:sz w:val="22"/>
                <w:szCs w:val="22"/>
              </w:rPr>
              <w:t xml:space="preserve"> experimental laboratory study</w:t>
            </w:r>
            <w:r w:rsidR="00F518DB" w:rsidRPr="008A0A90">
              <w:rPr>
                <w:rFonts w:ascii="Arial" w:eastAsia="Calibri" w:hAnsi="Arial" w:cs="Arial"/>
                <w:sz w:val="22"/>
                <w:szCs w:val="22"/>
              </w:rPr>
              <w:t xml:space="preserve"> was conducted</w:t>
            </w:r>
            <w:r w:rsidRPr="008A0A90">
              <w:rPr>
                <w:rFonts w:ascii="Arial" w:eastAsia="Calibri" w:hAnsi="Arial" w:cs="Arial"/>
                <w:sz w:val="22"/>
                <w:szCs w:val="22"/>
              </w:rPr>
              <w:t xml:space="preserve"> using </w:t>
            </w:r>
            <w:r w:rsidR="00F518DB" w:rsidRPr="008A0A90">
              <w:rPr>
                <w:rFonts w:ascii="Arial" w:eastAsia="Calibri" w:hAnsi="Arial" w:cs="Arial"/>
                <w:sz w:val="22"/>
                <w:szCs w:val="22"/>
              </w:rPr>
              <w:t xml:space="preserve">a comparative growth assay, employing agar media plates </w:t>
            </w:r>
            <w:r w:rsidRPr="008A0A90">
              <w:rPr>
                <w:rFonts w:ascii="Arial" w:eastAsia="Calibri" w:hAnsi="Arial" w:cs="Arial"/>
                <w:sz w:val="22"/>
                <w:szCs w:val="22"/>
              </w:rPr>
              <w:t xml:space="preserve">treated with </w:t>
            </w:r>
            <w:r w:rsidR="001E2A8A" w:rsidRPr="008A0A90">
              <w:rPr>
                <w:rFonts w:ascii="Arial" w:eastAsia="Calibri" w:hAnsi="Arial" w:cs="Arial"/>
                <w:sz w:val="22"/>
                <w:szCs w:val="22"/>
              </w:rPr>
              <w:t xml:space="preserve">three </w:t>
            </w:r>
            <w:r w:rsidRPr="008A0A90">
              <w:rPr>
                <w:rFonts w:ascii="Arial" w:eastAsia="Calibri" w:hAnsi="Arial" w:cs="Arial"/>
                <w:sz w:val="22"/>
                <w:szCs w:val="22"/>
              </w:rPr>
              <w:t xml:space="preserve">varying concentrations of lactoferrin </w:t>
            </w:r>
            <w:r w:rsidR="00F518DB" w:rsidRPr="008A0A90">
              <w:rPr>
                <w:rFonts w:ascii="Arial" w:eastAsia="Calibri" w:hAnsi="Arial" w:cs="Arial"/>
                <w:sz w:val="22"/>
                <w:szCs w:val="22"/>
              </w:rPr>
              <w:t>alongside a control group</w:t>
            </w:r>
          </w:p>
          <w:p w14:paraId="2D99888C" w14:textId="77777777" w:rsidR="00F55E91" w:rsidRPr="008A0A90" w:rsidRDefault="00F55E91" w:rsidP="00F55E91">
            <w:pPr>
              <w:pStyle w:val="Body"/>
              <w:spacing w:after="0"/>
              <w:jc w:val="left"/>
              <w:rPr>
                <w:rFonts w:ascii="Arial" w:eastAsia="Calibri" w:hAnsi="Arial" w:cs="Arial"/>
                <w:sz w:val="22"/>
                <w:szCs w:val="22"/>
              </w:rPr>
            </w:pPr>
          </w:p>
          <w:p w14:paraId="76183F05" w14:textId="48543BB4"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Place and Duration of Study:</w:t>
            </w:r>
            <w:r w:rsidRPr="008A0A90">
              <w:rPr>
                <w:rFonts w:ascii="Arial" w:eastAsia="Calibri" w:hAnsi="Arial" w:cs="Arial"/>
                <w:sz w:val="22"/>
                <w:szCs w:val="22"/>
              </w:rPr>
              <w:br/>
            </w:r>
            <w:r w:rsidR="00F518DB" w:rsidRPr="008A0A90">
              <w:rPr>
                <w:rFonts w:ascii="Arial" w:eastAsia="Calibri" w:hAnsi="Arial" w:cs="Arial"/>
                <w:sz w:val="22"/>
                <w:szCs w:val="22"/>
              </w:rPr>
              <w:t>The study was performed</w:t>
            </w:r>
            <w:r w:rsidRPr="008A0A90">
              <w:rPr>
                <w:rFonts w:ascii="Arial" w:eastAsia="Calibri" w:hAnsi="Arial" w:cs="Arial"/>
                <w:sz w:val="22"/>
                <w:szCs w:val="22"/>
              </w:rPr>
              <w:t xml:space="preserve"> </w:t>
            </w:r>
            <w:r w:rsidR="00F518DB" w:rsidRPr="008A0A90">
              <w:rPr>
                <w:rFonts w:ascii="Arial" w:eastAsia="Calibri" w:hAnsi="Arial" w:cs="Arial"/>
                <w:sz w:val="22"/>
                <w:szCs w:val="22"/>
              </w:rPr>
              <w:t xml:space="preserve">at the </w:t>
            </w:r>
            <w:r w:rsidRPr="008A0A90">
              <w:rPr>
                <w:rFonts w:ascii="Arial" w:eastAsia="Calibri" w:hAnsi="Arial" w:cs="Arial"/>
                <w:sz w:val="22"/>
                <w:szCs w:val="22"/>
              </w:rPr>
              <w:t>Department of Biology at Eastern University over a single academic semester.</w:t>
            </w:r>
          </w:p>
          <w:p w14:paraId="1B368CB1" w14:textId="77777777" w:rsidR="00034B65" w:rsidRPr="008A0A90" w:rsidRDefault="00034B65" w:rsidP="00F55E91">
            <w:pPr>
              <w:pStyle w:val="Body"/>
              <w:spacing w:after="0"/>
              <w:jc w:val="left"/>
              <w:rPr>
                <w:rFonts w:ascii="Arial" w:eastAsia="Calibri" w:hAnsi="Arial" w:cs="Arial"/>
                <w:sz w:val="22"/>
                <w:szCs w:val="22"/>
              </w:rPr>
            </w:pPr>
          </w:p>
          <w:p w14:paraId="16C02F1B" w14:textId="15B12D44"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Methodology:</w:t>
            </w:r>
            <w:r w:rsidRPr="008A0A90">
              <w:rPr>
                <w:rFonts w:ascii="Arial" w:eastAsia="Calibri" w:hAnsi="Arial" w:cs="Arial"/>
                <w:sz w:val="22"/>
                <w:szCs w:val="22"/>
              </w:rPr>
              <w:br/>
            </w:r>
            <w:r w:rsidR="00F518DB" w:rsidRPr="008A0A90">
              <w:rPr>
                <w:rFonts w:ascii="Arial" w:hAnsi="Arial" w:cs="Arial"/>
                <w:sz w:val="22"/>
                <w:szCs w:val="22"/>
              </w:rPr>
              <w:t>Four bacterial species (</w:t>
            </w:r>
            <w:r w:rsidR="00F518DB" w:rsidRPr="008A0A90">
              <w:rPr>
                <w:rFonts w:ascii="Arial" w:hAnsi="Arial" w:cs="Arial"/>
                <w:i/>
                <w:iCs/>
                <w:sz w:val="22"/>
                <w:szCs w:val="22"/>
              </w:rPr>
              <w:t>Escherichia coli</w:t>
            </w:r>
            <w:r w:rsidR="00F518DB" w:rsidRPr="008A0A90">
              <w:rPr>
                <w:rFonts w:ascii="Arial" w:hAnsi="Arial" w:cs="Arial"/>
                <w:sz w:val="22"/>
                <w:szCs w:val="22"/>
              </w:rPr>
              <w:t xml:space="preserve">, </w:t>
            </w:r>
            <w:r w:rsidR="00F518DB" w:rsidRPr="008A0A90">
              <w:rPr>
                <w:rFonts w:ascii="Arial" w:hAnsi="Arial" w:cs="Arial"/>
                <w:i/>
                <w:iCs/>
                <w:sz w:val="22"/>
                <w:szCs w:val="22"/>
              </w:rPr>
              <w:t>Pseudomonas aeruginosa</w:t>
            </w:r>
            <w:r w:rsidR="00F518DB" w:rsidRPr="008A0A90">
              <w:rPr>
                <w:rFonts w:ascii="Arial" w:hAnsi="Arial" w:cs="Arial"/>
                <w:sz w:val="22"/>
                <w:szCs w:val="22"/>
              </w:rPr>
              <w:t xml:space="preserve">, </w:t>
            </w:r>
            <w:r w:rsidR="00F518DB" w:rsidRPr="008A0A90">
              <w:rPr>
                <w:rFonts w:ascii="Arial" w:hAnsi="Arial" w:cs="Arial"/>
                <w:i/>
                <w:iCs/>
                <w:sz w:val="22"/>
                <w:szCs w:val="22"/>
              </w:rPr>
              <w:t>Staphylococcus aureus</w:t>
            </w:r>
            <w:r w:rsidR="00F518DB" w:rsidRPr="008A0A90">
              <w:rPr>
                <w:rFonts w:ascii="Arial" w:hAnsi="Arial" w:cs="Arial"/>
                <w:sz w:val="22"/>
                <w:szCs w:val="22"/>
              </w:rPr>
              <w:t xml:space="preserve">, and </w:t>
            </w:r>
            <w:r w:rsidR="00394D11" w:rsidRPr="008A0A90">
              <w:rPr>
                <w:rFonts w:ascii="Arial" w:hAnsi="Arial" w:cs="Arial"/>
                <w:i/>
                <w:iCs/>
                <w:sz w:val="22"/>
                <w:szCs w:val="22"/>
              </w:rPr>
              <w:t>S.</w:t>
            </w:r>
            <w:r w:rsidR="00F518DB" w:rsidRPr="008A0A90">
              <w:rPr>
                <w:rFonts w:ascii="Arial" w:hAnsi="Arial" w:cs="Arial"/>
                <w:i/>
                <w:iCs/>
                <w:sz w:val="22"/>
                <w:szCs w:val="22"/>
              </w:rPr>
              <w:t xml:space="preserve"> epidermidis</w:t>
            </w:r>
            <w:r w:rsidR="00F518DB" w:rsidRPr="008A0A90">
              <w:rPr>
                <w:rFonts w:ascii="Arial" w:hAnsi="Arial" w:cs="Arial"/>
                <w:sz w:val="22"/>
                <w:szCs w:val="22"/>
              </w:rPr>
              <w:t>) were cultured on nutrient agar media. Plates were supplemented with increasing concentrations of bovine lactoferrin, and colony diameter was used as a proxy for bacterial growth. Measurements were compared across treatments and control to evaluate differential responses.</w:t>
            </w:r>
          </w:p>
          <w:p w14:paraId="65DBD940" w14:textId="77777777" w:rsidR="004A130C" w:rsidRPr="008A0A90" w:rsidRDefault="004A130C" w:rsidP="00F55E91">
            <w:pPr>
              <w:pStyle w:val="Body"/>
              <w:spacing w:after="0"/>
              <w:jc w:val="left"/>
              <w:rPr>
                <w:rFonts w:ascii="Arial" w:eastAsia="Calibri" w:hAnsi="Arial" w:cs="Arial"/>
                <w:sz w:val="22"/>
                <w:szCs w:val="22"/>
              </w:rPr>
            </w:pPr>
          </w:p>
          <w:p w14:paraId="7AB80505" w14:textId="518436E9" w:rsidR="001E2E3E" w:rsidRPr="008A0A90" w:rsidRDefault="00F55E91" w:rsidP="00F55E91">
            <w:pPr>
              <w:pStyle w:val="Body"/>
              <w:spacing w:after="0"/>
              <w:jc w:val="left"/>
              <w:rPr>
                <w:rFonts w:ascii="Arial" w:hAnsi="Arial" w:cs="Arial"/>
                <w:sz w:val="22"/>
                <w:szCs w:val="22"/>
              </w:rPr>
            </w:pPr>
            <w:r w:rsidRPr="008A0A90">
              <w:rPr>
                <w:rFonts w:ascii="Arial" w:eastAsia="Calibri" w:hAnsi="Arial" w:cs="Arial"/>
                <w:b/>
                <w:bCs/>
                <w:sz w:val="22"/>
                <w:szCs w:val="22"/>
              </w:rPr>
              <w:t>Results:</w:t>
            </w:r>
            <w:r w:rsidRPr="008A0A90">
              <w:rPr>
                <w:rFonts w:ascii="Arial" w:eastAsia="Calibri" w:hAnsi="Arial" w:cs="Arial"/>
                <w:sz w:val="22"/>
                <w:szCs w:val="22"/>
              </w:rPr>
              <w:br/>
            </w:r>
            <w:r w:rsidR="00A27AFE" w:rsidRPr="008A0A90">
              <w:rPr>
                <w:rFonts w:ascii="Arial" w:hAnsi="Arial" w:cs="Arial"/>
                <w:sz w:val="22"/>
                <w:szCs w:val="22"/>
              </w:rPr>
              <w:t xml:space="preserve">Bovine lactoferrin significantly affected </w:t>
            </w:r>
            <w:r w:rsidR="006A7D84">
              <w:rPr>
                <w:rFonts w:ascii="Arial" w:hAnsi="Arial" w:cs="Arial"/>
                <w:sz w:val="22"/>
                <w:szCs w:val="22"/>
              </w:rPr>
              <w:t xml:space="preserve">bacterial colony diameter (P &lt; </w:t>
            </w:r>
            <w:r w:rsidR="00A27AFE" w:rsidRPr="008A0A90">
              <w:rPr>
                <w:rFonts w:ascii="Arial" w:hAnsi="Arial" w:cs="Arial"/>
                <w:sz w:val="22"/>
                <w:szCs w:val="22"/>
              </w:rPr>
              <w:t xml:space="preserve">.001), with colony growth generally reduced in lactoferrin-treated media compared to controls. Colony size also differed significantly among bacterial species, with the largest colonies observed in </w:t>
            </w:r>
            <w:r w:rsidR="00A27AFE" w:rsidRPr="008A0A90">
              <w:rPr>
                <w:rStyle w:val="Emphasis"/>
                <w:rFonts w:ascii="Arial" w:hAnsi="Arial" w:cs="Arial"/>
                <w:sz w:val="22"/>
                <w:szCs w:val="22"/>
              </w:rPr>
              <w:t>P. aeruginosa</w:t>
            </w:r>
            <w:r w:rsidR="00A27AFE" w:rsidRPr="008A0A90">
              <w:rPr>
                <w:rFonts w:ascii="Arial" w:hAnsi="Arial" w:cs="Arial"/>
                <w:sz w:val="22"/>
                <w:szCs w:val="22"/>
              </w:rPr>
              <w:t xml:space="preserve"> and </w:t>
            </w:r>
            <w:r w:rsidR="00A27AFE" w:rsidRPr="008A0A90">
              <w:rPr>
                <w:rStyle w:val="Emphasis"/>
                <w:rFonts w:ascii="Arial" w:hAnsi="Arial" w:cs="Arial"/>
                <w:sz w:val="22"/>
                <w:szCs w:val="22"/>
              </w:rPr>
              <w:t>E. coli</w:t>
            </w:r>
            <w:r w:rsidR="00A27AFE" w:rsidRPr="008A0A90">
              <w:rPr>
                <w:rFonts w:ascii="Arial" w:hAnsi="Arial" w:cs="Arial"/>
                <w:sz w:val="22"/>
                <w:szCs w:val="22"/>
              </w:rPr>
              <w:t xml:space="preserve">, followed by </w:t>
            </w:r>
            <w:r w:rsidR="00A27AFE" w:rsidRPr="008A0A90">
              <w:rPr>
                <w:rStyle w:val="Emphasis"/>
                <w:rFonts w:ascii="Arial" w:hAnsi="Arial" w:cs="Arial"/>
                <w:sz w:val="22"/>
                <w:szCs w:val="22"/>
              </w:rPr>
              <w:t>S. aureus</w:t>
            </w:r>
            <w:r w:rsidR="00A27AFE" w:rsidRPr="008A0A90">
              <w:rPr>
                <w:rFonts w:ascii="Arial" w:hAnsi="Arial" w:cs="Arial"/>
                <w:sz w:val="22"/>
                <w:szCs w:val="22"/>
              </w:rPr>
              <w:t xml:space="preserve"> and </w:t>
            </w:r>
            <w:r w:rsidR="00A27AFE" w:rsidRPr="008A0A90">
              <w:rPr>
                <w:rStyle w:val="Emphasis"/>
                <w:rFonts w:ascii="Arial" w:hAnsi="Arial" w:cs="Arial"/>
                <w:sz w:val="22"/>
                <w:szCs w:val="22"/>
              </w:rPr>
              <w:t>S. epidermidis</w:t>
            </w:r>
            <w:r w:rsidR="00A27AFE" w:rsidRPr="008A0A90">
              <w:rPr>
                <w:rFonts w:ascii="Arial" w:hAnsi="Arial" w:cs="Arial"/>
                <w:sz w:val="22"/>
                <w:szCs w:val="22"/>
              </w:rPr>
              <w:t>, and a significant treatm</w:t>
            </w:r>
            <w:r w:rsidR="006A7D84">
              <w:rPr>
                <w:rFonts w:ascii="Arial" w:hAnsi="Arial" w:cs="Arial"/>
                <w:sz w:val="22"/>
                <w:szCs w:val="22"/>
              </w:rPr>
              <w:t xml:space="preserve">ent × species interaction (P &lt; </w:t>
            </w:r>
            <w:r w:rsidR="00A27AFE" w:rsidRPr="008A0A90">
              <w:rPr>
                <w:rFonts w:ascii="Arial" w:hAnsi="Arial" w:cs="Arial"/>
                <w:sz w:val="22"/>
                <w:szCs w:val="22"/>
              </w:rPr>
              <w:t>.001) indicated species-specific responses to lactoferrin exposure.</w:t>
            </w:r>
          </w:p>
          <w:p w14:paraId="248C58BB" w14:textId="77777777" w:rsidR="00394D11" w:rsidRPr="008A0A90" w:rsidRDefault="00394D11" w:rsidP="00F55E91">
            <w:pPr>
              <w:pStyle w:val="Body"/>
              <w:spacing w:after="0"/>
              <w:jc w:val="left"/>
              <w:rPr>
                <w:rFonts w:ascii="Arial" w:eastAsia="Calibri" w:hAnsi="Arial" w:cs="Arial"/>
                <w:sz w:val="22"/>
                <w:szCs w:val="22"/>
              </w:rPr>
            </w:pPr>
          </w:p>
          <w:p w14:paraId="00A581E3" w14:textId="5C9ACBF8" w:rsidR="00505F06" w:rsidRPr="008A0A90" w:rsidRDefault="00F55E91" w:rsidP="00F518DB">
            <w:pPr>
              <w:pStyle w:val="Body"/>
              <w:jc w:val="left"/>
              <w:rPr>
                <w:rFonts w:ascii="Arial" w:eastAsia="Calibri" w:hAnsi="Arial" w:cs="Arial"/>
                <w:sz w:val="22"/>
                <w:szCs w:val="22"/>
              </w:rPr>
            </w:pPr>
            <w:r w:rsidRPr="008A0A90">
              <w:rPr>
                <w:rFonts w:ascii="Arial" w:eastAsia="Calibri" w:hAnsi="Arial" w:cs="Arial"/>
                <w:b/>
                <w:bCs/>
                <w:sz w:val="22"/>
                <w:szCs w:val="22"/>
              </w:rPr>
              <w:t>Conclusion:</w:t>
            </w:r>
            <w:r w:rsidRPr="008A0A90">
              <w:rPr>
                <w:rFonts w:ascii="Arial" w:eastAsia="Calibri" w:hAnsi="Arial" w:cs="Arial"/>
                <w:sz w:val="22"/>
                <w:szCs w:val="22"/>
              </w:rPr>
              <w:br/>
            </w:r>
            <w:r w:rsidR="00F518DB" w:rsidRPr="008A0A90">
              <w:rPr>
                <w:rFonts w:ascii="Arial" w:eastAsia="Calibri" w:hAnsi="Arial" w:cs="Arial"/>
                <w:sz w:val="22"/>
                <w:szCs w:val="22"/>
              </w:rPr>
              <w:t>It is concluded</w:t>
            </w:r>
            <w:r w:rsidRPr="008A0A90">
              <w:rPr>
                <w:rFonts w:ascii="Arial" w:eastAsia="Calibri" w:hAnsi="Arial" w:cs="Arial"/>
                <w:sz w:val="22"/>
                <w:szCs w:val="22"/>
              </w:rPr>
              <w:t xml:space="preserve"> that bovine lactoferrin </w:t>
            </w:r>
            <w:r w:rsidR="00324467" w:rsidRPr="008A0A90">
              <w:rPr>
                <w:rFonts w:ascii="Arial" w:eastAsia="Calibri" w:hAnsi="Arial" w:cs="Arial"/>
                <w:sz w:val="22"/>
                <w:szCs w:val="22"/>
              </w:rPr>
              <w:t xml:space="preserve">treatment </w:t>
            </w:r>
            <w:r w:rsidRPr="008A0A90">
              <w:rPr>
                <w:rFonts w:ascii="Arial" w:eastAsia="Calibri" w:hAnsi="Arial" w:cs="Arial"/>
                <w:sz w:val="22"/>
                <w:szCs w:val="22"/>
              </w:rPr>
              <w:t>inhibit</w:t>
            </w:r>
            <w:r w:rsidR="00324467" w:rsidRPr="008A0A90">
              <w:rPr>
                <w:rFonts w:ascii="Arial" w:eastAsia="Calibri" w:hAnsi="Arial" w:cs="Arial"/>
                <w:sz w:val="22"/>
                <w:szCs w:val="22"/>
              </w:rPr>
              <w:t xml:space="preserve">ed </w:t>
            </w:r>
            <w:r w:rsidRPr="008A0A90">
              <w:rPr>
                <w:rFonts w:ascii="Arial" w:eastAsia="Calibri" w:hAnsi="Arial" w:cs="Arial"/>
                <w:sz w:val="22"/>
                <w:szCs w:val="22"/>
              </w:rPr>
              <w:t>bacterial growth in a concentr</w:t>
            </w:r>
            <w:r w:rsidR="00F518DB" w:rsidRPr="008A0A90">
              <w:rPr>
                <w:rFonts w:ascii="Arial" w:eastAsia="Calibri" w:hAnsi="Arial" w:cs="Arial"/>
                <w:sz w:val="22"/>
                <w:szCs w:val="22"/>
              </w:rPr>
              <w:t xml:space="preserve">ation-dependent manner, though </w:t>
            </w:r>
            <w:r w:rsidRPr="008A0A90">
              <w:rPr>
                <w:rFonts w:ascii="Arial" w:eastAsia="Calibri" w:hAnsi="Arial" w:cs="Arial"/>
                <w:sz w:val="22"/>
                <w:szCs w:val="22"/>
              </w:rPr>
              <w:t xml:space="preserve">effectiveness </w:t>
            </w:r>
            <w:r w:rsidR="00F518DB" w:rsidRPr="008A0A90">
              <w:rPr>
                <w:rFonts w:ascii="Arial" w:eastAsia="Calibri" w:hAnsi="Arial" w:cs="Arial"/>
                <w:sz w:val="22"/>
                <w:szCs w:val="22"/>
              </w:rPr>
              <w:t>is species-specific</w:t>
            </w:r>
            <w:r w:rsidRPr="008A0A90">
              <w:rPr>
                <w:rFonts w:ascii="Arial" w:eastAsia="Calibri" w:hAnsi="Arial" w:cs="Arial"/>
                <w:sz w:val="22"/>
                <w:szCs w:val="22"/>
              </w:rPr>
              <w:t xml:space="preserve">. </w:t>
            </w:r>
            <w:r w:rsidR="00F518DB" w:rsidRPr="008A0A90">
              <w:rPr>
                <w:rFonts w:ascii="Arial" w:eastAsia="Calibri" w:hAnsi="Arial" w:cs="Arial"/>
                <w:sz w:val="22"/>
                <w:szCs w:val="22"/>
              </w:rPr>
              <w:t>These</w:t>
            </w:r>
            <w:r w:rsidR="00267190" w:rsidRPr="008A0A90">
              <w:rPr>
                <w:rFonts w:ascii="Arial" w:eastAsia="Calibri" w:hAnsi="Arial" w:cs="Arial"/>
                <w:sz w:val="22"/>
                <w:szCs w:val="22"/>
              </w:rPr>
              <w:t xml:space="preserve"> findings suggest that antimicrobial properties of lactoferrin may be context-dependent, with variation in susceptibility likely influenced by intr</w:t>
            </w:r>
            <w:r w:rsidR="00F518DB" w:rsidRPr="008A0A90">
              <w:rPr>
                <w:rFonts w:ascii="Arial" w:eastAsia="Calibri" w:hAnsi="Arial" w:cs="Arial"/>
                <w:sz w:val="22"/>
                <w:szCs w:val="22"/>
              </w:rPr>
              <w:t xml:space="preserve">insic bacterial characteristics, necessitating further research into the underlying </w:t>
            </w:r>
            <w:r w:rsidRPr="008A0A90">
              <w:rPr>
                <w:rFonts w:ascii="Arial" w:eastAsia="Calibri" w:hAnsi="Arial" w:cs="Arial"/>
                <w:sz w:val="22"/>
                <w:szCs w:val="22"/>
              </w:rPr>
              <w:t>mechanisms</w:t>
            </w:r>
            <w:r w:rsidR="00F518DB" w:rsidRPr="008A0A90">
              <w:rPr>
                <w:rFonts w:ascii="Arial" w:eastAsia="Calibri" w:hAnsi="Arial" w:cs="Arial"/>
                <w:sz w:val="22"/>
                <w:szCs w:val="22"/>
              </w:rPr>
              <w:t>.</w:t>
            </w:r>
          </w:p>
        </w:tc>
      </w:tr>
    </w:tbl>
    <w:p w14:paraId="5C126CC2" w14:textId="77777777" w:rsidR="00636EB2" w:rsidRPr="008A0A90" w:rsidRDefault="00636EB2" w:rsidP="00441B6F">
      <w:pPr>
        <w:pStyle w:val="Body"/>
        <w:spacing w:after="0"/>
        <w:rPr>
          <w:rFonts w:ascii="Arial" w:hAnsi="Arial" w:cs="Arial"/>
          <w:i/>
          <w:sz w:val="22"/>
          <w:szCs w:val="22"/>
        </w:rPr>
      </w:pPr>
    </w:p>
    <w:p w14:paraId="0A2CB2F4" w14:textId="77777777" w:rsidR="00F518DB" w:rsidRPr="008A0A90" w:rsidRDefault="00F518DB" w:rsidP="00F518DB">
      <w:pPr>
        <w:pStyle w:val="Body"/>
        <w:rPr>
          <w:rFonts w:ascii="Arial" w:hAnsi="Arial" w:cs="Arial"/>
          <w:i/>
          <w:sz w:val="22"/>
          <w:szCs w:val="22"/>
        </w:rPr>
      </w:pPr>
      <w:r w:rsidRPr="008A0A90">
        <w:rPr>
          <w:rFonts w:ascii="Arial" w:hAnsi="Arial" w:cs="Arial"/>
          <w:i/>
          <w:sz w:val="22"/>
          <w:szCs w:val="22"/>
        </w:rPr>
        <w:t>Keywords</w:t>
      </w:r>
      <w:r w:rsidRPr="008A0A90">
        <w:rPr>
          <w:rFonts w:ascii="Arial" w:hAnsi="Arial" w:cs="Arial"/>
          <w:sz w:val="22"/>
          <w:szCs w:val="22"/>
          <w:lang w:val="en"/>
        </w:rPr>
        <w:t xml:space="preserve"> </w:t>
      </w:r>
      <w:r w:rsidRPr="008A0A90">
        <w:rPr>
          <w:rFonts w:ascii="Arial" w:hAnsi="Arial" w:cs="Arial"/>
          <w:i/>
          <w:sz w:val="22"/>
          <w:szCs w:val="22"/>
        </w:rPr>
        <w:t>Bovine lactoferrin; antimicrobial activity; bacterial growth inhibition; species-specific effects; comparative microbiology</w:t>
      </w:r>
    </w:p>
    <w:p w14:paraId="2A12E2A9" w14:textId="77777777" w:rsidR="0024282C" w:rsidRPr="008A0A90" w:rsidRDefault="0024282C" w:rsidP="00441B6F">
      <w:pPr>
        <w:pStyle w:val="Body"/>
        <w:spacing w:after="0"/>
        <w:rPr>
          <w:rFonts w:ascii="Arial" w:hAnsi="Arial" w:cs="Arial"/>
          <w:i/>
          <w:sz w:val="22"/>
          <w:szCs w:val="22"/>
        </w:rPr>
      </w:pPr>
    </w:p>
    <w:p w14:paraId="318E382D" w14:textId="77777777" w:rsidR="00D65931" w:rsidRPr="008A0A90" w:rsidRDefault="00D65931" w:rsidP="00441B6F">
      <w:pPr>
        <w:pStyle w:val="Body"/>
        <w:spacing w:after="0"/>
        <w:rPr>
          <w:rFonts w:ascii="Arial" w:hAnsi="Arial" w:cs="Arial"/>
          <w:i/>
          <w:sz w:val="22"/>
          <w:szCs w:val="22"/>
        </w:rPr>
      </w:pPr>
    </w:p>
    <w:p w14:paraId="380DD477" w14:textId="77777777" w:rsidR="00D65931" w:rsidRPr="008A0A90" w:rsidRDefault="00D65931" w:rsidP="00441B6F">
      <w:pPr>
        <w:pStyle w:val="Body"/>
        <w:spacing w:after="0"/>
        <w:rPr>
          <w:rFonts w:ascii="Arial" w:hAnsi="Arial" w:cs="Arial"/>
          <w:i/>
          <w:sz w:val="22"/>
          <w:szCs w:val="22"/>
        </w:rPr>
      </w:pPr>
    </w:p>
    <w:p w14:paraId="059CA2F7" w14:textId="77777777" w:rsidR="00505F06" w:rsidRPr="008A0A90" w:rsidRDefault="00505F06" w:rsidP="00441B6F">
      <w:pPr>
        <w:pStyle w:val="Body"/>
        <w:spacing w:after="0"/>
        <w:rPr>
          <w:rFonts w:ascii="Arial" w:hAnsi="Arial" w:cs="Arial"/>
          <w:i/>
          <w:sz w:val="22"/>
          <w:szCs w:val="22"/>
        </w:rPr>
      </w:pPr>
    </w:p>
    <w:p w14:paraId="65248704" w14:textId="77777777" w:rsidR="007F7B32" w:rsidRPr="008A0A90" w:rsidRDefault="00902823" w:rsidP="00441B6F">
      <w:pPr>
        <w:pStyle w:val="AbstHead"/>
        <w:spacing w:after="0"/>
        <w:jc w:val="both"/>
        <w:rPr>
          <w:rFonts w:ascii="Arial" w:hAnsi="Arial" w:cs="Arial"/>
          <w:szCs w:val="22"/>
        </w:rPr>
      </w:pPr>
      <w:r w:rsidRPr="008A0A90">
        <w:rPr>
          <w:rFonts w:ascii="Arial" w:hAnsi="Arial" w:cs="Arial"/>
          <w:szCs w:val="22"/>
        </w:rPr>
        <w:t xml:space="preserve">1. </w:t>
      </w:r>
      <w:r w:rsidR="00B01FCD" w:rsidRPr="008A0A90">
        <w:rPr>
          <w:rFonts w:ascii="Arial" w:hAnsi="Arial" w:cs="Arial"/>
          <w:szCs w:val="22"/>
        </w:rPr>
        <w:t>INTRODUCTION</w:t>
      </w:r>
    </w:p>
    <w:p w14:paraId="455C8184" w14:textId="77777777" w:rsidR="00790ADA" w:rsidRPr="008A0A90" w:rsidRDefault="00790ADA" w:rsidP="00441B6F">
      <w:pPr>
        <w:pStyle w:val="AbstHead"/>
        <w:spacing w:after="0"/>
        <w:jc w:val="both"/>
        <w:rPr>
          <w:rFonts w:ascii="Arial" w:hAnsi="Arial" w:cs="Arial"/>
          <w:szCs w:val="22"/>
        </w:rPr>
      </w:pPr>
    </w:p>
    <w:p w14:paraId="50661F19" w14:textId="14818A1E" w:rsidR="00A77BE6" w:rsidRPr="008A0A90" w:rsidRDefault="002D5760" w:rsidP="00A77BE6">
      <w:pPr>
        <w:pStyle w:val="Body"/>
        <w:rPr>
          <w:rFonts w:ascii="Arial" w:hAnsi="Arial" w:cs="Arial"/>
          <w:sz w:val="22"/>
          <w:szCs w:val="22"/>
        </w:rPr>
      </w:pPr>
      <w:r w:rsidRPr="008A0A90">
        <w:rPr>
          <w:rFonts w:ascii="Arial" w:hAnsi="Arial" w:cs="Arial"/>
          <w:sz w:val="22"/>
          <w:szCs w:val="22"/>
        </w:rPr>
        <w:t>At all spatial scales, o</w:t>
      </w:r>
      <w:r w:rsidR="00A77BE6" w:rsidRPr="008A0A90">
        <w:rPr>
          <w:rFonts w:ascii="Arial" w:hAnsi="Arial" w:cs="Arial"/>
          <w:sz w:val="22"/>
          <w:szCs w:val="22"/>
        </w:rPr>
        <w:t>rganismal growth</w:t>
      </w:r>
      <w:r w:rsidRPr="008A0A90">
        <w:rPr>
          <w:rFonts w:ascii="Arial" w:hAnsi="Arial" w:cs="Arial"/>
          <w:sz w:val="22"/>
          <w:szCs w:val="22"/>
        </w:rPr>
        <w:t xml:space="preserve"> and population expansion are</w:t>
      </w:r>
      <w:r w:rsidR="00A77BE6" w:rsidRPr="008A0A90">
        <w:rPr>
          <w:rFonts w:ascii="Arial" w:hAnsi="Arial" w:cs="Arial"/>
          <w:sz w:val="22"/>
          <w:szCs w:val="22"/>
        </w:rPr>
        <w:t xml:space="preserve"> limited by the amount of reso</w:t>
      </w:r>
      <w:r w:rsidR="002A5401" w:rsidRPr="008A0A90">
        <w:rPr>
          <w:rFonts w:ascii="Arial" w:hAnsi="Arial" w:cs="Arial"/>
          <w:sz w:val="22"/>
          <w:szCs w:val="22"/>
        </w:rPr>
        <w:t>urces available in a</w:t>
      </w:r>
      <w:r w:rsidR="00A77BE6" w:rsidRPr="008A0A90">
        <w:rPr>
          <w:rFonts w:ascii="Arial" w:hAnsi="Arial" w:cs="Arial"/>
          <w:sz w:val="22"/>
          <w:szCs w:val="22"/>
        </w:rPr>
        <w:t xml:space="preserve"> habitat. These resources can be in the form of abiotic factors, such as carbon dioxide and trace elements, but it can be due to biotic resources (Gomez et al., 2020; </w:t>
      </w:r>
      <w:proofErr w:type="spellStart"/>
      <w:r w:rsidR="00A77BE6" w:rsidRPr="008A0A90">
        <w:rPr>
          <w:rFonts w:ascii="Arial" w:hAnsi="Arial" w:cs="Arial"/>
          <w:sz w:val="22"/>
          <w:szCs w:val="22"/>
        </w:rPr>
        <w:t>Atolia</w:t>
      </w:r>
      <w:proofErr w:type="spellEnd"/>
      <w:r w:rsidR="00A77BE6" w:rsidRPr="008A0A90">
        <w:rPr>
          <w:rFonts w:ascii="Arial" w:hAnsi="Arial" w:cs="Arial"/>
          <w:sz w:val="22"/>
          <w:szCs w:val="22"/>
        </w:rPr>
        <w:t xml:space="preserve"> et al., 2020). In many cases, abiotic factors interact with biological factors, </w:t>
      </w:r>
      <w:r w:rsidR="008C2069" w:rsidRPr="008A0A90">
        <w:rPr>
          <w:rFonts w:ascii="Arial" w:hAnsi="Arial" w:cs="Arial"/>
          <w:sz w:val="22"/>
          <w:szCs w:val="22"/>
        </w:rPr>
        <w:t xml:space="preserve">and this is </w:t>
      </w:r>
      <w:r w:rsidR="00A77BE6" w:rsidRPr="008A0A90">
        <w:rPr>
          <w:rFonts w:ascii="Arial" w:hAnsi="Arial" w:cs="Arial"/>
          <w:sz w:val="22"/>
          <w:szCs w:val="22"/>
        </w:rPr>
        <w:t xml:space="preserve">because organisms </w:t>
      </w:r>
      <w:r w:rsidR="000231AB" w:rsidRPr="008A0A90">
        <w:rPr>
          <w:rFonts w:ascii="Arial" w:hAnsi="Arial" w:cs="Arial"/>
          <w:sz w:val="22"/>
          <w:szCs w:val="22"/>
        </w:rPr>
        <w:t xml:space="preserve">must </w:t>
      </w:r>
      <w:r w:rsidR="00A77BE6" w:rsidRPr="008A0A90">
        <w:rPr>
          <w:rFonts w:ascii="Arial" w:hAnsi="Arial" w:cs="Arial"/>
          <w:sz w:val="22"/>
          <w:szCs w:val="22"/>
        </w:rPr>
        <w:t>live in habitats and ecosystems</w:t>
      </w:r>
      <w:r w:rsidR="000231AB" w:rsidRPr="008A0A90">
        <w:rPr>
          <w:rFonts w:ascii="Arial" w:hAnsi="Arial" w:cs="Arial"/>
          <w:sz w:val="22"/>
          <w:szCs w:val="22"/>
        </w:rPr>
        <w:t>, be they natural or artificial environments</w:t>
      </w:r>
      <w:r w:rsidR="00A77BE6" w:rsidRPr="008A0A90">
        <w:rPr>
          <w:rFonts w:ascii="Arial" w:hAnsi="Arial" w:cs="Arial"/>
          <w:sz w:val="22"/>
          <w:szCs w:val="22"/>
        </w:rPr>
        <w:t>. Microorganisms, including bacteria, can use whole organisms as hosts, and it is possible that the resources required for these microbes can be limited by the biology of its host. For example, these environments could consist of mammalian guts or leaf litter in soil periodically providing nutrients to bacteria (</w:t>
      </w:r>
      <w:proofErr w:type="spellStart"/>
      <w:r w:rsidR="00A77BE6" w:rsidRPr="008A0A90">
        <w:rPr>
          <w:rFonts w:ascii="Arial" w:hAnsi="Arial" w:cs="Arial"/>
          <w:sz w:val="22"/>
          <w:szCs w:val="22"/>
        </w:rPr>
        <w:t>Atolia</w:t>
      </w:r>
      <w:proofErr w:type="spellEnd"/>
      <w:r w:rsidR="00A77BE6" w:rsidRPr="008A0A90">
        <w:rPr>
          <w:rFonts w:ascii="Arial" w:hAnsi="Arial" w:cs="Arial"/>
          <w:sz w:val="22"/>
          <w:szCs w:val="22"/>
        </w:rPr>
        <w:t xml:space="preserve"> et al., 2020). </w:t>
      </w:r>
    </w:p>
    <w:p w14:paraId="08E16F5C" w14:textId="15CF5BE5" w:rsidR="00804C47" w:rsidRPr="008A0A90" w:rsidRDefault="00804C47" w:rsidP="00804C47">
      <w:pPr>
        <w:pStyle w:val="Body"/>
        <w:spacing w:after="0"/>
        <w:rPr>
          <w:rFonts w:ascii="Arial" w:hAnsi="Arial" w:cs="Arial"/>
          <w:sz w:val="22"/>
          <w:szCs w:val="22"/>
        </w:rPr>
      </w:pPr>
      <w:r w:rsidRPr="008A0A90">
        <w:rPr>
          <w:rFonts w:ascii="Arial" w:hAnsi="Arial" w:cs="Arial"/>
          <w:sz w:val="22"/>
          <w:szCs w:val="22"/>
        </w:rPr>
        <w:t>Each of these</w:t>
      </w:r>
      <w:r w:rsidR="00A77BE6" w:rsidRPr="008A0A90">
        <w:rPr>
          <w:rFonts w:ascii="Arial" w:hAnsi="Arial" w:cs="Arial"/>
          <w:sz w:val="22"/>
          <w:szCs w:val="22"/>
        </w:rPr>
        <w:t xml:space="preserve"> physical and biological </w:t>
      </w:r>
      <w:r w:rsidRPr="008A0A90">
        <w:rPr>
          <w:rFonts w:ascii="Arial" w:hAnsi="Arial" w:cs="Arial"/>
          <w:sz w:val="22"/>
          <w:szCs w:val="22"/>
        </w:rPr>
        <w:t>variables can influence both the rate</w:t>
      </w:r>
      <w:r w:rsidR="00056659" w:rsidRPr="008A0A90">
        <w:rPr>
          <w:rFonts w:ascii="Arial" w:hAnsi="Arial" w:cs="Arial"/>
          <w:sz w:val="22"/>
          <w:szCs w:val="22"/>
        </w:rPr>
        <w:t xml:space="preserve"> of colony growth</w:t>
      </w:r>
      <w:r w:rsidRPr="008A0A90">
        <w:rPr>
          <w:rFonts w:ascii="Arial" w:hAnsi="Arial" w:cs="Arial"/>
          <w:sz w:val="22"/>
          <w:szCs w:val="22"/>
        </w:rPr>
        <w:t xml:space="preserve"> and extent of microbial spread (</w:t>
      </w:r>
      <w:proofErr w:type="spellStart"/>
      <w:r w:rsidR="007820EB" w:rsidRPr="008A0A90">
        <w:rPr>
          <w:rFonts w:ascii="Arial" w:hAnsi="Arial" w:cs="Arial"/>
          <w:sz w:val="22"/>
          <w:szCs w:val="22"/>
        </w:rPr>
        <w:t>Atolia</w:t>
      </w:r>
      <w:proofErr w:type="spellEnd"/>
      <w:r w:rsidR="007820EB" w:rsidRPr="008A0A90">
        <w:rPr>
          <w:rFonts w:ascii="Arial" w:hAnsi="Arial" w:cs="Arial"/>
          <w:sz w:val="22"/>
          <w:szCs w:val="22"/>
        </w:rPr>
        <w:t xml:space="preserve"> et al., 2020</w:t>
      </w:r>
      <w:r w:rsidRPr="008A0A90">
        <w:rPr>
          <w:rFonts w:ascii="Arial" w:hAnsi="Arial" w:cs="Arial"/>
          <w:sz w:val="22"/>
          <w:szCs w:val="22"/>
        </w:rPr>
        <w:t xml:space="preserve">). However, these environmental effects are not </w:t>
      </w:r>
      <w:r w:rsidR="00A77BE6" w:rsidRPr="008A0A90">
        <w:rPr>
          <w:rFonts w:ascii="Arial" w:hAnsi="Arial" w:cs="Arial"/>
          <w:sz w:val="22"/>
          <w:szCs w:val="22"/>
        </w:rPr>
        <w:t>consistent across all contexts because surfaces can be heterogeneous, and other organisms can coexist in these microbiomes. Instead, the expansion of bacterial colonies</w:t>
      </w:r>
      <w:r w:rsidR="00D528D8" w:rsidRPr="008A0A90">
        <w:rPr>
          <w:rFonts w:ascii="Arial" w:hAnsi="Arial" w:cs="Arial"/>
          <w:sz w:val="22"/>
          <w:szCs w:val="22"/>
        </w:rPr>
        <w:t xml:space="preserve"> often</w:t>
      </w:r>
      <w:r w:rsidRPr="008A0A90">
        <w:rPr>
          <w:rFonts w:ascii="Arial" w:hAnsi="Arial" w:cs="Arial"/>
          <w:sz w:val="22"/>
          <w:szCs w:val="22"/>
        </w:rPr>
        <w:t xml:space="preserve"> </w:t>
      </w:r>
      <w:r w:rsidR="00B41465" w:rsidRPr="008A0A90">
        <w:rPr>
          <w:rFonts w:ascii="Arial" w:hAnsi="Arial" w:cs="Arial"/>
          <w:sz w:val="22"/>
          <w:szCs w:val="22"/>
        </w:rPr>
        <w:t>depends</w:t>
      </w:r>
      <w:r w:rsidRPr="008A0A90">
        <w:rPr>
          <w:rFonts w:ascii="Arial" w:hAnsi="Arial" w:cs="Arial"/>
          <w:sz w:val="22"/>
          <w:szCs w:val="22"/>
        </w:rPr>
        <w:t xml:space="preserve"> on the </w:t>
      </w:r>
      <w:r w:rsidR="00D528D8" w:rsidRPr="008A0A90">
        <w:rPr>
          <w:rFonts w:ascii="Arial" w:hAnsi="Arial" w:cs="Arial"/>
          <w:sz w:val="22"/>
          <w:szCs w:val="22"/>
        </w:rPr>
        <w:t xml:space="preserve">physical and chemical nature of the </w:t>
      </w:r>
      <w:r w:rsidRPr="008A0A90">
        <w:rPr>
          <w:rFonts w:ascii="Arial" w:hAnsi="Arial" w:cs="Arial"/>
          <w:sz w:val="22"/>
          <w:szCs w:val="22"/>
        </w:rPr>
        <w:t>substrate on which the bacteria are growing (</w:t>
      </w:r>
      <w:proofErr w:type="spellStart"/>
      <w:r w:rsidR="007820EB" w:rsidRPr="008A0A90">
        <w:rPr>
          <w:rFonts w:ascii="Arial" w:hAnsi="Arial" w:cs="Arial"/>
          <w:sz w:val="22"/>
          <w:szCs w:val="22"/>
        </w:rPr>
        <w:t>Khudayarova</w:t>
      </w:r>
      <w:proofErr w:type="spellEnd"/>
      <w:r w:rsidR="007820EB" w:rsidRPr="008A0A90">
        <w:rPr>
          <w:rFonts w:ascii="Arial" w:hAnsi="Arial" w:cs="Arial"/>
          <w:sz w:val="22"/>
          <w:szCs w:val="22"/>
        </w:rPr>
        <w:t xml:space="preserve"> et al., 2026</w:t>
      </w:r>
      <w:r w:rsidRPr="008A0A90">
        <w:rPr>
          <w:rFonts w:ascii="Arial" w:hAnsi="Arial" w:cs="Arial"/>
          <w:sz w:val="22"/>
          <w:szCs w:val="22"/>
        </w:rPr>
        <w:t>).</w:t>
      </w:r>
      <w:r w:rsidR="00D528D8" w:rsidRPr="008A0A90">
        <w:rPr>
          <w:rFonts w:ascii="Arial" w:hAnsi="Arial" w:cs="Arial"/>
          <w:sz w:val="22"/>
          <w:szCs w:val="22"/>
        </w:rPr>
        <w:t xml:space="preserve"> In</w:t>
      </w:r>
      <w:r w:rsidRPr="008A0A90">
        <w:rPr>
          <w:rFonts w:ascii="Arial" w:hAnsi="Arial" w:cs="Arial"/>
          <w:sz w:val="22"/>
          <w:szCs w:val="22"/>
        </w:rPr>
        <w:t xml:space="preserve"> nutrient-rich environments</w:t>
      </w:r>
      <w:r w:rsidR="00D528D8" w:rsidRPr="008A0A90">
        <w:rPr>
          <w:rFonts w:ascii="Arial" w:hAnsi="Arial" w:cs="Arial"/>
          <w:sz w:val="22"/>
          <w:szCs w:val="22"/>
        </w:rPr>
        <w:t xml:space="preserve">, bacterial populations may expand rapidly due to increased metabolic support and efficient resource uptake, leading to larger and </w:t>
      </w:r>
      <w:r w:rsidR="00B41465" w:rsidRPr="008A0A90">
        <w:rPr>
          <w:rFonts w:ascii="Arial" w:hAnsi="Arial" w:cs="Arial"/>
          <w:sz w:val="22"/>
          <w:szCs w:val="22"/>
        </w:rPr>
        <w:t>denser</w:t>
      </w:r>
      <w:r w:rsidR="00D528D8" w:rsidRPr="008A0A90">
        <w:rPr>
          <w:rFonts w:ascii="Arial" w:hAnsi="Arial" w:cs="Arial"/>
          <w:sz w:val="22"/>
          <w:szCs w:val="22"/>
        </w:rPr>
        <w:t xml:space="preserve"> colonies. In contrast, environments with limited nutrients or the presence of inhibitory </w:t>
      </w:r>
      <w:proofErr w:type="spellStart"/>
      <w:r w:rsidR="00D528D8" w:rsidRPr="008A0A90">
        <w:rPr>
          <w:rFonts w:ascii="Arial" w:hAnsi="Arial" w:cs="Arial"/>
          <w:sz w:val="22"/>
          <w:szCs w:val="22"/>
        </w:rPr>
        <w:t>comounds</w:t>
      </w:r>
      <w:proofErr w:type="spellEnd"/>
      <w:r w:rsidR="00D528D8" w:rsidRPr="008A0A90">
        <w:rPr>
          <w:rFonts w:ascii="Arial" w:hAnsi="Arial" w:cs="Arial"/>
          <w:sz w:val="22"/>
          <w:szCs w:val="22"/>
        </w:rPr>
        <w:t xml:space="preserve"> can restrict growth, slow division rates, and reduce spatial expansion</w:t>
      </w:r>
      <w:r w:rsidR="00D9747A" w:rsidRPr="008A0A90">
        <w:rPr>
          <w:rFonts w:ascii="Arial" w:hAnsi="Arial" w:cs="Arial"/>
          <w:sz w:val="22"/>
          <w:szCs w:val="22"/>
        </w:rPr>
        <w:t xml:space="preserve"> (</w:t>
      </w:r>
      <w:proofErr w:type="spellStart"/>
      <w:r w:rsidR="00D9747A" w:rsidRPr="008A0A90">
        <w:rPr>
          <w:rFonts w:ascii="Arial" w:hAnsi="Arial" w:cs="Arial"/>
          <w:sz w:val="22"/>
          <w:szCs w:val="22"/>
        </w:rPr>
        <w:t>Khudayarova</w:t>
      </w:r>
      <w:proofErr w:type="spellEnd"/>
      <w:r w:rsidR="00D9747A" w:rsidRPr="008A0A90">
        <w:rPr>
          <w:rFonts w:ascii="Arial" w:hAnsi="Arial" w:cs="Arial"/>
          <w:sz w:val="22"/>
          <w:szCs w:val="22"/>
        </w:rPr>
        <w:t xml:space="preserve"> et al., 2026; Kannan et al., 2025)</w:t>
      </w:r>
      <w:r w:rsidR="00D528D8" w:rsidRPr="008A0A90">
        <w:rPr>
          <w:rFonts w:ascii="Arial" w:hAnsi="Arial" w:cs="Arial"/>
          <w:sz w:val="22"/>
          <w:szCs w:val="22"/>
        </w:rPr>
        <w:t>. Physical structures also matter, as solid surfaces constrain movement and create spat</w:t>
      </w:r>
      <w:r w:rsidR="00461EA8" w:rsidRPr="008A0A90">
        <w:rPr>
          <w:rFonts w:ascii="Arial" w:hAnsi="Arial" w:cs="Arial"/>
          <w:sz w:val="22"/>
          <w:szCs w:val="22"/>
        </w:rPr>
        <w:t>ially organized growth patterns rather than uniform dispersal.</w:t>
      </w:r>
      <w:r w:rsidR="000F653A" w:rsidRPr="008A0A90">
        <w:rPr>
          <w:rFonts w:ascii="Arial" w:hAnsi="Arial" w:cs="Arial"/>
          <w:sz w:val="22"/>
          <w:szCs w:val="22"/>
        </w:rPr>
        <w:t xml:space="preserve"> These interacting factors highlight the complexity of microbial responses and emphasize that bacterial growth cannot be fully understood by examining single environmental variables in isolation. Instead, integrated studies that consider multiple interacting drivers are necessary to accurately interpret patterns of colonization, competition, and colony development across different environmental conditions</w:t>
      </w:r>
      <w:r w:rsidR="00D9747A" w:rsidRPr="008A0A90">
        <w:rPr>
          <w:rFonts w:ascii="Arial" w:hAnsi="Arial" w:cs="Arial"/>
          <w:sz w:val="22"/>
          <w:szCs w:val="22"/>
        </w:rPr>
        <w:t xml:space="preserve"> (</w:t>
      </w:r>
      <w:proofErr w:type="spellStart"/>
      <w:r w:rsidR="00D9747A" w:rsidRPr="008A0A90">
        <w:rPr>
          <w:rFonts w:ascii="Arial" w:hAnsi="Arial" w:cs="Arial"/>
          <w:sz w:val="22"/>
          <w:szCs w:val="22"/>
        </w:rPr>
        <w:t>Harshey</w:t>
      </w:r>
      <w:proofErr w:type="spellEnd"/>
      <w:r w:rsidR="00D9747A" w:rsidRPr="008A0A90">
        <w:rPr>
          <w:rFonts w:ascii="Arial" w:hAnsi="Arial" w:cs="Arial"/>
          <w:sz w:val="22"/>
          <w:szCs w:val="22"/>
        </w:rPr>
        <w:t>, 2003; Porter et al., 2025)</w:t>
      </w:r>
      <w:r w:rsidR="0052553B" w:rsidRPr="008A0A90">
        <w:rPr>
          <w:rFonts w:ascii="Arial" w:hAnsi="Arial" w:cs="Arial"/>
          <w:sz w:val="22"/>
          <w:szCs w:val="22"/>
        </w:rPr>
        <w:t>.</w:t>
      </w:r>
    </w:p>
    <w:p w14:paraId="4B79DE0F" w14:textId="77777777" w:rsidR="00804C47" w:rsidRPr="008A0A90" w:rsidRDefault="00804C47" w:rsidP="00804C47">
      <w:pPr>
        <w:pStyle w:val="Body"/>
        <w:spacing w:after="0"/>
        <w:rPr>
          <w:rFonts w:ascii="Arial" w:hAnsi="Arial" w:cs="Arial"/>
          <w:sz w:val="22"/>
          <w:szCs w:val="22"/>
        </w:rPr>
      </w:pPr>
    </w:p>
    <w:p w14:paraId="1D48C3C9" w14:textId="25851048" w:rsidR="00804C47" w:rsidRPr="008A0A90" w:rsidRDefault="00804C47" w:rsidP="00804C47">
      <w:pPr>
        <w:pStyle w:val="Body"/>
        <w:spacing w:after="0"/>
        <w:rPr>
          <w:rFonts w:ascii="Arial" w:hAnsi="Arial" w:cs="Arial"/>
          <w:sz w:val="22"/>
          <w:szCs w:val="22"/>
        </w:rPr>
      </w:pPr>
      <w:r w:rsidRPr="008A0A90">
        <w:rPr>
          <w:rFonts w:ascii="Arial" w:hAnsi="Arial" w:cs="Arial"/>
          <w:sz w:val="22"/>
          <w:szCs w:val="22"/>
        </w:rPr>
        <w:t xml:space="preserve">On solid substrates, such as agar media, bacterial growth occurs in a spatially structured manner that is different from growth in liquid culture (Warren et al., 2019; Pipe &amp; </w:t>
      </w:r>
      <w:proofErr w:type="spellStart"/>
      <w:r w:rsidRPr="008A0A90">
        <w:rPr>
          <w:rFonts w:ascii="Arial" w:hAnsi="Arial" w:cs="Arial"/>
          <w:sz w:val="22"/>
          <w:szCs w:val="22"/>
        </w:rPr>
        <w:t>Grimson</w:t>
      </w:r>
      <w:proofErr w:type="spellEnd"/>
      <w:r w:rsidRPr="008A0A90">
        <w:rPr>
          <w:rFonts w:ascii="Arial" w:hAnsi="Arial" w:cs="Arial"/>
          <w:sz w:val="22"/>
          <w:szCs w:val="22"/>
        </w:rPr>
        <w:t>, 2008). Instead of uniform dispersal, bacteria divide and spread outward from an initial inoculation point, forming visible colonies. These colonies emerge as cells multiply and extend into surrounding media, which can be visible as circular or irregular growth depending on the species and environmental conditions. Agar provides both a physical surface for attachment and a controlled nutrient environment, making it a standard medium for observing colony morphology and measuring growth features such as colony diameter.</w:t>
      </w:r>
      <w:r w:rsidR="00295D00" w:rsidRPr="008A0A90">
        <w:rPr>
          <w:rFonts w:ascii="Arial" w:hAnsi="Arial" w:cs="Arial"/>
          <w:sz w:val="22"/>
          <w:szCs w:val="22"/>
        </w:rPr>
        <w:t xml:space="preserve"> This spatial constraint also creates nutrient and waste diffusion gradients that can influence local growth rates and lead to heteroge</w:t>
      </w:r>
      <w:r w:rsidR="004E6A43" w:rsidRPr="008A0A90">
        <w:rPr>
          <w:rFonts w:ascii="Arial" w:hAnsi="Arial" w:cs="Arial"/>
          <w:sz w:val="22"/>
          <w:szCs w:val="22"/>
        </w:rPr>
        <w:t>ne</w:t>
      </w:r>
      <w:r w:rsidR="00295D00" w:rsidRPr="008A0A90">
        <w:rPr>
          <w:rFonts w:ascii="Arial" w:hAnsi="Arial" w:cs="Arial"/>
          <w:sz w:val="22"/>
          <w:szCs w:val="22"/>
        </w:rPr>
        <w:t>ous colony structure</w:t>
      </w:r>
      <w:r w:rsidR="004E6A43" w:rsidRPr="008A0A90">
        <w:rPr>
          <w:rFonts w:ascii="Arial" w:hAnsi="Arial" w:cs="Arial"/>
          <w:sz w:val="22"/>
          <w:szCs w:val="22"/>
        </w:rPr>
        <w:t xml:space="preserve"> (</w:t>
      </w:r>
      <w:proofErr w:type="spellStart"/>
      <w:r w:rsidR="004E6A43" w:rsidRPr="008A0A90">
        <w:rPr>
          <w:rFonts w:ascii="Arial" w:hAnsi="Arial" w:cs="Arial"/>
          <w:sz w:val="22"/>
          <w:szCs w:val="22"/>
        </w:rPr>
        <w:t>Jeanson</w:t>
      </w:r>
      <w:proofErr w:type="spellEnd"/>
      <w:r w:rsidR="004E6A43" w:rsidRPr="008A0A90">
        <w:rPr>
          <w:rFonts w:ascii="Arial" w:hAnsi="Arial" w:cs="Arial"/>
          <w:sz w:val="22"/>
          <w:szCs w:val="22"/>
        </w:rPr>
        <w:t xml:space="preserve"> et al., 2015; Kannan et al., 2025).</w:t>
      </w:r>
      <w:r w:rsidR="002376EB" w:rsidRPr="008A0A90">
        <w:rPr>
          <w:rFonts w:ascii="Arial" w:hAnsi="Arial" w:cs="Arial"/>
          <w:sz w:val="22"/>
          <w:szCs w:val="22"/>
        </w:rPr>
        <w:t xml:space="preserve"> As colonies expand, edge dynamics often become more important than central cell activity, affecting overall colony geometry and expansion rate (Porter et al., 2025). In addition, interspecies variation in motility and surface-associated growth behaviors can lead to distinctly different colony morphologies even under similar conditions (</w:t>
      </w:r>
      <w:proofErr w:type="spellStart"/>
      <w:r w:rsidR="002376EB" w:rsidRPr="008A0A90">
        <w:rPr>
          <w:rFonts w:ascii="Arial" w:hAnsi="Arial" w:cs="Arial"/>
          <w:sz w:val="22"/>
          <w:szCs w:val="22"/>
        </w:rPr>
        <w:t>Harshey</w:t>
      </w:r>
      <w:proofErr w:type="spellEnd"/>
      <w:r w:rsidR="002376EB" w:rsidRPr="008A0A90">
        <w:rPr>
          <w:rFonts w:ascii="Arial" w:hAnsi="Arial" w:cs="Arial"/>
          <w:sz w:val="22"/>
          <w:szCs w:val="22"/>
        </w:rPr>
        <w:t xml:space="preserve">, 2003). These features make agar-based systems especially useful for comparing microbial responses and chemical treatments under controlled laboratory conditions (Munshi, 2013; </w:t>
      </w:r>
      <w:proofErr w:type="spellStart"/>
      <w:r w:rsidR="002376EB" w:rsidRPr="008A0A90">
        <w:rPr>
          <w:rFonts w:ascii="Arial" w:hAnsi="Arial" w:cs="Arial"/>
          <w:sz w:val="22"/>
          <w:szCs w:val="22"/>
        </w:rPr>
        <w:t>Atolia</w:t>
      </w:r>
      <w:proofErr w:type="spellEnd"/>
      <w:r w:rsidR="002376EB" w:rsidRPr="008A0A90">
        <w:rPr>
          <w:rFonts w:ascii="Arial" w:hAnsi="Arial" w:cs="Arial"/>
          <w:sz w:val="22"/>
          <w:szCs w:val="22"/>
        </w:rPr>
        <w:t xml:space="preserve"> et al., 2020).</w:t>
      </w:r>
    </w:p>
    <w:p w14:paraId="0B8BC3CC" w14:textId="77777777" w:rsidR="00804C47" w:rsidRPr="008A0A90" w:rsidRDefault="00804C47" w:rsidP="00804C47">
      <w:pPr>
        <w:pStyle w:val="Body"/>
        <w:spacing w:after="0"/>
        <w:rPr>
          <w:rFonts w:ascii="Arial" w:hAnsi="Arial" w:cs="Arial"/>
          <w:sz w:val="22"/>
          <w:szCs w:val="22"/>
        </w:rPr>
      </w:pPr>
    </w:p>
    <w:p w14:paraId="04FB2628" w14:textId="444AC96D" w:rsidR="00887C4D" w:rsidRPr="008A0A90" w:rsidRDefault="00804C47" w:rsidP="00804C47">
      <w:pPr>
        <w:pStyle w:val="Body"/>
        <w:spacing w:after="0"/>
        <w:rPr>
          <w:rFonts w:ascii="Arial" w:hAnsi="Arial" w:cs="Arial"/>
          <w:sz w:val="22"/>
          <w:szCs w:val="22"/>
        </w:rPr>
      </w:pPr>
      <w:r w:rsidRPr="008A0A90">
        <w:rPr>
          <w:rFonts w:ascii="Arial" w:hAnsi="Arial" w:cs="Arial"/>
          <w:sz w:val="22"/>
          <w:szCs w:val="22"/>
        </w:rPr>
        <w:t>Several factors can influence the diameter of bacterial colonies growing on agar. Nutrient concentration in the media plays a key role as higher resource availability can promote faster radial expansion (Kannan et al., 2025). Moisture levels within the agar can also affect the diffusion of nutrients and waste products, which can influence growth rates (</w:t>
      </w:r>
      <w:proofErr w:type="spellStart"/>
      <w:r w:rsidR="007820EB" w:rsidRPr="008A0A90">
        <w:rPr>
          <w:rFonts w:ascii="Arial" w:hAnsi="Arial" w:cs="Arial"/>
          <w:sz w:val="22"/>
          <w:szCs w:val="22"/>
        </w:rPr>
        <w:t>Jeanson</w:t>
      </w:r>
      <w:proofErr w:type="spellEnd"/>
      <w:r w:rsidR="007820EB" w:rsidRPr="008A0A90">
        <w:rPr>
          <w:rFonts w:ascii="Arial" w:hAnsi="Arial" w:cs="Arial"/>
          <w:sz w:val="22"/>
          <w:szCs w:val="22"/>
        </w:rPr>
        <w:t xml:space="preserve"> et al., </w:t>
      </w:r>
      <w:r w:rsidR="007820EB" w:rsidRPr="008A0A90">
        <w:rPr>
          <w:rFonts w:ascii="Arial" w:hAnsi="Arial" w:cs="Arial"/>
          <w:sz w:val="22"/>
          <w:szCs w:val="22"/>
        </w:rPr>
        <w:lastRenderedPageBreak/>
        <w:t>2015</w:t>
      </w:r>
      <w:r w:rsidRPr="008A0A90">
        <w:rPr>
          <w:rFonts w:ascii="Arial" w:hAnsi="Arial" w:cs="Arial"/>
          <w:sz w:val="22"/>
          <w:szCs w:val="22"/>
        </w:rPr>
        <w:t>). In addition, temperature can affect metabolic activity, with optimal temperatures leading to more rapid colony expansion (Munshi, 2013). Other factors, such as bacterial species traits (e.g., motility) and competition with neighbor colonies, can further modify growth patterns (</w:t>
      </w:r>
      <w:proofErr w:type="spellStart"/>
      <w:r w:rsidRPr="008A0A90">
        <w:rPr>
          <w:rFonts w:ascii="Arial" w:hAnsi="Arial" w:cs="Arial"/>
          <w:sz w:val="22"/>
          <w:szCs w:val="22"/>
        </w:rPr>
        <w:t>Harshey</w:t>
      </w:r>
      <w:proofErr w:type="spellEnd"/>
      <w:r w:rsidRPr="008A0A90">
        <w:rPr>
          <w:rFonts w:ascii="Arial" w:hAnsi="Arial" w:cs="Arial"/>
          <w:sz w:val="22"/>
          <w:szCs w:val="22"/>
        </w:rPr>
        <w:t>, 2003; Porter et al., 2025). Altogether, these variables determine the final size and structure of bacterial colonies that can be observed on solid labor</w:t>
      </w:r>
      <w:r w:rsidR="00CB7B6A" w:rsidRPr="008A0A90">
        <w:rPr>
          <w:rFonts w:ascii="Arial" w:hAnsi="Arial" w:cs="Arial"/>
          <w:sz w:val="22"/>
          <w:szCs w:val="22"/>
        </w:rPr>
        <w:t xml:space="preserve">atory media. In this brief study, an experiment </w:t>
      </w:r>
      <w:r w:rsidRPr="008A0A90">
        <w:rPr>
          <w:rFonts w:ascii="Arial" w:hAnsi="Arial" w:cs="Arial"/>
          <w:sz w:val="22"/>
          <w:szCs w:val="22"/>
        </w:rPr>
        <w:t>on growth response of bacterial colonies on</w:t>
      </w:r>
      <w:r w:rsidR="00887C4D" w:rsidRPr="008A0A90">
        <w:rPr>
          <w:rFonts w:ascii="Arial" w:hAnsi="Arial" w:cs="Arial"/>
          <w:sz w:val="22"/>
          <w:szCs w:val="22"/>
        </w:rPr>
        <w:t xml:space="preserve"> agar media treated with lactoferrin, which is a protein that can interact with iron in most organisms. </w:t>
      </w:r>
    </w:p>
    <w:p w14:paraId="630FFA97" w14:textId="77777777" w:rsidR="00887C4D" w:rsidRPr="008A0A90" w:rsidRDefault="00887C4D" w:rsidP="00804C47">
      <w:pPr>
        <w:pStyle w:val="Body"/>
        <w:spacing w:after="0"/>
        <w:rPr>
          <w:rFonts w:ascii="Arial" w:hAnsi="Arial" w:cs="Arial"/>
          <w:sz w:val="22"/>
          <w:szCs w:val="22"/>
        </w:rPr>
      </w:pPr>
    </w:p>
    <w:p w14:paraId="26EF813D" w14:textId="1333FE2C" w:rsidR="00887C4D" w:rsidRPr="008A0A90" w:rsidRDefault="00B967E8" w:rsidP="00804C47">
      <w:pPr>
        <w:pStyle w:val="Body"/>
        <w:spacing w:after="0"/>
        <w:rPr>
          <w:rFonts w:ascii="Arial" w:hAnsi="Arial" w:cs="Arial"/>
          <w:sz w:val="22"/>
          <w:szCs w:val="22"/>
        </w:rPr>
      </w:pPr>
      <w:r w:rsidRPr="008A0A90">
        <w:rPr>
          <w:rFonts w:ascii="Arial" w:hAnsi="Arial" w:cs="Arial"/>
          <w:sz w:val="22"/>
          <w:szCs w:val="22"/>
        </w:rPr>
        <w:t xml:space="preserve">Iron </w:t>
      </w:r>
      <w:r w:rsidR="00887C4D" w:rsidRPr="008A0A90">
        <w:rPr>
          <w:rFonts w:ascii="Arial" w:hAnsi="Arial" w:cs="Arial"/>
          <w:sz w:val="22"/>
          <w:szCs w:val="22"/>
        </w:rPr>
        <w:t>is a vital nutrient required for organismal development. Bacteria survive by acquiring iron for ATP production and other metabolic processes. Under conditions of iron starvation, bacteria must utilize all available iron sources in their environment (</w:t>
      </w:r>
      <w:proofErr w:type="spellStart"/>
      <w:r w:rsidR="00887C4D" w:rsidRPr="008A0A90">
        <w:rPr>
          <w:rFonts w:ascii="Arial" w:hAnsi="Arial" w:cs="Arial"/>
          <w:sz w:val="22"/>
          <w:szCs w:val="22"/>
        </w:rPr>
        <w:t>Krewulak</w:t>
      </w:r>
      <w:proofErr w:type="spellEnd"/>
      <w:r w:rsidR="00887C4D" w:rsidRPr="008A0A90">
        <w:rPr>
          <w:rFonts w:ascii="Arial" w:hAnsi="Arial" w:cs="Arial"/>
          <w:sz w:val="22"/>
          <w:szCs w:val="22"/>
        </w:rPr>
        <w:t xml:space="preserve"> &amp; Vogel, 2008). These iron sources are often found within other hemoproteins such as hemoglobin. Alternatively, microorganisms develop strategies to withstand competition for iron. For example, bacteria may secrete exotoxins such as hemolysin to lyse host cells, resulting in the release of heme-bound iron, which can then be reabsorbed for bacterial use</w:t>
      </w:r>
      <w:r w:rsidR="00E43986" w:rsidRPr="008A0A90">
        <w:rPr>
          <w:rFonts w:ascii="Arial" w:hAnsi="Arial" w:cs="Arial"/>
          <w:sz w:val="22"/>
          <w:szCs w:val="22"/>
        </w:rPr>
        <w:t xml:space="preserve"> (Sheldon et al. 2016)</w:t>
      </w:r>
      <w:r w:rsidR="00887C4D" w:rsidRPr="008A0A90">
        <w:rPr>
          <w:rFonts w:ascii="Arial" w:hAnsi="Arial" w:cs="Arial"/>
          <w:sz w:val="22"/>
          <w:szCs w:val="22"/>
        </w:rPr>
        <w:t>. As an additional defense, Gram-negative bacteria possess an outer membrane that acts as a permeability barrier, allowing passive diffusion only of small solutes (typically less than 600 Da). This molecular weight cutoff provides protection against the entry of many antibiotics into the cytoplasm. However, other host proteins</w:t>
      </w:r>
      <w:r w:rsidR="002A64F6" w:rsidRPr="008A0A90">
        <w:rPr>
          <w:rFonts w:ascii="Arial" w:hAnsi="Arial" w:cs="Arial"/>
          <w:sz w:val="22"/>
          <w:szCs w:val="22"/>
        </w:rPr>
        <w:t>, such as lactoferrin,</w:t>
      </w:r>
      <w:r w:rsidR="00887C4D" w:rsidRPr="008A0A90">
        <w:rPr>
          <w:rFonts w:ascii="Arial" w:hAnsi="Arial" w:cs="Arial"/>
          <w:sz w:val="22"/>
          <w:szCs w:val="22"/>
        </w:rPr>
        <w:t xml:space="preserve"> exist in the environment that can inhibit bacterial activity (</w:t>
      </w:r>
      <w:proofErr w:type="spellStart"/>
      <w:r w:rsidR="00887C4D" w:rsidRPr="008A0A90">
        <w:rPr>
          <w:rFonts w:ascii="Arial" w:hAnsi="Arial" w:cs="Arial"/>
          <w:sz w:val="22"/>
          <w:szCs w:val="22"/>
        </w:rPr>
        <w:t>Krewulak</w:t>
      </w:r>
      <w:proofErr w:type="spellEnd"/>
      <w:r w:rsidR="00887C4D" w:rsidRPr="008A0A90">
        <w:rPr>
          <w:rFonts w:ascii="Arial" w:hAnsi="Arial" w:cs="Arial"/>
          <w:sz w:val="22"/>
          <w:szCs w:val="22"/>
        </w:rPr>
        <w:t xml:space="preserve"> &amp; Vogel, 2008).</w:t>
      </w:r>
    </w:p>
    <w:p w14:paraId="25EB9437" w14:textId="77777777" w:rsidR="00804C47" w:rsidRPr="008A0A90" w:rsidRDefault="00804C47" w:rsidP="00804C47">
      <w:pPr>
        <w:pStyle w:val="Body"/>
        <w:spacing w:after="0"/>
        <w:rPr>
          <w:rFonts w:ascii="Arial" w:hAnsi="Arial" w:cs="Arial"/>
          <w:sz w:val="22"/>
          <w:szCs w:val="22"/>
        </w:rPr>
      </w:pPr>
    </w:p>
    <w:p w14:paraId="6ACF0A93" w14:textId="6A93AA61"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Lactoferrin is a three-dimensional glycoprotein with multiple functions found in various mammalian secretions such as milk, saliva, tears, and other exocrine fluids</w:t>
      </w:r>
      <w:r w:rsidR="00A93924" w:rsidRPr="008A0A90">
        <w:rPr>
          <w:rFonts w:ascii="Arial" w:hAnsi="Arial" w:cs="Arial"/>
          <w:sz w:val="22"/>
          <w:szCs w:val="22"/>
        </w:rPr>
        <w:t xml:space="preserve"> (</w:t>
      </w:r>
      <w:proofErr w:type="spellStart"/>
      <w:r w:rsidR="00A93924" w:rsidRPr="008A0A90">
        <w:rPr>
          <w:rFonts w:ascii="Arial" w:hAnsi="Arial" w:cs="Arial"/>
          <w:sz w:val="22"/>
          <w:szCs w:val="22"/>
        </w:rPr>
        <w:t>Alkan</w:t>
      </w:r>
      <w:proofErr w:type="spellEnd"/>
      <w:r w:rsidR="00A93924" w:rsidRPr="008A0A90">
        <w:rPr>
          <w:rFonts w:ascii="Arial" w:hAnsi="Arial" w:cs="Arial"/>
          <w:sz w:val="22"/>
          <w:szCs w:val="22"/>
        </w:rPr>
        <w:t xml:space="preserve"> et al. 2026)</w:t>
      </w:r>
      <w:r w:rsidRPr="008A0A90">
        <w:rPr>
          <w:rFonts w:ascii="Arial" w:hAnsi="Arial" w:cs="Arial"/>
          <w:sz w:val="22"/>
          <w:szCs w:val="22"/>
        </w:rPr>
        <w:t>. Lactoferrin is one of several iron-binding proteins that may be present</w:t>
      </w:r>
      <w:r w:rsidR="009D1792" w:rsidRPr="008A0A90">
        <w:rPr>
          <w:rFonts w:ascii="Arial" w:hAnsi="Arial" w:cs="Arial"/>
          <w:sz w:val="22"/>
          <w:szCs w:val="22"/>
        </w:rPr>
        <w:t xml:space="preserve"> in the bacterial environment</w:t>
      </w:r>
      <w:r w:rsidR="00A93924" w:rsidRPr="008A0A90">
        <w:rPr>
          <w:rFonts w:ascii="Arial" w:hAnsi="Arial" w:cs="Arial"/>
          <w:sz w:val="22"/>
          <w:szCs w:val="22"/>
        </w:rPr>
        <w:t xml:space="preserve"> (</w:t>
      </w:r>
      <w:proofErr w:type="spellStart"/>
      <w:r w:rsidR="00A93924" w:rsidRPr="008A0A90">
        <w:rPr>
          <w:rFonts w:ascii="Arial" w:hAnsi="Arial" w:cs="Arial"/>
          <w:sz w:val="22"/>
          <w:szCs w:val="22"/>
        </w:rPr>
        <w:t>Canbolat</w:t>
      </w:r>
      <w:proofErr w:type="spellEnd"/>
      <w:r w:rsidR="00A93924" w:rsidRPr="008A0A90">
        <w:rPr>
          <w:rFonts w:ascii="Arial" w:hAnsi="Arial" w:cs="Arial"/>
          <w:sz w:val="22"/>
          <w:szCs w:val="22"/>
        </w:rPr>
        <w:t xml:space="preserve"> et al. 2026</w:t>
      </w:r>
      <w:r w:rsidR="009D1792" w:rsidRPr="008A0A90">
        <w:rPr>
          <w:rFonts w:ascii="Arial" w:hAnsi="Arial" w:cs="Arial"/>
          <w:sz w:val="22"/>
          <w:szCs w:val="22"/>
        </w:rPr>
        <w:t>. In dentistry, p</w:t>
      </w:r>
      <w:r w:rsidRPr="008A0A90">
        <w:rPr>
          <w:rFonts w:ascii="Arial" w:hAnsi="Arial" w:cs="Arial"/>
          <w:sz w:val="22"/>
          <w:szCs w:val="22"/>
        </w:rPr>
        <w:t>atients with advanced periodontitis, for example, exhibit excessive bacterial accumulation in the oral environment. As a result, increased levels of lactoferrin are secreted in saliva to combat bacterial overgrowth compared to healthy patients (</w:t>
      </w:r>
      <w:proofErr w:type="spellStart"/>
      <w:r w:rsidRPr="008A0A90">
        <w:rPr>
          <w:rFonts w:ascii="Arial" w:hAnsi="Arial" w:cs="Arial"/>
          <w:sz w:val="22"/>
          <w:szCs w:val="22"/>
        </w:rPr>
        <w:t>Ramenzoni</w:t>
      </w:r>
      <w:proofErr w:type="spellEnd"/>
      <w:r w:rsidRPr="008A0A90">
        <w:rPr>
          <w:rFonts w:ascii="Arial" w:hAnsi="Arial" w:cs="Arial"/>
          <w:sz w:val="22"/>
          <w:szCs w:val="22"/>
        </w:rPr>
        <w:t xml:space="preserve"> et al., 2021). Higher concentrations of lactoferrin are commonly derived from milk and colostrum in mammals and are important for nutritional a</w:t>
      </w:r>
      <w:r w:rsidR="00A93924" w:rsidRPr="008A0A90">
        <w:rPr>
          <w:rFonts w:ascii="Arial" w:hAnsi="Arial" w:cs="Arial"/>
          <w:sz w:val="22"/>
          <w:szCs w:val="22"/>
        </w:rPr>
        <w:t>nd pharmaceutical applications (</w:t>
      </w:r>
      <w:proofErr w:type="spellStart"/>
      <w:r w:rsidR="00A93924" w:rsidRPr="008A0A90">
        <w:rPr>
          <w:rFonts w:ascii="Arial" w:hAnsi="Arial" w:cs="Arial"/>
          <w:sz w:val="22"/>
          <w:szCs w:val="22"/>
        </w:rPr>
        <w:t>Alkan</w:t>
      </w:r>
      <w:proofErr w:type="spellEnd"/>
      <w:r w:rsidR="00A93924" w:rsidRPr="008A0A90">
        <w:rPr>
          <w:rFonts w:ascii="Arial" w:hAnsi="Arial" w:cs="Arial"/>
          <w:sz w:val="22"/>
          <w:szCs w:val="22"/>
        </w:rPr>
        <w:t xml:space="preserve"> et al. 2026). </w:t>
      </w:r>
      <w:r w:rsidRPr="008A0A90">
        <w:rPr>
          <w:rFonts w:ascii="Arial" w:hAnsi="Arial" w:cs="Arial"/>
          <w:sz w:val="22"/>
          <w:szCs w:val="22"/>
        </w:rPr>
        <w:t>The two-lobed structure contains amino acid residues and a bicarbonate ion at its binding sites. Specifically, each lobe contains a tyrosine residue that contributes to the iron-binding site’s closing mechanism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Iron is held in place through coordination with multiple amino acid residues. Consequently, lactoferrin exhibits a higher affinity for iron compared to hemoglobin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This creates an iron-deficient environment for bacteria to metabolize and grow.</w:t>
      </w:r>
    </w:p>
    <w:p w14:paraId="23D5A197" w14:textId="0F926865" w:rsidR="002A64F6" w:rsidRPr="008A0A90" w:rsidRDefault="002A64F6" w:rsidP="002A64F6">
      <w:pPr>
        <w:pStyle w:val="Body"/>
        <w:spacing w:after="0"/>
        <w:rPr>
          <w:rFonts w:ascii="Arial" w:hAnsi="Arial" w:cs="Arial"/>
          <w:b/>
          <w:bCs/>
          <w:sz w:val="22"/>
          <w:szCs w:val="22"/>
        </w:rPr>
      </w:pPr>
    </w:p>
    <w:p w14:paraId="55A4DED1" w14:textId="699C714C"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Lactoferrin’s antimicrobial function is enabled by its high iron affinity</w:t>
      </w:r>
      <w:r w:rsidR="001918C3" w:rsidRPr="008A0A90">
        <w:rPr>
          <w:rFonts w:ascii="Arial" w:hAnsi="Arial" w:cs="Arial"/>
          <w:sz w:val="22"/>
          <w:szCs w:val="22"/>
        </w:rPr>
        <w:t xml:space="preserve"> (</w:t>
      </w:r>
      <w:proofErr w:type="spellStart"/>
      <w:r w:rsidR="001918C3" w:rsidRPr="008A0A90">
        <w:rPr>
          <w:rFonts w:ascii="Arial" w:hAnsi="Arial" w:cs="Arial"/>
          <w:sz w:val="22"/>
          <w:szCs w:val="22"/>
        </w:rPr>
        <w:t>Canbolat</w:t>
      </w:r>
      <w:proofErr w:type="spellEnd"/>
      <w:r w:rsidR="001918C3" w:rsidRPr="008A0A90">
        <w:rPr>
          <w:rFonts w:ascii="Arial" w:hAnsi="Arial" w:cs="Arial"/>
          <w:sz w:val="22"/>
          <w:szCs w:val="22"/>
        </w:rPr>
        <w:t xml:space="preserve"> et al. 2026)</w:t>
      </w:r>
      <w:r w:rsidRPr="008A0A90">
        <w:rPr>
          <w:rFonts w:ascii="Arial" w:hAnsi="Arial" w:cs="Arial"/>
          <w:sz w:val="22"/>
          <w:szCs w:val="22"/>
        </w:rPr>
        <w:t>. Microorganisms rely on free iron for growth and use iron-chelating mechanisms to acquire it. Bacterial inhibition occurs because lactoferrin creates an iron-deficient environment by sequestering iron. This results in lactoferrin outcompeting nearby microorganisms in the competition for iron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Additionally, lactoferrin can indirectly affect bacterial growth by modulating components of the immune system in both innate and adaptive immunity. </w:t>
      </w:r>
      <w:r w:rsidR="001918C3" w:rsidRPr="008A0A90">
        <w:rPr>
          <w:rFonts w:ascii="Arial" w:hAnsi="Arial" w:cs="Arial"/>
          <w:sz w:val="22"/>
          <w:szCs w:val="22"/>
        </w:rPr>
        <w:t>Specifically, i</w:t>
      </w:r>
      <w:r w:rsidRPr="008A0A90">
        <w:rPr>
          <w:rFonts w:ascii="Arial" w:hAnsi="Arial" w:cs="Arial"/>
          <w:sz w:val="22"/>
          <w:szCs w:val="22"/>
        </w:rPr>
        <w:t>mmune responses may be enhanced through lactoferrin interactions with cell surfaces, triggering signaling pathways and modulating gene expression in the nucleus (Drago-Serrano et al., 2017).</w:t>
      </w:r>
    </w:p>
    <w:p w14:paraId="457D527D" w14:textId="77777777" w:rsidR="002A64F6" w:rsidRPr="008A0A90" w:rsidRDefault="002A64F6" w:rsidP="002A64F6">
      <w:pPr>
        <w:pStyle w:val="Body"/>
        <w:spacing w:after="0"/>
        <w:rPr>
          <w:rFonts w:ascii="Arial" w:hAnsi="Arial" w:cs="Arial"/>
          <w:sz w:val="22"/>
          <w:szCs w:val="22"/>
        </w:rPr>
      </w:pPr>
    </w:p>
    <w:p w14:paraId="23B61DEF" w14:textId="73D0877A"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 xml:space="preserve">Gram-negative bacteria have an outer membrane containing lipopolysaccharides (LPS). These LPS structures are stabilized by negatively charged ions such as calcium, magnesium, and iron. Lactoferrin can bind to and displace LPS-associated ions, resulting in reduced membrane stability and increased permeability, making bacteria more susceptible to antibiotics. This effect is further enhanced when lactoferrin is in its iron-free form (Ellison et al., 2000). </w:t>
      </w:r>
    </w:p>
    <w:p w14:paraId="6E5966D7" w14:textId="77777777" w:rsidR="007820EB" w:rsidRPr="008A0A90" w:rsidRDefault="007820EB" w:rsidP="00804C47">
      <w:pPr>
        <w:pStyle w:val="Body"/>
        <w:spacing w:after="0"/>
        <w:rPr>
          <w:rFonts w:ascii="Arial" w:hAnsi="Arial" w:cs="Arial"/>
          <w:sz w:val="22"/>
          <w:szCs w:val="22"/>
        </w:rPr>
      </w:pPr>
    </w:p>
    <w:p w14:paraId="2C7312E7" w14:textId="63A57189" w:rsidR="00804C47" w:rsidRPr="008A0A90" w:rsidRDefault="00D2186D" w:rsidP="00804C47">
      <w:pPr>
        <w:pStyle w:val="Body"/>
        <w:spacing w:after="0"/>
        <w:rPr>
          <w:rFonts w:ascii="Arial" w:hAnsi="Arial" w:cs="Arial"/>
          <w:sz w:val="22"/>
          <w:szCs w:val="22"/>
        </w:rPr>
      </w:pPr>
      <w:r w:rsidRPr="008A0A90">
        <w:rPr>
          <w:rFonts w:ascii="Arial" w:hAnsi="Arial" w:cs="Arial"/>
          <w:sz w:val="22"/>
          <w:szCs w:val="22"/>
        </w:rPr>
        <w:t>This experiment was conducted to</w:t>
      </w:r>
      <w:r w:rsidR="00804C47" w:rsidRPr="008A0A90">
        <w:rPr>
          <w:rFonts w:ascii="Arial" w:hAnsi="Arial" w:cs="Arial"/>
          <w:sz w:val="22"/>
          <w:szCs w:val="22"/>
        </w:rPr>
        <w:t xml:space="preserve"> determine how bacteria would behave in an agar environment treated with lacto</w:t>
      </w:r>
      <w:r w:rsidRPr="008A0A90">
        <w:rPr>
          <w:rFonts w:ascii="Arial" w:hAnsi="Arial" w:cs="Arial"/>
          <w:sz w:val="22"/>
          <w:szCs w:val="22"/>
        </w:rPr>
        <w:t xml:space="preserve">ferrin. Specifically, </w:t>
      </w:r>
      <w:r w:rsidR="00804C47" w:rsidRPr="008A0A90">
        <w:rPr>
          <w:rFonts w:ascii="Arial" w:hAnsi="Arial" w:cs="Arial"/>
          <w:sz w:val="22"/>
          <w:szCs w:val="22"/>
        </w:rPr>
        <w:t>the potential effect of bovine lactoferrin on bacterial colony size on LB agar treatments</w:t>
      </w:r>
      <w:r w:rsidRPr="008A0A90">
        <w:rPr>
          <w:rFonts w:ascii="Arial" w:hAnsi="Arial" w:cs="Arial"/>
          <w:sz w:val="22"/>
          <w:szCs w:val="22"/>
        </w:rPr>
        <w:t xml:space="preserve"> was tested; this study</w:t>
      </w:r>
      <w:r w:rsidR="00804C47" w:rsidRPr="008A0A90">
        <w:rPr>
          <w:rFonts w:ascii="Arial" w:hAnsi="Arial" w:cs="Arial"/>
          <w:sz w:val="22"/>
          <w:szCs w:val="22"/>
        </w:rPr>
        <w:t xml:space="preserve"> focused on non-pathogenic subcultures of </w:t>
      </w:r>
      <w:r w:rsidR="00804C47" w:rsidRPr="008A0A90">
        <w:rPr>
          <w:rFonts w:ascii="Arial" w:hAnsi="Arial" w:cs="Arial"/>
          <w:i/>
          <w:iCs/>
          <w:sz w:val="22"/>
          <w:szCs w:val="22"/>
        </w:rPr>
        <w:t>Escherichia coli</w:t>
      </w:r>
      <w:r w:rsidR="00804C47" w:rsidRPr="008A0A90">
        <w:rPr>
          <w:rFonts w:ascii="Arial" w:hAnsi="Arial" w:cs="Arial"/>
          <w:sz w:val="22"/>
          <w:szCs w:val="22"/>
        </w:rPr>
        <w:t xml:space="preserve">, </w:t>
      </w:r>
      <w:r w:rsidR="00804C47" w:rsidRPr="008A0A90">
        <w:rPr>
          <w:rFonts w:ascii="Arial" w:hAnsi="Arial" w:cs="Arial"/>
          <w:i/>
          <w:iCs/>
          <w:sz w:val="22"/>
          <w:szCs w:val="22"/>
        </w:rPr>
        <w:t>Pseudomonas aeruginosa</w:t>
      </w:r>
      <w:r w:rsidR="00804C47" w:rsidRPr="008A0A90">
        <w:rPr>
          <w:rFonts w:ascii="Arial" w:hAnsi="Arial" w:cs="Arial"/>
          <w:sz w:val="22"/>
          <w:szCs w:val="22"/>
        </w:rPr>
        <w:t xml:space="preserve">, </w:t>
      </w:r>
      <w:r w:rsidR="00804C47" w:rsidRPr="008A0A90">
        <w:rPr>
          <w:rFonts w:ascii="Arial" w:hAnsi="Arial" w:cs="Arial"/>
          <w:i/>
          <w:iCs/>
          <w:sz w:val="22"/>
          <w:szCs w:val="22"/>
        </w:rPr>
        <w:t>Staphylococcus aureus</w:t>
      </w:r>
      <w:r w:rsidR="00804C47" w:rsidRPr="008A0A90">
        <w:rPr>
          <w:rFonts w:ascii="Arial" w:hAnsi="Arial" w:cs="Arial"/>
          <w:sz w:val="22"/>
          <w:szCs w:val="22"/>
        </w:rPr>
        <w:t xml:space="preserve">, and </w:t>
      </w:r>
      <w:r w:rsidR="00804C47" w:rsidRPr="008A0A90">
        <w:rPr>
          <w:rFonts w:ascii="Arial" w:hAnsi="Arial" w:cs="Arial"/>
          <w:i/>
          <w:iCs/>
          <w:sz w:val="22"/>
          <w:szCs w:val="22"/>
        </w:rPr>
        <w:t>Staphylococcus epidermidis</w:t>
      </w:r>
      <w:r w:rsidR="007820EB" w:rsidRPr="008A0A90">
        <w:rPr>
          <w:rFonts w:ascii="Arial" w:hAnsi="Arial" w:cs="Arial"/>
          <w:sz w:val="22"/>
          <w:szCs w:val="22"/>
        </w:rPr>
        <w:t xml:space="preserve">. </w:t>
      </w:r>
      <w:r w:rsidRPr="008A0A90">
        <w:rPr>
          <w:rFonts w:ascii="Arial" w:hAnsi="Arial" w:cs="Arial"/>
          <w:sz w:val="22"/>
          <w:szCs w:val="22"/>
        </w:rPr>
        <w:t>Differences</w:t>
      </w:r>
      <w:r w:rsidR="00804C47" w:rsidRPr="008A0A90">
        <w:rPr>
          <w:rFonts w:ascii="Arial" w:hAnsi="Arial" w:cs="Arial"/>
          <w:sz w:val="22"/>
          <w:szCs w:val="22"/>
        </w:rPr>
        <w:t xml:space="preserve"> in colony diameter in three lactoferrin treatments (low, medium, and high concentrations) that were applied t</w:t>
      </w:r>
      <w:r w:rsidRPr="008A0A90">
        <w:rPr>
          <w:rFonts w:ascii="Arial" w:hAnsi="Arial" w:cs="Arial"/>
          <w:sz w:val="22"/>
          <w:szCs w:val="22"/>
        </w:rPr>
        <w:t>o agar plates were compared</w:t>
      </w:r>
      <w:r w:rsidR="00804C47" w:rsidRPr="008A0A90">
        <w:rPr>
          <w:rFonts w:ascii="Arial" w:hAnsi="Arial" w:cs="Arial"/>
          <w:sz w:val="22"/>
          <w:szCs w:val="22"/>
        </w:rPr>
        <w:t xml:space="preserve"> to the c</w:t>
      </w:r>
      <w:r w:rsidRPr="008A0A90">
        <w:rPr>
          <w:rFonts w:ascii="Arial" w:hAnsi="Arial" w:cs="Arial"/>
          <w:sz w:val="22"/>
          <w:szCs w:val="22"/>
        </w:rPr>
        <w:t>ontrol. C</w:t>
      </w:r>
      <w:r w:rsidR="00804C47" w:rsidRPr="008A0A90">
        <w:rPr>
          <w:rFonts w:ascii="Arial" w:hAnsi="Arial" w:cs="Arial"/>
          <w:sz w:val="22"/>
          <w:szCs w:val="22"/>
        </w:rPr>
        <w:t xml:space="preserve">olony diameters </w:t>
      </w:r>
      <w:r w:rsidRPr="008A0A90">
        <w:rPr>
          <w:rFonts w:ascii="Arial" w:hAnsi="Arial" w:cs="Arial"/>
          <w:sz w:val="22"/>
          <w:szCs w:val="22"/>
        </w:rPr>
        <w:t>was also measured and tested among species to determine potential differences in growth responses</w:t>
      </w:r>
      <w:r w:rsidR="00804C47" w:rsidRPr="008A0A90">
        <w:rPr>
          <w:rFonts w:ascii="Arial" w:hAnsi="Arial" w:cs="Arial"/>
          <w:sz w:val="22"/>
          <w:szCs w:val="22"/>
        </w:rPr>
        <w:t xml:space="preserve"> between </w:t>
      </w:r>
      <w:r w:rsidRPr="008A0A90">
        <w:rPr>
          <w:rFonts w:ascii="Arial" w:hAnsi="Arial" w:cs="Arial"/>
          <w:sz w:val="22"/>
          <w:szCs w:val="22"/>
        </w:rPr>
        <w:t xml:space="preserve">bacteria </w:t>
      </w:r>
      <w:r w:rsidR="00804C47" w:rsidRPr="008A0A90">
        <w:rPr>
          <w:rFonts w:ascii="Arial" w:hAnsi="Arial" w:cs="Arial"/>
          <w:sz w:val="22"/>
          <w:szCs w:val="22"/>
        </w:rPr>
        <w:t xml:space="preserve">species under lactoferrin treatment. </w:t>
      </w:r>
    </w:p>
    <w:p w14:paraId="53111359" w14:textId="77777777" w:rsidR="00D2186D" w:rsidRPr="008A0A90" w:rsidRDefault="00D2186D" w:rsidP="00D2186D">
      <w:pPr>
        <w:pStyle w:val="Body"/>
        <w:spacing w:after="0"/>
        <w:rPr>
          <w:rFonts w:ascii="Arial" w:hAnsi="Arial" w:cs="Arial"/>
          <w:sz w:val="22"/>
          <w:szCs w:val="22"/>
        </w:rPr>
      </w:pPr>
    </w:p>
    <w:p w14:paraId="54DF1FF3" w14:textId="635E860A" w:rsidR="007820EB" w:rsidRPr="008A0A90" w:rsidRDefault="007820EB" w:rsidP="00D2186D">
      <w:pPr>
        <w:pStyle w:val="Body"/>
        <w:spacing w:after="0"/>
        <w:rPr>
          <w:rFonts w:ascii="Arial" w:hAnsi="Arial" w:cs="Arial"/>
          <w:sz w:val="22"/>
          <w:szCs w:val="22"/>
        </w:rPr>
      </w:pPr>
      <w:r w:rsidRPr="008A0A90">
        <w:rPr>
          <w:rFonts w:ascii="Arial" w:hAnsi="Arial" w:cs="Arial"/>
          <w:sz w:val="22"/>
          <w:szCs w:val="22"/>
        </w:rPr>
        <w:t xml:space="preserve">To frame this study, </w:t>
      </w:r>
      <w:r w:rsidR="000B7ABA" w:rsidRPr="008A0A90">
        <w:rPr>
          <w:rFonts w:ascii="Arial" w:hAnsi="Arial" w:cs="Arial"/>
          <w:sz w:val="22"/>
          <w:szCs w:val="22"/>
        </w:rPr>
        <w:t>two hypothese</w:t>
      </w:r>
      <w:r w:rsidR="00C215CB" w:rsidRPr="008A0A90">
        <w:rPr>
          <w:rFonts w:ascii="Arial" w:hAnsi="Arial" w:cs="Arial"/>
          <w:sz w:val="22"/>
          <w:szCs w:val="22"/>
        </w:rPr>
        <w:t xml:space="preserve">s were </w:t>
      </w:r>
      <w:r w:rsidR="00EE52EB" w:rsidRPr="008A0A90">
        <w:rPr>
          <w:rFonts w:ascii="Arial" w:hAnsi="Arial" w:cs="Arial"/>
          <w:sz w:val="22"/>
          <w:szCs w:val="22"/>
        </w:rPr>
        <w:t>formulated</w:t>
      </w:r>
      <w:r w:rsidR="000B7ABA" w:rsidRPr="008A0A90">
        <w:rPr>
          <w:rFonts w:ascii="Arial" w:hAnsi="Arial" w:cs="Arial"/>
          <w:sz w:val="22"/>
          <w:szCs w:val="22"/>
        </w:rPr>
        <w:t xml:space="preserve">. </w:t>
      </w:r>
      <w:r w:rsidR="00D46936" w:rsidRPr="008A0A90">
        <w:rPr>
          <w:rFonts w:ascii="Arial" w:hAnsi="Arial" w:cs="Arial"/>
          <w:sz w:val="22"/>
          <w:szCs w:val="22"/>
        </w:rPr>
        <w:t>Hypothesis 1 was postulated to test if</w:t>
      </w:r>
      <w:r w:rsidRPr="008A0A90">
        <w:rPr>
          <w:rFonts w:ascii="Arial" w:hAnsi="Arial" w:cs="Arial"/>
          <w:sz w:val="22"/>
          <w:szCs w:val="22"/>
        </w:rPr>
        <w:t xml:space="preserve"> bovine lactoferrin treatment would influence bacterial colony diameter, with a concentration-dependent</w:t>
      </w:r>
      <w:r w:rsidR="000B7ABA" w:rsidRPr="008A0A90">
        <w:rPr>
          <w:rFonts w:ascii="Arial" w:hAnsi="Arial" w:cs="Arial"/>
          <w:sz w:val="22"/>
          <w:szCs w:val="22"/>
        </w:rPr>
        <w:t xml:space="preserve"> effect on growth</w:t>
      </w:r>
      <w:r w:rsidRPr="008A0A90">
        <w:rPr>
          <w:rFonts w:ascii="Arial" w:hAnsi="Arial" w:cs="Arial"/>
          <w:sz w:val="22"/>
          <w:szCs w:val="22"/>
        </w:rPr>
        <w:t xml:space="preserve">. Although lactoferrin is primarily recognized for its antimicrobial activity through iron sequestration, some bacterial species may utilize lactoferrin or its components under certain conditions. Given this dual functionality, a non-uniform response across concentrations was anticipated. Second, </w:t>
      </w:r>
      <w:r w:rsidR="00EE52EB" w:rsidRPr="008A0A90">
        <w:rPr>
          <w:rFonts w:ascii="Arial" w:hAnsi="Arial" w:cs="Arial"/>
          <w:sz w:val="22"/>
          <w:szCs w:val="22"/>
        </w:rPr>
        <w:t xml:space="preserve">Hypothesis 2 was postulated </w:t>
      </w:r>
      <w:r w:rsidR="00D46936" w:rsidRPr="008A0A90">
        <w:rPr>
          <w:rFonts w:ascii="Arial" w:hAnsi="Arial" w:cs="Arial"/>
          <w:sz w:val="22"/>
          <w:szCs w:val="22"/>
        </w:rPr>
        <w:t xml:space="preserve">to test if </w:t>
      </w:r>
      <w:r w:rsidRPr="008A0A90">
        <w:rPr>
          <w:rFonts w:ascii="Arial" w:hAnsi="Arial" w:cs="Arial"/>
          <w:sz w:val="22"/>
          <w:szCs w:val="22"/>
        </w:rPr>
        <w:t xml:space="preserve">colony diameter would differ among </w:t>
      </w:r>
      <w:r w:rsidR="00EE52EB" w:rsidRPr="008A0A90">
        <w:rPr>
          <w:rFonts w:ascii="Arial" w:hAnsi="Arial" w:cs="Arial"/>
          <w:sz w:val="22"/>
          <w:szCs w:val="22"/>
        </w:rPr>
        <w:t>bacterial species</w:t>
      </w:r>
      <w:r w:rsidRPr="008A0A90">
        <w:rPr>
          <w:rFonts w:ascii="Arial" w:hAnsi="Arial" w:cs="Arial"/>
          <w:sz w:val="22"/>
          <w:szCs w:val="22"/>
        </w:rPr>
        <w:t>. This expectation is based on known differences in bacterial physiology, iron acquisition mechanisms, and sensitivity to iron limitation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Vega-Bautista et al., 2019). Accordingly, species-specific variation in growth response to bovine lactoferrin was expected under identical experimental conditions.</w:t>
      </w:r>
    </w:p>
    <w:p w14:paraId="66B15DD5" w14:textId="77777777" w:rsidR="00790ADA" w:rsidRPr="008A0A90" w:rsidRDefault="00790ADA" w:rsidP="00441B6F">
      <w:pPr>
        <w:pStyle w:val="Body"/>
        <w:spacing w:after="0"/>
        <w:rPr>
          <w:rFonts w:ascii="Arial" w:hAnsi="Arial" w:cs="Arial"/>
          <w:sz w:val="22"/>
          <w:szCs w:val="22"/>
        </w:rPr>
      </w:pPr>
    </w:p>
    <w:p w14:paraId="3D699855" w14:textId="77777777" w:rsidR="00790ADA" w:rsidRPr="008A0A90" w:rsidRDefault="00902823" w:rsidP="00441B6F">
      <w:pPr>
        <w:pStyle w:val="AbstHead"/>
        <w:spacing w:after="0"/>
        <w:jc w:val="both"/>
        <w:rPr>
          <w:rFonts w:ascii="Arial" w:hAnsi="Arial" w:cs="Arial"/>
          <w:szCs w:val="22"/>
        </w:rPr>
      </w:pPr>
      <w:r w:rsidRPr="008A0A90">
        <w:rPr>
          <w:rFonts w:ascii="Arial" w:hAnsi="Arial" w:cs="Arial"/>
          <w:szCs w:val="22"/>
        </w:rPr>
        <w:t>2. material and method</w:t>
      </w:r>
      <w:r w:rsidR="00000F8F" w:rsidRPr="008A0A90">
        <w:rPr>
          <w:rFonts w:ascii="Arial" w:hAnsi="Arial" w:cs="Arial"/>
          <w:szCs w:val="22"/>
        </w:rPr>
        <w:t xml:space="preserve">s </w:t>
      </w:r>
    </w:p>
    <w:p w14:paraId="739E1D14" w14:textId="4CC3C390"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t xml:space="preserve">Four bacterial species, </w:t>
      </w:r>
      <w:r w:rsidRPr="008A0A90">
        <w:rPr>
          <w:rFonts w:ascii="Arial" w:hAnsi="Arial" w:cs="Arial"/>
          <w:i/>
          <w:iCs/>
          <w:sz w:val="22"/>
          <w:szCs w:val="22"/>
        </w:rPr>
        <w:t>Escherichia coli</w:t>
      </w:r>
      <w:r w:rsidRPr="008A0A90">
        <w:rPr>
          <w:rFonts w:ascii="Arial" w:hAnsi="Arial" w:cs="Arial"/>
          <w:sz w:val="22"/>
          <w:szCs w:val="22"/>
        </w:rPr>
        <w:t xml:space="preserve">, </w:t>
      </w:r>
      <w:r w:rsidRPr="008A0A90">
        <w:rPr>
          <w:rFonts w:ascii="Arial" w:hAnsi="Arial" w:cs="Arial"/>
          <w:i/>
          <w:iCs/>
          <w:sz w:val="22"/>
          <w:szCs w:val="22"/>
        </w:rPr>
        <w:t>Pseudomonas aeruginosa</w:t>
      </w:r>
      <w:r w:rsidRPr="008A0A90">
        <w:rPr>
          <w:rFonts w:ascii="Arial" w:hAnsi="Arial" w:cs="Arial"/>
          <w:sz w:val="22"/>
          <w:szCs w:val="22"/>
        </w:rPr>
        <w:t xml:space="preserve">, </w:t>
      </w:r>
      <w:r w:rsidRPr="008A0A90">
        <w:rPr>
          <w:rFonts w:ascii="Arial" w:hAnsi="Arial" w:cs="Arial"/>
          <w:i/>
          <w:iCs/>
          <w:sz w:val="22"/>
          <w:szCs w:val="22"/>
        </w:rPr>
        <w:t>Staphylococcus aureus</w:t>
      </w:r>
      <w:r w:rsidRPr="008A0A90">
        <w:rPr>
          <w:rFonts w:ascii="Arial" w:hAnsi="Arial" w:cs="Arial"/>
          <w:sz w:val="22"/>
          <w:szCs w:val="22"/>
        </w:rPr>
        <w:t xml:space="preserve">, and </w:t>
      </w:r>
      <w:r w:rsidRPr="008A0A90">
        <w:rPr>
          <w:rFonts w:ascii="Arial" w:hAnsi="Arial" w:cs="Arial"/>
          <w:i/>
          <w:iCs/>
          <w:sz w:val="22"/>
          <w:szCs w:val="22"/>
        </w:rPr>
        <w:t>Staphylococcus epidermidis</w:t>
      </w:r>
      <w:r w:rsidRPr="008A0A90">
        <w:rPr>
          <w:rFonts w:ascii="Arial" w:hAnsi="Arial" w:cs="Arial"/>
          <w:sz w:val="22"/>
          <w:szCs w:val="22"/>
        </w:rPr>
        <w:t>, were selected for this study. These species were chosen based on prior laboratory observations indicating that they can grow concurrently on agar plates while forming morphologically distinct colonies with minimal to no swarming behavior, allowing for accurate measurement of colony diameter without overlap (</w:t>
      </w:r>
      <w:proofErr w:type="spellStart"/>
      <w:r w:rsidRPr="008A0A90">
        <w:rPr>
          <w:rFonts w:ascii="Arial" w:hAnsi="Arial" w:cs="Arial"/>
          <w:sz w:val="22"/>
          <w:szCs w:val="22"/>
        </w:rPr>
        <w:t>LaBauve</w:t>
      </w:r>
      <w:proofErr w:type="spellEnd"/>
      <w:r w:rsidRPr="008A0A90">
        <w:rPr>
          <w:rFonts w:ascii="Arial" w:hAnsi="Arial" w:cs="Arial"/>
          <w:sz w:val="22"/>
          <w:szCs w:val="22"/>
        </w:rPr>
        <w:t xml:space="preserve"> &amp; </w:t>
      </w:r>
      <w:proofErr w:type="spellStart"/>
      <w:r w:rsidRPr="008A0A90">
        <w:rPr>
          <w:rFonts w:ascii="Arial" w:hAnsi="Arial" w:cs="Arial"/>
          <w:sz w:val="22"/>
          <w:szCs w:val="22"/>
        </w:rPr>
        <w:t>Wargo</w:t>
      </w:r>
      <w:proofErr w:type="spellEnd"/>
      <w:r w:rsidRPr="008A0A90">
        <w:rPr>
          <w:rFonts w:ascii="Arial" w:hAnsi="Arial" w:cs="Arial"/>
          <w:sz w:val="22"/>
          <w:szCs w:val="22"/>
        </w:rPr>
        <w:t xml:space="preserve">, 2012; </w:t>
      </w:r>
      <w:proofErr w:type="spellStart"/>
      <w:r w:rsidRPr="008A0A90">
        <w:rPr>
          <w:rFonts w:ascii="Arial" w:hAnsi="Arial" w:cs="Arial"/>
          <w:sz w:val="22"/>
          <w:szCs w:val="22"/>
        </w:rPr>
        <w:t>Missiakas</w:t>
      </w:r>
      <w:proofErr w:type="spellEnd"/>
      <w:r w:rsidRPr="008A0A90">
        <w:rPr>
          <w:rFonts w:ascii="Arial" w:hAnsi="Arial" w:cs="Arial"/>
          <w:sz w:val="22"/>
          <w:szCs w:val="22"/>
        </w:rPr>
        <w:t xml:space="preserve"> &amp; </w:t>
      </w:r>
      <w:proofErr w:type="spellStart"/>
      <w:r w:rsidRPr="008A0A90">
        <w:rPr>
          <w:rFonts w:ascii="Arial" w:hAnsi="Arial" w:cs="Arial"/>
          <w:sz w:val="22"/>
          <w:szCs w:val="22"/>
        </w:rPr>
        <w:t>Schneewind</w:t>
      </w:r>
      <w:proofErr w:type="spellEnd"/>
      <w:r w:rsidRPr="008A0A90">
        <w:rPr>
          <w:rFonts w:ascii="Arial" w:hAnsi="Arial" w:cs="Arial"/>
          <w:sz w:val="22"/>
          <w:szCs w:val="22"/>
        </w:rPr>
        <w:t xml:space="preserve">, 2013; </w:t>
      </w:r>
      <w:proofErr w:type="spellStart"/>
      <w:r w:rsidRPr="008A0A90">
        <w:rPr>
          <w:rFonts w:ascii="Arial" w:hAnsi="Arial" w:cs="Arial"/>
          <w:sz w:val="22"/>
          <w:szCs w:val="22"/>
        </w:rPr>
        <w:t>Skovdal</w:t>
      </w:r>
      <w:proofErr w:type="spellEnd"/>
      <w:r w:rsidRPr="008A0A90">
        <w:rPr>
          <w:rFonts w:ascii="Arial" w:hAnsi="Arial" w:cs="Arial"/>
          <w:sz w:val="22"/>
          <w:szCs w:val="22"/>
        </w:rPr>
        <w:t xml:space="preserve"> et al., 2022; Tuttle et al., 2021). All isolates were obtained from existing subcultures of non-pathogenic laboratory strains derived from commercially available cultures (Carolina Biological Supply, Burlington, NC, USA). These strains were maintained under standard laboratory conditions prior to experimentation.</w:t>
      </w:r>
    </w:p>
    <w:p w14:paraId="13CE8181" w14:textId="0D323D70"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t>Luria-Bertani (LB) agar media were prepared by dissolving 30 g of LB agar powder per liter of distilled water, followed by autoclaving under standard sterilization conditions. Sterile media were poured into Petri dishes and allowed to solidify. Each plate was marked on the underside with a permanent marker to create a 4 × 4 grid system, consisting of four grid lanes and 16 sub-grids, to standardize inoculation placement and spatial organization. Each bacterial species was assigned to a designated grid lane to prevent cross-contamination and ensure spatial separation of colonies. Bacterial cultures were then inoculated onto the agar surface and incubated under controlled laboratory conditions to allow for colony development. Species identity was confirmed based on original strain source designation and colony morphology consistent with established descriptions in the literature.</w:t>
      </w:r>
    </w:p>
    <w:p w14:paraId="744AE171" w14:textId="5B6BA829"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t xml:space="preserve">A stock solution of bovine lactoferrin powder (lactoferrin.co) was prepared by dissolving 0.5 g of lactoferrin powder in 25 ml of 70% phosphate-buffered saline (PBS), resulting in a concentration of 20 mg/ml. This concentration was selected based on Chilton et al. (2016) and served as the high-concentration treatment. A medium concentration (10 mg/ml) was prepared by performing a 1:1 dilution of the high-concentration stock with 70% PBS buffer. A low concentration (5 mg/ml) was subsequently prepared by repeating the same dilution step using the medium </w:t>
      </w:r>
      <w:r w:rsidRPr="008A0A90">
        <w:rPr>
          <w:rFonts w:ascii="Arial" w:hAnsi="Arial" w:cs="Arial"/>
          <w:sz w:val="22"/>
          <w:szCs w:val="22"/>
        </w:rPr>
        <w:lastRenderedPageBreak/>
        <w:t>solution. Thus, three lactoferrin treatment levels were established: 20 mg/ml (High), 10 mg/ml (Medium), and 5 mg/ml (Low). A control treatment consisting of 70% PBS buffer without lactoferrin was included for comparison. These solutions were applied to agar media to assess concentration-dependent effects on bacterial colony growth.</w:t>
      </w:r>
    </w:p>
    <w:p w14:paraId="59B8C091" w14:textId="6A462839" w:rsidR="00466E2A" w:rsidRPr="008A0A90" w:rsidRDefault="00466E2A" w:rsidP="00466E2A">
      <w:pPr>
        <w:pStyle w:val="Body"/>
        <w:spacing w:after="0"/>
        <w:rPr>
          <w:rFonts w:ascii="Arial" w:hAnsi="Arial" w:cs="Arial"/>
          <w:sz w:val="22"/>
          <w:szCs w:val="22"/>
        </w:rPr>
      </w:pPr>
      <w:r w:rsidRPr="008A0A90">
        <w:rPr>
          <w:rFonts w:ascii="Arial" w:hAnsi="Arial" w:cs="Arial"/>
          <w:sz w:val="22"/>
          <w:szCs w:val="22"/>
        </w:rPr>
        <w:t>For each plate, we pipetted and spread 1 ml of treatment or control solutions on the agar media under sterile conditions. To ensure that the lactoferrin and control solutions absorbed onto the agar surface, and to make sure that there is no excess moisture on the agar media, we let the treatment solutions cure for at least 30 min. on the surface of the media. Further, after 30 minutes of curing, we inverted the media plates on a sterile desiccator for 24 hours to remove any excess moisture that can affect inoculation and/or colony growth.</w:t>
      </w:r>
      <w:r w:rsidR="005013D5" w:rsidRPr="008A0A90">
        <w:rPr>
          <w:rFonts w:ascii="Arial" w:hAnsi="Arial" w:cs="Arial"/>
          <w:sz w:val="22"/>
          <w:szCs w:val="22"/>
        </w:rPr>
        <w:t xml:space="preserve"> </w:t>
      </w:r>
      <w:r w:rsidRPr="008A0A90">
        <w:rPr>
          <w:rFonts w:ascii="Arial" w:hAnsi="Arial" w:cs="Arial"/>
          <w:sz w:val="22"/>
          <w:szCs w:val="22"/>
        </w:rPr>
        <w:t xml:space="preserve">We inoculated bacteria on the treated agar Petri dishes by using a 10 </w:t>
      </w:r>
      <w:proofErr w:type="spellStart"/>
      <w:r w:rsidRPr="008A0A90">
        <w:rPr>
          <w:rFonts w:ascii="Arial" w:hAnsi="Arial" w:cs="Arial"/>
          <w:sz w:val="22"/>
          <w:szCs w:val="22"/>
        </w:rPr>
        <w:t>μl</w:t>
      </w:r>
      <w:proofErr w:type="spellEnd"/>
      <w:r w:rsidRPr="008A0A90">
        <w:rPr>
          <w:rFonts w:ascii="Arial" w:hAnsi="Arial" w:cs="Arial"/>
          <w:sz w:val="22"/>
          <w:szCs w:val="22"/>
        </w:rPr>
        <w:t xml:space="preserve"> pipette tip to scrape bacterial inoculant from the subculture plate and lightly dotting them into their sub-grid. The Petri dishes were then placed back into the desiccator, and covered by a dark plastic bag to emulate a dark environment at room temperature for growth. We incubated the plates in a desiccator to minimize condensation.</w:t>
      </w:r>
      <w:r w:rsidR="005013D5" w:rsidRPr="008A0A90">
        <w:rPr>
          <w:rFonts w:ascii="Arial" w:hAnsi="Arial" w:cs="Arial"/>
          <w:sz w:val="22"/>
          <w:szCs w:val="22"/>
        </w:rPr>
        <w:t xml:space="preserve"> </w:t>
      </w:r>
      <w:r w:rsidRPr="008A0A90">
        <w:rPr>
          <w:rFonts w:ascii="Arial" w:hAnsi="Arial" w:cs="Arial"/>
          <w:sz w:val="22"/>
          <w:szCs w:val="22"/>
        </w:rPr>
        <w:t>We measured bacterial colony diameter after a four-day incubation period. For each species, we inoculated one colony per sub-grid and four replicate colonies per grid lane. We inoculated and successfully cultured a total of 16 plates and measured 256 colonies for all four species. To measure each colony’s diameter, we used digital micrometers and measured colony diameter to the nearest 0.01 mm.</w:t>
      </w:r>
    </w:p>
    <w:p w14:paraId="1FC0509F" w14:textId="77777777" w:rsidR="005013D5" w:rsidRPr="008A0A90" w:rsidRDefault="005013D5" w:rsidP="00466E2A">
      <w:pPr>
        <w:pStyle w:val="Body"/>
        <w:spacing w:after="0"/>
        <w:rPr>
          <w:rFonts w:ascii="Arial" w:hAnsi="Arial" w:cs="Arial"/>
          <w:sz w:val="22"/>
          <w:szCs w:val="22"/>
        </w:rPr>
      </w:pPr>
    </w:p>
    <w:p w14:paraId="7E6ADA32" w14:textId="4797DD3C" w:rsidR="00790ADA" w:rsidRPr="008A0A90" w:rsidRDefault="00C66D68" w:rsidP="00441B6F">
      <w:pPr>
        <w:pStyle w:val="Body"/>
        <w:spacing w:after="0"/>
        <w:rPr>
          <w:rFonts w:ascii="Arial" w:hAnsi="Arial" w:cs="Arial"/>
          <w:sz w:val="22"/>
          <w:szCs w:val="22"/>
        </w:rPr>
      </w:pPr>
      <w:r w:rsidRPr="008A0A90">
        <w:rPr>
          <w:rFonts w:ascii="Arial" w:hAnsi="Arial" w:cs="Arial"/>
          <w:sz w:val="22"/>
          <w:szCs w:val="22"/>
        </w:rPr>
        <w:t xml:space="preserve">Analysis of covariance (ANCOVA) was used to evaluate the effect of lactoferrin on bacterial colony size. In addition to lactoferrin treatment, species was included as a factor in the analysis. Plate and grid position were also included in the model to account for variation in colony size potentially arising from spatial heterogeneity within the desiccator environment and from positional effects on the agar plates. The following ANCOVA model was applied: colony diameter = treatment + plate + grid position + species + treatment × species. The analysis was conducted using base R functions, and results were visualized using box plots generated in the </w:t>
      </w:r>
      <w:r w:rsidRPr="008A0A90">
        <w:rPr>
          <w:rStyle w:val="Emphasis"/>
          <w:rFonts w:ascii="Arial" w:hAnsi="Arial" w:cs="Arial"/>
          <w:sz w:val="22"/>
          <w:szCs w:val="22"/>
        </w:rPr>
        <w:t>ggplot2</w:t>
      </w:r>
      <w:r w:rsidRPr="008A0A90">
        <w:rPr>
          <w:rFonts w:ascii="Arial" w:hAnsi="Arial" w:cs="Arial"/>
          <w:sz w:val="22"/>
          <w:szCs w:val="22"/>
        </w:rPr>
        <w:t xml:space="preserve"> package (Wickham, 2016; R Core Team, 2024).</w:t>
      </w:r>
    </w:p>
    <w:p w14:paraId="280F2954" w14:textId="77777777" w:rsidR="00C66D68" w:rsidRPr="008A0A90" w:rsidRDefault="00C66D68" w:rsidP="00441B6F">
      <w:pPr>
        <w:pStyle w:val="Body"/>
        <w:spacing w:after="0"/>
        <w:rPr>
          <w:rFonts w:ascii="Arial" w:hAnsi="Arial" w:cs="Arial"/>
          <w:sz w:val="22"/>
          <w:szCs w:val="22"/>
        </w:rPr>
      </w:pPr>
    </w:p>
    <w:p w14:paraId="6441B7A2" w14:textId="77777777" w:rsidR="00902823" w:rsidRPr="008A0A90" w:rsidRDefault="00000F8F" w:rsidP="00441B6F">
      <w:pPr>
        <w:pStyle w:val="Head1"/>
        <w:spacing w:after="0"/>
        <w:jc w:val="both"/>
        <w:rPr>
          <w:rFonts w:ascii="Arial" w:hAnsi="Arial" w:cs="Arial"/>
          <w:szCs w:val="22"/>
        </w:rPr>
      </w:pPr>
      <w:r w:rsidRPr="008A0A90">
        <w:rPr>
          <w:rFonts w:ascii="Arial" w:hAnsi="Arial" w:cs="Arial"/>
          <w:szCs w:val="22"/>
        </w:rPr>
        <w:t>3</w:t>
      </w:r>
      <w:r w:rsidR="00902823" w:rsidRPr="008A0A90">
        <w:rPr>
          <w:rFonts w:ascii="Arial" w:hAnsi="Arial" w:cs="Arial"/>
          <w:szCs w:val="22"/>
        </w:rPr>
        <w:t xml:space="preserve">. </w:t>
      </w:r>
      <w:r w:rsidRPr="008A0A90">
        <w:rPr>
          <w:rFonts w:ascii="Arial" w:hAnsi="Arial" w:cs="Arial"/>
          <w:szCs w:val="22"/>
        </w:rPr>
        <w:t>results and discussion</w:t>
      </w:r>
    </w:p>
    <w:p w14:paraId="482EAB47" w14:textId="77777777" w:rsidR="00790ADA" w:rsidRPr="008A0A90" w:rsidRDefault="00790ADA" w:rsidP="00441B6F">
      <w:pPr>
        <w:pStyle w:val="Head1"/>
        <w:spacing w:after="0"/>
        <w:jc w:val="both"/>
        <w:rPr>
          <w:rFonts w:ascii="Arial" w:hAnsi="Arial" w:cs="Arial"/>
          <w:szCs w:val="22"/>
        </w:rPr>
      </w:pPr>
    </w:p>
    <w:p w14:paraId="2A60083A" w14:textId="2E1ED37B" w:rsidR="00695E15" w:rsidRPr="008A0A90" w:rsidRDefault="00695E15" w:rsidP="00695E15">
      <w:pPr>
        <w:spacing w:before="100" w:beforeAutospacing="1" w:after="100" w:afterAutospacing="1"/>
        <w:rPr>
          <w:rFonts w:ascii="Arial" w:hAnsi="Arial" w:cs="Arial"/>
          <w:sz w:val="22"/>
          <w:szCs w:val="22"/>
        </w:rPr>
      </w:pPr>
      <w:r w:rsidRPr="008A0A90">
        <w:rPr>
          <w:rFonts w:ascii="Arial" w:hAnsi="Arial" w:cs="Arial"/>
          <w:sz w:val="22"/>
          <w:szCs w:val="22"/>
        </w:rPr>
        <w:t>It was initially suggested</w:t>
      </w:r>
      <w:r w:rsidR="00CD32F0" w:rsidRPr="008A0A90">
        <w:rPr>
          <w:rFonts w:ascii="Arial" w:hAnsi="Arial" w:cs="Arial"/>
          <w:sz w:val="22"/>
          <w:szCs w:val="22"/>
        </w:rPr>
        <w:t xml:space="preserve"> in this study</w:t>
      </w:r>
      <w:r w:rsidRPr="008A0A90">
        <w:rPr>
          <w:rFonts w:ascii="Arial" w:hAnsi="Arial" w:cs="Arial"/>
          <w:sz w:val="22"/>
          <w:szCs w:val="22"/>
        </w:rPr>
        <w:t xml:space="preserve"> that lactoferrin may act as a nutrient source for some bacterial species. </w:t>
      </w:r>
      <w:r w:rsidR="00CD32F0" w:rsidRPr="008A0A90">
        <w:rPr>
          <w:rFonts w:ascii="Arial" w:hAnsi="Arial" w:cs="Arial"/>
          <w:sz w:val="22"/>
          <w:szCs w:val="22"/>
        </w:rPr>
        <w:t>This</w:t>
      </w:r>
      <w:r w:rsidRPr="008A0A90">
        <w:rPr>
          <w:rFonts w:ascii="Arial" w:hAnsi="Arial" w:cs="Arial"/>
          <w:sz w:val="22"/>
          <w:szCs w:val="22"/>
        </w:rPr>
        <w:t xml:space="preserve"> possibility was eva</w:t>
      </w:r>
      <w:r w:rsidR="00251F66" w:rsidRPr="008A0A90">
        <w:rPr>
          <w:rFonts w:ascii="Arial" w:hAnsi="Arial" w:cs="Arial"/>
          <w:sz w:val="22"/>
          <w:szCs w:val="22"/>
        </w:rPr>
        <w:t xml:space="preserve">luated by measuring colony size, in particular colony diameter, </w:t>
      </w:r>
      <w:r w:rsidRPr="008A0A90">
        <w:rPr>
          <w:rFonts w:ascii="Arial" w:hAnsi="Arial" w:cs="Arial"/>
          <w:sz w:val="22"/>
          <w:szCs w:val="22"/>
        </w:rPr>
        <w:t>across treatments and</w:t>
      </w:r>
      <w:r w:rsidR="004C3EBF" w:rsidRPr="008A0A90">
        <w:rPr>
          <w:rFonts w:ascii="Arial" w:hAnsi="Arial" w:cs="Arial"/>
          <w:sz w:val="22"/>
          <w:szCs w:val="22"/>
        </w:rPr>
        <w:t xml:space="preserve"> among four species. Specifically, LB agar plates were surfaced-treated with different concentrations of lactoferrin, and then inoculated with four species of bacteria. In summary, c</w:t>
      </w:r>
      <w:r w:rsidR="00251F66" w:rsidRPr="008A0A90">
        <w:rPr>
          <w:rFonts w:ascii="Arial" w:hAnsi="Arial" w:cs="Arial"/>
          <w:sz w:val="22"/>
          <w:szCs w:val="22"/>
        </w:rPr>
        <w:t>olony diameter</w:t>
      </w:r>
      <w:r w:rsidR="00AD2E8A" w:rsidRPr="008A0A90">
        <w:rPr>
          <w:rFonts w:ascii="Arial" w:hAnsi="Arial" w:cs="Arial"/>
          <w:sz w:val="22"/>
          <w:szCs w:val="22"/>
        </w:rPr>
        <w:t xml:space="preserve">s of </w:t>
      </w:r>
      <w:r w:rsidR="00AD2E8A" w:rsidRPr="008A0A90">
        <w:rPr>
          <w:rFonts w:ascii="Arial" w:hAnsi="Arial" w:cs="Arial"/>
          <w:i/>
          <w:iCs/>
          <w:sz w:val="22"/>
          <w:szCs w:val="22"/>
        </w:rPr>
        <w:t>E. coli</w:t>
      </w:r>
      <w:r w:rsidR="00AD2E8A" w:rsidRPr="008A0A90">
        <w:rPr>
          <w:rFonts w:ascii="Arial" w:hAnsi="Arial" w:cs="Arial"/>
          <w:sz w:val="22"/>
          <w:szCs w:val="22"/>
        </w:rPr>
        <w:t xml:space="preserve">, </w:t>
      </w:r>
      <w:r w:rsidR="00AD2E8A" w:rsidRPr="008A0A90">
        <w:rPr>
          <w:rFonts w:ascii="Arial" w:hAnsi="Arial" w:cs="Arial"/>
          <w:i/>
          <w:iCs/>
          <w:sz w:val="22"/>
          <w:szCs w:val="22"/>
        </w:rPr>
        <w:t>P. aeruginosa</w:t>
      </w:r>
      <w:r w:rsidR="00AD2E8A" w:rsidRPr="008A0A90">
        <w:rPr>
          <w:rFonts w:ascii="Arial" w:hAnsi="Arial" w:cs="Arial"/>
          <w:sz w:val="22"/>
          <w:szCs w:val="22"/>
        </w:rPr>
        <w:t xml:space="preserve">, </w:t>
      </w:r>
      <w:r w:rsidR="00AD2E8A" w:rsidRPr="008A0A90">
        <w:rPr>
          <w:rFonts w:ascii="Arial" w:hAnsi="Arial" w:cs="Arial"/>
          <w:i/>
          <w:iCs/>
          <w:sz w:val="22"/>
          <w:szCs w:val="22"/>
        </w:rPr>
        <w:t>S. aureus</w:t>
      </w:r>
      <w:r w:rsidR="00AD2E8A" w:rsidRPr="008A0A90">
        <w:rPr>
          <w:rFonts w:ascii="Arial" w:hAnsi="Arial" w:cs="Arial"/>
          <w:sz w:val="22"/>
          <w:szCs w:val="22"/>
        </w:rPr>
        <w:t xml:space="preserve"> and </w:t>
      </w:r>
      <w:r w:rsidR="00AD2E8A" w:rsidRPr="008A0A90">
        <w:rPr>
          <w:rFonts w:ascii="Arial" w:hAnsi="Arial" w:cs="Arial"/>
          <w:i/>
          <w:iCs/>
          <w:sz w:val="22"/>
          <w:szCs w:val="22"/>
        </w:rPr>
        <w:t>S. epidermidis</w:t>
      </w:r>
      <w:r w:rsidR="00AD2E8A" w:rsidRPr="008A0A90">
        <w:rPr>
          <w:rFonts w:ascii="Arial" w:hAnsi="Arial" w:cs="Arial"/>
          <w:sz w:val="22"/>
          <w:szCs w:val="22"/>
        </w:rPr>
        <w:t xml:space="preserve"> were</w:t>
      </w:r>
      <w:r w:rsidRPr="008A0A90">
        <w:rPr>
          <w:rFonts w:ascii="Arial" w:hAnsi="Arial" w:cs="Arial"/>
          <w:sz w:val="22"/>
          <w:szCs w:val="22"/>
        </w:rPr>
        <w:t xml:space="preserve"> found to be affected by lacto</w:t>
      </w:r>
      <w:r w:rsidR="00AD2E8A" w:rsidRPr="008A0A90">
        <w:rPr>
          <w:rFonts w:ascii="Arial" w:hAnsi="Arial" w:cs="Arial"/>
          <w:sz w:val="22"/>
          <w:szCs w:val="22"/>
        </w:rPr>
        <w:t>ferrin treatment (Hypothesis</w:t>
      </w:r>
      <w:r w:rsidR="00CD32F0" w:rsidRPr="008A0A90">
        <w:rPr>
          <w:rFonts w:ascii="Arial" w:hAnsi="Arial" w:cs="Arial"/>
          <w:sz w:val="22"/>
          <w:szCs w:val="22"/>
        </w:rPr>
        <w:t xml:space="preserve"> 1). It was also revealed by the experimental</w:t>
      </w:r>
      <w:r w:rsidR="00AD2E8A" w:rsidRPr="008A0A90">
        <w:rPr>
          <w:rFonts w:ascii="Arial" w:hAnsi="Arial" w:cs="Arial"/>
          <w:sz w:val="22"/>
          <w:szCs w:val="22"/>
        </w:rPr>
        <w:t xml:space="preserve"> data that taxonomic differences based on </w:t>
      </w:r>
      <w:r w:rsidRPr="008A0A90">
        <w:rPr>
          <w:rFonts w:ascii="Arial" w:hAnsi="Arial" w:cs="Arial"/>
          <w:sz w:val="22"/>
          <w:szCs w:val="22"/>
        </w:rPr>
        <w:t xml:space="preserve">species identity was </w:t>
      </w:r>
      <w:r w:rsidR="00AD2E8A" w:rsidRPr="008A0A90">
        <w:rPr>
          <w:rFonts w:ascii="Arial" w:hAnsi="Arial" w:cs="Arial"/>
          <w:sz w:val="22"/>
          <w:szCs w:val="22"/>
        </w:rPr>
        <w:t>a factor that i</w:t>
      </w:r>
      <w:r w:rsidRPr="008A0A90">
        <w:rPr>
          <w:rFonts w:ascii="Arial" w:hAnsi="Arial" w:cs="Arial"/>
          <w:sz w:val="22"/>
          <w:szCs w:val="22"/>
        </w:rPr>
        <w:t>nfluence</w:t>
      </w:r>
      <w:r w:rsidR="00AD2E8A" w:rsidRPr="008A0A90">
        <w:rPr>
          <w:rFonts w:ascii="Arial" w:hAnsi="Arial" w:cs="Arial"/>
          <w:sz w:val="22"/>
          <w:szCs w:val="22"/>
        </w:rPr>
        <w:t>d</w:t>
      </w:r>
      <w:r w:rsidRPr="008A0A90">
        <w:rPr>
          <w:rFonts w:ascii="Arial" w:hAnsi="Arial" w:cs="Arial"/>
          <w:sz w:val="22"/>
          <w:szCs w:val="22"/>
        </w:rPr>
        <w:t xml:space="preserve"> colony size (Hypothesis 2). However, previous studies have also demonstrated that lactoferrin often inhibits bacterial growth through iron-binding mechanisms (</w:t>
      </w:r>
      <w:proofErr w:type="spellStart"/>
      <w:r w:rsidRPr="008A0A90">
        <w:rPr>
          <w:rFonts w:ascii="Arial" w:hAnsi="Arial" w:cs="Arial"/>
          <w:sz w:val="22"/>
          <w:szCs w:val="22"/>
        </w:rPr>
        <w:t>Orsi</w:t>
      </w:r>
      <w:proofErr w:type="spellEnd"/>
      <w:r w:rsidRPr="008A0A90">
        <w:rPr>
          <w:rFonts w:ascii="Arial" w:hAnsi="Arial" w:cs="Arial"/>
          <w:sz w:val="22"/>
          <w:szCs w:val="22"/>
        </w:rPr>
        <w:t>, 2004; Vega-Bautista et al., 2019).</w:t>
      </w:r>
    </w:p>
    <w:p w14:paraId="2CA23D09" w14:textId="77777777" w:rsidR="00E40B48" w:rsidRPr="008A0A90" w:rsidRDefault="00402B7D" w:rsidP="00695E15">
      <w:pPr>
        <w:spacing w:before="100" w:beforeAutospacing="1" w:after="100" w:afterAutospacing="1"/>
        <w:rPr>
          <w:rFonts w:ascii="Arial" w:hAnsi="Arial" w:cs="Arial"/>
          <w:sz w:val="22"/>
          <w:szCs w:val="22"/>
        </w:rPr>
      </w:pPr>
      <w:r w:rsidRPr="008A0A90">
        <w:rPr>
          <w:rFonts w:ascii="Arial" w:hAnsi="Arial" w:cs="Arial"/>
          <w:sz w:val="22"/>
          <w:szCs w:val="22"/>
        </w:rPr>
        <w:t>The data from this experiment showed that c</w:t>
      </w:r>
      <w:r w:rsidR="00695E15" w:rsidRPr="008A0A90">
        <w:rPr>
          <w:rFonts w:ascii="Arial" w:hAnsi="Arial" w:cs="Arial"/>
          <w:sz w:val="22"/>
          <w:szCs w:val="22"/>
        </w:rPr>
        <w:t>olony diameter was significantly affected by bovine lacto</w:t>
      </w:r>
      <w:r w:rsidRPr="008A0A90">
        <w:rPr>
          <w:rFonts w:ascii="Arial" w:hAnsi="Arial" w:cs="Arial"/>
          <w:sz w:val="22"/>
          <w:szCs w:val="22"/>
        </w:rPr>
        <w:t xml:space="preserve">ferrin (P &lt; .001; Fig. 1a). In the absence of lactoferrin, the </w:t>
      </w:r>
      <w:r w:rsidR="00695E15" w:rsidRPr="008A0A90">
        <w:rPr>
          <w:rFonts w:ascii="Arial" w:hAnsi="Arial" w:cs="Arial"/>
          <w:sz w:val="22"/>
          <w:szCs w:val="22"/>
        </w:rPr>
        <w:t>largest colonies were observed in the control treatment, while smaller colonies were observed in all lactoferrin treatments. This pat</w:t>
      </w:r>
      <w:r w:rsidRPr="008A0A90">
        <w:rPr>
          <w:rFonts w:ascii="Arial" w:hAnsi="Arial" w:cs="Arial"/>
          <w:sz w:val="22"/>
          <w:szCs w:val="22"/>
        </w:rPr>
        <w:t>tern suggests that colony growth</w:t>
      </w:r>
      <w:r w:rsidR="00695E15" w:rsidRPr="008A0A90">
        <w:rPr>
          <w:rFonts w:ascii="Arial" w:hAnsi="Arial" w:cs="Arial"/>
          <w:sz w:val="22"/>
          <w:szCs w:val="22"/>
        </w:rPr>
        <w:t xml:space="preserve"> was reduced by lactoferrin, which does not support the hypothesis of nutrient provisioning. A possible explanation </w:t>
      </w:r>
      <w:r w:rsidRPr="008A0A90">
        <w:rPr>
          <w:rFonts w:ascii="Arial" w:hAnsi="Arial" w:cs="Arial"/>
          <w:sz w:val="22"/>
          <w:szCs w:val="22"/>
        </w:rPr>
        <w:t xml:space="preserve">of this reduction of colony size in the </w:t>
      </w:r>
      <w:r w:rsidRPr="008A0A90">
        <w:rPr>
          <w:rFonts w:ascii="Arial" w:hAnsi="Arial" w:cs="Arial"/>
          <w:sz w:val="22"/>
          <w:szCs w:val="22"/>
        </w:rPr>
        <w:lastRenderedPageBreak/>
        <w:t xml:space="preserve">presence of supplemental lactoferrin </w:t>
      </w:r>
      <w:r w:rsidR="00695E15" w:rsidRPr="008A0A90">
        <w:rPr>
          <w:rFonts w:ascii="Arial" w:hAnsi="Arial" w:cs="Arial"/>
          <w:sz w:val="22"/>
          <w:szCs w:val="22"/>
        </w:rPr>
        <w:t>is that iron sequestration occurred in the</w:t>
      </w:r>
      <w:r w:rsidRPr="008A0A90">
        <w:rPr>
          <w:rFonts w:ascii="Arial" w:hAnsi="Arial" w:cs="Arial"/>
          <w:sz w:val="22"/>
          <w:szCs w:val="22"/>
        </w:rPr>
        <w:t xml:space="preserve"> LB agar media</w:t>
      </w:r>
      <w:r w:rsidR="00695E15" w:rsidRPr="008A0A90">
        <w:rPr>
          <w:rFonts w:ascii="Arial" w:hAnsi="Arial" w:cs="Arial"/>
          <w:sz w:val="22"/>
          <w:szCs w:val="22"/>
        </w:rPr>
        <w:t xml:space="preserve">; however, this was not directly tested. </w:t>
      </w:r>
    </w:p>
    <w:p w14:paraId="76EE72C3" w14:textId="65497F0E" w:rsidR="009322F3" w:rsidRPr="008A0A90" w:rsidRDefault="00695E15" w:rsidP="00C36C6C">
      <w:pPr>
        <w:spacing w:before="100" w:beforeAutospacing="1" w:after="100" w:afterAutospacing="1"/>
        <w:rPr>
          <w:rFonts w:ascii="Arial" w:hAnsi="Arial" w:cs="Arial"/>
          <w:sz w:val="22"/>
          <w:szCs w:val="22"/>
        </w:rPr>
      </w:pPr>
      <w:r w:rsidRPr="008A0A90">
        <w:rPr>
          <w:rFonts w:ascii="Arial" w:hAnsi="Arial" w:cs="Arial"/>
          <w:sz w:val="22"/>
          <w:szCs w:val="22"/>
        </w:rPr>
        <w:t xml:space="preserve">Colony size also differed significantly among species (P &lt; .001; Fig. 1b). The largest colonies were observed in </w:t>
      </w:r>
      <w:r w:rsidRPr="008A0A90">
        <w:rPr>
          <w:rFonts w:ascii="Arial" w:hAnsi="Arial" w:cs="Arial"/>
          <w:i/>
          <w:iCs/>
          <w:sz w:val="22"/>
          <w:szCs w:val="22"/>
        </w:rPr>
        <w:t>E. coli</w:t>
      </w:r>
      <w:r w:rsidRPr="008A0A90">
        <w:rPr>
          <w:rFonts w:ascii="Arial" w:hAnsi="Arial" w:cs="Arial"/>
          <w:sz w:val="22"/>
          <w:szCs w:val="22"/>
        </w:rPr>
        <w:t xml:space="preserve"> and </w:t>
      </w:r>
      <w:r w:rsidRPr="008A0A90">
        <w:rPr>
          <w:rFonts w:ascii="Arial" w:hAnsi="Arial" w:cs="Arial"/>
          <w:i/>
          <w:iCs/>
          <w:sz w:val="22"/>
          <w:szCs w:val="22"/>
        </w:rPr>
        <w:t>P. aeruginosa</w:t>
      </w:r>
      <w:r w:rsidRPr="008A0A90">
        <w:rPr>
          <w:rFonts w:ascii="Arial" w:hAnsi="Arial" w:cs="Arial"/>
          <w:sz w:val="22"/>
          <w:szCs w:val="22"/>
        </w:rPr>
        <w:t xml:space="preserve">, followed by </w:t>
      </w:r>
      <w:r w:rsidRPr="008A0A90">
        <w:rPr>
          <w:rFonts w:ascii="Arial" w:hAnsi="Arial" w:cs="Arial"/>
          <w:i/>
          <w:iCs/>
          <w:sz w:val="22"/>
          <w:szCs w:val="22"/>
        </w:rPr>
        <w:t>S. aureus</w:t>
      </w:r>
      <w:r w:rsidRPr="008A0A90">
        <w:rPr>
          <w:rFonts w:ascii="Arial" w:hAnsi="Arial" w:cs="Arial"/>
          <w:sz w:val="22"/>
          <w:szCs w:val="22"/>
        </w:rPr>
        <w:t xml:space="preserve"> and </w:t>
      </w:r>
      <w:r w:rsidRPr="008A0A90">
        <w:rPr>
          <w:rFonts w:ascii="Arial" w:hAnsi="Arial" w:cs="Arial"/>
          <w:i/>
          <w:iCs/>
          <w:sz w:val="22"/>
          <w:szCs w:val="22"/>
        </w:rPr>
        <w:t>S. epidermidis</w:t>
      </w:r>
      <w:r w:rsidRPr="008A0A90">
        <w:rPr>
          <w:rFonts w:ascii="Arial" w:hAnsi="Arial" w:cs="Arial"/>
          <w:sz w:val="22"/>
          <w:szCs w:val="22"/>
        </w:rPr>
        <w:t xml:space="preserve">. In </w:t>
      </w:r>
      <w:r w:rsidRPr="008A0A90">
        <w:rPr>
          <w:rFonts w:ascii="Arial" w:hAnsi="Arial" w:cs="Arial"/>
          <w:i/>
          <w:iCs/>
          <w:sz w:val="22"/>
          <w:szCs w:val="22"/>
        </w:rPr>
        <w:t>E. coli</w:t>
      </w:r>
      <w:r w:rsidRPr="008A0A90">
        <w:rPr>
          <w:rFonts w:ascii="Arial" w:hAnsi="Arial" w:cs="Arial"/>
          <w:sz w:val="22"/>
          <w:szCs w:val="22"/>
        </w:rPr>
        <w:t xml:space="preserve"> and </w:t>
      </w:r>
      <w:r w:rsidRPr="008A0A90">
        <w:rPr>
          <w:rFonts w:ascii="Arial" w:hAnsi="Arial" w:cs="Arial"/>
          <w:i/>
          <w:iCs/>
          <w:sz w:val="22"/>
          <w:szCs w:val="22"/>
        </w:rPr>
        <w:t>P. aeruginosa</w:t>
      </w:r>
      <w:r w:rsidRPr="008A0A90">
        <w:rPr>
          <w:rFonts w:ascii="Arial" w:hAnsi="Arial" w:cs="Arial"/>
          <w:sz w:val="22"/>
          <w:szCs w:val="22"/>
        </w:rPr>
        <w:t xml:space="preserve">, colony size was reduced on lactoferrin-treated plates compared to control plates (Fig. 1c). In contrast, </w:t>
      </w:r>
      <w:r w:rsidRPr="008A0A90">
        <w:rPr>
          <w:rFonts w:ascii="Arial" w:hAnsi="Arial" w:cs="Arial"/>
          <w:i/>
          <w:iCs/>
          <w:sz w:val="22"/>
          <w:szCs w:val="22"/>
        </w:rPr>
        <w:t>S. epidermidis</w:t>
      </w:r>
      <w:r w:rsidRPr="008A0A90">
        <w:rPr>
          <w:rFonts w:ascii="Arial" w:hAnsi="Arial" w:cs="Arial"/>
          <w:sz w:val="22"/>
          <w:szCs w:val="22"/>
        </w:rPr>
        <w:t xml:space="preserve"> consistently produced small colonies, with the largest colony sizes occurring at higher lactoferrin concentrations.</w:t>
      </w:r>
      <w:r w:rsidR="00D71DAC" w:rsidRPr="008A0A90">
        <w:rPr>
          <w:rFonts w:ascii="Arial" w:hAnsi="Arial" w:cs="Arial"/>
          <w:sz w:val="22"/>
          <w:szCs w:val="22"/>
        </w:rPr>
        <w:t xml:space="preserve"> </w:t>
      </w:r>
      <w:r w:rsidRPr="008A0A90">
        <w:rPr>
          <w:rFonts w:ascii="Arial" w:hAnsi="Arial" w:cs="Arial"/>
          <w:sz w:val="22"/>
          <w:szCs w:val="22"/>
        </w:rPr>
        <w:t>These results indicate that bacterial growth is affected by lactoferrin; however, responses are species-dependent. This variation may be explained by differences in physiological traits such as cell structure or iron acquisition mechanisms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Vega-Bautista et al., 2019). </w:t>
      </w:r>
    </w:p>
    <w:p w14:paraId="4F9C1A32" w14:textId="17A21430" w:rsidR="00A27AFE" w:rsidRPr="008A0A90" w:rsidRDefault="00A27AFE" w:rsidP="00C36C6C">
      <w:pPr>
        <w:spacing w:before="100" w:beforeAutospacing="1" w:after="100" w:afterAutospacing="1"/>
        <w:rPr>
          <w:rFonts w:ascii="Arial" w:hAnsi="Arial" w:cs="Arial"/>
          <w:sz w:val="22"/>
          <w:szCs w:val="22"/>
        </w:rPr>
      </w:pPr>
      <w:r w:rsidRPr="008A0A90">
        <w:rPr>
          <w:rFonts w:ascii="Arial" w:hAnsi="Arial" w:cs="Arial"/>
          <w:sz w:val="22"/>
          <w:szCs w:val="22"/>
        </w:rPr>
        <w:t>A significant treatm</w:t>
      </w:r>
      <w:r w:rsidR="00351763" w:rsidRPr="008A0A90">
        <w:rPr>
          <w:rFonts w:ascii="Arial" w:hAnsi="Arial" w:cs="Arial"/>
          <w:sz w:val="22"/>
          <w:szCs w:val="22"/>
        </w:rPr>
        <w:t xml:space="preserve">ent × species interaction (P &lt; </w:t>
      </w:r>
      <w:r w:rsidRPr="008A0A90">
        <w:rPr>
          <w:rFonts w:ascii="Arial" w:hAnsi="Arial" w:cs="Arial"/>
          <w:sz w:val="22"/>
          <w:szCs w:val="22"/>
        </w:rPr>
        <w:t>.001</w:t>
      </w:r>
      <w:r w:rsidR="00351763" w:rsidRPr="008A0A90">
        <w:rPr>
          <w:rFonts w:ascii="Arial" w:hAnsi="Arial" w:cs="Arial"/>
          <w:sz w:val="22"/>
          <w:szCs w:val="22"/>
        </w:rPr>
        <w:t>, Fig</w:t>
      </w:r>
      <w:r w:rsidR="002D5069" w:rsidRPr="008A0A90">
        <w:rPr>
          <w:rFonts w:ascii="Arial" w:hAnsi="Arial" w:cs="Arial"/>
          <w:sz w:val="22"/>
          <w:szCs w:val="22"/>
        </w:rPr>
        <w:t>.</w:t>
      </w:r>
      <w:r w:rsidR="00351763" w:rsidRPr="008A0A90">
        <w:rPr>
          <w:rFonts w:ascii="Arial" w:hAnsi="Arial" w:cs="Arial"/>
          <w:sz w:val="22"/>
          <w:szCs w:val="22"/>
        </w:rPr>
        <w:t xml:space="preserve"> 1c</w:t>
      </w:r>
      <w:r w:rsidRPr="008A0A90">
        <w:rPr>
          <w:rFonts w:ascii="Arial" w:hAnsi="Arial" w:cs="Arial"/>
          <w:sz w:val="22"/>
          <w:szCs w:val="22"/>
        </w:rPr>
        <w:t>) indicated that the effects of lactoferrin on colony growth differed among bacterial species. Colony diameter generally declined with increasing lactoferrin exposure, although the magnitude of this response varied by species. These results suggest that bacterial responses to lactoferrin are species-dependent and may reflect differences in physiological or iron-acquisition traits.</w:t>
      </w:r>
    </w:p>
    <w:p w14:paraId="60F84A7F" w14:textId="4E7DF0B4"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t>S. aureus</w:t>
      </w:r>
      <w:r w:rsidR="009322F3" w:rsidRPr="008A0A90">
        <w:rPr>
          <w:rFonts w:ascii="Arial" w:hAnsi="Arial" w:cs="Arial"/>
          <w:sz w:val="22"/>
          <w:szCs w:val="22"/>
        </w:rPr>
        <w:t xml:space="preserve"> showed an </w:t>
      </w:r>
      <w:r w:rsidRPr="008A0A90">
        <w:rPr>
          <w:rFonts w:ascii="Arial" w:hAnsi="Arial" w:cs="Arial"/>
          <w:sz w:val="22"/>
          <w:szCs w:val="22"/>
        </w:rPr>
        <w:t>inverse relationship with lactoferrin exposure</w:t>
      </w:r>
      <w:r w:rsidR="00D06168" w:rsidRPr="008A0A90">
        <w:rPr>
          <w:rFonts w:ascii="Arial" w:hAnsi="Arial" w:cs="Arial"/>
          <w:sz w:val="22"/>
          <w:szCs w:val="22"/>
        </w:rPr>
        <w:t xml:space="preserve"> (Figure 1c)</w:t>
      </w:r>
      <w:r w:rsidR="00615C38" w:rsidRPr="008A0A90">
        <w:rPr>
          <w:rFonts w:ascii="Arial" w:hAnsi="Arial" w:cs="Arial"/>
          <w:sz w:val="22"/>
          <w:szCs w:val="22"/>
        </w:rPr>
        <w:t>. This pattern of growth is</w:t>
      </w:r>
      <w:r w:rsidRPr="008A0A90">
        <w:rPr>
          <w:rFonts w:ascii="Arial" w:hAnsi="Arial" w:cs="Arial"/>
          <w:sz w:val="22"/>
          <w:szCs w:val="22"/>
        </w:rPr>
        <w:t xml:space="preserve"> consistent with reduced bacterial growth under increased iron sequestration (Drago-Serrano et al., 2017; </w:t>
      </w:r>
      <w:proofErr w:type="spellStart"/>
      <w:r w:rsidRPr="008A0A90">
        <w:rPr>
          <w:rFonts w:ascii="Arial" w:hAnsi="Arial" w:cs="Arial"/>
          <w:sz w:val="22"/>
          <w:szCs w:val="22"/>
        </w:rPr>
        <w:t>Orsi</w:t>
      </w:r>
      <w:proofErr w:type="spellEnd"/>
      <w:r w:rsidRPr="008A0A90">
        <w:rPr>
          <w:rFonts w:ascii="Arial" w:hAnsi="Arial" w:cs="Arial"/>
          <w:sz w:val="22"/>
          <w:szCs w:val="22"/>
        </w:rPr>
        <w:t>, 2004). Lactoferrin limits the availability of free iron required for bacterial metabolism,</w:t>
      </w:r>
      <w:r w:rsidR="00D06168" w:rsidRPr="008A0A90">
        <w:rPr>
          <w:rFonts w:ascii="Arial" w:hAnsi="Arial" w:cs="Arial"/>
          <w:sz w:val="22"/>
          <w:szCs w:val="22"/>
        </w:rPr>
        <w:t xml:space="preserve"> </w:t>
      </w:r>
      <w:r w:rsidR="00615C38" w:rsidRPr="008A0A90">
        <w:rPr>
          <w:rFonts w:ascii="Arial" w:hAnsi="Arial" w:cs="Arial"/>
          <w:sz w:val="22"/>
          <w:szCs w:val="22"/>
        </w:rPr>
        <w:t xml:space="preserve">and </w:t>
      </w:r>
      <w:r w:rsidR="00D06168" w:rsidRPr="008A0A90">
        <w:rPr>
          <w:rFonts w:ascii="Arial" w:hAnsi="Arial" w:cs="Arial"/>
          <w:sz w:val="22"/>
          <w:szCs w:val="22"/>
        </w:rPr>
        <w:t>can thereby constrain</w:t>
      </w:r>
      <w:r w:rsidRPr="008A0A90">
        <w:rPr>
          <w:rFonts w:ascii="Arial" w:hAnsi="Arial" w:cs="Arial"/>
          <w:sz w:val="22"/>
          <w:szCs w:val="22"/>
        </w:rPr>
        <w:t xml:space="preserve"> growth </w:t>
      </w:r>
      <w:r w:rsidR="00D06168" w:rsidRPr="008A0A90">
        <w:rPr>
          <w:rFonts w:ascii="Arial" w:hAnsi="Arial" w:cs="Arial"/>
          <w:sz w:val="22"/>
          <w:szCs w:val="22"/>
        </w:rPr>
        <w:t xml:space="preserve">in bacteria such as </w:t>
      </w:r>
      <w:r w:rsidR="00D06168" w:rsidRPr="008A0A90">
        <w:rPr>
          <w:rFonts w:ascii="Arial" w:hAnsi="Arial" w:cs="Arial"/>
          <w:i/>
          <w:iCs/>
          <w:sz w:val="22"/>
          <w:szCs w:val="22"/>
        </w:rPr>
        <w:t>S. aureus</w:t>
      </w:r>
      <w:r w:rsidR="00D06168" w:rsidRPr="008A0A90">
        <w:rPr>
          <w:rFonts w:ascii="Arial" w:hAnsi="Arial" w:cs="Arial"/>
          <w:sz w:val="22"/>
          <w:szCs w:val="22"/>
        </w:rPr>
        <w:t xml:space="preserve"> </w:t>
      </w:r>
      <w:r w:rsidRPr="008A0A90">
        <w:rPr>
          <w:rFonts w:ascii="Arial" w:hAnsi="Arial" w:cs="Arial"/>
          <w:sz w:val="22"/>
          <w:szCs w:val="22"/>
        </w:rPr>
        <w:t>(</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w:t>
      </w:r>
      <w:r w:rsidR="00615C38" w:rsidRPr="008A0A90">
        <w:rPr>
          <w:rFonts w:ascii="Arial" w:hAnsi="Arial" w:cs="Arial"/>
          <w:sz w:val="22"/>
          <w:szCs w:val="22"/>
        </w:rPr>
        <w:t>Lactoferrin has also</w:t>
      </w:r>
      <w:r w:rsidRPr="008A0A90">
        <w:rPr>
          <w:rFonts w:ascii="Arial" w:hAnsi="Arial" w:cs="Arial"/>
          <w:sz w:val="22"/>
          <w:szCs w:val="22"/>
        </w:rPr>
        <w:t xml:space="preserve"> been shown to interfere with staphylococcal biofilm-associated processes and surface interactions that contribute to persistence (Quintieri et al., 2020; Vega-Bautista et al., 2019). These mechanisms are consistent with reduced </w:t>
      </w:r>
      <w:r w:rsidRPr="008A0A90">
        <w:rPr>
          <w:rFonts w:ascii="Arial" w:hAnsi="Arial" w:cs="Arial"/>
          <w:i/>
          <w:iCs/>
          <w:sz w:val="22"/>
          <w:szCs w:val="22"/>
        </w:rPr>
        <w:t>S. aureus</w:t>
      </w:r>
      <w:r w:rsidRPr="008A0A90">
        <w:rPr>
          <w:rFonts w:ascii="Arial" w:hAnsi="Arial" w:cs="Arial"/>
          <w:sz w:val="22"/>
          <w:szCs w:val="22"/>
        </w:rPr>
        <w:t xml:space="preserve"> growth under lactoferrin-mediated iron limitation.</w:t>
      </w:r>
    </w:p>
    <w:p w14:paraId="304ED463" w14:textId="4CB4E004"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sz w:val="22"/>
          <w:szCs w:val="22"/>
        </w:rPr>
        <w:t xml:space="preserve">Growth of </w:t>
      </w:r>
      <w:r w:rsidRPr="008A0A90">
        <w:rPr>
          <w:rFonts w:ascii="Arial" w:hAnsi="Arial" w:cs="Arial"/>
          <w:i/>
          <w:iCs/>
          <w:sz w:val="22"/>
          <w:szCs w:val="22"/>
        </w:rPr>
        <w:t>E. coli</w:t>
      </w:r>
      <w:r w:rsidRPr="008A0A90">
        <w:rPr>
          <w:rFonts w:ascii="Arial" w:hAnsi="Arial" w:cs="Arial"/>
          <w:sz w:val="22"/>
          <w:szCs w:val="22"/>
        </w:rPr>
        <w:t xml:space="preserve"> decreased with lactoferrin exposure</w:t>
      </w:r>
      <w:r w:rsidR="00E76FFB" w:rsidRPr="008A0A90">
        <w:rPr>
          <w:rFonts w:ascii="Arial" w:hAnsi="Arial" w:cs="Arial"/>
          <w:sz w:val="22"/>
          <w:szCs w:val="22"/>
        </w:rPr>
        <w:t xml:space="preserve"> (Figure 1c)</w:t>
      </w:r>
      <w:r w:rsidRPr="008A0A90">
        <w:rPr>
          <w:rFonts w:ascii="Arial" w:hAnsi="Arial" w:cs="Arial"/>
          <w:sz w:val="22"/>
          <w:szCs w:val="22"/>
        </w:rPr>
        <w:t>, consistent with iron limitation effects on bacterial proliferation (</w:t>
      </w:r>
      <w:proofErr w:type="spellStart"/>
      <w:r w:rsidRPr="008A0A90">
        <w:rPr>
          <w:rFonts w:ascii="Arial" w:hAnsi="Arial" w:cs="Arial"/>
          <w:sz w:val="22"/>
          <w:szCs w:val="22"/>
        </w:rPr>
        <w:t>Sekse</w:t>
      </w:r>
      <w:proofErr w:type="spellEnd"/>
      <w:r w:rsidRPr="008A0A90">
        <w:rPr>
          <w:rFonts w:ascii="Arial" w:hAnsi="Arial" w:cs="Arial"/>
          <w:sz w:val="22"/>
          <w:szCs w:val="22"/>
        </w:rPr>
        <w:t xml:space="preserve"> et al., 2012; Vega-Bautista et al., 2019). Lactoferrin binds free iron with high affinity, reducing its availability for essential metabolic processes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w:t>
      </w:r>
      <w:proofErr w:type="spellStart"/>
      <w:r w:rsidRPr="008A0A90">
        <w:rPr>
          <w:rFonts w:ascii="Arial" w:hAnsi="Arial" w:cs="Arial"/>
          <w:sz w:val="22"/>
          <w:szCs w:val="22"/>
        </w:rPr>
        <w:t>Orsi</w:t>
      </w:r>
      <w:proofErr w:type="spellEnd"/>
      <w:r w:rsidRPr="008A0A90">
        <w:rPr>
          <w:rFonts w:ascii="Arial" w:hAnsi="Arial" w:cs="Arial"/>
          <w:sz w:val="22"/>
          <w:szCs w:val="22"/>
        </w:rPr>
        <w:t xml:space="preserve">, 2004). Prior studies report dose-dependent inhibition of </w:t>
      </w:r>
      <w:r w:rsidRPr="008A0A90">
        <w:rPr>
          <w:rFonts w:ascii="Arial" w:hAnsi="Arial" w:cs="Arial"/>
          <w:i/>
          <w:iCs/>
          <w:sz w:val="22"/>
          <w:szCs w:val="22"/>
        </w:rPr>
        <w:t>E. coli</w:t>
      </w:r>
      <w:r w:rsidRPr="008A0A90">
        <w:rPr>
          <w:rFonts w:ascii="Arial" w:hAnsi="Arial" w:cs="Arial"/>
          <w:sz w:val="22"/>
          <w:szCs w:val="22"/>
        </w:rPr>
        <w:t>, ranging from growth suppression to bactericidal effects depending on exposure level (</w:t>
      </w:r>
      <w:proofErr w:type="spellStart"/>
      <w:r w:rsidRPr="008A0A90">
        <w:rPr>
          <w:rFonts w:ascii="Arial" w:hAnsi="Arial" w:cs="Arial"/>
          <w:sz w:val="22"/>
          <w:szCs w:val="22"/>
        </w:rPr>
        <w:t>Sekse</w:t>
      </w:r>
      <w:proofErr w:type="spellEnd"/>
      <w:r w:rsidRPr="008A0A90">
        <w:rPr>
          <w:rFonts w:ascii="Arial" w:hAnsi="Arial" w:cs="Arial"/>
          <w:sz w:val="22"/>
          <w:szCs w:val="22"/>
        </w:rPr>
        <w:t xml:space="preserve"> et al., 2012). These results align with established findings that iron availability is a primary determinant of bacterial growth in culture systems (</w:t>
      </w:r>
      <w:proofErr w:type="spellStart"/>
      <w:r w:rsidRPr="008A0A90">
        <w:rPr>
          <w:rFonts w:ascii="Arial" w:hAnsi="Arial" w:cs="Arial"/>
          <w:sz w:val="22"/>
          <w:szCs w:val="22"/>
        </w:rPr>
        <w:t>Atolia</w:t>
      </w:r>
      <w:proofErr w:type="spellEnd"/>
      <w:r w:rsidRPr="008A0A90">
        <w:rPr>
          <w:rFonts w:ascii="Arial" w:hAnsi="Arial" w:cs="Arial"/>
          <w:sz w:val="22"/>
          <w:szCs w:val="22"/>
        </w:rPr>
        <w:t xml:space="preserve"> et al., 2020; Hamad, 2012).</w:t>
      </w:r>
    </w:p>
    <w:p w14:paraId="4B30C1A2" w14:textId="77777777" w:rsidR="002D1BA1"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t>S. epidermidis</w:t>
      </w:r>
      <w:r w:rsidRPr="008A0A90">
        <w:rPr>
          <w:rFonts w:ascii="Arial" w:hAnsi="Arial" w:cs="Arial"/>
          <w:sz w:val="22"/>
          <w:szCs w:val="22"/>
        </w:rPr>
        <w:t xml:space="preserve"> exhibited generally low growth under lactoferrin exposure</w:t>
      </w:r>
      <w:r w:rsidR="00E76FFB" w:rsidRPr="008A0A90">
        <w:rPr>
          <w:rFonts w:ascii="Arial" w:hAnsi="Arial" w:cs="Arial"/>
          <w:sz w:val="22"/>
          <w:szCs w:val="22"/>
        </w:rPr>
        <w:t xml:space="preserve"> (Fig</w:t>
      </w:r>
    </w:p>
    <w:p w14:paraId="5B36A32B" w14:textId="1A29A878" w:rsidR="00C36C6C" w:rsidRPr="008A0A90" w:rsidRDefault="00E76FFB" w:rsidP="00C36C6C">
      <w:pPr>
        <w:spacing w:before="100" w:beforeAutospacing="1" w:after="100" w:afterAutospacing="1"/>
        <w:rPr>
          <w:rFonts w:ascii="Arial" w:hAnsi="Arial" w:cs="Arial"/>
          <w:sz w:val="22"/>
          <w:szCs w:val="22"/>
        </w:rPr>
      </w:pPr>
      <w:proofErr w:type="spellStart"/>
      <w:r w:rsidRPr="008A0A90">
        <w:rPr>
          <w:rFonts w:ascii="Arial" w:hAnsi="Arial" w:cs="Arial"/>
          <w:sz w:val="22"/>
          <w:szCs w:val="22"/>
        </w:rPr>
        <w:t>ure</w:t>
      </w:r>
      <w:proofErr w:type="spellEnd"/>
      <w:r w:rsidRPr="008A0A90">
        <w:rPr>
          <w:rFonts w:ascii="Arial" w:hAnsi="Arial" w:cs="Arial"/>
          <w:sz w:val="22"/>
          <w:szCs w:val="22"/>
        </w:rPr>
        <w:t xml:space="preserve"> 1c)</w:t>
      </w:r>
      <w:r w:rsidR="00C36C6C" w:rsidRPr="008A0A90">
        <w:rPr>
          <w:rFonts w:ascii="Arial" w:hAnsi="Arial" w:cs="Arial"/>
          <w:sz w:val="22"/>
          <w:szCs w:val="22"/>
        </w:rPr>
        <w:t>, consistent with sensitivity to iron-limited conditions (</w:t>
      </w:r>
      <w:proofErr w:type="spellStart"/>
      <w:r w:rsidR="00C36C6C" w:rsidRPr="008A0A90">
        <w:rPr>
          <w:rFonts w:ascii="Arial" w:hAnsi="Arial" w:cs="Arial"/>
          <w:sz w:val="22"/>
          <w:szCs w:val="22"/>
        </w:rPr>
        <w:t>Skovdal</w:t>
      </w:r>
      <w:proofErr w:type="spellEnd"/>
      <w:r w:rsidR="00C36C6C" w:rsidRPr="008A0A90">
        <w:rPr>
          <w:rFonts w:ascii="Arial" w:hAnsi="Arial" w:cs="Arial"/>
          <w:sz w:val="22"/>
          <w:szCs w:val="22"/>
        </w:rPr>
        <w:t xml:space="preserve"> et al., 2022). Lactoferrin-derived antimicrobial activity has been shown to inhibit staphylococcal growth and biofilm formation through iron sequestration and membrane-associated effects (Quintieri et al., 2020; Vega-Bautista et al., 2019). Reduced iron availability remains a key limiting factor for replication in such environments (</w:t>
      </w:r>
      <w:proofErr w:type="spellStart"/>
      <w:r w:rsidR="00C36C6C" w:rsidRPr="008A0A90">
        <w:rPr>
          <w:rFonts w:ascii="Arial" w:hAnsi="Arial" w:cs="Arial"/>
          <w:sz w:val="22"/>
          <w:szCs w:val="22"/>
        </w:rPr>
        <w:t>Krewulak</w:t>
      </w:r>
      <w:proofErr w:type="spellEnd"/>
      <w:r w:rsidR="00C36C6C" w:rsidRPr="008A0A90">
        <w:rPr>
          <w:rFonts w:ascii="Arial" w:hAnsi="Arial" w:cs="Arial"/>
          <w:sz w:val="22"/>
          <w:szCs w:val="22"/>
        </w:rPr>
        <w:t xml:space="preserve"> &amp; Vogel, 2007). Overall, the observed pattern is consistent with reported susceptibility of </w:t>
      </w:r>
      <w:r w:rsidR="00C36C6C" w:rsidRPr="008A0A90">
        <w:rPr>
          <w:rFonts w:ascii="Arial" w:hAnsi="Arial" w:cs="Arial"/>
          <w:i/>
          <w:iCs/>
          <w:sz w:val="22"/>
          <w:szCs w:val="22"/>
        </w:rPr>
        <w:t>S. epidermidis</w:t>
      </w:r>
      <w:r w:rsidR="00C36C6C" w:rsidRPr="008A0A90">
        <w:rPr>
          <w:rFonts w:ascii="Arial" w:hAnsi="Arial" w:cs="Arial"/>
          <w:sz w:val="22"/>
          <w:szCs w:val="22"/>
        </w:rPr>
        <w:t xml:space="preserve"> to lactoferrin-mediated inhibition (Drago-Serrano et al., 2017).</w:t>
      </w:r>
    </w:p>
    <w:p w14:paraId="5A1E9438" w14:textId="198F2B65"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t>P. aeruginosa</w:t>
      </w:r>
      <w:r w:rsidRPr="008A0A90">
        <w:rPr>
          <w:rFonts w:ascii="Arial" w:hAnsi="Arial" w:cs="Arial"/>
          <w:sz w:val="22"/>
          <w:szCs w:val="22"/>
        </w:rPr>
        <w:t xml:space="preserve"> growth responses to lactoferrin reflected sensitivity to iron restriction</w:t>
      </w:r>
      <w:r w:rsidR="00E76FFB" w:rsidRPr="008A0A90">
        <w:rPr>
          <w:rFonts w:ascii="Arial" w:hAnsi="Arial" w:cs="Arial"/>
          <w:sz w:val="22"/>
          <w:szCs w:val="22"/>
        </w:rPr>
        <w:t xml:space="preserve"> (Figure 1c)</w:t>
      </w:r>
      <w:r w:rsidRPr="008A0A90">
        <w:rPr>
          <w:rFonts w:ascii="Arial" w:hAnsi="Arial" w:cs="Arial"/>
          <w:sz w:val="22"/>
          <w:szCs w:val="22"/>
        </w:rPr>
        <w:t>, consistent with reliance on iron acquisition systems for survival (</w:t>
      </w:r>
      <w:proofErr w:type="spellStart"/>
      <w:r w:rsidRPr="008A0A90">
        <w:rPr>
          <w:rFonts w:ascii="Arial" w:hAnsi="Arial" w:cs="Arial"/>
          <w:sz w:val="22"/>
          <w:szCs w:val="22"/>
        </w:rPr>
        <w:t>LaBauve</w:t>
      </w:r>
      <w:proofErr w:type="spellEnd"/>
      <w:r w:rsidRPr="008A0A90">
        <w:rPr>
          <w:rFonts w:ascii="Arial" w:hAnsi="Arial" w:cs="Arial"/>
          <w:sz w:val="22"/>
          <w:szCs w:val="22"/>
        </w:rPr>
        <w:t xml:space="preserve"> &amp; </w:t>
      </w:r>
      <w:proofErr w:type="spellStart"/>
      <w:r w:rsidRPr="008A0A90">
        <w:rPr>
          <w:rFonts w:ascii="Arial" w:hAnsi="Arial" w:cs="Arial"/>
          <w:sz w:val="22"/>
          <w:szCs w:val="22"/>
        </w:rPr>
        <w:t>Wargo</w:t>
      </w:r>
      <w:proofErr w:type="spellEnd"/>
      <w:r w:rsidRPr="008A0A90">
        <w:rPr>
          <w:rFonts w:ascii="Arial" w:hAnsi="Arial" w:cs="Arial"/>
          <w:sz w:val="22"/>
          <w:szCs w:val="22"/>
        </w:rPr>
        <w:t xml:space="preserve">, 2012;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Lactoferrin reduces available iron through high-affinity binding, limiting access to essential nutrients (</w:t>
      </w:r>
      <w:proofErr w:type="spellStart"/>
      <w:r w:rsidRPr="008A0A90">
        <w:rPr>
          <w:rFonts w:ascii="Arial" w:hAnsi="Arial" w:cs="Arial"/>
          <w:sz w:val="22"/>
          <w:szCs w:val="22"/>
        </w:rPr>
        <w:t>Orsi</w:t>
      </w:r>
      <w:proofErr w:type="spellEnd"/>
      <w:r w:rsidRPr="008A0A90">
        <w:rPr>
          <w:rFonts w:ascii="Arial" w:hAnsi="Arial" w:cs="Arial"/>
          <w:sz w:val="22"/>
          <w:szCs w:val="22"/>
        </w:rPr>
        <w:t xml:space="preserve">, 2004). Studies have shown that lactoferrin and lactoferrin-based compounds reduce </w:t>
      </w:r>
      <w:r w:rsidRPr="008A0A90">
        <w:rPr>
          <w:rFonts w:ascii="Arial" w:hAnsi="Arial" w:cs="Arial"/>
          <w:i/>
          <w:iCs/>
          <w:sz w:val="22"/>
          <w:szCs w:val="22"/>
        </w:rPr>
        <w:t>P. aeruginosa</w:t>
      </w:r>
      <w:r w:rsidRPr="008A0A90">
        <w:rPr>
          <w:rFonts w:ascii="Arial" w:hAnsi="Arial" w:cs="Arial"/>
          <w:sz w:val="22"/>
          <w:szCs w:val="22"/>
        </w:rPr>
        <w:t xml:space="preserve"> growth through iron limitation and associated </w:t>
      </w:r>
      <w:r w:rsidRPr="008A0A90">
        <w:rPr>
          <w:rFonts w:ascii="Arial" w:hAnsi="Arial" w:cs="Arial"/>
          <w:sz w:val="22"/>
          <w:szCs w:val="22"/>
        </w:rPr>
        <w:lastRenderedPageBreak/>
        <w:t>antimicrobial effects (</w:t>
      </w:r>
      <w:proofErr w:type="spellStart"/>
      <w:r w:rsidRPr="008A0A90">
        <w:rPr>
          <w:rFonts w:ascii="Arial" w:hAnsi="Arial" w:cs="Arial"/>
          <w:sz w:val="22"/>
          <w:szCs w:val="22"/>
        </w:rPr>
        <w:t>Zibaee</w:t>
      </w:r>
      <w:proofErr w:type="spellEnd"/>
      <w:r w:rsidRPr="008A0A90">
        <w:rPr>
          <w:rFonts w:ascii="Arial" w:hAnsi="Arial" w:cs="Arial"/>
          <w:sz w:val="22"/>
          <w:szCs w:val="22"/>
        </w:rPr>
        <w:t xml:space="preserve"> et al., 2024). In addition, colony development in solid media is influenced by nutrient diffusion and spatial structure, which can shape observed growth patterns (</w:t>
      </w:r>
      <w:proofErr w:type="spellStart"/>
      <w:r w:rsidRPr="008A0A90">
        <w:rPr>
          <w:rFonts w:ascii="Arial" w:hAnsi="Arial" w:cs="Arial"/>
          <w:sz w:val="22"/>
          <w:szCs w:val="22"/>
        </w:rPr>
        <w:t>Jeanson</w:t>
      </w:r>
      <w:proofErr w:type="spellEnd"/>
      <w:r w:rsidRPr="008A0A90">
        <w:rPr>
          <w:rFonts w:ascii="Arial" w:hAnsi="Arial" w:cs="Arial"/>
          <w:sz w:val="22"/>
          <w:szCs w:val="22"/>
        </w:rPr>
        <w:t xml:space="preserve"> et al., 2015; Warren et al., 2019).</w:t>
      </w:r>
    </w:p>
    <w:p w14:paraId="596A8A83" w14:textId="6B34A0D0" w:rsidR="00FA554C" w:rsidRPr="008A0A90" w:rsidRDefault="00FA554C" w:rsidP="006E6315">
      <w:pPr>
        <w:spacing w:before="100" w:beforeAutospacing="1" w:after="100" w:afterAutospacing="1"/>
        <w:rPr>
          <w:rFonts w:ascii="Arial" w:hAnsi="Arial" w:cs="Arial"/>
          <w:sz w:val="22"/>
          <w:szCs w:val="22"/>
        </w:rPr>
      </w:pPr>
      <w:r w:rsidRPr="008A0A90">
        <w:rPr>
          <w:rFonts w:ascii="Arial" w:hAnsi="Arial" w:cs="Arial"/>
          <w:sz w:val="22"/>
          <w:szCs w:val="22"/>
        </w:rPr>
        <w:t>However, colony diameter represents a composite measure of growth, reflecting both growth rate and total biomass accumulation (</w:t>
      </w:r>
      <w:proofErr w:type="spellStart"/>
      <w:r w:rsidRPr="008A0A90">
        <w:rPr>
          <w:rFonts w:ascii="Arial" w:hAnsi="Arial" w:cs="Arial"/>
          <w:sz w:val="22"/>
          <w:szCs w:val="22"/>
        </w:rPr>
        <w:t>Atolia</w:t>
      </w:r>
      <w:proofErr w:type="spellEnd"/>
      <w:r w:rsidRPr="008A0A90">
        <w:rPr>
          <w:rFonts w:ascii="Arial" w:hAnsi="Arial" w:cs="Arial"/>
          <w:sz w:val="22"/>
          <w:szCs w:val="22"/>
        </w:rPr>
        <w:t xml:space="preserve"> et al., 2020). Therefore, it cannot be used to distinguish whether observed differences are due to variation in cell division rate, biomass production, or both.</w:t>
      </w:r>
      <w:r w:rsidR="009E02E4" w:rsidRPr="008A0A90">
        <w:rPr>
          <w:rFonts w:ascii="Arial" w:hAnsi="Arial" w:cs="Arial"/>
          <w:sz w:val="22"/>
          <w:szCs w:val="22"/>
        </w:rPr>
        <w:t xml:space="preserve"> Additionally, the experiment did not directly measure iron availability or membrane disruption, so the specific mechanisms underlying lactoferrin-mediated inhibition could not be confirmed.</w:t>
      </w:r>
    </w:p>
    <w:p w14:paraId="2EDE4519" w14:textId="0D7069B1" w:rsidR="00695E15" w:rsidRPr="008A0A90" w:rsidRDefault="00695E15" w:rsidP="00695E15">
      <w:pPr>
        <w:spacing w:before="100" w:beforeAutospacing="1" w:after="100" w:afterAutospacing="1"/>
        <w:rPr>
          <w:rFonts w:ascii="Arial" w:hAnsi="Arial" w:cs="Arial"/>
          <w:sz w:val="22"/>
          <w:szCs w:val="22"/>
        </w:rPr>
      </w:pPr>
      <w:r w:rsidRPr="008A0A90">
        <w:rPr>
          <w:rFonts w:ascii="Arial" w:hAnsi="Arial" w:cs="Arial"/>
          <w:sz w:val="22"/>
          <w:szCs w:val="22"/>
        </w:rPr>
        <w:t>Lactoferrin is likely to act through multiple mechanisms. In addition to iron sequestration, direct interactions with bacterial membranes and increased membrane permeability may also occur, particularly in Gram-negative bacteria (Drago-Serrano et al., 2017). Because these mechanisms may operate simultaneously and vary among species, the observed effects are likely the result of multiple interacting processes rather than a single mechanism. Future studies incorporating direct biomass measurements and mechanistic assays are recommended to further elucidate the pathways through which lactoferrin influences bacterial growth.</w:t>
      </w:r>
      <w:r w:rsidR="006E6315" w:rsidRPr="008A0A90">
        <w:rPr>
          <w:rFonts w:ascii="Arial" w:hAnsi="Arial" w:cs="Arial"/>
          <w:sz w:val="22"/>
          <w:szCs w:val="22"/>
        </w:rPr>
        <w:t xml:space="preserve"> </w:t>
      </w:r>
    </w:p>
    <w:p w14:paraId="05081866" w14:textId="77777777" w:rsidR="00804C47" w:rsidRPr="008A0A90" w:rsidRDefault="00804C47">
      <w:pPr>
        <w:rPr>
          <w:rFonts w:ascii="Arial" w:hAnsi="Arial" w:cs="Arial"/>
          <w:sz w:val="22"/>
          <w:szCs w:val="22"/>
        </w:rPr>
      </w:pPr>
      <w:r w:rsidRPr="008A0A90">
        <w:rPr>
          <w:rFonts w:ascii="Arial" w:hAnsi="Arial" w:cs="Arial"/>
          <w:sz w:val="22"/>
          <w:szCs w:val="22"/>
        </w:rPr>
        <w:br w:type="page"/>
      </w:r>
    </w:p>
    <w:p w14:paraId="229CA878" w14:textId="77777777" w:rsidR="00804C47" w:rsidRPr="008A0A90" w:rsidRDefault="00804C47" w:rsidP="00804C47">
      <w:pPr>
        <w:pStyle w:val="Body"/>
        <w:spacing w:after="0"/>
        <w:rPr>
          <w:rFonts w:ascii="Arial" w:hAnsi="Arial" w:cs="Arial"/>
          <w:sz w:val="22"/>
          <w:szCs w:val="22"/>
        </w:rPr>
      </w:pPr>
    </w:p>
    <w:p w14:paraId="6EF7CBE6" w14:textId="77777777" w:rsidR="00376BBE" w:rsidRPr="008A0A90" w:rsidRDefault="00376BBE" w:rsidP="00441B6F">
      <w:pPr>
        <w:pStyle w:val="Body"/>
        <w:spacing w:after="0"/>
        <w:rPr>
          <w:rFonts w:ascii="Arial" w:hAnsi="Arial" w:cs="Arial"/>
          <w:sz w:val="22"/>
          <w:szCs w:val="22"/>
        </w:rPr>
      </w:pPr>
    </w:p>
    <w:p w14:paraId="33561B42" w14:textId="09B71712" w:rsidR="00927834" w:rsidRPr="008A0A90" w:rsidRDefault="007D4070" w:rsidP="00507C0C">
      <w:pPr>
        <w:autoSpaceDE w:val="0"/>
        <w:autoSpaceDN w:val="0"/>
        <w:adjustRightInd w:val="0"/>
        <w:rPr>
          <w:rFonts w:ascii="Arial" w:hAnsi="Arial" w:cs="Arial"/>
          <w:b/>
          <w:bCs/>
          <w:sz w:val="22"/>
          <w:szCs w:val="22"/>
        </w:rPr>
      </w:pPr>
      <w:r w:rsidRPr="008A0A90">
        <w:rPr>
          <w:rFonts w:ascii="Arial" w:hAnsi="Arial" w:cs="Arial"/>
          <w:noProof/>
          <w:sz w:val="22"/>
          <w:szCs w:val="22"/>
        </w:rPr>
        <w:drawing>
          <wp:anchor distT="0" distB="0" distL="114300" distR="114300" simplePos="0" relativeHeight="251658240" behindDoc="0" locked="0" layoutInCell="1" allowOverlap="1" wp14:anchorId="0EE9FF2E" wp14:editId="13FDC68F">
            <wp:simplePos x="2410691" y="1235034"/>
            <wp:positionH relativeFrom="column">
              <wp:posOffset>2410691</wp:posOffset>
            </wp:positionH>
            <wp:positionV relativeFrom="paragraph">
              <wp:align>top</wp:align>
            </wp:positionV>
            <wp:extent cx="2962275" cy="5920740"/>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962275" cy="5920740"/>
                    </a:xfrm>
                    <a:prstGeom prst="rect">
                      <a:avLst/>
                    </a:prstGeom>
                    <a:ln/>
                  </pic:spPr>
                </pic:pic>
              </a:graphicData>
            </a:graphic>
          </wp:anchor>
        </w:drawing>
      </w:r>
      <w:r w:rsidR="00507C0C">
        <w:rPr>
          <w:rFonts w:ascii="Arial" w:hAnsi="Arial" w:cs="Arial"/>
          <w:b/>
          <w:bCs/>
          <w:sz w:val="22"/>
          <w:szCs w:val="22"/>
        </w:rPr>
        <w:br w:type="textWrapping" w:clear="all"/>
      </w:r>
    </w:p>
    <w:p w14:paraId="0960919D" w14:textId="77777777" w:rsidR="00927834" w:rsidRPr="008A0A90" w:rsidRDefault="00927834" w:rsidP="00441B6F">
      <w:pPr>
        <w:autoSpaceDE w:val="0"/>
        <w:autoSpaceDN w:val="0"/>
        <w:adjustRightInd w:val="0"/>
        <w:jc w:val="both"/>
        <w:rPr>
          <w:rFonts w:ascii="Arial" w:hAnsi="Arial" w:cs="Arial"/>
          <w:b/>
          <w:bCs/>
          <w:sz w:val="22"/>
          <w:szCs w:val="22"/>
        </w:rPr>
      </w:pPr>
    </w:p>
    <w:p w14:paraId="58BEF752" w14:textId="77777777" w:rsidR="007D4070" w:rsidRPr="008A0A90" w:rsidRDefault="007D4070" w:rsidP="007D4070">
      <w:pPr>
        <w:ind w:left="360"/>
        <w:rPr>
          <w:rFonts w:ascii="Arial" w:hAnsi="Arial" w:cs="Arial"/>
          <w:b/>
          <w:bCs/>
          <w:sz w:val="22"/>
          <w:szCs w:val="22"/>
          <w:lang w:val="en"/>
        </w:rPr>
      </w:pPr>
      <w:r w:rsidRPr="008A0A90">
        <w:rPr>
          <w:rFonts w:ascii="Arial" w:hAnsi="Arial" w:cs="Arial"/>
          <w:b/>
          <w:bCs/>
          <w:sz w:val="22"/>
          <w:szCs w:val="22"/>
          <w:lang w:val="en"/>
        </w:rPr>
        <w:t>Figure 1. Effects of lactoferrin on bacterial colony growth.</w:t>
      </w:r>
      <w:r w:rsidR="00496C04" w:rsidRPr="008A0A90">
        <w:rPr>
          <w:rFonts w:ascii="Arial" w:hAnsi="Arial" w:cs="Arial"/>
          <w:b/>
          <w:bCs/>
          <w:sz w:val="22"/>
          <w:szCs w:val="22"/>
          <w:lang w:val="en"/>
        </w:rPr>
        <w:t xml:space="preserve"> </w:t>
      </w:r>
      <w:r w:rsidRPr="008A0A90">
        <w:rPr>
          <w:rFonts w:ascii="Arial" w:hAnsi="Arial" w:cs="Arial"/>
          <w:b/>
          <w:bCs/>
          <w:sz w:val="22"/>
          <w:szCs w:val="22"/>
          <w:lang w:val="en"/>
        </w:rPr>
        <w:t>a)</w:t>
      </w:r>
      <w:sdt>
        <w:sdtPr>
          <w:rPr>
            <w:rFonts w:ascii="Arial" w:hAnsi="Arial" w:cs="Arial"/>
            <w:b/>
            <w:bCs/>
            <w:sz w:val="22"/>
            <w:szCs w:val="22"/>
            <w:lang w:val="en"/>
          </w:rPr>
          <w:tag w:val="goog_rdk_30"/>
          <w:id w:val="-838929198"/>
        </w:sdtPr>
        <w:sdtEndPr/>
        <w:sdtContent/>
      </w:sdt>
      <w:sdt>
        <w:sdtPr>
          <w:rPr>
            <w:rFonts w:ascii="Arial" w:hAnsi="Arial" w:cs="Arial"/>
            <w:b/>
            <w:bCs/>
            <w:sz w:val="22"/>
            <w:szCs w:val="22"/>
            <w:lang w:val="en"/>
          </w:rPr>
          <w:tag w:val="goog_rdk_31"/>
          <w:id w:val="932914282"/>
        </w:sdtPr>
        <w:sdtEndPr/>
        <w:sdtContent/>
      </w:sdt>
      <w:r w:rsidRPr="008A0A90">
        <w:rPr>
          <w:rFonts w:ascii="Arial" w:hAnsi="Arial" w:cs="Arial"/>
          <w:b/>
          <w:bCs/>
          <w:sz w:val="22"/>
          <w:szCs w:val="22"/>
          <w:lang w:val="en"/>
        </w:rPr>
        <w:t xml:space="preserve"> Colony diameters of  across increasing concentrations of bovine lactoferrin b) Colony size variation among species (</w:t>
      </w:r>
      <w:r w:rsidRPr="008A0A90">
        <w:rPr>
          <w:rFonts w:ascii="Arial" w:hAnsi="Arial" w:cs="Arial"/>
          <w:b/>
          <w:bCs/>
          <w:i/>
          <w:sz w:val="22"/>
          <w:szCs w:val="22"/>
          <w:lang w:val="en"/>
        </w:rPr>
        <w:t>Escherichia coli</w:t>
      </w:r>
      <w:r w:rsidRPr="008A0A90">
        <w:rPr>
          <w:rFonts w:ascii="Arial" w:hAnsi="Arial" w:cs="Arial"/>
          <w:b/>
          <w:bCs/>
          <w:sz w:val="22"/>
          <w:szCs w:val="22"/>
          <w:lang w:val="en"/>
        </w:rPr>
        <w:t xml:space="preserve">, </w:t>
      </w:r>
      <w:r w:rsidRPr="008A0A90">
        <w:rPr>
          <w:rFonts w:ascii="Arial" w:hAnsi="Arial" w:cs="Arial"/>
          <w:b/>
          <w:bCs/>
          <w:i/>
          <w:sz w:val="22"/>
          <w:szCs w:val="22"/>
          <w:lang w:val="en"/>
        </w:rPr>
        <w:t>Pseudomonas aeruginosa</w:t>
      </w:r>
      <w:r w:rsidRPr="008A0A90">
        <w:rPr>
          <w:rFonts w:ascii="Arial" w:hAnsi="Arial" w:cs="Arial"/>
          <w:b/>
          <w:bCs/>
          <w:sz w:val="22"/>
          <w:szCs w:val="22"/>
          <w:lang w:val="en"/>
        </w:rPr>
        <w:t xml:space="preserve">, </w:t>
      </w:r>
      <w:r w:rsidRPr="008A0A90">
        <w:rPr>
          <w:rFonts w:ascii="Arial" w:hAnsi="Arial" w:cs="Arial"/>
          <w:b/>
          <w:bCs/>
          <w:i/>
          <w:sz w:val="22"/>
          <w:szCs w:val="22"/>
          <w:lang w:val="en"/>
        </w:rPr>
        <w:t>Staphylococcus aureus</w:t>
      </w:r>
      <w:r w:rsidRPr="008A0A90">
        <w:rPr>
          <w:rFonts w:ascii="Arial" w:hAnsi="Arial" w:cs="Arial"/>
          <w:b/>
          <w:bCs/>
          <w:sz w:val="22"/>
          <w:szCs w:val="22"/>
          <w:lang w:val="en"/>
        </w:rPr>
        <w:t xml:space="preserve">, and </w:t>
      </w:r>
      <w:r w:rsidRPr="008A0A90">
        <w:rPr>
          <w:rFonts w:ascii="Arial" w:hAnsi="Arial" w:cs="Arial"/>
          <w:b/>
          <w:bCs/>
          <w:i/>
          <w:sz w:val="22"/>
          <w:szCs w:val="22"/>
          <w:lang w:val="en"/>
        </w:rPr>
        <w:t>Staphylococcus epidermidis</w:t>
      </w:r>
      <w:r w:rsidRPr="008A0A90">
        <w:rPr>
          <w:rFonts w:ascii="Arial" w:hAnsi="Arial" w:cs="Arial"/>
          <w:b/>
          <w:bCs/>
          <w:sz w:val="22"/>
          <w:szCs w:val="22"/>
          <w:lang w:val="en"/>
        </w:rPr>
        <w:t xml:space="preserve">). c) Box plots showing colony diameter variation within each of the four bacteria species interaction with treatments. </w:t>
      </w:r>
    </w:p>
    <w:p w14:paraId="3122E2FA" w14:textId="77777777" w:rsidR="006D33C2" w:rsidRPr="008A0A90" w:rsidRDefault="006D33C2" w:rsidP="006D33C2">
      <w:pPr>
        <w:pStyle w:val="Body"/>
        <w:ind w:left="720"/>
        <w:rPr>
          <w:rFonts w:ascii="Arial" w:hAnsi="Arial" w:cs="Arial"/>
          <w:bCs/>
          <w:i/>
          <w:sz w:val="22"/>
          <w:szCs w:val="22"/>
          <w:lang w:val="en"/>
        </w:rPr>
      </w:pPr>
      <w:r w:rsidRPr="008A0A90">
        <w:rPr>
          <w:rFonts w:ascii="Arial" w:hAnsi="Arial" w:cs="Arial"/>
          <w:bCs/>
          <w:i/>
          <w:sz w:val="22"/>
          <w:szCs w:val="22"/>
          <w:lang w:val="en"/>
        </w:rPr>
        <w:t>Gray diamonds in a) and c) indicate colony diameter means. Letters denote statistically distinct groups via pairwise Tukey HSD. (P</w:t>
      </w:r>
      <w:sdt>
        <w:sdtPr>
          <w:rPr>
            <w:rFonts w:ascii="Arial" w:hAnsi="Arial" w:cs="Arial"/>
            <w:bCs/>
            <w:i/>
            <w:sz w:val="22"/>
            <w:szCs w:val="22"/>
            <w:lang w:val="en"/>
          </w:rPr>
          <w:tag w:val="goog_rdk_32"/>
          <w:id w:val="1764468002"/>
        </w:sdtPr>
        <w:sdtEndPr/>
        <w:sdtContent>
          <w:r w:rsidRPr="008A0A90">
            <w:rPr>
              <w:rFonts w:ascii="Arial" w:hAnsi="Arial" w:cs="Arial"/>
              <w:bCs/>
              <w:i/>
              <w:sz w:val="22"/>
              <w:szCs w:val="22"/>
              <w:lang w:val="en"/>
            </w:rPr>
            <w:t xml:space="preserve"> ≤ 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3"/>
          <w:id w:val="-588417967"/>
        </w:sdtPr>
        <w:sdtEndPr/>
        <w:sdtContent>
          <w:r w:rsidRPr="008A0A90">
            <w:rPr>
              <w:rFonts w:ascii="Arial" w:hAnsi="Arial" w:cs="Arial"/>
              <w:bCs/>
              <w:i/>
              <w:sz w:val="22"/>
              <w:szCs w:val="22"/>
              <w:lang w:val="en"/>
            </w:rPr>
            <w:t xml:space="preserve"> ≤ 0.05</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xml:space="preserve">, P </w:t>
      </w:r>
      <w:sdt>
        <w:sdtPr>
          <w:rPr>
            <w:rFonts w:ascii="Arial" w:hAnsi="Arial" w:cs="Arial"/>
            <w:bCs/>
            <w:i/>
            <w:sz w:val="22"/>
            <w:szCs w:val="22"/>
            <w:lang w:val="en"/>
          </w:rPr>
          <w:tag w:val="goog_rdk_34"/>
          <w:id w:val="2086916035"/>
        </w:sdtPr>
        <w:sdtEndPr/>
        <w:sdtContent>
          <w:r w:rsidRPr="008A0A90">
            <w:rPr>
              <w:rFonts w:ascii="Arial" w:hAnsi="Arial" w:cs="Arial"/>
              <w:bCs/>
              <w:i/>
              <w:sz w:val="22"/>
              <w:szCs w:val="22"/>
              <w:lang w:val="en"/>
            </w:rPr>
            <w:t>≤ 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5"/>
          <w:id w:val="-1758849097"/>
        </w:sdtPr>
        <w:sdtEndPr/>
        <w:sdtContent>
          <w:r w:rsidRPr="008A0A90">
            <w:rPr>
              <w:rFonts w:ascii="Arial" w:hAnsi="Arial" w:cs="Arial"/>
              <w:bCs/>
              <w:i/>
              <w:sz w:val="22"/>
              <w:szCs w:val="22"/>
              <w:lang w:val="en"/>
            </w:rPr>
            <w:t xml:space="preserve"> ≤ 0.001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6"/>
          <w:id w:val="687270579"/>
        </w:sdtPr>
        <w:sdtEndPr/>
        <w:sdtContent>
          <w:r w:rsidRPr="008A0A90">
            <w:rPr>
              <w:rFonts w:ascii="Arial" w:hAnsi="Arial" w:cs="Arial"/>
              <w:bCs/>
              <w:i/>
              <w:sz w:val="22"/>
              <w:szCs w:val="22"/>
              <w:lang w:val="en"/>
            </w:rPr>
            <w:t xml:space="preserve"> ≤ 0.0001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w:t>
      </w:r>
    </w:p>
    <w:p w14:paraId="226A50A9" w14:textId="77777777" w:rsidR="00790ADA" w:rsidRPr="008A0A90" w:rsidRDefault="00790ADA" w:rsidP="00441B6F">
      <w:pPr>
        <w:pStyle w:val="Body"/>
        <w:spacing w:after="0"/>
        <w:rPr>
          <w:rFonts w:ascii="Arial" w:hAnsi="Arial" w:cs="Arial"/>
          <w:sz w:val="22"/>
          <w:szCs w:val="22"/>
        </w:rPr>
      </w:pPr>
    </w:p>
    <w:p w14:paraId="63A533F1" w14:textId="77777777" w:rsidR="00B01FCD" w:rsidRPr="008A0A90" w:rsidRDefault="00000F8F" w:rsidP="00441B6F">
      <w:pPr>
        <w:pStyle w:val="ConcHead"/>
        <w:spacing w:after="0"/>
        <w:jc w:val="both"/>
        <w:rPr>
          <w:rFonts w:ascii="Arial" w:hAnsi="Arial" w:cs="Arial"/>
          <w:szCs w:val="22"/>
        </w:rPr>
      </w:pPr>
      <w:r w:rsidRPr="008A0A90">
        <w:rPr>
          <w:rFonts w:ascii="Arial" w:hAnsi="Arial" w:cs="Arial"/>
          <w:szCs w:val="22"/>
        </w:rPr>
        <w:lastRenderedPageBreak/>
        <w:t xml:space="preserve">4. </w:t>
      </w:r>
      <w:r w:rsidR="00B01FCD" w:rsidRPr="008A0A90">
        <w:rPr>
          <w:rFonts w:ascii="Arial" w:hAnsi="Arial" w:cs="Arial"/>
          <w:szCs w:val="22"/>
        </w:rPr>
        <w:t>Conclusion</w:t>
      </w:r>
    </w:p>
    <w:p w14:paraId="53C68881" w14:textId="77777777" w:rsidR="00790ADA" w:rsidRPr="008A0A90" w:rsidRDefault="00790ADA" w:rsidP="00441B6F">
      <w:pPr>
        <w:pStyle w:val="ConcHead"/>
        <w:spacing w:after="0"/>
        <w:jc w:val="both"/>
        <w:rPr>
          <w:rFonts w:ascii="Arial" w:hAnsi="Arial" w:cs="Arial"/>
          <w:szCs w:val="22"/>
        </w:rPr>
      </w:pPr>
    </w:p>
    <w:p w14:paraId="026FA28C" w14:textId="3D85D523" w:rsidR="00790ADA" w:rsidRPr="008A0A90" w:rsidRDefault="00E76FFB" w:rsidP="00441B6F">
      <w:pPr>
        <w:pStyle w:val="Body"/>
        <w:spacing w:after="0"/>
        <w:rPr>
          <w:rFonts w:ascii="Arial" w:hAnsi="Arial" w:cs="Arial"/>
          <w:sz w:val="22"/>
          <w:szCs w:val="22"/>
        </w:rPr>
      </w:pPr>
      <w:r w:rsidRPr="008A0A90">
        <w:rPr>
          <w:rFonts w:ascii="Arial" w:hAnsi="Arial" w:cs="Arial"/>
          <w:sz w:val="22"/>
          <w:szCs w:val="22"/>
        </w:rPr>
        <w:t>This study shows experimental data that l</w:t>
      </w:r>
      <w:r w:rsidR="001B5F8D" w:rsidRPr="008A0A90">
        <w:rPr>
          <w:rFonts w:ascii="Arial" w:hAnsi="Arial" w:cs="Arial"/>
          <w:sz w:val="22"/>
          <w:szCs w:val="22"/>
        </w:rPr>
        <w:t xml:space="preserve">actoferrin </w:t>
      </w:r>
      <w:r w:rsidRPr="008A0A90">
        <w:rPr>
          <w:rFonts w:ascii="Arial" w:hAnsi="Arial" w:cs="Arial"/>
          <w:sz w:val="22"/>
          <w:szCs w:val="22"/>
        </w:rPr>
        <w:t>affected bacterial colony size. However, the effect of lactoferrin</w:t>
      </w:r>
      <w:r w:rsidR="001B5F8D" w:rsidRPr="008A0A90">
        <w:rPr>
          <w:rFonts w:ascii="Arial" w:hAnsi="Arial" w:cs="Arial"/>
          <w:sz w:val="22"/>
          <w:szCs w:val="22"/>
        </w:rPr>
        <w:t xml:space="preserve"> varied among</w:t>
      </w:r>
      <w:r w:rsidR="00853AB4" w:rsidRPr="008A0A90">
        <w:rPr>
          <w:rFonts w:ascii="Arial" w:hAnsi="Arial" w:cs="Arial"/>
          <w:sz w:val="22"/>
          <w:szCs w:val="22"/>
        </w:rPr>
        <w:t xml:space="preserve"> the four</w:t>
      </w:r>
      <w:r w:rsidR="001B5F8D" w:rsidRPr="008A0A90">
        <w:rPr>
          <w:rFonts w:ascii="Arial" w:hAnsi="Arial" w:cs="Arial"/>
          <w:sz w:val="22"/>
          <w:szCs w:val="22"/>
        </w:rPr>
        <w:t xml:space="preserve"> species</w:t>
      </w:r>
      <w:r w:rsidR="00853AB4" w:rsidRPr="008A0A90">
        <w:rPr>
          <w:rFonts w:ascii="Arial" w:hAnsi="Arial" w:cs="Arial"/>
          <w:sz w:val="22"/>
          <w:szCs w:val="22"/>
        </w:rPr>
        <w:t xml:space="preserve"> that was studied</w:t>
      </w:r>
      <w:r w:rsidR="001B5F8D" w:rsidRPr="008A0A90">
        <w:rPr>
          <w:rFonts w:ascii="Arial" w:hAnsi="Arial" w:cs="Arial"/>
          <w:sz w:val="22"/>
          <w:szCs w:val="22"/>
        </w:rPr>
        <w:t xml:space="preserve">. Overall, the results suggest that bacterial responses to lactoferrin depend on intrinsic species traits rather than a single uniform mechanism. </w:t>
      </w:r>
      <w:r w:rsidR="0068205E" w:rsidRPr="008A0A90">
        <w:rPr>
          <w:rFonts w:ascii="Arial" w:hAnsi="Arial" w:cs="Arial"/>
          <w:sz w:val="22"/>
          <w:szCs w:val="22"/>
        </w:rPr>
        <w:t xml:space="preserve">These findings support the idea that lactoferrin may function as a broad antimicrobial agent, although its effectiveness depends on bacterial species and physiological characteristics. </w:t>
      </w:r>
    </w:p>
    <w:p w14:paraId="0FBB74A2" w14:textId="77777777" w:rsidR="001B5F8D" w:rsidRPr="008A0A90" w:rsidRDefault="001B5F8D" w:rsidP="00441B6F">
      <w:pPr>
        <w:pStyle w:val="Body"/>
        <w:spacing w:after="0"/>
        <w:rPr>
          <w:rFonts w:ascii="Arial" w:hAnsi="Arial" w:cs="Arial"/>
          <w:sz w:val="22"/>
          <w:szCs w:val="22"/>
        </w:rPr>
      </w:pPr>
    </w:p>
    <w:p w14:paraId="78CBD70A" w14:textId="77777777" w:rsidR="00507C0C" w:rsidRDefault="00507C0C" w:rsidP="00507C0C">
      <w:pPr>
        <w:rPr>
          <w:rFonts w:asciiTheme="minorHAnsi" w:hAnsiTheme="minorHAnsi"/>
          <w:highlight w:val="yellow"/>
        </w:rPr>
      </w:pPr>
      <w:r>
        <w:rPr>
          <w:highlight w:val="yellow"/>
        </w:rPr>
        <w:t>Disclaimer (Artificial intelligence)</w:t>
      </w:r>
    </w:p>
    <w:p w14:paraId="3F059F8E" w14:textId="77777777" w:rsidR="00507C0C" w:rsidRDefault="00507C0C" w:rsidP="00507C0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5C6ED6A" w14:textId="77777777" w:rsidR="00507C0C" w:rsidRDefault="00507C0C" w:rsidP="00507C0C"/>
    <w:p w14:paraId="36542BDF" w14:textId="77777777" w:rsidR="002B685A" w:rsidRPr="008A0A90" w:rsidRDefault="002B685A" w:rsidP="00441B6F">
      <w:pPr>
        <w:pStyle w:val="ReferHead"/>
        <w:spacing w:after="0"/>
        <w:jc w:val="both"/>
        <w:rPr>
          <w:rFonts w:ascii="Arial" w:hAnsi="Arial" w:cs="Arial"/>
          <w:b w:val="0"/>
          <w:caps w:val="0"/>
          <w:szCs w:val="22"/>
        </w:rPr>
      </w:pPr>
    </w:p>
    <w:p w14:paraId="5623D05E" w14:textId="77777777" w:rsidR="00860000" w:rsidRPr="008A0A90" w:rsidRDefault="00860000" w:rsidP="00441B6F">
      <w:pPr>
        <w:pStyle w:val="ReferHead"/>
        <w:spacing w:after="0"/>
        <w:jc w:val="both"/>
        <w:rPr>
          <w:rFonts w:ascii="Arial" w:hAnsi="Arial" w:cs="Arial"/>
          <w:szCs w:val="22"/>
        </w:rPr>
      </w:pPr>
    </w:p>
    <w:p w14:paraId="36FD957E" w14:textId="77777777" w:rsidR="00B01FCD" w:rsidRPr="008A0A90" w:rsidRDefault="00B01FCD" w:rsidP="00441B6F">
      <w:pPr>
        <w:pStyle w:val="ReferHead"/>
        <w:spacing w:after="0"/>
        <w:jc w:val="both"/>
        <w:rPr>
          <w:rFonts w:ascii="Arial" w:hAnsi="Arial" w:cs="Arial"/>
          <w:szCs w:val="22"/>
        </w:rPr>
      </w:pPr>
      <w:r w:rsidRPr="008A0A90">
        <w:rPr>
          <w:rFonts w:ascii="Arial" w:hAnsi="Arial" w:cs="Arial"/>
          <w:szCs w:val="22"/>
        </w:rPr>
        <w:t>References</w:t>
      </w:r>
    </w:p>
    <w:p w14:paraId="395CD977" w14:textId="77777777" w:rsidR="00790ADA" w:rsidRPr="008A0A90" w:rsidRDefault="00790ADA" w:rsidP="00441B6F">
      <w:pPr>
        <w:pStyle w:val="ReferHead"/>
        <w:spacing w:after="0"/>
        <w:jc w:val="both"/>
        <w:rPr>
          <w:rFonts w:ascii="Arial" w:hAnsi="Arial" w:cs="Arial"/>
          <w:szCs w:val="22"/>
        </w:rPr>
      </w:pPr>
    </w:p>
    <w:p w14:paraId="56C3BAE5" w14:textId="77777777" w:rsidR="00A93924" w:rsidRPr="008A0A90" w:rsidRDefault="00A93924" w:rsidP="004D0D28">
      <w:pPr>
        <w:pStyle w:val="NormalWeb"/>
        <w:numPr>
          <w:ilvl w:val="0"/>
          <w:numId w:val="32"/>
        </w:numPr>
        <w:spacing w:before="240" w:after="240"/>
        <w:rPr>
          <w:rFonts w:ascii="Arial" w:hAnsi="Arial" w:cs="Arial"/>
          <w:color w:val="222222"/>
          <w:sz w:val="22"/>
          <w:szCs w:val="22"/>
          <w:shd w:val="clear" w:color="auto" w:fill="FFFFFF"/>
        </w:rPr>
      </w:pPr>
      <w:bookmarkStart w:id="0" w:name="_GoBack"/>
      <w:proofErr w:type="spellStart"/>
      <w:r w:rsidRPr="008A0A90">
        <w:rPr>
          <w:rFonts w:ascii="Arial" w:hAnsi="Arial" w:cs="Arial"/>
          <w:color w:val="222222"/>
          <w:sz w:val="22"/>
          <w:szCs w:val="22"/>
          <w:shd w:val="clear" w:color="auto" w:fill="FFFFFF"/>
        </w:rPr>
        <w:t>Alkan</w:t>
      </w:r>
      <w:proofErr w:type="spellEnd"/>
      <w:r w:rsidRPr="008A0A90">
        <w:rPr>
          <w:rFonts w:ascii="Arial" w:hAnsi="Arial" w:cs="Arial"/>
          <w:color w:val="222222"/>
          <w:sz w:val="22"/>
          <w:szCs w:val="22"/>
          <w:shd w:val="clear" w:color="auto" w:fill="FFFFFF"/>
        </w:rPr>
        <w:t xml:space="preserve">, Y., </w:t>
      </w:r>
      <w:proofErr w:type="spellStart"/>
      <w:r w:rsidRPr="008A0A90">
        <w:rPr>
          <w:rFonts w:ascii="Arial" w:hAnsi="Arial" w:cs="Arial"/>
          <w:color w:val="222222"/>
          <w:sz w:val="22"/>
          <w:szCs w:val="22"/>
          <w:shd w:val="clear" w:color="auto" w:fill="FFFFFF"/>
        </w:rPr>
        <w:t>Yalçıntaş</w:t>
      </w:r>
      <w:proofErr w:type="spellEnd"/>
      <w:r w:rsidRPr="008A0A90">
        <w:rPr>
          <w:rFonts w:ascii="Arial" w:hAnsi="Arial" w:cs="Arial"/>
          <w:color w:val="222222"/>
          <w:sz w:val="22"/>
          <w:szCs w:val="22"/>
          <w:shd w:val="clear" w:color="auto" w:fill="FFFFFF"/>
        </w:rPr>
        <w:t xml:space="preserve">, Y. M., &amp; </w:t>
      </w:r>
      <w:proofErr w:type="spellStart"/>
      <w:r w:rsidRPr="008A0A90">
        <w:rPr>
          <w:rFonts w:ascii="Arial" w:hAnsi="Arial" w:cs="Arial"/>
          <w:color w:val="222222"/>
          <w:sz w:val="22"/>
          <w:szCs w:val="22"/>
          <w:shd w:val="clear" w:color="auto" w:fill="FFFFFF"/>
        </w:rPr>
        <w:t>Karav</w:t>
      </w:r>
      <w:proofErr w:type="spellEnd"/>
      <w:r w:rsidRPr="008A0A90">
        <w:rPr>
          <w:rFonts w:ascii="Arial" w:hAnsi="Arial" w:cs="Arial"/>
          <w:color w:val="222222"/>
          <w:sz w:val="22"/>
          <w:szCs w:val="22"/>
          <w:shd w:val="clear" w:color="auto" w:fill="FFFFFF"/>
        </w:rPr>
        <w:t>, S. (2026). Bioactive Peptides from Bovine Colostrum: Sources, Structures, and Biomedical Applications. </w:t>
      </w:r>
      <w:r w:rsidRPr="008A0A90">
        <w:rPr>
          <w:rFonts w:ascii="Arial" w:hAnsi="Arial" w:cs="Arial"/>
          <w:i/>
          <w:iCs/>
          <w:color w:val="222222"/>
          <w:sz w:val="22"/>
          <w:szCs w:val="22"/>
          <w:shd w:val="clear" w:color="auto" w:fill="FFFFFF"/>
        </w:rPr>
        <w:t>Probiotics and Antimicrobial Proteins</w:t>
      </w:r>
      <w:r w:rsidRPr="008A0A90">
        <w:rPr>
          <w:rFonts w:ascii="Arial" w:hAnsi="Arial" w:cs="Arial"/>
          <w:color w:val="222222"/>
          <w:sz w:val="22"/>
          <w:szCs w:val="22"/>
          <w:shd w:val="clear" w:color="auto" w:fill="FFFFFF"/>
        </w:rPr>
        <w:t>, 1-22.</w:t>
      </w:r>
    </w:p>
    <w:p w14:paraId="2B6F8772" w14:textId="724EDEBC" w:rsidR="00403076" w:rsidRPr="008A0A90" w:rsidRDefault="00403076" w:rsidP="004D0D28">
      <w:pPr>
        <w:pStyle w:val="NormalWeb"/>
        <w:numPr>
          <w:ilvl w:val="0"/>
          <w:numId w:val="32"/>
        </w:numPr>
        <w:spacing w:before="240" w:after="240"/>
        <w:rPr>
          <w:rStyle w:val="Hyperlink"/>
          <w:rFonts w:ascii="Arial" w:hAnsi="Arial" w:cs="Arial"/>
          <w:sz w:val="22"/>
          <w:szCs w:val="22"/>
        </w:rPr>
      </w:pPr>
      <w:proofErr w:type="spellStart"/>
      <w:r w:rsidRPr="008A0A90">
        <w:rPr>
          <w:rFonts w:ascii="Arial" w:hAnsi="Arial" w:cs="Arial"/>
          <w:sz w:val="22"/>
          <w:szCs w:val="22"/>
        </w:rPr>
        <w:t>Atolia</w:t>
      </w:r>
      <w:proofErr w:type="spellEnd"/>
      <w:r w:rsidRPr="008A0A90">
        <w:rPr>
          <w:rFonts w:ascii="Arial" w:hAnsi="Arial" w:cs="Arial"/>
          <w:sz w:val="22"/>
          <w:szCs w:val="22"/>
        </w:rPr>
        <w:t xml:space="preserve">, E., Cesar, S., </w:t>
      </w:r>
      <w:proofErr w:type="spellStart"/>
      <w:r w:rsidRPr="008A0A90">
        <w:rPr>
          <w:rFonts w:ascii="Arial" w:hAnsi="Arial" w:cs="Arial"/>
          <w:sz w:val="22"/>
          <w:szCs w:val="22"/>
        </w:rPr>
        <w:t>Arjes</w:t>
      </w:r>
      <w:proofErr w:type="spellEnd"/>
      <w:r w:rsidRPr="008A0A90">
        <w:rPr>
          <w:rFonts w:ascii="Arial" w:hAnsi="Arial" w:cs="Arial"/>
          <w:sz w:val="22"/>
          <w:szCs w:val="22"/>
        </w:rPr>
        <w:t xml:space="preserve">, H. A., </w:t>
      </w:r>
      <w:proofErr w:type="spellStart"/>
      <w:r w:rsidRPr="008A0A90">
        <w:rPr>
          <w:rFonts w:ascii="Arial" w:hAnsi="Arial" w:cs="Arial"/>
          <w:sz w:val="22"/>
          <w:szCs w:val="22"/>
        </w:rPr>
        <w:t>Rajendram</w:t>
      </w:r>
      <w:proofErr w:type="spellEnd"/>
      <w:r w:rsidRPr="008A0A90">
        <w:rPr>
          <w:rFonts w:ascii="Arial" w:hAnsi="Arial" w:cs="Arial"/>
          <w:sz w:val="22"/>
          <w:szCs w:val="22"/>
        </w:rPr>
        <w:t xml:space="preserve">, M., Shi, H., Knapp, B. D., </w:t>
      </w:r>
      <w:proofErr w:type="spellStart"/>
      <w:r w:rsidRPr="008A0A90">
        <w:rPr>
          <w:rFonts w:ascii="Arial" w:hAnsi="Arial" w:cs="Arial"/>
          <w:sz w:val="22"/>
          <w:szCs w:val="22"/>
        </w:rPr>
        <w:t>Khare</w:t>
      </w:r>
      <w:proofErr w:type="spellEnd"/>
      <w:r w:rsidRPr="008A0A90">
        <w:rPr>
          <w:rFonts w:ascii="Arial" w:hAnsi="Arial" w:cs="Arial"/>
          <w:sz w:val="22"/>
          <w:szCs w:val="22"/>
        </w:rPr>
        <w:t xml:space="preserve">, S., Aranda-Díaz, A., Lenski, R. E., &amp; Huang, K. C. (2020). Environmental and physiological factors affecting high-throughput measurements of bacterial growth. </w:t>
      </w:r>
      <w:r w:rsidRPr="008A0A90">
        <w:rPr>
          <w:rStyle w:val="Emphasis"/>
          <w:rFonts w:ascii="Arial" w:hAnsi="Arial" w:cs="Arial"/>
          <w:sz w:val="22"/>
          <w:szCs w:val="22"/>
        </w:rPr>
        <w:t>mBio, 11</w:t>
      </w:r>
      <w:r w:rsidRPr="008A0A90">
        <w:rPr>
          <w:rFonts w:ascii="Arial" w:hAnsi="Arial" w:cs="Arial"/>
          <w:sz w:val="22"/>
          <w:szCs w:val="22"/>
        </w:rPr>
        <w:t xml:space="preserve">(5), e01388-20. </w:t>
      </w:r>
      <w:hyperlink r:id="rId15" w:tgtFrame="_new" w:history="1">
        <w:r w:rsidRPr="008A0A90">
          <w:rPr>
            <w:rStyle w:val="Hyperlink"/>
            <w:rFonts w:ascii="Arial" w:hAnsi="Arial" w:cs="Arial"/>
            <w:sz w:val="22"/>
            <w:szCs w:val="22"/>
          </w:rPr>
          <w:t>https://doi.org/10.1128/mbio.01378-20</w:t>
        </w:r>
      </w:hyperlink>
    </w:p>
    <w:p w14:paraId="3E76E241" w14:textId="54460081" w:rsidR="00A93924" w:rsidRPr="008A0A90" w:rsidRDefault="00A93924"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color w:val="222222"/>
          <w:sz w:val="22"/>
          <w:szCs w:val="22"/>
          <w:shd w:val="clear" w:color="auto" w:fill="FFFFFF"/>
        </w:rPr>
        <w:t>Canbolat</w:t>
      </w:r>
      <w:proofErr w:type="spellEnd"/>
      <w:r w:rsidRPr="008A0A90">
        <w:rPr>
          <w:rFonts w:ascii="Arial" w:hAnsi="Arial" w:cs="Arial"/>
          <w:color w:val="222222"/>
          <w:sz w:val="22"/>
          <w:szCs w:val="22"/>
          <w:shd w:val="clear" w:color="auto" w:fill="FFFFFF"/>
        </w:rPr>
        <w:t xml:space="preserve">, A. A., </w:t>
      </w:r>
      <w:proofErr w:type="spellStart"/>
      <w:r w:rsidRPr="008A0A90">
        <w:rPr>
          <w:rFonts w:ascii="Arial" w:hAnsi="Arial" w:cs="Arial"/>
          <w:color w:val="222222"/>
          <w:sz w:val="22"/>
          <w:szCs w:val="22"/>
          <w:shd w:val="clear" w:color="auto" w:fill="FFFFFF"/>
        </w:rPr>
        <w:t>İstekli</w:t>
      </w:r>
      <w:proofErr w:type="spellEnd"/>
      <w:r w:rsidRPr="008A0A90">
        <w:rPr>
          <w:rFonts w:ascii="Arial" w:hAnsi="Arial" w:cs="Arial"/>
          <w:color w:val="222222"/>
          <w:sz w:val="22"/>
          <w:szCs w:val="22"/>
          <w:shd w:val="clear" w:color="auto" w:fill="FFFFFF"/>
        </w:rPr>
        <w:t xml:space="preserve">, N. H., Yılmaz, K., </w:t>
      </w:r>
      <w:proofErr w:type="spellStart"/>
      <w:r w:rsidRPr="008A0A90">
        <w:rPr>
          <w:rFonts w:ascii="Arial" w:hAnsi="Arial" w:cs="Arial"/>
          <w:color w:val="222222"/>
          <w:sz w:val="22"/>
          <w:szCs w:val="22"/>
          <w:shd w:val="clear" w:color="auto" w:fill="FFFFFF"/>
        </w:rPr>
        <w:t>Bechelany</w:t>
      </w:r>
      <w:proofErr w:type="spellEnd"/>
      <w:r w:rsidRPr="008A0A90">
        <w:rPr>
          <w:rFonts w:ascii="Arial" w:hAnsi="Arial" w:cs="Arial"/>
          <w:color w:val="222222"/>
          <w:sz w:val="22"/>
          <w:szCs w:val="22"/>
          <w:shd w:val="clear" w:color="auto" w:fill="FFFFFF"/>
        </w:rPr>
        <w:t xml:space="preserve">, M., &amp; </w:t>
      </w:r>
      <w:proofErr w:type="spellStart"/>
      <w:r w:rsidRPr="008A0A90">
        <w:rPr>
          <w:rFonts w:ascii="Arial" w:hAnsi="Arial" w:cs="Arial"/>
          <w:color w:val="222222"/>
          <w:sz w:val="22"/>
          <w:szCs w:val="22"/>
          <w:shd w:val="clear" w:color="auto" w:fill="FFFFFF"/>
        </w:rPr>
        <w:t>Karav</w:t>
      </w:r>
      <w:proofErr w:type="spellEnd"/>
      <w:r w:rsidRPr="008A0A90">
        <w:rPr>
          <w:rFonts w:ascii="Arial" w:hAnsi="Arial" w:cs="Arial"/>
          <w:color w:val="222222"/>
          <w:sz w:val="22"/>
          <w:szCs w:val="22"/>
          <w:shd w:val="clear" w:color="auto" w:fill="FFFFFF"/>
        </w:rPr>
        <w:t>, S. (2026). Optimizing Lactoferrin Isolation for Functional and Structural Integrity: A Molecular Insight. </w:t>
      </w:r>
      <w:r w:rsidRPr="008A0A90">
        <w:rPr>
          <w:rFonts w:ascii="Arial" w:hAnsi="Arial" w:cs="Arial"/>
          <w:i/>
          <w:iCs/>
          <w:color w:val="222222"/>
          <w:sz w:val="22"/>
          <w:szCs w:val="22"/>
          <w:shd w:val="clear" w:color="auto" w:fill="FFFFFF"/>
        </w:rPr>
        <w:t>Molecules</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31</w:t>
      </w:r>
      <w:r w:rsidRPr="008A0A90">
        <w:rPr>
          <w:rFonts w:ascii="Arial" w:hAnsi="Arial" w:cs="Arial"/>
          <w:color w:val="222222"/>
          <w:sz w:val="22"/>
          <w:szCs w:val="22"/>
          <w:shd w:val="clear" w:color="auto" w:fill="FFFFFF"/>
        </w:rPr>
        <w:t>(3), 454.</w:t>
      </w:r>
    </w:p>
    <w:p w14:paraId="0CBE4E8D"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Drago-Serrano, M. E., Campos-Rodríguez, R., </w:t>
      </w:r>
      <w:proofErr w:type="spellStart"/>
      <w:r w:rsidRPr="008A0A90">
        <w:rPr>
          <w:rFonts w:ascii="Arial" w:hAnsi="Arial" w:cs="Arial"/>
          <w:sz w:val="22"/>
          <w:szCs w:val="22"/>
        </w:rPr>
        <w:t>Carrero</w:t>
      </w:r>
      <w:proofErr w:type="spellEnd"/>
      <w:r w:rsidRPr="008A0A90">
        <w:rPr>
          <w:rFonts w:ascii="Arial" w:hAnsi="Arial" w:cs="Arial"/>
          <w:sz w:val="22"/>
          <w:szCs w:val="22"/>
        </w:rPr>
        <w:t xml:space="preserve">, J. C., &amp; De la Garza, M. (2017). Lactoferrin: Balancing ups and downs of inflammation due to microbial infections. </w:t>
      </w:r>
      <w:r w:rsidRPr="008A0A90">
        <w:rPr>
          <w:rStyle w:val="Emphasis"/>
          <w:rFonts w:ascii="Arial" w:hAnsi="Arial" w:cs="Arial"/>
          <w:sz w:val="22"/>
          <w:szCs w:val="22"/>
        </w:rPr>
        <w:t>International Journal of Molecular Sciences, 18</w:t>
      </w:r>
      <w:r w:rsidRPr="008A0A90">
        <w:rPr>
          <w:rFonts w:ascii="Arial" w:hAnsi="Arial" w:cs="Arial"/>
          <w:sz w:val="22"/>
          <w:szCs w:val="22"/>
        </w:rPr>
        <w:t xml:space="preserve">(3), 501. </w:t>
      </w:r>
      <w:hyperlink r:id="rId16" w:tgtFrame="_new" w:history="1">
        <w:r w:rsidRPr="008A0A90">
          <w:rPr>
            <w:rStyle w:val="Hyperlink"/>
            <w:rFonts w:ascii="Arial" w:hAnsi="Arial" w:cs="Arial"/>
            <w:sz w:val="22"/>
            <w:szCs w:val="22"/>
          </w:rPr>
          <w:t>https://doi.org/10.3390/ijms18030501</w:t>
        </w:r>
      </w:hyperlink>
    </w:p>
    <w:p w14:paraId="7BD8412C"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Harshey</w:t>
      </w:r>
      <w:proofErr w:type="spellEnd"/>
      <w:r w:rsidRPr="008A0A90">
        <w:rPr>
          <w:rFonts w:ascii="Arial" w:hAnsi="Arial" w:cs="Arial"/>
          <w:sz w:val="22"/>
          <w:szCs w:val="22"/>
        </w:rPr>
        <w:t xml:space="preserve">, R. M. (2003). Bacterial motility on a surface: Many ways to a common goal. </w:t>
      </w:r>
      <w:r w:rsidRPr="008A0A90">
        <w:rPr>
          <w:rStyle w:val="Emphasis"/>
          <w:rFonts w:ascii="Arial" w:hAnsi="Arial" w:cs="Arial"/>
          <w:sz w:val="22"/>
          <w:szCs w:val="22"/>
        </w:rPr>
        <w:t>Annual Review of Microbiology, 57</w:t>
      </w:r>
      <w:r w:rsidRPr="008A0A90">
        <w:rPr>
          <w:rFonts w:ascii="Arial" w:hAnsi="Arial" w:cs="Arial"/>
          <w:sz w:val="22"/>
          <w:szCs w:val="22"/>
        </w:rPr>
        <w:t>, 249–273.</w:t>
      </w:r>
    </w:p>
    <w:p w14:paraId="32493FE7"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Hamad, S. H. (2012). Factors affecting the growth of microorganisms in food. </w:t>
      </w:r>
      <w:r w:rsidRPr="008A0A90">
        <w:rPr>
          <w:rStyle w:val="Emphasis"/>
          <w:rFonts w:ascii="Arial" w:hAnsi="Arial" w:cs="Arial"/>
          <w:sz w:val="22"/>
          <w:szCs w:val="22"/>
        </w:rPr>
        <w:t>Progress in Food Preservation</w:t>
      </w:r>
      <w:r w:rsidRPr="008A0A90">
        <w:rPr>
          <w:rFonts w:ascii="Arial" w:hAnsi="Arial" w:cs="Arial"/>
          <w:sz w:val="22"/>
          <w:szCs w:val="22"/>
        </w:rPr>
        <w:t>, 405–427.</w:t>
      </w:r>
    </w:p>
    <w:p w14:paraId="3F2551C4"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Jeanson</w:t>
      </w:r>
      <w:proofErr w:type="spellEnd"/>
      <w:r w:rsidRPr="008A0A90">
        <w:rPr>
          <w:rFonts w:ascii="Arial" w:hAnsi="Arial" w:cs="Arial"/>
          <w:sz w:val="22"/>
          <w:szCs w:val="22"/>
        </w:rPr>
        <w:t xml:space="preserve">, S., Floury, J., </w:t>
      </w:r>
      <w:proofErr w:type="spellStart"/>
      <w:r w:rsidRPr="008A0A90">
        <w:rPr>
          <w:rFonts w:ascii="Arial" w:hAnsi="Arial" w:cs="Arial"/>
          <w:sz w:val="22"/>
          <w:szCs w:val="22"/>
        </w:rPr>
        <w:t>Gagnaire</w:t>
      </w:r>
      <w:proofErr w:type="spellEnd"/>
      <w:r w:rsidRPr="008A0A90">
        <w:rPr>
          <w:rFonts w:ascii="Arial" w:hAnsi="Arial" w:cs="Arial"/>
          <w:sz w:val="22"/>
          <w:szCs w:val="22"/>
        </w:rPr>
        <w:t xml:space="preserve">, V., </w:t>
      </w:r>
      <w:proofErr w:type="spellStart"/>
      <w:r w:rsidRPr="008A0A90">
        <w:rPr>
          <w:rFonts w:ascii="Arial" w:hAnsi="Arial" w:cs="Arial"/>
          <w:sz w:val="22"/>
          <w:szCs w:val="22"/>
        </w:rPr>
        <w:t>Lortal</w:t>
      </w:r>
      <w:proofErr w:type="spellEnd"/>
      <w:r w:rsidRPr="008A0A90">
        <w:rPr>
          <w:rFonts w:ascii="Arial" w:hAnsi="Arial" w:cs="Arial"/>
          <w:sz w:val="22"/>
          <w:szCs w:val="22"/>
        </w:rPr>
        <w:t xml:space="preserve">, S., &amp; Thierry, A. (2015). Bacterial colonies in solid media and foods: A review on growth and micro-environment interactions. </w:t>
      </w:r>
      <w:r w:rsidRPr="008A0A90">
        <w:rPr>
          <w:rStyle w:val="Emphasis"/>
          <w:rFonts w:ascii="Arial" w:hAnsi="Arial" w:cs="Arial"/>
          <w:sz w:val="22"/>
          <w:szCs w:val="22"/>
        </w:rPr>
        <w:t>Frontiers in Microbiology, 6</w:t>
      </w:r>
      <w:r w:rsidRPr="008A0A90">
        <w:rPr>
          <w:rFonts w:ascii="Arial" w:hAnsi="Arial" w:cs="Arial"/>
          <w:sz w:val="22"/>
          <w:szCs w:val="22"/>
        </w:rPr>
        <w:t xml:space="preserve">, 1284. </w:t>
      </w:r>
      <w:hyperlink r:id="rId17" w:tgtFrame="_new" w:history="1">
        <w:r w:rsidRPr="008A0A90">
          <w:rPr>
            <w:rStyle w:val="Hyperlink"/>
            <w:rFonts w:ascii="Arial" w:hAnsi="Arial" w:cs="Arial"/>
            <w:sz w:val="22"/>
            <w:szCs w:val="22"/>
          </w:rPr>
          <w:t>https://doi.org/10.3389/fmicb.2015.01284</w:t>
        </w:r>
      </w:hyperlink>
    </w:p>
    <w:p w14:paraId="15BEA5AC"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Kannan, H., Sun, H., Warren, M., et al. (2025). Spatiotemporal development of expanding bacterial colonies driven by emergent mechanical constraints and nutrient gradients. </w:t>
      </w:r>
      <w:r w:rsidRPr="008A0A90">
        <w:rPr>
          <w:rStyle w:val="Emphasis"/>
          <w:rFonts w:ascii="Arial" w:hAnsi="Arial" w:cs="Arial"/>
          <w:sz w:val="22"/>
          <w:szCs w:val="22"/>
        </w:rPr>
        <w:t>Nature Communications, 16</w:t>
      </w:r>
      <w:r w:rsidRPr="008A0A90">
        <w:rPr>
          <w:rFonts w:ascii="Arial" w:hAnsi="Arial" w:cs="Arial"/>
          <w:sz w:val="22"/>
          <w:szCs w:val="22"/>
        </w:rPr>
        <w:t>, 4878.</w:t>
      </w:r>
    </w:p>
    <w:p w14:paraId="4DE66650"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lastRenderedPageBreak/>
        <w:t>Khudayarova</w:t>
      </w:r>
      <w:proofErr w:type="spellEnd"/>
      <w:r w:rsidRPr="008A0A90">
        <w:rPr>
          <w:rFonts w:ascii="Arial" w:hAnsi="Arial" w:cs="Arial"/>
          <w:sz w:val="22"/>
          <w:szCs w:val="22"/>
        </w:rPr>
        <w:t xml:space="preserve">, G. N., </w:t>
      </w:r>
      <w:proofErr w:type="spellStart"/>
      <w:r w:rsidRPr="008A0A90">
        <w:rPr>
          <w:rFonts w:ascii="Arial" w:hAnsi="Arial" w:cs="Arial"/>
          <w:sz w:val="22"/>
          <w:szCs w:val="22"/>
        </w:rPr>
        <w:t>Lapasov</w:t>
      </w:r>
      <w:proofErr w:type="spellEnd"/>
      <w:r w:rsidRPr="008A0A90">
        <w:rPr>
          <w:rFonts w:ascii="Arial" w:hAnsi="Arial" w:cs="Arial"/>
          <w:sz w:val="22"/>
          <w:szCs w:val="22"/>
        </w:rPr>
        <w:t xml:space="preserve">, M., </w:t>
      </w:r>
      <w:proofErr w:type="spellStart"/>
      <w:r w:rsidRPr="008A0A90">
        <w:rPr>
          <w:rFonts w:ascii="Arial" w:hAnsi="Arial" w:cs="Arial"/>
          <w:sz w:val="22"/>
          <w:szCs w:val="22"/>
        </w:rPr>
        <w:t>Usmanova</w:t>
      </w:r>
      <w:proofErr w:type="spellEnd"/>
      <w:r w:rsidRPr="008A0A90">
        <w:rPr>
          <w:rFonts w:ascii="Arial" w:hAnsi="Arial" w:cs="Arial"/>
          <w:sz w:val="22"/>
          <w:szCs w:val="22"/>
        </w:rPr>
        <w:t xml:space="preserve">, B., </w:t>
      </w:r>
      <w:proofErr w:type="spellStart"/>
      <w:r w:rsidRPr="008A0A90">
        <w:rPr>
          <w:rFonts w:ascii="Arial" w:hAnsi="Arial" w:cs="Arial"/>
          <w:sz w:val="22"/>
          <w:szCs w:val="22"/>
        </w:rPr>
        <w:t>Sariyeva</w:t>
      </w:r>
      <w:proofErr w:type="spellEnd"/>
      <w:r w:rsidRPr="008A0A90">
        <w:rPr>
          <w:rFonts w:ascii="Arial" w:hAnsi="Arial" w:cs="Arial"/>
          <w:sz w:val="22"/>
          <w:szCs w:val="22"/>
        </w:rPr>
        <w:t xml:space="preserve">, K., &amp; </w:t>
      </w:r>
      <w:proofErr w:type="spellStart"/>
      <w:r w:rsidRPr="008A0A90">
        <w:rPr>
          <w:rFonts w:ascii="Arial" w:hAnsi="Arial" w:cs="Arial"/>
          <w:sz w:val="22"/>
          <w:szCs w:val="22"/>
        </w:rPr>
        <w:t>Mehribon</w:t>
      </w:r>
      <w:proofErr w:type="spellEnd"/>
      <w:r w:rsidRPr="008A0A90">
        <w:rPr>
          <w:rFonts w:ascii="Arial" w:hAnsi="Arial" w:cs="Arial"/>
          <w:sz w:val="22"/>
          <w:szCs w:val="22"/>
        </w:rPr>
        <w:t xml:space="preserve">, T. (2026). Nutrient media and their significance in microbiological research. </w:t>
      </w:r>
      <w:r w:rsidRPr="008A0A90">
        <w:rPr>
          <w:rStyle w:val="Emphasis"/>
          <w:rFonts w:ascii="Arial" w:hAnsi="Arial" w:cs="Arial"/>
          <w:sz w:val="22"/>
          <w:szCs w:val="22"/>
        </w:rPr>
        <w:t>Latin American Journal of Education, 6</w:t>
      </w:r>
      <w:r w:rsidRPr="008A0A90">
        <w:rPr>
          <w:rFonts w:ascii="Arial" w:hAnsi="Arial" w:cs="Arial"/>
          <w:sz w:val="22"/>
          <w:szCs w:val="22"/>
        </w:rPr>
        <w:t>(1), 632–635.</w:t>
      </w:r>
    </w:p>
    <w:p w14:paraId="1AEFF90F"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Krewulak</w:t>
      </w:r>
      <w:proofErr w:type="spellEnd"/>
      <w:r w:rsidRPr="008A0A90">
        <w:rPr>
          <w:rFonts w:ascii="Arial" w:hAnsi="Arial" w:cs="Arial"/>
          <w:sz w:val="22"/>
          <w:szCs w:val="22"/>
        </w:rPr>
        <w:t xml:space="preserve">, K. D., &amp; Vogel, H. J. (2007). Structural biology of bacterial iron uptake. </w:t>
      </w:r>
      <w:proofErr w:type="spellStart"/>
      <w:r w:rsidRPr="008A0A90">
        <w:rPr>
          <w:rStyle w:val="Emphasis"/>
          <w:rFonts w:ascii="Arial" w:hAnsi="Arial" w:cs="Arial"/>
          <w:sz w:val="22"/>
          <w:szCs w:val="22"/>
        </w:rPr>
        <w:t>Biochimica</w:t>
      </w:r>
      <w:proofErr w:type="spellEnd"/>
      <w:r w:rsidRPr="008A0A90">
        <w:rPr>
          <w:rStyle w:val="Emphasis"/>
          <w:rFonts w:ascii="Arial" w:hAnsi="Arial" w:cs="Arial"/>
          <w:sz w:val="22"/>
          <w:szCs w:val="22"/>
        </w:rPr>
        <w:t xml:space="preserve"> et </w:t>
      </w:r>
      <w:proofErr w:type="spellStart"/>
      <w:r w:rsidRPr="008A0A90">
        <w:rPr>
          <w:rStyle w:val="Emphasis"/>
          <w:rFonts w:ascii="Arial" w:hAnsi="Arial" w:cs="Arial"/>
          <w:sz w:val="22"/>
          <w:szCs w:val="22"/>
        </w:rPr>
        <w:t>Biophysica</w:t>
      </w:r>
      <w:proofErr w:type="spellEnd"/>
      <w:r w:rsidRPr="008A0A90">
        <w:rPr>
          <w:rStyle w:val="Emphasis"/>
          <w:rFonts w:ascii="Arial" w:hAnsi="Arial" w:cs="Arial"/>
          <w:sz w:val="22"/>
          <w:szCs w:val="22"/>
        </w:rPr>
        <w:t xml:space="preserve"> Acta (BBA) - </w:t>
      </w:r>
      <w:proofErr w:type="spellStart"/>
      <w:r w:rsidRPr="008A0A90">
        <w:rPr>
          <w:rStyle w:val="Emphasis"/>
          <w:rFonts w:ascii="Arial" w:hAnsi="Arial" w:cs="Arial"/>
          <w:sz w:val="22"/>
          <w:szCs w:val="22"/>
        </w:rPr>
        <w:t>Biomembranes</w:t>
      </w:r>
      <w:proofErr w:type="spellEnd"/>
      <w:r w:rsidRPr="008A0A90">
        <w:rPr>
          <w:rStyle w:val="Emphasis"/>
          <w:rFonts w:ascii="Arial" w:hAnsi="Arial" w:cs="Arial"/>
          <w:sz w:val="22"/>
          <w:szCs w:val="22"/>
        </w:rPr>
        <w:t>, 1778</w:t>
      </w:r>
      <w:r w:rsidRPr="008A0A90">
        <w:rPr>
          <w:rFonts w:ascii="Arial" w:hAnsi="Arial" w:cs="Arial"/>
          <w:sz w:val="22"/>
          <w:szCs w:val="22"/>
        </w:rPr>
        <w:t xml:space="preserve">(9), 1781–1804. </w:t>
      </w:r>
      <w:hyperlink r:id="rId18" w:tgtFrame="_new" w:history="1">
        <w:r w:rsidRPr="008A0A90">
          <w:rPr>
            <w:rStyle w:val="Hyperlink"/>
            <w:rFonts w:ascii="Arial" w:hAnsi="Arial" w:cs="Arial"/>
            <w:sz w:val="22"/>
            <w:szCs w:val="22"/>
          </w:rPr>
          <w:t>https://doi.org/10.1016/j.bbamem.2007.04.005</w:t>
        </w:r>
      </w:hyperlink>
    </w:p>
    <w:p w14:paraId="033280CE"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LaBauve</w:t>
      </w:r>
      <w:proofErr w:type="spellEnd"/>
      <w:r w:rsidRPr="008A0A90">
        <w:rPr>
          <w:rFonts w:ascii="Arial" w:hAnsi="Arial" w:cs="Arial"/>
          <w:sz w:val="22"/>
          <w:szCs w:val="22"/>
        </w:rPr>
        <w:t xml:space="preserve">, A. E., &amp; </w:t>
      </w:r>
      <w:proofErr w:type="spellStart"/>
      <w:r w:rsidRPr="008A0A90">
        <w:rPr>
          <w:rFonts w:ascii="Arial" w:hAnsi="Arial" w:cs="Arial"/>
          <w:sz w:val="22"/>
          <w:szCs w:val="22"/>
        </w:rPr>
        <w:t>Wargo</w:t>
      </w:r>
      <w:proofErr w:type="spellEnd"/>
      <w:r w:rsidRPr="008A0A90">
        <w:rPr>
          <w:rFonts w:ascii="Arial" w:hAnsi="Arial" w:cs="Arial"/>
          <w:sz w:val="22"/>
          <w:szCs w:val="22"/>
        </w:rPr>
        <w:t xml:space="preserve">, M. J. (2012). Growth and laboratory maintenance of </w:t>
      </w:r>
      <w:r w:rsidRPr="008A0A90">
        <w:rPr>
          <w:rStyle w:val="Emphasis"/>
          <w:rFonts w:ascii="Arial" w:hAnsi="Arial" w:cs="Arial"/>
          <w:sz w:val="22"/>
          <w:szCs w:val="22"/>
        </w:rPr>
        <w:t>Pseudomonas aeruginosa</w:t>
      </w:r>
      <w:r w:rsidRPr="008A0A90">
        <w:rPr>
          <w:rFonts w:ascii="Arial" w:hAnsi="Arial" w:cs="Arial"/>
          <w:sz w:val="22"/>
          <w:szCs w:val="22"/>
        </w:rPr>
        <w:t xml:space="preserve">. </w:t>
      </w:r>
      <w:r w:rsidRPr="008A0A90">
        <w:rPr>
          <w:rStyle w:val="Emphasis"/>
          <w:rFonts w:ascii="Arial" w:hAnsi="Arial" w:cs="Arial"/>
          <w:sz w:val="22"/>
          <w:szCs w:val="22"/>
        </w:rPr>
        <w:t>Current Protocols in Microbiology, 25</w:t>
      </w:r>
      <w:r w:rsidRPr="008A0A90">
        <w:rPr>
          <w:rFonts w:ascii="Arial" w:hAnsi="Arial" w:cs="Arial"/>
          <w:sz w:val="22"/>
          <w:szCs w:val="22"/>
        </w:rPr>
        <w:t>, 6E.1.1–6E.1.8.</w:t>
      </w:r>
    </w:p>
    <w:p w14:paraId="438415D5"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Missiakas</w:t>
      </w:r>
      <w:proofErr w:type="spellEnd"/>
      <w:r w:rsidRPr="008A0A90">
        <w:rPr>
          <w:rFonts w:ascii="Arial" w:hAnsi="Arial" w:cs="Arial"/>
          <w:sz w:val="22"/>
          <w:szCs w:val="22"/>
        </w:rPr>
        <w:t xml:space="preserve">, D. M., &amp; </w:t>
      </w:r>
      <w:proofErr w:type="spellStart"/>
      <w:r w:rsidRPr="008A0A90">
        <w:rPr>
          <w:rFonts w:ascii="Arial" w:hAnsi="Arial" w:cs="Arial"/>
          <w:sz w:val="22"/>
          <w:szCs w:val="22"/>
        </w:rPr>
        <w:t>Schneewind</w:t>
      </w:r>
      <w:proofErr w:type="spellEnd"/>
      <w:r w:rsidRPr="008A0A90">
        <w:rPr>
          <w:rFonts w:ascii="Arial" w:hAnsi="Arial" w:cs="Arial"/>
          <w:sz w:val="22"/>
          <w:szCs w:val="22"/>
        </w:rPr>
        <w:t xml:space="preserve">, O. (2013). Growth and laboratory maintenance of </w:t>
      </w:r>
      <w:r w:rsidRPr="008A0A90">
        <w:rPr>
          <w:rStyle w:val="Emphasis"/>
          <w:rFonts w:ascii="Arial" w:hAnsi="Arial" w:cs="Arial"/>
          <w:sz w:val="22"/>
          <w:szCs w:val="22"/>
        </w:rPr>
        <w:t>Staphylococcus aureus</w:t>
      </w:r>
      <w:r w:rsidRPr="008A0A90">
        <w:rPr>
          <w:rFonts w:ascii="Arial" w:hAnsi="Arial" w:cs="Arial"/>
          <w:sz w:val="22"/>
          <w:szCs w:val="22"/>
        </w:rPr>
        <w:t xml:space="preserve">. </w:t>
      </w:r>
      <w:r w:rsidRPr="008A0A90">
        <w:rPr>
          <w:rStyle w:val="Emphasis"/>
          <w:rFonts w:ascii="Arial" w:hAnsi="Arial" w:cs="Arial"/>
          <w:sz w:val="22"/>
          <w:szCs w:val="22"/>
        </w:rPr>
        <w:t>Current Protocols in Microbiology, 28</w:t>
      </w:r>
      <w:r w:rsidRPr="008A0A90">
        <w:rPr>
          <w:rFonts w:ascii="Arial" w:hAnsi="Arial" w:cs="Arial"/>
          <w:sz w:val="22"/>
          <w:szCs w:val="22"/>
        </w:rPr>
        <w:t>, 9C.1.1–9C.1.9.</w:t>
      </w:r>
    </w:p>
    <w:p w14:paraId="3D4672A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Munshi, S. K. (2013). Influence of temperature on </w:t>
      </w:r>
      <w:r w:rsidRPr="008A0A90">
        <w:rPr>
          <w:rStyle w:val="Emphasis"/>
          <w:rFonts w:ascii="Arial" w:hAnsi="Arial" w:cs="Arial"/>
          <w:sz w:val="22"/>
          <w:szCs w:val="22"/>
        </w:rPr>
        <w:t>Escherichia coli</w:t>
      </w:r>
      <w:r w:rsidRPr="008A0A90">
        <w:rPr>
          <w:rFonts w:ascii="Arial" w:hAnsi="Arial" w:cs="Arial"/>
          <w:sz w:val="22"/>
          <w:szCs w:val="22"/>
        </w:rPr>
        <w:t xml:space="preserve"> growth in different culture media. </w:t>
      </w:r>
      <w:r w:rsidRPr="008A0A90">
        <w:rPr>
          <w:rStyle w:val="Emphasis"/>
          <w:rFonts w:ascii="Arial" w:hAnsi="Arial" w:cs="Arial"/>
          <w:sz w:val="22"/>
          <w:szCs w:val="22"/>
        </w:rPr>
        <w:t>Journal of Pure and Applied Microbiology</w:t>
      </w:r>
      <w:r w:rsidRPr="008A0A90">
        <w:rPr>
          <w:rFonts w:ascii="Arial" w:hAnsi="Arial" w:cs="Arial"/>
          <w:sz w:val="22"/>
          <w:szCs w:val="22"/>
        </w:rPr>
        <w:t>.</w:t>
      </w:r>
    </w:p>
    <w:p w14:paraId="52A9858D"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Orsi</w:t>
      </w:r>
      <w:proofErr w:type="spellEnd"/>
      <w:r w:rsidRPr="008A0A90">
        <w:rPr>
          <w:rFonts w:ascii="Arial" w:hAnsi="Arial" w:cs="Arial"/>
          <w:sz w:val="22"/>
          <w:szCs w:val="22"/>
        </w:rPr>
        <w:t xml:space="preserve">, N. (2004). The antimicrobial activity of lactoferrin: Current status and perspectives. </w:t>
      </w:r>
      <w:proofErr w:type="spellStart"/>
      <w:r w:rsidRPr="008A0A90">
        <w:rPr>
          <w:rStyle w:val="Emphasis"/>
          <w:rFonts w:ascii="Arial" w:hAnsi="Arial" w:cs="Arial"/>
          <w:sz w:val="22"/>
          <w:szCs w:val="22"/>
        </w:rPr>
        <w:t>Biometals</w:t>
      </w:r>
      <w:proofErr w:type="spellEnd"/>
      <w:r w:rsidRPr="008A0A90">
        <w:rPr>
          <w:rStyle w:val="Emphasis"/>
          <w:rFonts w:ascii="Arial" w:hAnsi="Arial" w:cs="Arial"/>
          <w:sz w:val="22"/>
          <w:szCs w:val="22"/>
        </w:rPr>
        <w:t>, 17</w:t>
      </w:r>
      <w:r w:rsidRPr="008A0A90">
        <w:rPr>
          <w:rFonts w:ascii="Arial" w:hAnsi="Arial" w:cs="Arial"/>
          <w:sz w:val="22"/>
          <w:szCs w:val="22"/>
        </w:rPr>
        <w:t>, 189–196.</w:t>
      </w:r>
    </w:p>
    <w:p w14:paraId="4C7548FD" w14:textId="45EAFC30"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Porter, R., </w:t>
      </w:r>
      <w:proofErr w:type="spellStart"/>
      <w:r w:rsidRPr="008A0A90">
        <w:rPr>
          <w:rFonts w:ascii="Arial" w:hAnsi="Arial" w:cs="Arial"/>
          <w:sz w:val="22"/>
          <w:szCs w:val="22"/>
        </w:rPr>
        <w:t>Trenado-Yuste</w:t>
      </w:r>
      <w:proofErr w:type="spellEnd"/>
      <w:r w:rsidRPr="008A0A90">
        <w:rPr>
          <w:rFonts w:ascii="Arial" w:hAnsi="Arial" w:cs="Arial"/>
          <w:sz w:val="22"/>
          <w:szCs w:val="22"/>
        </w:rPr>
        <w:t xml:space="preserve">, C., Martinez-Calvo, A., Su, M., </w:t>
      </w:r>
      <w:proofErr w:type="spellStart"/>
      <w:r w:rsidRPr="008A0A90">
        <w:rPr>
          <w:rFonts w:ascii="Arial" w:hAnsi="Arial" w:cs="Arial"/>
          <w:sz w:val="22"/>
          <w:szCs w:val="22"/>
        </w:rPr>
        <w:t>Wingreen</w:t>
      </w:r>
      <w:proofErr w:type="spellEnd"/>
      <w:r w:rsidRPr="008A0A90">
        <w:rPr>
          <w:rFonts w:ascii="Arial" w:hAnsi="Arial" w:cs="Arial"/>
          <w:sz w:val="22"/>
          <w:szCs w:val="22"/>
        </w:rPr>
        <w:t xml:space="preserve">, N. S., Datta, S. S., &amp; Huang, K. C. (2025). On the growth and form of bacterial colonies. </w:t>
      </w:r>
      <w:r w:rsidRPr="008A0A90">
        <w:rPr>
          <w:rStyle w:val="Emphasis"/>
          <w:rFonts w:ascii="Arial" w:hAnsi="Arial" w:cs="Arial"/>
          <w:sz w:val="22"/>
          <w:szCs w:val="22"/>
        </w:rPr>
        <w:t>Nature Reviews Physics, 7</w:t>
      </w:r>
      <w:r w:rsidRPr="008A0A90">
        <w:rPr>
          <w:rFonts w:ascii="Arial" w:hAnsi="Arial" w:cs="Arial"/>
          <w:sz w:val="22"/>
          <w:szCs w:val="22"/>
        </w:rPr>
        <w:t>(10), 535–553.</w:t>
      </w:r>
    </w:p>
    <w:p w14:paraId="62D98E0F" w14:textId="26E72B2F" w:rsidR="00FA554C" w:rsidRPr="008A0A90" w:rsidRDefault="00FA554C" w:rsidP="004D0D28">
      <w:pPr>
        <w:pStyle w:val="NormalWeb"/>
        <w:numPr>
          <w:ilvl w:val="0"/>
          <w:numId w:val="32"/>
        </w:numPr>
        <w:spacing w:before="240" w:after="240"/>
        <w:rPr>
          <w:rFonts w:ascii="Arial" w:hAnsi="Arial" w:cs="Arial"/>
          <w:sz w:val="22"/>
          <w:szCs w:val="22"/>
        </w:rPr>
      </w:pPr>
      <w:r w:rsidRPr="008A0A90">
        <w:rPr>
          <w:rFonts w:ascii="Arial" w:hAnsi="Arial" w:cs="Arial"/>
          <w:color w:val="222222"/>
          <w:sz w:val="22"/>
          <w:szCs w:val="22"/>
          <w:shd w:val="clear" w:color="auto" w:fill="FFFFFF"/>
        </w:rPr>
        <w:t xml:space="preserve">Quintieri, L., Caputo, L., </w:t>
      </w:r>
      <w:proofErr w:type="spellStart"/>
      <w:r w:rsidRPr="008A0A90">
        <w:rPr>
          <w:rFonts w:ascii="Arial" w:hAnsi="Arial" w:cs="Arial"/>
          <w:color w:val="222222"/>
          <w:sz w:val="22"/>
          <w:szCs w:val="22"/>
          <w:shd w:val="clear" w:color="auto" w:fill="FFFFFF"/>
        </w:rPr>
        <w:t>Monaci</w:t>
      </w:r>
      <w:proofErr w:type="spellEnd"/>
      <w:r w:rsidRPr="008A0A90">
        <w:rPr>
          <w:rFonts w:ascii="Arial" w:hAnsi="Arial" w:cs="Arial"/>
          <w:color w:val="222222"/>
          <w:sz w:val="22"/>
          <w:szCs w:val="22"/>
          <w:shd w:val="clear" w:color="auto" w:fill="FFFFFF"/>
        </w:rPr>
        <w:t xml:space="preserve">, L., </w:t>
      </w:r>
      <w:proofErr w:type="spellStart"/>
      <w:r w:rsidRPr="008A0A90">
        <w:rPr>
          <w:rFonts w:ascii="Arial" w:hAnsi="Arial" w:cs="Arial"/>
          <w:color w:val="222222"/>
          <w:sz w:val="22"/>
          <w:szCs w:val="22"/>
          <w:shd w:val="clear" w:color="auto" w:fill="FFFFFF"/>
        </w:rPr>
        <w:t>Cavalluzzi</w:t>
      </w:r>
      <w:proofErr w:type="spellEnd"/>
      <w:r w:rsidRPr="008A0A90">
        <w:rPr>
          <w:rFonts w:ascii="Arial" w:hAnsi="Arial" w:cs="Arial"/>
          <w:color w:val="222222"/>
          <w:sz w:val="22"/>
          <w:szCs w:val="22"/>
          <w:shd w:val="clear" w:color="auto" w:fill="FFFFFF"/>
        </w:rPr>
        <w:t xml:space="preserve">, M. M., &amp; </w:t>
      </w:r>
      <w:proofErr w:type="spellStart"/>
      <w:r w:rsidRPr="008A0A90">
        <w:rPr>
          <w:rFonts w:ascii="Arial" w:hAnsi="Arial" w:cs="Arial"/>
          <w:color w:val="222222"/>
          <w:sz w:val="22"/>
          <w:szCs w:val="22"/>
          <w:shd w:val="clear" w:color="auto" w:fill="FFFFFF"/>
        </w:rPr>
        <w:t>Denora</w:t>
      </w:r>
      <w:proofErr w:type="spellEnd"/>
      <w:r w:rsidRPr="008A0A90">
        <w:rPr>
          <w:rFonts w:ascii="Arial" w:hAnsi="Arial" w:cs="Arial"/>
          <w:color w:val="222222"/>
          <w:sz w:val="22"/>
          <w:szCs w:val="22"/>
          <w:shd w:val="clear" w:color="auto" w:fill="FFFFFF"/>
        </w:rPr>
        <w:t xml:space="preserve">, N. (2020). Lactoferrin-derived peptides as a control strategy against </w:t>
      </w:r>
      <w:proofErr w:type="spellStart"/>
      <w:r w:rsidRPr="008A0A90">
        <w:rPr>
          <w:rFonts w:ascii="Arial" w:hAnsi="Arial" w:cs="Arial"/>
          <w:color w:val="222222"/>
          <w:sz w:val="22"/>
          <w:szCs w:val="22"/>
          <w:shd w:val="clear" w:color="auto" w:fill="FFFFFF"/>
        </w:rPr>
        <w:t>skinborne</w:t>
      </w:r>
      <w:proofErr w:type="spellEnd"/>
      <w:r w:rsidRPr="008A0A90">
        <w:rPr>
          <w:rFonts w:ascii="Arial" w:hAnsi="Arial" w:cs="Arial"/>
          <w:color w:val="222222"/>
          <w:sz w:val="22"/>
          <w:szCs w:val="22"/>
          <w:shd w:val="clear" w:color="auto" w:fill="FFFFFF"/>
        </w:rPr>
        <w:t xml:space="preserve"> staphylococcal biofilms. </w:t>
      </w:r>
      <w:r w:rsidRPr="008A0A90">
        <w:rPr>
          <w:rFonts w:ascii="Arial" w:hAnsi="Arial" w:cs="Arial"/>
          <w:i/>
          <w:iCs/>
          <w:color w:val="222222"/>
          <w:sz w:val="22"/>
          <w:szCs w:val="22"/>
          <w:shd w:val="clear" w:color="auto" w:fill="FFFFFF"/>
        </w:rPr>
        <w:t>Biomedicines</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8</w:t>
      </w:r>
      <w:r w:rsidRPr="008A0A90">
        <w:rPr>
          <w:rFonts w:ascii="Arial" w:hAnsi="Arial" w:cs="Arial"/>
          <w:color w:val="222222"/>
          <w:sz w:val="22"/>
          <w:szCs w:val="22"/>
          <w:shd w:val="clear" w:color="auto" w:fill="FFFFFF"/>
        </w:rPr>
        <w:t>(9), 323.</w:t>
      </w:r>
    </w:p>
    <w:p w14:paraId="4A7DF8C9" w14:textId="7366CF9B"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Ramenzoni</w:t>
      </w:r>
      <w:proofErr w:type="spellEnd"/>
      <w:r w:rsidRPr="008A0A90">
        <w:rPr>
          <w:rFonts w:ascii="Arial" w:hAnsi="Arial" w:cs="Arial"/>
          <w:sz w:val="22"/>
          <w:szCs w:val="22"/>
        </w:rPr>
        <w:t xml:space="preserve">, L. L., Hofer, D., </w:t>
      </w:r>
      <w:proofErr w:type="spellStart"/>
      <w:r w:rsidRPr="008A0A90">
        <w:rPr>
          <w:rFonts w:ascii="Arial" w:hAnsi="Arial" w:cs="Arial"/>
          <w:sz w:val="22"/>
          <w:szCs w:val="22"/>
        </w:rPr>
        <w:t>Solderer</w:t>
      </w:r>
      <w:proofErr w:type="spellEnd"/>
      <w:r w:rsidRPr="008A0A90">
        <w:rPr>
          <w:rFonts w:ascii="Arial" w:hAnsi="Arial" w:cs="Arial"/>
          <w:sz w:val="22"/>
          <w:szCs w:val="22"/>
        </w:rPr>
        <w:t xml:space="preserve">, A., </w:t>
      </w:r>
      <w:proofErr w:type="spellStart"/>
      <w:r w:rsidRPr="008A0A90">
        <w:rPr>
          <w:rFonts w:ascii="Arial" w:hAnsi="Arial" w:cs="Arial"/>
          <w:sz w:val="22"/>
          <w:szCs w:val="22"/>
        </w:rPr>
        <w:t>Wiedemeier</w:t>
      </w:r>
      <w:proofErr w:type="spellEnd"/>
      <w:r w:rsidRPr="008A0A90">
        <w:rPr>
          <w:rFonts w:ascii="Arial" w:hAnsi="Arial" w:cs="Arial"/>
          <w:sz w:val="22"/>
          <w:szCs w:val="22"/>
        </w:rPr>
        <w:t xml:space="preserve">, D., </w:t>
      </w:r>
      <w:proofErr w:type="spellStart"/>
      <w:r w:rsidRPr="008A0A90">
        <w:rPr>
          <w:rFonts w:ascii="Arial" w:hAnsi="Arial" w:cs="Arial"/>
          <w:sz w:val="22"/>
          <w:szCs w:val="22"/>
        </w:rPr>
        <w:t>Attin</w:t>
      </w:r>
      <w:proofErr w:type="spellEnd"/>
      <w:r w:rsidRPr="008A0A90">
        <w:rPr>
          <w:rFonts w:ascii="Arial" w:hAnsi="Arial" w:cs="Arial"/>
          <w:sz w:val="22"/>
          <w:szCs w:val="22"/>
        </w:rPr>
        <w:t xml:space="preserve">, T., &amp; </w:t>
      </w:r>
      <w:proofErr w:type="spellStart"/>
      <w:r w:rsidRPr="008A0A90">
        <w:rPr>
          <w:rFonts w:ascii="Arial" w:hAnsi="Arial" w:cs="Arial"/>
          <w:sz w:val="22"/>
          <w:szCs w:val="22"/>
        </w:rPr>
        <w:t>Schmidlin</w:t>
      </w:r>
      <w:proofErr w:type="spellEnd"/>
      <w:r w:rsidRPr="008A0A90">
        <w:rPr>
          <w:rFonts w:ascii="Arial" w:hAnsi="Arial" w:cs="Arial"/>
          <w:sz w:val="22"/>
          <w:szCs w:val="22"/>
        </w:rPr>
        <w:t xml:space="preserve">, P. R. (2021). Origin of MMP-8 and lactoferrin levels in saliva and gingival crevicular fluid. </w:t>
      </w:r>
      <w:r w:rsidRPr="008A0A90">
        <w:rPr>
          <w:rStyle w:val="Emphasis"/>
          <w:rFonts w:ascii="Arial" w:hAnsi="Arial" w:cs="Arial"/>
          <w:sz w:val="22"/>
          <w:szCs w:val="22"/>
        </w:rPr>
        <w:t>BMC Oral Health, 21</w:t>
      </w:r>
      <w:r w:rsidRPr="008A0A90">
        <w:rPr>
          <w:rFonts w:ascii="Arial" w:hAnsi="Arial" w:cs="Arial"/>
          <w:sz w:val="22"/>
          <w:szCs w:val="22"/>
        </w:rPr>
        <w:t xml:space="preserve">, 385. </w:t>
      </w:r>
      <w:hyperlink r:id="rId19" w:tgtFrame="_new" w:history="1">
        <w:r w:rsidRPr="008A0A90">
          <w:rPr>
            <w:rStyle w:val="Hyperlink"/>
            <w:rFonts w:ascii="Arial" w:hAnsi="Arial" w:cs="Arial"/>
            <w:sz w:val="22"/>
            <w:szCs w:val="22"/>
          </w:rPr>
          <w:t>https://doi.org/10.1186/s12903-021-01743-5</w:t>
        </w:r>
      </w:hyperlink>
    </w:p>
    <w:p w14:paraId="4A376EB6" w14:textId="24F2F144" w:rsidR="00F422B0" w:rsidRPr="008A0A90" w:rsidRDefault="00F422B0" w:rsidP="004D0D28">
      <w:pPr>
        <w:pStyle w:val="NormalWeb"/>
        <w:numPr>
          <w:ilvl w:val="0"/>
          <w:numId w:val="32"/>
        </w:numPr>
        <w:spacing w:before="240" w:after="240"/>
        <w:rPr>
          <w:rFonts w:ascii="Arial" w:hAnsi="Arial" w:cs="Arial"/>
          <w:color w:val="222222"/>
          <w:sz w:val="22"/>
          <w:szCs w:val="22"/>
          <w:shd w:val="clear" w:color="auto" w:fill="FFFFFF"/>
        </w:rPr>
      </w:pPr>
      <w:proofErr w:type="spellStart"/>
      <w:r w:rsidRPr="008A0A90">
        <w:rPr>
          <w:rFonts w:ascii="Arial" w:hAnsi="Arial" w:cs="Arial"/>
          <w:color w:val="222222"/>
          <w:sz w:val="22"/>
          <w:szCs w:val="22"/>
          <w:shd w:val="clear" w:color="auto" w:fill="FFFFFF"/>
        </w:rPr>
        <w:t>Sekse</w:t>
      </w:r>
      <w:proofErr w:type="spellEnd"/>
      <w:r w:rsidRPr="008A0A90">
        <w:rPr>
          <w:rFonts w:ascii="Arial" w:hAnsi="Arial" w:cs="Arial"/>
          <w:color w:val="222222"/>
          <w:sz w:val="22"/>
          <w:szCs w:val="22"/>
          <w:shd w:val="clear" w:color="auto" w:fill="FFFFFF"/>
        </w:rPr>
        <w:t xml:space="preserve">, C., Bohlin, J., </w:t>
      </w:r>
      <w:proofErr w:type="spellStart"/>
      <w:r w:rsidRPr="008A0A90">
        <w:rPr>
          <w:rFonts w:ascii="Arial" w:hAnsi="Arial" w:cs="Arial"/>
          <w:color w:val="222222"/>
          <w:sz w:val="22"/>
          <w:szCs w:val="22"/>
          <w:shd w:val="clear" w:color="auto" w:fill="FFFFFF"/>
        </w:rPr>
        <w:t>Skjerve</w:t>
      </w:r>
      <w:proofErr w:type="spellEnd"/>
      <w:r w:rsidRPr="008A0A90">
        <w:rPr>
          <w:rFonts w:ascii="Arial" w:hAnsi="Arial" w:cs="Arial"/>
          <w:color w:val="222222"/>
          <w:sz w:val="22"/>
          <w:szCs w:val="22"/>
          <w:shd w:val="clear" w:color="auto" w:fill="FFFFFF"/>
        </w:rPr>
        <w:t xml:space="preserve">, E., &amp; </w:t>
      </w:r>
      <w:proofErr w:type="spellStart"/>
      <w:r w:rsidRPr="008A0A90">
        <w:rPr>
          <w:rFonts w:ascii="Arial" w:hAnsi="Arial" w:cs="Arial"/>
          <w:color w:val="222222"/>
          <w:sz w:val="22"/>
          <w:szCs w:val="22"/>
          <w:shd w:val="clear" w:color="auto" w:fill="FFFFFF"/>
        </w:rPr>
        <w:t>Vegarud</w:t>
      </w:r>
      <w:proofErr w:type="spellEnd"/>
      <w:r w:rsidRPr="008A0A90">
        <w:rPr>
          <w:rFonts w:ascii="Arial" w:hAnsi="Arial" w:cs="Arial"/>
          <w:color w:val="222222"/>
          <w:sz w:val="22"/>
          <w:szCs w:val="22"/>
          <w:shd w:val="clear" w:color="auto" w:fill="FFFFFF"/>
        </w:rPr>
        <w:t>, G. E. (2012). Growth comparison of several Escherichia coli strains exposed to various concentrations of lactoferrin using linear spline regression. </w:t>
      </w:r>
      <w:r w:rsidRPr="008A0A90">
        <w:rPr>
          <w:rFonts w:ascii="Arial" w:hAnsi="Arial" w:cs="Arial"/>
          <w:i/>
          <w:iCs/>
          <w:color w:val="222222"/>
          <w:sz w:val="22"/>
          <w:szCs w:val="22"/>
          <w:shd w:val="clear" w:color="auto" w:fill="FFFFFF"/>
        </w:rPr>
        <w:t>Microbial informatics and experimentation</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2</w:t>
      </w:r>
      <w:r w:rsidRPr="008A0A90">
        <w:rPr>
          <w:rFonts w:ascii="Arial" w:hAnsi="Arial" w:cs="Arial"/>
          <w:color w:val="222222"/>
          <w:sz w:val="22"/>
          <w:szCs w:val="22"/>
          <w:shd w:val="clear" w:color="auto" w:fill="FFFFFF"/>
        </w:rPr>
        <w:t>(1), 5.</w:t>
      </w:r>
    </w:p>
    <w:p w14:paraId="171E95F9" w14:textId="2F740194" w:rsidR="00E43986" w:rsidRPr="008A0A90" w:rsidRDefault="00E43986" w:rsidP="004D0D28">
      <w:pPr>
        <w:pStyle w:val="NormalWeb"/>
        <w:numPr>
          <w:ilvl w:val="0"/>
          <w:numId w:val="32"/>
        </w:numPr>
        <w:spacing w:before="240" w:after="240"/>
        <w:rPr>
          <w:rFonts w:ascii="Arial" w:hAnsi="Arial" w:cs="Arial"/>
          <w:sz w:val="22"/>
          <w:szCs w:val="22"/>
        </w:rPr>
      </w:pPr>
      <w:r w:rsidRPr="008A0A90">
        <w:rPr>
          <w:rFonts w:ascii="Arial" w:hAnsi="Arial" w:cs="Arial"/>
          <w:color w:val="222222"/>
          <w:sz w:val="22"/>
          <w:szCs w:val="22"/>
          <w:shd w:val="clear" w:color="auto" w:fill="FFFFFF"/>
        </w:rPr>
        <w:t xml:space="preserve">Sheldon, J. R., </w:t>
      </w:r>
      <w:proofErr w:type="spellStart"/>
      <w:r w:rsidRPr="008A0A90">
        <w:rPr>
          <w:rFonts w:ascii="Arial" w:hAnsi="Arial" w:cs="Arial"/>
          <w:color w:val="222222"/>
          <w:sz w:val="22"/>
          <w:szCs w:val="22"/>
          <w:shd w:val="clear" w:color="auto" w:fill="FFFFFF"/>
        </w:rPr>
        <w:t>Laakso</w:t>
      </w:r>
      <w:proofErr w:type="spellEnd"/>
      <w:r w:rsidRPr="008A0A90">
        <w:rPr>
          <w:rFonts w:ascii="Arial" w:hAnsi="Arial" w:cs="Arial"/>
          <w:color w:val="222222"/>
          <w:sz w:val="22"/>
          <w:szCs w:val="22"/>
          <w:shd w:val="clear" w:color="auto" w:fill="FFFFFF"/>
        </w:rPr>
        <w:t>, H. A., &amp; Heinrichs, D. E. (2016). Iron acquisition strategies of bacterial pathogens. </w:t>
      </w:r>
      <w:r w:rsidRPr="008A0A90">
        <w:rPr>
          <w:rFonts w:ascii="Arial" w:hAnsi="Arial" w:cs="Arial"/>
          <w:i/>
          <w:iCs/>
          <w:color w:val="222222"/>
          <w:sz w:val="22"/>
          <w:szCs w:val="22"/>
          <w:shd w:val="clear" w:color="auto" w:fill="FFFFFF"/>
        </w:rPr>
        <w:t>Virulence Mechanisms of Bacterial Pathogens</w:t>
      </w:r>
      <w:r w:rsidRPr="008A0A90">
        <w:rPr>
          <w:rFonts w:ascii="Arial" w:hAnsi="Arial" w:cs="Arial"/>
          <w:color w:val="222222"/>
          <w:sz w:val="22"/>
          <w:szCs w:val="22"/>
          <w:shd w:val="clear" w:color="auto" w:fill="FFFFFF"/>
        </w:rPr>
        <w:t>, 43-85.</w:t>
      </w:r>
    </w:p>
    <w:p w14:paraId="5DBE1FEB"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Skovdal</w:t>
      </w:r>
      <w:proofErr w:type="spellEnd"/>
      <w:r w:rsidRPr="008A0A90">
        <w:rPr>
          <w:rFonts w:ascii="Arial" w:hAnsi="Arial" w:cs="Arial"/>
          <w:sz w:val="22"/>
          <w:szCs w:val="22"/>
        </w:rPr>
        <w:t xml:space="preserve">, S. M., </w:t>
      </w:r>
      <w:proofErr w:type="spellStart"/>
      <w:r w:rsidRPr="008A0A90">
        <w:rPr>
          <w:rFonts w:ascii="Arial" w:hAnsi="Arial" w:cs="Arial"/>
          <w:sz w:val="22"/>
          <w:szCs w:val="22"/>
        </w:rPr>
        <w:t>Jørgensen</w:t>
      </w:r>
      <w:proofErr w:type="spellEnd"/>
      <w:r w:rsidRPr="008A0A90">
        <w:rPr>
          <w:rFonts w:ascii="Arial" w:hAnsi="Arial" w:cs="Arial"/>
          <w:sz w:val="22"/>
          <w:szCs w:val="22"/>
        </w:rPr>
        <w:t xml:space="preserve">, N. P., &amp; Meyer, R. L. (2022). JMM profile: </w:t>
      </w:r>
      <w:r w:rsidRPr="008A0A90">
        <w:rPr>
          <w:rStyle w:val="Emphasis"/>
          <w:rFonts w:ascii="Arial" w:hAnsi="Arial" w:cs="Arial"/>
          <w:sz w:val="22"/>
          <w:szCs w:val="22"/>
        </w:rPr>
        <w:t>Staphylococcus epidermidis</w:t>
      </w:r>
      <w:r w:rsidRPr="008A0A90">
        <w:rPr>
          <w:rFonts w:ascii="Arial" w:hAnsi="Arial" w:cs="Arial"/>
          <w:sz w:val="22"/>
          <w:szCs w:val="22"/>
        </w:rPr>
        <w:t xml:space="preserve">. </w:t>
      </w:r>
      <w:r w:rsidRPr="008A0A90">
        <w:rPr>
          <w:rStyle w:val="Emphasis"/>
          <w:rFonts w:ascii="Arial" w:hAnsi="Arial" w:cs="Arial"/>
          <w:sz w:val="22"/>
          <w:szCs w:val="22"/>
        </w:rPr>
        <w:t>Journal of Medical Microbiology, 71</w:t>
      </w:r>
      <w:r w:rsidRPr="008A0A90">
        <w:rPr>
          <w:rFonts w:ascii="Arial" w:hAnsi="Arial" w:cs="Arial"/>
          <w:sz w:val="22"/>
          <w:szCs w:val="22"/>
        </w:rPr>
        <w:t xml:space="preserve">, 001597. </w:t>
      </w:r>
      <w:hyperlink r:id="rId20" w:tgtFrame="_new" w:history="1">
        <w:r w:rsidRPr="008A0A90">
          <w:rPr>
            <w:rStyle w:val="Hyperlink"/>
            <w:rFonts w:ascii="Arial" w:hAnsi="Arial" w:cs="Arial"/>
            <w:sz w:val="22"/>
            <w:szCs w:val="22"/>
          </w:rPr>
          <w:t>https://doi.org/10.1099/jmm.0.001597</w:t>
        </w:r>
      </w:hyperlink>
    </w:p>
    <w:p w14:paraId="61DB5F9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Tuttle, A. R., Trahan, N. D., &amp; Son, M. S. (2021). Growth and maintenance of </w:t>
      </w:r>
      <w:r w:rsidRPr="008A0A90">
        <w:rPr>
          <w:rStyle w:val="Emphasis"/>
          <w:rFonts w:ascii="Arial" w:hAnsi="Arial" w:cs="Arial"/>
          <w:sz w:val="22"/>
          <w:szCs w:val="22"/>
        </w:rPr>
        <w:t>Escherichia coli</w:t>
      </w:r>
      <w:r w:rsidRPr="008A0A90">
        <w:rPr>
          <w:rFonts w:ascii="Arial" w:hAnsi="Arial" w:cs="Arial"/>
          <w:sz w:val="22"/>
          <w:szCs w:val="22"/>
        </w:rPr>
        <w:t xml:space="preserve"> laboratory strains. </w:t>
      </w:r>
      <w:r w:rsidRPr="008A0A90">
        <w:rPr>
          <w:rStyle w:val="Emphasis"/>
          <w:rFonts w:ascii="Arial" w:hAnsi="Arial" w:cs="Arial"/>
          <w:sz w:val="22"/>
          <w:szCs w:val="22"/>
        </w:rPr>
        <w:t>Current Protocols, 1</w:t>
      </w:r>
      <w:r w:rsidRPr="008A0A90">
        <w:rPr>
          <w:rFonts w:ascii="Arial" w:hAnsi="Arial" w:cs="Arial"/>
          <w:sz w:val="22"/>
          <w:szCs w:val="22"/>
        </w:rPr>
        <w:t xml:space="preserve">, e11. </w:t>
      </w:r>
      <w:hyperlink r:id="rId21" w:tgtFrame="_new" w:history="1">
        <w:r w:rsidRPr="008A0A90">
          <w:rPr>
            <w:rStyle w:val="Hyperlink"/>
            <w:rFonts w:ascii="Arial" w:hAnsi="Arial" w:cs="Arial"/>
            <w:sz w:val="22"/>
            <w:szCs w:val="22"/>
          </w:rPr>
          <w:t>https://doi.org/10.1002/cpz1.11</w:t>
        </w:r>
      </w:hyperlink>
    </w:p>
    <w:p w14:paraId="744E68A6"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Vega-Bautista, A., de la Garza, M., </w:t>
      </w:r>
      <w:proofErr w:type="spellStart"/>
      <w:r w:rsidRPr="008A0A90">
        <w:rPr>
          <w:rFonts w:ascii="Arial" w:hAnsi="Arial" w:cs="Arial"/>
          <w:sz w:val="22"/>
          <w:szCs w:val="22"/>
        </w:rPr>
        <w:t>Carrero</w:t>
      </w:r>
      <w:proofErr w:type="spellEnd"/>
      <w:r w:rsidRPr="008A0A90">
        <w:rPr>
          <w:rFonts w:ascii="Arial" w:hAnsi="Arial" w:cs="Arial"/>
          <w:sz w:val="22"/>
          <w:szCs w:val="22"/>
        </w:rPr>
        <w:t xml:space="preserve">, J. C., Campos-Rodríguez, R., </w:t>
      </w:r>
      <w:proofErr w:type="spellStart"/>
      <w:r w:rsidRPr="008A0A90">
        <w:rPr>
          <w:rFonts w:ascii="Arial" w:hAnsi="Arial" w:cs="Arial"/>
          <w:sz w:val="22"/>
          <w:szCs w:val="22"/>
        </w:rPr>
        <w:t>Godínez</w:t>
      </w:r>
      <w:proofErr w:type="spellEnd"/>
      <w:r w:rsidRPr="008A0A90">
        <w:rPr>
          <w:rFonts w:ascii="Arial" w:hAnsi="Arial" w:cs="Arial"/>
          <w:sz w:val="22"/>
          <w:szCs w:val="22"/>
        </w:rPr>
        <w:t xml:space="preserve">-Victoria, M., &amp; Drago-Serrano, M. E. (2019). The impact of lactoferrin on intestinal bacteria growth. </w:t>
      </w:r>
      <w:r w:rsidRPr="008A0A90">
        <w:rPr>
          <w:rStyle w:val="Emphasis"/>
          <w:rFonts w:ascii="Arial" w:hAnsi="Arial" w:cs="Arial"/>
          <w:sz w:val="22"/>
          <w:szCs w:val="22"/>
        </w:rPr>
        <w:t>International Journal of Molecular Sciences, 20</w:t>
      </w:r>
      <w:r w:rsidRPr="008A0A90">
        <w:rPr>
          <w:rFonts w:ascii="Arial" w:hAnsi="Arial" w:cs="Arial"/>
          <w:sz w:val="22"/>
          <w:szCs w:val="22"/>
        </w:rPr>
        <w:t xml:space="preserve">(19), 4707. </w:t>
      </w:r>
      <w:hyperlink r:id="rId22" w:tgtFrame="_new" w:history="1">
        <w:r w:rsidRPr="008A0A90">
          <w:rPr>
            <w:rStyle w:val="Hyperlink"/>
            <w:rFonts w:ascii="Arial" w:hAnsi="Arial" w:cs="Arial"/>
            <w:sz w:val="22"/>
            <w:szCs w:val="22"/>
          </w:rPr>
          <w:t>https://doi.org/10.3390/ijms20194707</w:t>
        </w:r>
      </w:hyperlink>
    </w:p>
    <w:p w14:paraId="7F11AF7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lastRenderedPageBreak/>
        <w:t xml:space="preserve">Warren, M. R., Sun, H., Yan, Y., Cremer, J., Li, B., &amp; Hwa, T. (2019). Spatiotemporal establishment of dense bacterial colonies. </w:t>
      </w:r>
      <w:proofErr w:type="spellStart"/>
      <w:r w:rsidRPr="008A0A90">
        <w:rPr>
          <w:rStyle w:val="Emphasis"/>
          <w:rFonts w:ascii="Arial" w:hAnsi="Arial" w:cs="Arial"/>
          <w:sz w:val="22"/>
          <w:szCs w:val="22"/>
        </w:rPr>
        <w:t>eLife</w:t>
      </w:r>
      <w:proofErr w:type="spellEnd"/>
      <w:r w:rsidRPr="008A0A90">
        <w:rPr>
          <w:rStyle w:val="Emphasis"/>
          <w:rFonts w:ascii="Arial" w:hAnsi="Arial" w:cs="Arial"/>
          <w:sz w:val="22"/>
          <w:szCs w:val="22"/>
        </w:rPr>
        <w:t>, 8</w:t>
      </w:r>
      <w:r w:rsidRPr="008A0A90">
        <w:rPr>
          <w:rFonts w:ascii="Arial" w:hAnsi="Arial" w:cs="Arial"/>
          <w:sz w:val="22"/>
          <w:szCs w:val="22"/>
        </w:rPr>
        <w:t xml:space="preserve">, e41093. </w:t>
      </w:r>
      <w:hyperlink r:id="rId23" w:tgtFrame="_new" w:history="1">
        <w:r w:rsidRPr="008A0A90">
          <w:rPr>
            <w:rStyle w:val="Hyperlink"/>
            <w:rFonts w:ascii="Arial" w:hAnsi="Arial" w:cs="Arial"/>
            <w:sz w:val="22"/>
            <w:szCs w:val="22"/>
          </w:rPr>
          <w:t>https://doi.org/10.7554/eLife.41093</w:t>
        </w:r>
      </w:hyperlink>
    </w:p>
    <w:p w14:paraId="6485A8DF"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Wickham, H. (2016). </w:t>
      </w:r>
      <w:r w:rsidRPr="008A0A90">
        <w:rPr>
          <w:rStyle w:val="Emphasis"/>
          <w:rFonts w:ascii="Arial" w:hAnsi="Arial" w:cs="Arial"/>
          <w:sz w:val="22"/>
          <w:szCs w:val="22"/>
        </w:rPr>
        <w:t>ggplot2: Elegant graphics for data analysis</w:t>
      </w:r>
      <w:r w:rsidRPr="008A0A90">
        <w:rPr>
          <w:rFonts w:ascii="Arial" w:hAnsi="Arial" w:cs="Arial"/>
          <w:sz w:val="22"/>
          <w:szCs w:val="22"/>
        </w:rPr>
        <w:t xml:space="preserve"> (2nd ed.). Springer.</w:t>
      </w:r>
    </w:p>
    <w:p w14:paraId="4B0D18DE"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Zibaee</w:t>
      </w:r>
      <w:proofErr w:type="spellEnd"/>
      <w:r w:rsidRPr="008A0A90">
        <w:rPr>
          <w:rFonts w:ascii="Arial" w:hAnsi="Arial" w:cs="Arial"/>
          <w:sz w:val="22"/>
          <w:szCs w:val="22"/>
        </w:rPr>
        <w:t xml:space="preserve">, S., Soleimani, S., </w:t>
      </w:r>
      <w:proofErr w:type="spellStart"/>
      <w:r w:rsidRPr="008A0A90">
        <w:rPr>
          <w:rFonts w:ascii="Arial" w:hAnsi="Arial" w:cs="Arial"/>
          <w:sz w:val="22"/>
          <w:szCs w:val="22"/>
        </w:rPr>
        <w:t>Khalilollahi</w:t>
      </w:r>
      <w:proofErr w:type="spellEnd"/>
      <w:r w:rsidRPr="008A0A90">
        <w:rPr>
          <w:rFonts w:ascii="Arial" w:hAnsi="Arial" w:cs="Arial"/>
          <w:sz w:val="22"/>
          <w:szCs w:val="22"/>
        </w:rPr>
        <w:t xml:space="preserve">, F., &amp; Sarani, M. (2024). Effect of lactoferrin-loaded chitosan against </w:t>
      </w:r>
      <w:r w:rsidRPr="008A0A90">
        <w:rPr>
          <w:rStyle w:val="Emphasis"/>
          <w:rFonts w:ascii="Arial" w:hAnsi="Arial" w:cs="Arial"/>
          <w:sz w:val="22"/>
          <w:szCs w:val="22"/>
        </w:rPr>
        <w:t>Staphylococcus aureus</w:t>
      </w:r>
      <w:r w:rsidRPr="008A0A90">
        <w:rPr>
          <w:rFonts w:ascii="Arial" w:hAnsi="Arial" w:cs="Arial"/>
          <w:sz w:val="22"/>
          <w:szCs w:val="22"/>
        </w:rPr>
        <w:t xml:space="preserve"> and </w:t>
      </w:r>
      <w:r w:rsidRPr="008A0A90">
        <w:rPr>
          <w:rStyle w:val="Emphasis"/>
          <w:rFonts w:ascii="Arial" w:hAnsi="Arial" w:cs="Arial"/>
          <w:sz w:val="22"/>
          <w:szCs w:val="22"/>
        </w:rPr>
        <w:t>Pseudomonas aeruginosa</w:t>
      </w:r>
      <w:r w:rsidRPr="008A0A90">
        <w:rPr>
          <w:rFonts w:ascii="Arial" w:hAnsi="Arial" w:cs="Arial"/>
          <w:sz w:val="22"/>
          <w:szCs w:val="22"/>
        </w:rPr>
        <w:t xml:space="preserve">. </w:t>
      </w:r>
      <w:r w:rsidRPr="008A0A90">
        <w:rPr>
          <w:rStyle w:val="Emphasis"/>
          <w:rFonts w:ascii="Arial" w:hAnsi="Arial" w:cs="Arial"/>
          <w:sz w:val="22"/>
          <w:szCs w:val="22"/>
        </w:rPr>
        <w:t>Applied Microbiology: Theory &amp; Technology, 2</w:t>
      </w:r>
      <w:r w:rsidRPr="008A0A90">
        <w:rPr>
          <w:rFonts w:ascii="Arial" w:hAnsi="Arial" w:cs="Arial"/>
          <w:sz w:val="22"/>
          <w:szCs w:val="22"/>
        </w:rPr>
        <w:t>(1), 48–56.</w:t>
      </w:r>
    </w:p>
    <w:bookmarkEnd w:id="0"/>
    <w:p w14:paraId="2BB91FFB" w14:textId="4B57FE8B" w:rsidR="00B01FCD" w:rsidRPr="008A0A90" w:rsidRDefault="00B01FCD" w:rsidP="00B9528A">
      <w:pPr>
        <w:pStyle w:val="Body"/>
        <w:rPr>
          <w:rFonts w:ascii="Arial" w:hAnsi="Arial" w:cs="Arial"/>
          <w:sz w:val="22"/>
          <w:szCs w:val="22"/>
        </w:rPr>
      </w:pPr>
    </w:p>
    <w:sectPr w:rsidR="00B01FCD" w:rsidRPr="008A0A90" w:rsidSect="00943424">
      <w:headerReference w:type="even" r:id="rId24"/>
      <w:headerReference w:type="default" r:id="rId25"/>
      <w:footerReference w:type="default" r:id="rId26"/>
      <w:headerReference w:type="first" r:id="rId27"/>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B7EC9" w16cex:dateUtc="2026-05-07T18:36:00Z"/>
  <w16cex:commentExtensible w16cex:durableId="25CE5899" w16cex:dateUtc="2026-05-07T10:21:00Z"/>
  <w16cex:commentExtensible w16cex:durableId="48EA924C" w16cex:dateUtc="2026-05-07T11:03:00Z"/>
  <w16cex:commentExtensible w16cex:durableId="49E9A1C2" w16cex:dateUtc="2026-05-07T11:05:00Z"/>
  <w16cex:commentExtensible w16cex:durableId="4703BAC7" w16cex:dateUtc="2026-05-07T11:07:00Z"/>
  <w16cex:commentExtensible w16cex:durableId="4EA2F28D" w16cex:dateUtc="2026-05-07T11:10:00Z"/>
  <w16cex:commentExtensible w16cex:durableId="24D42D41" w16cex:dateUtc="2026-05-07T12:11:00Z"/>
  <w16cex:commentExtensible w16cex:durableId="0669A15B" w16cex:dateUtc="2026-05-07T12:35:00Z"/>
  <w16cex:commentExtensible w16cex:durableId="78664C98" w16cex:dateUtc="2026-05-07T14:57:00Z"/>
  <w16cex:commentExtensible w16cex:durableId="3196B041" w16cex:dateUtc="2026-05-07T14:58:00Z"/>
  <w16cex:commentExtensible w16cex:durableId="1E6FA846" w16cex:dateUtc="2026-05-07T10:29:00Z"/>
  <w16cex:commentExtensible w16cex:durableId="5F269C90" w16cex:dateUtc="2026-05-07T15:08:00Z"/>
  <w16cex:commentExtensible w16cex:durableId="7E6DD592" w16cex:dateUtc="2026-05-07T15:10:00Z"/>
  <w16cex:commentExtensible w16cex:durableId="79C196D3" w16cex:dateUtc="2026-05-07T15:14:00Z"/>
  <w16cex:commentExtensible w16cex:durableId="290528DA" w16cex:dateUtc="2026-05-07T15:26:00Z"/>
  <w16cex:commentExtensible w16cex:durableId="0C9F6993" w16cex:dateUtc="2026-05-07T15:33:00Z"/>
  <w16cex:commentExtensible w16cex:durableId="26553C92" w16cex:dateUtc="2026-05-07T15:36:00Z"/>
  <w16cex:commentExtensible w16cex:durableId="5A138C30" w16cex:dateUtc="2026-05-07T15:43:00Z"/>
  <w16cex:commentExtensible w16cex:durableId="08CF87AB" w16cex:dateUtc="2026-05-07T1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57C6" w14:textId="77777777" w:rsidR="0046004C" w:rsidRDefault="0046004C" w:rsidP="00C37E61">
      <w:r>
        <w:separator/>
      </w:r>
    </w:p>
  </w:endnote>
  <w:endnote w:type="continuationSeparator" w:id="0">
    <w:p w14:paraId="016341D9" w14:textId="77777777" w:rsidR="0046004C" w:rsidRDefault="004600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D3DD" w14:textId="77777777" w:rsidR="00943424" w:rsidRDefault="0094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8493" w14:textId="77777777" w:rsidR="00943424" w:rsidRDefault="0094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79F7" w14:textId="77777777" w:rsidR="009E048A" w:rsidRDefault="009E048A">
    <w:pPr>
      <w:pStyle w:val="Footer"/>
      <w:rPr>
        <w:rFonts w:ascii="Arial" w:hAnsi="Arial" w:cs="Arial"/>
        <w:sz w:val="16"/>
      </w:rPr>
    </w:pPr>
  </w:p>
  <w:p w14:paraId="5A1CEC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9850BE" w14:textId="77777777" w:rsidR="009E048A" w:rsidRDefault="009E048A">
    <w:pPr>
      <w:pStyle w:val="Footer"/>
      <w:rPr>
        <w:rFonts w:ascii="Arial" w:hAnsi="Arial" w:cs="Arial"/>
        <w:sz w:val="16"/>
      </w:rPr>
    </w:pPr>
  </w:p>
  <w:p w14:paraId="485E4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F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D01B" w14:textId="77777777" w:rsidR="0046004C" w:rsidRDefault="0046004C" w:rsidP="00C37E61">
      <w:r>
        <w:separator/>
      </w:r>
    </w:p>
  </w:footnote>
  <w:footnote w:type="continuationSeparator" w:id="0">
    <w:p w14:paraId="21E3456E" w14:textId="77777777" w:rsidR="0046004C" w:rsidRDefault="004600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1C3" w14:textId="11271C1E" w:rsidR="00943424" w:rsidRDefault="0046004C">
    <w:pPr>
      <w:pStyle w:val="Header"/>
    </w:pPr>
    <w:r>
      <w:rPr>
        <w:noProof/>
      </w:rPr>
      <w:pict w14:anchorId="24DB6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DA6A" w14:textId="310224EC" w:rsidR="00943424" w:rsidRDefault="0046004C">
    <w:pPr>
      <w:pStyle w:val="Header"/>
    </w:pPr>
    <w:r>
      <w:rPr>
        <w:noProof/>
      </w:rPr>
      <w:pict w14:anchorId="0DF5F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FE38" w14:textId="4782C0F4" w:rsidR="00296529" w:rsidRPr="00296529" w:rsidRDefault="0046004C" w:rsidP="00296529">
    <w:pPr>
      <w:ind w:left="2160"/>
      <w:jc w:val="center"/>
      <w:rPr>
        <w:rFonts w:ascii="Times New Roman" w:eastAsia="Calibri" w:hAnsi="Times New Roman"/>
        <w:i/>
        <w:sz w:val="18"/>
        <w:szCs w:val="22"/>
      </w:rPr>
    </w:pPr>
    <w:r>
      <w:rPr>
        <w:noProof/>
      </w:rPr>
      <w:pict w14:anchorId="5457C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2"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7AAB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100C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C7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C7B2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1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1DCB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BF78" w14:textId="228EE652" w:rsidR="00943424" w:rsidRDefault="0046004C">
    <w:pPr>
      <w:pStyle w:val="Header"/>
    </w:pPr>
    <w:r>
      <w:rPr>
        <w:noProof/>
      </w:rPr>
      <w:pict w14:anchorId="0A2E0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6"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7B2A" w14:textId="595BAC1A" w:rsidR="00943424" w:rsidRDefault="0046004C">
    <w:pPr>
      <w:pStyle w:val="Header"/>
    </w:pPr>
    <w:r>
      <w:rPr>
        <w:noProof/>
      </w:rPr>
      <w:pict w14:anchorId="5F65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7"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F9F6" w14:textId="31533EE6" w:rsidR="00943424" w:rsidRDefault="0046004C">
    <w:pPr>
      <w:pStyle w:val="Header"/>
    </w:pPr>
    <w:r>
      <w:rPr>
        <w:noProof/>
      </w:rPr>
      <w:pict w14:anchorId="25B52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5"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459DE"/>
    <w:multiLevelType w:val="hybridMultilevel"/>
    <w:tmpl w:val="C400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E06039"/>
    <w:multiLevelType w:val="hybridMultilevel"/>
    <w:tmpl w:val="859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5"/>
  </w:num>
  <w:num w:numId="30">
    <w:abstractNumId w:val="11"/>
  </w:num>
  <w:num w:numId="31">
    <w:abstractNumId w:val="2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25"/>
    <w:rsid w:val="000231AB"/>
    <w:rsid w:val="00030174"/>
    <w:rsid w:val="00034B65"/>
    <w:rsid w:val="0004579C"/>
    <w:rsid w:val="00046F9C"/>
    <w:rsid w:val="000564AB"/>
    <w:rsid w:val="00056659"/>
    <w:rsid w:val="0007262C"/>
    <w:rsid w:val="00074965"/>
    <w:rsid w:val="00094DA1"/>
    <w:rsid w:val="000A47FA"/>
    <w:rsid w:val="000A65D3"/>
    <w:rsid w:val="000B1E33"/>
    <w:rsid w:val="000B7ABA"/>
    <w:rsid w:val="000D262C"/>
    <w:rsid w:val="000D689F"/>
    <w:rsid w:val="000E7B7B"/>
    <w:rsid w:val="000E7D62"/>
    <w:rsid w:val="000F653A"/>
    <w:rsid w:val="001024D7"/>
    <w:rsid w:val="00103357"/>
    <w:rsid w:val="00123C9F"/>
    <w:rsid w:val="00126190"/>
    <w:rsid w:val="00130F17"/>
    <w:rsid w:val="00131766"/>
    <w:rsid w:val="001320BF"/>
    <w:rsid w:val="001328F0"/>
    <w:rsid w:val="00134E64"/>
    <w:rsid w:val="001545F5"/>
    <w:rsid w:val="00160671"/>
    <w:rsid w:val="00163BC4"/>
    <w:rsid w:val="00167959"/>
    <w:rsid w:val="00191062"/>
    <w:rsid w:val="001918C3"/>
    <w:rsid w:val="00192B72"/>
    <w:rsid w:val="00197F4B"/>
    <w:rsid w:val="001A29D8"/>
    <w:rsid w:val="001A5CAA"/>
    <w:rsid w:val="001B0427"/>
    <w:rsid w:val="001B5F8D"/>
    <w:rsid w:val="001C4A0C"/>
    <w:rsid w:val="001D3A51"/>
    <w:rsid w:val="001E10D2"/>
    <w:rsid w:val="001E25B4"/>
    <w:rsid w:val="001E2A8A"/>
    <w:rsid w:val="001E2E3E"/>
    <w:rsid w:val="001E44FE"/>
    <w:rsid w:val="00200595"/>
    <w:rsid w:val="00204835"/>
    <w:rsid w:val="00214644"/>
    <w:rsid w:val="00231920"/>
    <w:rsid w:val="0023195C"/>
    <w:rsid w:val="002376EB"/>
    <w:rsid w:val="0024282C"/>
    <w:rsid w:val="00244092"/>
    <w:rsid w:val="002460DC"/>
    <w:rsid w:val="00250985"/>
    <w:rsid w:val="00251F66"/>
    <w:rsid w:val="00252DDA"/>
    <w:rsid w:val="002556F6"/>
    <w:rsid w:val="00267190"/>
    <w:rsid w:val="00280906"/>
    <w:rsid w:val="00283105"/>
    <w:rsid w:val="00284C4C"/>
    <w:rsid w:val="00287E68"/>
    <w:rsid w:val="00295D00"/>
    <w:rsid w:val="00296416"/>
    <w:rsid w:val="00296529"/>
    <w:rsid w:val="002A34E9"/>
    <w:rsid w:val="002A5401"/>
    <w:rsid w:val="002A64F6"/>
    <w:rsid w:val="002B27FB"/>
    <w:rsid w:val="002B685A"/>
    <w:rsid w:val="002C57D2"/>
    <w:rsid w:val="002D1BA1"/>
    <w:rsid w:val="002D5069"/>
    <w:rsid w:val="002D5760"/>
    <w:rsid w:val="002E0D56"/>
    <w:rsid w:val="002F28F8"/>
    <w:rsid w:val="0030236D"/>
    <w:rsid w:val="00310337"/>
    <w:rsid w:val="003111C6"/>
    <w:rsid w:val="00315186"/>
    <w:rsid w:val="00324467"/>
    <w:rsid w:val="0033343E"/>
    <w:rsid w:val="00334B90"/>
    <w:rsid w:val="003512C2"/>
    <w:rsid w:val="00351763"/>
    <w:rsid w:val="00361887"/>
    <w:rsid w:val="00365188"/>
    <w:rsid w:val="00371FB6"/>
    <w:rsid w:val="00375005"/>
    <w:rsid w:val="003763C1"/>
    <w:rsid w:val="00376BBE"/>
    <w:rsid w:val="0039224F"/>
    <w:rsid w:val="00394D11"/>
    <w:rsid w:val="003A43A4"/>
    <w:rsid w:val="003A7E18"/>
    <w:rsid w:val="003C4C86"/>
    <w:rsid w:val="003C6258"/>
    <w:rsid w:val="003D388E"/>
    <w:rsid w:val="003E2457"/>
    <w:rsid w:val="003E2904"/>
    <w:rsid w:val="003E504F"/>
    <w:rsid w:val="00401927"/>
    <w:rsid w:val="00402B7D"/>
    <w:rsid w:val="00403076"/>
    <w:rsid w:val="0041027F"/>
    <w:rsid w:val="00412475"/>
    <w:rsid w:val="0042075C"/>
    <w:rsid w:val="00423789"/>
    <w:rsid w:val="00440F43"/>
    <w:rsid w:val="00441B6F"/>
    <w:rsid w:val="00446221"/>
    <w:rsid w:val="00446C76"/>
    <w:rsid w:val="00447808"/>
    <w:rsid w:val="00450E62"/>
    <w:rsid w:val="004539DB"/>
    <w:rsid w:val="0046004C"/>
    <w:rsid w:val="0046037C"/>
    <w:rsid w:val="00461EA8"/>
    <w:rsid w:val="00466E2A"/>
    <w:rsid w:val="00471A80"/>
    <w:rsid w:val="00471AC0"/>
    <w:rsid w:val="004830A0"/>
    <w:rsid w:val="00496C04"/>
    <w:rsid w:val="004A130C"/>
    <w:rsid w:val="004C3EBF"/>
    <w:rsid w:val="004D0D28"/>
    <w:rsid w:val="004D305E"/>
    <w:rsid w:val="004D3161"/>
    <w:rsid w:val="004D357B"/>
    <w:rsid w:val="004D4277"/>
    <w:rsid w:val="004E6A43"/>
    <w:rsid w:val="005013D5"/>
    <w:rsid w:val="00502516"/>
    <w:rsid w:val="00505F06"/>
    <w:rsid w:val="00506828"/>
    <w:rsid w:val="00507C0C"/>
    <w:rsid w:val="00520060"/>
    <w:rsid w:val="005248CF"/>
    <w:rsid w:val="0052553B"/>
    <w:rsid w:val="0053056E"/>
    <w:rsid w:val="00544552"/>
    <w:rsid w:val="00554FDA"/>
    <w:rsid w:val="00555F44"/>
    <w:rsid w:val="00556D62"/>
    <w:rsid w:val="005576F8"/>
    <w:rsid w:val="0058130C"/>
    <w:rsid w:val="005902A1"/>
    <w:rsid w:val="005A2F99"/>
    <w:rsid w:val="005C784C"/>
    <w:rsid w:val="005D17F6"/>
    <w:rsid w:val="005E5539"/>
    <w:rsid w:val="005F1FD9"/>
    <w:rsid w:val="005F7EDC"/>
    <w:rsid w:val="00602BF5"/>
    <w:rsid w:val="00602F5B"/>
    <w:rsid w:val="00607F57"/>
    <w:rsid w:val="0061420E"/>
    <w:rsid w:val="00615C38"/>
    <w:rsid w:val="00616CA8"/>
    <w:rsid w:val="00617FDD"/>
    <w:rsid w:val="00627E78"/>
    <w:rsid w:val="00630221"/>
    <w:rsid w:val="00633614"/>
    <w:rsid w:val="00633F68"/>
    <w:rsid w:val="00636EB2"/>
    <w:rsid w:val="006375B8"/>
    <w:rsid w:val="00655F3B"/>
    <w:rsid w:val="0066510A"/>
    <w:rsid w:val="00673F9F"/>
    <w:rsid w:val="0068205E"/>
    <w:rsid w:val="00686953"/>
    <w:rsid w:val="00687DEA"/>
    <w:rsid w:val="00687E67"/>
    <w:rsid w:val="00691739"/>
    <w:rsid w:val="006944C8"/>
    <w:rsid w:val="00695E15"/>
    <w:rsid w:val="006967F7"/>
    <w:rsid w:val="006A250C"/>
    <w:rsid w:val="006A56D6"/>
    <w:rsid w:val="006A7D84"/>
    <w:rsid w:val="006B21D3"/>
    <w:rsid w:val="006B5401"/>
    <w:rsid w:val="006B57D0"/>
    <w:rsid w:val="006D30FF"/>
    <w:rsid w:val="006D33C2"/>
    <w:rsid w:val="006D6940"/>
    <w:rsid w:val="006E6315"/>
    <w:rsid w:val="006F11EC"/>
    <w:rsid w:val="0070082C"/>
    <w:rsid w:val="00701AE8"/>
    <w:rsid w:val="007056BE"/>
    <w:rsid w:val="007369E6"/>
    <w:rsid w:val="0074365C"/>
    <w:rsid w:val="00746E59"/>
    <w:rsid w:val="00754C9A"/>
    <w:rsid w:val="0075599A"/>
    <w:rsid w:val="00757ED6"/>
    <w:rsid w:val="00760AE6"/>
    <w:rsid w:val="00760C5C"/>
    <w:rsid w:val="00761D52"/>
    <w:rsid w:val="00764888"/>
    <w:rsid w:val="0077749E"/>
    <w:rsid w:val="007820EB"/>
    <w:rsid w:val="00783046"/>
    <w:rsid w:val="00790ADA"/>
    <w:rsid w:val="007A16A6"/>
    <w:rsid w:val="007B43AE"/>
    <w:rsid w:val="007C5FAB"/>
    <w:rsid w:val="007D20DC"/>
    <w:rsid w:val="007D2288"/>
    <w:rsid w:val="007D4070"/>
    <w:rsid w:val="007E0689"/>
    <w:rsid w:val="007E088F"/>
    <w:rsid w:val="007E0E55"/>
    <w:rsid w:val="007F5ED9"/>
    <w:rsid w:val="007F7B32"/>
    <w:rsid w:val="00804BC2"/>
    <w:rsid w:val="00804C47"/>
    <w:rsid w:val="0081431A"/>
    <w:rsid w:val="00816B34"/>
    <w:rsid w:val="00825A6D"/>
    <w:rsid w:val="0083216F"/>
    <w:rsid w:val="00835C63"/>
    <w:rsid w:val="00853AB4"/>
    <w:rsid w:val="00860000"/>
    <w:rsid w:val="00863BD3"/>
    <w:rsid w:val="008641ED"/>
    <w:rsid w:val="00866D66"/>
    <w:rsid w:val="008671C6"/>
    <w:rsid w:val="00875803"/>
    <w:rsid w:val="008769DF"/>
    <w:rsid w:val="0088279F"/>
    <w:rsid w:val="00887AFF"/>
    <w:rsid w:val="00887C4D"/>
    <w:rsid w:val="008A0A90"/>
    <w:rsid w:val="008A4AA6"/>
    <w:rsid w:val="008B2836"/>
    <w:rsid w:val="008B459E"/>
    <w:rsid w:val="008C2069"/>
    <w:rsid w:val="008D4EEF"/>
    <w:rsid w:val="008E13AE"/>
    <w:rsid w:val="008E1506"/>
    <w:rsid w:val="008E3A37"/>
    <w:rsid w:val="008E710C"/>
    <w:rsid w:val="008F38CD"/>
    <w:rsid w:val="008F69D6"/>
    <w:rsid w:val="00901354"/>
    <w:rsid w:val="00902823"/>
    <w:rsid w:val="00907086"/>
    <w:rsid w:val="00915CA6"/>
    <w:rsid w:val="00917B26"/>
    <w:rsid w:val="00927834"/>
    <w:rsid w:val="009322F3"/>
    <w:rsid w:val="00943424"/>
    <w:rsid w:val="00946468"/>
    <w:rsid w:val="009500A6"/>
    <w:rsid w:val="00953E91"/>
    <w:rsid w:val="00956D5E"/>
    <w:rsid w:val="00957C18"/>
    <w:rsid w:val="00963FB2"/>
    <w:rsid w:val="009659BA"/>
    <w:rsid w:val="00983040"/>
    <w:rsid w:val="009A2DF3"/>
    <w:rsid w:val="009A3B0C"/>
    <w:rsid w:val="009B3FB9"/>
    <w:rsid w:val="009C2465"/>
    <w:rsid w:val="009D1191"/>
    <w:rsid w:val="009D1792"/>
    <w:rsid w:val="009D2234"/>
    <w:rsid w:val="009D35A0"/>
    <w:rsid w:val="009D797D"/>
    <w:rsid w:val="009D7EB7"/>
    <w:rsid w:val="009E02E4"/>
    <w:rsid w:val="009E048A"/>
    <w:rsid w:val="009E08E9"/>
    <w:rsid w:val="009E3DB9"/>
    <w:rsid w:val="009E5BB7"/>
    <w:rsid w:val="009E6E35"/>
    <w:rsid w:val="009F089F"/>
    <w:rsid w:val="009F0EDA"/>
    <w:rsid w:val="009F17A0"/>
    <w:rsid w:val="009F35DC"/>
    <w:rsid w:val="00A03B96"/>
    <w:rsid w:val="00A05B19"/>
    <w:rsid w:val="00A1134E"/>
    <w:rsid w:val="00A121E0"/>
    <w:rsid w:val="00A2434A"/>
    <w:rsid w:val="00A24E7E"/>
    <w:rsid w:val="00A258C3"/>
    <w:rsid w:val="00A27AFE"/>
    <w:rsid w:val="00A347C0"/>
    <w:rsid w:val="00A375C3"/>
    <w:rsid w:val="00A51431"/>
    <w:rsid w:val="00A539AD"/>
    <w:rsid w:val="00A7007F"/>
    <w:rsid w:val="00A77BE6"/>
    <w:rsid w:val="00A93924"/>
    <w:rsid w:val="00A94063"/>
    <w:rsid w:val="00AA6219"/>
    <w:rsid w:val="00AA74E0"/>
    <w:rsid w:val="00AA7F2D"/>
    <w:rsid w:val="00AB1174"/>
    <w:rsid w:val="00AB703F"/>
    <w:rsid w:val="00AC6BB8"/>
    <w:rsid w:val="00AD2E8A"/>
    <w:rsid w:val="00AD58E9"/>
    <w:rsid w:val="00AE008F"/>
    <w:rsid w:val="00AE7C99"/>
    <w:rsid w:val="00AF42EB"/>
    <w:rsid w:val="00B01FCD"/>
    <w:rsid w:val="00B1776C"/>
    <w:rsid w:val="00B261A5"/>
    <w:rsid w:val="00B37921"/>
    <w:rsid w:val="00B41465"/>
    <w:rsid w:val="00B52583"/>
    <w:rsid w:val="00B52896"/>
    <w:rsid w:val="00B578C7"/>
    <w:rsid w:val="00B7742D"/>
    <w:rsid w:val="00B800C5"/>
    <w:rsid w:val="00B8110D"/>
    <w:rsid w:val="00B92D7A"/>
    <w:rsid w:val="00B95236"/>
    <w:rsid w:val="00B9528A"/>
    <w:rsid w:val="00B967E8"/>
    <w:rsid w:val="00B96BD9"/>
    <w:rsid w:val="00BA1B01"/>
    <w:rsid w:val="00BA2641"/>
    <w:rsid w:val="00BA2E25"/>
    <w:rsid w:val="00BB0292"/>
    <w:rsid w:val="00BB37AA"/>
    <w:rsid w:val="00BC4A47"/>
    <w:rsid w:val="00BC5331"/>
    <w:rsid w:val="00BC53A0"/>
    <w:rsid w:val="00BC7398"/>
    <w:rsid w:val="00BE0826"/>
    <w:rsid w:val="00BE3EAF"/>
    <w:rsid w:val="00BE62AD"/>
    <w:rsid w:val="00BF121F"/>
    <w:rsid w:val="00BF1F80"/>
    <w:rsid w:val="00BF73E7"/>
    <w:rsid w:val="00C166EF"/>
    <w:rsid w:val="00C16DF4"/>
    <w:rsid w:val="00C17EB0"/>
    <w:rsid w:val="00C215CB"/>
    <w:rsid w:val="00C272B3"/>
    <w:rsid w:val="00C27F5F"/>
    <w:rsid w:val="00C30A0F"/>
    <w:rsid w:val="00C32BDA"/>
    <w:rsid w:val="00C36C6C"/>
    <w:rsid w:val="00C37E61"/>
    <w:rsid w:val="00C56957"/>
    <w:rsid w:val="00C66D68"/>
    <w:rsid w:val="00C70F1B"/>
    <w:rsid w:val="00C71A47"/>
    <w:rsid w:val="00C7464C"/>
    <w:rsid w:val="00C76D1A"/>
    <w:rsid w:val="00C85588"/>
    <w:rsid w:val="00C901BA"/>
    <w:rsid w:val="00C90F8E"/>
    <w:rsid w:val="00C911D0"/>
    <w:rsid w:val="00CB7B6A"/>
    <w:rsid w:val="00CC070A"/>
    <w:rsid w:val="00CC5E75"/>
    <w:rsid w:val="00CD09BD"/>
    <w:rsid w:val="00CD2898"/>
    <w:rsid w:val="00CD32F0"/>
    <w:rsid w:val="00CD568D"/>
    <w:rsid w:val="00CD6755"/>
    <w:rsid w:val="00CD6856"/>
    <w:rsid w:val="00CE0089"/>
    <w:rsid w:val="00CE793C"/>
    <w:rsid w:val="00CF193C"/>
    <w:rsid w:val="00D06168"/>
    <w:rsid w:val="00D173F1"/>
    <w:rsid w:val="00D2186D"/>
    <w:rsid w:val="00D33212"/>
    <w:rsid w:val="00D41567"/>
    <w:rsid w:val="00D46936"/>
    <w:rsid w:val="00D524A4"/>
    <w:rsid w:val="00D528D8"/>
    <w:rsid w:val="00D6439F"/>
    <w:rsid w:val="00D65931"/>
    <w:rsid w:val="00D71DAC"/>
    <w:rsid w:val="00D74CB0"/>
    <w:rsid w:val="00D81951"/>
    <w:rsid w:val="00D8295D"/>
    <w:rsid w:val="00D83E49"/>
    <w:rsid w:val="00D90EE0"/>
    <w:rsid w:val="00D9747A"/>
    <w:rsid w:val="00DA6CD9"/>
    <w:rsid w:val="00DC2A65"/>
    <w:rsid w:val="00DD338C"/>
    <w:rsid w:val="00DD47B1"/>
    <w:rsid w:val="00DE15F0"/>
    <w:rsid w:val="00DE5663"/>
    <w:rsid w:val="00DE5D72"/>
    <w:rsid w:val="00DE5E06"/>
    <w:rsid w:val="00DE78AA"/>
    <w:rsid w:val="00E053D0"/>
    <w:rsid w:val="00E06D17"/>
    <w:rsid w:val="00E07AA0"/>
    <w:rsid w:val="00E15994"/>
    <w:rsid w:val="00E3114E"/>
    <w:rsid w:val="00E31A70"/>
    <w:rsid w:val="00E35B02"/>
    <w:rsid w:val="00E40B48"/>
    <w:rsid w:val="00E43986"/>
    <w:rsid w:val="00E446D6"/>
    <w:rsid w:val="00E6442E"/>
    <w:rsid w:val="00E66496"/>
    <w:rsid w:val="00E66B35"/>
    <w:rsid w:val="00E66E10"/>
    <w:rsid w:val="00E76551"/>
    <w:rsid w:val="00E769F6"/>
    <w:rsid w:val="00E76FFB"/>
    <w:rsid w:val="00E8407C"/>
    <w:rsid w:val="00E84F3C"/>
    <w:rsid w:val="00E97CA5"/>
    <w:rsid w:val="00EA012C"/>
    <w:rsid w:val="00EA39E0"/>
    <w:rsid w:val="00EC6A55"/>
    <w:rsid w:val="00ED0288"/>
    <w:rsid w:val="00EE52CB"/>
    <w:rsid w:val="00EE52EB"/>
    <w:rsid w:val="00EF581D"/>
    <w:rsid w:val="00EF7FD8"/>
    <w:rsid w:val="00F06F59"/>
    <w:rsid w:val="00F1101B"/>
    <w:rsid w:val="00F17001"/>
    <w:rsid w:val="00F17988"/>
    <w:rsid w:val="00F422B0"/>
    <w:rsid w:val="00F469F0"/>
    <w:rsid w:val="00F518DB"/>
    <w:rsid w:val="00F53273"/>
    <w:rsid w:val="00F53F14"/>
    <w:rsid w:val="00F55E91"/>
    <w:rsid w:val="00F56652"/>
    <w:rsid w:val="00F755E4"/>
    <w:rsid w:val="00F77D02"/>
    <w:rsid w:val="00F82E1B"/>
    <w:rsid w:val="00F879F4"/>
    <w:rsid w:val="00FA554C"/>
    <w:rsid w:val="00FB24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3B54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A64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67190"/>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C911D0"/>
    <w:rPr>
      <w:color w:val="605E5C"/>
      <w:shd w:val="clear" w:color="auto" w:fill="E1DFDD"/>
    </w:rPr>
  </w:style>
  <w:style w:type="paragraph" w:styleId="CommentSubject">
    <w:name w:val="annotation subject"/>
    <w:basedOn w:val="CommentText"/>
    <w:next w:val="CommentText"/>
    <w:link w:val="CommentSubjectChar"/>
    <w:semiHidden/>
    <w:unhideWhenUsed/>
    <w:rsid w:val="004830A0"/>
    <w:rPr>
      <w:rFonts w:ascii="Helvetica" w:hAnsi="Helvetica"/>
      <w:b/>
      <w:bCs/>
      <w:lang w:val="en-US" w:eastAsia="en-US"/>
    </w:rPr>
  </w:style>
  <w:style w:type="character" w:customStyle="1" w:styleId="CommentSubjectChar">
    <w:name w:val="Comment Subject Char"/>
    <w:basedOn w:val="CommentTextChar"/>
    <w:link w:val="CommentSubject"/>
    <w:semiHidden/>
    <w:rsid w:val="004830A0"/>
    <w:rPr>
      <w:rFonts w:ascii="Helvetica" w:hAnsi="Helvetica"/>
      <w:b/>
      <w:bCs/>
      <w:lang w:val="nb-NO" w:eastAsia="nb-NO"/>
    </w:rPr>
  </w:style>
  <w:style w:type="character" w:styleId="Strong">
    <w:name w:val="Strong"/>
    <w:basedOn w:val="DefaultParagraphFont"/>
    <w:uiPriority w:val="22"/>
    <w:qFormat/>
    <w:rsid w:val="007820EB"/>
    <w:rPr>
      <w:b/>
      <w:bCs/>
    </w:rPr>
  </w:style>
  <w:style w:type="paragraph" w:styleId="ListParagraph">
    <w:name w:val="List Paragraph"/>
    <w:basedOn w:val="Normal"/>
    <w:uiPriority w:val="34"/>
    <w:qFormat/>
    <w:rsid w:val="00AD2E8A"/>
    <w:pPr>
      <w:ind w:left="720"/>
      <w:contextualSpacing/>
    </w:pPr>
  </w:style>
  <w:style w:type="character" w:customStyle="1" w:styleId="Heading3Char">
    <w:name w:val="Heading 3 Char"/>
    <w:basedOn w:val="DefaultParagraphFont"/>
    <w:link w:val="Heading3"/>
    <w:semiHidden/>
    <w:rsid w:val="002A64F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261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098471">
      <w:bodyDiv w:val="1"/>
      <w:marLeft w:val="0"/>
      <w:marRight w:val="0"/>
      <w:marTop w:val="0"/>
      <w:marBottom w:val="0"/>
      <w:divBdr>
        <w:top w:val="none" w:sz="0" w:space="0" w:color="auto"/>
        <w:left w:val="none" w:sz="0" w:space="0" w:color="auto"/>
        <w:bottom w:val="none" w:sz="0" w:space="0" w:color="auto"/>
        <w:right w:val="none" w:sz="0" w:space="0" w:color="auto"/>
      </w:divBdr>
    </w:div>
    <w:div w:id="74598498">
      <w:bodyDiv w:val="1"/>
      <w:marLeft w:val="0"/>
      <w:marRight w:val="0"/>
      <w:marTop w:val="0"/>
      <w:marBottom w:val="0"/>
      <w:divBdr>
        <w:top w:val="none" w:sz="0" w:space="0" w:color="auto"/>
        <w:left w:val="none" w:sz="0" w:space="0" w:color="auto"/>
        <w:bottom w:val="none" w:sz="0" w:space="0" w:color="auto"/>
        <w:right w:val="none" w:sz="0" w:space="0" w:color="auto"/>
      </w:divBdr>
    </w:div>
    <w:div w:id="95256512">
      <w:bodyDiv w:val="1"/>
      <w:marLeft w:val="0"/>
      <w:marRight w:val="0"/>
      <w:marTop w:val="0"/>
      <w:marBottom w:val="0"/>
      <w:divBdr>
        <w:top w:val="none" w:sz="0" w:space="0" w:color="auto"/>
        <w:left w:val="none" w:sz="0" w:space="0" w:color="auto"/>
        <w:bottom w:val="none" w:sz="0" w:space="0" w:color="auto"/>
        <w:right w:val="none" w:sz="0" w:space="0" w:color="auto"/>
      </w:divBdr>
    </w:div>
    <w:div w:id="131289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176891">
      <w:bodyDiv w:val="1"/>
      <w:marLeft w:val="0"/>
      <w:marRight w:val="0"/>
      <w:marTop w:val="0"/>
      <w:marBottom w:val="0"/>
      <w:divBdr>
        <w:top w:val="none" w:sz="0" w:space="0" w:color="auto"/>
        <w:left w:val="none" w:sz="0" w:space="0" w:color="auto"/>
        <w:bottom w:val="none" w:sz="0" w:space="0" w:color="auto"/>
        <w:right w:val="none" w:sz="0" w:space="0" w:color="auto"/>
      </w:divBdr>
    </w:div>
    <w:div w:id="293952069">
      <w:bodyDiv w:val="1"/>
      <w:marLeft w:val="0"/>
      <w:marRight w:val="0"/>
      <w:marTop w:val="0"/>
      <w:marBottom w:val="0"/>
      <w:divBdr>
        <w:top w:val="none" w:sz="0" w:space="0" w:color="auto"/>
        <w:left w:val="none" w:sz="0" w:space="0" w:color="auto"/>
        <w:bottom w:val="none" w:sz="0" w:space="0" w:color="auto"/>
        <w:right w:val="none" w:sz="0" w:space="0" w:color="auto"/>
      </w:divBdr>
    </w:div>
    <w:div w:id="299262598">
      <w:bodyDiv w:val="1"/>
      <w:marLeft w:val="0"/>
      <w:marRight w:val="0"/>
      <w:marTop w:val="0"/>
      <w:marBottom w:val="0"/>
      <w:divBdr>
        <w:top w:val="none" w:sz="0" w:space="0" w:color="auto"/>
        <w:left w:val="none" w:sz="0" w:space="0" w:color="auto"/>
        <w:bottom w:val="none" w:sz="0" w:space="0" w:color="auto"/>
        <w:right w:val="none" w:sz="0" w:space="0" w:color="auto"/>
      </w:divBdr>
    </w:div>
    <w:div w:id="342979546">
      <w:bodyDiv w:val="1"/>
      <w:marLeft w:val="0"/>
      <w:marRight w:val="0"/>
      <w:marTop w:val="0"/>
      <w:marBottom w:val="0"/>
      <w:divBdr>
        <w:top w:val="none" w:sz="0" w:space="0" w:color="auto"/>
        <w:left w:val="none" w:sz="0" w:space="0" w:color="auto"/>
        <w:bottom w:val="none" w:sz="0" w:space="0" w:color="auto"/>
        <w:right w:val="none" w:sz="0" w:space="0" w:color="auto"/>
      </w:divBdr>
      <w:divsChild>
        <w:div w:id="1307705514">
          <w:marLeft w:val="0"/>
          <w:marRight w:val="0"/>
          <w:marTop w:val="0"/>
          <w:marBottom w:val="0"/>
          <w:divBdr>
            <w:top w:val="none" w:sz="0" w:space="0" w:color="auto"/>
            <w:left w:val="none" w:sz="0" w:space="0" w:color="auto"/>
            <w:bottom w:val="none" w:sz="0" w:space="0" w:color="auto"/>
            <w:right w:val="none" w:sz="0" w:space="0" w:color="auto"/>
          </w:divBdr>
          <w:divsChild>
            <w:div w:id="1698236432">
              <w:marLeft w:val="0"/>
              <w:marRight w:val="0"/>
              <w:marTop w:val="0"/>
              <w:marBottom w:val="0"/>
              <w:divBdr>
                <w:top w:val="none" w:sz="0" w:space="0" w:color="auto"/>
                <w:left w:val="none" w:sz="0" w:space="0" w:color="auto"/>
                <w:bottom w:val="none" w:sz="0" w:space="0" w:color="auto"/>
                <w:right w:val="none" w:sz="0" w:space="0" w:color="auto"/>
              </w:divBdr>
              <w:divsChild>
                <w:div w:id="1616864009">
                  <w:marLeft w:val="0"/>
                  <w:marRight w:val="0"/>
                  <w:marTop w:val="0"/>
                  <w:marBottom w:val="0"/>
                  <w:divBdr>
                    <w:top w:val="none" w:sz="0" w:space="0" w:color="auto"/>
                    <w:left w:val="none" w:sz="0" w:space="0" w:color="auto"/>
                    <w:bottom w:val="none" w:sz="0" w:space="0" w:color="auto"/>
                    <w:right w:val="none" w:sz="0" w:space="0" w:color="auto"/>
                  </w:divBdr>
                  <w:divsChild>
                    <w:div w:id="1434325673">
                      <w:marLeft w:val="0"/>
                      <w:marRight w:val="0"/>
                      <w:marTop w:val="0"/>
                      <w:marBottom w:val="0"/>
                      <w:divBdr>
                        <w:top w:val="none" w:sz="0" w:space="0" w:color="auto"/>
                        <w:left w:val="none" w:sz="0" w:space="0" w:color="auto"/>
                        <w:bottom w:val="none" w:sz="0" w:space="0" w:color="auto"/>
                        <w:right w:val="none" w:sz="0" w:space="0" w:color="auto"/>
                      </w:divBdr>
                      <w:divsChild>
                        <w:div w:id="623854092">
                          <w:marLeft w:val="0"/>
                          <w:marRight w:val="0"/>
                          <w:marTop w:val="0"/>
                          <w:marBottom w:val="0"/>
                          <w:divBdr>
                            <w:top w:val="none" w:sz="0" w:space="0" w:color="auto"/>
                            <w:left w:val="none" w:sz="0" w:space="0" w:color="auto"/>
                            <w:bottom w:val="none" w:sz="0" w:space="0" w:color="auto"/>
                            <w:right w:val="none" w:sz="0" w:space="0" w:color="auto"/>
                          </w:divBdr>
                          <w:divsChild>
                            <w:div w:id="1977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73394">
      <w:bodyDiv w:val="1"/>
      <w:marLeft w:val="0"/>
      <w:marRight w:val="0"/>
      <w:marTop w:val="0"/>
      <w:marBottom w:val="0"/>
      <w:divBdr>
        <w:top w:val="none" w:sz="0" w:space="0" w:color="auto"/>
        <w:left w:val="none" w:sz="0" w:space="0" w:color="auto"/>
        <w:bottom w:val="none" w:sz="0" w:space="0" w:color="auto"/>
        <w:right w:val="none" w:sz="0" w:space="0" w:color="auto"/>
      </w:divBdr>
    </w:div>
    <w:div w:id="448277025">
      <w:bodyDiv w:val="1"/>
      <w:marLeft w:val="0"/>
      <w:marRight w:val="0"/>
      <w:marTop w:val="0"/>
      <w:marBottom w:val="0"/>
      <w:divBdr>
        <w:top w:val="none" w:sz="0" w:space="0" w:color="auto"/>
        <w:left w:val="none" w:sz="0" w:space="0" w:color="auto"/>
        <w:bottom w:val="none" w:sz="0" w:space="0" w:color="auto"/>
        <w:right w:val="none" w:sz="0" w:space="0" w:color="auto"/>
      </w:divBdr>
    </w:div>
    <w:div w:id="506602852">
      <w:bodyDiv w:val="1"/>
      <w:marLeft w:val="0"/>
      <w:marRight w:val="0"/>
      <w:marTop w:val="0"/>
      <w:marBottom w:val="0"/>
      <w:divBdr>
        <w:top w:val="none" w:sz="0" w:space="0" w:color="auto"/>
        <w:left w:val="none" w:sz="0" w:space="0" w:color="auto"/>
        <w:bottom w:val="none" w:sz="0" w:space="0" w:color="auto"/>
        <w:right w:val="none" w:sz="0" w:space="0" w:color="auto"/>
      </w:divBdr>
    </w:div>
    <w:div w:id="536741321">
      <w:bodyDiv w:val="1"/>
      <w:marLeft w:val="0"/>
      <w:marRight w:val="0"/>
      <w:marTop w:val="0"/>
      <w:marBottom w:val="0"/>
      <w:divBdr>
        <w:top w:val="none" w:sz="0" w:space="0" w:color="auto"/>
        <w:left w:val="none" w:sz="0" w:space="0" w:color="auto"/>
        <w:bottom w:val="none" w:sz="0" w:space="0" w:color="auto"/>
        <w:right w:val="none" w:sz="0" w:space="0" w:color="auto"/>
      </w:divBdr>
    </w:div>
    <w:div w:id="614799397">
      <w:bodyDiv w:val="1"/>
      <w:marLeft w:val="0"/>
      <w:marRight w:val="0"/>
      <w:marTop w:val="0"/>
      <w:marBottom w:val="0"/>
      <w:divBdr>
        <w:top w:val="none" w:sz="0" w:space="0" w:color="auto"/>
        <w:left w:val="none" w:sz="0" w:space="0" w:color="auto"/>
        <w:bottom w:val="none" w:sz="0" w:space="0" w:color="auto"/>
        <w:right w:val="none" w:sz="0" w:space="0" w:color="auto"/>
      </w:divBdr>
      <w:divsChild>
        <w:div w:id="1681198922">
          <w:marLeft w:val="0"/>
          <w:marRight w:val="0"/>
          <w:marTop w:val="0"/>
          <w:marBottom w:val="0"/>
          <w:divBdr>
            <w:top w:val="none" w:sz="0" w:space="0" w:color="auto"/>
            <w:left w:val="none" w:sz="0" w:space="0" w:color="auto"/>
            <w:bottom w:val="none" w:sz="0" w:space="0" w:color="auto"/>
            <w:right w:val="none" w:sz="0" w:space="0" w:color="auto"/>
          </w:divBdr>
          <w:divsChild>
            <w:div w:id="1553734640">
              <w:marLeft w:val="0"/>
              <w:marRight w:val="0"/>
              <w:marTop w:val="0"/>
              <w:marBottom w:val="0"/>
              <w:divBdr>
                <w:top w:val="none" w:sz="0" w:space="0" w:color="auto"/>
                <w:left w:val="none" w:sz="0" w:space="0" w:color="auto"/>
                <w:bottom w:val="none" w:sz="0" w:space="0" w:color="auto"/>
                <w:right w:val="none" w:sz="0" w:space="0" w:color="auto"/>
              </w:divBdr>
              <w:divsChild>
                <w:div w:id="1623465218">
                  <w:marLeft w:val="0"/>
                  <w:marRight w:val="0"/>
                  <w:marTop w:val="0"/>
                  <w:marBottom w:val="0"/>
                  <w:divBdr>
                    <w:top w:val="none" w:sz="0" w:space="0" w:color="auto"/>
                    <w:left w:val="none" w:sz="0" w:space="0" w:color="auto"/>
                    <w:bottom w:val="none" w:sz="0" w:space="0" w:color="auto"/>
                    <w:right w:val="none" w:sz="0" w:space="0" w:color="auto"/>
                  </w:divBdr>
                  <w:divsChild>
                    <w:div w:id="235677488">
                      <w:marLeft w:val="0"/>
                      <w:marRight w:val="0"/>
                      <w:marTop w:val="0"/>
                      <w:marBottom w:val="0"/>
                      <w:divBdr>
                        <w:top w:val="none" w:sz="0" w:space="0" w:color="auto"/>
                        <w:left w:val="none" w:sz="0" w:space="0" w:color="auto"/>
                        <w:bottom w:val="none" w:sz="0" w:space="0" w:color="auto"/>
                        <w:right w:val="none" w:sz="0" w:space="0" w:color="auto"/>
                      </w:divBdr>
                      <w:divsChild>
                        <w:div w:id="2072650995">
                          <w:marLeft w:val="0"/>
                          <w:marRight w:val="0"/>
                          <w:marTop w:val="0"/>
                          <w:marBottom w:val="0"/>
                          <w:divBdr>
                            <w:top w:val="none" w:sz="0" w:space="0" w:color="auto"/>
                            <w:left w:val="none" w:sz="0" w:space="0" w:color="auto"/>
                            <w:bottom w:val="none" w:sz="0" w:space="0" w:color="auto"/>
                            <w:right w:val="none" w:sz="0" w:space="0" w:color="auto"/>
                          </w:divBdr>
                          <w:divsChild>
                            <w:div w:id="1969161880">
                              <w:marLeft w:val="0"/>
                              <w:marRight w:val="0"/>
                              <w:marTop w:val="0"/>
                              <w:marBottom w:val="0"/>
                              <w:divBdr>
                                <w:top w:val="none" w:sz="0" w:space="0" w:color="auto"/>
                                <w:left w:val="none" w:sz="0" w:space="0" w:color="auto"/>
                                <w:bottom w:val="none" w:sz="0" w:space="0" w:color="auto"/>
                                <w:right w:val="none" w:sz="0" w:space="0" w:color="auto"/>
                              </w:divBdr>
                              <w:divsChild>
                                <w:div w:id="700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330567">
      <w:bodyDiv w:val="1"/>
      <w:marLeft w:val="0"/>
      <w:marRight w:val="0"/>
      <w:marTop w:val="0"/>
      <w:marBottom w:val="0"/>
      <w:divBdr>
        <w:top w:val="none" w:sz="0" w:space="0" w:color="auto"/>
        <w:left w:val="none" w:sz="0" w:space="0" w:color="auto"/>
        <w:bottom w:val="none" w:sz="0" w:space="0" w:color="auto"/>
        <w:right w:val="none" w:sz="0" w:space="0" w:color="auto"/>
      </w:divBdr>
    </w:div>
    <w:div w:id="840704370">
      <w:bodyDiv w:val="1"/>
      <w:marLeft w:val="0"/>
      <w:marRight w:val="0"/>
      <w:marTop w:val="0"/>
      <w:marBottom w:val="0"/>
      <w:divBdr>
        <w:top w:val="none" w:sz="0" w:space="0" w:color="auto"/>
        <w:left w:val="none" w:sz="0" w:space="0" w:color="auto"/>
        <w:bottom w:val="none" w:sz="0" w:space="0" w:color="auto"/>
        <w:right w:val="none" w:sz="0" w:space="0" w:color="auto"/>
      </w:divBdr>
    </w:div>
    <w:div w:id="943458342">
      <w:bodyDiv w:val="1"/>
      <w:marLeft w:val="0"/>
      <w:marRight w:val="0"/>
      <w:marTop w:val="0"/>
      <w:marBottom w:val="0"/>
      <w:divBdr>
        <w:top w:val="none" w:sz="0" w:space="0" w:color="auto"/>
        <w:left w:val="none" w:sz="0" w:space="0" w:color="auto"/>
        <w:bottom w:val="none" w:sz="0" w:space="0" w:color="auto"/>
        <w:right w:val="none" w:sz="0" w:space="0" w:color="auto"/>
      </w:divBdr>
    </w:div>
    <w:div w:id="9522479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1497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198461">
      <w:bodyDiv w:val="1"/>
      <w:marLeft w:val="0"/>
      <w:marRight w:val="0"/>
      <w:marTop w:val="0"/>
      <w:marBottom w:val="0"/>
      <w:divBdr>
        <w:top w:val="none" w:sz="0" w:space="0" w:color="auto"/>
        <w:left w:val="none" w:sz="0" w:space="0" w:color="auto"/>
        <w:bottom w:val="none" w:sz="0" w:space="0" w:color="auto"/>
        <w:right w:val="none" w:sz="0" w:space="0" w:color="auto"/>
      </w:divBdr>
    </w:div>
    <w:div w:id="1512451141">
      <w:bodyDiv w:val="1"/>
      <w:marLeft w:val="0"/>
      <w:marRight w:val="0"/>
      <w:marTop w:val="0"/>
      <w:marBottom w:val="0"/>
      <w:divBdr>
        <w:top w:val="none" w:sz="0" w:space="0" w:color="auto"/>
        <w:left w:val="none" w:sz="0" w:space="0" w:color="auto"/>
        <w:bottom w:val="none" w:sz="0" w:space="0" w:color="auto"/>
        <w:right w:val="none" w:sz="0" w:space="0" w:color="auto"/>
      </w:divBdr>
    </w:div>
    <w:div w:id="1524897474">
      <w:bodyDiv w:val="1"/>
      <w:marLeft w:val="0"/>
      <w:marRight w:val="0"/>
      <w:marTop w:val="0"/>
      <w:marBottom w:val="0"/>
      <w:divBdr>
        <w:top w:val="none" w:sz="0" w:space="0" w:color="auto"/>
        <w:left w:val="none" w:sz="0" w:space="0" w:color="auto"/>
        <w:bottom w:val="none" w:sz="0" w:space="0" w:color="auto"/>
        <w:right w:val="none" w:sz="0" w:space="0" w:color="auto"/>
      </w:divBdr>
    </w:div>
    <w:div w:id="1623920727">
      <w:bodyDiv w:val="1"/>
      <w:marLeft w:val="0"/>
      <w:marRight w:val="0"/>
      <w:marTop w:val="0"/>
      <w:marBottom w:val="0"/>
      <w:divBdr>
        <w:top w:val="none" w:sz="0" w:space="0" w:color="auto"/>
        <w:left w:val="none" w:sz="0" w:space="0" w:color="auto"/>
        <w:bottom w:val="none" w:sz="0" w:space="0" w:color="auto"/>
        <w:right w:val="none" w:sz="0" w:space="0" w:color="auto"/>
      </w:divBdr>
    </w:div>
    <w:div w:id="17392800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242091">
      <w:bodyDiv w:val="1"/>
      <w:marLeft w:val="0"/>
      <w:marRight w:val="0"/>
      <w:marTop w:val="0"/>
      <w:marBottom w:val="0"/>
      <w:divBdr>
        <w:top w:val="none" w:sz="0" w:space="0" w:color="auto"/>
        <w:left w:val="none" w:sz="0" w:space="0" w:color="auto"/>
        <w:bottom w:val="none" w:sz="0" w:space="0" w:color="auto"/>
        <w:right w:val="none" w:sz="0" w:space="0" w:color="auto"/>
      </w:divBdr>
    </w:div>
    <w:div w:id="2042127681">
      <w:bodyDiv w:val="1"/>
      <w:marLeft w:val="0"/>
      <w:marRight w:val="0"/>
      <w:marTop w:val="0"/>
      <w:marBottom w:val="0"/>
      <w:divBdr>
        <w:top w:val="none" w:sz="0" w:space="0" w:color="auto"/>
        <w:left w:val="none" w:sz="0" w:space="0" w:color="auto"/>
        <w:bottom w:val="none" w:sz="0" w:space="0" w:color="auto"/>
        <w:right w:val="none" w:sz="0" w:space="0" w:color="auto"/>
      </w:divBdr>
    </w:div>
    <w:div w:id="20916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bbamem.2007.04.005"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2/cpz1.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micb.2015.01284" TargetMode="Externa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3390/ijms18030501" TargetMode="External"/><Relationship Id="rId20" Type="http://schemas.openxmlformats.org/officeDocument/2006/relationships/hyperlink" Target="https://doi.org/10.1099/jmm.0.00159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128/mbio.01378-20" TargetMode="External"/><Relationship Id="rId23" Type="http://schemas.openxmlformats.org/officeDocument/2006/relationships/hyperlink" Target="https://doi.org/10.7554/eLife.4109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86/s12903-021-0174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ijms2019470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496E-A6BB-4719-83BC-906727A5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376</TotalTime>
  <Pages>11</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206</cp:revision>
  <cp:lastPrinted>1999-07-06T11:00:00Z</cp:lastPrinted>
  <dcterms:created xsi:type="dcterms:W3CDTF">2026-05-11T12:39:00Z</dcterms:created>
  <dcterms:modified xsi:type="dcterms:W3CDTF">2026-05-15T07:03:00Z</dcterms:modified>
</cp:coreProperties>
</file>