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1925" w14:textId="77777777" w:rsidR="009D1F61" w:rsidRDefault="00000000" w:rsidP="00331442">
      <w:pPr>
        <w:pStyle w:val="Title"/>
        <w:jc w:val="both"/>
      </w:pPr>
      <w:r>
        <w:rPr>
          <w:color w:val="000000"/>
        </w:rPr>
        <w:t>Effects of Atrazine and Dichlorvos on Soil Microbial Biomass and Snail Toxicity: A Microcosm Study</w:t>
      </w:r>
    </w:p>
    <w:p w14:paraId="6B6385E4" w14:textId="77777777" w:rsidR="009D1F61" w:rsidRDefault="00000000" w:rsidP="00331442">
      <w:pPr>
        <w:jc w:val="both"/>
      </w:pPr>
      <w:r>
        <w:rPr>
          <w:color w:val="000000"/>
        </w:rPr>
        <w:t>T. L. Ataikiru</w:t>
      </w:r>
      <w:r>
        <w:rPr>
          <w:color w:val="000000"/>
          <w:vertAlign w:val="superscript"/>
        </w:rPr>
        <w:t>1</w:t>
      </w:r>
      <w:r>
        <w:rPr>
          <w:color w:val="000000"/>
        </w:rPr>
        <w:t>* and A.C. Ibezute</w:t>
      </w:r>
      <w:r>
        <w:rPr>
          <w:color w:val="000000"/>
          <w:vertAlign w:val="superscript"/>
        </w:rPr>
        <w:t>2</w:t>
      </w:r>
    </w:p>
    <w:p w14:paraId="641479C8" w14:textId="77777777" w:rsidR="009D1F61" w:rsidRDefault="00000000" w:rsidP="00331442">
      <w:pPr>
        <w:jc w:val="both"/>
      </w:pPr>
      <w:r>
        <w:rPr>
          <w:b/>
          <w:bCs/>
          <w:color w:val="000000"/>
        </w:rPr>
        <w:t>ataikiru.tega@fupre.edu.ng; emekaibezute2@gmail.com</w:t>
      </w:r>
    </w:p>
    <w:p w14:paraId="0090D489" w14:textId="77777777" w:rsidR="009D1F61" w:rsidRDefault="00000000" w:rsidP="00331442">
      <w:pPr>
        <w:jc w:val="both"/>
      </w:pPr>
      <w:r>
        <w:rPr>
          <w:color w:val="000000"/>
          <w:vertAlign w:val="superscript"/>
        </w:rPr>
        <w:t>1</w:t>
      </w:r>
      <w:r>
        <w:rPr>
          <w:color w:val="000000"/>
        </w:rPr>
        <w:t>Department of Microbiology, Federal University of Petroleum Resources, Effurun, Delta State, Nigeria.</w:t>
      </w:r>
    </w:p>
    <w:p w14:paraId="4F364E4E" w14:textId="77777777" w:rsidR="009D1F61" w:rsidRDefault="00000000" w:rsidP="00331442">
      <w:pPr>
        <w:jc w:val="both"/>
      </w:pPr>
      <w:r>
        <w:rPr>
          <w:color w:val="000000"/>
          <w:vertAlign w:val="superscript"/>
        </w:rPr>
        <w:t>2</w:t>
      </w:r>
      <w:r>
        <w:rPr>
          <w:color w:val="000000"/>
        </w:rPr>
        <w:t>Department of Environmental Management and Toxicology, Federal University of Petroleum Resources, Effurun, Delta State, Nigeria.</w:t>
      </w:r>
    </w:p>
    <w:p w14:paraId="7166EB90" w14:textId="77777777" w:rsidR="009D1F61" w:rsidRDefault="00000000" w:rsidP="00331442">
      <w:pPr>
        <w:jc w:val="both"/>
      </w:pPr>
      <w:r>
        <w:rPr>
          <w:color w:val="000000"/>
        </w:rPr>
        <w:t xml:space="preserve">*Corresponding author email: </w:t>
      </w:r>
      <w:r>
        <w:rPr>
          <w:b/>
          <w:bCs/>
          <w:color w:val="000000"/>
        </w:rPr>
        <w:t>ataikiru.tega@fupre.edu.ng</w:t>
      </w:r>
    </w:p>
    <w:p w14:paraId="1467E7D4" w14:textId="77777777" w:rsidR="009D1F61" w:rsidRDefault="00000000" w:rsidP="00331442">
      <w:pPr>
        <w:jc w:val="both"/>
      </w:pPr>
      <w:r>
        <w:rPr>
          <w:b/>
          <w:bCs/>
          <w:color w:val="000000"/>
        </w:rPr>
        <w:t>Abstract</w:t>
      </w:r>
    </w:p>
    <w:p w14:paraId="713574DF" w14:textId="77777777" w:rsidR="009D1F61" w:rsidRDefault="00000000" w:rsidP="00331442">
      <w:pPr>
        <w:jc w:val="both"/>
      </w:pPr>
      <w:r>
        <w:rPr>
          <w:color w:val="000000"/>
        </w:rPr>
        <w:t xml:space="preserve">This study investigated the effects of Atrazine and Dichlorvos on microbial biomass carbon (MB-C), nitrogen (MB-N), phosphorus (MB-P), soil microbial populations, and snail toxicity in a controlled microcosm. Surface soils (0–15 cm) from pesticide-free plots at the Federal University of Petroleum Resources, Effurun, Nigeria, were characterized and treated with manufacturer-recommended doses of both pesticides for 8 weeks. Contaminated and uncontaminated soils were assessed weekly for organic carbon, MB-C, MB-N, MB-P, and microbial population changes using aerobic plate counts. The soil was moderately acidic (pH 6.70), with a total organic carbon content of 3.316%, nitrogen content of 0.3029%, and concentrations of phosphate (26.32 mg/kg) and nitrate (36.28 mg/kg). Baseline microbial counts were 6.30 × 10⁷ CFU/g for bacteria and 1.41 × 10⁵ CFU/g for fungi. Both pesticides caused initial reductions in MB-C, MB-N, and MB-P, followed by recovery by day 28, when MB-C (293 µg/g), MB-N (18.5 µg/g), and MB-P (11.4 µg/g) exceeded control values. Phosphate-solubilizing bacteria and actinomycetes declined notably. Acute toxicity tests using </w:t>
      </w:r>
      <w:r>
        <w:rPr>
          <w:i/>
          <w:iCs/>
          <w:color w:val="000000"/>
        </w:rPr>
        <w:t xml:space="preserve">Helix </w:t>
      </w:r>
      <w:proofErr w:type="spellStart"/>
      <w:r>
        <w:rPr>
          <w:i/>
          <w:iCs/>
          <w:color w:val="000000"/>
        </w:rPr>
        <w:t>aspersa</w:t>
      </w:r>
      <w:proofErr w:type="spellEnd"/>
      <w:r>
        <w:rPr>
          <w:color w:val="000000"/>
        </w:rPr>
        <w:t xml:space="preserve"> showed Dichlorvos to be far more toxic (LC₅₀: 1.13 mg/kg) than Atrazine (LC₅₀: 10.04 mg/kg). This study demonstrated distinct pesticide impacts on soil microbial functioning and non-target invertebrates.</w:t>
      </w:r>
    </w:p>
    <w:p w14:paraId="2AD18C71" w14:textId="77777777" w:rsidR="009D1F61" w:rsidRDefault="00000000" w:rsidP="00331442">
      <w:pPr>
        <w:jc w:val="both"/>
      </w:pPr>
      <w:r>
        <w:rPr>
          <w:b/>
          <w:bCs/>
          <w:color w:val="000000"/>
        </w:rPr>
        <w:t>Keywords</w:t>
      </w:r>
      <w:r>
        <w:rPr>
          <w:color w:val="000000"/>
        </w:rPr>
        <w:t>: Microbial biomass; soil quality; microbial counts; snails; Atrazine; Dichlorvos</w:t>
      </w:r>
    </w:p>
    <w:p w14:paraId="4405A796" w14:textId="77777777" w:rsidR="009D1F61" w:rsidRDefault="00000000" w:rsidP="00331442">
      <w:pPr>
        <w:jc w:val="both"/>
      </w:pPr>
      <w:r>
        <w:rPr>
          <w:b/>
          <w:bCs/>
          <w:color w:val="000000"/>
        </w:rPr>
        <w:t>1.  Introduction</w:t>
      </w:r>
    </w:p>
    <w:p w14:paraId="27FB0BD9" w14:textId="77777777" w:rsidR="009D1F61" w:rsidRDefault="00000000" w:rsidP="00331442">
      <w:pPr>
        <w:jc w:val="both"/>
      </w:pPr>
      <w:r>
        <w:rPr>
          <w:color w:val="000000"/>
        </w:rPr>
        <w:t>The intensification of agricultural activities has led to the extensive use of pesticides and herbicides, many of which persist in the environment and exert deleterious effects on non-target organisms. Among these agrochemicals, Atrazine, a triazine herbicide, and Dichlorvos, an organophosphate insecticide, are widely applied due to their effectiveness in controlling weeds and pests, respectively</w:t>
      </w:r>
      <w:hyperlink w:anchor="345b78da175c570cdc603668146e4a12" w:history="1">
        <w:r>
          <w:rPr>
            <w:rStyle w:val="Hyperlink"/>
          </w:rPr>
          <w:t>(Cruz-Alcalde et al., 2017; Pirsaheb &amp; Fattahi, 2018)</w:t>
        </w:r>
        <w:r>
          <w:rPr>
            <w:vanish/>
          </w:rPr>
          <w:t>https://dummy-citation.com/citation?d=z%3ArVlfrBxVGb%2FVYuBB4ksJKCHHEvBe2dmd2b27926x0NJtaaV%2FLvdewFhIPDtzduf0zswZzszce7cmhJYXMWgCgRhNJKKJvpio0ZcmmBDkwUSDTybG%2BKDEBx78Eyklmhrj7zszuzu7vS29vSSU7syc853v%2F%2Fl%2Bv56%2FMHNTP1AuT5W%2BMLPrTMz74mQWdoV2nfp8T2nZl9HuMPZ6R2XfD%2FAnTbBOmi1SRcmLF2Y%2B5nW7avPCzO6eL2jB5Qf%2FF8y8MTMz4wWil14%2BUPnW8QN4clMVXz5w5IVXv4IHsSG91L984NH%2F%2FPh7eCydu%2BvDBe49dycetha42z7Hdibw4V%2Fvf7YkcOWBI%2FS4A4HHPnbLhMD9P6OVOxD4xf0fTAj8wu93KPCRjTcpCiOB9%2F%2BSArYDgcd%2Fzid9%2BLUd%2BvDE3y369NEF5dTsbycF7lTDJcdk%2BVDg0q1%2F3aEPl96ulxP7Nrv3550JfDTYRRI%2BOpOXb9lb1nDnQVn%2B4b8mNNxxpawc%2BgM9jDXcQ487EfiXH03W8vvbFzjRD1ef%2BcZEP7z82rQPxdOZSsVg9zvHIlcLnoiEyYi5PHKFxi9XegI%2FK0xEnnK1jATzZKKzmNpzhXWlTn3miZ5w04TNtxmPPNYXkUily8Iszbs441qwRIWCqR5LfcFcX6sIK1x8hAJ0QsJSxfws5BHzBQ8gNfV5yny%2BLljTZl0hIpyscU4wYIGM1oRHO2KR4CgoycRmrJIMB51uPFVlB4NEVZhMmUzYhggCay1SG1Euc7QnITtZ02HYKRhnWiZrJFRBR41D1mXUZ0ksXImlp%2Bch9qjaEOtCV1gC1whjC%2B9r6WZBmmkesAxychvxo1mHoSKULg%2Fg1ITh1CBgkYCxCdcDOklERmWf63UoxZ7OeCDTgfFiTymPxRrBcXNfl9RuNsh1qYwylSXwh4hSKMyxnfyuRaIyTS4NuYzweV3CtixSvR4UVzJggeCuT8YpDfs0HzBPyx7k9dnpJsxszrMTSgtlTDXKcE120aFadjOzEurLEAoiQKkP8%2FCzG4jQqJDIlHQhtUMFw8Y%2BaUJIGKss8vK0gLIySXmUkjzIX4ct2AdfbnBjFE7f4Ekq8scUOZqGWIOAtJ6C0AzeaFGiUvIatVAWGh5Zl8gxWglRsdB0CuWZEciTRLkSAuFhOBgnYhFFP4HtC6y5yDrS9QOl11XCZuuVutWRvotnhZQYBEjEUKQ%2BfsS%2BSmLkFAqk03l8aY7CzBF1LJWRkd9sw8l9Hql8qdJQeBTJKjtGKZ7k6Z1q7snceIppGAdqAAn4LFEmyAKT56jOll3KOhxtUiXBjIWyJqfypMI2lF6LA05ZQBb7qD64bOEpxDOvCPobLjcOZTHX8F4qWMvBAVTNpm5xFqoA2ip3zYjxSAwFmEcypLQ%2BvUjFhkwzUZ42tKQ3VGrVjZPIRz6Ne1QBm5A1LPxkX15QbgZFRuVMOlJ6DUvJ1KzLqdK6pLvJ41ZjmH44BwnGKbNRqegZtISdbkNNj3xyYeaT8AqVoPA6iFC%2Fbteblr0YUm6jXIQ%2BFvUU2mufZymsSJ4NkOXcTY%2Fgj9Jeu9q00d3SQGzeuyLIb%2BQq45ylDEUEFc2LVeH6kQpUf9BbV0EWitvfiEdHHB%2BNxJJa8TKP%2BgKdHbt1ki7hze1f9QMkvfl5LhiVHdR5jm6AiIe0vtfjoQwGwSGdnbUOBnCOJ0QfAYv6BwM091R5WgVi5sot3grcnS8Vh7gOxdUWysNJHGT9X71WrPaxEdXSLyQjshjYb3I9JTfvdOyqYzut2plqIuI409W67SxU7XbVbrVxaXSjZ%2FH%2FJDovncZiw2outlrSWVxoWI2F9rwb8v6Z%2BkJzoeEs2E7TV7FAGYjNtSfGL89gd5ZH7QyJtuy21bDDOOsGMkHHzgO3y1iwdjhIxLpEx3jo8bVhQ3xMB5sH%2FDSNk321mieRYDKtZt2q8LKalyDIotaVaUIlEdbq8%2FPNmtOCqu2aU2stQMtmFUiln2TddBCTj9a4RnIHYhWPuxB0oXqPyMgrvxZoP8EAawMX5eU9NDiE1pfe3sAZPaGpIXlPICuT%2FPV9RWadX9ISHQQ3wfh%2B88YdSYtQraMSelqFRZvsDpg6i85hcg%2BlQAm%2Bjy2jz6e4xtJBhbpLlAByUYPO13gZXdpT%2FdCUJDZ4ZOPNbgaXVUYuU7KKGq9dK9BXRXzCcead%2BnVgvle2mnEuZS4NMsWMc%2BdLR2mOyWeck9%2F%2FQXms67z306mhyaT1NgSe6t9axiudiy9NjcZXEdgnEVsJXNrzehkNdN7709TwvqXA%2Fy5fomVbCnzyGYKhI4FmTNy2yfeO58SlP85N%2BPDisevR8BoCH73%2F3fIk27n4%2FBRu3trk5udp2ZYCn6MvJR%2F%2B%2B0Y0pD1DNDCzWh6NOxf30eOHa7iXRGwp8OEXJoJy8YPrMXlaw7soDoXAt96Y9OFbU8P7dgWu3HtpIg%2F%2F%2BZvrMXla4BEyqxD4%2FH2TPrRvJLHLAn%2F3t4k8fP%2B2G9Fwgcq3AEAnPjuZ2O%2FcSFDKAn%2FyRAmIP%2FjuHS9eX3MoC9zbWx0HZVLggT31u7evYe3bfQrslhpe%2BtT89n1YX6uWQOSkhp%2Fxv7R9gftefmVcKVMCd6%2Fesn2THwi%2FOU6bKYF3P5ltX8POL%2BREUMqVctfX3SmqYKbAzR9PD%2BJiPUu4eLZumRtaWfOWQQcYoCJltSyZKNy28fCFU2lUmhYGOrPtfnZw9csFbsAM080v%2B64IVIR70qAsGoqHy4HEaCwztzb2YOYYYmoMt4H3uWISxwgcKoJ%2BGJMx%2FA%2FlJoAKmBW04jCa93K0jsk%2FGQASYKEZNFVQddjIKsKtGWFgGg4AGTB8T2KrK4gBVWBGwjVmTvfABLg%2BCQengFG5qzLgcowe%2Bfgvejl7gKEkhwFmt3BVMgBkC5MqYAOgo%2FHoyNedwwfnckQixu4dfz1GXwEeCAAzYDWcCWAN%2B%2BGs0bIxwcAZudtg%2Fp6wUqA7IzsEBh5iFB%2BGD3dWG8CH9Asqz56qnLI8adSzTln1cbQR%2BRwlxgMtQ%2BnJCIkxwozIE0AXhZkrt4PeWhxqQP2SSLZizc62holVt9Sm6ororNrkZ2FRZDUgcS4%2FZm4sGTByJJtM2ACnMYHNQBuUcLj6x%2FnvAiqZUMFfJWxZnWervhgMEwOOQkUAtBNgMYQADZ9WDF6D6zxuQLKYYE00XbjBeByxjBTAG%2FEFSgPsEwwfo1DOIlNTtJRAXgyZPE%2BhAZJMmedqkx1GpiVZ0MOXHMnd6vMupnXMuIObXj1G7A6yFcO%2B4Nr1kYTgWjYAJM0KmnnJT0DKXbBcHikYyKcz6VkA8ACT0E%2Br0mI6n%2Bqqp4VAqMGV9JBsImYC8JRALaiUgNgKNnt86cRh60jn8MrcGMx7QJ8BUAwROaAtIMgTsAMdIJ%2B%2FDZtCRVrmdeD8fJxPONA%2FXsSEA4oeAFaDAxMNwGTQuE8QmogNM9KTR3NrDLeGGV%2BhrmN%2FYCGOmq9LgLXUaJAbN3t06fgh67HH58BAFH7LnUNe68PiaGQdcXTgTgoPOJaCtwPkXZ50lNgmFbOwoD2QHuQ6x0JqCWB1ZA34mzy5iv4xdnJxSIUNpAhQIYa%2BYdxbB8pErzXZA2MEul8AhoN3JfFjFZTrBqyBYvRgEAy6lMT3oBSwWEnoHyEbmFZASmgm8Bc3ec0eg3Z5XJBfMiT1VZTTL6AQRIQS8KnDoeES7i%2Ba0lhzMJFEjxEzSCWGyJGsUWE4TdtyFsHTYNdC02rb91QoM6mPAkYHgyrVFconkN2CQTDxyoWhsEnpaZl2tW41bZu9%2FXqfHbccI5sCYOi1UWxBWB0%2F1Unyyr9ShA2yAxTGUEgVGBGNEzqReyOPa2qpIAzzNFle6cwxQM2suDrgUM0tD4ShuYCIdjRPxR00XWCA4MgkLeKAaBH6zonTyfk77KmXrCEbhk3V%2BHpU7RXmTK6jLmZaZQXUcHXi07BFV2DF1J1xtdtiVHQbAKlXBrLasOrV5j1mex0RaFRbW8ZSD%2F1YygzspyYH8M1jI0BjAQ6aqPENH6mW30OmcySxJHJ7Az0cHsHlCJogBWWLo4zElOs%2BirnUNijS7QXLsVsV1kbe2YvmsHYTPxe2VPaKpmiYKnPZo0cHcB%2ByUaIbgHUrVC%2B6guG9E3B%2FaN0hkRZGJwTNyi%2FKoqJzpUZcd3ULzs2xpzm3m67CubWqrTYCB%2FJnT06QBMsrh9hB6hIQWvBrN2%2BDXruj8vKIX7uj8p0Jgg3%2FZj1NgvlL2Mh90S3ItROi73vcuxpn1j%2FC05T7suDXTiLNdJku%2BwTRZdqQKOCW3EXNbbvt1NdKHNk5WbfnW1YdhErBjLXtRayqtyeYseFLL0Yb9hvN5nx90WlN8WSLlu3gv615ss1PL6sBeusK%2BB8BvgmxPER3MK7VwQRvtn9IAkFMUtWJa5ggEdXIdwh4rSC9wOvU6NCa5iXTPhLS7OS1SbM3O%2FmVa7o2tYJr3%2B%2BjJjV9yfOrXPM9FeDawR5cvsX1aXpiYu4hqvzru%2BEnx%2BeJXlAi3fZuSbpN5Mv%2FAQ%3D%3D</w:t>
        </w:r>
      </w:hyperlink>
      <w:r>
        <w:rPr>
          <w:color w:val="000000"/>
        </w:rPr>
        <w:t>. However, their widespread usage raises ecological concerns, particularly regarding soil health and biodiversity. Soils are not only physical supports for plants but also dynamic ecosystems that host diverse microbial communities and invertebrates such as snails, which play critical roles in nutrient cycling and organic matter decomposition</w:t>
      </w:r>
      <w:hyperlink w:anchor="143a7b2662c8fd282b89cbdb1ee2f371" w:history="1">
        <w:r>
          <w:rPr>
            <w:rStyle w:val="Hyperlink"/>
          </w:rPr>
          <w:t>(Joly et al., 2020; Phillips et al., 2022)</w:t>
        </w:r>
        <w:r>
          <w:rPr>
            <w:vanish/>
          </w:rPr>
          <w:t>https://dummy-citation.com/citation?d=z%3A7VlLjBxHGV4nDoEDAuUUwqvCAdnxzOw89pFlrcTrtWNv7F072Y2NJUCp7q7uLm93V7uqe2cnEmiBCBIhIbgRCck5BCK4IMgFHyIiReKGuCBxQQj5llPggJCIUPj%2B6p7entkZy9YGiYMP%2B%2Bjqqr%2F%2B9%2BPr79yaeSiIlMszpW%2FNHLme8kBs5LEjNO%2F6SstAJkfj1PPPyyCM8JMZ7JL2gFSJ%2Bd6tmQc8x1G7t2aO%2BqGgDR%2Bc%2BvT8ib%2FNzMx4kfDx9MjFf%2B3hyc1U%2BsGpLf7N1%2FEg%2BtLLwg9OXflaSu9qtx65R4IvvPyLU3WC%2Fov0eAiCV978E72qCP72D4ck%2BMiHfx4R%2BbsfjhF84B4Jfum1Nfy%2FT%2FDMlRfvjiCxMYngid%2F8fESHwedoZ52guJGrTAyO%2FnFLaC1MpiWPWMDxj0qVZ5ijBd9mnuonTOmAJ9JlMc8yoRlPPOaqBCecPBMsU8woGbEkx4pIMuYO3EgmQYP1Q%2BmGTBrGdZBzJxowlQimfJZBAs1iZTKWqAxvBBOuilQgXTDh54lrPZEdW%2BdGJayztNjmy%2BxSJO3d5%2FI046zbbreX2boYgCORMR61sNTpHW%2BxrVAYXGOZNrFhHmjHqarWKkGEBCOaeVILNwN3O5LjAcTq9x5v4BiTSbUrC7XKg5CZQSJ0IE0GglpERfCEMjWsD7pMWdoy2RE6E47mmYAewH0sXa0cPBwDnyIJeV6sb7qhyHHl0sIyOCZhd6AkXpOtTbLVjDUmzVBMSYyQ1l2Nf0mhjnBxi2AyYz53ZSQzyw0YBOOltcgswhjYj0jHErLxyLBIbguWwkbGyDwuBOBBIuxTFvKM9VUeeYW0fYlLHCIaqx3hMV8r2mSNawYmE7FVsZNb9o%2Btu1tS6IQnQxkh%2FOIyu6ClCRNu71pXIV5D9sUx2WuOCjYVSyM%2BYJxtiwHTCu7kDOBeDkR9iWSDElxi2Fc5iMqkcFi6QCt3uwGRtmkb9AOn9ySM7EjFd7iMrG%2FCwwtr7vsUtBUiCLFGbMDPWSR2BBR27Jzm%2BIdoF7Y8rxCQKblrFzKcESaVFDQ2AmpOL2E6nfHEFQ2rMvJDrgcs1cIXWmDdNCzH9TMJ7M7LWAFHNqBMKlwJ61KYTVGYFrCDznIeQdI82U4Q5IhW8toREo6wygN16YEHj0FeR%2B4oEAUvzBf9aivR1CLg2sM2jtvjpNoIpjl5FEpPBiNhZ42ky3W506ou5DH0Nj%2B%2FzFbhXO%2F%2F7m0B50IcQpGbqYB%2FadJkZ5md5nq7zEVnfVQ1j9bnoGGvr%2FT2rZlPhtyBxNDO4GNrJzOZReKplXLl5GzxPNWjwCLcjtQbIApYynVWpq2aKw%2Bjqspn1vHgXHeMS2KY6FgPHPolxaBosauhBIURE4RwJrgYnJJOW4M5yBp1DQbCxqp8acxA9hYi44OXCe5UeUzGdznFLAfvB%2FyiEnNfP7f3XsMqOJOUGJFfpY8r8giUECgObASeQYsY6EvYz8ttDBVaSpSb5Yj6CLI5MiuSn4lxJ3OUN2AGgrTYWoJgJduQOyEosQ1p0xi2gSgJ2UosNEKgwfK0D5%2BzsvTaldZcWM%2BoWGQypicldpGmrYOXbBkeQ9GUiS0TPGsgK2VFAiA9GIgPk3DI51sGQ9Wvewh5RGFP8KhyTeqEhHByGYP%2FIjIr5ZP9wQvtp%2BoEleEUiFNxRH1ABQmQkAu%2FsPUH0hikEwgxiFMO%2F3TvIqxttoXgl0IJXQtcSUUH%2BVl5Nh3lhqLZFOUWYeeU3phIUIATwZSUqsj1eTQwwrTY88LArIaZPAhwY5HwR%2FzTV1Gk%2BmQktsNR%2FmFsEsBulFBhTvmA3thbU2IVmivz1Q43cBso2bKhkma1gHSeZPBhtAKBbKAKoTgiRVlXocAZDTGKHDg1nISMXvF27CQsi6NPrSRBLpF3UU15hP0Jz%2FjJ2fJlo9qlwVe17PrDdZM7fg6%2BzP4RYmT4%2BjKCVsUDV3qcrm5Vu44zA6%2BB%2BDEcGf4kbyAMrATEXxmwpC3IactLjeMzAoUJ9kMB5nCEg8yezaGRWGXkrrA8DK2TPD64bx3u6cHQWTjQSnrThLiCuq%2BRT2AXTAS4uCZFH6odSTK%2BEMg8ReCizuuIpymWEVokzbD%2F8qllSgLDZBTllHdt1YNbTHRfOBJ%2B9YVTZF%2BrMgqbSOzSqYQSF%2FJNbmwDRv0XWgbSZZ6SR9nQCQdoVHA34steZJ2hDH7r%2BqVfIGnm7h1ilJqHKsDpYBXjrYi7%2BGOEdwbiBN12d77ZfjKmZhhJQ%2Bi1xFe3Zh4MeA4etdmLUNVRb57BDypUuzXXpisg0%2BOIrCIBbN7ISeBjYwvHo6rDBqGXqftPkLPw1%2Fd5jA4lJL%2BL0G2KAI1iEp19SWxLEbELYNijSjRz8Iy4xtG5FQf8aznKAJ%2B2NV7PdY4YQxiiJBdHggscOX8w9Yx%2FmSQQxebrWxLuGQ7YSqvYjwDBnHnU9ZTc%2FWyn3ep2uu3erDatXkubZrfbXlzsLMzudDxpnGQPv02yFyIdIRmJ3e2rc732UmduodOdv45XeWGB67BAt9npNDsLcZo7ERrHoRGOWOZ2v3hA0S8g38FbN20PfHx7aNsXdLR7Msyy1Hxldrbf77eGKdrYcy34xyz5BKoCmK74RdsPX25hmg6QJ7JBSvrYLjdu4fEIfEgoH2bx6suoxiiy2IsGAOycHqyiNc1mEM9lefauoo0xdvXR06XXXDtTVvENyofsct1HV2KF35tVvai3Nuf2iwSClOPdsDhcLYuDR5x%2F3M2hhBNDJcBQLeTZ2TvYajrQ0LkLoOGHE2bapz%2FcWavNtJ%2B%2F8GMaY4uZdjH%2BWX2Mf3x1MDbTWp8cH5Ifeyun0XoSwZPuv9%2BpEXzuV%2B%2BNjfETCX7q702asycRPP2Fd%2BoEt977%2Fl0QfPqf1%2FbYFILPvPNrumtIcOPmt8awlXsleO6NvxCyUBF8%2FRqp9BAEz7%2F68AjBm28fUuS1uFtHLjZuLh9S5Gef%2B%2FoowSOHJHhh%2FhV6ta%2FDrTGw5l4JXvzMW6MEGT0ehuB%2F%2FlqHkzZu%2FoPc8hAE129%2FYpTgTw6pw43f9%2BqxfHgdXvrlN0YJPjFOcAh4vb%2Fy%2FNba6sWzmMWRHjM7LtE8hU7GUPVHYwqEhCY3dAgKiImg7p4Kf2STJlrX0QGPxhnqg9gzmifvvqmkaX4VhRILzyq0K53bP321gcwcAU9I2Kq60W2wdY5RBHAP8juKFus12LOCJ82KADsDAh42bmYipfbn%2FLtv4K7EuCEmKqHxZpVrTEcJu9pi67mIsMjmGvMNtma4gz7gsu0J2Rz7MkgnprmiAb1t5g7gnA67aOVrUiNnG6MCDZEYwor2C6Ac0nfRbSUiiAB8FQ0e1OSKlCbEAgoSLpgrIDAgJoFQTWpLLTgRKw94SItdExiu0JYBkAFEA3QIGJvCoITOgtAoXGQ7x5EhGQ1YYRDbt2EgCHAsplpo5wY7HUwwUoudR%2FEEkoHdaNIwLdLYRq1hxRVxnYYDYx%2BIecw1TLmofJqu6mPMqAjT5FjAdyR7zRVohiinWZ%2BqqAdAC4f9HKPpgYHfwiqEce2i5mIeRasYoQfGDFXMR3Syt0D9pwOlVLMRmATMg67bQniwAzoiwEMZqFdeW7TgGFMrj8VB2zei4BPdQlJVSQ%2BBCf8AH2Qy6OsqRpZCRzQClyN2SYto1y4bts80jdn3tZCx2qnvLTVF8Cb1MuMRA1iNUEiAQQUaogUsvh9hFhWi8bTEJluY%2BmlsHRSgRqFaYAw1DoTvw0mBLw%2BvRtdW3TCGjCYuzYq4xZoGL%2BmR1DX9DPQKGaG6UvhyjC%2BnIkwLtAhbY2CzyAxFJgaUQp%2BjFivwEmrysAETawKUsTCkndQlAYAWmbRTCk2IxW4SCoEynUcECMatKi5Kc00CxI7%2B4H%2BXAO7H%2F%2F34vx%2F%2F%2F0%2FxfymHSwLx2rf0PVgwBIs%2B102oyAV4WnwNQCdV8IMhz1oEX1VAB%2B5pvdkmBor%2B4Xcl2lJHfWrWFXcHqTw0BVJZaC3N4asA8IAjxYy8s6riGFhbOWKy05K%2Blgz8HRXlsXhwBFV55SCE4VHHVgAYumrGbu%2F9qOjnpgEfLpq6EiIp27ypEEnR8JWbyy5wKlxjm8Bib0r9IRipmJp2SI11ikO%2Bij5y2qmgbCFL7Ga%2Ft5yO9dj%2BssSSip5zqhy27Sy2blMzCjmoHa3jQg9bXOgxYA2ddu%2FJWTOHrzm9ZrvbbuKb7lK3OVeDhb4tu72lpWZvYa7r4mPk9V6nvdDr9dqLSzW8aH9RpDHuCBYX5p9cWpz30lh6Ya%2FXWcRCdwxLalssqTMZS0o3ODp9wC7AGwF7SzWCHS3UsSPkceysY0ZmgkgfFWr0qDcZNjpRwkaXP%2BpBp4YWPTEBLZpiwf8C</w:t>
        </w:r>
      </w:hyperlink>
      <w:r>
        <w:rPr>
          <w:color w:val="000000"/>
        </w:rPr>
        <w:t>.</w:t>
      </w:r>
    </w:p>
    <w:p w14:paraId="65023BF4" w14:textId="77777777" w:rsidR="009D1F61" w:rsidRDefault="00000000" w:rsidP="00331442">
      <w:pPr>
        <w:jc w:val="both"/>
      </w:pPr>
      <w:r>
        <w:rPr>
          <w:color w:val="000000"/>
        </w:rPr>
        <w:t>Soil microorganisms contribute significantly to ecosystem functioning through processes such as organic matter mineralization, nitrogen fixation, and phosphorus solubilization</w:t>
      </w:r>
      <w:hyperlink w:anchor="24730a465494aa9fb836fdc53ffe51f4" w:history="1">
        <w:r>
          <w:rPr>
            <w:rStyle w:val="Hyperlink"/>
          </w:rPr>
          <w:t>(Głodowska &amp; Woźniak, 2019; Hun et al., 2026)</w:t>
        </w:r>
        <w:r>
          <w:rPr>
            <w:vanish/>
          </w:rPr>
          <w:t>https://dummy-citation.com/citation?d=z%3A7VjNjxxHFR%2FHDiAkIkEsBFKESgoBG82Od2Y%2FvOsk2GuvN3ZsbxavkZEtK9R0V3eXt7urXdW9s%2BMLljnkwAUJcQEhoYgDB7gimQsIyRLKAZFbThGBK%2FwBkS%2F8XlV%2Fjtfg2DlFljze%2Fqh69d7v%2Fd5X373Xez6Mlcdzpe%2F1DtzMeCg2i2QstLewMAyUlqFMDyWZH5yTYRTjlxusk3aLVKn56b3ec%2F54rPbu9Q4FkaAFD04%2BePnvP%2Bz1en4sgvzBqbVrf7mDOy9X2YNTw6%2Bs47onJtLPowenLr549te4bZ174BMKHP3nHbppBP6ebp9C4OJf3%2FtHS%2BCFj14%2B9QQCf0JmOYHLv3mBJNQaHt54Eg1bAld%2B9D26qTX88F1a%2BYkF%2FrkWeOLazztOObxG755Cw9eWPqBXjYY7j6fh3wiZWuCVRsPvfvmltoYXPlp8PKfMCCTHOoEn%2F%2F12W8OLh79K8p9C4Kl%2Fvd8R%2BOKvnkjDxuS1903XKRfpsKcQePpPh%2Bmm0fDW4%2FHwkQLP%2FO4P3dD75lOavP6LH7COyX26fQqnnH3n404sf%2FjuY2n4yseE%2FH4CN4pftk1%2Bk702i6G4VahcTA99cE5NxK7QfSZTlkeCeSr1RJYzFTBTmJzLlI9jwQKuE5mGTBqmuRbx1C6WSaZ0zrHDrlcyZon0tBpLlXOWiJSSr%2FAH7FL5NFah9HjMuMmEl5t6VyB0LmOZTxmEM7GXa5HQIdUBOVbwvNDCvMqiSmNo4NarIBcpK1JfYMEcy2XCc%2BEzpWFNksUiJ1GpCGOcSdqc5virJWc89VlQpKG0YsgipUOeSpMY3PGcZTHHEWwHB2kFGEqQnM5K4xwY2Ge%2BoIOUkXRLRjkxHsMCnNRneG%2BmJhcJAwhzLBTKi0QiTa4hHkp4Uw%2FSsTEtci2Bm2HXRzfY9QX8Fm8M2BUcWr0qF8MT8JWRZLTPcsXGApp6GjoQws2JMNCzegljyCN4idWxDMSAbasE1kwTchipS26yus9BPkCI%2BC5J9aUGdMxZiCdwCyBkkIn1Gcu08gucsUsOHMNrqacFN8QXCOa7XMZ8DpfWwR0jTeFFIAPLImXw04VhR7aOkgyux4Xxiphrlkw9pXUkb0Nz560ja5c2jrLrSzfIx1tzRsUFSb9tT6yce30ZwK3FRvVZKnOtQnDkyOZR5vGUsILSuwDPQkc%2BhauBbR5pVYQR6V1xtd4cyD3rb3bk9CaOh5KWB%2FWBlTGkKsheJM5v%2F4ccQAsaGEAa4yYBy2C1MORfnipohhV1FBihdyWirVa%2BUqLxHPltwM7nJECYKhYsm4uMjF2df4W08EWoue8MgjiP2IEjEQce13AP4qfISX5tXxMt148D2rco7JuYqe0Zw%2Fc7hvlqgsgQeyR4H49v9tmWlbjNjmwX8Rwk66P2eGQXkAfnW2DqcKO1Y4IShLSMorTU9h2osyFD5Ag2PDpg%2FkTpnXu9FyI%2BRpTBhOnnzAbYghBB1BCYyAmhVhPiTFQkIEWmMvDNRXQkeJxHLjhrepeaUORVYYYk0MmTvoixDlENhHmoJXyJtIWFpRC4hjixj8%2BqXOPpwqMYrfKNXQoTsJlsK51gIxqqW3EuCyL3ZZQQbLomtWaSVCcHtTNQ32YUwqETm3RSmyR46WIEB0m%2FILJgxZ5IbbqXHkw7gzQOJLqWI5fznGqB6dfeL%2FP9baGdlIyY6oHRuM2yGNDath2aUX7RqCbOhsosDnk%2ByWTc921gUQEL4kJUpGzFXJ%2FxMYqDLVNt%2BMiifcjdzvE1ZjDO5kpswUtDEYidCMUyR2puIxVFBpriXgQBFbhXmY1gEAb8ikSc7et5BBklzJxcwFlA%2BPuxhDiQV8J0MttFPK2oPeSo5EU8DSlfpFXtBeawPimQuJAdauZABeQTSn1BEYP8Hs%2Fouc8mMo%2FgJe6AxO5E5JHyyxJI1IplIm1FTanwK1b6lphWW9Fnk0jCu1pkIAi5BlnMykjZ0GYcQnUSEa2bSHM2FACUuCcmVQJE2s%2BFF6XyFhGtog0UQwuTKhhKvQNYRAeQPAPeu%2FpiK6FNRLYhoFD3qWdokRI0cO6ZbVmsNlogaIRtL5DSAGuogInVn7ofsSuhJq5wkC9RomAkiSfIwamqUWr40fCy8Q%2B9s9WyRTYASI5AHUFvRIsCBeFUZJvo6Lcjx2ap3alFJXZx1AmXAdsoNNEvsfZkaPhc%2BW90gw3wrARpXdTM8tc1aOB9E8SWEKYIwTmiBJ3aemkp4ypsKgIozYlqDQSzPSIJyxQyvas3UBmJFFsQs00eIC06rq%2BpQfh1%2FGpzibbdJcyw%2BvvoFmOVkVNgFVQibrZophTAgxylQRdChFMlLLmBYuHCotUf5%2BhPrUqz7pRlAbXEQ0JFrxlzz1ZWfx0Qh6P50dLccD4hIWCW0OfTQNG3DV4g4rS5g0CjzmoDP6gzHMyvCmlMIQ6KXOaxKNbaiXWbTIH0YBf9TyK%2BmNViL9afSiT1%2FJcpQ2CEkIFEPGzhydcPvBnFvLp%2BO6adWo4LbDL42PKcnyLD4m8Q8ETG05tv3L%2BrUNDNDhchcE3DS1zn05T7VKV6D2%2BIrqr7f0wl33HLdy7x%2B3dDpW%2FzvNwCNuMLzfOer%2BTucH6wOFpYPsbNYDQ%2FXB0M5xfmRyuIrXF6B%2F%2Bb9K4cDZeW51aWlhaqq%2BWhl%2FDw5mh1NFxcnl8YDSOVCTBH7O1cbR7etOBZ7G%2BS6Ln5If4lWTGOpUFgOPgPWOX3vmHxzAGSxy4jg3GNpLPlloI8O8hqqtCe%2BL6O916P8jw7cezYZDIZGE%2FqbIA8eOwm3kOHY1scHFxH%2FxMr7g8w6%2BydzOjR%2BfXXV4fD48PQFON8mhFeO8BRop2%2FgtsDNCyp4IJM%2FfZjiu54irWxR0n49PSMKtL8ay8h6pAMiAH%2BVfQ6xj2%2B7piyt3OmqQvbxORyBANv1qrkQ9Fypq4UuKq7VORaTiCAasT0bbRkNDqxDv%2B2qjTikzFf8AoA8y0CxgAZONZisr9z7%2FUOll%2FtPl9Nou%2BtlY2aU3emRGoRUsVwWQrLUtPqbDQmPDtqImvApBjVoNvKVF099ejA0CZzGqKpCqoCjTdaS%2BkaImrqmnbYtc0UzsgfrQ6qM%2FHQmXUPaIsQ5g7UgrBuFUpx%2Ff85VrgxhehXT5UzD9yURCjUE0%2F5hlSYacO7Y4ft64GFbcgwbnSG7j4aYSHSSFEdDuF7H6FNidYJdl2fRbMq2Sh%2FKaYEVyvKkmimKdmL0oR2p9BgZs52UjUBuiEgb7cn9Sjb9STL0EVN%2BBTnigSGQhZl7e5cLlOku13hWzBrlyWoCFUfItJdqVVKBcm2QrAaKd7Z0riQBq6qzxywdc3tJGCrrdBzzibwAvgI2EnFBXEp9uxcwt5QCl8TkIHRznD3KaKCIaq%2FQNu2oDG6ajtx6dOMAM9Q7fYlHNpMSNVwU34NKemMUg9Z8IMP96ZI2q73pYqPkkGMcG0gw9RCRWyWd1UPhH0aQQdMbdUjVgAHai3J9gLjUdNF3SrgdhlAx1ZbWZYJAq3h0cw4UiFBn5Lignp6%2BiYANpM0Oog%2BpzTMCHnmmpe2Rx4arFq2zpkE6XEWjQG7IKYY%2BnxzottlIODA8E813DqxBUHtLzMwsJw9v9TMns%2By27Ps9iy7Pctun4Xs9tBIs0w99cxIc%2FARI838YH5Udqgr1zDO%2BYodOXP28iY7W2B0FRgc37Kx4HSxOG0WaIQxqFU9%2BdHOtPLjh4cP71yBOZbmDu%2BcTB41ogSXMX%2Bm5TwjtjlS2qOW4q2uRPrnlC4XuhnmEM0wE7S5S6OV4bHb1qbBcGW0vDw8frw1xNxpTSjHh6PFxeHq8spqd0KxUM4Nlx8xoXzn8UHqTCvf3qcp30%2FbT2Mu6e07lvRKn%2F%2B2mUK2mm%2FOYPpmRbIr3ZxZTi9g%2FWZF8Y2a4vSoZvQ%2F7%2FxsfZbjWzXHt%2FcpKQ5Ej11yJWW9TfvWSPO46P0X</w:t>
        </w:r>
      </w:hyperlink>
      <w:r>
        <w:rPr>
          <w:color w:val="000000"/>
        </w:rPr>
        <w:t>. Microbial biomass carbon (MB-C), nitrogen (MB-N), and phosphorus (MB-P) are key indicators of microbial activity and soil fertility</w:t>
      </w:r>
      <w:hyperlink w:anchor="a2fedd9bbe4577ff38966b68ff86ce53" w:history="1">
        <w:r>
          <w:rPr>
            <w:rStyle w:val="Hyperlink"/>
          </w:rPr>
          <w:t>(Bhaduri et al., 2022)</w:t>
        </w:r>
        <w:r>
          <w:rPr>
            <w:vanish/>
          </w:rPr>
          <w:t>https://dummy-citation.com/citation?d=z%3ApVhLbB1XGbZRI7KgCLFqFq0OlVAdYV9fP%2Bo4jSqS6zSNaZ2XY1LxEJyZc2bm2GfmTM7M3OtLN%2B4mC1giUSEEQmxYsWCDMEgIsUBiwxqBBKEo5bWhKIKFu%2Bj3n5m5d8a57iN34cQzc873f%2F%2F%2Ff%2F9DfuNw5lSojc9zYw9nZndTHsprRexJy9cDY1WokifiVARXVRhp%2FOQZTil3QZkke%2FNw5mPC88z%2B4cwTQSTpwNHn%2F3Pv7q9nZmaElkF%2BdHHzv69%2BHU9%2BbtKji1vP3r%2BIBzlQIo%2BOLm5c%2FTt9a1j9%2BGTAL%2BPUZMD7a%2FQwBvwemZ4C8Nr3v8lagO9MyfD6l35Jn8aARz%2BcDvDGJ063Gf6ZTn4w4M%2Fo1kTA3Z%2B2Y%2FivKV2%2B8bsvtF3%2B7WMl5f4I8OZzDyloY8A%2FTQt47wdtwD9QcKZw%2BeaDNaJUA669%2BJOPDvjKM58eM7y18ddmUnpPL9C3j8yQWFSAP%2FpWK8ubn3msLI8Bt2fXWlnefOmxhN0A%2FNrvD1pJeUC9YhrAX%2B23u81fCH8KwNtPP9sG%2FPeHY7jbLr0G4Ou%2FaJfeg8diONbh7T%2BKNsN%2FTNkPd85%2FkoQ3Bnx7yva18%2BaP2wwfTunyzv9utvvhbz5MP%2Fxb%2BDb5VQE%2B99pDIlUC9l7%2FSrOWP%2FW5V4%2B5fHoS4D9fSBpTrw34zoUmw1vvHhyTzWl5tzC5HJ568bZhecRzJhMxj98kKzLJTMBi5VvjKa5ZGg0zZbQJlY8nlQj8j%2BGdsTnZCTvzzOfWM4m7J4NA%2BUom%2FpDxRDQw8sImpi8tszyXZxm3klnpyyTXQ%2BZJlYQstSYGI8Fyw2Sf6wIHHZ8BtzEdsDJLsQA4cplRuoHumzguEpWXVrPCy%2BAewJmQ%2BJSaTNHuMLpobMgT5bOY57m082z7%2Bhabu2LlkMmccQ2XlrtLKxfYVYTLArTxdvUC21aRar5av%2BCs3uF6D%2F41P5ztsNuRBOMx00b0KAYq8a3kGdwbxQGvjE0NxUngAdEY3yY7MvnGMJYLHs%2FwPTZC6oxhb0L8JKBzgiB%2F2p4XiQC3OpK%2BAQu3TbG5S1qrDCcavLuP%2BrhWutKg4ikT8ywDQ5ckF1eVsVAmWOQ0vLESjDIkwbnBEOg4a%2Buqhqj0M7fV2zg7z5BGawBDz9fwTD6nkcnwYwsQ3urdAJmt90UhJhwMNHbGvgSZLAYnNrf01sG3Vz9LLIhzbnLc376%2BwVJjNExp7iktWWA54ggsVxd3C%2BXvOX9IfiIjfVa2eJ8rd6dWHpnVmWEZXHApVUmgIUQfMfCGzihopxBeAmnFpNDUGfMlbpJ0h1kuY5ZCdoX1yo0XhVW4iAZGazMA1NwXEUzeShlCspnX6gJYnZO3Dr4L5IoimGeQnnSmUH5DH94mRW5RsXlJgNIXDsuoK8Inb6TtEz%2BKKRJKkuqTdCslUzj9iCdhiRsUoI7gWjQUJ492tTEtkZHKGGKrlWdVEU%2FK6EgJ0GuWq7wgx0BBhYlCm%2BEUPW7zOp0pukeSAwChurL58s6tl9gy2%2FYjCcMwP9Kji%2BqoF0SS6zxyziVtn1BAVTpwDzwpjWWS8iqgHSYGxu4dzjwZcQ85RyaHp35%2Bw8JDEEGhCRlaLpzBeRZwn27hqWxmMFN9ca2So9bxQx%2BbxCCpANXLSSyIDVU69yMl%2B3RwTHHEqcptTbjDLlVIKAKCHV8Bclak6DRUoVBnwPtg5EESrnMkThPN8nblULVpSlI9EfBKFBBxvzaPF30lMA3G9CAhEnmH9ZRZaDTB42mAcmI0xKIkAiAqBeUEDeNCBioppwLsU1bbVB0UMfBNocGjoQjPDTZRqjiW0LxPN4SkxtQIO4Ltip%2B7YLqRxRnGKOaVk3gpjNr1cSftsKuoTRyfp7qJYMaTkC6n0tBa0lWUX23OTUpJMXOevE9EROEuKjiIQNJcKD3MUogHvyPVRhdlo6ApPgp5WWdl2zbebmXM1QoyD40qOSANUDtDEKnxUXm7cjqRHMlPELBJKWIcTrqidvMFGsRJvD5ePLXS0TfTUqbIqGtYXAh8z8q6Lm2PknbcNgajLhz%2BIyNk3nVnVdeTG5Gu6Km3kiznMSm19AvNrRtRKDeLaY2LYyyIgntG4xYtEPAFeq1qc%2BKiwTXWokqYEadYUcKrLYVih8hOkE4VllpnTrc8hBwLjcYJG5R9Rww0hXQjHLqlt%2FMkiv7QMXXayzlOuUWh%2FCzQ4NAQywd0HmVcAKg3aohkdC5FTrCngdmxD%2BTtQObaKYx4lPpRJDwXkZNzW3WKHUQHcNeq2bVdIJLgSNV8uRSOG3svG4wWLCTVwBQq8wvoQJC9hjwFSSGg%2Bt%2FDdtYYm9RtcxmOOgOmAYKjU6IxmV%2BzyU5qnB3NfWQcHC4T8nJ3%2BfmFpW7sooxU2M0kMNi%2BQ17k2ESyA42gILpX8GOsWOuc60rMKC33z1zB8IfCnWTrsUYdYxj0UaqxfFITqFVeQbq%2BR6t9gv6O%2F4MACdXDsBdxUWAqh8hdEl2WHicnhIWGZx49LmhbK8%2BGOLuLaXvSUSCbQaz2ytPykkVmTjor3ZZRnjQ95aGnRWwDg15AWSfd2aJZVfFG7qMYA%2B9E3pd57aPqqWyA7OZReRjaxJ%2F9TvnCqP0zS93Oysr6%2BcUAdeh1kJjlzvmV9dX1JajGSw7wb5a8oZbW1lYXVrrLr0WYGShOub93Z3X5%2FPLy8%2BtL612RxkpEK2vdte659fVdXCnKRO8S3kJ3fWHpXJwWHpbhqM71rONrxuncwobN96jjFtaXO1bv96I8T7MXFhcHg0EnqA%2BqpIOlZxG7icKGlS2e6MAi%2Fs4ZotvkwxRxmYVMpQleQc%2F7P1W4HiJW2qd66g03TJHkT30Ha1UgsVpho7yD1SNzr8%2FMnq6099VLdenQSj%2Fq4s2BMqGjn1wwWV2%2BrkQE8XzqGb%2BA52drz5Ei5%2B2JTr4H</w:t>
        </w:r>
      </w:hyperlink>
      <w:r>
        <w:rPr>
          <w:color w:val="000000"/>
        </w:rPr>
        <w:t>. These parameters are sensitive to environmental disturbances, including chemical contamination</w:t>
      </w:r>
      <w:hyperlink w:anchor="b3d9a5f3ded00b420d746c51323aba22" w:history="1">
        <w:r>
          <w:rPr>
            <w:rStyle w:val="Hyperlink"/>
          </w:rPr>
          <w:t>(Joergensen &amp; Emmerling, 2006; Pastor‐Jáuregui et al., 2022)</w:t>
        </w:r>
        <w:r>
          <w:rPr>
            <w:vanish/>
          </w:rPr>
          <w:t>https://dummy-citation.com/citation?d=z%3A7VnNjxxHFd%2FNJxc4BhsRpQQJ2YWZ8czsd4gUbzbrtY2zXnkdfKWmu2a6dqu7eru6d3f2ZOWAEBIICSniBkhwQCiniIOBg8ESRw5ckDih%2FAOIa8yB33vVHzPr3dgRHHKwFMfT3VWvXr2P3%2Fu95%2FfvzTw7tJke6eRFdVDYXI1f%2BPH6wOWZDHJxO1IizZRTSS4ydajVkdBODG1QOBUKm4hYB5kdaGvsSAfSiFjlkQ2d4O86EXKU6aAweZHho7PaOCED7M5tjAW5FVERy0SE2mHJQCaB6ohbKqDzQnWojE1j%2FHYkinYLf9RYyEwJmUgzPoGYI51HIoeqUsfCDkWkR5HBn1wnIzGSKW%2FfT%2ByRUeFItUSROGsOsZFuJrMgEgeFcrm2iWtBaigCm%2BSZPVSZ01Abq3AD1xHrQa4PdT4WmcyVE3MD6fznVOMNtrfENiySKFxWn%2FCbeZYHrWPpcHVozZaRTpB4aQxUC3UAaXACXjvlHGld2hXih0WCY6FabQPWEEYbKOGKNDWKTAShg3F9EKsDDTfEG2K7JeivHX81%2BrnrtVKB%2FfjuT9Jo7Br%2FVRv5IJuNZKID3lMrhC3VKRstcSA2boq%2BoB98dTHf4aAJbBwXCdkKkVQEcC7eeZ2DSFJsqUyT76B0dUMcP8psAXfBh%2BROVqKxRHWsK%2BAxWBD7Rtrb18uTLbGVyRgaJmqEixxSjITVu9Q6ze%2Ba1TC5N1qOW4b4Bofn4454l6O4Nop0qQoQhFDrlEqV8zgc2XkqbNUKOhmnBt5sUQ7lmZI5eYrF0BfVRBufjHQaQjWb8UmhzCXkI0Wqex9KgzCFdme5Qsz9%2BXcjMTdiDefFx3d%2F2hPzlckpuGPELJs7RjDr1IwpzHKb4xY7N66si7kktuYRAVhPnrji1%2BBAryEpuNRZZfXf2cbmsw6v99KKqa3LnW5HXAM6hCFcQnlDCxEkCWXFY9wPAJIpDBpovhHsLMW%2BGsPGFq7wiRRLWA5%2F6I5JkWea7B6MA9i8SqOO2Dz2XmDvDbBmaEgKox2BUyRz4SJ7xMqEGieSrgwwDFo6Tgkj8arR1KeMi111%2BwoQFXmPFOb8cPDJ5Om53FfwfmbjBpPoqDIBhzJDbiGOMhUWAemmjZEEZaGCYXFXlTg9RLBWGhp4Bl8ANrBFgqUUebR8lElEVrkqRUjSSoSsKbIMsAo4KaXgHVAsKXGsJSIlD8cQiQvBGYSQEjqVH4G2SHZYSfkso3cpRV2gQ2TGpFSZ5NpnHML%2F9vZtnwMjlSi8AiAiQG2Iu%2BCWKXQD7oZHNtu%2FN%2FPFSJZl6WmFelqhnlaopxXqaYV6WqE%2BFxXKoGJwZr0D%2B4363f5Su9eLWQPC2mvJ0N6beX4kC1g6c3eN98sVjraw11leUdq5Qj2LA3Kjjr913SLQcAcYYIdOENsUIWwTUmWXnLkbIGQCNTy0pojVhd%2Bk9XE3LG5is3szszqFXW%2FJZKTuzTwDjTOX7%2BDNxdnXIyOr30uGi4keFJTY6AefCRMZ047hEAY0473rVmW4PqJOjQBBibnF54gtBfeHmTVq5tFdejOOVUbg4jfpjShDDbVp5HfA7g5GCUKrD3vdTq%2Fb7V%2FaS03S6Xe7S%2F3e2mIPJXeQ3MX%2FXfK%2B7i0uLLdXVxa6urfU77f7y%2F3FIJajvd7aWndlZW1lYTmyqYLR1PH%2BneblHhuW%2FbIHwctt%2Bq8Xp8XAaBdVrpll3dUdbdR45IpBPk7pJvsyg8eNuo3HWRhf2eF3gKeTrynUzBhrTYDoCt8eb9giyS%2FOfhlgOlQZeSi8A%2Fri%2BP2FP5Qevuvx20NBmXiEBE%2BUtrJkNkhejYpclvxWBT8%2BXOtacTbHCemKXwiKzBx%2FI8rz1L1x6RI80cExl872BgWwqSNrjyJru4gHKhv2uou97nI5RHguTsPh1YrewMOzmncRP%2FgBRclgYI%2FvzTw3hPJY8PCtT7b%2B%2Fb2ZmZnQqGH%2B8LL49e%2Fv4gmJkT68vHvhlV%2FgQR3pMI8eXn7npdV%2F4nHi6BfOEHi5%2B%2BoB7SoFXlz%2F2%2F1GoHmTpFcCN6%2F9jFY%2BRuBbD9%2FGolrg9T%2FdbwRe%2FEfn8qSGWxdI%2FuMEfrL1rwmB1%2B7%2FvBH4yte3Jq%2B8efUmyX8CgRM2nBL4tf4P6axG4G9p5f8g8NW%2Fv0QPjQ1ffhIbforA14%2F%2BQ25tNPwLKfxYp7z2OlnmLIHf%2FOoHUwJfunzaKeWg6%2FkXaqIyVbsTi9QC8WpIJ7MoCn1fc1HID1E2qFK3KYXBXLhelQl7UKAuIfMoDzVYGfFvhD%2BKqOWKq5PAZqn1jJxAHgDc9sWKOgk6xS%2BcKEu0DBiVhEzQYiUdCCtyHVw8QAWdhgh%2FYIiq7MAjS2k4H8QWcOzoEoAPWz9XvF0w1Q5sEClIxL1x0VQB7aiX2JZJolMNXipULqTptES%2F21v5trip9%2BSIOFz5ll6vgWWvE%2B%2FB1RzMTUBYsSZ1jBJMdPsUWwXTI6VSuAYVGKfj6RjcQvn%2BAZdluvKIy0oKWTGPsGBDBwqtSwj6EAms4J6mJDzSwCi1Ualu%2B%2BOaPsazbogtEjmEf0M5MEqQ30CRYUfYC5CLLaiIGXq9wLpczK3vx0TFYffrWiaeDgE%2B1863EBVytj6ptbu74Kv77iKTOmKOcC9oC9GmJAfvoLYR%2FmxM0NgAJZwCgz27u9srJfU92rdEAsYGAfkRmoGycDBZr7he1UJSqVCq6lctvtgBswoEE3E%2FUtSoPIel6WwcLVF5SF0qX6yub47Ic2X1eUQd34ARTRtYxDfyBWSLtJ872LjZn0cOEjfLIvTFpc%2FJvkhnhSuUfXuojsnLFWn1gTWEpYgVjdmx3jdEMOHMMyopCH4Op9IoAAkL0cjKTBnm7GwAKsUTLsd9m6patqdujAyLBSgsimv1PgLjHyjQZdaVYtGiohOJpuT3xd1zd4jmrrLKxNYEFxZeNtXzsgmhWzG5pXdoRKs0JcgKhThWCWcReCtUQBt5DoGY25Ewe6I5f1cRhuWA5UvNgOXFH92OYBiMPMJxbWPCDQxb6vSsfTzRDdWd8VYhQy1jCZaIgErEBmyrQyTW3NbWBrr74RDNSpOT6ycwQ%2FDgIzQNFN8JpKXoIJBUSYjTMeVoid0UgTiPnhhfy1M4MGBRm%2BVEk7GRwhBsHLFSDmU2C8Iw%2BoX2yE9tAgnsRhAe4XEsxkgNWHDISEnwUO6GjQ1SoBiVkxvEAQULARq%2BA23Is4w7AfWE1FYjiXSIWJpuPip4dRTUDhy4pGgklXLoUGojB5pLBkNiTNOJUgDjXtWur%2BM3uaVMN3DMBBwSe8owxUvOLXBPm6H3mvZXrd1kcq4CbChGyn5fHOGYuhMsZw%2Bc5fhEOVEl%2F9wNRHwAgKIphhQ3OnAMDJlHiCWKsU0NWNWSLpop7cc5oYKNSx9NQ3lFYvnA0zMr3vsoWngUcagOHEjewv4aQE5jy0MQbuIIFiFGDL8RdsBvi4IIMI%2F6AO9%2B0FDi4vk1kCcCJDMwQEZEHpKahyX%2BMgjL%2FMh6c5bSU%2FSvCPkJBKT4ZaLMiEOxmA0AATwnwApjZQxA9fDjS1oVQpXlkco5aiLuV9ewpZXXePfC4msV1nB0sq48KTQIOXiQaiKPI%2BgLVxPc4iwg7i901lhkb7XTEzDPRnCzL%2F76R%2FzwXmv3RNTuccjT6Am4aMbzzZyzko2Wb5%2Fb2AFLAyWogq8j7kTot9CZU3vgZ7HejiFIHa8ekpWmjFzDBmdjhTseKSbqJ4xcJlw9K5Fmn4YFyIerLRJMya6Oaern0ZMLG4ruOfZ4c62zdL4ZgKFTs6KSgjSXVseBUhR8HhqpkpEufl5Gwy8QDOpHaysQ8tKAge7p89i3hnXqsmEpWaukosWTwfzebntzZ72c7vBIGoxsEtD8ZK0kDhQbyJGSYHh%2BOKnqlJJeoZoYRPJEZmFtLN%2FUDsChp1DMHwCIKeknUJy8xKL4MrTLXxKDHCjqb6cdMgSW64ir8A5wFiXSYpKDJMI9eRiHyWFdEKbs0xQjYIAPiCNbGMAaIik81I5oHWCLIhgoRPnoHedZKpC6oq3kBmwmZD0P5Ets99DOGHDKLhNMCjdFUMDVAVIA%2BJjwXUvj88CVAIY04Qn1WfOl7srp%2BdJz58yXFjsri%2BXYQUwMljYa34irY5rJIESqadLDzzBN%2BsrM7Ae%2FqudJ%2FDQ1Ufr%2Bo7OhbAerbYZZ3fUHv0QKjgrth0TDWzZ48KE9b6Z0sAMKI0eFxM4bDz5K1Ynfpt6VGcjZebvWIR%2B8Apu2JLMQv2u0jkqQfMo%2BSM0ffJiokzb2nTz4qBx%2FhVc61zvnbYpvoXxntn0FVQ%2FEhzcM1s9dnu6iocroPuuZHNVHDN%2BVSaEQGqcmZccv83Cmt3xpr7MHI0fjEBOafh%2FvMIPpTk3MsGqtvbLS7%2Bse5mbtZXQiEyOyxYXuandhYaW3FqaA3GhheWFxZXlpdXpghklbr9vur509MNvfNI7%2ByS0Tb393H2mB4ArUexgptc8cKZ2n9f9j4vb82fM2oB8HvtwMLEND889IBDn%2BH0SYbNccrclqz38aEO93p7iirOgm15%2BJgdpnu%2F1%2FAQ%3D%3D</w:t>
        </w:r>
      </w:hyperlink>
      <w:r>
        <w:rPr>
          <w:color w:val="000000"/>
        </w:rPr>
        <w:t>. Atrazine and Dichlorvos are known to interfere with enzymatic functions, cell membrane integrity, and metabolic pathways in microorganisms, leading to altered community structures and reduced microbial biomass</w:t>
      </w:r>
      <w:hyperlink w:anchor="345b78da175c570cdc603668146e4a12" w:history="1">
        <w:r>
          <w:rPr>
            <w:rStyle w:val="Hyperlink"/>
          </w:rPr>
          <w:t>(Cruz-Alcalde et al., 2017; Singh et al., 2024)</w:t>
        </w:r>
        <w:r>
          <w:rPr>
            <w:vanish/>
          </w:rPr>
          <w:t>https://dummy-citation.com/citation?d=z%3ArVlLjBxHGV4HB2JCEIeAIsihFAhak53nzmPXweD1OHYWx85m13YElqXUdFd3l6e7q9OP3R0jIScIEaSAlCAEXFCiIOCQC0IcLIEUwQEOERKHWBw4gIU4IHFAQkjICuL7q3pmuseztlfjg73TM1X%2F8%2Fuf%2FfK1hftdX1k8VfG1hQOXI%2B6Ks1nQF7HVaLYcFUtXhgeDyHaelq7n41%2Ba4JzUV6QKk9euLdxn9%2Ftq99rCQccTdODmF%2F%2FnL7yzsLBg%2B8JJbx5b%2Bv4zx%2FBkpSq6eezkqz96AQ9iR9qpd%2FPYc%2F99%2Bw08FvgeuDPBx156FA%2BzCR6sv8TmI3jq90evFghufeEkPc5BcP2%2BQyWCR39OJ%2Bcg%2BKWj%2FykR%2FPx7cxI8vfMb8sKY4JO%2FJofNQfCZX%2FCyDV%2BZ04Zn%2Flmhn%2B6dU55dfLdMcF4JNxoa5SOCGx%2F925w23PhDswjsT9Sdv8xH8Dn%2FAFG4dypvHnqsKOH8Ttn8yb9KEs4dKVu9P9HDRMKP0%2BM8BP%2F603Is%2F3v%2FBEv58NzXvl3KhzffnLaheDFTqRgevLEeWrHgiUiYDJnFQ0vE%2BGRJW%2BDjEhOhraxYhoLZMomziNLzEuvLOPWYLRxhpQlrrTIe2swVoUilxYIsNVmc8ViwRAWCKYelnmCWF6sQJyz8CAGIQ8JSxbws4CHzBPdBNfV4yjy%2BLVi7zvpChOAcg48%2FZL4MB8KmG5FIwApCMrEbqSQDo4vLl6pszU%2FUEpMpkwnbEb5fGYRqJzQ0x3cS0pO1Gww3BeMslsmAiCrIGIPJtgxdlkTCkjh6sQWyT6sdsS3iJZbANELrwt1YWpmfZjH3WQY6Rkd8aDehqAikxX0YNWHg6vssFFA24fGQOIlQi%2BzxeBtCsRcz7st0qK3oKGWzKIZzLGPrgtjtZTJdKsNMZQnsIcIUAnNcJ7vHIlFZTCYNuAzx87aEblmoHAeCK%2BkzX3DLI%2BVUDP1iPmR2LB3Qc9nFNtRst9gZFQulVdXC8Jj0Iqax7Gf6JMSXAQSEg1IP6uFj3xeBFiGRKclCYgcKik1s0gaRIFJZaBtYQFiZpDxMiR7ob0MX3IMtd7hWCtx3eJIK85gCo2mAM3BI5xKIZrBGh4BK4NViISxiWGRbAmN0EqQiERMXwpkmyJNEWRIEYWEYGBxxiLyfQPcua6%2BwE9LyfBVvq4QtNpealRPSs%2FCsAImhDyAGIvXwIfJUEgFTCJATJy5sHCY3c3gdR2Wo6bdXYWSXh8ocVTEEHnuyytYJ4omBdxpzWxrlyadB5KshKOBniTABCjTOEZ2degF1YK2hkqDHQliTUXmyxHZUPIh8TiggjT1EH0zWvQR%2FmoigvzC5NiiLeAzrpYJ1GmBA0azjFrwQBZBWWQNNxiYy5GAeyoBgfXGFgg1I016eVrQgN0TqNLWRyEYetXsUAbugNQr85IgJKCuDIONwJhkJXqNQ0jFrcYq0PsmucdxZHsEPfAAwTshGpCJn0BF2cRVi2mSTawsPwSoUgsI%2BAQ%2B5zXqzXamvBIRthIuI10NHIb26PEuhRXLVB8q5lZ7EPxXbq9V2Hdkt9cXuZ7cE2Y1MpY2zkSGIIKL%2B4pywvFD5yh0628rPAvHIO9GYxTPjllhSKt7koSuQ2XE7TtINfPPIVz0foNcfX%2FLHYQdxvk4VIOQBnXccHkh%2F6Pfi7EplzYdxbCFcOCx013wk91TZsfLFwq1X7C2Y2xwVPR4HYq%2BD8qkk8jP3t2%2Fmpz1cRLS4OWV4Fg37%2FZat5O6jjXq1UW90aperiYiiLK42641utb5arXdWUTT64VX8n4Qvy8byynKlvdLpyMZKd7my3F1tWQF3Lze77e5yo1tvtD0VCYSB2B08P%2FnyMm5nxmuXiXSlvlpZrgdR1vdlgoxtHHdAazB4yk%2FEtkTGOH5hMEqI52N%2F95iXplFypFazJQAm02rWrwo7q9kJnCxqfZkmFBJBrdlqtWuNDkRdrTVqnS6kbFcxqbhJ1k%2BHEdlowGOA2xfn8HgAThfKOS1Du%2Fi1QPrxhzjrWwgv%2B%2Fiwh9SXPrIMHo6IKSHZzwOVifn6iRxZL2%2FEEhkElWBS3%2BxJRopFoLYRCU6sgjxN9odMXUHm0NhDKBDAj7BN5PkUZSwdLlF2CROMXJSgzRk7o6I9lQ91SOKCTTo%2BYGUw2dLYZEpWEeO12zl6z4mv32jcxcD3nVkNzvvuA9S25A3O%2Bg9eKDQ4%2F2gUe7re9WCqp%2FvwPgmeP90rdu6967tTffG%2BCb59vkzwrakWbL8ELzzkFpvE3vVPzanyhXBYbBJ71z801XXOInjs4dqvaKrLCT7%2BMbqTEzxx8GSpc1ff27%2FKn%2F5Ijcjnw8pnni5J%2BOPXp6bwB%2FdL8Bt2cZy6BwT%2FfpUojAm%2B98bU4mG%2FBJ879VoJ2O%2F9cV6CP3urHCnNOQluHvplGdjfmoLNbILR%2B4VhpUzw8u%2BKe4L5nbL57oNlp%2FyZUFQkmE8%2F93%2FgFAohGngfibLQZ3MbZUUw6kF034xyrzO7yZrKsrIITQx6Ft350MhD1R2ZGZ2Lg3LCSs0WDT70efQjmmJ0NGhbqDna8ZDf0ReFNnpVfRbdEzI7JXCk675Id6hH1PkcwxSKSUIERHhlSJ0dyZOgz0ALxMCgjyKGdI52tjcasTA3oQiALlpX3le%2BbuJsQ0D37Celi%2B6Xbaz3Ns9voSWMBUqOLgmlS04WGpFQQRxJtoAYfcglYuqi0XwFWUilC82jLR1d5dDcF%2Fp2iLSuefeePXvyCFvHabqp5wx0zTAQR%2B9rCOvWR%2FlPsrWWubPWutMVDtWv0KA65omv2AoLXDZwb7zyeoPxKIImpg6SmYj68RH547elX2LwBOZfZWF42w%2BrXq5I746K6HofDdFUouaXODSaBRYzeeTq4MO%2BuOyhUYnfNLtLBpRgYQiOME0AIOjoyKFRD1M9wGCzxQ0e8Ss%2Br2Dsk0yAg19laCFWD2MeAsRtMwUZtE46FiKtUVjBjEz7gvF%2BgKYJmg3z1oV%2BMawRr6RBgFYVwxJJkCjGgUkLTG1Mt4mgKYTwbQJXXhnzmqSBKmPnaC7Z5tLnfakn9NIByg9jrQNM05qPFg02hx08ib5SYeQXhjc4mDHVjdVO6mGvYJYsHIHthnqIgNjo86hFI3lgSm3GSbQWbE5uNezJyXBgJUBDR1MzU%2F1EYLVgE4HehkH4ua%2FoqOISOuuWjyhDx9F45HGdPax0eOjVtfwjO4l5Sg9nBedT3OdoAXk02VCRhrGxYSqaT5HNSFhMjxIhpKd1s3YptKA7Um9%2FyD7YM%2FGBnnkxyyJ5jFY6VpzhsE%2BGxyYBfgSUTKIaS6SHNrK0Nhy%2Bxiym58cpy9FMgilsPMVhOMyCzJ%2BBg7EYebYF2WSIrUIAhAC3ekpN0szO8%2BzI1w47AxB6nFXAilZApCJtNCoQHMncHstMHpPYgOCUqy0BCUrhqeUbZZ%2BycfET9mKKB7k7CbEOpp5bwrWcI7HcYC2M5mbNk2cupuP8sP6qxH90mpnjo7RQPE8QDl2KtSm%2BRbgsth4%2FjLqInIAxXoNzYjwjui1cbENmOMHY1obdsNIxgajdfmsBMjLOjJhF7g8Q7NB%2FtMDB4nMJTL0h5lrsL%2FUjdnR%2BkvlO%2FmvkCQz0DEnG1s9YTuDviKxZ2p1lFVT2FJsh188shTQLqNPxXF2xS98YlSd%2BylFOquwUVprG3%2Fk%2Ba5w4TMowEESSRqDTEgKZkfoGzURnnxKOxvHDFtlaFRfQqxDEOUPK1eYuBMF0TSiBzlG%2Bjx0oeCPA4GW9sahgL4L8O8ABSA4pKIA5EqDvIFc7WrNOtXPj6ne7rWpHE2w28NRotZnNh%2FAp9MCalVobPwcA2o9E7%2Btw1xYyUWg3Ith1LAnsY3ZwEyyPmpQpkBtgLi%2B1lzoV7FG0cqrSrJCCtiSfLvJxg2OAWjQAXDeVSU1FA02TDVK9l0ASOJ7Duwj9QkJHqVlkETvK6tV6vXEY0ESdwgLAILoA%2BFG47O0GLHAhud7B0mVySVy29953x9BbK1WbSbEpCZkX8QlE9yasH6jGGy3MTWC3j6aWhEXhRTTkkZIT1KqO82puyVsMfktTAmMTSLD2hSzYe95Sj8xiupy%2BagXskLHz7bJhbcKqgmuB0uvtSUah9xkx8lqGBh2CHed%2BKGSAZUuCPHiaI6krcxiPm1kfdXj0tBbgmIw86WMZavLRcW6hBGS5Ahlg7haKzai5zrnCwFNlMcwwfkBAW7%2BSEbGLNGfxuK8oc%2Bk9NCUYNDlIIGNMJ8ES20XygnUoEeJPAW1GrMnRI8UQm2Dybl0y%2Bh4ZKbRNw3%2BbENCgyyNA%2B%2BHG1R8mI2wgGUB34GXxQsB38%2FIywtDi6eDwbeGoxUF%2BRh7BnjyBMpTwzY6LOkdTlO9Yk2nbPH5HAPGxe8NcRKi928o8bnvylz26J%2BYOqoSubCYvo83Vb8OyQL9Zq7JTMQduqF8Z9WAz1taN%2BvTa%2Bv7Za2vR6FRby0ijCK8DZsno5tkqX09%2FsLRl%2Fuatm2CxhajwzBb4xU3uevgLyLENwI5He%2B2PxZcBoG1zy8aeO9vroLMBE4mhOelcQDHz%2BJ5EC6K4a2EW8eCuzjpn%2BJCHg72OulvIxwNUUHP4NMc7s73pnobt8m27vZFdzg%2BahfhBvRD%2FpN6T1ru1pNXsYs9db7Yq9fpyvVNpl9bhzTZ%2B6K50uvmn1W6zsP9uLa82lzsg0yjvv4kYaDZm77%2FVVkS9OLLQWU4viUo78BOjhS69R63iBaA%2BWUXnVCMQAOs1bGjNmnem%2BPdqD%2F7w7DU4z9fg%2FafGLfQoHEf9%2FGTeKfR70638XRStwpr7czPX3DP1%2Fz8%3D</w:t>
        </w:r>
      </w:hyperlink>
      <w:r>
        <w:rPr>
          <w:color w:val="000000"/>
        </w:rPr>
        <w:t>. Furthermore, terrestrial gastropods such as snails, which are integral to litter breakdown and calcium cycling, are also susceptible to the sub-lethal and lethal effects of these chemicals</w:t>
      </w:r>
      <w:hyperlink w:anchor="174d464bc159140ccbef88338ff8b152" w:history="1">
        <w:r>
          <w:rPr>
            <w:rStyle w:val="Hyperlink"/>
          </w:rPr>
          <w:t>(Zaidi et al., 2021)</w:t>
        </w:r>
        <w:r>
          <w:rPr>
            <w:vanish/>
          </w:rPr>
          <w:t>https://dummy-citation.com/citation?d=z%3ApVdBbyRHFbbRbogQnJBQxIWSUMCLPOOZ8drriSOxtjeJFxIHvIs25IBS01XdXZ7qqt6q6hm3T0uQOHFBXHIECX6ET%2FADuGK4kvyESLlYkfK96h7PjLWbRPHBnunqqq%2B%2B99X33qv5%2FfnK7UzbhAfrzldWT0qeyaOqGEnH%2B6l1KlPmVlGK9FBlucZf8Jil4gJljf%2FT%2Bcq3xGhkT89XbqW5pAmX9ze2pmxlZUVomeLpxy%2F94BmekmDLy%2FtHT39Kr%2BRUiZBf3j%2F4X%2Bc%2BHhd2XXkO4M8%2Fz14miBbw4UfTBcDJf%2BnhCvDio3%2FdDPDdncsPFgH%2F8xm9uwng5Y%2BWQr7YJPyvBCy%2Fj1nPBfzV7%2F62FPLfz74W4DWGH5DwLeA%2F%2F7%2Bs4f430XAB8Nfs0yUNL75LsXwloP42QTwX8MPb9DAP%2Bc9%2FvSHDT7aI0pxh3PoGgMcP3loGfP2Gh3L8j%2FfoFOY%2BvPgmPlwAfPTSyRLgxer1kOXTygZZ30r3eTLOnK2MYIdVwQ1TRlQ%2BOMU14xjkmVNJpUPlaCAJaqKCkj6%2BUyZxkvuOMhkrbVnpWCgY4KYhZ44H6dcZ92wqNdZ6JhNrbKGSuDjIJDdW20wlQE4BbR2m53wimZEZoCZS10wVJV5JwUbKCtWZSOdVqNnankNJwmYyMK6762zQ69%2FdZQ9slWnaaT66ucve4j5g6rXRdxC5NGdKsp%2Bwd1SSc6njq51d9ltuiDoeBnfYqGZRlITCLLgbgwxmmwwqKMNCLhn0qhJIJJlNiegsKjaSiEfZyjWC0VxR%2B7QyEBKMMNtXLqpP4NDH174TZOHZ2kEuDZjt66qQ66w%2FHN7bZY9yvhjE1p0ue2iCdNIHOgRdrzNN%2B3jDlfas1LxmnCUgR8fprJYzxjMKtG1cEfhIaVIWnBoekYaoJAuWlijHcHwwxqiK3JtRVjo7Ub4NJrVW4J9jFq8cgFXBNYQUQCxKi5NrJxI1E6AmyM%2BcVnCFWAw3SZTRW6UZRExUVcSdJRawtbdJeIq%2Bt4no94SImFxT7A1Ln1sXmFapDKqQEVqroqPIREL5Eg6iHdtwCz5GhLksmDxN4FPaBSeIA8cJkiWx5xMewHPRVT2S%2Fs3KUZiFdSDUSh611FXmQR2OG0FwBO4CRauVGV9ZJjhufAqREGqC7ckvnqXOFmwiM9kJTS5By0YqkAUHUj3hzqgJNiWTwO95cLK%2B4tYf3hvuMnYEvEWrDBrXg%2FUB8gbZjzhJMl8l%2BZwL1xZ%2BaI4RFlcGdCmmhSBwkp1gT1VyZXIOSZPmaPzYTv1YwbaHthwrE327jU3F1Lrx%2Bcr3cj5CriCh61v%2F3mu%2FsoUS9BjKKDMBOetq8lYifeQQPauch2dkyEEPQuA1ighiJM15KrOKOxSsaLqmXLTVogtcYPhQiZrkc1TAbIWV7GmFoBSJjbJDQBiA1M3znAkOCepTnkW7ZigozpZWQJwAbk6iBsBg8XQfjdVY8CYxyMtrBtLlHRRKQBi2pzPyPEShYJ1siqbPVQm3hKlE1j93K3h3VvxiwJQeZV57nMTMP7MqyqYogUTeB4VCCt9XnhIdSR4UxuKpIWdqL32XHUuP%2Bu6vaS944GA3kWTLJtGll21upqho2KxACrWtIPYkRk6gEaTglDaccEgtaKlA3W9SO7YFAjmwzlTRPc4jxWdreZJYF8shjlhy2JOUnaVN0paoVuS1vbMzPuJsa7O7s%2FPqLtuXpoMhW52xre1uf4ChN3TnkAuu5Jht3usOB6%2B2yhf8NBol7puiKaHP5Sj7jXpOZlAKlZW6XNx5AScSWvMQx8xo30Gjawt8DimgPIyKxFkCNfDrFd4C1QZvczigPoMGK%2BBBD5rvwnWY2Wg7N8JMKSVwVqAuBZW%2B6MH2zdo1cdfZAWzOnaygL4YCfYLucUWnEsuzhg8lu4NejS6WoIf6iExtG8UXzkHut%2FCNfuhFxljz8bO%2FPJHo2e6aP1FikEZtkY3VFLzgh5r6KQUcK1Gi4UyUOQJcNFgCjig%2F81BRCU2TYzOdUelRTOICehsbTszBpSsH6UcubKopJlKobeFqWa0jwErjggHo0PQ3xN22N5mmVGLaftR5QcJ1NVyLU5biAVTMBr3BVqc3LKhrIQrpHprU0o8vXqF2Of8M%2FYhuNW%2FG1aLfvbstlfeVXEXLClqerpEev0CSIUlp732OXWPge2WJnBPsfUth1OnE0v3glWN91ZuB%2Fwe6LhpeSHymMU1r%2BT5XQsHU8Gx2JMWJrbigC0G8Wi7PzXCLQjmlFMDs9G1bqbMXTz7khUDNbSaLvULqZmqiBH4%2F3k6EVac%2F7Pe6%2Ff7O9oa%2F2x9ubnd6g36n1xtsDjvb6Mgj8wz%2FvflQDXrDXmc47L3XftsZbicFz0420bu2d%2Fpbd3dyW%2BKKAInGT%2BaDJ1G8qP0JtAf2sDPYLspqpJWHLxr5VyNz%2B6h0KC4wyxGnG9sYroPQifyN06eP8xBK%2F9rGxogEh968kfusUbvr27VEoosrzQY1sPEGfjNvvDjCzFejUJek2Zg7VF8tH%2BNxFYaUNv0lXLg4LAPdZTAXFx%2F4cL9GizfhO%2BjxdCJwu3iCVurj6Cuvt37544Ol3OMj9NLZPeoFfWveqOickRtrR7FNvYEpVz3qNaQGVrf3%2BqnCrf7L%2Bo6gMF9OKij5s5mSOP6uddmX6PMF</w:t>
        </w:r>
      </w:hyperlink>
      <w:r>
        <w:rPr>
          <w:color w:val="000000"/>
        </w:rPr>
        <w:t>.</w:t>
      </w:r>
    </w:p>
    <w:p w14:paraId="21C2DB5B" w14:textId="77777777" w:rsidR="009D1F61" w:rsidRDefault="00000000" w:rsidP="00331442">
      <w:pPr>
        <w:jc w:val="both"/>
      </w:pPr>
      <w:r>
        <w:rPr>
          <w:color w:val="000000"/>
        </w:rPr>
        <w:t>Microcosm studies offer a controlled experimental approach for evaluating the ecological impacts of xenobiotics on soil systems</w:t>
      </w:r>
      <w:hyperlink w:anchor="43f76486dc2a0f9189d70876ad7068cd" w:history="1">
        <w:r>
          <w:rPr>
            <w:rStyle w:val="Hyperlink"/>
          </w:rPr>
          <w:t>(Gregušová et al., 2025)</w:t>
        </w:r>
        <w:r>
          <w:rPr>
            <w:vanish/>
          </w:rPr>
          <w:t>https://dummy-citation.com/citation?d=z%3A7VZNbyQ1EJ0AKzjwAzhaewIpmcxMkt2EI2EhCEVCaNEibm67urt23Hav7Z6Zvi1w5kfkZ%2BS88L94ds9Xkl2JC7dIUabH7ap69d5zeX6%2FHX1cOs8V20%2FpTeci9U%2FosvOebDT9oWhYeadcaIKQnkQXSAvsF54CSa9qIa0WMgQKoUGIcKUgu2DvbPoqjeCmlSoG4ayINd17qVzTOovnMBbXDyqVHcJtiL5L2wOeBSlnXMUKsSF2mikciuhWnJcBN6HBnt3S3bzGuOUAY9WS5zWKlKnPyLGtD5GwFbUk4NnonTHouSHNXTMWL2sOaH7BtATMyMqQwErpVKZm02VOT1YRGi%2FzEl6nR%2Fmmk4jKQCOBZrTHwLDHM0q3HpyxolSPxNy6JTBUJCrJNgngXbPpfz%2FpXpJaot22NaAqsrM5a4LhqXEL1ENU3t0aGRAKGltAYcU6USpt5ILd8CJDrYmz6Ky7tKEmuehBCugL4sur6lBc6kPxmz0UFNX4K4iCWo3TXK4BbGgoScYOeTJsVAMKS0J7NCYr2hYTS8CipQRFInrEJKnAxvsZS34JHUdZQI3kzpRBatnGO7VzRJFi4bumsxx7mEe0ULjL%2B7KXAWqLeuB%2Fw3QtFxBbAwk2QIYWpwXPGyzOV9JywjMckGSZO%2FWHQgjcOwQAnyy7komHoXUqS8onphQlbOB8QHPppAVhuKojyKUG%2FspEDox50m6V7Kp5UHvtw43amVUvbQCy5j2YoHd2SHBshp73QMAIJZtGFAADV8uUHGv3GtzZJ1dD3l71Cv6DOi7VVKLuNRSTvkgIlwTR4B63bT4XxinZ0N16t0A%2BgQa6rCxmQeo%2FIYVsQ39msHfNLeo2zlZiKwMsjXIYTIOj1%2BTuqB8WlbTDOecC2iQ%2FSFFQTMbrrCYfQI7mlPf%2BZPMc5kOz99loW%2Bdj8ldqA7TCUCXaxXjcTZixXjo%2Fvx19XssCjga3j4P3cfA%2BDt7Hwfs4eP%2FfwWukyuD0t3B5NZvMzo6msyZBSYfc%2F2BLdzt6Usku1rDAWzMM0u%2ByI%2FRk%2FOw5cQgdHVDkaGj19MUOnPjJw5qYIADzwuI3NUE3W5ULZzBKvzgx24aR%2Bc%2Fb0UfayobwWZaQwvTz7z1V3T83bvHuhipekC2v391AeuhnaPQwoLrqizDfbr4iQ%2FaDm%2BfXaED%2B%2Fdcue3WdRukmAiYKt6NPlHbsp5PxyfPpxeSYWpqdTaaTqeZQ2Lf4H%2BwfPDmZnR6dn8%2FOeXZ6NjmaPZv8WrsWtUHI%2FNXp6eT8YnpxPrt4nanKTL%2FOTE%2Bm%2BJtjlrjOK%2FrFm9XTOsY2fH18jLJjeOj4YekqdEXs29TKfD37X%2BLrAWgmV%2F7IVu8vp9loeuw1inHov%2BkvXWfjAaZZ9oIi%2FQo3b8iro7WIzf5llbyVrk8Da0HTNFSGiza5ce8i3Lo8X1ofuF%2F2R85Y%2FJwvMJ2a%2BUx1%2F637fwE%3D</w:t>
        </w:r>
      </w:hyperlink>
      <w:r>
        <w:rPr>
          <w:color w:val="000000"/>
        </w:rPr>
        <w:t>. They allow for the assessment of multiple biological endpoints under near-natural conditions</w:t>
      </w:r>
      <w:hyperlink w:anchor="8ed81e8224411b13d10b019e35574e43" w:history="1">
        <w:r>
          <w:rPr>
            <w:rStyle w:val="Hyperlink"/>
          </w:rPr>
          <w:t>(Parmelee et al., 1993)</w:t>
        </w:r>
        <w:r>
          <w:rPr>
            <w:vanish/>
          </w:rPr>
          <w:t>https://dummy-citation.com/citation?d=z%3A7VjBbhs3EHVaBMmhvbc3noIUkOSVEtlKe0rdBi3aJEZiwGcud3aXNpfckFzJe0sLFMi5f%2BMP6K3oR%2FRL%2BshdrWQlMXrLRYC91lIczpuZ92YI%2F3Z98HlurCykvkdvGuOpvff2aeq85cKzp6ySwhphXMU8iVLLNw0x6VhtyZH2lDFfcs8aR44JU1WNlr5lXGPdmrqUYqxoSQorXLUOhiZnzkjFNFXcmwxmYXP0wq0vYWQyx7xhGXmyldQED8Qoz0n4aC5Kwnau8KK7s1zrPFVuwp4ZwPLd4orjGEs8YFxJXzLCgyxQ1jX%2BPExGbJrgMQuPx%2BERgBwlCav%2Bflew4t93f06%2FGbF6jIhCKKSNilazuH%2FEFr3J9GjHxFg4ltHMG9UQQoh28xGbr70GQ3jeNpywF0NOVmQJYdgAXmpkI0U1yMolAhyxvNFF%2FxERpf3HcKSpdHwboz4ZzgpIYhlYYU1Tu24XZ6iZKJXUBRNIUGFsO2HPd2qwjQEIQhW44AgMq01qbEbWsVNrnJcFcPMRe05u6y14emllyr3M%2BHfRXmqHKnKNFMGanRilqEqNwtcdrko6QUpxTaZxHeYJe%2FleUDvk2biVOCSkoXeL8%2Fw6m8F%2FlwRWYTsDfZ30colvzJoUwbYLWxZa5mCZ9qplcNsIZAFEj2yGW8eUWYU%2FqOZWEfuDJuzMeL4h%2BQc4znRTpSGDGQkUIpyeGoC5SYrNeX0ZoctG%2BAYQB0W5pijA%2BrUUS1mUQ3BBjJDMgGOdwagwEAsKo0yCAuvAgr66XKyD7kwktIafgW47JYDsGtWRFUkOokOR%2BgC3%2FMceUXOc2CVdg50Kuq3HL7ZEFpS7JNtizxVC7rk3xDC0mZ7MSu2Q%2FNYS9kneyvGE%2FWRWiN6Ogh9YBv%2Fa9C0nwL%2FZA5CGnXYVynNT7yVHgc02BuAvkEY4X5%2BrEVkgCU8bnXEtKLjqm1QMZOiVOW80BJU2sOqZfXuQfodG0FATKhqKFBhXGR0a%2FMCZ%2F9GRO3eDZqTO4DUyKaDWS2mNrjAREFCoK0fnBqjurOhjPQ%2B2GZzdmBk9n8vQuFHwGrNIe4kD%2B2mApFWBeug%2BXnUQbFi8dTbkxmTjFaUb5UzYeSCRFqoBmyK2YcghzjAqcklqg00iJetSxJ2xHljKUakoN2QWhe9EknfzSoALYK9RpgiAPgwSagmCUHR1c5BlK2Mvrw%2B%2BLHk%2FiPczeT%2BT9zN5P5P3M3k%2Fk%2Fcz%2BZPMZMWFIOco%2ByF051kym4%2Bn0yrmFa3C%2Fqxzc31wt%2BCNL1GBt0pCVMI%2Fwy8a66PJYk7SuYbuk5fI1NWDH2%2FU52wNrBvUJwEOstPmSwRR0Rf14OhXE2t8fXBH1rygV1wXdH3wGRhnnT%2FFytd3%2FyoVX3%2F%2BR0VJSxAVsP7AzkzzKljkOQih2vKUo%2BEoIsL8Ii1fGXQIz84nGfoAHbxvUJwDsoNF3H8BAFnQ%2B%2BuPGpSnpVRK1q63OOFWeZTl7OMuEL%2B45HKABB5mt%2BzPX0twu99eYGiWHGSJmwV0ibqIzMjlNJlgNMwOyYvJ%2FGiWTGfJYjrPpEv1Wzyd%2Fl0mx4%2BS8fHsaCGn8%2FlsvDiaLkTFi4tZ8ng2P14k0%2BPS1AQ4dHV5vlm8iLWN1LiYPnnyaJwsxsm0qptUSYfm0bHjToRN51JRWwTFtHUI4hKSlkLRGV7vgK9k8l8gpO1lAkdUi71KYHpm37cnptH%2BqxqXKRCe0Kiyc1wZXbf8sOdY9XqQR7wt4v88uDFiLOOO8ZELHBSuoJrYJga5RmltK2%2FrLrnRcBbCuS8aq64elN7X7tvDQ2R9Ymxx%2BOHM%2Fwc%3D</w:t>
        </w:r>
      </w:hyperlink>
      <w:r>
        <w:rPr>
          <w:color w:val="000000"/>
        </w:rPr>
        <w:t>. Although several studies have examined the individual impacts of pesticides on microbial or invertebrate communities, there is a limited integrated analysis of their combined effects on microbial biomass indices and terrestrial snails within the same soil environment.</w:t>
      </w:r>
    </w:p>
    <w:p w14:paraId="4B65F21F" w14:textId="77777777" w:rsidR="009D1F61" w:rsidRDefault="00000000" w:rsidP="00331442">
      <w:pPr>
        <w:jc w:val="both"/>
      </w:pPr>
      <w:r>
        <w:rPr>
          <w:color w:val="000000"/>
        </w:rPr>
        <w:lastRenderedPageBreak/>
        <w:t>This study, therefore, investigates the effects of Atrazine and Dichlorvos, applied singly and in combination, on microbial biomass (carbon, nitrogen, and phosphorus), microbial populations, and the survival and activity of snails within a soil microcosm setup. The outcomes are expected to provide insights into the ecological risks posed by agrochemical co-contamination and contribute to improved guidelines for pesticide management and soil biodiversity conservation.</w:t>
      </w:r>
    </w:p>
    <w:p w14:paraId="210674B8" w14:textId="77777777" w:rsidR="009D1F61" w:rsidRDefault="00000000" w:rsidP="00331442">
      <w:pPr>
        <w:jc w:val="both"/>
      </w:pPr>
      <w:r>
        <w:rPr>
          <w:b/>
          <w:bCs/>
          <w:color w:val="000000"/>
        </w:rPr>
        <w:t>2. Materials and Methods</w:t>
      </w:r>
    </w:p>
    <w:p w14:paraId="0FB86813" w14:textId="77777777" w:rsidR="009D1F61" w:rsidRDefault="00000000" w:rsidP="00331442">
      <w:pPr>
        <w:jc w:val="both"/>
      </w:pPr>
      <w:r>
        <w:rPr>
          <w:b/>
          <w:bCs/>
          <w:color w:val="000000"/>
        </w:rPr>
        <w:t>2.1 Study Area and Soil Collection</w:t>
      </w:r>
    </w:p>
    <w:p w14:paraId="307D6158" w14:textId="77777777" w:rsidR="009D1F61" w:rsidRDefault="00000000" w:rsidP="00331442">
      <w:pPr>
        <w:jc w:val="both"/>
      </w:pPr>
      <w:r>
        <w:rPr>
          <w:color w:val="000000"/>
        </w:rPr>
        <w:t xml:space="preserve">The study was conducted at the Federal University of Petroleum Resources, Effurun, Delta State, Nigeria (7°23′N, 3°51′E; 26.7 m </w:t>
      </w:r>
      <w:proofErr w:type="spellStart"/>
      <w:r>
        <w:rPr>
          <w:color w:val="000000"/>
        </w:rPr>
        <w:t>a.s.l</w:t>
      </w:r>
      <w:proofErr w:type="spellEnd"/>
      <w:r>
        <w:rPr>
          <w:color w:val="000000"/>
        </w:rPr>
        <w:t>.). The site lies within the tropical Niger Delta region, characterized by a humid climate with rainfall primarily occurring from March to November, and mean annual temperatures ranging from 25.2°C to 28°C</w:t>
      </w:r>
      <w:hyperlink w:anchor="53985dbf18add225419bf724f2df3ebd" w:history="1">
        <w:r>
          <w:rPr>
            <w:rStyle w:val="Hyperlink"/>
          </w:rPr>
          <w:t>(Edjere et al., 2025)</w:t>
        </w:r>
        <w:r>
          <w:rPr>
            <w:vanish/>
          </w:rPr>
          <w:t>https://dummy-citation.com/citation?d=z%3ApVhNbxxJGXYWEsEBBOKyEkKUhIQcMR7PjGN7nEVg4w%2Fi3ST2xnZChJCo6X67uzzVXb314ZnJKXtYiV%2BBVuLAgQsS4hCJA%2BwPQIITR85ckJA4oBzgeat7JpNAYFEOnunprqr363me921%2F%2BGzleq5NIr2xz1auXdYyp%2FuhHJEd7fQzY1WuqmtlnWZ3VF5o%2FHmHZSruUKZyP3m28lY6Gpnps5XPZgXxguff%2FcfP%2F%2FTjlZWVVFPmn%2B9%2B4%2FOPBH4l3tTPd7f%2F8Db%2FoIlKffF89%2FyHf%2BeVS2bf%2Bj8P3FGffLx84OPP%2FPbNDnznxlde8vDxX%2Fj8Nzjw2z%2B793TpwK0%2FfvSGIX%2Fnb8Wyh5t%2Fne7%2B7wN3xZc2%2FvyaA3c%2F%2Fh0nbRHyj37FDr%2BBhwf%2F%2FNpyyO98sfMpQt4VX77kXf%2FpwKNv%2FgLXy7B51UP6IBhPs%2BtfP%2FZCOTEyNiVLqRjNxF4%2BkrYwQngjfEGCpPMdcZGG%2BQ1ngi9wJy9IayXO%2BOdLz5odJ%2BOa5rcrY3mLrFLxSFqr5vcn5HxXiGPvREqVw3ors0wlIjFYlRrrOkJVaXDeKqlFonFFfJNPSkxZkk34QammopRjEsrjkZB1bU2NLR4ekfeqygXYKUSwI36s7NoHQWrlZ0I6R86VVMGPfa1K3sKHn5va5FbWxUwcZlmwoRI0rckqqhJyQsJTU6uEbYPXxlRwrtk9UUiHrCoYEFaqKpNaixH5CVElBp3tXi8a2Oj0cFWWXfFgvgjHO%2BWQixJ39Exk1pTinrRJTO99c0Vcu644pxJLpQ8WnvhZdAPLjUuU1uzCwtpmNDUYik9%2Bud9BRQsT8gIpkc5UcI%2Bm3lKJQ%2BYb%2Btu8svEvbhKFvOLz8Cw1SeA8UQoPUDtpSTJ2tJms6RmnOEYusMECaII0XTWqJ0wmhms7ohRyhCDYvsBD0s1BGXwWKCsnSyC9JvB%2BRMZGEhgNWIBz%2BJjaaB28rJAkkQbLVhE8DvalcXWB%2BjB2qlQ1hjkQF%2Boa8HOigD4%2FMZVH4KlyMdk4NFRAPoqIz6Z6Veq64oDKefn5jAvGjXKNG8vBR9Qi97Wp2UswKJpUeaUAY%2FiJZxF0ynHeDuGbKeGjTLy6YvxZujL6ihFlDVxhAqTU4a%2FKsdvRZEdQGpoW0kCfU2OUjte5dHOOzLriuHJe%2BdCE7wKgg8e8%2FIg4Qi0uKoUCObaNfIpTApA1hVI8IJDXAtydBeJXjy5OHxzeXJh8sfici8XZn9sjsXp6fnyTkw%2BujvgGMJtKhQREpuKOndO7K06bfHE6M5VHIEe0s5VBr7clEiQ2OLHaHw472wAw0%2FfiaqJI3P3%2B3s0Glrk1k0ogypFjSEAI9KzToDAJ1gKrsT7AAo7XasyFcsHW4Dy7PogMZBxwrvAtHFTBkhijYZcIlboinRg7frbyhULChkXVZjd%2BvVeOoAIQGmVbPHIYIBJSwsrQ0piXNHoDQdTsUwEHqcpR3lparxJkwMIloB5IUykuU2YFdAXe7WXAMjYnjfsTYJs4u3AjADyw2GIITzuvqCfXC5IINGq%2BDHikQFz2n6vSMJNekEmMAvS%2FAu7PC4Da%2BZDOlRFnRF2vuVgewmMYRFcS4jpSUUGBIrmUkbmwtuzkzS95jeW%2BsEQQuUvUNNMzSIJlCC9gd49hBucUAjsg7aU4Aw%2BYFYaTyGGA6E%2BWA0hnlQSvGsYjOh2ikDtn0B%2BYlnUYaZWstaWwyo0R7SF30mVNWT29N%2BhudsTpvX6vI%2FZPOuL%2ByaAjzvjjzuAMt%2B7ciiYenuy7m2hfqAn0X2EcZOr7RQgPmMxQu4BGCF6Id0PVFg2bD872lxYIjh%2BSgQ4G7hQO5WplTY1YkuA768BIc2OSeuY4WxHkJXQc1GFRBsfR%2FirhJyqhlnZSmyp3KiVgU%2Bo1r0o4S54MOGzy2LvMCKe1Ko1GRC5oHOUKM4HZUtoxvmLpufkys9HZUZRoPaYKYJdjdncp9tXNW93hpvj9b%2FL1cuNmk0xRINVo9ryOw1%2Fd3u6iwyzWxLJNE6rZldjNeAMqwGahBbDcKrqP%2BVzdGGx1N8HeumzkKR462O53d5qbLDFzcGgjU6SMi5UjFZ79mHe8IxpZkL6R%2BT3MDBpkspDIimeh1M7Wmm4JPGMXJKlmRWkLyaTCr0xxtgjQrGJW5%2BLehJUSJoMKK2LWonKDqyh7thgPumLv%2FWMMECxM3DaaUCHqfI2doWpwO1vubayITQ3YCiAav%2B%2FIJ9KmBtL5ylKkUibWOKQQowZEkSLdCdqAAoNQSxaxkgUcOLB%2BDY9Knn0MY61hTjwQmg1sAXrAA0SSUckOWCSbFYentBixKmswr42p3Vgr1NO0WU%2FgsDJX0kVBbNWyHQ3YI4BYQHgKCVWFxvE4SUhKc9QC2A0LsbgD%2FYJ0euA3KZB4WGFlRqUkkNSJ88pZ0HURoD6BNKtnU1tMjVC8eXEt5dyi2EuqYCyJRJvrWqNejb4v6xt3YE8YHeLQuTxpOpnhRMTKeYaSofRMJ96HgQfTH7Q6ttQJpjjgU7D6xq4WQ8VE6wkmsKDRsnlbQX%2B%2Fr3II4otmwVRVVYgtGJVDNF2NSSrK%2BQHqmw96g6213mbJC5EbsseIkN9tJcZ3TN1PMcvWgPER%2FvBq0Ove2iHlXKAbhG6vabpzGCDRBJPvYmjgWRJwPq4qlBHYJwh2SNmTCE1kF0bafpFh3sEcea1e2L67eJ9W%2FIbyQKJF4oUHTLDOn%2BLO248LUKO5VHoxYcDPj%2FjFCMrP67MMHUDPssP0EkynnDlsTqA6FY1NMVEWupfy%2BLLy75vy4xE9AeSbXXZPY872Yr8I40lA2cfydRt1Y%2BAKgmlNszs%2FHAco%2BmttZRe2UKN2cfnQ4K3lZIJ%2BSv61Vi5PrgIPqGbWekh4uUJq4%2FJEpfgnw%2FUkNWr61X6vu7mzMbi1TpeoVxd13uz2V7dudntDzLyj6ik%2BXfWh2ugNN9a2NnY2C1QR5aPp%2BNF2vz%2FsbQ37g2ERatbM49RPEhqc2h%2BcvXdxcf%2F0cnjX1E9yPjk0QLpkA2v9wdpgMAZ34vx4YfX0duF97W6vt25g%2FlsHk2narYt6%2FbJBzHqcgTStp5ji2Nz6cHt9q59jnMM7DUc%2Fblec4%2Bc1cItM9h6OWb6NpKFZYK0G9Cn93mwffdWvYHbLAALwPX0EbXLN3Ra7Pz17eZh5yMPMXHLFfLrbwyzzfkvdg4bzR82sIvaX55lPM7e0%2FLwtjl%2FVwvhiIU4bQt%2BJhE45%2Bs9hgNXTb83TiNp2jc3X%2F0t5%2FwU%3D</w:t>
        </w:r>
      </w:hyperlink>
      <w:r>
        <w:rPr>
          <w:color w:val="000000"/>
        </w:rPr>
        <w:t>. The soils in the area are generally sandy loam to loamy sand</w:t>
      </w:r>
      <w:hyperlink w:anchor="3e705a4001f331f2208ed2068fe90e05" w:history="1">
        <w:r>
          <w:rPr>
            <w:rStyle w:val="Hyperlink"/>
          </w:rPr>
          <w:t>(Okpokparoro et al., 2026)</w:t>
        </w:r>
        <w:r>
          <w:rPr>
            <w:vanish/>
          </w:rPr>
          <w:t>https://dummy-citation.com/citation?d=z%3A7VfNcts2EHbazqSXvsNePLU6Ci35L3YPnVFtJVbjSh1JSWZyg0iQRAQCDABali91p4%2FQUx%2FFr5Mn6QeActI0mUknVx8kisT%2BfvvtLvXH7dbXuTaiEOohf9Nox9cPn860kMSs5dZWXDnSObmS08jqpaaxNq4kZjjzz8%2B4dIxmjjlOK2Yp1SprUsczaqxQBVXa1KWWuhApk12qy7WNv5jKKC155e%2BoNrrmxgluE5qv4HJNO3u9DmXCusYsYM2yqpbc0oobDidS8uCEOcjkOR4izIzXrrSUG12FeAuuuBMplcjvWivr4811Y2jnoONd5sJbtI1aklDxRPqwGsvJrWuc7dgV%2FHZxZriFvy55ZGomK6ohiqyFVjEXZthCcsqZqbyRjjc5cfrtzd%2BGJivepcm1NhqXnBUL3Hqd0ZpnPKEA9108IcOM29QIn3iE0afzfHY2oP7JySFZrxBFah8BWQdzzGRAD4IbkD%2FAGBFW3HHTumCKyfX1nYeNCUCw0IY5bdY%2BppRnDXJP6IyhznrhmFDQucMY9cnW%2FzYYc%2FOHUGykA8SlXkHJlSiXf%2B74FcoaCeOLZJiUa5RYwZTUDJZ1uMZnbVLnhKh8pJfMiE0IMGR4xaHNUpGh1jsHycF%2BxxuodAbD7v2zw%2BTkqJPQxBRM4T5lZgHwQFkH%2BrSwSL0C95LH%2B9tvb%2F46So4fb3fahLQDiko4oxHzRgtBqWITTS%2FpH2x7371k%2F2A7xs0umQCkoAb6wOJjmtAlH1E%2B2vO6h71k75iqYndZeAsC8AWMDb%2FkTG5gDBSIhdYfaaMNSCuBXt2QOgYEn0sPY9vUgfYODy06ytKCWagBlRqjQDnBJHBBmQJVf4okxiWQGFfQxLM7iee082EXtLSnndhBLZRRnXY%2B0kwdP1moMLqpEYdQngmBxqxmCyEFJkMqMZpoNOrSqkTFENwmjLZf7xJGEwJrLy5yjwZEP2HsRcQmIo3qpLJBf0WoQc5IdYQLgLjUviE1uZWOZdAGTMOwECrFBBJWQ8y7qTCmwl0YBqF9g7xjV1rpap3QKXggVKM9JVC7GnXBsIFDvQo%2FK3GFsN8d6Za5FVO%2Bf1hdSxT%2B3RDykmRA1DAV4PQTZaHAIw0dCKUeQx5GoCdPgAXTwAWeVhgbGx55EDS%2BwJfScLRKC7Mf2r4SvsZdEs6jzrJLYYPTu6733j1OYVoWRqSYDY3BhAfDYB7%2BvVRYLCzTdVBCXBD1aCHr2rAU83xTF9vA1aYwmHNIEjvBGxRp9MJVCnazwgfBw1gH6YM0JqHK%2FG5rba0EiiwqNNBlFH7TsABE2yVRSWG2%2BTAbA7y5KhkK%2Fl4qsQP9%2BhOX0E2ylTbL263vSraw6LDU3a%2FW%2B9V6v1rvV%2Bv9ar1frfer9UtWq2QpgkU%2FYXbyYq%2B3d%2FSot1%2F53vdD1IxUrvHHtmCNw1SwNxL%2BkcETfMCoXtLbw%2FZykl8dv%2BJKZ2ii0%2BF0TMPGdzkqF8fYdaw1sKdxk0rODE0BGzNp2ZHeF9ZIA4P2z9utrzKFxHHNc1YJuV5OlrVeosJoUV6IS4ziSUK%2FJJnRkm%2F9Vz5%2Fxiomm88SHSh9LXgreo4B0YpiFNvbrW%2FSTItVv5cc7h33d69Dfkn%2FpHdyeHh4gq2%2FUDf4tuqmRK7YK%2Fxq%2BfJxf%2F8Y2%2B%2Bgf%2FIaR02E9XUL66P%2BcVU3C%2FQbmBiRfRBCuvrh8wFbYkaBMCl%2FbuTV96Vztf1xdxeRJmi83U9EW9hm4d8WkPuSoX9gco7bB3DCdf5MqOz9xxxLRK4hK1OBF4qf16e6UW4LWyy8xGDdvsT7mI1P2%2Fr%2Ffno%2BmA5O58Pp6NVgPpqMu3R6MZjNRk9Gp%2B39YHxGF%2F7r%2BWxIOBrOZr8Ox3OaPKHp8LfpcIYbiL4Y0mwyupjRaEzz8yGNZpNnExpPpvNzGkyHgy6dDS%2FmA5pBeNil8egpfA4yn963afM%2FQPkH</w:t>
        </w:r>
      </w:hyperlink>
      <w:r>
        <w:rPr>
          <w:color w:val="000000"/>
        </w:rPr>
        <w:t>.</w:t>
      </w:r>
    </w:p>
    <w:p w14:paraId="550C2889" w14:textId="77777777" w:rsidR="009D1F61" w:rsidRDefault="00000000" w:rsidP="00331442">
      <w:pPr>
        <w:jc w:val="both"/>
      </w:pPr>
      <w:r>
        <w:rPr>
          <w:color w:val="000000"/>
        </w:rPr>
        <w:t>Surface soils (0–15 cm) were collected from four ecologically similar, pesticide-free locations within the study area. At each location, multiple sub-samples were composited, cleaned of debris, air-dried, and sieved through a 2 mm mesh. The pooled soil was homogenized and stored under cool conditions prior to use.</w:t>
      </w:r>
    </w:p>
    <w:p w14:paraId="4E7BF91E" w14:textId="77777777" w:rsidR="009D1F61" w:rsidRDefault="00000000" w:rsidP="00331442">
      <w:pPr>
        <w:jc w:val="both"/>
      </w:pPr>
      <w:r>
        <w:rPr>
          <w:b/>
          <w:bCs/>
          <w:color w:val="000000"/>
        </w:rPr>
        <w:t>2.2 Test Chemicals and Treatment Setup</w:t>
      </w:r>
    </w:p>
    <w:p w14:paraId="0510DC94" w14:textId="77777777" w:rsidR="009D1F61" w:rsidRDefault="00000000" w:rsidP="00331442">
      <w:pPr>
        <w:jc w:val="both"/>
      </w:pPr>
      <w:r>
        <w:rPr>
          <w:color w:val="000000"/>
        </w:rPr>
        <w:t>Two agrochemicals commonly used by local farmers were selected:</w:t>
      </w:r>
    </w:p>
    <w:p w14:paraId="72EAC3B9" w14:textId="77777777" w:rsidR="009D1F61" w:rsidRDefault="00000000" w:rsidP="00331442">
      <w:pPr>
        <w:pStyle w:val="ListParagraph"/>
        <w:numPr>
          <w:ilvl w:val="0"/>
          <w:numId w:val="1"/>
        </w:numPr>
        <w:jc w:val="both"/>
      </w:pPr>
      <w:r>
        <w:rPr>
          <w:b/>
          <w:bCs/>
          <w:color w:val="000000"/>
        </w:rPr>
        <w:t>Atrazine</w:t>
      </w:r>
      <w:r>
        <w:rPr>
          <w:color w:val="000000"/>
        </w:rPr>
        <w:t xml:space="preserve"> (C₈H₁₄</w:t>
      </w:r>
      <w:proofErr w:type="spellStart"/>
      <w:r>
        <w:rPr>
          <w:color w:val="000000"/>
        </w:rPr>
        <w:t>ClN</w:t>
      </w:r>
      <w:proofErr w:type="spellEnd"/>
      <w:r>
        <w:rPr>
          <w:color w:val="000000"/>
        </w:rPr>
        <w:t>₅), a selective systemic herbicide of the triazine class</w:t>
      </w:r>
      <w:hyperlink w:anchor="456cac6dfddde9b71d799ee0557c1d57" w:history="1">
        <w:r>
          <w:rPr>
            <w:rStyle w:val="Hyperlink"/>
          </w:rPr>
          <w:t>(Matias et al., 2021)</w:t>
        </w:r>
        <w:r>
          <w:rPr>
            <w:vanish/>
          </w:rPr>
          <w:t>https://dummy-citation.com/citation?d=z%3ApVfPax3XFZYdG0KhtMtAF7100brwfuhJT8qzSVv9qmXVley2LlkUSu%2FMPTPvynfmju698yx5Uxu6abtpN4VuStQuWhtUSt1CFAiEDCSQVbLJMgn%2BE7JIFoaQ78y8Jz87lmWwQHpz75x7zne%2B851zn24fzpxNjY1lsO5w5tR2IVPaKrOInOwn1ulU52eyQiWXdDo0%2BA0eVro%2BoG3u%2F3g4c1pFkd09nDmTDIkNHvzo8%2F9cmcGPMpSEB0u9P6zzKg62eLB0jt55DQu6oVUYPlha%2FPBPS1hORX3hSQ4%2F%2B%2BDUrWMctv78V341cbj05l9%2Bc7LDpbOL949D2PvWKkOaONxs%2FZ79n4zw9HEI%2B%2Fd7n0w5XPneK8%2BW8rEOF%2B9enuZw6V%2BfPqfDgSMmbeJw%2Bdv7bz2fwwsXfsuLI4ff%2FC4DPrEoP%2ByKYxy%2B8u7%2BdJWv%2Fuw9pvREhO9%2FwXGf5HBp%2Fc1phCst4tDP4XDlB266ygsffczvTkr5G9%2FZYebHDi%2B%2BfsCVbBwu%2F%2B2Qq3CE8N%2Fq8SrTTmkD7Z3Wq9LJOJCrDnzQsfRiHd2rvVBSLAcnb%2Bpcio08daQ05YEEWndkhS1FbjMSsc3K7KHhFu%2FtlNVBpmMrFtvx0Fhn21tv%2F7dNYbhn2lv3b%2F%2Bvrb0tnC2w7LXmWwvt4DQfp%2FZcq99WWmZ4fhYbcbG657LSSBG5MkixOrjU66%2BarQWx7srCPgRyrTkMCyO9J3GJXKRjjRTrDZ0g8eqf1T%2BsCHYXB0x1L8XWxHxjY0NsWmWFQvqN3XLz4ckQ%2BJAt4bUP1V1EwzNIqWlCAJxw5LUqpREkEmu0dB0BQnUEX9gI1vvqAMQizrlmCU%2BUgfSN73fEJgBIkVlDMfJ0Yq630FkciLSLLbFGQZohoVbsumaigQXXhTnKaU37wubVwYiAIRMlfI%2Bk01Sje%2BTo%2F8m3hM5jU%2Boc6Sb4VNYjyxh%2Fx6uWMNXBTvPiq1stoRCNHHIaoYaCA1b7aSk7Qt2w7vrhzNeHMvLQSxz2zvzqiii9RUQcip1GTSWzbMXwqEByIq3cihUnvWYe8ZyVjFAWYBeylAg7QlRgooQ0WBRSjTek8LJ6A3kOkTkcgRw2Q0pjpgG6sIrYnycnKI9tjqhYIo63xrZEjr6o0wAZZYRucdXfc%2BKTMEFZSASZRdWdDGvmC6jECH0CA5Yhie0S3cUyEwV5UOXhaWRNkIo9vyYiDQQpgjY1QxWyAhQxUBE%2F3qGKgJtVVlgfbEdcEWMaAMPJCJqAg8I6kZGuRcsldzTSnuUAUo2GOxlKB7Fm8OFkDRJ99CgMtj0qAHMkbGydA0m8O6ru1NJTOkHCLGFgQikbIfEbNBOsVTnOqe4LUUiHNHQxCcGZ5B6dHGukiw5yNtKSeZTI%2BR4gMQmo3GTVEinQc7mmImv8dRmGVLXvaj%2Fojai6h0z5ACKjTmKolQOmSUotsfVwFsks00YraqHQUJ4VMUBUbziMgxZ4KR0FPEhjE0AJ3GOlq%2B5oCHvZcOEhYQ8DlGaK6zG5dVIulbn22GkEUe1z40kcpEAxhIAXTJAF0QEa1JgYdX9Ol%2BORwosyAPHNmompOtW5JpBw3dwQT2QhUuryyNbB2bS6m2tGKmqplk%2Fhrm57TIcanIJc2CkewVhMSPfYEj2OHMSh27IGW%2B0AUwYSwIRIKUf5oF%2FMKF%2Ft11OjIMz0o7HILUL5TY1OxSe6hgerR08%2BjZyOkTFjJLUmA6Vzs3ML7d5sxq0tcXW4jTyx%2FO1VlmFonb9lmoa7yE3n1Gynfx5AfEkvYr4HQ7vi54AiXTwUv7CxprCHdBUmMIaqLTJoMAGwMqOvmXp66KiEH%2F87vrdzmRE%2BkwSXltlLNnE1SE8pBlaeX6v2DRK%2BChlrpOIw6Ge%2BeoYw%2BVLZHNn5SYlLBMlfljdYULWmn3hKr0lQFlNuxyd%2FSjaXDmpZdzJJdOmPO5msuDIejgOm62UeMJAbY7QGvsSfjZXVuy%2F1Zjvz8%2F3%2BoOu8ao96s3rQ6b28ODiPXojyW9wR%2BW09twDq5%2Fuz5%2BNMptvzvUF%2FbnF%2BdjAY2oJyCWqvv%2Fpwc7smva7ZNmrWa8%2B%2B3O4NsqKMQBNANGU7VePdXWuueWjt6nioik10qcLITkEx3z0%2Fzr1m9YtljEjMppv4BpTxi1WNNkCT%2BeuQni1dTL90Znd5GELhL3Q5oW3sAl8HjdvFDUW7nWJY8ItuPcAMdZW9kRsrVbdOuttbGPQGKd8PewWTeX1sdw3LU%2Fh%2Fh2xyGY6mt%2FkCN3uwNTFGslrZW7Ug%2B4XgcIsBb0zqVVyavt596dJYir9exg3b3A3jbsAjBPG04e1t9KxzWjH8F%2BMSdJyb0IFq1zwcV%2FAvAQ%3D%3D</w:t>
        </w:r>
      </w:hyperlink>
      <w:r>
        <w:rPr>
          <w:color w:val="000000"/>
        </w:rPr>
        <w:t>.</w:t>
      </w:r>
    </w:p>
    <w:p w14:paraId="3363859F" w14:textId="77777777" w:rsidR="009D1F61" w:rsidRDefault="00000000" w:rsidP="00331442">
      <w:pPr>
        <w:pStyle w:val="ListParagraph"/>
        <w:numPr>
          <w:ilvl w:val="0"/>
          <w:numId w:val="1"/>
        </w:numPr>
        <w:jc w:val="both"/>
      </w:pPr>
      <w:r>
        <w:rPr>
          <w:color w:val="000000"/>
        </w:rPr>
        <w:t xml:space="preserve">Dichlorvos (Dimethyl 2,2-dichlorovinyl phosphate (DDVP); </w:t>
      </w:r>
      <w:proofErr w:type="spellStart"/>
      <w:r>
        <w:rPr>
          <w:color w:val="000000"/>
        </w:rPr>
        <w:t>C₄H₇Cl₂O₄P</w:t>
      </w:r>
      <w:proofErr w:type="spellEnd"/>
      <w:r>
        <w:rPr>
          <w:color w:val="000000"/>
        </w:rPr>
        <w:t xml:space="preserve">), a fast-acting organophosphate </w:t>
      </w:r>
      <w:proofErr w:type="gramStart"/>
      <w:r>
        <w:rPr>
          <w:color w:val="000000"/>
        </w:rPr>
        <w:t>insecticide  widely</w:t>
      </w:r>
      <w:proofErr w:type="gramEnd"/>
      <w:r>
        <w:rPr>
          <w:color w:val="000000"/>
        </w:rPr>
        <w:t xml:space="preserve"> used to control household and agricultural pests.</w:t>
      </w:r>
    </w:p>
    <w:p w14:paraId="0C09F085" w14:textId="77777777" w:rsidR="009D1F61" w:rsidRDefault="00000000" w:rsidP="00331442">
      <w:pPr>
        <w:jc w:val="both"/>
      </w:pPr>
      <w:r>
        <w:rPr>
          <w:color w:val="000000"/>
        </w:rPr>
        <w:t>The experiment was designed as a randomized block trial in pots (5-L capacity), each filled with 3 kg of soil. Treatments were applied at company-recommended field rates by spraying and monitored for 8 weeks. Each treatment was replicated four times in a block design.</w:t>
      </w:r>
    </w:p>
    <w:p w14:paraId="745CC3ED" w14:textId="77777777" w:rsidR="009D1F61" w:rsidRDefault="00000000" w:rsidP="00331442">
      <w:pPr>
        <w:jc w:val="both"/>
      </w:pPr>
      <w:r>
        <w:rPr>
          <w:color w:val="000000"/>
        </w:rPr>
        <w:t>Table 1: Experimental Treatments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5"/>
        <w:gridCol w:w="3592"/>
        <w:gridCol w:w="3523"/>
      </w:tblGrid>
      <w:tr w:rsidR="009D1F61" w14:paraId="436F090E" w14:textId="77777777">
        <w:tblPrEx>
          <w:tblCellMar>
            <w:top w:w="0" w:type="dxa"/>
            <w:bottom w:w="0" w:type="dxa"/>
          </w:tblCellMar>
        </w:tblPrEx>
        <w:tc>
          <w:tcPr>
            <w:tcW w:w="0" w:type="auto"/>
          </w:tcPr>
          <w:p w14:paraId="25D56258" w14:textId="77777777" w:rsidR="009D1F61" w:rsidRDefault="00000000" w:rsidP="00331442">
            <w:pPr>
              <w:jc w:val="both"/>
            </w:pPr>
            <w:r>
              <w:rPr>
                <w:b/>
                <w:bCs/>
                <w:color w:val="000000"/>
              </w:rPr>
              <w:t>Treatment Code</w:t>
            </w:r>
          </w:p>
        </w:tc>
        <w:tc>
          <w:tcPr>
            <w:tcW w:w="0" w:type="auto"/>
          </w:tcPr>
          <w:p w14:paraId="062A9E91" w14:textId="77777777" w:rsidR="009D1F61" w:rsidRDefault="00000000" w:rsidP="00331442">
            <w:pPr>
              <w:jc w:val="both"/>
            </w:pPr>
            <w:r>
              <w:rPr>
                <w:b/>
                <w:bCs/>
                <w:color w:val="000000"/>
              </w:rPr>
              <w:t>Description</w:t>
            </w:r>
          </w:p>
        </w:tc>
        <w:tc>
          <w:tcPr>
            <w:tcW w:w="0" w:type="auto"/>
          </w:tcPr>
          <w:p w14:paraId="2C11D6ED" w14:textId="77777777" w:rsidR="009D1F61" w:rsidRDefault="00000000" w:rsidP="00331442">
            <w:pPr>
              <w:jc w:val="both"/>
            </w:pPr>
            <w:r>
              <w:rPr>
                <w:b/>
                <w:bCs/>
                <w:color w:val="000000"/>
              </w:rPr>
              <w:t>Application Rate</w:t>
            </w:r>
          </w:p>
        </w:tc>
      </w:tr>
      <w:tr w:rsidR="009D1F61" w14:paraId="51F3ACA6" w14:textId="77777777">
        <w:tblPrEx>
          <w:tblCellMar>
            <w:top w:w="0" w:type="dxa"/>
            <w:bottom w:w="0" w:type="dxa"/>
          </w:tblCellMar>
        </w:tblPrEx>
        <w:tc>
          <w:tcPr>
            <w:tcW w:w="0" w:type="auto"/>
          </w:tcPr>
          <w:p w14:paraId="15BB3874" w14:textId="77777777" w:rsidR="009D1F61" w:rsidRDefault="00000000" w:rsidP="00331442">
            <w:pPr>
              <w:jc w:val="both"/>
            </w:pPr>
            <w:r>
              <w:rPr>
                <w:color w:val="000000"/>
              </w:rPr>
              <w:t>T0</w:t>
            </w:r>
          </w:p>
        </w:tc>
        <w:tc>
          <w:tcPr>
            <w:tcW w:w="0" w:type="auto"/>
          </w:tcPr>
          <w:p w14:paraId="4A716FDD" w14:textId="77777777" w:rsidR="009D1F61" w:rsidRDefault="00000000" w:rsidP="00331442">
            <w:pPr>
              <w:jc w:val="both"/>
            </w:pPr>
            <w:r>
              <w:rPr>
                <w:color w:val="000000"/>
              </w:rPr>
              <w:t>Control (no pesticide)</w:t>
            </w:r>
          </w:p>
        </w:tc>
        <w:tc>
          <w:tcPr>
            <w:tcW w:w="0" w:type="auto"/>
          </w:tcPr>
          <w:p w14:paraId="7CDD5430" w14:textId="77777777" w:rsidR="009D1F61" w:rsidRDefault="00000000" w:rsidP="00331442">
            <w:pPr>
              <w:jc w:val="both"/>
            </w:pPr>
            <w:r>
              <w:rPr>
                <w:color w:val="000000"/>
              </w:rPr>
              <w:t>Deionized water only</w:t>
            </w:r>
          </w:p>
        </w:tc>
      </w:tr>
      <w:tr w:rsidR="009D1F61" w14:paraId="64C7F183" w14:textId="77777777">
        <w:tblPrEx>
          <w:tblCellMar>
            <w:top w:w="0" w:type="dxa"/>
            <w:bottom w:w="0" w:type="dxa"/>
          </w:tblCellMar>
        </w:tblPrEx>
        <w:tc>
          <w:tcPr>
            <w:tcW w:w="0" w:type="auto"/>
          </w:tcPr>
          <w:p w14:paraId="0C3335D9" w14:textId="77777777" w:rsidR="009D1F61" w:rsidRDefault="00000000" w:rsidP="00331442">
            <w:pPr>
              <w:jc w:val="both"/>
            </w:pPr>
            <w:r>
              <w:rPr>
                <w:color w:val="000000"/>
              </w:rPr>
              <w:t>T1</w:t>
            </w:r>
          </w:p>
        </w:tc>
        <w:tc>
          <w:tcPr>
            <w:tcW w:w="0" w:type="auto"/>
          </w:tcPr>
          <w:p w14:paraId="23A57BA2" w14:textId="77777777" w:rsidR="009D1F61" w:rsidRDefault="00000000" w:rsidP="00331442">
            <w:pPr>
              <w:jc w:val="both"/>
            </w:pPr>
            <w:r>
              <w:rPr>
                <w:color w:val="000000"/>
              </w:rPr>
              <w:t>Atrazine only</w:t>
            </w:r>
          </w:p>
        </w:tc>
        <w:tc>
          <w:tcPr>
            <w:tcW w:w="0" w:type="auto"/>
          </w:tcPr>
          <w:p w14:paraId="1E84B95D" w14:textId="77777777" w:rsidR="009D1F61" w:rsidRDefault="00000000" w:rsidP="00331442">
            <w:pPr>
              <w:jc w:val="both"/>
            </w:pPr>
            <w:r>
              <w:rPr>
                <w:color w:val="000000"/>
              </w:rPr>
              <w:t>1 mg/kg soil</w:t>
            </w:r>
          </w:p>
        </w:tc>
      </w:tr>
      <w:tr w:rsidR="009D1F61" w14:paraId="7B1A55BF" w14:textId="77777777">
        <w:tblPrEx>
          <w:tblCellMar>
            <w:top w:w="0" w:type="dxa"/>
            <w:bottom w:w="0" w:type="dxa"/>
          </w:tblCellMar>
        </w:tblPrEx>
        <w:tc>
          <w:tcPr>
            <w:tcW w:w="0" w:type="auto"/>
          </w:tcPr>
          <w:p w14:paraId="6589086D" w14:textId="77777777" w:rsidR="009D1F61" w:rsidRDefault="00000000" w:rsidP="00331442">
            <w:pPr>
              <w:jc w:val="both"/>
            </w:pPr>
            <w:r>
              <w:rPr>
                <w:color w:val="000000"/>
              </w:rPr>
              <w:t>T2</w:t>
            </w:r>
          </w:p>
        </w:tc>
        <w:tc>
          <w:tcPr>
            <w:tcW w:w="0" w:type="auto"/>
          </w:tcPr>
          <w:p w14:paraId="551535A2" w14:textId="77777777" w:rsidR="009D1F61" w:rsidRDefault="00000000" w:rsidP="00331442">
            <w:pPr>
              <w:jc w:val="both"/>
            </w:pPr>
            <w:r>
              <w:rPr>
                <w:color w:val="000000"/>
              </w:rPr>
              <w:t>Dichlorvos only</w:t>
            </w:r>
          </w:p>
        </w:tc>
        <w:tc>
          <w:tcPr>
            <w:tcW w:w="0" w:type="auto"/>
          </w:tcPr>
          <w:p w14:paraId="29B7613E" w14:textId="77777777" w:rsidR="009D1F61" w:rsidRDefault="00000000" w:rsidP="00331442">
            <w:pPr>
              <w:jc w:val="both"/>
            </w:pPr>
            <w:r>
              <w:rPr>
                <w:color w:val="000000"/>
              </w:rPr>
              <w:t>10 mg/kg soil</w:t>
            </w:r>
          </w:p>
        </w:tc>
      </w:tr>
    </w:tbl>
    <w:p w14:paraId="3C587281" w14:textId="77777777" w:rsidR="009D1F61" w:rsidRDefault="00000000" w:rsidP="00331442">
      <w:pPr>
        <w:jc w:val="both"/>
      </w:pPr>
      <w:r>
        <w:rPr>
          <w:color w:val="000000"/>
        </w:rPr>
        <w:t xml:space="preserve">Ten random soil sub-samples (0–5 cm) were collected from each pot and composited weekly. Microbial biomass indices and microbial enumeration were </w:t>
      </w:r>
      <w:proofErr w:type="spellStart"/>
      <w:r>
        <w:rPr>
          <w:color w:val="000000"/>
        </w:rPr>
        <w:t>analyzed</w:t>
      </w:r>
      <w:proofErr w:type="spellEnd"/>
      <w:r>
        <w:rPr>
          <w:color w:val="000000"/>
        </w:rPr>
        <w:t>.</w:t>
      </w:r>
    </w:p>
    <w:p w14:paraId="282D8AEB" w14:textId="77777777" w:rsidR="009D1F61" w:rsidRDefault="00000000" w:rsidP="00331442">
      <w:pPr>
        <w:jc w:val="both"/>
      </w:pPr>
      <w:r>
        <w:rPr>
          <w:b/>
          <w:bCs/>
          <w:color w:val="000000"/>
        </w:rPr>
        <w:t>2.3 Soil Physicochemical and Microbial Biomass Analyses</w:t>
      </w:r>
    </w:p>
    <w:p w14:paraId="76371ADB" w14:textId="77777777" w:rsidR="009D1F61" w:rsidRDefault="00000000" w:rsidP="00331442">
      <w:pPr>
        <w:jc w:val="both"/>
      </w:pPr>
      <w:r>
        <w:rPr>
          <w:color w:val="000000"/>
        </w:rPr>
        <w:t xml:space="preserve">Soil physicochemical parameters were </w:t>
      </w:r>
      <w:proofErr w:type="spellStart"/>
      <w:r>
        <w:rPr>
          <w:color w:val="000000"/>
        </w:rPr>
        <w:t>analyzed</w:t>
      </w:r>
      <w:proofErr w:type="spellEnd"/>
      <w:r>
        <w:rPr>
          <w:color w:val="000000"/>
        </w:rPr>
        <w:t xml:space="preserve"> using standard procedures. Particle size distribution was determined by the hydrometer method</w:t>
      </w:r>
      <w:hyperlink w:anchor="bb3cb406e4a2b9907f6e5ad02b4983b2" w:history="1">
        <w:r>
          <w:rPr>
            <w:rStyle w:val="Hyperlink"/>
          </w:rPr>
          <w:t>(Tahmoures et al., 2022)</w:t>
        </w:r>
        <w:r>
          <w:rPr>
            <w:vanish/>
          </w:rPr>
          <w:t>https://dummy-citation.com/citation?d=z%3ArVhNbFxXFXaaVEopArGCbtAVNGgsPOP5deyGtE7GNTaNG8t2CahC4s57d%2Bbd%2BP313vs8nkiAq0qAhJDasvAKCbEAiaxYVV5UILVsEJvuUAWIRqKsIhYBtaoX9Dv3vpl549iKq9Ty%2FNw79%2Fx955zv3JmXD6Ye7YWJx02iDqbO3Ex5TzyfRR2h%2FHp1Ya6bKNmT8bko9bsrsheEeBiNg9LKyCTWrx1MPeJ3OsnuwdS5biDowOEzH92%2BO4U%2FPxRdc7h46d47i1h5JkkPF2d%2BfW0PC9GXvgkOF9d%2FdO9XWBYMnz1O4Qdzt0jFcQpnf%2FkG2Rop%2FDmn5UMorF179Y%2Bfqof1Py%2BThrHCDx7Sw%2BY3D%2F9ZVPj6m7R8CIWtP%2F2eTXj4P8rRJ1T4vhVyCi%2B2u0UP53%2Fw7ilCXjz7zlcIqFzh6sb%2BWOHC%2F5tFDJ%2F97RqZfpDCL%2FzuOVKRK%2FzWFz9POpzCS3fToodfe%2Fffp0nKh29fKCh8fiUiHU7h0823ixhOffUxWn4yD6%2F%2F9x%2FjkC%2Fdfen7BYVPP%2Fbeaerwo9v9YlLe%2BwvpcAoXv5xNlM1%2Bk%2Br8wVn%2BYbGX3%2F%2FJ2MPFv69PFPYr3yZjD%2FTw7FtFD%2F91e1yHV%2FY%2FO9F6r7x2KoW3P6RjxxX21RcfmSjsvfOnSMrRkIsK20%2F8bQLD05LDyQr%2F%2BsYkOdw76qF4KUuMGJy7thUIphNfZhELxC6PhOFpkOg04IY%2BCDMiZFZqXZhmPPbxYCIUnlHS4yHTAd8WivWFEizTwmcmYb7UqVBaMEOaeZSG2NeJDDXrJCZgXiAiEg4HVmEkvIDHbmOGKQFhz8gdEQ4qjHyLuNasqzg2MRhY0rV6U66M9EKhmY4gCR8MtLBqpdpiUcRkDDcolqFzPr2NZAxXMi3jnnNO%2BDISsbEzB46YIPFZKRj4KnGiUMNZlPgiJLtXNrfWWK1VX5mesZ5bFRn8jTXJ%2B%2FRqBqzPNXRxnSkY44ZdZAZW9FOsPsNaM6xWnWFzeNTm8dSgd6Sr1mxWGfxjL9bnvldhyzJ2eJCNkTIjIiDLDRbaShVcVYL7iEtP5gKoellImSyCVtbylhhjCg%2BAcBKGSR9ebrTZZbah2J2fvs7a7OuAtDFX2rLLenWalWrTbP0bbAmH%2FvOHNzfa2F9ikaYFe2sf0VVZqT7N%2BgG5AV3kJrQpkcJpYG0d8RKlkGXCBx9n8Xh9TETHFUUblQdvrbL7Rch6nOf5NKVdaSF8qiCJcjKZP5iGlbHLzkwBfFteoqcE0lC6s%2F%2BbNlrDMMG9oOiMK32b%2FEIlo464VGVfyVFXwKqMfXQAAdCXaJFIV4BdecnCY9E%2BCb9jgnehIL%2BoIFvpcIDMjlvG2uCjzhl1im0hZxQKpGII2KP%2B6EFbkmGbJG1TuOCOpsbvJ2r7YOpzAe9oQ%2BU1ePRnm4jxSOWBIcAfnRz%2B9c2lacIAtmWUJspwREnIsK5wcMMvY09onXhyDJM9JFRC7TczFIGhEG3o2srupcFAW7ainSH7sFQlCM9IAaxXkr7YEWqG4WkAHX1bBviIBXxHsI5AOXlc2ZwlGXKQIGM7QhvZc6UEK1QQ3HdUMqYY22SwZonG0kQJ0eYkhsjprauCLvKIY11EQGkO4WwZbczMIIUfAN0mHv3MlUgyFCoZhfSq4jEIY6J%2BwS71qjvhEoU6rd7Z%2BwU2vQjNSb3poeFdDZ3K8jJXmq2rZEfGHvJOUO5wJcmTDge8OdQjUMGMaAcQi%2FNT9Yjj0QKGCq20eX0NJGo%2FMmLXJrlARxQlNS1C7SQxIVxq8%2Fb1BkTSFWfbfU8oi10aHihPj6fcI%2FYttZ9FO9oIh7zpui8H25J2ERii62Ong4yxCeuwgwR6IapPdqlLKYt6oEEIttectiKjjsfDyCRZJ0sjQgbskEUDuvQ7H9FNWQi%2BsULDZFqqcz2wRF2gZS%2B2jsQGI9RSgVNoewJ%2B0iZ8RypLCjRdrSw0pnN%2Bx6kOFFoEi2fA4tVKq%2BlGPBAcSrZqRIVuBhE17PAwA2Z5UIgAPcBQkIisRCOhDls1pClnGKR5ZAcy9UrtArBBaiZjCHCfGdIPZjBKLzfAe7hmAJFMIQNUlyMrGPO0JAOXWa0yl99OUg7IaDoOz9WqR8%2FNDMnW5RmodpH4vHyHFIlCs2%2BRKkUgA9SZAhdYLlY7QBPdkaOQ33DADmGCJbFk0fuCd8OM36AmjL0w83OKuz%2FcAMCKXbSUFGg78NlxuIXgLpjOmWRIiA7OYooqIfc8oXE1WEK99OrVeqtcnY8oQRwQqNW4m9A3d54hCUrvhaBjFPQyHonym5V6TUitM%2FG4MNLgUncNHnZ3MEYj8Xg60nJt9L1f0nVzg9oTt1d4rbRZx84T58sBmmn4PiRJOw1g88d0z40xjvDa7fJIhgO5xYMooaSKHsZMHKwlAY8i7mPwhWLqfoHtFTSs6vDtQAdOpHulqzG2ThLAx7d4KN3ZdJMPAPQyxEEdGKgnSQVXcJvloeg4ud4ass67%2FEQjqzHmQ%2BQOe1fFyXqva5MQtbqj4rscpeYOe9LHzyTnPD%2BRpoZ7WWOhOktlUsMfflhpYK524j086%2FhlWa9ebJSbzdZ3AlAyGEzsbt9oNqoLF%2Bfnq435mzaTthBuohDq5VqtXK9GadYJJWDLa%2BGM9W23soailNDryRRXCo4ZuYRfcGiurTsB6qXVGPPQZEZsI1dImCdeUOHuYmBMqp%2Bane33%2B5XIT2XFS6LZkXOztRr9k%2Fez%2BDnoGQxgKt7Ltbm5%2BYVGozXf6OmsQ5MICG3n7bmF5RmcEkn3OSSouI0rHu7NOIsJAk68Omjj3mI%2BY5Sw0w09dANXFG13v%2FSkK%2BTdV5fzKb3sLhy2l%2By9ZX10Z0Ijop1WHXWAuXGC6p8tFcd%2B7KMdl0aTlByyuuzJF8BraHLitRuAXQFmEBMGgr1PbuJeAdxhAvPcp4DPexnwe3KIH5JewRidPS7xHwM%3D</w:t>
        </w:r>
      </w:hyperlink>
      <w:r>
        <w:rPr>
          <w:color w:val="000000"/>
        </w:rPr>
        <w:t>, while pH, electrical conductivity (EC), and moisture content were measured according to APHA (2012) guidelines</w:t>
      </w:r>
      <w:hyperlink w:anchor="df7b1dbcd51db9adc867b86497c1b315" w:history="1">
        <w:r>
          <w:rPr>
            <w:rStyle w:val="Hyperlink"/>
          </w:rPr>
          <w:t>(Samri et al., 2023)</w:t>
        </w:r>
        <w:r>
          <w:rPr>
            <w:vanish/>
          </w:rPr>
          <w:t>https://dummy-citation.com/citation?d=z%3ApVhNbB1XFXZIqiCagugG2KArBRdbem%2FseX5u4kBqJ44dx8GtlbgEhBT3vpk7M9eeuff1zh0%2Fv6wCVSXEsguoxKaqhAAhBCwQsiokFNaIDWJFJVTYdYGQqkptNv3OnXl%2B8%2By4cWrJfzNzzzfnfOc7P88%2F3Bt7Kk51wK02e2Ontro8Fi8WWUcY3o60kbFUZ7JuGK3IOEnxbXOcks5AapX%2FdG%2Fsc2Gno3f3xs5EiaADD%2Bc%2Ffv%2BVV8bGxsJURPbhwvlzU2%2FhKrC6%2B3Dhwmt3GC5ET4Y2ebiwOD%2B%2BgMvaW08%2FIeDcl%2F%2F2lzrg0%2F%2B9fzLAS29dI4Shh3f%2FfTLAb3vvjIT8wh9OGPLlP%2FsjIc%2FfPV7IdwniUYDzN39FFzUOjxfykYAL2ZdGAM99nWI5AeCV9iq5NAB87u0fEAOPA%2Fxw9Ss4NQBsfzhGRiXg1ddfq3t4vvuvYyRl4QsfRfWk%2FOYZMioBF3%2FZoncNABfUHbp8spC%2F%2BfdLFGUJuPSfDUIfAF794hufhcOzQw6Xf3e2zuHiwjLJ8gSA1%2B%2B9c6BSPosOa4Ary7oeMprDCT288ez5elIW5988oYc33v3niLDnx0%2BYlNVf%2F%2BRAyCcEvFm8MBrySZPynYX%2Fj4Z8vH74wbO10hsBXDv3i9GQv0%2FPHu9hp156T39A0qgA%2F%2FHcgQZ7nObw8ftR3cM64Is%2F56MevnkwZPFqoa3onzm7kQjVYMwmguU866YiZz1hBNsWXcsCrVM2wS1rP%2Fj94iTDOGXdpJ%2FLQAeJyGQz4CnjKmSZDIzuSJ3qWNK9TPC8MCITyuZs4pYorDCsNT19cdJjbBkouZY4pWVucazBOHu14MpK22c6Kh%2F2eM66KQ9EyKRi68IayVgo8wQO0isTwS2ekUutNksYnPSnZ%2BGmxxASTkYRwlCBIHOE5CY%2Fi%2BUO7CnYHswNAlQWTjL4qncA1%2BkzscO72vAmbQcl1oizrCtMABNQ6XwMBXAyqWBc5E2pYocOt7Ii5ZfY%2BNrA7jK7I2wVm%2FOGXTP9kevLjLG%2F%2FgxhTHuHnv3v%2Fm8dcQTeXWmwWRYTVeH%2BMbiSyd2SLc46gm8jvJ60CWvNsix1h%2BGJTFOcccGXwcHIuUcAeGwMHrMCuUiZtO5uoEkWVqR9%2BrNDoR42ZTxNdQ%2B2VgOGElRicJYXYExx3LMs5X14ReQQBrvCIBbZMS6T3RXIhnLShZRKUJllwuRlTBT4I7DwOotQK16QRx4iB57jamkRwub7boIBf2q2pKuUuhNSG%2FcOMFNGVODNHrsS0Q3HDCWX9MZZJHqAVZB1TuKFisIisHKHBFxFIVIRWKPDQ5GQxzXyBgG4m5X7FO%2BDP95mD%2F7Eguy9H7%2Fhe2yx%2FgpyexgsXHUVGwuFnTdFmowItAnxNhSF844yYpkVGejjAzJQkMBulTUT9rTZ3ht7JuGd3Boe2P7ZcGk3EHmOiiEqyMIVPdU3Sgt8yXuIqeEEFxsZFGlZzAniVSLGeg1LmXUBljOtSmobJf8UAUeF0iMKXKgdabSihjGo7tQm3g1FsdDNUAQ8JLaNyAU38MTkeBPe0BFCEa2gICcdVVqBSgqwgcdKRJI8iPbvuXalTcyVzLOqnegemZHEixR9ANpgsdbwMgUyDCmYKnWfwoZHdcFlRs9tIqmkirDvJABjqdB9rAQ1pWCFY2C%2F5UmlQaL7WFJWLmVCKud61kdKTSLv8VK1ZViBpAhBsDCSE8cOBwWEPFtZdUpcDqVDfvEOpB8b3hW5tywFwkVz5WnV%2BCsxg0ngkXpIuu5FNcN9UJyJuMnYxHelRbg7UslIQmQs2PHWdJEHfLLB3IetMjVKG0TOkSmj2Jo2Ogi0t9ET6Y5o9pFYDW%2FQ9mluOG9cEUL8KCUEVnugtN0nDNATG%2F6kIx%2BOWW375GLtdO2kY9b3WmWrZW2i5HqqswJVaqCIoMjYDjce5kIhk3434abIptCU0XEnNloI50BLaRFlJFKUFvFxHDyXmEearueiCHWmFc2%2FwsqQ460zk6VB5fNFtrj8Mnvv%2FttwqekfadUuGanJqmIDjYPkirz3ZCC%2BVU4safIho06Ctd7vxLBaoLf4cw00Dn%2BO9RIJNbi9Ae0G3tVt8bUsOqbgmE8tnyxa097tsvJ52s8HW0bA0VYJvbAN1tHITH2%2FoOKaoGlXNlN3PdJrJ5YWkY8c0ShcNtj4YCZm3EJhJWsHl5NaeUxAKlTAKQZ%2Bg0WFimXZmvACpQeFNemtk5SgfN2DhxOpUDF%2BuxKvZNZgyu1VzjqUvJwBVNhWBttoW9VjahtpQepHnmh8GYGOOXyoMDDKJ86w4SYTpy2mI2yPOl15wrWAgr6RNVDQd2VMdyNTYG5jnUodQUNo%2FALVJXjlQ2PwR7VlDK%2BrEAnQ7ZANt3RcNXIXnTiG0zT3Ahk61pcW3cHxEeZdeqs9MPRuiRzjAe0QfRbpzt0%2FYih6FeaQY8yNm3vDpuiaHp5zWy6REJQj%2B4A6HpPfKkXUFRFBPYmHqHKl8ogsub1IxtTWAtijAhL4jkNoZlWZU1cYqUAqPfeG6oBNOI0ot21SHxvG5WHDpSErwmtoTjHKZLY5PZfRQXR%2BYW6oSO%2BNnY55YRNt8vtpOU%2BX8Y0JP%2Bv5vsDWnIrdb6zqAmPK7XmlWtfRCEEkVSPYdzMzdQ7ITgHj%2FHX6TKGgVPyOIp7JtC9u8wwaoSVZZbd5yhO2FDaRGRHCbTF22CK5Ar620eVKI3GTZzw96nB4m0uohw6ma9is3NdS2jzqfLzCO7roVNjxzQTrzhY%2F6nR0PeH3eFoejlZ4niMD7ix0iv%2F5PRWEWu5%2BzZ%2F2Wu12a3Zqq9s1Hgj3PX9mrtVuodI66j5%2B5upH0m%2B3LjTbM%2B1Z6V%2Bcm2tOT1%2F4XpDxeGvGn7sw9%2FzsxdZMApGBb7G7fWd4cwvWRZnLLUDPNKdnmq1W1i06KX1yqdJ5ynmurwl23RR9KreXgLWN%2FQU5DMTLJt1dSaztXpqa2iqzmntdrrxuOkWTELqZ8lv%2BXHt2av3a8tRLVzanZzZX19dvbT7vb7Y3fb81u%2BkS6eG%2FnnFedGgagqdtjqIIUrGBy1OQhdDRTanC%2Bm2Bbpj2cTYNJJr%2B1f6ixhp%2FGnqtPkyFd7Am5u7uV8cr6b27NKzYQyvMwb2FyrG%2BktWXlycv7rKwy5JGgdcXHTIedMEDS48zUPiAEoL6NYEmhtbIlUCRBigw2s5oymChwcQMib3PBwWSMklJyZEVCMnD%2Boil4AgtfQI%3D</w:t>
        </w:r>
      </w:hyperlink>
      <w:r>
        <w:rPr>
          <w:color w:val="000000"/>
        </w:rPr>
        <w:t xml:space="preserve">. Total nitrogen (TN) was </w:t>
      </w:r>
      <w:proofErr w:type="spellStart"/>
      <w:r>
        <w:rPr>
          <w:color w:val="000000"/>
        </w:rPr>
        <w:t>analyzed</w:t>
      </w:r>
      <w:proofErr w:type="spellEnd"/>
      <w:r>
        <w:rPr>
          <w:color w:val="000000"/>
        </w:rPr>
        <w:t xml:space="preserve"> using the Kjeldahl method, available phosphorus (P) was </w:t>
      </w:r>
      <w:proofErr w:type="spellStart"/>
      <w:r>
        <w:rPr>
          <w:color w:val="000000"/>
        </w:rPr>
        <w:t>analyzed</w:t>
      </w:r>
      <w:proofErr w:type="spellEnd"/>
      <w:r>
        <w:rPr>
          <w:color w:val="000000"/>
        </w:rPr>
        <w:t xml:space="preserve"> by Olsen's method, and total organic carbon (TOC) was </w:t>
      </w:r>
      <w:proofErr w:type="spellStart"/>
      <w:r>
        <w:rPr>
          <w:color w:val="000000"/>
        </w:rPr>
        <w:t>analyzed</w:t>
      </w:r>
      <w:proofErr w:type="spellEnd"/>
      <w:r>
        <w:rPr>
          <w:color w:val="000000"/>
        </w:rPr>
        <w:t xml:space="preserve"> by the Walkley–Black titration method. Atomic Absorption Spectrophotometry (AAS) using Method 7000B </w:t>
      </w:r>
      <w:hyperlink w:anchor="00d82f6fbef0408fe1fb9bbeb984c8bf" w:history="1">
        <w:r>
          <w:rPr>
            <w:rStyle w:val="Hyperlink"/>
          </w:rPr>
          <w:t>(Chikumbusko et al., 2017)</w:t>
        </w:r>
        <w:r>
          <w:rPr>
            <w:vanish/>
          </w:rPr>
          <w:t>https://dummy-citation.com/citation?d=z%3ApVhNbCRHFfZufiSEgOVHq11tBHUB2dLMeOzseOxEgh17vbvejXe9HieOuJCa7urpsqu7equqZ3ZygA2gSJHgQg5BAiQQQrlFSChIewuIXKJcAxcOSOHCDSQkEIsQ36vu%2BTM7yJYPnumfqq%2Fe%2B973virPaw%2FnnuoqHXCnzcO5MwcZ74rbedIRJrjcqEfayK5Mn0yyMLohu7HCn7MYJ%2F0UqVP7wwsP586GnY6%2B%2F3DuySgWNOLR1x794tuvzM3NhUpE7tGVm7U13MwFTmePrmyfa7yHG9GXoYsfXdl8pkm3EwufPSngB%2BGVCcAv%2F%2FgsOzHgzpfepbvHAj6dfkC3JwO8O%2F%2BNmRGe6%2FzopycG3P3OzwjjsYCf%2Bej5P50YsP2HgCY9FvDs375P0Z8McO93L88E%2FOyv3zw54EuNczM5PP%2BxO3nKU7K5%2Fd0fTOvwU6cEvPPV3zyYAnzilMK%2B88%2B%2FkpJHgF9483g6%2FCaF8TjAnZffmgJ85tJpAd99h4IfA%2F7%2BeMJ%2BfRbg3c%2B9PwV48efHk81sQP3HqSpfPKZsZgN%2B%2BPfpovzneG4zE3B34fOTgFf%2F8r3jyWZmUXZfj6d0eOmXxwOcHeHH36KyjqucH082MwHbV96im3GES6escvsn70yaw%2Bb5t09Z5fa%2F3p%2Fu5Y%2BOBzizKHsv%2FXmKw0v6eLKZDfirf09zSHdTgOJerp0YPPH2XizYi%2B3q5k6LLdfrTcbTkNHVKkuEi3VoGeNGMKYjJ1LGcivwHls%2FY33uBL4sTzIlWGZExo3f9gsMnnI1sBLz%2B7HEAPZsvVFfr9DXUqvix%2BByebTMvNOOK8ZC2RWWYBbKlcdLHl1jtISOmNVS2Qq%2BlAwRmnXCD7EqD7uiDBKLtHZuYPGltbXV58u0%2Fd1l%2F7m8UGN7hgdYVCiRiNRZD4IQubJMpgSfF8sjMiN4KNUAr7nNDYLsDBCn4olg86E0InCM20wWAS%2BwVquNtJmVni%2FCNTxDsAUBSDbLlAx4By%2BdxsAeN1K4ASUn0p40OqWIQNEoGV%2BBCkNgYW6dkXjnM%2Fc8FHQU6XsmRCh9SgtsLwZnCUe0HbwLYil6RfSRVkr3ZdrF8kb0JDFfhtes1%2BvrbL69X129vLJAg0vVzA9pJPkQgRDUSE3D3GgxrOVLSZVMcuVktSQZYfsANYhLdVr1dA8FhDwnec8tRbe1sVNtbbaLxco1SGkBzpwyFFQL7m9IDYVewCLk0%2BNSEcBQdGMhVwrqyusinpGUwPW0WEZqwfpHiPIyn%2BQHQ0EYhTdKnwdAHgndy3dYnWHNcFEEgTrW0BV9bQ4fzn065h1Umgdu8PRvrxvddzHNDqSTBVEhSql0RjkGOk8hCjwPwKxlfYnBMg0gW08iYFKbaePGDTUhJCwhewUs%2BjeIfQlBKd52cjQXSTQIchRyxG8seI%2B6YdgsDuRMKJfYAgsZz2AbmdE9VAr95fkTfU%2BCy0NaEHBHsba54n35ip0ErNAKElhwstRR0NN9gkZDFkULZ9paSa1lRKJ7eDlUgGcFBMFYpIViKDENXIOSKLQwKjYiclxv0cdzKIuzyOikjI7ZWNNzF3NHMRcGWXZrZTIlIjJAkIU1IAhIlsWwdYzH7JTta6NCdkNwhejumC5PpS14nt%2B%2FcWfBp1Quug7r4TnR13Z4zA156fZ6ewErR4IpmUhwIGwmAlAEu6J2cpiTUC3ACkkhNjrvkjpG9bcSsq%2BxXUEK8Q47VZL5CcCNvMK2CwF9HT53hIUJTBFFKi9ETtrAG0gszPFGkWz9KgJ%2BRN8YkBS8AEZBso6tMIcesUOiuBc26kaLaUzQljAZvDgiDy%2Fo72iSVI1tpczInjAoMCbTWwjj%2Fwl4ntLaCPEHP7gmKMUK2%2BlU2G05ShVdzlWXA40wcdeReqq0DJHgn2egrW9cW4Dhp12yANLMUq1OYV9eLvwN3ldkPeyCGrsuUmGI4UqpmpIlPx62UNp6qVJdqARV9awlOXiclNSInylZls0d5cZrHsFH0iTjdpmkqMbasA8ESMHyezkeBhPL0pZInpsnxWYS5wkMxpcab6jzR31KHkipThEOMgIOi8QnVkF9kd2hDFMxQKclOLoU7Tc0iVCnPp2yDUZS6AulxnpAQGHu%2BQFzwpepgAlF1%2FDx3lCQYoTVuQmATvFPBkfwqBqM3kJg1nGZ8g72kmJ%2FnpSajxvOSR5aciQCbQfYRkBSLIjBVHTxAsVEN3qToiZEIFupo7Ao3H0PuVsGhCxTMEDGxua39ne3F6iZqDNLVw2gk2I7g7tKBBJM%2BU2iUwkd%2Bp2dfD6kQkQDuu%2FzgW88cJcHhRmQqRroinvBeC6POPktFAU7UmifY5uThjzJWQUFV8W2jcu8g8MNvYejoZd80WoK8hIWe99VZNtdri83qktLCe0y4FeYrTTS9BMUz1FMYx%2FAy4isa76nxFKztrImpLW5%2BIRw0ilxv9mKDI5QKbsJ1nB8oLwm4sODdiB9BYiFPRHEqVa6O4h6OF8k4pPZaOkXRr96STo171Lj4hAu0R3W7eDJxTPvxQquVFx%2FqEZbIwJ9g47rKc6B%2BI4inuCQeLgRy0McvXN7qEUXpU9TPHlV9jm7xXXa5aHRSsz978Tulo0TjmL4SW5ddzqD7QwN3e0LdkujjfNZU6OrQsm%2BKGbqq1BszF7gh3n4KtifNSnYFfeLGWK7Q9vcLPB1kWKvKYfuxRg1c%2Bi2Nthci6Hhdm2rNnPkbg41lLn2N2LMwlFGsOvc9NDqYCwczGaq7USG%2FipmR7fyAdKfuVIb%2Bx8cxI%2B124dcSbYVGizP2vwAm1IxEec0%2FKL5VBBq2Vuq1xqra81FfoBj23Id8lt%2BdqUZSttJH%2BDTpq9JOupV683VlQB%2BdbDcbKytNhrLzcuxzsAWBHq4P3544KXrpX9AcNX6WnV5KfGdYmFUhfrP%2BMDvtQIeigQdVCrbHg696kWj7t%2BNncvsc4uLvBx2UI6qwZ4Xy5vF1s3N9t4iN7AkJapRrlTVifuuit9vF9cbS5uttZWVRqPZqOFB1%2BYdN8jA2Bn0r9DRLezW%2F6C%2BVgOwqHDiFOH6YIOORudxmohgrOirEAeXQ%2BufXtgqm%2FKN1sQR7%2Bi5jjay4n%2B50iuHRomxuemglYtNLpHV8paOrxO%2Bf5LzW0gZXfhikIOyrwwpQ2k9S48v738B</w:t>
        </w:r>
      </w:hyperlink>
      <w:r>
        <w:rPr>
          <w:color w:val="000000"/>
        </w:rPr>
        <w:t xml:space="preserve"> was used to assess heavy metal concentrations (Hg, As, Cd, Pb, Ca, Mg, K, and Na). </w:t>
      </w:r>
    </w:p>
    <w:p w14:paraId="3B0E3A52" w14:textId="77777777" w:rsidR="009D1F61" w:rsidRDefault="00000000" w:rsidP="00331442">
      <w:pPr>
        <w:jc w:val="both"/>
      </w:pPr>
      <w:r>
        <w:rPr>
          <w:color w:val="000000"/>
        </w:rPr>
        <w:t xml:space="preserve">Fumigation-extraction methods were used to determine microbial biomass carbon (MB-C), nitrogen (MB-N), and phosphorus (MB-P). MB-C was extracted with 0.5 M K₂SO₄ and calculated as </w:t>
      </w:r>
      <w:proofErr w:type="spellStart"/>
      <w:r>
        <w:rPr>
          <w:color w:val="000000"/>
        </w:rPr>
        <w:t>ΔOrganic</w:t>
      </w:r>
      <w:proofErr w:type="spellEnd"/>
      <w:r>
        <w:rPr>
          <w:color w:val="000000"/>
        </w:rPr>
        <w:t>-C/𝑘ₑc (𝑘ₑc = 0.33) following</w:t>
      </w:r>
      <w:hyperlink w:anchor="a65e66d46be8ee2db97dfee668ea2b89" w:history="1">
        <w:r>
          <w:rPr>
            <w:rStyle w:val="Hyperlink"/>
          </w:rPr>
          <w:t>(Niemeyer et al., 2012)</w:t>
        </w:r>
        <w:r>
          <w:rPr>
            <w:vanish/>
          </w:rPr>
          <w:t>https://dummy-citation.com/citation?d=z%3AnVp7dBTVGV8eIYBSHhKIhsctEoSE3ewjr7XgbhKQ8kiIPI%2FtwXJ35u7uJTNzl5nZJItQkT8oltZq2yO21eqhpxb6ktoeJW3lKKC1toc%2BjkB5qMipLZ4WPdUaH7HQ7%2B4m2TtrRvfmjwRm5n6%2F%2B%2Ft%2B3%2B%2F7ZnY2d%2Fd4ShIaU7DNzB7PiC0pnCBtaT1GzFi4Mc5MmqDGaD2lxj9PE0kNfmwLltFsBGWG9eD6Hs9INRZj3T2e0fEk4Sv6Iu%2B8%2BhryeDyqRuJ2X3Tmnfc%2FA0eKzVJ90fXzvxGFA9JFVTvZFy3XrsCRR9h35KcDVv13EscYBOSXBgCnjz31qDRgaFHVThfASN%2Fry%2FhmcoC1H2ZcGV739SflUw6%2FfJqnNSTg5CtH5QFv2bSNBw0JWDpFl9cw%2Bsirjio7inImLA%2FY8t3%2F8aMhAaccOcQP5QCXvv1HV8AJx%2BfJV7nMqhQ03H6J5z8AeP2eFzZLA960o0fQcPulC4IPr95ziB%2FKAVYbr7sBRr37mTzgoj3beNAA4BtiL09787w8YNOciULrOQHHrf6XvG2anxonVNkJ6JnxiLxtWg7%2FWehlB2DkrdZT8rZZUj%2BGW2NoDRcY8ra5ta%2FaLeXIh3fex%2FWVNfZkoSh%2FaRZtM%2BNmLM9w%2FqmdDkCxU0b%2F5oq8bXwlTCiKE3DauiPygLX7TgoaOgGv%2Ff4keQ0bq%2FcKE9sJOD3ZJg94S8lXhdZzApb8%2BwvygFH8FWF8FQA%2B8Tv5e0rTbx930zDywYOGfKc035MSOsXJcML52fIpL0ksdAUsnbqDH0reU%2F7m7sOJ9Ij8tCmzxucn9obKhzjdQR%2Bm18m33mdPZVkMCTjyO3%2BXr%2FK8HVV5YxcAei79ZBiPc08tyxvbCRj5z6Rz8reAhWc2uWkY6bu4spjh0LdB48v6Af1VJ%2FJVLkj5M2V75Y0durzdoaFom2v%2BGpNPuSHxtENDERBdIPLGjpx%2BKT%2BxCwBnPVclP2Bbju9yaCgOh49qvybPcMljc90Ao6Ofv1u%2BKEvf3pMfDgWAE17YPpxenigAZnpF28x8%2BR%2FyDBcciAhFyfSKTw4VyjXyGoZ%2B%2BqJgGydgSdwrP2Drb9%2FjyvDGFzfJD4fo7BVCpzgBp00%2BIJ9y82udjqKIgNdOzz7DS%2Fpw%2F1v522gB4PWbs9dkbTNVGF8nVotPX6V%2FWi%2FvQ%2FSzFoHhiXZ%2BMNgpx%2B6SnzaVr0wVWs8BGHn%2FjvPFGLv3cpInOfB8%2BMY%2FhSo7Gc66WD2MD%2BDetODDE%2B1iUcaM%2B%2F0wjP3mAYeGImDZEw%2FJF2XRFxc7UhYf2t%2FrbZAvyuKzD4u2cTAc9%2B1n5DWM7n7AVcMZHxwdxgefyqPCtHECzlzxA%2FnWK7Nuyhdl45wfi7YZNe8BeYazx9Tkh8PGOQfF1iurPytvm6pZm%2FNFKQCcfPi0%2FG00sGOzK8Pxz%2F5SftrUnnw478MCwNJFFfIMG54ud2V4w9W7hvGqavsFV4azafUw3ixV73EtyqhD9w%2FD2PF7RR86ACuWFHlfvigALm9%2FJf%2FQXvHlgGjsaZFRxWkoAq4qf1IEvEF8s%2FSedkKe4aqXKvIpOwGjczeeK%2B5zigjY%2Fq4nb5sChlcCv5BneJv%2BvCvDkufKipvYIuCaistuGkZnHK8trlNEwLWXhNfOBYBjc%2B%2FJ5QDXHdTynVJYlG3vyqe8vF14qYvwWfGRuOwPZ4trPYdtxt%2BWrzLC50SGnu%2FdJ2%2Bb1qml%2BZQLACeeuUM%2B5dWT9%2BWL4gSMvPOjk8W0Xu%2Fl2zmnAcCfZ4OGZFhqPi5vm%2FZvXnXVsPRwkR98HJ3S%2Fqwrw%2Bt%2BWORbEUen7J2av9EXaPjRjbvkbbOmb78rw5Ffen8YrXfvo64aTlk%2Bt%2FBGT7ammU0yIztbqWKyGMUaQjHKdGxZCLE4Qgo2Y8xAaH5rc8sChLChImRQ22QJkjvbBme7iEkQsWyqY5vAglgGoXhap4nsd2kXd36LdNsmVvgBQjqxk0z1IbSuiyEUrEMoAbga5Uxym8Yp0VSvzqhlI2QxCpwsrKc0ApezW8FvyJ3vlOXDDDjFydpJosNFDOv49l7Yny%2BCr%2Ftgo1qEkhAAkMFGdHHfYy2wktpwCvhgg2neuEkAR0lqzGQQAkgU6AImQio2O3yoKW4TswubqrVwML9BEgYzvMK5AsL9AsCV3J5%2BH%2BTditDK4NrVtTmA7EbMTGCDKghxdjyPrWls2BQUgRXzmwyVmBaImA1YbiRMrAOVQDgcWgCCQon6o4RaKPBlJoUwaoDMuWRoPA6kDIWgGLG7CBSyhS9TiAEks99%2BCql%2Fcp79eXFBeNHTVnYbjFBHC1rM0wyFgPcGzDcDoXmhfVnGjQ2csdrFzI4ezwQNKwqxLKIuAdRE0B%2Bs8wb8OnCyMTWIudyIM7B8AqfBOqa1U6N6Cna9FX6Yqdb5%2FHXEprZG7KZUSuNSreWmWaowjSUy8U6mpXVS%2FrnUIN6qwe%2BFKe%2BFNdhIEGgtkNm07HY4U745qeH%2B%2F1KNx5k0loYQazdvQQPrfH08jnWqZZJtlOgkA5ImaCcx9BXHfq1RjFowaI5Vk2nE8%2FGg%2BCqmYRvnQtgyyjqxgVEzM21mU7egJGB2Yi3JcmHmMhwzoVdQKzZtClVTiVskWUu1zv7dti5V02BihloJ%2BAmiXEmStSxt9Ud1rGDWsYOoHac15sqvjSXShJr9IQbwUhhqMuxjvzJof5RCVfimvURRGe2eEfD7Av5Afc0WH07xRvcF%2FYGgzx%2Fy%2BQNhlVoxYyf8toxd1B8Ohr2BUDhEA40NIa8%2F2BBUdJzYEgzUh%2Bobw421wSRLEQNrpLtjY%2F7kFohO51y1hUN7%2FXVef6OeSsc0aiUHjDUim0bHUs0inZSYqHlDh0ksljYVst7UutuStp2ybq6pMUmKWRRcQJkvHY9hX8ysiVHbsk2C9RqT1gTq%2FXXhmkANSFWphCpxuDLozwoG%2F2al9MEfHCSsdMzOpLhsHbxuikbWweEI6DvC4iupoYqniY01LQNrNYVCwzVnWljasMt3w579TaxuhB6ycqdX5Pqg28yPc8CjWbdbfERmp2mSYA2GEAwKmzHNys5Hkm0WWKkhk1odcNGChtRhJPAwzKc2XMp2kA625r0PUhA%2BJ5pNvI1qKs9prJIGwRYOCAY19sFEq%2FmkMv8f</w:t>
        </w:r>
      </w:hyperlink>
      <w:r>
        <w:rPr>
          <w:color w:val="000000"/>
        </w:rPr>
        <w:t xml:space="preserve">. MB-N was estimated using the ninhydrin-reactive nitrogen method </w:t>
      </w:r>
      <w:hyperlink w:anchor="a4c36cf0dccafcbbd9733155b42e4187" w:history="1">
        <w:r>
          <w:rPr>
            <w:rStyle w:val="Hyperlink"/>
          </w:rPr>
          <w:t>(Cha et al., 2017)</w:t>
        </w:r>
        <w:r>
          <w:rPr>
            <w:vanish/>
          </w:rPr>
          <w:t>https://dummy-citation.com/citation?d=z%3ApVfPayTHFZ51NiSH5OZDsgRSJ0cCzW%2FNSjIYy1ZsdlfSaB1tokMwpLq6erqk6qp2VbVmhuSwJgkkBEKOOQYWcgoktyACIZdADvkjQq4xgUDAhwXj71X3zM5ovbbXC9JouuvVe9%2F73vdeld6%2Fan15oq3gwbqr1o3zkk%2FkuCoS6fgos05NlLlZlGl2R01yjd%2FgYaXiBmWN%2F9VV66U0SezsqnUzyyUZPH79%2F8M%2F%2F67VaqVaZuHx%2Fv7Z8T6eRLDl4%2F27j%2F5CD3Kq0pA%2F3h9%2F5%2BxHeFyJevOTHH746Md%2FW3OIh8bhverX%2F1p1ePd%2FtPZZDq8jHJP72uHhncNVhMf%2F%2FDd7MYdHt27R0hLh77OHnyvlPxEzn%2BjwP%2F9d4%2FCPL5P%2F50X4gFDUDo%2F%2F%2Boc1h62%2FE6XP7ZDw1g7Hv4n1Wjg8%2BuAnL4jwJDlZQ%2FiL3S9SlAdPOLx%2F6%2BfkYenwt%2F%2BgtRdx%2BFNLwls63PNfiMMVhx%2F8YFU2w5e%2FfV3Y8r3KBjn%2F0qMHuWSZkz7XcyZyW5YyZVqFIB3zvCi1ZFPuWaouVYoVZYJlYWpZaV3s4S1mjWQ2Y9NciTzayllwXARYT1XI2XaPFUdk0euM2DE7HJyebNcrPucXykwYRgXrs3wLX7S2U2xM5ixTGm4oBgu5s9UkZ2c5DwU3cQnwSl7ic8PYDtsebG4RAqANyMfiA%2FCrZCWDrCrUhC9RyZDztrG6jdwlEtfWWeAoIpjBNsuRKku5uzDSI0luUvJMWNasY76XXFTkucOIzDqmZ1Pp5HUuVikgl3UmtPMNrO2M2mCKa0W1IcYoWG3c%2BNlifVg1fAoVnBKMCwXCqiyTrsbZ7wwWJovClk6WHHGYUSafpw65OQkxmMA2hC1K67EG%2B7jcpvUtlLwASXMNHnVmZyh%2F7R7iyFVVIK4MyLoJvVnnW2q8JpkwzvoxnSB9YKFKZNxcqJlMV%2BhMLGoGHkgBAI19cesUjh1LeMjBTEbfhbUaWtlii9Tg%2F9V%2BY0juFgVl3uoqyoZqw1OodhmP2TIowTVLpfEqzGtpS7hAZMDggY12eswUHTZeENUGUSKoS8nG0RzbRaWjkCpP6j1qa1kJ7Gc%2BIA53qe%2BwYyWcTRRCJcoW3Pund3MhrEvJA1rqnpUO5fCghLC%2B6ay9gIZ%2BuL39boelU%2Bsurlpfz3niowzmNz8ipaEbrC8hdahAcJcg51TFSrGNg5PBJtPyUmqmqCVLGVWIUMoIpOQBF%2F0BxAEo9Ty2Dxq44DQGuJnUnYTTPUESQquCak3YFpHmhhdKeCqYFNbPfZAFMj8j0WOF%2BCQPEuoQwceSwRKQ6uxXsANrAzU2O6I6O0W3YMs7lXSiQh0Fauo9UEQMbzs%2BUwbvXT43NLWgU82ZlzIlldQwlLmE9pqmr3OKaOsWlgBPmUX1qygYxNOS4yOOP6iGmlhr%2BttMxBSZLu077J3OU8A61yClaE6Dbva5neKBWkUaUQNJHRQYhzlLZJhKKn6RKOpKoiSq2oCgHPjpRUDdQoFlDKSkQlflcg6yc5UoSnHhPWAyEloTSW%2FKhRo3164thsJJqjjNWozJ3NrQheACi%2FOWbZx2v7cZoyPdKJWUeehHZahVJAijhMPs6I1NVpkUPoCuvYQqrEkjQSgDyXRZc8oBiwIQm8nu1cSQW6gQUwoDqqLpQQUyGG4WHXFtA1hbKVEz8htFUyvhlokZtr4J6lnKtrv0u3HQHddZ1nu64zr9BjTUca2B8WuFenKCLLWAsOtCWEMI8fiqxAD2xCOwEQs1V1RKEiYdyCjp4vzCFELdnlISeYKSanirIahN1uJnzhaRxPWyLAPVBIEdTOaYyvVYW3Gdxx4uKkyFWimmwoETMa%2FTC8jUVTVuitsAa3ptoWmuMMYbEB12gJ24hGCBpFha67Cj2fhehUMQ43mFuPXOwymDHsL776Iek0FvMGr3e8UCtLtrMkv%2FmvAq5Nb5h5heJcbm2%2FjFyB12hrclqKrkSzKooGV%2B%2F8iespPxW9klzo5Cfk1HehR6DLt%2FRncvahn8zTJMNj0XBzmXE5wJZnKKsYJBmjqrZetpy5Qsa1N1R8r28bwyk2cZiyPZ2ObkFn1pnun3NMfxXEO4x2X7sLqoTXEZwD9ZXxGpVbNv9Xud%2FnCn3z23lTNcd0rc1Tq9%2Fk6%2Fv7eTKp%2BYh%2Fj05n3V3xsO2rcHvaEo%2BOR8MNrd6Q9H26M9CEJio5xdnD15KcsCUSajYa%2FXH4zSslBpPtjt7w5uD3fPI6%2BxLOcDRGr3Bu3eXlFWiVYe076uzI2Yzeyb9%2Bm1YEcqcRyzEOo5FZCKkBeoOjAL%2BX2nZ%2B%2FmIZT%2B1e4iDd8pNdrUukmXviCnLsdlVGjZxX1Kvq7S1z4t8VfCvJSvlTjaA0%2B0pOrRG3B70bh5gMcbkJm02aEy6eprXHlwWMJW4%2FYl0zfnB7Yy4RuvYDQ3kz09w2Ht69em1tfsl2%2FFQ5ASfOYBuD7n8NMcgnFCrXT7WiM89xGZUqpfFRVo3VrQCqlEMj%2BNtI8B</w:t>
        </w:r>
      </w:hyperlink>
      <w:r>
        <w:rPr>
          <w:color w:val="000000"/>
        </w:rPr>
        <w:t>; MB-P was calculated as the difference in extractable phosphorus with and without chloroform fumigation</w:t>
      </w:r>
      <w:hyperlink w:anchor="503548be32cffb861f0e5fe2192f56c8" w:history="1">
        <w:r>
          <w:rPr>
            <w:rStyle w:val="Hyperlink"/>
          </w:rPr>
          <w:t>(Čapek et al., 2024)</w:t>
        </w:r>
        <w:r>
          <w:rPr>
            <w:vanish/>
          </w:rPr>
          <w:t>https://dummy-citation.com/citation?d=z%3ArVhdiBxZFZ7EWV1f3IBEsv6eXbLsTJyu6Z7%2FCVmczEyyCetkm3Ri8EW8XXW762aq6lburZqZXsySGHAR9kH3SfFFEcQFhV2QxeAGdXfBN33xQX0SRBZfRFQQGVC%2Fc6uqp3qySWaJAz3dVXXvd875znfOud03b4890o%2B0LzJtbo8dupqKvryQx11p%2FIWF5Z42qq%2BS8TgNeudUP4zwyizWKbdF6cS%2BcnvscNDt6p3bY%2BO9UPKC3c%2F956XnxvAXRLKX7a6cf%2BMPfOVnOt1d6Xz93B9xIbdVkIW7K%2BszzS%2Fjsmb38PsF%2FGt6owa49t%2BXvvtwgJc631qpezh%2Fkx4S8Kc%2FHwl5bIbxHwLw8qferYe8vvz6Q3p4%2BdZjjFABPn3nxgGSsnLknRO8rAR89vxH2akCkK6%2FVQ%2F5%2BMs32diDAdu8qwS88JM%2FcyYrwNd%2BUQN8cvzQAUJe%2BdAXn%2BFdJeDF33x7L2S6%2Fnod8Ikv%2FOAgIX%2Bit1HjcPXNZ9mLAnDp6Jt1wKdf%2FPFBQv7Y0SlmrQQ8eeoOY1SAd%2Bo6PP7KY0zOg7L8783fM2sl4Klfh3sczl0%2FyhcV4LFvfOkAHgLwdzXA1o86zFMB%2BMnLj%2FNFBXjk0dYBPFw5svuXWpYbt75Wk81vfzkS8gd%2BxXQ8yMN%2FfeV6Lcvez%2F7E8AXg6quv1XV49sTCQTx88up2DfCJ49%2Fck816Z6Ue8rp37UBJ%2Bcd4DfD8G3%2Fby%2FJ6Z7KelPXGhYP0w923vn9PwH%2F%2BvV7L62N2f5bltVxncjB%2Bq5P7IYmESFibxyn3c1KW8gQr1BY6fBQNKJYZqYRibTNKcyPJz6OM322WBw0lLU2si228iSSgjkyUNtRaXpyddDdCYakrZUI27%2FelzWQAY86m3EkjkbghQpgzlGqrMrUlqW%2F0dhaSEZkk3SOrVUSx8o3uKhGRr%2BNGnCdYCpN5EkiDW0mAawwjXv%2BCNBrgmTQJlrdhOE0RxsQ7L4tUbsJuRiLyaKbZWsC%2FmdakR2d2MiN858lE05unDbogzq09P0vpOXqGlrz5SerkKQNmIsF2XwWqp4oBSBNYdIpavGhNRxiYIMwonzkVA1oLcUsjvph6eaz65R4jIymsi28vtK7SMXZRGmqLl8ntJLUb7efnSARFgDTha2Nk4SqTVj222rj0TdLMHIU6N5YuhUZKyowUWSyTzHGjQNSWCnIYc7RaEacReKyjgggA7zcETRQkiW4kqVfRBcyN1Ta9SE1vbpLOqr5HLer4oYwRqE9GpkZaWC%2FC5myCwUCYgPwhMY0aMaUR%2FggaQx0444FENmOVqKS%2FXw4VZ22agCPIJZ0REPV7B8ridvehQpVkmjLHkc27FRGBTFAaAVcEnZ6iVafhNdZ%2FFmIhByY9iKHcQKeHvmFzV%2FibEC9ESbAa5cwU6Ec4UHWbZeqDCuga4dVA7NCMQFXlFubhGqFYFFjEzn055qcuqFQYkMwAbvu5tWi2EYmugtnKfN1%2BcZaDdbDYMzoecjdSZNr0RaJsbKew16bSbxDvjwYeXdpGYV3Li3Mf51Yb5mqEHPDRAxmE3oE%2BUS6FgSIIKEpvSTNwDiNfHgXb2mzeHvtIKLrWpX7wwXdPlx%2BpraNBUQzgAX2GrxttNBbwtJnobUdFL496nGEJYKRbxewWl2kaDqxCRfZRqRGWJU5X1qMNkaCtjQQLfxPUtZ%2FH7LSkSJi%2BJBEjmUXlFKbLWJWpuPPoouxDzkiCW4aHqGquIfBnB%2Bh3VSFYKQyEifTtQTnWoclYWYusTFEKVaPABhTkKF3WJ5zoooB81yqc30VZ4CpQXKAVHPKSZMOu5NF59hTY3KUHU7QNoAzepJwxII%2F2eNiFRNhaUa%2BFuZGYH6AWl9HSh0HJ0bBjqEhlRc5RA2iO3bzS8f2aHwSnKWCtO%2FfR%2BLtQVjDMtEjhNoodysggEJdCrnswALkXvg%2FDqdi%2B2yBvYSIjsKQ8VHc5f6o4VaKh5Dzm1MUyUIK2FVKQs8AqV6e422tfwXLgHmOlsBiS3HkZyQ9FgvFXcXm3FzbTyg9xgeEBR5grXuhDv7kplVXbZnOUZgJ5I6xMOFq6jna6ICEmDMVCJx6djsoWODJChxNU7oSqq9jtKux7Rwkwpno4oTmFLLFifSDRyxiopJ5TjeinRsTjC9MtMr8H64KFO0b3cU4YfeSaJVjz0ce4Mf6%2FeCkTErBAoJhhh%2BN628tkGclw%2BuLIInm%2BI6eV0NgdaI8tDJsbV2rAM6bc75ptqSWeZ5ASa2vfgKhF7cQaKGiuCyPMGEu6LCeKcazgXSHlKdO1PPsU7qlkr22g4jR3HaQEHsTw%2BYWyK1zmPkOCLNokj4ma6rA%2B1oF0dRWpokuUKg4owMmnqMKyr9cDH034e59pEBInjFmAYBBBF6POuT83j8lEi82nXDZ1hk336woclAT5CMPpzyWsPLxCSqXvxnVlXoQhKRAeMr8lolxCxFcwpJT1c8A68Yg%2BxJcHruVJY%2BDM%2FmJ2y0YLel9J1f3ba90hDuv7u%2BCwr3oR5g3GhgzWYamPo%2Bh8o9WMmUUWrjmf9DT%2FOCNyCNbYGxFSBpyz7nwWLHpzM6zoXD4iM5VFcufTq27YFX32rMTRoLLXYdJ7WxBcLI%2BdSocWPj%2F82Ufxt4OLXBH4soEhYmzWxp3HD38njET1%2BYfRsHvDn1v8tSQBtXjv9USsokGvOGLLPuScBG1oKjA6kmN3r5SX8vTt7xULe6eDt1%2BNxD2XroWQQLl0A2oVUbEUh3D8EjXuB1rtfLzV9FrN5uK0bTZnF%2BcazRm8Wkszy40FpLqb3MB%2Fm3xVNVuLS42ZxYUZ1ZqbnWk0F5eWQw05CfC3eWVudnlhcW55fnnhqmPWJeYqEgOw%2BUZzKU5RscqGVW4OOVd3PtNJDZQGhXV8xcPms6s5yoxPBBvcGTcxg6B9X1420c56mGWpPTk9Halk07PlTg8tebqsn2n81jZ973g8PO7jxJoNUmZpszwDXsLlIZSA1L3n0JvqtyVKKhpgbeRzo18drPGp5sP4ZtCThv0NruAMZt3dY%2FOlmqIz%2BHqGEyNX0OgprJykJ4ezdWqfxIvp9X4mfcDBPOrn4OdExQ%2FS6uF0cR8m%2Fgc%3D</w:t>
        </w:r>
      </w:hyperlink>
      <w:r>
        <w:rPr>
          <w:color w:val="000000"/>
        </w:rPr>
        <w:t>.</w:t>
      </w:r>
    </w:p>
    <w:p w14:paraId="2BE031E2" w14:textId="77777777" w:rsidR="009D1F61" w:rsidRDefault="00000000" w:rsidP="00331442">
      <w:pPr>
        <w:jc w:val="both"/>
      </w:pPr>
      <w:r>
        <w:rPr>
          <w:b/>
          <w:bCs/>
          <w:color w:val="000000"/>
        </w:rPr>
        <w:t>2.4</w:t>
      </w:r>
      <w:r>
        <w:rPr>
          <w:b/>
          <w:bCs/>
          <w:color w:val="000000"/>
        </w:rPr>
        <w:tab/>
        <w:t>Microbial Enumeration</w:t>
      </w:r>
    </w:p>
    <w:p w14:paraId="52E679A0" w14:textId="77777777" w:rsidR="009D1F61" w:rsidRDefault="00000000" w:rsidP="00331442">
      <w:pPr>
        <w:jc w:val="both"/>
      </w:pPr>
      <w:r>
        <w:rPr>
          <w:color w:val="000000"/>
        </w:rPr>
        <w:t>Microbial abundance was estimated using viable plate count methods. One gram of soil was serially diluted and plated on:</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8"/>
        <w:gridCol w:w="5492"/>
      </w:tblGrid>
      <w:tr w:rsidR="009D1F61" w14:paraId="7929CDD6" w14:textId="77777777">
        <w:tblPrEx>
          <w:tblCellMar>
            <w:top w:w="0" w:type="dxa"/>
            <w:bottom w:w="0" w:type="dxa"/>
          </w:tblCellMar>
        </w:tblPrEx>
        <w:tc>
          <w:tcPr>
            <w:tcW w:w="0" w:type="auto"/>
          </w:tcPr>
          <w:p w14:paraId="6ED4D6C0" w14:textId="77777777" w:rsidR="009D1F61" w:rsidRDefault="00000000" w:rsidP="00331442">
            <w:pPr>
              <w:jc w:val="both"/>
            </w:pPr>
            <w:r>
              <w:rPr>
                <w:b/>
                <w:bCs/>
                <w:color w:val="000000"/>
              </w:rPr>
              <w:lastRenderedPageBreak/>
              <w:t>Microbial Group</w:t>
            </w:r>
          </w:p>
        </w:tc>
        <w:tc>
          <w:tcPr>
            <w:tcW w:w="0" w:type="auto"/>
          </w:tcPr>
          <w:p w14:paraId="763F659A" w14:textId="77777777" w:rsidR="009D1F61" w:rsidRDefault="00000000" w:rsidP="00331442">
            <w:pPr>
              <w:jc w:val="both"/>
            </w:pPr>
            <w:r>
              <w:rPr>
                <w:b/>
                <w:bCs/>
                <w:color w:val="000000"/>
              </w:rPr>
              <w:t>Medium Used</w:t>
            </w:r>
          </w:p>
        </w:tc>
      </w:tr>
      <w:tr w:rsidR="009D1F61" w14:paraId="093366A1" w14:textId="77777777">
        <w:tblPrEx>
          <w:tblCellMar>
            <w:top w:w="0" w:type="dxa"/>
            <w:bottom w:w="0" w:type="dxa"/>
          </w:tblCellMar>
        </w:tblPrEx>
        <w:tc>
          <w:tcPr>
            <w:tcW w:w="0" w:type="auto"/>
          </w:tcPr>
          <w:p w14:paraId="53CA858C" w14:textId="77777777" w:rsidR="009D1F61" w:rsidRDefault="00000000" w:rsidP="00331442">
            <w:pPr>
              <w:jc w:val="both"/>
            </w:pPr>
            <w:r>
              <w:rPr>
                <w:color w:val="000000"/>
              </w:rPr>
              <w:t>Fungi</w:t>
            </w:r>
          </w:p>
        </w:tc>
        <w:tc>
          <w:tcPr>
            <w:tcW w:w="0" w:type="auto"/>
          </w:tcPr>
          <w:p w14:paraId="1B7240FA" w14:textId="77777777" w:rsidR="009D1F61" w:rsidRDefault="00000000" w:rsidP="00331442">
            <w:pPr>
              <w:jc w:val="both"/>
            </w:pPr>
            <w:r>
              <w:rPr>
                <w:color w:val="000000"/>
              </w:rPr>
              <w:t>Rose Bengal chloramphenicol agar</w:t>
            </w:r>
          </w:p>
        </w:tc>
      </w:tr>
      <w:tr w:rsidR="009D1F61" w14:paraId="3A425526" w14:textId="77777777">
        <w:tblPrEx>
          <w:tblCellMar>
            <w:top w:w="0" w:type="dxa"/>
            <w:bottom w:w="0" w:type="dxa"/>
          </w:tblCellMar>
        </w:tblPrEx>
        <w:tc>
          <w:tcPr>
            <w:tcW w:w="0" w:type="auto"/>
          </w:tcPr>
          <w:p w14:paraId="13F4DD9F" w14:textId="77777777" w:rsidR="009D1F61" w:rsidRDefault="00000000" w:rsidP="00331442">
            <w:pPr>
              <w:jc w:val="both"/>
            </w:pPr>
            <w:r>
              <w:rPr>
                <w:color w:val="000000"/>
              </w:rPr>
              <w:t>Total Heterotrophic Bacteria</w:t>
            </w:r>
          </w:p>
        </w:tc>
        <w:tc>
          <w:tcPr>
            <w:tcW w:w="0" w:type="auto"/>
          </w:tcPr>
          <w:p w14:paraId="33E6D9E7" w14:textId="77777777" w:rsidR="009D1F61" w:rsidRDefault="00000000" w:rsidP="00331442">
            <w:pPr>
              <w:jc w:val="both"/>
            </w:pPr>
            <w:r>
              <w:rPr>
                <w:color w:val="000000"/>
              </w:rPr>
              <w:t>Plate Count Agar (PCA)</w:t>
            </w:r>
          </w:p>
        </w:tc>
      </w:tr>
      <w:tr w:rsidR="009D1F61" w14:paraId="12B9621A" w14:textId="77777777">
        <w:tblPrEx>
          <w:tblCellMar>
            <w:top w:w="0" w:type="dxa"/>
            <w:bottom w:w="0" w:type="dxa"/>
          </w:tblCellMar>
        </w:tblPrEx>
        <w:tc>
          <w:tcPr>
            <w:tcW w:w="0" w:type="auto"/>
          </w:tcPr>
          <w:p w14:paraId="1DC971AB" w14:textId="77777777" w:rsidR="009D1F61" w:rsidRDefault="00000000" w:rsidP="00331442">
            <w:pPr>
              <w:jc w:val="both"/>
            </w:pPr>
            <w:r>
              <w:rPr>
                <w:color w:val="000000"/>
              </w:rPr>
              <w:t>Actinomycetes</w:t>
            </w:r>
          </w:p>
        </w:tc>
        <w:tc>
          <w:tcPr>
            <w:tcW w:w="0" w:type="auto"/>
          </w:tcPr>
          <w:p w14:paraId="541A5EF3" w14:textId="77777777" w:rsidR="009D1F61" w:rsidRDefault="00000000" w:rsidP="00331442">
            <w:pPr>
              <w:jc w:val="both"/>
            </w:pPr>
            <w:r>
              <w:rPr>
                <w:color w:val="000000"/>
              </w:rPr>
              <w:t>Starch-casein agar</w:t>
            </w:r>
          </w:p>
        </w:tc>
      </w:tr>
      <w:tr w:rsidR="009D1F61" w14:paraId="0C8838A5" w14:textId="77777777">
        <w:tblPrEx>
          <w:tblCellMar>
            <w:top w:w="0" w:type="dxa"/>
            <w:bottom w:w="0" w:type="dxa"/>
          </w:tblCellMar>
        </w:tblPrEx>
        <w:tc>
          <w:tcPr>
            <w:tcW w:w="0" w:type="auto"/>
          </w:tcPr>
          <w:p w14:paraId="6CF54068" w14:textId="77777777" w:rsidR="009D1F61" w:rsidRDefault="00000000" w:rsidP="00331442">
            <w:pPr>
              <w:jc w:val="both"/>
            </w:pPr>
            <w:r>
              <w:rPr>
                <w:color w:val="000000"/>
              </w:rPr>
              <w:t>Phosphate Solubilizers</w:t>
            </w:r>
          </w:p>
        </w:tc>
        <w:tc>
          <w:tcPr>
            <w:tcW w:w="0" w:type="auto"/>
          </w:tcPr>
          <w:p w14:paraId="17B4C221" w14:textId="77777777" w:rsidR="009D1F61" w:rsidRDefault="00000000" w:rsidP="00331442">
            <w:pPr>
              <w:jc w:val="both"/>
            </w:pPr>
            <w:proofErr w:type="spellStart"/>
            <w:r>
              <w:rPr>
                <w:color w:val="000000"/>
              </w:rPr>
              <w:t>Pikovskaya’s</w:t>
            </w:r>
            <w:proofErr w:type="spellEnd"/>
            <w:r>
              <w:rPr>
                <w:color w:val="000000"/>
              </w:rPr>
              <w:t xml:space="preserve"> medium</w:t>
            </w:r>
          </w:p>
        </w:tc>
      </w:tr>
      <w:tr w:rsidR="009D1F61" w14:paraId="44A9150E" w14:textId="77777777">
        <w:tblPrEx>
          <w:tblCellMar>
            <w:top w:w="0" w:type="dxa"/>
            <w:bottom w:w="0" w:type="dxa"/>
          </w:tblCellMar>
        </w:tblPrEx>
        <w:tc>
          <w:tcPr>
            <w:tcW w:w="0" w:type="auto"/>
          </w:tcPr>
          <w:p w14:paraId="60F1BE72" w14:textId="77777777" w:rsidR="009D1F61" w:rsidRDefault="00000000" w:rsidP="00331442">
            <w:pPr>
              <w:jc w:val="both"/>
            </w:pPr>
            <w:r>
              <w:rPr>
                <w:color w:val="000000"/>
              </w:rPr>
              <w:t>Nitrogen Fixers</w:t>
            </w:r>
          </w:p>
        </w:tc>
        <w:tc>
          <w:tcPr>
            <w:tcW w:w="0" w:type="auto"/>
          </w:tcPr>
          <w:p w14:paraId="35241792" w14:textId="77777777" w:rsidR="009D1F61" w:rsidRDefault="00000000" w:rsidP="00331442">
            <w:pPr>
              <w:jc w:val="both"/>
            </w:pPr>
            <w:r>
              <w:rPr>
                <w:color w:val="000000"/>
              </w:rPr>
              <w:t>Ashby’s mannitol agar</w:t>
            </w:r>
          </w:p>
        </w:tc>
      </w:tr>
    </w:tbl>
    <w:p w14:paraId="25998BD6" w14:textId="77777777" w:rsidR="009D1F61" w:rsidRDefault="00000000" w:rsidP="00331442">
      <w:pPr>
        <w:jc w:val="both"/>
      </w:pPr>
      <w:r>
        <w:rPr>
          <w:color w:val="000000"/>
        </w:rPr>
        <w:t>Plates were incubated at appropriate temperatures and colonies were counted as CFU/g of soil.</w:t>
      </w:r>
    </w:p>
    <w:p w14:paraId="0E964ABD" w14:textId="77777777" w:rsidR="009D1F61" w:rsidRDefault="00000000" w:rsidP="00331442">
      <w:pPr>
        <w:jc w:val="both"/>
      </w:pPr>
      <w:r>
        <w:rPr>
          <w:b/>
          <w:bCs/>
          <w:color w:val="000000"/>
        </w:rPr>
        <w:t>2.5 Ecotoxicological Bioassay Using Snails</w:t>
      </w:r>
    </w:p>
    <w:p w14:paraId="36BDFEC4" w14:textId="77777777" w:rsidR="009D1F61" w:rsidRDefault="00000000" w:rsidP="00331442">
      <w:pPr>
        <w:jc w:val="both"/>
      </w:pPr>
      <w:r>
        <w:rPr>
          <w:color w:val="000000"/>
        </w:rPr>
        <w:t>A 28-day exposure test was conducted according to ISO 15952 (2006) protocols</w:t>
      </w:r>
      <w:hyperlink w:anchor="9247e8f8d49ba4c5db107f54dbdefa75" w:history="1">
        <w:r>
          <w:rPr>
            <w:rStyle w:val="Hyperlink"/>
          </w:rPr>
          <w:t>(Sahraoui et al., 2021)</w:t>
        </w:r>
        <w:r>
          <w:rPr>
            <w:vanish/>
          </w:rPr>
          <w:t>https://dummy-citation.com/citation?d=z%3AjVZNbxvHGaZdpw1QBOgx7aF9%2BxFASkVylyvqw0FQybQduYkrx3Ji9OQOd97dHXJ3ZzMzS3IDFHAKtOipQNFDr0X%2FQGsgH9AtcP5FTkGOueaSQIfkmaUoKx9CAoirneE7z%2Fv1vM%2FwrePOU2muY%2BG0Oe5cmlQi5T%2FUxZhNHEVRoo1KVXmlqGRyoNIsx8dZ2Kn2iNKl%2Fetx57Icj%2FXiuHMlydgbnPzu5NFb%2F%2Bl0OjLnxJ3s3Xr3Qyw6sdPVyd6dV48eYsFzJV12srf51Et%2FwvKc38vfBvj588%2FsXQD46q9%2F%2F%2F45wPUf%2F%2Fl7AO4N3tn%2F6CLAT3%2FkFyvA0Rfv%2BeV3RfjpzSs%2Br1PAX%2F7mn08Af3L3Mx%2F8CvDeu4m3%2FK4If%2FX3T85F%2BBXAF97e8zk%2BifCPvgLnAH%2FAb9TacXPlxm3h2CiRkyglFewyLS3diLXTCxUr15Bj675tZ86GqWIDChQsKdF5rueqTMllTLeODsk6UXalMJLC4e5wQGt%2BcxAEW%2BsbNM9UnJEqZzqf4fBgB4YN8aLStjZsSSc0qWdcqpzpgHO1IGHhS5DTJKgUrjYI2WqFR6WmgJgr5wFjw8L6KGJdxlw6syShBxxJ0obujHt0DxGKUhUit1RbHFYlolbWB4BiFDhHsSiYEqML%2BAOWMzqnsWGWHhz2Y4VMjShtJYy3r3JhnYoJTUL8a5sBffBv5OWf4TbFxTrVpWTTVge16p4WC9BStSFepSHMKBcNrBBum9xa%2Byy0ssiY20C8s7mwNAw%2BfvivreA5b6vQj%2Fu%2BkXSg8zbCkahE26y1%2BwejdVTccC66Ts2YsrpQ8NkgC6sktxEto36Rdjzo7vC5DTS58AVv3b6IttHjRzSgx%2F8fbVCVgQu%2BUFriq3Cnv0UZtZPfR7unPbqJOnvUligblOlCp1yyri2lRtdV244wIFsKhRa0TLKcc%2BxY9uhWiT61pdKnrEKkUs2UrNFzAMxdtkEsQKBlE9tyFPC8ooGgKBrQfo%2BO8CcyI3StiB2JvEdly39Yer7HOtdIUJIFDKiEBk7ZLAlyGlzLj0x4exIzVCRlWnv86Oj6C1Qi%2B81BsA6asM2Qhi9Bm1qvLVfQCyNKN1pP4XC5E21SAUpZshnDo1SgGfq2dNnoGq07XxUQTaCIatbS%2BJRC0jTneIMaGWQ8Z57CVeJJsJwudKBZoiSn6c71lAFS0bjB2BjReKa0FZMMKPWmL2BLI5eB6oSZtDRmOEA5nDBuNd5flYIeybk20%2BPOM7mIY7ao2HWgpINgMOyGQeFZK1TJ5laZaH%2BdiBoyY%2BzDXBVgqbuJDzo%2B6O2ErKyt%2BTI75XIuVqKDLqVNAq2oC37259UZ3itn15Ly0nZXlClDKVWijHV3sPPTSy9nfi6X76%2Fn7SCrcY1D9m9eU0uUH%2F%2BTRBQqb7IVWTjFoJTV%2FljXYzFF9kcspZpKiAB3vnkufZ0Nuj9ZHkvv1lKDfRdZT65xnildg7zLA8mBkBM2F6KPMsyaWxkf1kXZiIuMk5fQEYxSa%2FvGSJsS6mkRze0ezcCBC44xMs9XHl7hD%2F6Xn3qIlcR1%2FsNYarX4WQhGB8F234bB1uZWNxgE%2BERR2H1TKjsuH%2BJpy7%2BoYHcr6u4OdgcqHG5H3SgIt%2BNCpJMoDHe3tyMgZJCPUuS8mN5%2Fsikr6FIWRZvRYHO4NWmZ0BJpAiKF3SDshmFR1WPkg4IsuXSpzWPxi6PKgJsg7lGsGML%2F22s1bgFQkW5DsX0LLQY95tdMvvhv5lxlr%2Fb72GRh4qw3q3tl3p%2FbfoL7xvbDYbi9E%2BwGm%2F0VH3wAD%2FbB%2FzjnB9e15QeSkYGEFt9IEuiWPUTVhNwv5UjIQtUF3jDRCDKvfTyHyRGE%2FI7xsolO2sMS3yrzWuXElK817RW37284K3r4KZXaeuyayjdo6scObu9heQlDyjp5GXJ4fpsdxKuBbY6ZZHmtGUFH3NPOcILph3d5H%2BNp291nJ8vZWvzDp9E9S4N4mYeXrxyZLOVxmUv77sderdI5u5%2Bqs4wI8gQbZaAvPimvMedubiuuegXlr%2F2MIFEBAlIufbpPxzX68%2FyqP%2BBcT5u0fzHtvgQ%3D</w:t>
        </w:r>
      </w:hyperlink>
      <w:r>
        <w:rPr>
          <w:color w:val="000000"/>
        </w:rPr>
        <w:t xml:space="preserve">, utilizing </w:t>
      </w:r>
      <w:r>
        <w:rPr>
          <w:i/>
          <w:iCs/>
          <w:color w:val="000000"/>
        </w:rPr>
        <w:t xml:space="preserve">Helix </w:t>
      </w:r>
      <w:proofErr w:type="spellStart"/>
      <w:r>
        <w:rPr>
          <w:i/>
          <w:iCs/>
          <w:color w:val="000000"/>
        </w:rPr>
        <w:t>aspersa</w:t>
      </w:r>
      <w:proofErr w:type="spellEnd"/>
      <w:r>
        <w:rPr>
          <w:color w:val="000000"/>
        </w:rPr>
        <w:t xml:space="preserve"> snails collected from pesticide-free areas. A preliminary range-finding test was conducted to determine the definitive test concentrations. Homogenized and air-dried soil was sieved through 2 mm mesh. Adult snails were exposed to soil mixed with different concentrations of pesticides. The definitive test concentrations for Dichlorvos were 0.625, 1.25, 2.5, 5.0, and 10 mg/kg for Dichlorvos, and 0.0625, 0.125, 0.25, 0.5, and 1 mg/kg for Atrazine, respectively.</w:t>
      </w:r>
    </w:p>
    <w:p w14:paraId="31E37155" w14:textId="77777777" w:rsidR="009D1F61" w:rsidRDefault="00000000" w:rsidP="00331442">
      <w:pPr>
        <w:jc w:val="both"/>
      </w:pPr>
      <w:r>
        <w:rPr>
          <w:color w:val="000000"/>
        </w:rPr>
        <w:t>Each treatment (including the control) had three replicates and was set up in 1.2 L glass containers containing 10 snails and 5 g fresh papaya leaves as food, and maintained at 28 ± 1 °C.</w:t>
      </w:r>
    </w:p>
    <w:p w14:paraId="7D7F9255" w14:textId="77777777" w:rsidR="009D1F61" w:rsidRDefault="00000000" w:rsidP="00331442">
      <w:pPr>
        <w:jc w:val="both"/>
      </w:pPr>
      <w:r>
        <w:rPr>
          <w:color w:val="000000"/>
        </w:rPr>
        <w:t>Mortality was recorded on days 7 and 14. Snails were considered dead if unresponsive to tactile stimulation or water sprinkling for 5 minutes. LC₅₀ values were then calculated using probit analysis.</w:t>
      </w:r>
    </w:p>
    <w:p w14:paraId="221DB985" w14:textId="77777777" w:rsidR="009D1F61" w:rsidRDefault="00000000" w:rsidP="00331442">
      <w:pPr>
        <w:jc w:val="both"/>
      </w:pPr>
      <w:r>
        <w:rPr>
          <w:b/>
          <w:bCs/>
          <w:color w:val="000000"/>
        </w:rPr>
        <w:t>2.6</w:t>
      </w:r>
      <w:r>
        <w:rPr>
          <w:b/>
          <w:bCs/>
          <w:color w:val="000000"/>
        </w:rPr>
        <w:tab/>
        <w:t>Statistical Analysis</w:t>
      </w:r>
    </w:p>
    <w:p w14:paraId="6962F9DB" w14:textId="77777777" w:rsidR="009D1F61" w:rsidRDefault="00000000" w:rsidP="00331442">
      <w:pPr>
        <w:jc w:val="both"/>
      </w:pPr>
      <w:r>
        <w:rPr>
          <w:color w:val="000000"/>
        </w:rPr>
        <w:t>Two-way analysis of variance (ANOVA) was used to assess the interactive effects of treatment and time on MB-C, MB-N, and MB-P; probit analysis was used to estimate LC₅₀ values from the snail bioassays. Statistical significance was set to p &lt; 0.05.</w:t>
      </w:r>
    </w:p>
    <w:p w14:paraId="15183EE5" w14:textId="77777777" w:rsidR="009D1F61" w:rsidRDefault="00000000" w:rsidP="00331442">
      <w:pPr>
        <w:jc w:val="both"/>
      </w:pPr>
      <w:r>
        <w:rPr>
          <w:b/>
          <w:bCs/>
          <w:color w:val="000000"/>
        </w:rPr>
        <w:t>3. Results and Discussion</w:t>
      </w:r>
    </w:p>
    <w:p w14:paraId="5E31A617" w14:textId="77777777" w:rsidR="009D1F61" w:rsidRDefault="00000000" w:rsidP="00331442">
      <w:pPr>
        <w:jc w:val="both"/>
      </w:pPr>
      <w:r>
        <w:rPr>
          <w:b/>
          <w:bCs/>
          <w:color w:val="000000"/>
        </w:rPr>
        <w:t>3.1 Results</w:t>
      </w:r>
    </w:p>
    <w:p w14:paraId="31BDA476" w14:textId="77777777" w:rsidR="009D1F61" w:rsidRDefault="00000000" w:rsidP="00331442">
      <w:pPr>
        <w:jc w:val="both"/>
      </w:pPr>
      <w:r>
        <w:rPr>
          <w:b/>
          <w:bCs/>
          <w:color w:val="000000"/>
        </w:rPr>
        <w:t>3.1.1 Physicochemical and Microbial Properties of the Experimental Soil</w:t>
      </w:r>
    </w:p>
    <w:p w14:paraId="535B101E" w14:textId="77777777" w:rsidR="009D1F61" w:rsidRDefault="00000000" w:rsidP="00331442">
      <w:pPr>
        <w:jc w:val="both"/>
      </w:pPr>
      <w:r>
        <w:rPr>
          <w:color w:val="000000"/>
        </w:rPr>
        <w:t xml:space="preserve">The baseline characteristics of the unpolluted soil used for the study are presented in Table 1. The soil had a moderately acidic pH of 6.70. The electrical conductivity (EC) was 144 µS/cm. The total organic carbon (TOC) content was relatively high at 3.316%, while the total nitrogen content was 0.3029%. Nitrate and phosphate concentrations were 36.28 mg/kg and 26.32 mg/kg, respectively. The moisture content was 19.41%. In terms of cation composition, high levels of calcium (61.83 </w:t>
      </w:r>
      <w:proofErr w:type="spellStart"/>
      <w:r>
        <w:rPr>
          <w:color w:val="000000"/>
        </w:rPr>
        <w:t>mEq</w:t>
      </w:r>
      <w:proofErr w:type="spellEnd"/>
      <w:r>
        <w:rPr>
          <w:color w:val="000000"/>
        </w:rPr>
        <w:t xml:space="preserve">/100g) and magnesium (22.15 </w:t>
      </w:r>
      <w:proofErr w:type="spellStart"/>
      <w:r>
        <w:rPr>
          <w:color w:val="000000"/>
        </w:rPr>
        <w:t>mEq</w:t>
      </w:r>
      <w:proofErr w:type="spellEnd"/>
      <w:r>
        <w:rPr>
          <w:color w:val="000000"/>
        </w:rPr>
        <w:t xml:space="preserve">/100g) were present. Sodium and potassium were present at 0.97 </w:t>
      </w:r>
      <w:proofErr w:type="spellStart"/>
      <w:r>
        <w:rPr>
          <w:color w:val="000000"/>
        </w:rPr>
        <w:t>mEq</w:t>
      </w:r>
      <w:proofErr w:type="spellEnd"/>
      <w:r>
        <w:rPr>
          <w:color w:val="000000"/>
        </w:rPr>
        <w:t xml:space="preserve">/100g and 1.03 </w:t>
      </w:r>
      <w:proofErr w:type="spellStart"/>
      <w:r>
        <w:rPr>
          <w:color w:val="000000"/>
        </w:rPr>
        <w:t>mEq</w:t>
      </w:r>
      <w:proofErr w:type="spellEnd"/>
      <w:r>
        <w:rPr>
          <w:color w:val="000000"/>
        </w:rPr>
        <w:t xml:space="preserve">/100g, respectively. </w:t>
      </w:r>
    </w:p>
    <w:p w14:paraId="67863327" w14:textId="77777777" w:rsidR="009D1F61" w:rsidRDefault="00000000" w:rsidP="00331442">
      <w:pPr>
        <w:jc w:val="both"/>
      </w:pPr>
      <w:r>
        <w:rPr>
          <w:color w:val="000000"/>
        </w:rPr>
        <w:t>Heavy metals such as arsenic (0.215 mg/kg), lead (19.25 mg/kg), and cadmium (0.725 mg/kg) were detected; mercury was present at less than 0.001 mg/kg. The particle size distribution revealed a predominantly sandy texture, with 97.19% sand, 2.65% silt, and only 0.16% clay. Microbiologically, the soil exhibited high bacterial activity, with total heterotrophic bacteria at 6.30 × 10⁷ CFU/g, fungal populations at 1.41 × 10⁵ CFU/g, and actinomycetes and nitrifying bacteria at 1.99 × 10⁴ CFU/g and 1.45 × 10⁴ CFU/g, respectively. Phosphate-solubilizing bacteria were also present at 1.52 × 10⁴ CFU/g.</w:t>
      </w:r>
    </w:p>
    <w:p w14:paraId="22653A5C" w14:textId="77777777" w:rsidR="009D1F61" w:rsidRDefault="00000000" w:rsidP="00331442">
      <w:pPr>
        <w:jc w:val="both"/>
      </w:pPr>
      <w:r>
        <w:rPr>
          <w:b/>
          <w:bCs/>
          <w:color w:val="000000"/>
        </w:rPr>
        <w:t>Table 1: Physicochemical and microbial characteristics of the soil used for the study</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53"/>
        <w:gridCol w:w="1447"/>
      </w:tblGrid>
      <w:tr w:rsidR="009D1F61" w14:paraId="66B48C49" w14:textId="77777777">
        <w:tblPrEx>
          <w:tblCellMar>
            <w:top w:w="0" w:type="dxa"/>
            <w:bottom w:w="0" w:type="dxa"/>
          </w:tblCellMar>
        </w:tblPrEx>
        <w:tc>
          <w:tcPr>
            <w:tcW w:w="0" w:type="auto"/>
          </w:tcPr>
          <w:p w14:paraId="207C9113" w14:textId="77777777" w:rsidR="009D1F61" w:rsidRDefault="00000000" w:rsidP="00331442">
            <w:pPr>
              <w:jc w:val="both"/>
            </w:pPr>
            <w:r>
              <w:rPr>
                <w:color w:val="000000"/>
              </w:rPr>
              <w:t>Physicochemical Parameters</w:t>
            </w:r>
          </w:p>
        </w:tc>
        <w:tc>
          <w:tcPr>
            <w:tcW w:w="0" w:type="auto"/>
          </w:tcPr>
          <w:p w14:paraId="65D63B79" w14:textId="77777777" w:rsidR="009D1F61" w:rsidRDefault="00000000" w:rsidP="00331442">
            <w:pPr>
              <w:jc w:val="both"/>
            </w:pPr>
            <w:r>
              <w:rPr>
                <w:color w:val="000000"/>
              </w:rPr>
              <w:t>Values</w:t>
            </w:r>
          </w:p>
        </w:tc>
      </w:tr>
      <w:tr w:rsidR="009D1F61" w14:paraId="2386BC39" w14:textId="77777777">
        <w:tblPrEx>
          <w:tblCellMar>
            <w:top w:w="0" w:type="dxa"/>
            <w:bottom w:w="0" w:type="dxa"/>
          </w:tblCellMar>
        </w:tblPrEx>
        <w:tc>
          <w:tcPr>
            <w:tcW w:w="0" w:type="auto"/>
          </w:tcPr>
          <w:p w14:paraId="3776CBF9" w14:textId="77777777" w:rsidR="009D1F61" w:rsidRDefault="00000000" w:rsidP="00331442">
            <w:pPr>
              <w:jc w:val="both"/>
            </w:pPr>
            <w:r>
              <w:rPr>
                <w:color w:val="000000"/>
              </w:rPr>
              <w:t>Electrical conductivity (µS/cm)</w:t>
            </w:r>
          </w:p>
        </w:tc>
        <w:tc>
          <w:tcPr>
            <w:tcW w:w="0" w:type="auto"/>
          </w:tcPr>
          <w:p w14:paraId="637BE82C" w14:textId="77777777" w:rsidR="009D1F61" w:rsidRDefault="00000000" w:rsidP="00331442">
            <w:pPr>
              <w:jc w:val="both"/>
            </w:pPr>
            <w:r>
              <w:rPr>
                <w:color w:val="000000"/>
              </w:rPr>
              <w:t>144</w:t>
            </w:r>
          </w:p>
        </w:tc>
      </w:tr>
      <w:tr w:rsidR="009D1F61" w14:paraId="3F6EBB36" w14:textId="77777777">
        <w:tblPrEx>
          <w:tblCellMar>
            <w:top w:w="0" w:type="dxa"/>
            <w:bottom w:w="0" w:type="dxa"/>
          </w:tblCellMar>
        </w:tblPrEx>
        <w:tc>
          <w:tcPr>
            <w:tcW w:w="0" w:type="auto"/>
          </w:tcPr>
          <w:p w14:paraId="02EFA131" w14:textId="77777777" w:rsidR="009D1F61" w:rsidRDefault="00000000" w:rsidP="00331442">
            <w:pPr>
              <w:jc w:val="both"/>
            </w:pPr>
            <w:r>
              <w:rPr>
                <w:color w:val="000000"/>
              </w:rPr>
              <w:t>pH</w:t>
            </w:r>
          </w:p>
        </w:tc>
        <w:tc>
          <w:tcPr>
            <w:tcW w:w="0" w:type="auto"/>
          </w:tcPr>
          <w:p w14:paraId="3E07770B" w14:textId="77777777" w:rsidR="009D1F61" w:rsidRDefault="00000000" w:rsidP="00331442">
            <w:pPr>
              <w:jc w:val="both"/>
            </w:pPr>
            <w:r>
              <w:rPr>
                <w:color w:val="000000"/>
              </w:rPr>
              <w:t>6.70</w:t>
            </w:r>
          </w:p>
        </w:tc>
      </w:tr>
      <w:tr w:rsidR="009D1F61" w14:paraId="6A9E9F3A" w14:textId="77777777">
        <w:tblPrEx>
          <w:tblCellMar>
            <w:top w:w="0" w:type="dxa"/>
            <w:bottom w:w="0" w:type="dxa"/>
          </w:tblCellMar>
        </w:tblPrEx>
        <w:tc>
          <w:tcPr>
            <w:tcW w:w="0" w:type="auto"/>
          </w:tcPr>
          <w:p w14:paraId="1610EBC6" w14:textId="77777777" w:rsidR="009D1F61" w:rsidRDefault="00000000" w:rsidP="00331442">
            <w:pPr>
              <w:jc w:val="both"/>
            </w:pPr>
            <w:r>
              <w:rPr>
                <w:color w:val="000000"/>
              </w:rPr>
              <w:t>Total organic carbon (%)</w:t>
            </w:r>
          </w:p>
        </w:tc>
        <w:tc>
          <w:tcPr>
            <w:tcW w:w="0" w:type="auto"/>
          </w:tcPr>
          <w:p w14:paraId="2231C6A6" w14:textId="77777777" w:rsidR="009D1F61" w:rsidRDefault="00000000" w:rsidP="00331442">
            <w:pPr>
              <w:jc w:val="both"/>
            </w:pPr>
            <w:r>
              <w:rPr>
                <w:color w:val="000000"/>
              </w:rPr>
              <w:t>3.316</w:t>
            </w:r>
          </w:p>
        </w:tc>
      </w:tr>
      <w:tr w:rsidR="009D1F61" w14:paraId="28A92432" w14:textId="77777777">
        <w:tblPrEx>
          <w:tblCellMar>
            <w:top w:w="0" w:type="dxa"/>
            <w:bottom w:w="0" w:type="dxa"/>
          </w:tblCellMar>
        </w:tblPrEx>
        <w:tc>
          <w:tcPr>
            <w:tcW w:w="0" w:type="auto"/>
          </w:tcPr>
          <w:p w14:paraId="624F5480" w14:textId="77777777" w:rsidR="009D1F61" w:rsidRDefault="00000000" w:rsidP="00331442">
            <w:pPr>
              <w:jc w:val="both"/>
            </w:pPr>
            <w:r>
              <w:rPr>
                <w:color w:val="000000"/>
              </w:rPr>
              <w:lastRenderedPageBreak/>
              <w:t>Total nitrogen (%)</w:t>
            </w:r>
          </w:p>
        </w:tc>
        <w:tc>
          <w:tcPr>
            <w:tcW w:w="0" w:type="auto"/>
          </w:tcPr>
          <w:p w14:paraId="1869A9F0" w14:textId="77777777" w:rsidR="009D1F61" w:rsidRDefault="00000000" w:rsidP="00331442">
            <w:pPr>
              <w:jc w:val="both"/>
            </w:pPr>
            <w:r>
              <w:rPr>
                <w:color w:val="000000"/>
              </w:rPr>
              <w:t>0.3029</w:t>
            </w:r>
          </w:p>
        </w:tc>
      </w:tr>
      <w:tr w:rsidR="009D1F61" w14:paraId="1E83318E" w14:textId="77777777">
        <w:tblPrEx>
          <w:tblCellMar>
            <w:top w:w="0" w:type="dxa"/>
            <w:bottom w:w="0" w:type="dxa"/>
          </w:tblCellMar>
        </w:tblPrEx>
        <w:tc>
          <w:tcPr>
            <w:tcW w:w="0" w:type="auto"/>
          </w:tcPr>
          <w:p w14:paraId="7BDE5AFE" w14:textId="77777777" w:rsidR="009D1F61" w:rsidRDefault="00000000" w:rsidP="00331442">
            <w:pPr>
              <w:jc w:val="both"/>
            </w:pPr>
            <w:r>
              <w:rPr>
                <w:color w:val="000000"/>
              </w:rPr>
              <w:t>Nitrates (mg/kg)</w:t>
            </w:r>
          </w:p>
        </w:tc>
        <w:tc>
          <w:tcPr>
            <w:tcW w:w="0" w:type="auto"/>
          </w:tcPr>
          <w:p w14:paraId="1C55B165" w14:textId="77777777" w:rsidR="009D1F61" w:rsidRDefault="00000000" w:rsidP="00331442">
            <w:pPr>
              <w:jc w:val="both"/>
            </w:pPr>
            <w:r>
              <w:rPr>
                <w:color w:val="000000"/>
              </w:rPr>
              <w:t>36.28</w:t>
            </w:r>
          </w:p>
        </w:tc>
      </w:tr>
      <w:tr w:rsidR="009D1F61" w14:paraId="5BE3AA5F" w14:textId="77777777">
        <w:tblPrEx>
          <w:tblCellMar>
            <w:top w:w="0" w:type="dxa"/>
            <w:bottom w:w="0" w:type="dxa"/>
          </w:tblCellMar>
        </w:tblPrEx>
        <w:tc>
          <w:tcPr>
            <w:tcW w:w="0" w:type="auto"/>
          </w:tcPr>
          <w:p w14:paraId="2A10E177" w14:textId="77777777" w:rsidR="009D1F61" w:rsidRDefault="00000000" w:rsidP="00331442">
            <w:pPr>
              <w:jc w:val="both"/>
            </w:pPr>
            <w:r>
              <w:rPr>
                <w:color w:val="000000"/>
              </w:rPr>
              <w:t>Phosphates (mg/kg)</w:t>
            </w:r>
          </w:p>
        </w:tc>
        <w:tc>
          <w:tcPr>
            <w:tcW w:w="0" w:type="auto"/>
          </w:tcPr>
          <w:p w14:paraId="64A653A4" w14:textId="77777777" w:rsidR="009D1F61" w:rsidRDefault="00000000" w:rsidP="00331442">
            <w:pPr>
              <w:jc w:val="both"/>
            </w:pPr>
            <w:r>
              <w:rPr>
                <w:color w:val="000000"/>
              </w:rPr>
              <w:t>26.32</w:t>
            </w:r>
          </w:p>
        </w:tc>
      </w:tr>
      <w:tr w:rsidR="009D1F61" w14:paraId="0C1B851B" w14:textId="77777777">
        <w:tblPrEx>
          <w:tblCellMar>
            <w:top w:w="0" w:type="dxa"/>
            <w:bottom w:w="0" w:type="dxa"/>
          </w:tblCellMar>
        </w:tblPrEx>
        <w:tc>
          <w:tcPr>
            <w:tcW w:w="0" w:type="auto"/>
          </w:tcPr>
          <w:p w14:paraId="480BD8A6" w14:textId="77777777" w:rsidR="009D1F61" w:rsidRDefault="00000000" w:rsidP="00331442">
            <w:pPr>
              <w:jc w:val="both"/>
            </w:pPr>
            <w:r>
              <w:rPr>
                <w:color w:val="000000"/>
              </w:rPr>
              <w:t>Moisture content (%)</w:t>
            </w:r>
          </w:p>
        </w:tc>
        <w:tc>
          <w:tcPr>
            <w:tcW w:w="0" w:type="auto"/>
          </w:tcPr>
          <w:p w14:paraId="098345DA" w14:textId="77777777" w:rsidR="009D1F61" w:rsidRDefault="00000000" w:rsidP="00331442">
            <w:pPr>
              <w:jc w:val="both"/>
            </w:pPr>
            <w:r>
              <w:rPr>
                <w:color w:val="000000"/>
              </w:rPr>
              <w:t>19.41</w:t>
            </w:r>
          </w:p>
        </w:tc>
      </w:tr>
      <w:tr w:rsidR="009D1F61" w14:paraId="4BFA63F3" w14:textId="77777777">
        <w:tblPrEx>
          <w:tblCellMar>
            <w:top w:w="0" w:type="dxa"/>
            <w:bottom w:w="0" w:type="dxa"/>
          </w:tblCellMar>
        </w:tblPrEx>
        <w:tc>
          <w:tcPr>
            <w:tcW w:w="0" w:type="auto"/>
          </w:tcPr>
          <w:p w14:paraId="16CE062C" w14:textId="77777777" w:rsidR="009D1F61" w:rsidRDefault="00000000" w:rsidP="00331442">
            <w:pPr>
              <w:jc w:val="both"/>
            </w:pPr>
            <w:r>
              <w:rPr>
                <w:color w:val="000000"/>
              </w:rPr>
              <w:t>Calcium (</w:t>
            </w:r>
            <w:proofErr w:type="spellStart"/>
            <w:r>
              <w:rPr>
                <w:color w:val="000000"/>
              </w:rPr>
              <w:t>mEq</w:t>
            </w:r>
            <w:proofErr w:type="spellEnd"/>
            <w:r>
              <w:rPr>
                <w:color w:val="000000"/>
              </w:rPr>
              <w:t>/100g)</w:t>
            </w:r>
          </w:p>
        </w:tc>
        <w:tc>
          <w:tcPr>
            <w:tcW w:w="0" w:type="auto"/>
          </w:tcPr>
          <w:p w14:paraId="78CF83A6" w14:textId="77777777" w:rsidR="009D1F61" w:rsidRDefault="00000000" w:rsidP="00331442">
            <w:pPr>
              <w:jc w:val="both"/>
            </w:pPr>
            <w:r>
              <w:rPr>
                <w:color w:val="000000"/>
              </w:rPr>
              <w:t>61.83</w:t>
            </w:r>
          </w:p>
        </w:tc>
      </w:tr>
      <w:tr w:rsidR="009D1F61" w14:paraId="17543000" w14:textId="77777777">
        <w:tblPrEx>
          <w:tblCellMar>
            <w:top w:w="0" w:type="dxa"/>
            <w:bottom w:w="0" w:type="dxa"/>
          </w:tblCellMar>
        </w:tblPrEx>
        <w:tc>
          <w:tcPr>
            <w:tcW w:w="0" w:type="auto"/>
          </w:tcPr>
          <w:p w14:paraId="5FD949CD" w14:textId="77777777" w:rsidR="009D1F61" w:rsidRDefault="00000000" w:rsidP="00331442">
            <w:pPr>
              <w:jc w:val="both"/>
            </w:pPr>
            <w:r>
              <w:rPr>
                <w:color w:val="000000"/>
              </w:rPr>
              <w:t>Magnesium (</w:t>
            </w:r>
            <w:proofErr w:type="spellStart"/>
            <w:r>
              <w:rPr>
                <w:color w:val="000000"/>
              </w:rPr>
              <w:t>mEq</w:t>
            </w:r>
            <w:proofErr w:type="spellEnd"/>
            <w:r>
              <w:rPr>
                <w:color w:val="000000"/>
              </w:rPr>
              <w:t>/100g)</w:t>
            </w:r>
          </w:p>
        </w:tc>
        <w:tc>
          <w:tcPr>
            <w:tcW w:w="0" w:type="auto"/>
          </w:tcPr>
          <w:p w14:paraId="2DF12639" w14:textId="77777777" w:rsidR="009D1F61" w:rsidRDefault="00000000" w:rsidP="00331442">
            <w:pPr>
              <w:jc w:val="both"/>
            </w:pPr>
            <w:r>
              <w:rPr>
                <w:color w:val="000000"/>
              </w:rPr>
              <w:t>22.15</w:t>
            </w:r>
          </w:p>
        </w:tc>
      </w:tr>
      <w:tr w:rsidR="009D1F61" w14:paraId="5B90F170" w14:textId="77777777">
        <w:tblPrEx>
          <w:tblCellMar>
            <w:top w:w="0" w:type="dxa"/>
            <w:bottom w:w="0" w:type="dxa"/>
          </w:tblCellMar>
        </w:tblPrEx>
        <w:tc>
          <w:tcPr>
            <w:tcW w:w="0" w:type="auto"/>
          </w:tcPr>
          <w:p w14:paraId="13C23AEE" w14:textId="77777777" w:rsidR="009D1F61" w:rsidRDefault="00000000" w:rsidP="00331442">
            <w:pPr>
              <w:jc w:val="both"/>
            </w:pPr>
            <w:r>
              <w:rPr>
                <w:color w:val="000000"/>
              </w:rPr>
              <w:t>Sodium (</w:t>
            </w:r>
            <w:proofErr w:type="spellStart"/>
            <w:r>
              <w:rPr>
                <w:color w:val="000000"/>
              </w:rPr>
              <w:t>mEq</w:t>
            </w:r>
            <w:proofErr w:type="spellEnd"/>
            <w:r>
              <w:rPr>
                <w:color w:val="000000"/>
              </w:rPr>
              <w:t>/100g)</w:t>
            </w:r>
          </w:p>
        </w:tc>
        <w:tc>
          <w:tcPr>
            <w:tcW w:w="0" w:type="auto"/>
          </w:tcPr>
          <w:p w14:paraId="1D5B8884" w14:textId="77777777" w:rsidR="009D1F61" w:rsidRDefault="00000000" w:rsidP="00331442">
            <w:pPr>
              <w:jc w:val="both"/>
            </w:pPr>
            <w:r>
              <w:rPr>
                <w:color w:val="000000"/>
              </w:rPr>
              <w:t>0.97</w:t>
            </w:r>
          </w:p>
        </w:tc>
      </w:tr>
      <w:tr w:rsidR="009D1F61" w14:paraId="561832AA" w14:textId="77777777">
        <w:tblPrEx>
          <w:tblCellMar>
            <w:top w:w="0" w:type="dxa"/>
            <w:bottom w:w="0" w:type="dxa"/>
          </w:tblCellMar>
        </w:tblPrEx>
        <w:tc>
          <w:tcPr>
            <w:tcW w:w="0" w:type="auto"/>
          </w:tcPr>
          <w:p w14:paraId="628B4C72" w14:textId="77777777" w:rsidR="009D1F61" w:rsidRDefault="00000000" w:rsidP="00331442">
            <w:pPr>
              <w:jc w:val="both"/>
            </w:pPr>
            <w:r>
              <w:rPr>
                <w:color w:val="000000"/>
              </w:rPr>
              <w:t>Potassium (</w:t>
            </w:r>
            <w:proofErr w:type="spellStart"/>
            <w:r>
              <w:rPr>
                <w:color w:val="000000"/>
              </w:rPr>
              <w:t>mEq</w:t>
            </w:r>
            <w:proofErr w:type="spellEnd"/>
            <w:r>
              <w:rPr>
                <w:color w:val="000000"/>
              </w:rPr>
              <w:t>/100g)</w:t>
            </w:r>
          </w:p>
        </w:tc>
        <w:tc>
          <w:tcPr>
            <w:tcW w:w="0" w:type="auto"/>
          </w:tcPr>
          <w:p w14:paraId="1500ADCC" w14:textId="77777777" w:rsidR="009D1F61" w:rsidRDefault="00000000" w:rsidP="00331442">
            <w:pPr>
              <w:jc w:val="both"/>
            </w:pPr>
            <w:r>
              <w:rPr>
                <w:color w:val="000000"/>
              </w:rPr>
              <w:t>1.03</w:t>
            </w:r>
          </w:p>
        </w:tc>
      </w:tr>
      <w:tr w:rsidR="009D1F61" w14:paraId="0E10FAF3" w14:textId="77777777">
        <w:tblPrEx>
          <w:tblCellMar>
            <w:top w:w="0" w:type="dxa"/>
            <w:bottom w:w="0" w:type="dxa"/>
          </w:tblCellMar>
        </w:tblPrEx>
        <w:tc>
          <w:tcPr>
            <w:tcW w:w="0" w:type="auto"/>
          </w:tcPr>
          <w:p w14:paraId="795C8F80" w14:textId="77777777" w:rsidR="009D1F61" w:rsidRDefault="00000000" w:rsidP="00331442">
            <w:pPr>
              <w:jc w:val="both"/>
            </w:pPr>
            <w:r>
              <w:rPr>
                <w:color w:val="000000"/>
              </w:rPr>
              <w:t>Arsenic (mg/kg)</w:t>
            </w:r>
          </w:p>
        </w:tc>
        <w:tc>
          <w:tcPr>
            <w:tcW w:w="0" w:type="auto"/>
          </w:tcPr>
          <w:p w14:paraId="6EFA2958" w14:textId="77777777" w:rsidR="009D1F61" w:rsidRDefault="00000000" w:rsidP="00331442">
            <w:pPr>
              <w:jc w:val="both"/>
            </w:pPr>
            <w:r>
              <w:rPr>
                <w:color w:val="000000"/>
              </w:rPr>
              <w:t>0.215</w:t>
            </w:r>
          </w:p>
        </w:tc>
      </w:tr>
      <w:tr w:rsidR="009D1F61" w14:paraId="6441C861" w14:textId="77777777">
        <w:tblPrEx>
          <w:tblCellMar>
            <w:top w:w="0" w:type="dxa"/>
            <w:bottom w:w="0" w:type="dxa"/>
          </w:tblCellMar>
        </w:tblPrEx>
        <w:tc>
          <w:tcPr>
            <w:tcW w:w="0" w:type="auto"/>
          </w:tcPr>
          <w:p w14:paraId="3C77F7FF" w14:textId="77777777" w:rsidR="009D1F61" w:rsidRDefault="00000000" w:rsidP="00331442">
            <w:pPr>
              <w:jc w:val="both"/>
            </w:pPr>
            <w:r>
              <w:rPr>
                <w:color w:val="000000"/>
              </w:rPr>
              <w:t>Mercury (mg/kg)</w:t>
            </w:r>
          </w:p>
        </w:tc>
        <w:tc>
          <w:tcPr>
            <w:tcW w:w="0" w:type="auto"/>
          </w:tcPr>
          <w:p w14:paraId="6171C28F" w14:textId="77777777" w:rsidR="009D1F61" w:rsidRDefault="00000000" w:rsidP="00331442">
            <w:pPr>
              <w:jc w:val="both"/>
            </w:pPr>
            <w:r>
              <w:rPr>
                <w:color w:val="000000"/>
              </w:rPr>
              <w:t>&lt;0.001</w:t>
            </w:r>
          </w:p>
        </w:tc>
      </w:tr>
      <w:tr w:rsidR="009D1F61" w14:paraId="7E956663" w14:textId="77777777">
        <w:tblPrEx>
          <w:tblCellMar>
            <w:top w:w="0" w:type="dxa"/>
            <w:bottom w:w="0" w:type="dxa"/>
          </w:tblCellMar>
        </w:tblPrEx>
        <w:tc>
          <w:tcPr>
            <w:tcW w:w="0" w:type="auto"/>
          </w:tcPr>
          <w:p w14:paraId="4AB128AC" w14:textId="77777777" w:rsidR="009D1F61" w:rsidRDefault="00000000" w:rsidP="00331442">
            <w:pPr>
              <w:jc w:val="both"/>
            </w:pPr>
            <w:r>
              <w:rPr>
                <w:color w:val="000000"/>
              </w:rPr>
              <w:t>Lead (mg/kg)</w:t>
            </w:r>
          </w:p>
        </w:tc>
        <w:tc>
          <w:tcPr>
            <w:tcW w:w="0" w:type="auto"/>
          </w:tcPr>
          <w:p w14:paraId="09723CDB" w14:textId="77777777" w:rsidR="009D1F61" w:rsidRDefault="00000000" w:rsidP="00331442">
            <w:pPr>
              <w:jc w:val="both"/>
            </w:pPr>
            <w:r>
              <w:rPr>
                <w:color w:val="000000"/>
              </w:rPr>
              <w:t>19.25</w:t>
            </w:r>
          </w:p>
        </w:tc>
      </w:tr>
      <w:tr w:rsidR="009D1F61" w14:paraId="58CA026F" w14:textId="77777777">
        <w:tblPrEx>
          <w:tblCellMar>
            <w:top w:w="0" w:type="dxa"/>
            <w:bottom w:w="0" w:type="dxa"/>
          </w:tblCellMar>
        </w:tblPrEx>
        <w:tc>
          <w:tcPr>
            <w:tcW w:w="0" w:type="auto"/>
          </w:tcPr>
          <w:p w14:paraId="4485D315" w14:textId="77777777" w:rsidR="009D1F61" w:rsidRDefault="00000000" w:rsidP="00331442">
            <w:pPr>
              <w:jc w:val="both"/>
            </w:pPr>
            <w:r>
              <w:rPr>
                <w:color w:val="000000"/>
              </w:rPr>
              <w:t>Cadmium (mg/kg)</w:t>
            </w:r>
          </w:p>
        </w:tc>
        <w:tc>
          <w:tcPr>
            <w:tcW w:w="0" w:type="auto"/>
          </w:tcPr>
          <w:p w14:paraId="5CFFB4DA" w14:textId="77777777" w:rsidR="009D1F61" w:rsidRDefault="00000000" w:rsidP="00331442">
            <w:pPr>
              <w:jc w:val="both"/>
            </w:pPr>
            <w:r>
              <w:rPr>
                <w:color w:val="000000"/>
              </w:rPr>
              <w:t>0.725</w:t>
            </w:r>
          </w:p>
        </w:tc>
      </w:tr>
      <w:tr w:rsidR="009D1F61" w14:paraId="2CA70584" w14:textId="77777777">
        <w:tblPrEx>
          <w:tblCellMar>
            <w:top w:w="0" w:type="dxa"/>
            <w:bottom w:w="0" w:type="dxa"/>
          </w:tblCellMar>
        </w:tblPrEx>
        <w:tc>
          <w:tcPr>
            <w:tcW w:w="0" w:type="auto"/>
          </w:tcPr>
          <w:p w14:paraId="58CC4419" w14:textId="77777777" w:rsidR="009D1F61" w:rsidRDefault="00000000" w:rsidP="00331442">
            <w:pPr>
              <w:jc w:val="both"/>
            </w:pPr>
            <w:r>
              <w:rPr>
                <w:b/>
                <w:bCs/>
                <w:color w:val="000000"/>
              </w:rPr>
              <w:t>Microbiological</w:t>
            </w:r>
          </w:p>
        </w:tc>
        <w:tc>
          <w:tcPr>
            <w:tcW w:w="0" w:type="auto"/>
          </w:tcPr>
          <w:p w14:paraId="2F5D62E0" w14:textId="77777777" w:rsidR="009D1F61" w:rsidRDefault="009D1F61" w:rsidP="00331442">
            <w:pPr>
              <w:jc w:val="both"/>
            </w:pPr>
          </w:p>
        </w:tc>
      </w:tr>
      <w:tr w:rsidR="009D1F61" w14:paraId="1F098E7D" w14:textId="77777777">
        <w:tblPrEx>
          <w:tblCellMar>
            <w:top w:w="0" w:type="dxa"/>
            <w:bottom w:w="0" w:type="dxa"/>
          </w:tblCellMar>
        </w:tblPrEx>
        <w:tc>
          <w:tcPr>
            <w:tcW w:w="0" w:type="auto"/>
          </w:tcPr>
          <w:p w14:paraId="1E8B6023" w14:textId="77777777" w:rsidR="009D1F61" w:rsidRDefault="00000000" w:rsidP="00331442">
            <w:pPr>
              <w:jc w:val="both"/>
            </w:pPr>
            <w:r>
              <w:rPr>
                <w:color w:val="000000"/>
              </w:rPr>
              <w:t>Total heterotrophic bacteria (× 10</w:t>
            </w:r>
            <w:r>
              <w:rPr>
                <w:color w:val="000000"/>
                <w:vertAlign w:val="superscript"/>
              </w:rPr>
              <w:t>7</w:t>
            </w:r>
            <w:r>
              <w:rPr>
                <w:color w:val="000000"/>
              </w:rPr>
              <w:t xml:space="preserve"> CFU/g)</w:t>
            </w:r>
          </w:p>
        </w:tc>
        <w:tc>
          <w:tcPr>
            <w:tcW w:w="0" w:type="auto"/>
          </w:tcPr>
          <w:p w14:paraId="63F3E79E" w14:textId="77777777" w:rsidR="009D1F61" w:rsidRDefault="00000000" w:rsidP="00331442">
            <w:pPr>
              <w:jc w:val="both"/>
            </w:pPr>
            <w:r>
              <w:rPr>
                <w:color w:val="000000"/>
              </w:rPr>
              <w:t>6.30</w:t>
            </w:r>
          </w:p>
        </w:tc>
      </w:tr>
      <w:tr w:rsidR="009D1F61" w14:paraId="32453B3C" w14:textId="77777777">
        <w:tblPrEx>
          <w:tblCellMar>
            <w:top w:w="0" w:type="dxa"/>
            <w:bottom w:w="0" w:type="dxa"/>
          </w:tblCellMar>
        </w:tblPrEx>
        <w:tc>
          <w:tcPr>
            <w:tcW w:w="0" w:type="auto"/>
          </w:tcPr>
          <w:p w14:paraId="4CAC0F13" w14:textId="77777777" w:rsidR="009D1F61" w:rsidRDefault="00000000" w:rsidP="00331442">
            <w:pPr>
              <w:jc w:val="both"/>
            </w:pPr>
            <w:r>
              <w:rPr>
                <w:color w:val="000000"/>
              </w:rPr>
              <w:t>Fungi (× 10</w:t>
            </w:r>
            <w:r>
              <w:rPr>
                <w:color w:val="000000"/>
                <w:vertAlign w:val="superscript"/>
              </w:rPr>
              <w:t>5</w:t>
            </w:r>
            <w:r>
              <w:rPr>
                <w:color w:val="000000"/>
              </w:rPr>
              <w:t xml:space="preserve"> CFU/g)</w:t>
            </w:r>
          </w:p>
        </w:tc>
        <w:tc>
          <w:tcPr>
            <w:tcW w:w="0" w:type="auto"/>
          </w:tcPr>
          <w:p w14:paraId="7FCB388B" w14:textId="77777777" w:rsidR="009D1F61" w:rsidRDefault="00000000" w:rsidP="00331442">
            <w:pPr>
              <w:jc w:val="both"/>
            </w:pPr>
            <w:r>
              <w:rPr>
                <w:color w:val="000000"/>
              </w:rPr>
              <w:t>1.41</w:t>
            </w:r>
          </w:p>
        </w:tc>
      </w:tr>
      <w:tr w:rsidR="009D1F61" w14:paraId="06172454" w14:textId="77777777">
        <w:tblPrEx>
          <w:tblCellMar>
            <w:top w:w="0" w:type="dxa"/>
            <w:bottom w:w="0" w:type="dxa"/>
          </w:tblCellMar>
        </w:tblPrEx>
        <w:tc>
          <w:tcPr>
            <w:tcW w:w="0" w:type="auto"/>
          </w:tcPr>
          <w:p w14:paraId="24FE47B0" w14:textId="77777777" w:rsidR="009D1F61" w:rsidRDefault="00000000" w:rsidP="00331442">
            <w:pPr>
              <w:jc w:val="both"/>
            </w:pPr>
            <w:r>
              <w:rPr>
                <w:color w:val="000000"/>
              </w:rPr>
              <w:t>Actinomycetes (× 10</w:t>
            </w:r>
            <w:r>
              <w:rPr>
                <w:color w:val="000000"/>
                <w:vertAlign w:val="superscript"/>
              </w:rPr>
              <w:t>4</w:t>
            </w:r>
            <w:r>
              <w:rPr>
                <w:color w:val="000000"/>
              </w:rPr>
              <w:t xml:space="preserve"> CFU/g)</w:t>
            </w:r>
          </w:p>
        </w:tc>
        <w:tc>
          <w:tcPr>
            <w:tcW w:w="0" w:type="auto"/>
          </w:tcPr>
          <w:p w14:paraId="4A10EB13" w14:textId="77777777" w:rsidR="009D1F61" w:rsidRDefault="00000000" w:rsidP="00331442">
            <w:pPr>
              <w:jc w:val="both"/>
            </w:pPr>
            <w:r>
              <w:rPr>
                <w:color w:val="000000"/>
              </w:rPr>
              <w:t>1.99</w:t>
            </w:r>
          </w:p>
        </w:tc>
      </w:tr>
      <w:tr w:rsidR="009D1F61" w14:paraId="3404B699" w14:textId="77777777">
        <w:tblPrEx>
          <w:tblCellMar>
            <w:top w:w="0" w:type="dxa"/>
            <w:bottom w:w="0" w:type="dxa"/>
          </w:tblCellMar>
        </w:tblPrEx>
        <w:tc>
          <w:tcPr>
            <w:tcW w:w="0" w:type="auto"/>
          </w:tcPr>
          <w:p w14:paraId="40D9579F" w14:textId="77777777" w:rsidR="009D1F61" w:rsidRDefault="00000000" w:rsidP="00331442">
            <w:pPr>
              <w:jc w:val="both"/>
            </w:pPr>
            <w:r>
              <w:rPr>
                <w:color w:val="000000"/>
              </w:rPr>
              <w:t>Nitrifying bacteria (× 10</w:t>
            </w:r>
            <w:r>
              <w:rPr>
                <w:color w:val="000000"/>
                <w:vertAlign w:val="superscript"/>
              </w:rPr>
              <w:t>4</w:t>
            </w:r>
            <w:r>
              <w:rPr>
                <w:color w:val="000000"/>
              </w:rPr>
              <w:t xml:space="preserve"> CFU/g)</w:t>
            </w:r>
          </w:p>
        </w:tc>
        <w:tc>
          <w:tcPr>
            <w:tcW w:w="0" w:type="auto"/>
          </w:tcPr>
          <w:p w14:paraId="6D0355F0" w14:textId="77777777" w:rsidR="009D1F61" w:rsidRDefault="00000000" w:rsidP="00331442">
            <w:pPr>
              <w:jc w:val="both"/>
            </w:pPr>
            <w:r>
              <w:rPr>
                <w:color w:val="000000"/>
              </w:rPr>
              <w:t>1.45</w:t>
            </w:r>
          </w:p>
        </w:tc>
      </w:tr>
      <w:tr w:rsidR="009D1F61" w14:paraId="5E4E4A1B" w14:textId="77777777">
        <w:tblPrEx>
          <w:tblCellMar>
            <w:top w:w="0" w:type="dxa"/>
            <w:bottom w:w="0" w:type="dxa"/>
          </w:tblCellMar>
        </w:tblPrEx>
        <w:tc>
          <w:tcPr>
            <w:tcW w:w="0" w:type="auto"/>
          </w:tcPr>
          <w:p w14:paraId="33DDE054" w14:textId="77777777" w:rsidR="009D1F61" w:rsidRDefault="00000000" w:rsidP="00331442">
            <w:pPr>
              <w:jc w:val="both"/>
            </w:pPr>
            <w:r>
              <w:rPr>
                <w:color w:val="000000"/>
              </w:rPr>
              <w:t>Phosphate solubilizers (× 10</w:t>
            </w:r>
            <w:r>
              <w:rPr>
                <w:color w:val="000000"/>
                <w:vertAlign w:val="superscript"/>
              </w:rPr>
              <w:t>4</w:t>
            </w:r>
            <w:r>
              <w:rPr>
                <w:color w:val="000000"/>
              </w:rPr>
              <w:t xml:space="preserve"> CFU/g)</w:t>
            </w:r>
          </w:p>
        </w:tc>
        <w:tc>
          <w:tcPr>
            <w:tcW w:w="0" w:type="auto"/>
          </w:tcPr>
          <w:p w14:paraId="61F3BAB3" w14:textId="77777777" w:rsidR="009D1F61" w:rsidRDefault="00000000" w:rsidP="00331442">
            <w:pPr>
              <w:jc w:val="both"/>
            </w:pPr>
            <w:r>
              <w:rPr>
                <w:color w:val="000000"/>
              </w:rPr>
              <w:t>1.52</w:t>
            </w:r>
          </w:p>
        </w:tc>
      </w:tr>
      <w:tr w:rsidR="009D1F61" w14:paraId="7682E46C" w14:textId="77777777">
        <w:tblPrEx>
          <w:tblCellMar>
            <w:top w:w="0" w:type="dxa"/>
            <w:bottom w:w="0" w:type="dxa"/>
          </w:tblCellMar>
        </w:tblPrEx>
        <w:tc>
          <w:tcPr>
            <w:tcW w:w="0" w:type="auto"/>
          </w:tcPr>
          <w:p w14:paraId="7C7DC8EB" w14:textId="77777777" w:rsidR="009D1F61" w:rsidRDefault="00000000" w:rsidP="00331442">
            <w:pPr>
              <w:jc w:val="both"/>
            </w:pPr>
            <w:r>
              <w:rPr>
                <w:b/>
                <w:bCs/>
                <w:color w:val="000000"/>
              </w:rPr>
              <w:t>Soil particle size distribution</w:t>
            </w:r>
          </w:p>
        </w:tc>
        <w:tc>
          <w:tcPr>
            <w:tcW w:w="0" w:type="auto"/>
          </w:tcPr>
          <w:p w14:paraId="0091DAC8" w14:textId="77777777" w:rsidR="009D1F61" w:rsidRDefault="009D1F61" w:rsidP="00331442">
            <w:pPr>
              <w:jc w:val="both"/>
            </w:pPr>
          </w:p>
        </w:tc>
      </w:tr>
      <w:tr w:rsidR="009D1F61" w14:paraId="29111F62" w14:textId="77777777">
        <w:tblPrEx>
          <w:tblCellMar>
            <w:top w:w="0" w:type="dxa"/>
            <w:bottom w:w="0" w:type="dxa"/>
          </w:tblCellMar>
        </w:tblPrEx>
        <w:tc>
          <w:tcPr>
            <w:tcW w:w="0" w:type="auto"/>
          </w:tcPr>
          <w:p w14:paraId="1682052A" w14:textId="77777777" w:rsidR="009D1F61" w:rsidRDefault="00000000" w:rsidP="00331442">
            <w:pPr>
              <w:jc w:val="both"/>
            </w:pPr>
            <w:r>
              <w:rPr>
                <w:color w:val="000000"/>
              </w:rPr>
              <w:t>Silt (%)</w:t>
            </w:r>
          </w:p>
        </w:tc>
        <w:tc>
          <w:tcPr>
            <w:tcW w:w="0" w:type="auto"/>
          </w:tcPr>
          <w:p w14:paraId="150CD9ED" w14:textId="77777777" w:rsidR="009D1F61" w:rsidRDefault="00000000" w:rsidP="00331442">
            <w:pPr>
              <w:jc w:val="both"/>
            </w:pPr>
            <w:r>
              <w:rPr>
                <w:color w:val="000000"/>
              </w:rPr>
              <w:t>2.65</w:t>
            </w:r>
          </w:p>
        </w:tc>
      </w:tr>
      <w:tr w:rsidR="009D1F61" w14:paraId="7250F55D" w14:textId="77777777">
        <w:tblPrEx>
          <w:tblCellMar>
            <w:top w:w="0" w:type="dxa"/>
            <w:bottom w:w="0" w:type="dxa"/>
          </w:tblCellMar>
        </w:tblPrEx>
        <w:tc>
          <w:tcPr>
            <w:tcW w:w="0" w:type="auto"/>
          </w:tcPr>
          <w:p w14:paraId="10EDB49E" w14:textId="77777777" w:rsidR="009D1F61" w:rsidRDefault="00000000" w:rsidP="00331442">
            <w:pPr>
              <w:jc w:val="both"/>
            </w:pPr>
            <w:r>
              <w:rPr>
                <w:color w:val="000000"/>
              </w:rPr>
              <w:t>Sand (%)</w:t>
            </w:r>
          </w:p>
        </w:tc>
        <w:tc>
          <w:tcPr>
            <w:tcW w:w="0" w:type="auto"/>
          </w:tcPr>
          <w:p w14:paraId="0A36C5DA" w14:textId="77777777" w:rsidR="009D1F61" w:rsidRDefault="00000000" w:rsidP="00331442">
            <w:pPr>
              <w:jc w:val="both"/>
            </w:pPr>
            <w:r>
              <w:rPr>
                <w:color w:val="000000"/>
              </w:rPr>
              <w:t>97.192</w:t>
            </w:r>
          </w:p>
        </w:tc>
      </w:tr>
      <w:tr w:rsidR="009D1F61" w14:paraId="6271D91C" w14:textId="77777777">
        <w:tblPrEx>
          <w:tblCellMar>
            <w:top w:w="0" w:type="dxa"/>
            <w:bottom w:w="0" w:type="dxa"/>
          </w:tblCellMar>
        </w:tblPrEx>
        <w:tc>
          <w:tcPr>
            <w:tcW w:w="0" w:type="auto"/>
          </w:tcPr>
          <w:p w14:paraId="26E1E154" w14:textId="77777777" w:rsidR="009D1F61" w:rsidRDefault="00000000" w:rsidP="00331442">
            <w:pPr>
              <w:jc w:val="both"/>
            </w:pPr>
            <w:r>
              <w:rPr>
                <w:color w:val="000000"/>
              </w:rPr>
              <w:t>Clay (%)</w:t>
            </w:r>
          </w:p>
        </w:tc>
        <w:tc>
          <w:tcPr>
            <w:tcW w:w="0" w:type="auto"/>
          </w:tcPr>
          <w:p w14:paraId="428E26C3" w14:textId="77777777" w:rsidR="009D1F61" w:rsidRDefault="00000000" w:rsidP="00331442">
            <w:pPr>
              <w:jc w:val="both"/>
            </w:pPr>
            <w:r>
              <w:rPr>
                <w:color w:val="000000"/>
              </w:rPr>
              <w:t>0.158</w:t>
            </w:r>
          </w:p>
        </w:tc>
      </w:tr>
    </w:tbl>
    <w:p w14:paraId="44A2F1F2" w14:textId="77777777" w:rsidR="009D1F61" w:rsidRDefault="00000000" w:rsidP="00331442">
      <w:pPr>
        <w:jc w:val="both"/>
      </w:pPr>
      <w:r>
        <w:rPr>
          <w:b/>
          <w:bCs/>
          <w:color w:val="000000"/>
        </w:rPr>
        <w:t>3.1.2 Acute Toxicity of Atrazine to Snails (</w:t>
      </w:r>
      <w:r>
        <w:rPr>
          <w:b/>
          <w:bCs/>
          <w:i/>
          <w:iCs/>
          <w:color w:val="000000"/>
        </w:rPr>
        <w:t xml:space="preserve">Helix </w:t>
      </w:r>
      <w:proofErr w:type="spellStart"/>
      <w:r>
        <w:rPr>
          <w:b/>
          <w:bCs/>
          <w:i/>
          <w:iCs/>
          <w:color w:val="000000"/>
        </w:rPr>
        <w:t>aspersa</w:t>
      </w:r>
      <w:proofErr w:type="spellEnd"/>
      <w:r>
        <w:rPr>
          <w:b/>
          <w:bCs/>
          <w:color w:val="000000"/>
        </w:rPr>
        <w:t>)</w:t>
      </w:r>
    </w:p>
    <w:p w14:paraId="3A28A489" w14:textId="77777777" w:rsidR="009D1F61" w:rsidRDefault="00000000" w:rsidP="00331442">
      <w:pPr>
        <w:jc w:val="both"/>
      </w:pPr>
      <w:r>
        <w:rPr>
          <w:color w:val="000000"/>
        </w:rPr>
        <w:t xml:space="preserve">Figure 1 illustrates the dose-response relationship between Atrazine concentration and snail mortality. Mortality was negligible at lower concentrations (e.g., 1–2 mg/kg), corresponding to probit values between 0.05 and 0.25. However, a sharp increase in mortality occurred between 5 and 20 mg/kg, with corresponding probit values rising rapidly from 0.3 to 0.9, indicating a steep slope within this concentration range. The median lethal concentration (LC₅₀), defined as the concentration causing 50% mortality of the exposed snail population, was estimated to be 10.04 mg/kg. This point corresponds to a probit value of 0.5 on the curve. Beyond this concentration, further increases in Atrazine levels resulted in near-complete mortality (probit values approaching 1.0). </w:t>
      </w:r>
    </w:p>
    <w:p w14:paraId="6A73DB38" w14:textId="77777777" w:rsidR="00331442" w:rsidRDefault="00331442" w:rsidP="00331442">
      <w:pPr>
        <w:jc w:val="both"/>
        <w:rPr>
          <w:color w:val="000000"/>
        </w:rPr>
      </w:pPr>
      <w:r w:rsidRPr="009C28F4">
        <w:rPr>
          <w:noProof/>
          <w:sz w:val="24"/>
          <w:szCs w:val="24"/>
        </w:rPr>
        <w:lastRenderedPageBreak/>
        <w:drawing>
          <wp:inline distT="0" distB="0" distL="0" distR="0" wp14:anchorId="19369524" wp14:editId="5E0439C7">
            <wp:extent cx="5057775" cy="2614295"/>
            <wp:effectExtent l="0" t="0" r="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43CEA85" w14:textId="6CE00D87" w:rsidR="009D1F61" w:rsidRDefault="00000000" w:rsidP="00331442">
      <w:pPr>
        <w:jc w:val="both"/>
      </w:pPr>
      <w:r>
        <w:rPr>
          <w:color w:val="000000"/>
        </w:rPr>
        <w:t>Figure 1: Median lethal concentration (LC₅₀) of Atrazine for snails: 10.04 mg/kg.</w:t>
      </w:r>
    </w:p>
    <w:p w14:paraId="6FFDC67B" w14:textId="77777777" w:rsidR="009D1F61" w:rsidRDefault="00000000" w:rsidP="00331442">
      <w:pPr>
        <w:jc w:val="both"/>
      </w:pPr>
      <w:r>
        <w:rPr>
          <w:b/>
          <w:bCs/>
          <w:color w:val="000000"/>
        </w:rPr>
        <w:t>3.1.3 Acute Toxicity of Dichlorvos to Snails (</w:t>
      </w:r>
      <w:r>
        <w:rPr>
          <w:b/>
          <w:bCs/>
          <w:i/>
          <w:iCs/>
          <w:color w:val="000000"/>
        </w:rPr>
        <w:t xml:space="preserve">Helix </w:t>
      </w:r>
      <w:proofErr w:type="spellStart"/>
      <w:r>
        <w:rPr>
          <w:b/>
          <w:bCs/>
          <w:i/>
          <w:iCs/>
          <w:color w:val="000000"/>
        </w:rPr>
        <w:t>aspersa</w:t>
      </w:r>
      <w:proofErr w:type="spellEnd"/>
      <w:r>
        <w:rPr>
          <w:b/>
          <w:bCs/>
          <w:color w:val="000000"/>
        </w:rPr>
        <w:t>)</w:t>
      </w:r>
    </w:p>
    <w:p w14:paraId="75B4588A" w14:textId="77777777" w:rsidR="009D1F61" w:rsidRDefault="00000000" w:rsidP="00331442">
      <w:pPr>
        <w:jc w:val="both"/>
      </w:pPr>
      <w:r>
        <w:rPr>
          <w:color w:val="000000"/>
        </w:rPr>
        <w:t xml:space="preserve">Figure 2 presents the probit regression curve for snail mortality in response to Dichlorvos exposure. The graph depicts a steep sigmoidal relationship between the logarithm of Dichlorvos concentration (x-axis) and the corresponding probit-transformed mortality response (y-axis). At concentrations below 1 mg/kg, mortality was low (probit values &lt; 0.3). However, mortality increased sharply between 1 and 2 mg/kg, with probit values escalating from 0.3 to 0.9 within this narrow range. The LC₅₀ value, defined as the concentration at which 50% of the exposed snail population dies, was calculated to be 1.13 mg/kg, corresponding to the inflection point (probit = 0.5) on the fitted curve. This value demonstrates that </w:t>
      </w:r>
      <w:r>
        <w:rPr>
          <w:i/>
          <w:iCs/>
          <w:color w:val="000000"/>
        </w:rPr>
        <w:t xml:space="preserve">Helix </w:t>
      </w:r>
      <w:proofErr w:type="spellStart"/>
      <w:r>
        <w:rPr>
          <w:i/>
          <w:iCs/>
          <w:color w:val="000000"/>
        </w:rPr>
        <w:t>aspersa</w:t>
      </w:r>
      <w:proofErr w:type="spellEnd"/>
      <w:r>
        <w:rPr>
          <w:color w:val="000000"/>
        </w:rPr>
        <w:t xml:space="preserve"> is markedly more sensitive to Dichlorvos than Atrazine, which had an LC₅₀ of 10.04 mg/kg. </w:t>
      </w:r>
    </w:p>
    <w:p w14:paraId="5BAF4F64" w14:textId="77777777" w:rsidR="00331442" w:rsidRDefault="00331442" w:rsidP="00331442">
      <w:pPr>
        <w:jc w:val="both"/>
        <w:rPr>
          <w:color w:val="000000"/>
        </w:rPr>
      </w:pPr>
      <w:r w:rsidRPr="009C28F4">
        <w:rPr>
          <w:noProof/>
          <w:sz w:val="24"/>
          <w:szCs w:val="24"/>
        </w:rPr>
        <w:drawing>
          <wp:inline distT="0" distB="0" distL="0" distR="0" wp14:anchorId="69A4C11C" wp14:editId="7091507F">
            <wp:extent cx="3962400" cy="2540000"/>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B589B7" w14:textId="4FB7DD3D" w:rsidR="009D1F61" w:rsidRDefault="00000000" w:rsidP="00331442">
      <w:pPr>
        <w:jc w:val="both"/>
      </w:pPr>
      <w:r>
        <w:rPr>
          <w:color w:val="000000"/>
        </w:rPr>
        <w:t>Figure 2: Median lethal concentration (LC₅₀) of Dichlorvos for snails: 1.13 mg/kg.</w:t>
      </w:r>
    </w:p>
    <w:p w14:paraId="2970F465" w14:textId="77777777" w:rsidR="009D1F61" w:rsidRDefault="00000000" w:rsidP="00331442">
      <w:pPr>
        <w:jc w:val="both"/>
      </w:pPr>
      <w:r>
        <w:rPr>
          <w:b/>
          <w:bCs/>
          <w:color w:val="000000"/>
        </w:rPr>
        <w:t xml:space="preserve">3.1.4 Temporal Effects of Pesticides on Microbial Biomass </w:t>
      </w:r>
    </w:p>
    <w:p w14:paraId="6D5C8208" w14:textId="77777777" w:rsidR="009D1F61" w:rsidRDefault="00000000" w:rsidP="00331442">
      <w:pPr>
        <w:jc w:val="both"/>
      </w:pPr>
      <w:r>
        <w:rPr>
          <w:color w:val="000000"/>
        </w:rPr>
        <w:t xml:space="preserve">Figure 3 shows the temporal variation in microbial biomass carbon (MB-C) in soil treated with Atrazine and Dichlorvos compared to the control. On Day 7, the control recorded the highest MB-C (285.06 ± 0.56 µg/g), while Atrazine (271.38 ± 0.95 µg/g) and Dichlorvos (268.07 ± 0.25 µg/g) treatments exhibited lower MB-C levels. By Day 14, Atrazine-treated soil showed a slight increase to 274.65 ± 0.56 µg/g, while Dichlorvos remained low at 269.62 ± 0.50 µg/g. On Day 21, MB-C in Atrazine-treated soil (278.81 ± 0.43 µg/g) and Dichlorvos (274.38 ± 0.97 µg/g) exceeded the control (275.67 ± 0.56 µg/g). By Day 28, Atrazine exhibited the highest MB-C (284.67 ± 0.55 µg/g), followed by Dichlorvos (277.71 ± 0.41 µg/g) and the control (272.73 ± 0.30 µg/g). </w:t>
      </w:r>
    </w:p>
    <w:p w14:paraId="1E0BE8F4" w14:textId="77777777" w:rsidR="00331442" w:rsidRDefault="00331442" w:rsidP="00331442">
      <w:pPr>
        <w:jc w:val="both"/>
        <w:rPr>
          <w:color w:val="000000"/>
        </w:rPr>
      </w:pPr>
      <w:r w:rsidRPr="009C28F4">
        <w:rPr>
          <w:noProof/>
          <w:sz w:val="24"/>
          <w:szCs w:val="24"/>
        </w:rPr>
        <w:lastRenderedPageBreak/>
        <w:drawing>
          <wp:inline distT="0" distB="0" distL="0" distR="0" wp14:anchorId="382226C9" wp14:editId="1136B8B3">
            <wp:extent cx="3917950" cy="1993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F567B8" w14:textId="1A788ED3" w:rsidR="009D1F61" w:rsidRDefault="00000000" w:rsidP="00331442">
      <w:pPr>
        <w:jc w:val="both"/>
      </w:pPr>
      <w:r>
        <w:rPr>
          <w:color w:val="000000"/>
        </w:rPr>
        <w:t>Figure 3: Temporal Effects of Pesticides on Microbial Biomass Carbon (MB-C).</w:t>
      </w:r>
    </w:p>
    <w:p w14:paraId="3198A63B" w14:textId="77777777" w:rsidR="009D1F61" w:rsidRDefault="00000000" w:rsidP="00331442">
      <w:pPr>
        <w:jc w:val="both"/>
      </w:pPr>
      <w:r>
        <w:rPr>
          <w:color w:val="000000"/>
        </w:rPr>
        <w:t xml:space="preserve">Figure 4 illustrates the temporal variation in microbial biomass nitrogen (MB-N) in soil treated with Atrazine and Dichlorvos compared to the control. On Day 7, the control recorded the highest MB-N (18.01 ± 0.04 µg/g), while Atrazine (17.14 ± 0.06 µg/g) and Dichlorvos (16.94 ± 0.01 µg/g) treatments exhibited lower MB-N levels. By Day 14, MB-N slightly decreased in the control (17.67 ± 0.03 µg/g) but increased marginally in Atrazine-treated soil (17.36 ± 0.04 µg/g). On Day 21, MB-N in Atrazine-treated soil (17.62 ± 0.03 µg/g) surpassed the control (17.42 ± 0.04 µg/g) and Dichlorvos (17.34 ± 0.06 µg/g). By Day 28, Atrazine treatment exhibited the highest MB-N (17.99 ± 0.04 µg/g), followed by Dichlorvos (17.55 ± 0.03 µg/g) and the control (17.23 ± 0.02 µg/g). </w:t>
      </w:r>
    </w:p>
    <w:p w14:paraId="3CCEB4EE" w14:textId="77777777" w:rsidR="00331442" w:rsidRDefault="00331442" w:rsidP="00331442">
      <w:pPr>
        <w:jc w:val="both"/>
        <w:rPr>
          <w:color w:val="000000"/>
        </w:rPr>
      </w:pPr>
      <w:r w:rsidRPr="009C28F4">
        <w:rPr>
          <w:noProof/>
          <w:sz w:val="24"/>
          <w:szCs w:val="24"/>
        </w:rPr>
        <w:drawing>
          <wp:inline distT="0" distB="0" distL="0" distR="0" wp14:anchorId="65F40144" wp14:editId="5CE17567">
            <wp:extent cx="3892550" cy="21717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2DFB9A" w14:textId="25A4C2B7" w:rsidR="009D1F61" w:rsidRDefault="00000000" w:rsidP="00331442">
      <w:pPr>
        <w:jc w:val="both"/>
      </w:pPr>
      <w:r>
        <w:rPr>
          <w:color w:val="000000"/>
        </w:rPr>
        <w:t>Figure 4: Temporal Effects of Pesticides on Microbial Biomass Nitrogen (MB-N).</w:t>
      </w:r>
    </w:p>
    <w:p w14:paraId="271A1871" w14:textId="77777777" w:rsidR="009D1F61" w:rsidRDefault="00000000" w:rsidP="00331442">
      <w:pPr>
        <w:jc w:val="both"/>
      </w:pPr>
      <w:r>
        <w:rPr>
          <w:color w:val="000000"/>
        </w:rPr>
        <w:t xml:space="preserve">Figure 5 presents the temporal variation in microbial biomass phosphorus (MB-P) in soil treated with Atrazine and Dichlorvos compared to the control. On Day 7, the control recorded the highest MB-P (11.05 ± 0.02 µg/g), while Atrazine (10.52 ± 0.04 µg/g) and Dichlorvos (10.39 ± 0.01 µg/g) treatments exhibited lower MB-P levels. By Day 14, MB-P declined slightly in the control (10.85 ± 0.02 µg/g), while a minor increase occurred in Atrazine-treated soil (10.65 ± 0.02 µg/g) and Dichlorvos-treated soil (10.45 ± 0.02 µg/g). On Day 21, MB-P values in Atrazine-treated soil (10.81 ± 0.02 µg/g) and Dichlorvos-treated soil (10.64 ± 0.04 µg/g) exceeded the control's (10.69 ± 0.02 µg/g). By Day 28, Atrazine treatment exhibited the highest MB-P (11.04 ± 0.02 µg/g), followed by Dichlorvos (10.77 ± 0.01 µg/g) and the control (10.58 ± 0.01 µg/g). </w:t>
      </w:r>
    </w:p>
    <w:p w14:paraId="558CDC38" w14:textId="77777777" w:rsidR="00331442" w:rsidRDefault="00331442" w:rsidP="00331442">
      <w:pPr>
        <w:jc w:val="both"/>
        <w:rPr>
          <w:color w:val="000000"/>
        </w:rPr>
      </w:pPr>
      <w:r w:rsidRPr="009C28F4">
        <w:rPr>
          <w:noProof/>
          <w:sz w:val="24"/>
          <w:szCs w:val="24"/>
        </w:rPr>
        <w:lastRenderedPageBreak/>
        <w:drawing>
          <wp:inline distT="0" distB="0" distL="0" distR="0" wp14:anchorId="7C09EC73" wp14:editId="23C0F43C">
            <wp:extent cx="3994150" cy="21780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286432" w14:textId="5CE197E4" w:rsidR="009D1F61" w:rsidRDefault="00000000" w:rsidP="00331442">
      <w:pPr>
        <w:jc w:val="both"/>
      </w:pPr>
      <w:r>
        <w:rPr>
          <w:color w:val="000000"/>
        </w:rPr>
        <w:t>Figure 5: Temporal Effects of Pesticides on Microbial Biomass Phosphorus (MB-P).</w:t>
      </w:r>
    </w:p>
    <w:p w14:paraId="3B988E08" w14:textId="77777777" w:rsidR="009D1F61" w:rsidRDefault="00000000" w:rsidP="00331442">
      <w:pPr>
        <w:jc w:val="both"/>
      </w:pPr>
      <w:r>
        <w:rPr>
          <w:color w:val="000000"/>
        </w:rPr>
        <w:t xml:space="preserve">Figure 6 shows the temporal variation in bacterial population in Atrazine- and Dichlorvos-treated soil compared to the control. On Day 0, all treatments had similar bacterial counts (254.33 ± 9.77 × 10⁴ CFU/g). By Day 7, bacterial populations declined sharply in Atrazine-treated soil (159.00 ± 4.16 × 10⁴ CFU/g) and Dichlorvos-treated soil (143.00 ± 5.03 × 10⁴ CFU/g) compared to the control (251.00 ± 3.21 × 10⁴ CFU/g). On Day 14, the bacterial population recovered, increasing to 190.33 ± 9.61 × 10⁴ CFU/g in Atrazine-treated soil and 179.00 ± 5.13 × 10⁴ CFU/g in Dichlorvos-treated soil, though still lower than the control (233.33 ± 2.73 × 10⁴ CFU/g). By Day 21, the bacterial population in Atrazine-treated soil (245.00 ± 2.52 × 10⁴ CFU/g) exceeded both the control (201.67 ± 6.06 × 10⁴ CFU/g) and Dichlorvos-treated soil (205.00 ± 1.15 × 10⁴ CFU/g). On Day 28, populations generally declined across treatments; however, Atrazine (214.00 ± 6.03 × 10⁴ CFU/g) still maintained higher populations than the control (195.00 ± 6.35 × 10⁴ CFU/g) and Dichlorvos-treated soil (196.33 ± 9.26 × 10⁴ CFU/g). </w:t>
      </w:r>
    </w:p>
    <w:p w14:paraId="2581D13A" w14:textId="77777777" w:rsidR="00331442" w:rsidRDefault="00331442" w:rsidP="00331442">
      <w:pPr>
        <w:jc w:val="both"/>
        <w:rPr>
          <w:color w:val="000000"/>
        </w:rPr>
      </w:pPr>
      <w:r w:rsidRPr="009C28F4">
        <w:rPr>
          <w:noProof/>
          <w:sz w:val="24"/>
          <w:szCs w:val="24"/>
        </w:rPr>
        <w:drawing>
          <wp:inline distT="0" distB="0" distL="0" distR="0" wp14:anchorId="11252826" wp14:editId="5981E184">
            <wp:extent cx="3765550" cy="215265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8DA7C3" w14:textId="3C47B1EE" w:rsidR="009D1F61" w:rsidRDefault="00000000" w:rsidP="00331442">
      <w:pPr>
        <w:jc w:val="both"/>
      </w:pPr>
      <w:r>
        <w:rPr>
          <w:color w:val="000000"/>
        </w:rPr>
        <w:t>Figure 6: Temporal Effects of Pesticides on Bacterial Population</w:t>
      </w:r>
    </w:p>
    <w:p w14:paraId="6369E264" w14:textId="77777777" w:rsidR="009D1F61" w:rsidRDefault="00000000" w:rsidP="00331442">
      <w:pPr>
        <w:jc w:val="both"/>
      </w:pPr>
      <w:r>
        <w:rPr>
          <w:color w:val="000000"/>
        </w:rPr>
        <w:t xml:space="preserve">Figure 7 shows that the nitrifier population initially declined sharply in both Atrazine- and Dichlorvos-treated soils by Day 7, dropping from 182.33 × 10³ CFU/g to 121.00 × 10³ CFU/g and 79.67 × 10³ CFU/g, respectively, compared to 179.33 × 10³ CFU/g in the control. By Day 14, slight recovery occurred, with Atrazine-treated soil surpassing the control by Day 21 (184.33 × 10³ CFU/g vs. 155.33 × 10³ CFU/g). However, by Day 28, counts declined across treatments. </w:t>
      </w:r>
    </w:p>
    <w:p w14:paraId="73627501" w14:textId="77777777" w:rsidR="00331442" w:rsidRDefault="00331442" w:rsidP="00331442">
      <w:pPr>
        <w:jc w:val="both"/>
        <w:rPr>
          <w:color w:val="000000"/>
        </w:rPr>
      </w:pPr>
      <w:r w:rsidRPr="009C28F4">
        <w:rPr>
          <w:noProof/>
          <w:sz w:val="24"/>
          <w:szCs w:val="24"/>
        </w:rPr>
        <w:lastRenderedPageBreak/>
        <w:drawing>
          <wp:inline distT="0" distB="0" distL="0" distR="0" wp14:anchorId="5F863E90" wp14:editId="3C1AF87F">
            <wp:extent cx="4006850" cy="214630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F0E83" w14:textId="5AA12703" w:rsidR="009D1F61" w:rsidRDefault="00000000" w:rsidP="00331442">
      <w:pPr>
        <w:jc w:val="both"/>
      </w:pPr>
      <w:r>
        <w:rPr>
          <w:color w:val="000000"/>
        </w:rPr>
        <w:t>Figure 7: Temporal Effects of Pesticides on Nitrifier Population</w:t>
      </w:r>
    </w:p>
    <w:p w14:paraId="727C9EEA" w14:textId="77777777" w:rsidR="009D1F61" w:rsidRDefault="00000000" w:rsidP="00331442">
      <w:pPr>
        <w:jc w:val="both"/>
      </w:pPr>
      <w:r>
        <w:rPr>
          <w:color w:val="000000"/>
        </w:rPr>
        <w:t xml:space="preserve">Figure 8 shows that phosphate-solubilizing bacteria (PSB) exhibited a marked decline in both Atrazine- and Dichlorvos-treated soils by Day 7, decreasing from 217.33 × 10³ CFU/g to 88.33 × 10³ CFU/g and 78.67 × 10³ CFU/g, respectively, compared to 201.33 × 10³ CFU/g in the control. By Day 14, partial recovery occurred, reaching 140.67 × 10³ CFU/g (Atrazine) and 111.67 × 10³ CFU/g (Dichlorvos). On Day 21, the Atrazine-treated soil recorded a significant rebound (233.33 × 10³ CFU/g), surpassing the control (174.00 × 10³ CFU/g). However, the Dichlorvos-treated soil remained lower (153.33 × 10³ CFU/g). By Day 28, populations declined slightly across all treatments, with 160.33 × 10³ CFU/g (Atrazine) and 117.33 × 10³ CFU/g (Dichlorvos). </w:t>
      </w:r>
    </w:p>
    <w:p w14:paraId="5DC3715E" w14:textId="77777777" w:rsidR="00331442" w:rsidRDefault="00331442" w:rsidP="00331442">
      <w:pPr>
        <w:jc w:val="both"/>
        <w:rPr>
          <w:color w:val="000000"/>
        </w:rPr>
      </w:pPr>
      <w:r w:rsidRPr="009C28F4">
        <w:rPr>
          <w:noProof/>
          <w:sz w:val="24"/>
          <w:szCs w:val="24"/>
        </w:rPr>
        <w:drawing>
          <wp:inline distT="0" distB="0" distL="0" distR="0" wp14:anchorId="6C6EBF17" wp14:editId="6FA5C2D3">
            <wp:extent cx="3752850" cy="2044700"/>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9636E" w14:textId="7313E84B" w:rsidR="009D1F61" w:rsidRDefault="00000000" w:rsidP="00331442">
      <w:pPr>
        <w:jc w:val="both"/>
      </w:pPr>
      <w:r>
        <w:rPr>
          <w:color w:val="000000"/>
        </w:rPr>
        <w:t>Figure 8: Temporal Effects of Pesticides on Phosphate-Solubilizing Bacteria Count</w:t>
      </w:r>
    </w:p>
    <w:p w14:paraId="61984681" w14:textId="77777777" w:rsidR="009D1F61" w:rsidRDefault="00000000" w:rsidP="00331442">
      <w:pPr>
        <w:jc w:val="both"/>
      </w:pPr>
      <w:r>
        <w:rPr>
          <w:color w:val="000000"/>
        </w:rPr>
        <w:t xml:space="preserve">Figure 9 revealed that the Actinomycetes population exhibited a clear response to pesticide exposure over the 28-day period. On Day 0, all treatments had identical counts (199.00 ± 5.03 ×10² CFU/g). By Day 7, populations declined sharply in Atrazine- and Dichlorvos-treated soils to 97.00 ± 1.00 ×10² CFU/g and 86.00 ± 3.51 ×10² CFU/g, respectively, compared with 147.00 ± 8.50 ×10² CFU/g in the control. By Day 14, populations in both pesticide treatments recovered, with counts rising to 107.00 ± 5.03 ×10² CFU/g (Atrazine) and 110.00 ± 3.46 ×10² CFU/g (Dichlorvos), although populations in the control continued to decline slightly. On Day 21, Actinomycetes in Atrazine-treated soil surged to 151.67 ± 2.67 ×10² CFU/g, surpassing both Dichlorvos (133.67 ± 5.78 ×10² CFU/g) and control (131.00 ± 2.52 ×10² CFU/g). By Day 28, populations slightly declined but remained higher in Atrazine-treated soil (147.67 ± 5.49 ×10² CFU/g) compared with Dichlorvos (128.00 ± 5.69 ×10² CFU/g) and the control (127.33 ± 6.12 ×10² CFU/g). </w:t>
      </w:r>
    </w:p>
    <w:p w14:paraId="4C02C0A8" w14:textId="77777777" w:rsidR="00331442" w:rsidRDefault="00331442" w:rsidP="00331442">
      <w:pPr>
        <w:jc w:val="both"/>
        <w:rPr>
          <w:color w:val="000000"/>
        </w:rPr>
      </w:pPr>
      <w:r w:rsidRPr="009C28F4">
        <w:rPr>
          <w:noProof/>
          <w:sz w:val="24"/>
          <w:szCs w:val="24"/>
        </w:rPr>
        <w:lastRenderedPageBreak/>
        <w:drawing>
          <wp:inline distT="0" distB="0" distL="0" distR="0" wp14:anchorId="69123F75" wp14:editId="7C196C87">
            <wp:extent cx="4572000" cy="2743200"/>
            <wp:effectExtent l="0" t="0" r="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D5B102" w14:textId="7F5070C2" w:rsidR="009D1F61" w:rsidRDefault="00000000" w:rsidP="00331442">
      <w:pPr>
        <w:jc w:val="both"/>
      </w:pPr>
      <w:r>
        <w:rPr>
          <w:color w:val="000000"/>
        </w:rPr>
        <w:t>Figure 9: Temporal effects of pesticides on Actinomycetes count</w:t>
      </w:r>
    </w:p>
    <w:p w14:paraId="05F47405" w14:textId="77777777" w:rsidR="009D1F61" w:rsidRDefault="00000000" w:rsidP="00331442">
      <w:pPr>
        <w:jc w:val="both"/>
      </w:pPr>
      <w:r>
        <w:rPr>
          <w:color w:val="000000"/>
        </w:rPr>
        <w:t xml:space="preserve">Figure 10 indicated that fungal counts in the soil exhibited differential responses to Atrazine and Dichlorvos over the 28-day period. In the control soil, fungal populations steadily increased from 150.00 ± 3.61 ×10³ CFU/g on Day 0 to 189.67 ± 6.94 ×10³ CFU/g on Day 28. Soils treated with Atrazine showed an initial sharp decline from 150.00 ± 3.61 ×10³ CFU/g to 65.33 ± 7.13 ×10³ CFU/g by Day 7, followed by gradual recovery to 102.00 ± 3.06 ×10³ CFU/g on Day 28. Similarly, Dichlorvos-treated soils showed a pronounced decrease to 42.67 ± 4.48 ×10³ CFU/g on Day 7, then a gradual increase to 86.67 ± 4.91 ×10³ CFU/g on Day 28. </w:t>
      </w:r>
    </w:p>
    <w:p w14:paraId="0C97417C" w14:textId="77777777" w:rsidR="00331442" w:rsidRDefault="00331442" w:rsidP="00331442">
      <w:pPr>
        <w:jc w:val="both"/>
        <w:rPr>
          <w:color w:val="000000"/>
        </w:rPr>
      </w:pPr>
      <w:r w:rsidRPr="009C28F4">
        <w:rPr>
          <w:noProof/>
          <w:sz w:val="24"/>
          <w:szCs w:val="24"/>
        </w:rPr>
        <w:drawing>
          <wp:inline distT="0" distB="0" distL="0" distR="0" wp14:anchorId="409E8D90" wp14:editId="1DA9ACD9">
            <wp:extent cx="4381500" cy="2540000"/>
            <wp:effectExtent l="0" t="0" r="0"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139293" w14:textId="05A1005A" w:rsidR="009D1F61" w:rsidRDefault="00000000" w:rsidP="00331442">
      <w:pPr>
        <w:jc w:val="both"/>
      </w:pPr>
      <w:r>
        <w:rPr>
          <w:color w:val="000000"/>
        </w:rPr>
        <w:t>Figure 10: Temporal effects of pesticides on Fungal count</w:t>
      </w:r>
    </w:p>
    <w:p w14:paraId="1FEAD211" w14:textId="77777777" w:rsidR="009D1F61" w:rsidRDefault="00000000" w:rsidP="00331442">
      <w:pPr>
        <w:jc w:val="both"/>
      </w:pPr>
      <w:r>
        <w:rPr>
          <w:b/>
          <w:bCs/>
          <w:color w:val="000000"/>
        </w:rPr>
        <w:t>3.2</w:t>
      </w:r>
      <w:r>
        <w:rPr>
          <w:b/>
          <w:bCs/>
          <w:color w:val="000000"/>
        </w:rPr>
        <w:tab/>
        <w:t>Discussion</w:t>
      </w:r>
    </w:p>
    <w:p w14:paraId="0E89A6A7" w14:textId="77777777" w:rsidR="009D1F61" w:rsidRDefault="00000000" w:rsidP="00331442">
      <w:pPr>
        <w:jc w:val="both"/>
      </w:pPr>
      <w:r>
        <w:rPr>
          <w:color w:val="000000"/>
        </w:rPr>
        <w:t>The moderately acidic pH of the control soil aligns with recent findings indicating that near-neutral pH conditions optimize microbial community diversity and function</w:t>
      </w:r>
      <w:hyperlink w:anchor="d1b29c1ecbcab895e8066fa5b4240049" w:history="1">
        <w:r>
          <w:rPr>
            <w:rStyle w:val="Hyperlink"/>
          </w:rPr>
          <w:t>(Wang et al., 2019; Yang et al., 2022)</w:t>
        </w:r>
        <w:r>
          <w:rPr>
            <w:vanish/>
          </w:rPr>
          <w:t>https://dummy-citation.com/citation?d=z%3ArVpdjBtXFd5UiQSF0gpeGlTgVi3Vplo7tnfXG9MHsutNuknzs9mfpK146PXMtedmZ%2BY682OvIyGSokpUvFCpDxUCREVBqoRaFQnBCpW%2FClEe4AFVouoTqlTeQAhRhJSS8J17x54Zr73d1pWaxvbcOff8fOece76bJ3emDrVcZfFIBTtTBy63eUuci72GCOzy3EKlqQLZkv5Br203V2TLcfEnCrFQ6nek8sPnDu9M3WY3Gmp7Z%2Bpg0xG04saX333j42xqasp2RTO6cfze%2B7%2F1V3yzItW%2BcfzhtZfweUp0pR05N47Xb63Ts8zOn%2FiAAlfueZq%2B9AUuH2DXJhT4ztVfZwVOfZcUnkDgqZcvZgXWb75AKycQeLpXyZpcv3X%2Bw2j4DL1kBD6ydB85rS9wqfPWE%2FsQeOOV698fI%2FDs1%2F5Aj%2FoC72t%2B78NEOSPwfOXl4zmTv7MfDd9949BYge99M4vD5QMvUowmELjaeDWHw6mL%2B4vyeIG%2F%2F3EuU947NaHACzPfpkephj%2Bf0OQLz3yaopD68K5JBf5nKovD%2Bk1rf8AeK3Dt8X%2FkBb43oYZrv2rmo7y5v2ozVuD6%2FZu5KN90JgT2%2Bjf%2BmI%2FyWxP6cP3vv8hF%2BbY3J9RwY%2B3FrMD6rVcmFfize3MF9tbzVCsmELh5z535FvDghLDZvPa%2FvMD5SQW%2B08lHeXVCHF48bWcF1m89PuxDcSVWkegd%2BtH5OGCBCGM3ClkYt1oijFjk8Ihx%2FGzHFh0MmPQZ93usFai4zVSThW1hSREyh4fMlVHkCiaaTWFFDItDJV0mLBX2wkh4rBn7RojqiIC7LmsHyhJhiNchVi9uCIvHoWAqckTAGtyKRCA5s7jPIr6F36EB1OtLmmFdR1oOkyGzcGqR2MaPWFdGzsAS6OiRxoFoikD42I9Nb6gg7MgtWGKz157rBOK1H4asUipVHmLnuO%2FLtsSuTMByt0i%2Fzz7EloXb4rYqLPErMR5eVenj8gI%2FUmR15VtuHJJ5G45g2Ft6PBKkh%2BCB5Ui%2FxVqKu1ohaQWqIfHFlnBFKKMemRApFvu2CAphRJp1HUW%2FduEJAUPJKPzkzTBbkbAuQkP292a0HVjmF9mGwpewC9%2BFMfwCXUN9npuBHq7kDReSAgG%2FI55Sf7sScz%2BSEY59HXwjSdg9gielhRD1WIe70mZiuw2rPXgXSksfJ0gYp0Ppw%2FOeF%2FuwoQCQCSACT2hVyHwhbGEX2YqxAF4JhQ1MCeYAuIXIAYpaTjuOWAgUIjhklyciR2EVWcLd3lWhX0gdBf%2F1ceGmexOCaF2TB56rrSA4Ye1p6eLRaqA6EsEvshzKHdU1EBcc3gq51wZ%2BNZi8tiJdIcDFGt5AYDjeH%2BCdtiAj8o8K9Mx4kRJCNTpSxSETfkcGyk%2Fcp0U0pQWtsZRyTDBXdIRWt1xdZ8HauUUo2gS%2BkD65d5uwHOCdMea1V1gX2zQVVCCHNQTzVAALoH0ADOn89ZkfR4GkxECO6ARB%2BGA7b5O7c74saGeSfZTnrUBa8FOMXDX7kY9F4OmkQlq7qkUgSfOa7G5IVWgJ1Qp4G6mJuIXYvBHT8yI7kTMG6tjYTcNTaK9wtwDIWY5AhgwtsGBJawQWdC6poMV9GUIzqOjwBuE5LLLlGC%2Bo5B1UJeQ%2FQr1bcWMQQSAnbUa%2FGQXIqBTwJkNUgAJKbw18K1xRILtyKjCOaHCL4ASJwFOjp2UaY0xxGtQCAzptr95llKJFZndVsLUz9SlsAc8ieL2D7y4mH9lqHBBuqQzoStIvJFQjRwKJctmlzOt7No3WWB2yGTgSJ0V21uTwImsEitsMHjTeymUnShvAa5LOZs1AeSimVeRbMoOSbJO9qFc6e2dYHXWUF9mlpJT0s4W1hC8KDU6%2FnXLd2MMqtiLXxZVsZQEUqBxSWU7qw6hCAg%2Bg18UUOCia8fyarhq6utuKdqD84tvaB4O0SMsBijDKUZqaM2wRknzV35O%2BSzvz9WHhEcY85XNbRFRH6o6rAtV0xbY0RQVlLBKDV4psaZf%2BlLt6576KyCeuG7JBX1I3qHFgFflf10mNeAt9Nmgg8jYqvq8iwLgDL7BQtnwqWGRwihes2%2B0%2BbF9k65nalHkXmhh8o9QhyVWAlqRDoVtbKkuh1WgE4DP8q3xYYgHPEg134N1BiU%2Ff%2B9MrhbQyTK8%2B4EYPlYql%2BSP9joRNIZfOFboq6l21iH4OQ%2FXUoSnctTtT4KDHA0snF1fXzm8sPmriQrmjrcH%2BGSUJDz4XlN%2BWXtf%2FTBVOOQgy4hmotpP0DJgYyGYvW5a1EysLxWr1izOsUi2W5%2FA3ra0Wjy3gI1oZCqfx6QxtqEuWohQfAe4iQObrsxcWG6VNJ5QotEg7qgLoSP3mgk64Vz8xx7ZRfWTPNgJjkcxubOucxBk2GF1mkm4yrpm4qKt0eLSXoXerUqrMF0rHPGpxXMLGUzikEA3GY5SiILzmwgioeFLXPXse3hMyDGNxh8DpB%2B130QfedAqfNRWZNOo1OwrVRNx9oj0QfGbAq0k6Ra9RbcOhHCBHuV3FL4cP%2FdRxef%2Fzb1x6U2sNNZ6m47vPPXqj2eSedHv2JZLQQgT9Vh2HuFYvtgPliqkRSx93VGyWWo%2FGYtwy6%2BFYJauW4cTxwniyTJ6W0KHgxHzc4sYZmUh8bA%2BJJ6G9WeZAhauO8lvjdexvLi7Q5mM3fqxv8Mr4jZtnuF9oJ%2FK0XWYl6itozUMWDszbny2XiuVSaeFoWJ6tlGcLpXINf%2BYrtUINsGr41%2FD%2F0H9SludrpcJcpVqW5WPVWqFSmpuzPN66XKnVquW5udlqzUGBAlbE9tal9MfLGkwai5cxEtQK5QrEe%2B244coQNcfA8YBW3F%2BS6iwqSR05hKTYQhKqOLDEZuBuX3CiqB1%2B6ehRzCHAY3I60Fgs4m9P2JZ5q4g0O0pdf%2BsoaNyj461rhXEj6rXJXVs8wLHeFRv4egA5JFTzEWR%2B9meByuH2sNbF%2BVTYS706Olh091vRYH6yL%2BEAEpqfZ03ybH%2B1X%2FJpikFZaWNW4EEvOWUwO5Do3zrZdx8x0qlw1GFu6MSAX3yUIgedC9XGN%2BcBm8z7mBXDfQ%2F23YeQFyFoD7%2BM5cgb5dI%2BGPJnRw3i%2F%2F2bygzip7s3U3J39cQ%2Fc%2BzIa58Z4m8%2B%2Fv4CT13%2FQUbgCzlSbXnHm1Dghdvuygv0JxX4BMuxIzveECH0gQX%2BspwjdycWuHbPYl6gmtDktasXcvzN5Bq%2BybME%2BfLOpSG2eH8CKQ4J7Ve9MhTlSQU%2Be30Ih0N3Ah9Y4L%2BeyV4yQOCEGm6sPp8jdycX%2BNJP8lGe1Iebn%2FztEGwm9OHm5T%2FnYTOxwNff%2Fmhhc%2FGBf%2BeLgz%2BhhhefOpiP8n40PP65V39HKZ8I%2FHzteirwCxvVvA%2F9oVy%2BfbSGIb01SmDxKy9nTb7zL%2FZQtbm9z8V%2B%2FRSxWWimYRTbOKqDOlONUAQdTZ8lnJGv39EkhLLNWVtzC6qgLDRD3axBwUVEGLC2AH2KAYRmKAXCDb16YQ%2F2tB0IQ12RAnSQxwIccDFSmi5O1BfxwzkqZsxIrUdSEuqDCC34AtMDnrZXQMSe4TGZYKhUzDelUg1U6orqgg4LZjLciJ6z9SCmBxLLBcuRHyIT64mtg23gXbgZVpLfNVeXPKDRh0Yb3iPGzE5JIi1Ws2REpjTgOiH8%2FJiujyyGnU6102w4zFmP2%2BAyNMOCw88G0a1s7kjfzcQINkgg0Y7QCuyub9EMTvt3eWCT8pALLadP43AG3jDvF4CC24YQSwhADtU0Z4GNcSyCfB5iTjLzGwZLgYNdQlYO5iq8StQwlCGTQ8w3DZAsJoJi2zBTWvPBEDaY9zBg0vCsyRdaLkEnBjSma6pou%2F8FSsElHLihGRGkw8B5sNlwz4Itbqzq1zAB09zZdJEFrssRX81LTS8FuAjQKy45MgKFT26olOGGRTCePCADEMQtH740s6zLA7BM8F5%2F70EE6akEwMFO6%2FDFkf6cTMsW9gXzAZuACR1TfHDNiVVfdyAIW2DBfbAAKYdGtrQQPaI19PWIYdBgXkQMSg8HfWnBjtWzJ48kvHfO%2BLevPetRHFzMsIiCASsRs%2BQ%2BUAISD9j02omTsHjDwHWLkhxMI4bQFg7ehp%2FX7zd5B4wkBU1L0OomIkhNPfPDyfpNYiA1787UtrQNZUEsgsQSBdgCAfCVcdRgQdtRIf4EPeI4YN%2F0KgfFkQXoPHCu4zlgFMAc2SIBeJ%2BdDwwblzK3On80joCR5ILJVLEBZbE5YDIpIhmqAIwVihChICUoyH5iz6hU9YuVJwjVeqLAtinTx8EeeA34cBrzL1032OxMrGFWgtMTovWODNH6Org%2FVJ9BIicXXrpIEx9Gm%2BUYC6pzPKK82MX1Zop0yn5Dl5GMiblCoTYg%2FQ5RUS1d8%2Fbcj8zx%2BOVk%2FIIHjfGjmgO608CpA%2Frz%2FZitLYFbPZQpU5v1lUK%2B%2FidVpzXUCgx%2FtscFEM2F%2BI4bxCarlRKCGPbAd4A6Z%2BWZUq3CtjzDzNNVI3wGOhO9rSmFa2tDSe9zNCmaEZGtukA1mz5XX0VoQR8nxCz10oSp1EhR6GkpmEZR5oNhdsh5gJNG%2F%2Fu6qshOJlUUN108RWP2zqmBDpNWzb4jExKYXK0jP4K85i62mUkaSfaOCFhXQNiAbqVCS40Um2J%2BzyAzMSvThfVZIzGW9taq6CYGYb4ixIDoQTTAvWRY1fbKUMfKAyZDlEO9PYjhEffHyS2l6VvGKajZiNd2m8JsmG7aP3vZhyNNSHXbFzghIB0S2hRoQdHR3KAGDvzVv7ne5ZTs3YBBo%2Bk5IRJnBNmZgQ8yWBdxbIS7DChIfQvXHuZaJI1feiOu7zzoWIdciES7f0RIr3V0quBKJXEKfc35RbPPOXX6jgxHcafl0jB3enAMd1otLpQS3ufwSdiHrNYXSaOI0zty7OdTIzhD8IkJZ2g%2FBhvG8oXrTsJAghEcT0AOhFmncd02TlbdSUjF5gqXvfG8oli0uReapVs4kuH2AE3vbHE3u3gYPNPs7LHa0SZA0yjCo5Xisdp89dhChly8LsvV6lxhtlR5NMMhzlWOlauz5fnZObvtSduZnV%2BYna3NL%2BQZxQroxCr%2BG80oqjQOIBYlz1GKS31OrNvtFnHNZhZKX%2FNjCfUXElE22gCiFz8SDvHIaA7xXIIlX3OICYYAV%2Fyuc65uShQh%2BiLHOTRkl%2FSEgrM8JQf%2B3QVu1eIYt7XncGXFkWcw3lGuTRdsOklH9oIMaXhkBGk42hf%2FBw%3D%3D</w:t>
        </w:r>
      </w:hyperlink>
      <w:r>
        <w:rPr>
          <w:color w:val="000000"/>
        </w:rPr>
        <w:t>. This accords with global trends where pH remains a key driver of bacterial community structure in surface soils</w:t>
      </w:r>
      <w:hyperlink w:anchor="694416d2aa5173381f277e1dbca37f21" w:history="1">
        <w:r>
          <w:rPr>
            <w:rStyle w:val="Hyperlink"/>
          </w:rPr>
          <w:t>(Rousk et al., 2010; Zhou et al., 2024)</w:t>
        </w:r>
        <w:r>
          <w:rPr>
            <w:vanish/>
          </w:rPr>
          <w:t>https://dummy-citation.com/citation?d=z%3A7VndbhvHFZZbJw160d46BQLMjQEHEFckJUpU2xtLtS07imPYbl30qsPd2d0Rd2fWMzui6CsjF0Wfo0BQFH0CXRvog%2FQJ%2Bgj9zswuuRTF%2FAC5C4HAEZdn5vzMd77z7fDr652fp9rITKpfiLdO12L%2B8c4rLQvLYl0UIq5FwnhstLWMs0KrrFcLU7JCllJlTFxVwshSqJo9qM7YQdTvjaP9z3eZVGyWyzhnl9xIXkut6FHK41oby3SdC8PqnCuGVTm%2FFGwihGLYE%2Fu%2BE8kumwkjmLPwXmssvRS2lhmvBVYJlkiDyPA4LZxQsWA6pY3ghL7lE6cSTo%2B5SpBGWWkrfQgwI4N6plnJL7RhFpnCK%2FKbSF6wml%2FxXZY6lUm%2FdoJ4kR%2BP2BvB8nlFcVuKj2KvF18X5KR0Ck6EZTPtCiwVrNRIwdYGRSvmy2Dx3Zyi9emTr9X1EXutWSKoylKFdI0oUEIUaZkZMmm9%2B0h9zFS1ULO3jqta1mHVi9OX7MFb%2FItzIVsUlCtezN%2BF3bsFoq8TrDH4PG%2FLtUyz9bQa8dIth63pxTrB39UcoAGkkDIhpRZxriQ%2BRuwEZdyU11oAiyw9IEKglwL19IsDPKqzXb8fHsCWKcENDBLtJgW5noh6RugigHoH44g9VchA1YbbOqy9vcYBCjNumVM8TUM7hOPr1GIZMFlqBeczwaedIGcSKVdnONsbBV8r8QqSsFtcoIqUjUgBB%2B%2Fcg7Y6%2Bx2tRE3ICv%2BVru22iSwoFvTb%2Brbz1eMOjU0RDMb9XolMbN3mXufS3tLn5C0sozi6NJEaXQICM5mgnFxlAaVSl0gFwTzXBkWgsr3SDn89LLFljH4TZZVztJWHCXW3hs82ClQaa9FFLq6d8cd5W61CZXlVcUNBbiaI7yoJcq7ABnxCNXfoEO1jUtwYPaM9fGaWgTSZrmpZYqcMXyGhDloj9ni1TVad0JEVgkrYssMquNBRnjwRDFBqcSiUVACRw5HHrkAxiFxc4hswESXsAOc6FBHkFKCbCSUML%2BBBXOVyImmXBD3ybYlEyUyb6fXOr3I%2BoT3jejsTtjNhOxO2M2E7E36yM6HgcYzoRPIHgDcb9oej3mBQUr9wYNA8Vam%2B3vko4zhFsPl7YKRC3o89uSdH0ehISGud%2BKUABRWiopN5%2BurLR%2ByZdgbEk17qwpXibrXY8VzHHGuvd%2B7IimfiJUV2vfMzmUpj6xd48ulHv88L9Gr4%2B0nhe1dOHE2Tv8MyUbykFWnKS1nMxUvt7FRk6EuVP9MgWiVsYnQhdtaNs5MP33z4BofszdNHpgBGNxsbrafCBmP5IkevVew02mSfnnM3QZd68%2BI0NzhLCd4%2F37giP9fvXKWVaFyccmpz6v1NC055pUFkOiy4eBaxJ3CozXxjUF8omeU4WrKPX%2BrJRsPHErE30SfPNc%2BDZSwTe73zcZxo6Qb9aNDfH%2B9JW4qLaNjH59EYPDJR7%2FGvVV%2FLwdFo0DvaPxy2fx3145JnF4Pjcf9w3D8ajnJdCQBDXE3fLB8mVSmTfNg%2FOBgd7h9eeEh5RF6Qk15%2F1OsflhVxvEWBAijv%2BAT0q4qYAjB%2FzqlPpkZYQC8WfzTF1V5e15X97d7ebDaLlP8%2BQm%2FucVPLGE0ZEiEXo3FUJWlm3aSeV1SVaWPzGh%2FvoI%2BFTr%2BQKuk%2BFjU1G2yLWKKdT%2Ban2qn601%2F%2FszYiRSVp%2Fr%2BB4rL%2B%2Bb3j0CJX5yS5vnPQLoUY2jczHL0PWgA9AlDcgLLACNgnoXA%2FiR2Svd8mi5OKtMn2bj2t9XuBT%2F7qA4IbmgeJHzAcLBNLSzMy6DhPzDmvVkl5OQwb9bXOf7tsLmrQrEhk3BAWRvsZPWlqBG8kVAyXNQZqCk%2FYViYO%2By89kVojikRHFQVMyEMB4eTVmnXmUsxBqMcHQ2Y5fQOuowllBcDcziWo3yLxEwtE75SBFMXGXg9YNKGFySb3oFaH2anbeRyxr5xhmNIJUqKJh%2ByCYAUbNzYUVsVBrWHoLuaT92Ir0Hdz%2BDFIFZ%2FihWR%2BEAL%2B3B%2B3HxZrs%2FB2FeeroSdWoB6NbuXeukEMph3ooxUjYV5AkicQ%2B37ehdnAHgwH96EfcxBH9%2BlgTE%2FJoRIO5%2BWT7H4ZsTM9Q8UNrOASc4nOoHHjJ1pjjdnjKowyL584s5hH2EygazEkgpZoV5HqaaKrQUcYZHj96Efw1iQWZCGmk23K75e0sS%2FXUE6kHAhELsM0BNqaCmVG4PAgJl0J%2FibvSqueuEIfl7oC7ePMmnhitF%2FYE6fNiymH6iSVBwBQWWmGL4Pi4E4c6%2FJb6OHFIUIP5ZhUfiiXpDllqRN67sUpjHMMG1%2B0Bk%2B7HX3g3zFihG0JGUGMBWcF6g%2BlBu%2FtIbVEghIHXHWOyUswAQAiCYBtEdMsDxoaIwy5T8QcKSw2XCgawEmB2kBzTWGpOngZgjT3A7s9mnAcKwVuS9dbHFBb4LX63TSJ2EPrRSppqN0VeDU1aFCGbcJ7GbjmEhMn8GfuMGqaniM5ZUlLIyOoswpNXNB5EDiAYYPGi1mNdwQD6epfEvFd1wR1okNYDaJFRSeMpTRrBG%2BgcoNIwO3WkgwJPJiYuf8QsdMgtv0bEFoFfAOnEIM36cYTqpex4V0A1RVXHiZBC8OkQIw1Oxrd73QWETpqCN0VLxiri%2BNwlA1xU6GlIZ4MES3UftDi4FS8gmKn8PbfvOgA6sSiCqACR0M2EvXFsatk0L4dpvUBrNAthRg6g7ZKAbMkbE4aNiGQ47iAfcKLEYCrH1btezs8QclwQ%2FS8QvGee8lZd9QCajF0I2Zi1n65qMNiaETsv%2B%2F%2Fwb5C27SFXIt3OWDozBel67zHhU1OvwcjBygDdQ2aNhBv2PAWVmm6Gu%2BK%2FmYi56bypNH2iL%2BRWEDVv96FvR6u9FCAK6C21jk%2BnptY75p7dEM42VvunbaaY6s5tppjqzm2mmOrObaaY6s5fnzNsXavedjr79%2B817y74V7zODoYNrc1n3mhciJ1obMgOfA3wFUC7WbeXG%2Fe%2B88PuN%2F8zc6df%2F9vccPpP63ccf5t%2FW4u%2BUuuXXMz92f83LPpDm%2F6mueX%2BL0HcahgLl4LUbqNd35f8gKAbUzPXYwu2WCanALvrSFuNbNNhuWLD%2F8y4l0v%2FC%2BsyJ65Amv4pjXyRBjlb%2FEaD4%2FBvdPu%2FeNdun%2B8%2BsxfaQ0O9y4iQg%2FYANdawwM8Ox6NhisXkX3cfPX6R4MjORgfHff2D4bjzs3jwUF%2FMDo%2BHg7Gq3eNw4Nef9wbjG6%2Fa5w%2BKiDucE3KTv60cs%2FYu%2FXqbVOcP8Yt473s9kvG0wa2Z08KsDNpPfz4hwG%2B4KA1Aln9FY4Gcktb%2Fte2zgXjD8vy%2Fw%3D%3D</w:t>
        </w:r>
      </w:hyperlink>
      <w:r>
        <w:rPr>
          <w:color w:val="000000"/>
        </w:rPr>
        <w:t>. High organic carbon content in the soil supports abundant microbial biomass, a finding supported by studies demonstrating that soils rich in organic matter exhibit higher microbial biomass carbon (MBC) and activity</w:t>
      </w:r>
      <w:hyperlink w:anchor="0d0103613371c877720126bfb896a1f6" w:history="1">
        <w:r>
          <w:rPr>
            <w:rStyle w:val="Hyperlink"/>
          </w:rPr>
          <w:t>(McGonigle &amp; Turner, 2017)</w:t>
        </w:r>
        <w:r>
          <w:rPr>
            <w:vanish/>
          </w:rPr>
          <w:t>https://dummy-citation.com/citation?d=z%3A7VfLbttGFHVaBOmq66CrQYEWSWFTlGSbUZOgaJzmgcaI0Tjweji8pK49nGFnhpbUldNf6Nf4d%2FolPUNSsuO6q24Nw7bmcV%2FnnHsH%2BnS59WVpHVdsHtDvrQ20uv%2FqyHEtHeuVaD2bSihnm4YK4Vc%2BUO23RePonG3rhQ9tweTFXJ6TcNRYF3BPisZ6Dow9zYakw5GWga3xc25ETmFBZETNcJyz1CJnW0vvhZIut0Y8Onxx8FhIg4iWtbCukobV5vTD%2B4PHiTghoawpWtVHrCnIHWmkXnn2IlhBy0ZbRyLMsf4svqdGOhkI9aF0UTmE1ojmu5Cx2H7VFy%2FPJWuZ61hLINi1jhLxYSh8QQihucZREaOGufU0WJZtzVUX9u%2BLv2gZnFRx0QVFhd3%2FkkmjTFk3mnwijh3gGLwakIGjq2QX87jtSFmH7Lo7BfvARgXBRvhGKgJYInCNDF9fldW7i5lLDT9WqdY5ZLgNZz4ApGI72nmigopEHES6YwED3719WDWswJUtUSSWVDcRDRJ%2FWINwsaC5vJ173wB5mFikqRzJDh2wCEcyiIWEjrgyXMK%2F6UrJbZhf5%2BVRI77X4alIkzQdPxVuIp7jc7bfi%2BSKsdvv7T6BXN7YBZ2T2%2B4SHdIAvJNkb6e0oKCOWkG51AAhVCZawyEWeyPlzxTT6RP9gAqUrUHUWgRRm64vvIiWGwxQ3Drd3jgRvyzRTr4LEHODL2CIO%2BilqBakEONKmKFDomtHVWcQD1ESON0WXtsGcryK2mcySbLvbhP5OBn3%2BxvsoD247tysKb6td2%2F4usEdoAMFEXPgP33c4wkswXMv%2BxvhCi5LaMtAt%2Buh0GlrYTfaQ%2FNCUJ5z%2BFayjZzlKyAECCA%2BdwtSgPhahjl1TYzOixNKwv2QToMr2Is9EOvDacccBHmNI3C7YGix2x%2BclOs%2BRujaov2qLmmUV3c4xTxAZFIsrDu73Pp6LnPf9f7dZL2brHeT9W6y3k3W%2FzlZtVQKNFHxEolWk3Syv5NOa8ysIAGse2tKe7l1v5ItZobzFxgiaODwCr%2Fo72myt0vsfUsPKHDQdPZz5Vi1Oo6f8tzqtqYHzcbZO6skzC637nEjK%2FpNmoout74ALc6HI%2Bw8nM21XH%2FU0c5x3sLE%2F4l7hZF1vF%2BWssbY50P12hquNFGFis3p8UDSUVI4q2nr3yblceuQx3D%2FhLVmWYtXw33FhUetqrC8%2FGacJtPpLB3Jq4KyNEvTvQzTLDcX%2BOvNJ56kWbaT7mYTVcvqdJJNp9P92XQym0OhGPO0PDu52jztoOqQPp2kYxhmO%2BO0btpcswflPdj3uqSXySGiMsIobqBx6VbiJb5aBAy3o94gcvrWYLSGNtAZOsq2TtFHp5fP5iE0%2FsfRaLFYJHXRcILGH21yHWX42ctGTVH%2BhNaMPfp8vDub7Wd7T2Z7lW9zjNEI25mEZpWmYyzv4RbZ8lc2xfVtPGiY1rirVXxdXqwObGvCw28DBNDzUZzg7fb99rNeJsvq2tyPnR6Heb96E9%2Fol0PHBXG4eX1fDK%2FvQf%2B%2BvsOcxBsU%2B%2FbjMAM%2FxGf4%2FfAM99eKWMhXeEj08oc1JqA3wWM9%2Bm%2BG%2FwE%3D</w:t>
        </w:r>
      </w:hyperlink>
      <w:r>
        <w:rPr>
          <w:color w:val="000000"/>
        </w:rPr>
        <w:t xml:space="preserve">. Notably, research into sandy grassland soils found a strong positive correlation between SOC and MBC, indicating that organic carbon availability is crucial for microbial proliferation </w:t>
      </w:r>
      <w:hyperlink w:anchor="0d0103613371c877720126bfb896a1f6" w:history="1">
        <w:r>
          <w:rPr>
            <w:rStyle w:val="Hyperlink"/>
          </w:rPr>
          <w:t>(McGonigle &amp; Turner, 2017)</w:t>
        </w:r>
        <w:r>
          <w:rPr>
            <w:vanish/>
          </w:rPr>
          <w:t>https://dummy-citation.com/citation?d=z%3A7VfLbhxFFJ0gorBiHbEqIYESZPf0zNieDEkUEYc8RKxYxJHX1dW3e65dXdVUVXtmWCVIiA%2FgB%2FgN%2FwKfwW%2Bw4VR3z9gxZsXWsmxPPe7rnHNvaT6cDz4trOOSzR36qbGBVrefHzqupGO9Eo1nUwrlbF1TLvzKB6r8lqgdnbFtvPChyZm8mMszEo5q6wLuSVFbz4Gxp9mQdDjSMrA1fs61yCgsiIyoGI4zllpkbCvpvVDSZdaIewdP9%2B8LaRDRshbWldKw2py%2BfbN%2FPxHHJJQ1eaO6iBUFuS2N1CvPXgQraFlr60iEOdYfxfdUSycDoT6ULkqH0BrRfBsyFtutuuLlmWQtMx1rCQS7xlEi3vaFLwghNFc4ymPUMLeeesuiqbhsw%2F71%2FndaBidVXLRBUWH7v2DSKFNWtSafiCMHOHqvBmTg6CLZxTxuO1LWIbv2Ts4%2BsFFBsBG%2BlooAlghcIcMXF2V17mLmUsOPVapxDhluwZkPACnfinaeKKc8EfuR7lhAz3dnH1Y1K3BlCxSJJVV1RIPEz9YgXCxoLq%2Fn3tdAHiYWaSpHskUHLMKRDGIhoSMuDRfwb9pSMhvml3m5V4uvdXgo0iRNRw%2BFG4vH%2BDzd60Rywdj193YeQC4v7YLOyG21ifZpAN5xsrtdWFBQRa2gXKqBECoTjeEQi72S8keKafWJfkAFylYgai2CqE3XFZ5Hyw0GKG6dbmeciO%2BXaCffBoi5wRcwxB30UlQLUohxJczQIdG1o7I1iIcoCZxuCa9tDTleRO0yGSfTr64T%2BSgZdfsb7KA9uG7drCm%2Brnev%2BLrCHaADBRFz4D%2B53%2BEJLMFzJ%2Fsr4XIuCmjLQLfrodBqa2E32kPzQlCeM%2FhWsomcZSsgBAggPncNUoD4UoYZtU2MzosTSsJ9n06NK9iLPRDrw2nLHAR5iSNwu2Bosd3vnRTrPkboyqL9yjZplFe1OMU8QGRCHmzQ30%2F%2B%2FPW3PwaDQb6w7vR88PlcZr4dBTeD9mbQ3gzam0F7M2j%2F56DVUinQRPkzJFqO0%2FHedjqpMLOCBLDulSns%2BeB2KRvMDOffY4iggcNz%2FKK%2FJ8nuDrH3Dd2hwEHT6XelY9XoOH6KM6ubiu7UG2evrZIwOx%2Fc4lqW9KM0JZ0PPgEtzodD7NydzbVcf9TRznHWwMT%2Fgnu5kVW8XxSywtjnA%2FXCGi41UYmKzclRT9JhkjurafBvk%2BKoccijv3%2FMWrOsxPP%2BvuLco1aVW15%2BMUqTyWSWDuVFQdN0mqa7U0yzzLzHX28%2B8DidTrfTnelYVbI8GU8nk8nebDKezaFQjHlanh5fbJ60ULVIn4zTEQyn26O0qptMswflHdi32qSXyQGiMsIorqFx6VbiGb5pBAy3w84gcvrKYLSGJtApOso2TtE7p5eP5iHU%2FtvhcLFYJFVec4LGH25yHU7xszsd1nnxBK0Ze%2FTxaGc225vuPpjtlr7JMEYjbKcSmlWajrC8hVtkix%2FY5Je38aBhWuOuVvF1ebrat40Jd78MEEDHR36Mt9t32486mSzLS3M%2Fdnoc5t3qZXyjn%2FUdF8TB5vV92r%2B%2B%2B937%2BhpzEm9Q7Nt3%2FQx8G5%2FhN%2F0z3F3LYyGf4SHRy2%2FWmIDeBI%2F18L8Z%2Fgc%3D</w:t>
        </w:r>
      </w:hyperlink>
      <w:r>
        <w:rPr>
          <w:color w:val="000000"/>
        </w:rPr>
        <w:t>. The sandy texture observed is known to negatively influence nutrient retention, often leading to faster SOC mineralization due to high porosity and aeration</w:t>
      </w:r>
      <w:hyperlink w:anchor="e4989579b08b44cdfe373dc3e98c7354" w:history="1">
        <w:r>
          <w:rPr>
            <w:rStyle w:val="Hyperlink"/>
          </w:rPr>
          <w:t>(Malou et al., 2020; Richardson &amp; Dobson, 2025)</w:t>
        </w:r>
        <w:r>
          <w:rPr>
            <w:vanish/>
          </w:rPr>
          <w:t>https://dummy-citation.com/citation?d=z%3ArVldbBxXFd6UREABgYSK0grBrQrUpd71zP67BsWx4%2BC2iePGbtqKIvXuzJ2Z652du507Y3v9FPUBpIqKCsRDeSoI0fBQFCSECCoSIkKIFygiD%2FwIhPoESVWhClHUvPCdmdn1jLNOHG0fHHtm7v3uOd8599zz3Tx3qXTE9ZXFIxVeKh3a6HNXrMS9jggd02gZ9YajQunK4HCvbzvL0vV8%2FEQaQ2UyS6pAf%2BNS6Q6701Hbl0qHHU%2FQgOvH3rnv3%2FOlUsn2hRNdn7%2F%2FSv%2BXeLIi1b8%2BP%2F1McB4PYkvakXd9fq36XYbH3NIfHQf4n7%2Bde2YX8Ojqysu7gK8fw98jwA%2F%2BqUGPtwL835f%2FQuuOAzQ%2F%2Fn56GAKuX%2BD%2FOADgu599noaNA6z9eS7v8vorb9G3WwO%2BtB9g8%2BdtYmMIePzBLxwE8CYuP%2FTmJwsuv%2FIi4U8A%2BMXfvVkEtA8S5ZsAzj%2F5d8qoEeAP7z9IUG4CePy3T%2BctXPvX%2BQktXLxyKJ%2BH6xdWJuRwackjH0eAP3iDGJgA8ORP%2F1C0MJxwpyxPzRYB%2FQmD8vB3ni9E%2BcLGQYLyzn1v5wAL1ebRD71dqDbmf%2BlbHlA8G6tIDA5vrntCC7Z2ZpFZKohEEGm2JULBlMPqxiyLPME07%2BE5tEVIb3vcDWQU24Jxjc8Ks3uC6zgUNusM2K9flj0e6O7lXzARMe5X2FTVMGcfYHYcysBl1QarmwYbCB5qghPbfRHKXrKwCrBWYA%2BYVtKHHTLymAz6MX2ihQMswqaaFaPF3ErXLZvJwAemYVxir2kOBz3IVlYfZVPtSq1dGFrBoCp7OGD9EG6Hm7A5WWs6cZRY2IJXvtpittB9GQkWCjf2eci4bcuk8tNKZ05jfKhi12O%2BjCIcHNz3AV1jTqh6LAqFwLiQaS%2BMO7rCjociUFrBJw7j%2BgqfZJAsZ8eCRYpx5nAZ%2BoNk6T744OEAv5UdW7QooOtsaiE5elTG6zSrGkZrji34PLA8HkaF9yAFTBJ0GkFiNRLbEciZZluetDysuKliBKFuNuCtpXp9pRMXMw9pfk8GIuS%2B3EmWpg9k9NRJ4fvIhuGC5uysOcdOYEDOhNmE7CaRbcV%2BJDd5NGQbNvEIzFpCUgTIpW3lgqKYWHN5IK0s7mloAxBDbvQklqWJWoI3srzFKPuJTPruSOHb02OSOSOXfOQh7%2FhI53TGlqfwkLBEiYyDP5cZdbOd2lth657UtC4cAUoYqo4K4Y%2FGkoGNtE6yYm8kKPMRCZpN4DzGIuDb45sC2LPIDrVFZoALOJDL%2FDQbMxeGpMcBbUBsFhEEkvtsU7giSsMC23Ku1atG6hFwMTdlHAvwIIgxbxgMmtgRFo9hWn7XJeZxwCMDk2xEnQgiWpHYqVdNZvGwQ1sV7RMKyjRzEcWUzmdjaXUpmfiAlu6DkAiPnRAWUjrRCkitCrO3VNi9VPqIzy1LaC3sE2DTrRrVRtlo98hzTpn3cOAolDw3o%2B68L%2BGlFZ3ED%2BpRq9JoiUhGvtj%2BzHE3lOQZbf4lS%2BmBjkRPs8%2BxpWBThiqgAuNsKj%2FuibsPlfujFU6N2kBJ1fEsD1yBYisdGepoFW%2FuKR363ic8n%2BeefJodyk6MifprVJoDVEj8dhyOFB2I09xXsUho8c9o0MVWOX75dohsK42ZsCY6AE8miBN8U9r7jXROq9iH3clQb5XDDEvy%2FUZvLHpiE5VJImnSGeuy75Hf%2B83oLXBb8kCUV2zUhnRSb8W%2BfGEg2FPcuslMgS2CF8kM%2B3hHxfsNVIse78dSv3H%2BxVM8tAeZ26cGtszALWmj2T5i2Upu32MaFdMwmzMbFTAkKkgRetEyaoYtdSc4j3918JzEkFa53TZmpdlu1crVmtGwcFJt1Ixaq1Y12g3TU30RcORK94ndlxuYHafZt0HQZaNZrjZ7%2FbjjS%2B0NE%2FBQ4kJ3yddiE1yyhXNd1AIQZInHQ3%2F7814U9fVDMzMeNr0MQi4qTkgPZaPanjWbjdqMrSxkXhC5Ou5Egz7R0UWhkJYv1vF4CJtRKOdRFJP8a%2Bxv3x9grG%2FhKLIXBosqDqKj9%2BF8cagOWMJ%2BAvtIp69PZXvhqzjS2VlldctLCP6vfsS0dAOe7IysHIyKbLaTqTiMTiiMSc5CxMQFXagOLk66wA7iiHW4lkGFLdP5iENrtOdQHPohNqXEZsYRTCfiMZv8%2FIAV5wlCRCtYe2b%2FoO4rzXjtAKrsW2P6pPkSb%2BZE1L1316k1Svuklbs%2BRi3UsE9avHjXnsbrjtsFfGsq38ktXv3Knl7zdgHP%2FGa%2BAHhtc083fLuAq6vTBZcntnD1tZ8VAK%2FV96iy2wV87IETRQvVwYJSz2nvIuC3Xy9yeJi%2BTQB49o6n80J08dqdkwIG%2FywAXnzhYEHZH%2FCvUQHw6jcPFpR9AdeWS0WXD08K%2BJOvFwFPTsjh%2Br1H85oHQdmjym4b8IXvFwCvntsjom4b8F2jaOGpCQEfd14rAp6c0OXH%2F7icvx1Y%2FPHUhFE%2Bd%2BxKAfBq8niA4kDMZICP3HmVCkAK%2BKmnqgWXLz69l8NM2b7v94sqQBOrhT%2BYZlBwLg5u6nPLWu5Ag2XHbNbvZu1zGZ0xxkNUaM0gaR1uoRcOBU%2B6Vxd%2F4GRDRxySUhqwKVFxIXbYmdjy5ID30mHrPOBdDlHUbs6xNUtFmR4gmYQ3yzF6TJaMXIYRAhKrC71UNSDZbOk4sc6UFjRLqsGU1MnpPVwPDVTs8UxskdRqz7EVIUM%2BemM2Mv0HT3iiAtHJk%2F8gR%2BgI0iVbA1ruRgvZWa57Mbry3SVMLJEaPsbu1BkZDLsKdAqhTMTX1O5twPQuFilD6lEY76CvgGZKGxMSG1tgGG0XFNX0CCbVyxytuyyjR5G%2BxGlPYjCRplgkZeXZGFbtJKY4kIEa8dRzbAkp4TMiqT7NTmPE5VeD8pd4aF1%2BNaOrkvKVpQBkX3Lt4KDhZ%2BPNQdPjQbMGSKR9TMn6KhKIc%2BwJYm1E7%2BwcWwVMtCP8ESFVE6sjnnii9KLui%2FeopSNaxtGahREtICJM0jHL1EysLuWuVOIIRu7QxYuneqSxBYls6tEwhEymC4lACBtQSBOFHQMiIIlhhCcwKJlDyZ4sRM1jbi64TrZPRyBXugIqHVLecQQ6Qbz1eadMMllBSe5e88Bl3K2gJR3RdWMGLoSAHr5CeOrImEwyfnicZJzdKxmP7CMZ65XWrEh6%2FiNpt6wWJDxUlod8xsYYZBrx6IWCyMP%2FGNygrc4iDaBfNDr3RMHIR2IdgaOFyr7i7YTqjIY7xyHj4UVO8RzOKR6jNaNNo1GrQUPAQbPabJZ39iqedrnaaNak2YDiaZiNJ3MSp44bo2qz0TLaeyQOsVU2a%2BMlzvan13D5BAkcIijINUs8uIB6FFA5PC2gDAu658SwrYci7VZ0NrOC%2FJnJ7i5m0Kqnzf5Yfyr4%2FF4ootJ4QfRYJoheWkpSMpE2oVIIErYzChgyMpFFaakcbjNkjdxBdbQFjgLVp5RNbouy8cklETZfuhfSjY7iIKNkp6RQ4%2FYsXVEhq3VyJzK8CLulRhpL2%2F8B</w:t>
        </w:r>
      </w:hyperlink>
      <w:r>
        <w:rPr>
          <w:color w:val="000000"/>
        </w:rPr>
        <w:t>. Nevertheless, recent analyses of sandy-textured soils confirm that microbial biomass tends to decrease as sand content rises</w:t>
      </w:r>
      <w:hyperlink w:anchor="a54ccf666534951aedfa746425813b7c" w:history="1">
        <w:r>
          <w:rPr>
            <w:rStyle w:val="Hyperlink"/>
          </w:rPr>
          <w:t>(Roldán et al., 2025)</w:t>
        </w:r>
        <w:r>
          <w:rPr>
            <w:vanish/>
          </w:rPr>
          <w:t>https://dummy-citation.com/citation?d=z%3ArVdNbBtFFHYhSKji0lMrDmWQekhb27EdJ05aqqZJmraCtFKS0htivPN2d%2BLZme3MbBJXgAoSSAgk4MCfkFC5VOJQCXHLrdAziCsqB04IIXFAIC45lPd2ncSGBqlyDo4zu%2FO%2Bee973%2Fd2%2Ffpm6YlImYB7YzdLB1ZTHsHlLGmDbdfrobEyknokSUV4UUaxwo93uE3mEdJo98mRzdJjot02G5ulkTAG2rF19u%2FoFVYqlYSC0G%2FNPHvsA1yUAm%2FSrZny1ImXcQHrUvh4a2buwQNa9p178BEBx3h0c18B6%2BeX%2BgHnJz%2BinUMANn78g27tAr4zJGBTv3d3X0uefLw6WHKFlkMAtj7%2Bjha7gOO0HAJwuty5NQD4Pi2HADz1zcGZAUCqeBjA565%2B2d%2Fl4Zty5rcL%2FV0eXjZnX%2Ful33rzk4eHLHnm7W%2F313rnVg4NlDxxd0gdzh7lg9Z76echAX%2F9an%2BdMvf1g8Eu3xoyw%2FlXrwyW%2FNmQGZ6%2F8PmgbN4cEnDh0O%2F7O74WfjrTP23O3L7%2F6MI%2B9uf3tCoAL9x%2Bd0DYs58Oab2L6f39LfnS6ZODXT78b0C4nhkP3ZG%2FLmnmuBZd5oxUrsx8DCwwuuJBe2ZC5qSS%2BDQHx1wWxIw7dj3j1t8os%2FVY4oWYrwFT4BwDBYG3puI8PvwDrlSXhXzNZJa3FWC0DXmAMPjawBIZWNOWXDHuPQ%2FihA7Do7lmgeJdvK%2FBckpHgAdLS9cf1M604DoAxjB1JuQaWCd9l40uGSzOO9ao1Zqn2TLgi4tm4BlXVbzWqB2vsnPK6KjipIC8VmXW2fKVOap5p%2BRdPtjoXGyl86C2UQimebyMvCRSccu8obzzOIKjWKy17bxF0pjUDAlgzmeiW6YKpcOTMiUYbKSK4%2B1eDtBPyhzjQZAlmcrfohih5LiBSVJuQdChyvCkylYIUGEqxDluxSx2YVhkzbqPWYKM5m2iGq1sZ76AyPOl%2Bq0xHpkmeONkhZC227sTK5MUBMVhkNSBBe7y8vqOw7RD7BZbl0ilxeYrAh9dkBGS3ybqhZAETtoolIbIFkXJeilInlC%2F2TrKDMmNCAXl0jZYRQTa%2BG6KQuijozLABxt9QaapIXZ3Wl4%2FzV4Ej6AKMG73egPzKejbKdGCyxRxgxs5Amo6X6B%2Bc2opEUqZMnXYSsPCjDS%2BzRtUGXoJKQ5U5nIGH6IHbHss25IO2e1aXtEcisTkXKxJ3sdqW5qEo7vo%2FCTfXibT5G3MjYWJSEwojbtOBiaIAWMxLrUmRStIQBNRw1QmpI5yuRcv55hKgIbDAwOe8gDtU87vSo09QgAyxbYryiw1WP46lmBzy%2BkMMyC7WOyXLrLCTFNjSWWqonjqABPFrfxhGssTIEZIwsAu99tvh7ZtmQkWWpP0lFckt8toP2AhvxDHAesCty63A5c3gCVGm0qA3c0sHinWje1slp5SaDOcXCDmESlCUUxU6rWEUkFngr2kQ7NZejzimY%2BNdTexY0iUX8CPsaJVbTbAS69g4%2BisNMpE3bzeBWJd0TTC05dpiKgd3yHKWzTKNeocv8OQ4xDpRkso2XtfaIgwc60Xub13hzP88vfuaGGNgtJ%2Fg%2BIF7oIYW1pEyWJOSc33CoDFDGIodsfnq4QvYa%2FNq7ueKSJgHn%2Ftub22hyvcdjq82CoWZWfPLJJZxSMjuHcd3u0FxD98uIbulr2gQAr8FTkSCCM3nq7XqvVarTXmarXxVrNCLarVp5vTlZaQrq1v4l%2Bn35C1emuq0mhNNmS9Od6o1FpT0zHqHycNbHSuNZv1iYnx8anW1Cpuz4p%2Br%2Fb6XWlMJGnWVtLF2y0%2FkCe98cxyaolgy5YDFHsAJ2fR2fgocmwRcFZ1cGDgdA%2FgqlUb87H3qTs1Nqak7lRdL7KK8hzraXsMfyeP7V1PFW9HqGuacchXB9svAwUruDyA4gYTPi%2B16L8MngYp7lXoXhCz3TmTaV%2FyFkKwlK%2B4hjp3%2BdUjYU%2BreomMGHNpKwJCSYV5luAsKcxX2AWHR4KvB2hePTDsccKjwi%2FTvzRvi4dkz3YTfZ5Dt%2FXMJqicJ4MMGTqxzRA2tmps9D9c%2FAM%3D</w:t>
        </w:r>
      </w:hyperlink>
      <w:r>
        <w:rPr>
          <w:color w:val="000000"/>
        </w:rPr>
        <w:t xml:space="preserve">. Nutrient levels and cation composition, </w:t>
      </w:r>
      <w:r>
        <w:rPr>
          <w:color w:val="000000"/>
        </w:rPr>
        <w:lastRenderedPageBreak/>
        <w:t>especially elevated calcium and magnesium, match the characteristics of productive agricultural soils, where these base cations help maintain microbial habitat stability and cation exchange capacity, essential for nutrient cycling</w:t>
      </w:r>
      <w:hyperlink w:anchor="7dcc2d0202f91e7355b1b300c0ccadcd" w:history="1">
        <w:r>
          <w:rPr>
            <w:rStyle w:val="Hyperlink"/>
          </w:rPr>
          <w:t>(Hu et al., 2025)</w:t>
        </w:r>
        <w:r>
          <w:rPr>
            <w:vanish/>
          </w:rPr>
          <w:t>https://dummy-citation.com/citation?d=z%3ApVhNaCRFFJ7IungQREHwB6FcRFQyk2QySXa9uGs2a3bXn9WNZhERq7tfd9emuqqtqp7JrB529SSiIgh6c%2FEieNODGDz4dxDxqCjevHoSxAUhiH7V05OZyWZCdnOYJN31%2Bqvvfe97rzpzaaN2YyJ1yJ02G7WJ8zlP6MkiC8jwuVgbkQh1IMujeFkkqcTHWUSJ8gGhlX1%2Fo3ZDFAR6faN2IE7JB2w%2B8vfBL76u1WqRpNhtHj35%2Be9HcRU6nW8efar9mF%2Bijohcunl0SR35HZdDux64RsAzt%2F6GvweA2fGX9gB45fWP2DjA4MNRwE8uXgfDn%2F1VBfjVaMrZ23thuAvg07f%2FO8JQ%2FuFz2Q%2Bg%2FMwj9AEPtb%2F0a9cGePq%2BtzxGBfjtXz7HPuDif19c3h%2FDZ%2B782FdhoGHHF2w%2FgPkLoz58c59Feeb720aKoo%2Ftsyhn7%2Fl%2BuChL6pW9%2BPBK3Box9jCgvmEEUJ%2FzhK%2BV4a9DgD%2FO%2BSoMivLpnhi%2B%2Fq5v%2BZ0AV%2B7%2BZzTln67dhwD0lawA1y974w0Y5nspylUMB8Nh5YdwFLB5PePrt0GnPHv%2FzSMaqrf3C%2FjqN8Ott5Tdez2tNwz408RIyuq9fQI%2B9%2BDnI62nf9zTxN5m7GHAC3%2BO9vJr12ObXwZVfu7XQ74KAw3f2IuxNz%2B4PGKbIcDVW94d1fCN7Qzp5UI76h68ayUVJppkVgtpWWx0xhZ53YgwZTk3pBzLuCMjOFZdNxchl7KLe0I5fJiiwhkumdPMlqc1Frlc41IoYvkye%2BBskeeSMgBx02UrPJDEZh5sMGxrfYDhKiEW87Y2lkWiTcYSC3jY25MlRhe5nWSkUq5CoRKmEQIOQzGKXEebNRbqDFutC9dttbCBTqjuUjKTLAUxpkBU%2BHwsXjygAzAltZFbhIQnGVcR07kTGQBBC6n1ZegpY7uKTCKsqxSwDuIkwFcsE6HRgWcCUcA%2Fp1CQ7V2ApH9rmfRi4tFCcuMVyjQy6WfQYI%2FukgvrcAilrXAQxz9rrQ5FybsjXMoybZETOLK4UL3dtqt%2BQiSNUvRj0qW6gBjgDZlDbQzJ3nsVizRT2jGBfbss5IUt70%2F60C4rVITEEE%2F%2BmrW5LIjpGAjKCiz5wlxVEC8By%2BEo7fx6yTErpBN9onCJ6zbYYwRpvaiTKDd5t%2FVr5Lc4%2B9QTZXGG8u6XEo4krHjvIV9t4FXPEMKjcIjcgVJrusFOKuYKg9QqkQd8Y2iJ3ftqb69sfauatoAxUBcFgxBsG8fkewX0sM60QZ6uwGMxDwWSrKTspN5PPSvTaM0gUHOuwU7gUaGs8wEDNQY0drBHv4hwXOkHb3Y8Q3EsYEMVdn0Vyr1CbgKw82JuNUPYDdGqSQt7r0LuwJJpQ2GXctdH2q3Rtptzi0xlTqFC5GBxOciholHAgFeThA%2Bxl6ew%2ByjayeELcPgTMICfEJMgm0B2FHG4D0tW2Gp75QcV9SvkkI8vWMjByvEANbww7IZQ17VFZaveQXdvuRzPZ0VdeW0MWTyI7KjUfOD6PiYG1Xw1Cbfu9O1hh7bzQD1PeK%2BTagujVZm6h8KqZ4Bp7g1YzqZeN3g6IAYsCzgp1tDxPe2rqjdnS2KlOUhd6GYgCoptT2yhwSIvzUbtZsnDEiM6DvmT5nRzrj4znaH1%2FQlA5qSKtf%2BfjhcYLsZelBghgDmBjzbR4caRGRLWFjThZYXohxa9ROicavAsYTKm7H62NMgrbmtZZHRQ%2Bk2MCAog2Xf8Gah4RvgdxzwTshssF5Sgxio%2BQ0KSiIyWVLs6jp6HpkkvNFzdJW6VK1rrxaWrWsYJHhsXHC1i%2BPdig1NjIZPvLgVcatsLpOOCEj0WETR1xfKUoLFh58RW2HEUcExYuKwrdeicUN1iXFzwODj5sOhUMR5tKNt0GaeXxWcvBE%2Fh6BgX9vhWWHoOVkjSYqyM0cpWAdMVgb93KUywWuWdLHP1Mnw%2BFhTlrkDpNKEjeoGhiPCdw4Ew0mL9rpnpxsz07OEp25ptthbq3vzTzYX5mfqRSNhAXcRPqy6J5vx8s95qzc6lOie0OK2vrbZaM60js83Z%2BYXzZQOU%2FXO%2B6p%2F69OEsLwIpLGZsr4UmSnr5kxynE7Ez6OBYS6HX0OC6MCE9a%2BT6fOpcbh%2Bemup0Og1VRjYwcqbKtwtJdgeeDXyZktgiwNubz32tCl3B5QRUJx2fRubDtwmDRXYRK0OBUf5od1EXytUwacpjLqRo1Q%2FN8u4dx6q2fnGRI7zIxgzs%2FqlXvgBg9m5%2FZfGDaLeTJvL0bwoLaPBQXwMUqKFNMjW%2BRv8D</w:t>
        </w:r>
      </w:hyperlink>
      <w:r>
        <w:rPr>
          <w:color w:val="000000"/>
        </w:rPr>
        <w:t>. Heavy metal concentrations, which are below known phytotoxic thresholds, indicate minimal contamination; results observed at sites known to sustain healthy microbial functions under low metal stress. This low-level contamination may have stimulating effects on the high microbial activity and counts observed in the soil</w:t>
      </w:r>
      <w:hyperlink w:anchor="4039bb5b74a1b31dbf4be19ce6cc1505" w:history="1">
        <w:r>
          <w:rPr>
            <w:rStyle w:val="Hyperlink"/>
          </w:rPr>
          <w:t>(Memoli et al., 2018)</w:t>
        </w:r>
        <w:r>
          <w:rPr>
            <w:vanish/>
          </w:rPr>
          <w:t>https://dummy-citation.com/citation?d=z%3ApVdNjBtFFnaisFrtag%2B5LXvYLS272ol2xnZ7xp7xRqtkMvFkRsn8KOOEzUpIlKuru2umuqpTVe0ZRxwCXBAXOHBCCHFFEDgPSAjEDQHHCARCCCFxAW5ciEB81fbYnpAJIB9sdbdfffW9733vVfvx%2FdIDsdSMOm32S8e2Mxrz9TztcBMGQTWItBGxUCfSLIxWRJxIfJxFoCjWCK3sM%2Ful42Gno%2Ff2SyeihPuAO2d%2B3P7yZqlUCiWP3J2zD%2F2hSXDHnM7unF147gN%2Fw3dF6JI7Z9vXvnkUt2MbH78X4Pdv0jHAk395egzwjfW3xwAfWEt85C8BHmZ4CPD0J1%2BNA1555cuXJgM889DXZ8cAz5x869ekfB%2FAxfqT%2Fqchw1ffnDDlcx%2BfHC%2FKlZdvTcjw%2FGMvHmb46YSAy%2BTfnx8C%2FGHClC%2B8u%2B8pDX14%2B7bHnwBwNV4%2BxPDlz7yLJgC8%2BMe%2FHy7KCxMCXnrt9cNFed7bcgLA9cv%2FHTf2lVt%2FnbDKG9%2B9N86w0SoGx28D%2FNeHH40AN99%2FFddDwK13vr1bQ3491473TtxeVYSGofBDbZq4hBOa6lw5oiPCJU%2B5cpYIRawW0hJGFUl1KKJeEWozDEMqSSisM6KTexC%2FsD5HUsGM1iamStjUFsjCEK5u9FKsYYQyJ7rC9QhVIfAjmXPFeH9Zx2PGRu%2B6hEytUGVDSrgjVJanSa0azJ8m9Tq5Su31nN%2BYWcuNEdyNR1Qbp8qk3iCLjGkTChUTp8mOwEZ%2Bs35%2B06PskE7EDS5ljxge55I6pIZ8SUdoAE%2Bt5OPbzwEcokXIYJrU5xGZ8hHYFC%2FHiGM6y7iZJsJ4WVOqIAS3EBcEbgjFTk2ThHY9NUqYyZnP2GjJvdQpsuloCZHqCyQzmnFrOSSkBvvgUhWaIyWubI5nmaSoV5GaEil%2BkiLiUFyTOKcGv3FeVKtfDQY2znFDWI9hP78MkfUmHgvl8OmnHuUKFdKKShTpNNEAQPnuzpKGqcjT%2Ft4GzAQ7VdBUWs0MqfaZK%2B1Io4r8ulp2ua%2B5l1fqWDBQPtjOpwkw7zNGcwgW0hSm9RSHZkIlrCbUEal3ITRso5zpn8pl0gjIit7lXS%2B%2BT5qjtgyM4UoEwWHDHGDVsSJ7itYJKT2iMxoAFtzLZFkbcLWOYp9p8n%2BOkvXNQBo1MgWzzZ%2BCazJtHJJyCWhtdpAE2eVSzuwovatAfg%2ByDzb2qilf%2FGK%2F1LvN22DIc8Bq1AiNWU8xpRaJe537jSM4bu8lwaChEtEReLnpDYERnGBu%2BMLfJRnM3O%2FuxhyhRTQy6WDlXqYLg0G7hNNur3Am4vB6hI19W4kUmoyoFr8jXclhO9%2FNFP3tixWiIFJnpFEnUxcgsvfSoKOCZnMBHdVoeB6jSTQS4aDuo5HhBRw26kBWQrtUSNoR3q9lEu5qs7Nf%2BpOkrGif8Dxi41q1Vp%2BpLqS%2BxHA6N6sq0hipMc1doo29KUWaYZtlfLThQVBuznEnnOR7%2F2jDTFtMFFMKgvjbNowjSUt1fZd7EhG8naf8weOPZcMtLg3fMoUfv5cxCjimuYiEsW4TTx48cTGR9OC6LQv%2F%2BWEKQk%2F5ua9o6ldEEU2F7EVrPMVw4LHowotXKbQUNPSzo%2FTzYN7CuIVURWxLGYGReVTs9QvUsHdv0S9uPnuey5iGur8uWqJGanvUsqRlYRN4rR8tlovSW6aPWhBt%2Bik0CM%2B2MCapukHJkqR5eJ9M1sBusCheVIqS80dmEp2jRkjeD04ua9RfyiORozWK4%2Bsg2QsilwcsmAjx0v87Fmqx97egWsY%2Fg0Zlu2wZsnVcdcs4DRbK1bnybG0eR2BH3cS3VU%2BIanVuYabZaM6LYGG%2BORNUaw2GMbZdW6jWgtmgVptLdMYxW%2FnezsOjh2GWijCpNZvBbH2%2Btg0sVMsbd9tvNFOFd2fTLO9IYdHHfe8eK7LZaUnLuwJtde7qjuFW54bxK0buJYlzmf1PpRLiDw3cWmZWsDK3FUwHnNmcphXPLqgEjflGdbYSVLY2Vi%2F9s1ZtXWqttdbbuFq%2BvLjUXt1Y38L14vJya8k%2F3Fy51t5ob%2FxvdWm1fa2Mv0mxzTuul3ldd6jBCS95G7fH0MxcRxdx%2BI4%2F9nNC9hAroSUPz%2FWW%2FJn85wCMiqOY8fBhNLDtP14f9OAjW34oHDR8hHE%2BmHjF0CJZ0kNd%2FKzFCBgfS%2FcYnz1%2F%2FqBbMUr8ywiEsKGn%2F3uWQ7XKUDUtypg%2F0Oi%2Bxf8J</w:t>
        </w:r>
      </w:hyperlink>
      <w:r>
        <w:rPr>
          <w:color w:val="000000"/>
        </w:rPr>
        <w:t>. These findings reflect the hierarchical microbial structure described in microbially active soils across varied agroecosystems</w:t>
      </w:r>
      <w:hyperlink w:anchor="c07e0731395656763584d40a22cd7106" w:history="1">
        <w:r>
          <w:rPr>
            <w:rStyle w:val="Hyperlink"/>
          </w:rPr>
          <w:t>(Berg et al., 2020; Zhang et al., 2022)</w:t>
        </w:r>
        <w:r>
          <w:rPr>
            <w:vanish/>
          </w:rPr>
          <w:t>https://dummy-citation.com/citation?d=z%3ApVptiB3XeV6FKLap%2FaMtlNhK4eA4dG323r37odWunDraXUmWLG1itCtLsQnN3JkzM2d3Zs71fNzda1qqFFJKqdsfLalbEhok%2FzBtobjQFNFAP%2FLPULnQ%2FAqEGCchIYTgkBCZKIQ873vm8%2B4dezf7Q%2Fbee8%2B85z3P%2B3med%2F7k9tRxL9C2ler49tSx7YHlyU9mYV%2FG%2Fbl5V8fKU9EHw4HjXlCeH%2BBfmmCZ4ieUjpK%2FuT31Aaff13u3pz7o%2BpIW3PvE3d%2F69pmpqSknkG5678xHH5x7C5%2FsVA%2Funbny04%2Fg7ym5q5zUv3dmPf0Bfaxt%2BxuHFLi5%2BaioC8z%2B%2B7%2BOKPBfpz%2Fb0PCPvnw0gVu%2F2b3REPgyrTyKwMEifagE%2FjkhcBSBbz7ZMMrw00fU8Gp3lX6qjPJTgvQoAl9%2Buonh3x3xyFd%2FuEF%2BUmn44hE1fO7SZsMo2f%2BRwocTePEn%2F0sPGYGfuvv1hh9mPzqAH5554tYPSMQkgc8%2B%2F04Dw%2BH1g0TKL87f1yZw6%2FpWPfQ%2B%2FrW7h4%2BUS4%2F9FX2a6DZrZ79wAKOcuW97mfadpOG42wyDw2vYEDhm5c4vf5c%2Bvj%2BGxwnqSW7z2MpGHcOlP3t5TOCDkzX8Tk3D33uTATACn%2Fj%2BV%2BoC187psQTbIvC7bY7deet7Tcf%2B97HQO6zAXvAXzfT17pgfPihfzHQqR8fvXYxE6qtEhNqRwQz%2BlmIQ64GOqfYI7Yok1bZvJamyhRU5wpGpjEMVKf4GS22ZJDLBg1YqRBY5Mh6oSFj4MuwH2DAhIX3LxmPKCliGm0Ue%2FrR1GGaRShXWWLEUwlGxtNNgJGIZWKl0RKpFolVAD9isj2XHOqHNpHB1FgvL82LpYa1I1EsQI2hrkY4Gyqa9vFhLWyejJJVhV2zKAOJJDKqu8HWoPRnpLKlpV9MbouxYWnS2XZX6ODh%2FVJE3tmtXAEMcJkpjwDRTnK4uKRGOBmZ8pv4I50wGMk5ov0CFKuU6z8gAv3Jhie0M%2F0RnViEZxopsSaDWTYMtAr0rk5SVBQqhAlSloomY%2FnivO39ShOHjAIIwFVvPslxe2KfDqwgoAApqOsS2xkeYQkVukEnasVpYM%2B6MGFhwFTsLrBirCf86nIWJR11xPotxhDjUsZyZLIudIEljHXkQhR%2B0rRgJxr%2FhCMYmZOwgyE0PQMrjGsQqM7FLS%2BiJdaGlInYxDzrjN%2Bm68ArzvNFlJEIJXOHioYBdRJSlsZJRKuyRHZD9C4jJG%2BsQP1VBvOXLBPvGMskCFu7KWERyFwAl3OIR2trESwKLOiSXTIwnBjifMfBkmPAcHSaL%2B6ZB5MPKaKiAXAg9GXjoT2sJIi8m%2B2A9fiAU8UDKe9X8GOFSOBpAZkuJoRUoh36ltTj4Du%2Fel%2BmulLmD7dPN6FLEXGWvrjhrpZawhpYKrL4K4BIwNYSTwoSWwE4INgAzAAT4EnaH8pybkjRzRsK2ImxOcY8t8JOOoBMBNtCJQm8N4zLuIrJC4w8Gz%2Fzn0Wx9pXEQmwKMYg82prQ4nTwO6LAPbZTvxC5NkuCecPRAzorNbDAIWHMrhrPgFOTtXbGapT4yC6cC1c%2BMcTafP03f2HKQZgD0JbYZIkBiraMD7Y1m%2BOzChoHMb0hPIadKKxglCmYZqqT%2BLOm%2BGyNxwmfevvHXwtwh8IQTW27aFdcunIbWQ2QDBesWuWVMalc4uzreuT31kG%2F1EXUI2tGH3uHUUPNpBM5QOXCQAQQh2EbCpwJAmVNS6mQvgABKYnkRSIAOshRjZmu5h0rB%2BYNqCUk3jkPGuoCMNZQxVx2EfiwpNmEaEVj2Dq1HsYG%2FwBPIxZKEfSW3axWiHEPBqJGYO7l36pAcBucuUUAKxUkprhsJBcpABVP%2FJnt2HvRcdhxF8UzajBegPFMr8oKYyxhtzAmsJhZbDk3dq1W6%2FWmGQCHfVyYWEMY4jZKBw3G9qeFuMo7EOvSyjOsX%2BSbx9a6xRrNek3q1qlGVb0%2FDEIivSXW6jsKkfDLDSYtK61AGyPSkSD0GckvmaoR01to%2BtTIZkrextcdwLYqvdLjYVrV2f1GsTkcpBlvtL8e7kO8jCSPFvVcWpx8dhVwCTR8nMCNe%2Fh51lQ5elC0693unSkJ4v83rZ%2B8QqspVdlesa%2FhtXNTCMSVKHIBqe7vVaMkAohX3KZmgOnM4m7Qy8HWCfzFC%2B32qHXsnVXNBXVGtonKLw8FVq7rTqiu7M%2BZrHXuIXDvXwISMpqpVbQ4wVx0HIaKRrQJkSH5wIlqc09nzypArYGr6%2FkSfg4eiLFOWnCihFisT2rp93jBDRjCpiIOv2rJshIAjehsUngC9Frn3WFvjw1%2Baeidl21p2pF3xKYQrkJkRlI5MfVRBkFEeJ%2BOQP6AKo7pwI1wmy6SeLbkFOJS7jinLyaB0CFpAYWUoLANAvoXpquodWlkFKFVlAXwGCu8NAgpbtgPaJCgKO1CvHqNMoP7lOtcO1mhZC%2F33JaixPrd27%2Bii0nAGdNCeSG%2B%2BN3%2By01sJKcGgFMn4YuRq3Lk8iyt7cgPtOgXZefzTsbPUPdWTKRSWew%2BfR%2FMFiTGjspFXH6ru7lAHWSgfCsqUCEF%2FShc66lPwf9e1QsSPfJ5bNg%2BOGDmb%2BNuJdSCn9i%2FsX8jMKveaFW2r9nXX83X2pzPZtgi7ot3O113IVNs651K5zIWiepS1bnut2PZycQZbOaA0j9uOVnuPzPW6CwvLK7MuDNLvAvH57lxvYfnkwhKuRf3oBv6bRJ9Tc0tLi52F3vx1HzkESUDu7VxbXOit9BYX5k%2F1nEGoHH9hafHk%2FMrC4jYewRHJhNsksDM315lbDAdZP1AJ0ryx4jFWVFeG2pBI7zuoXYghW16Ng711P00HyenZ2d3d3a5bLFRRFylrNm%2F%2Fktn2E8yCxfWSrI8LKCGykz%2ByhY%2FH4KJSu5dgr%2FrXaHCQ37A2gONLZ220jqYzfSCNJTcYtnSuoUlL%2BNsPP5c7W3IZzThFw%2Fvm%2BeIC3XaFaW9kTKGvrs8Onel%2B9KjB3hMFSrAnI9MOSCv1ba0cgPl%2B5eFJvMfPfucjNd7jY%2F%2Fx1Yrdeup1t86yrt1dHmO37p8s8JEGkTJbUT1nTpxqsFs3p8do20ML%2FOZXG5TjrZu%2FloZE5xiBq%2F9wtaHhq58fI6MOK3DN%2BkZTQzHGHR1W4Ppjf9Cgvm%2B%2BdcQjr3%2F33Qb1fUuMEXqHFXj2tT9s0GU33xgjlg8r8NzOsQb1%2FerDY4Rei8ATdVL0lRcIJyPwYz9%2BoyHw1urBjtwqcPrd2cZM59WHjihw5gNrTbeZOxiGrQJnH9yisKkE7h7MberJ4eIrVytSdO6BzzT88NU%2FPphRWgXO%2F6XbCL1bbx8Mw1aBi7%2BtG1a%2B%2BY9H1PDkFzi9VBp%2B6WDJoVXgqRP%2F1Dzy0sHyYavA5S%2F%2FW8MPb31%2FbHxwWIGnP%2Fq9ZqT8%2FxExfPK1dxrJ4dbfHhHD3%2B%2F8vJmxHzgihk%2B9PtM88v8cPsE2BJ45caJhlJvfOnyCbQr8Jlm1juH4kYt5xGc3NDhsEODcvJfdh%2BGGcYmhZh8dz0vmlmnxhQP3JfQu5vZvaCpikTMbMtDqzOBOpWxf4BqHGwKuB7W7BTERFYGQ8l0jtKJRjcFMZDwE75KIF1aWPkP38KjDT1MTVe5G7Clf7Pj6RxcMXNZVYqiP6uKB5VC%2BdlNBr8v7ovOifgdXcLpXg9LG%2F5l0xdVE6P5QdYhrK5u1sfsarUTTCU7P3P75M1pdHLnfMcTc9HnldcViPyf%2FDZyDWIVQM1dY4xJUqttpMByioDgKLPvoYlvv8rj1p7iwCgU8Yx0SradBJZO9QBwy3UrLaCuiFDr1O%2BQ07wSzzNe34yGJ0Hsj0BSMQlZKKWn8XWJhhYshyJMgJPBQDsR%2BLpMIRlz%2FXswaN0kcwgf%2Fx7d%2BBcQqX%2BNLuEHFEIqFc0n4xCn4BBgpF0tx%2BU8rL0syDw04U3tMipao5zfYwq95Q2YdyfEdXJxikP%2FGIDBeTp8VdCZoYnxxDhcIn1kydmbETkWwGv%2Bt%2Bno%2BF%2BlEDptT68T%2FJ%2BCC4bl1DwatsApAHRwu3zZ%2FmMICxCxzbDhlhBUm%2FlJwDjkT0rh0D%2FhOjqiZYTbdsJJmNhfQ%2FI6Zk04RFubQxI28sLIMPFdhqgBhkbOp5R7FIIrQcsAIBHpQMMLsi5Vd4EBEIsd4TO6BfYZtqp1Zdm1TMpmVz51q9DDtAsSrdUVkVRw2e0OqNfRegd51OhuqJ2DISBP6BAvBjQyob9%2F4og233oGTAFfpeW%2Ff%2BJKYdnR9ZjNpI4M7%2BBLl8vjIzGrHDgOJlK4EfbY%2B8XjJqYOzCaQVTyL97z9BvCXzynVXw47kLVac504JHoPI2dgaKIfYHGxhVAA%2FJlyMtkDSWhxeRARxHMCNgQRAwDyWZCMUyfVsuooSr2nyBV3TMcEkKgcosf2twmcYdIyAeFc8r3cpPokKM6sRANCDfLtyeUORI5axN5yBhgk8HBAMAdM%2FmB2helDVoIm2C6qtsA6diNg38WgFRPdRsQGik3YiR%2BKYixJkZE7CUKL095ITHAOQBuwgKaBGV1yRNrQkUtMCdpFEEnXNeVD2mPAkJgy8KWX8xM6InTLDlAzkJM7nWYPS%2Fm5MiT7X%2B1xGhKsVdcAEOHiooKFCSRMrmskgBW4jNxuqOgT7wCxCrDNUcJjJw1AKVrX6GC2IxR7qDwwKpoTzeJGbaucDvBYB7WNIY7hgpslRlqEAFdjiICyAEk7pNXBD%2BBuCZ4cnyJwcypleksVDyTQpVdKoZCvJd8EXDkh%2FQJrzKNjFxlsHzDkCiywltysrYfFMOURnjpeGrDxzbe4I4kQ6BB3nKjwGzbATzQxzujHWRX40lAvnG%2BwZ4CSYvOVvTwAma8yxarD1aZJR5Bg%2BIlUP9k7DwtN3sQQVnABzyEnsWA32eWhezzgTX%2FPVAF4hkdsxiIT2cyvLyxCGBEkruMrgQPid0jqsEMA5KRLwez5FLvqiAmwqq%2FBt1HI%2FKstkLe%2BaQC9dHGclQFFEAAKfBSGWSBi3GCGT0vnEMHefipalypY3DzxvpChrYGAigSAY19PUygml0iTial5J%2BZFfYRmBCFQ2e0iljQkplauFwki1jvNwWgys8%2FPiQ1Fvq94uQjNGnmaeaZoeHlcPm3zOXvDoPFXF1EEOKZXvSDQGoAqhAWY%2FlE2rltDWHcrCPFSjyTMauMhWGEXXjiI7GKLAC3hGjpObGRKfrkaV5%2FRfbdpJaS5%2FawH5wKqnRaIR88xQditVe4NWyuUAzYfcJBzq%2BjIYUPXLh3qEIjwtdvIh9lhEmClnldU4rIpYyMcDuS0Q89TJ0Osp3JjwWA7cPbnZ%2BKCY5%2BqmktBDHNScpkw5Qf2LEnoxA0t3Ir2LSTM6Bs5VCFEavVClgqX5XY0iyU9%2BlcWcwpzRNHrNa0WC6kk60DsgKPRBILnWj7%2FlguU%2BJRD4q7I7TkxE%2BnhjUJZqKv4gkOEJPsYjqc9vDuQ9My1svl0y5u0h3dpIBF2j4HWCqPqueA6hpcVq3hxMnI8sj89Hjk%2Bej8g5DEhWJJPzxwx1vV2VpHwucn9jLvLKoxNGD2sSjRyPFPynrT54bNipZfjgXxn1rR1cN8x6eRb3G6ttsXceSYXePDBjjbPQGNmwbfE61edCsL%2BF17SSwBq2Ln8OSn%2FttcQs33tkA4rIzrrP1wlE97pvwT1CjBfaN8QNBKFtJKgtzMBg3PVu64RmHbnSLN6%2BrmhCE6ChbZeucfeBJmbedDlD69aG6Tmq%2B%2Fgtx%2BkSstGo1QLuOsorLhO8Nnga7Se9WREjBbc9sX3n7%2B%2F8852v3PnPNz%2Bfq3%2Fni3def%2FNzd%2F7lzuutu2COsgM%2FMMbAOMSxxOVWaCQmUV6uvnMZKLVieBk34vyYn5QBLvBtK%2B3LepRbZhUTGYTYe1hyAx1oibV8hl5Paj3YhuVlxdLtcyFucxnwbtVYbViZjdlJVFhnS4XiQisS3oa9HiC15lhcGbWPGd0NRWxFLnZNxZ5KW3EjQbnOGyA5fCS5Z1qVcDfREwAwo8NFDK1aDbeJMR%2FyDuN2wcp22gN%2FE5Ec7BRO6q3JFHHWLviKRu7JNbiQea3OKS8p6GoWhk9L0B0S75F6SODtp5OU6XPcnkErOPDbz6ezl3KH271iuRbask2N4pGAaELQUA%2FZemJ6BQBUw04RBN3NLl7Za7Wn3EQR8HMjrcXWtkx8candSNcsDwk%2BhxNp24dyrbKvWQEGrUaRVQs3abHRKllt0kt3KaVeg9EqgjNoTz%2BwbABGaaIqZrJ8XzlZnptbXppNFntzS8ud3nyv0%2Bstn0LFakyW53uLK535pbllO7S87YXeYm9%2B8eTSSq82aK6%2BlIMQe3inFuZXTs4v5GPn%2BaXeyaWlhbGxM3ZbwsR68tg5WlMa82axjs4E6bExdX62mKdW5XkbP0KXLn9w6L6Ih7rodGepLO%2FQnJmmri3HrUbQtanz3cmj5oc%2F9J3Jw%2BY38mHzalWy621tLDt4K5EEnRYa7UjZ%2FfFrTY0mh0fHH36kdXbccopfAQ%3D%3D</w:t>
        </w:r>
      </w:hyperlink>
      <w:r>
        <w:rPr>
          <w:color w:val="000000"/>
        </w:rPr>
        <w:t>.</w:t>
      </w:r>
    </w:p>
    <w:p w14:paraId="51CB0B4A" w14:textId="77777777" w:rsidR="009D1F61" w:rsidRDefault="00000000" w:rsidP="00331442">
      <w:pPr>
        <w:jc w:val="both"/>
      </w:pPr>
      <w:r>
        <w:rPr>
          <w:color w:val="000000"/>
        </w:rPr>
        <w:t xml:space="preserve">The median lethal concentration (LC₅₀) of Atrazine to </w:t>
      </w:r>
      <w:r>
        <w:rPr>
          <w:i/>
          <w:iCs/>
          <w:color w:val="000000"/>
        </w:rPr>
        <w:t xml:space="preserve">Helix </w:t>
      </w:r>
      <w:proofErr w:type="spellStart"/>
      <w:r>
        <w:rPr>
          <w:i/>
          <w:iCs/>
          <w:color w:val="000000"/>
        </w:rPr>
        <w:t>aspersa</w:t>
      </w:r>
      <w:proofErr w:type="spellEnd"/>
      <w:r>
        <w:rPr>
          <w:color w:val="000000"/>
        </w:rPr>
        <w:t xml:space="preserve"> indicates significant acute toxicity at higher exposure levels. Recent studies also report comparable sublethal impacts of Atrazine on freshwater molluscs</w:t>
      </w:r>
      <w:hyperlink w:anchor="074d0de591815e93a611526b6e033396" w:history="1">
        <w:r>
          <w:rPr>
            <w:rStyle w:val="Hyperlink"/>
          </w:rPr>
          <w:t>(Hadeed et al., 2022)</w:t>
        </w:r>
        <w:r>
          <w:rPr>
            <w:vanish/>
          </w:rPr>
          <w:t>https://dummy-citation.com/citation?d=z%3ApVe%2FbyRJFZ5lbxFCCAmiEwKpEIktzczO2Le2907o%2FHt9OtucvN5byKjuet1dnuqqvqrumWlHuwkERGSI6CRC%2FgILnSCDhIS%2F4AIyghPRBUvAV9Uzds%2Fac%2ByJwNZ0ddWr9773ve%2B9fnnVeZAqE%2FPS2KvOvYuCp3Ra5RHZZDgYrK%2BtJ8bKVOq38kIkRzLNFP5Kh60ynJJGu19ddb4hoshMrzpvJRn5Da%2Fe%2F4%2FZ%2BbzT6QhFSflq%2B%2FvHX77AU1ya4tV2%2F09v43eHJlKU2avtj1%2F%2B6Jd4bF19%2Fw6D2z9e%2FzdbYnD4h39%2B2jb418Tv%2FB8G4eFuy8Pv%2FeP0L9cG3%2F1sd8HDyR%2B9%2Fa9ncMHDn97%2F3YKHv%2F3XG4T8VQbf%2F%2BALb2Fu8Nl3vvw%2FPdz%2B2088aHODZ5%2F%2B3b9rG6RPKlNSfT%2FdpZhXjtjO%2BRmLTU6OSV0a%2FNQlj0s2kWXGOIus4YJZrlNiJmH8kwpsiZmxKdfS5a7LZMlirvHnjbkqUlRmXDFKEopLx2BSe5M2pZK5gmKJm7gW%2FjbQkyw1V5UZsYgyPpbGdllubJEZZdI67C2y2snmEU7kXNc3pkpGeiyt0TnhGqVqZknRmGv4ZXSMRdsQvB9CzbjDPaSZy8xEe%2Fd48BSnCmtEFZdyTO0L%2Ff1zx%2Frs0FhGU54XirqMx1VJeCyMqxAHbPkbFAn%2FU1DOXVwpqeVlcCBYSii%2FWQixKGKJNaljKz8nbYrKMcVpLN1q9%2FbmyjlS2HmglCyw6hNXKK55ybGdKyCKywGNzRkypWRZA2d2SZHlX%2Fz5M5exlX3kzSBYK81q8Ai5k5pHMmwOfpceDv%2FKa4OSlwQvEacRxnqSsNjyembtkE%2BNlvDZVg68qNwqWznnY7K8d0JamEvOkHau%2Bl22NhisvceOeI2ktdbW32OHqta6tTbE2i4hrJQA9s3yJsc6r0rpyrbZ4dZqnz2p9IhU8PppaQmkXBk%2B3hqsgpFpSq4Ev8AUnx4QghBH4JsRDaEMNtyiNhtLHralUgF0b9oTPaIWr4A2ABlzoAkQwtFmJ5x0FYFzYmLs6Krz3YxHDifisv7m83MYzchGMpaCwGDLL6UmJh1KQRAYjFICVUA1X43WINs6nZWiIp6wCZGYV1FsiTv%2FPramYLUkhVdwiqcWCVFlZVGN3G9CAcyvmoEwj7lVQR4Za6o0Q0q1SZIuS%2FGImyaI1jIhXZz5Yg63OyIvLWyCaNqw%2BHJDpaGQQqlZio0VCIlHBmvrgwEriqjPDlqV44G%2BA5M3L%2B87KltTindjj6jMC69qd%2BmXjlUlGgB5nUiX9cG%2BRs6mqMhIGpwAVgsRNon3Ts9PwfsC%2FbfgTUbYipCeeF5NUnBZoEAnXiw4ahqngSL4HTL1mtjtn%2B4wwXOPK14uWPWuN8xiIBO0yoMXiEmeogmYYiY%2BFM6Gg57g9YI4XYO6MujifZe9g7%2Bt8HsQrMwSg3J6DlEKWQ9lgzC9TPt%2FObcjeH%2FtsoRCzGPpMtxV9uZXQr%2FAYKTs5uLXMlYCHxJ9drQkRppmMpIea0EpaaiK%2F11WUQXRpAJtg5Ss8qaBaEIBONSQL2iJ32OUrezOt6sKBAJ9Vbi728Y%2F7OCQmhuLTasNoIyh8gYqeK3CPuk3W%2FvsWI7Qbx3iRX65coZBfxF67gmPGC0SDpAEmWmtq1gR%2BCRqxQCDdmiAHERbORfnqwwnZAhRPDv%2FiGkZj3oQUfSDCFchqyvnz04PjiHbziG1k0zGWSC7BwVO4VqPricO3GwoEaBZYFRgZ5CXa7Jcq8Isc322dyepW6mBDqDx1L7byFTLBDxARc6tB1iDsz1YlKEIXqfoncwE2TwZQcKmN3m96LOf%2BYaiVHfpmTeViAYESMXdUfXZeQYCea2QSF84X6mguaGltzjjVSHkD3meMQqN00wDErPnpv5njT83qkTYXT8iOQxhsB4cxcTR1h6UUAEyNu76c7c0zO%2F22b7W7ti4GnWU9xWPY8KEIPZBonRtsPaoN9jMw0AHnOwHOjEYI1N00Ayd%2FIVq7B3iD%2Br8uD8cUClLAHfQRpPtCCAJu8nY%2BBr6dnFt8Pj6g0P6LnDmwcG8CgisKz%2FCyg869379eaZ460mFjiajCgfdb%2Fx0q3nuTyUJhFHVyREXaG6UImQ9OjEZz3OAf9oXaIPUuX1gtAfzMlUAjJpTco9bJYkdLz2TPMXURXmzXTwF8st2ZnveAYMxL%2BzN9iWGLXa01HJ2UrmRgWQ0%2By9OMBn4E%2FtLT9CelXCmMf8hmoxmT5ZuljuRgJgpnjUH0qfccrazdH9%2BwrnKeJr1DjkacDgT7yi5bH96hsm2snLm%2FQHGxkzm7BfLHXpiUaMTN5ofeWIpNbZmJ8shmo92sxyf8RhKCoWeH8EAgC%2FTB7EwcvrD4QC8HG48vOijxrkY90HrNSzho3YADYr0C%2Fx3%2BqVc29jY6G1uPNrMTEHQW5qOnr%2BzPnj8aHN96%2FGGKHIpsvXN4draxnDzIlR7KJMLb683HPaGm4g8UijBeaXcC46PDpTDOI7RZ%2FfjkSVnKojsM6um3awsC%2Ffuw4fws4954uFXuZqi6su68DCMuEXZKjrH4z3PWpN8KLVoL1NQMexVse9%2Bu%2FUeenH5AHOt%2F15CMYrnGCpdWH17q6na6e8XyrYtgrf0PQha%2BDRbEOxWmwgzxZ0TymzqeW3Y8f1mrmA3HwXwB58VblX40L8VV18Xtf8C</w:t>
        </w:r>
      </w:hyperlink>
      <w:r>
        <w:rPr>
          <w:color w:val="000000"/>
        </w:rPr>
        <w:t xml:space="preserve">. For example, </w:t>
      </w:r>
      <w:proofErr w:type="gramStart"/>
      <w:r>
        <w:rPr>
          <w:color w:val="000000"/>
        </w:rPr>
        <w:t>while .</w:t>
      </w:r>
      <w:proofErr w:type="gramEnd"/>
      <w:r>
        <w:rPr>
          <w:color w:val="000000"/>
        </w:rPr>
        <w:t xml:space="preserve"> Although some studies have shown that environmentally relevant concentrations of Atrazine may not cause immediate mortality in aquatic snails, recent evidence suggests that such exposures can trigger oxidative stress and physiological disruption over time</w:t>
      </w:r>
      <w:hyperlink w:anchor="bea37722f18f603aac78f606bedc8662" w:history="1">
        <w:r>
          <w:rPr>
            <w:rStyle w:val="Hyperlink"/>
          </w:rPr>
          <w:t>(Semren et al., 2018)</w:t>
        </w:r>
        <w:r>
          <w:rPr>
            <w:vanish/>
          </w:rPr>
          <w:t>https://dummy-citation.com/citation?d=z%3A7VZNb9tGEFVSpO2p5%2FS2xwbQByU7rpWe0qYfQVokSFykx664Q3Ks5S6zH5JpoEDaHvqbfMit%2BV99u5Kc%2BCNAL7kZsAyRnNl5M%2B%2B9of48G3xSWcc1m8%2FoVbSB%2Bju%2FHzXshaMV01pIF7jUJDpnV6zICyl8bFvpemErERoSPkTFeOBI92xqYY2wJ6xk4FV66Mh7sWCLlCU5L77S3LESHbltFOKlUfjga7pjgiBz2rc4ko3oMoCopbsngsWdFfnAtQyUi1NVURl8wiKDk6dsKJ8WyC1iaHq9uUUnnfXRUToR38lxSyZIjVhupUZXyGliK40XXVxo9g0p4dmUJGbFtBiLx0bUZMhJPbz%2BBN%2FYNXJCI8P%2Fg9JaH3QvZO4gZxK7C2NQVBEQZHTD1L0UGtMkh0MCqg%2FF1VkOBYpdGM1KOsbxi37DVkcl2BoKTydDIWsaigYAuQS5orQoZwB%2Bc1JCr%2BLmKk14B30sfgH2y%2FyDGqtXqCRfRaSUwroaw%2FEt8HsRPVUxTQtjJeM5qwOyGLFRXMpgIY1UwqzYWbOdbWe1jucK4bazLqTBJFHsylfWKlE2kk0mScuFBWILfbYM9lIirn0KMfVGU1fkudPmmsDLij0voHhrwM6aQ%2FOOMlDQcN0IZT1Oek9zY%2FGc0uR0PxQ2OlE7Gzs4IgHeiULb9SglXhZEaaPG0LRP6lYRmK%2FgA%2BaX7IN0uRX0GQQcCoMq1NxKzvSXdAmheJ8uEtAuuSZzHHB6eS4OqDZVD3KZvJEkVgIPciRwtQs25%2BR7WiX1XwV32bxb1b7veeBPKrTRi8Dex42kRUlapzKJzgQUnR2B0dwVV0m0O5iXbdtaRRvPZfQNGbFIk2w7TSkkqRAFVlInsBv1E6xCLVttawhO73SbamKY6e9cX1xBCuDeN4nyaBSawINcKYXJ8uJQoQWzWR8wk9SQTA62AgEybxPhZUWwa8voUq2tW54NvmjkAjPEYTc792bn3uzcm517s3M%2F2s7VGHLysXoEbPWsmN0fTWctzBegYnKPTWXPBndqCZHAFq%2BRlSr%2BgI91qhgf7FEe4m0KHDSdjB66sgEhWZGPISEQw2jwp75mrKyM5SixnlrvK7g0tnT3%2B%2B684M82G%2FBscIs7bITnyShng9ugAG0%2Fw527baPl9usfOuU5hoQB7m%2FEKSPbFF9VsmXdVy%2BodahbA5LpjqQ5luLtG14t8QL59x%2FlrKbBNVlv30QDD%2BWs6kU8lUZ%2BMPYZnyaScyw91KBzEwou%2FNng01JZPvkSW3u2%2F%2FXhRHITRljih6OD%2BWhvOj1U7BfmNf578xcXRbGP6d%2Ff5%2BnhPkL2prOylfXx7HBven86258fNrYjIzHn5ct3N1XXsmpm8%2Fm82CuK48xHpvM4VyoORsW03b1Jtozeym3YRyR%2BdLHHFhBPcfISJsLKKOlXp0%2BeNCF0%2FsFkkmaMFscey9ooO4a0J8qujbZSdaqaHCMFoHzubnIwn8wm2zf1qJsW8zFiah8Xoe%2FS3JbbZ0e4vAU%2Fk62eYNe8f5tgK90jVpcMw3zbf5fWwN1v4PEKWxGGVi%2FxS8Fvbuut9H57es2qSurLm%2B3S0uHQP8Be2f6w2K7vFgp8typElV4HpvYqIf%2B8jJjJvd1MwOoY75TJB4n9Dw%3D%3D</w:t>
        </w:r>
      </w:hyperlink>
      <w:r>
        <w:rPr>
          <w:color w:val="000000"/>
        </w:rPr>
        <w:t xml:space="preserve">. For instance, </w:t>
      </w:r>
      <w:hyperlink w:anchor="695af457d88c1ea919f41b64faac947b" w:history="1">
        <w:r>
          <w:rPr>
            <w:rStyle w:val="Hyperlink"/>
          </w:rPr>
          <w:t>(Wu et al., 2020)</w:t>
        </w:r>
        <w:r>
          <w:rPr>
            <w:vanish/>
          </w:rPr>
          <w:t>https://dummy-citation.com/citation?d=z%3ApVhNbBxJFZ6sElj%2BLghBQEIpBJEckhnPTP5sLiT2BmKRXXtthywbRdqa7prpsqu7OlXVtjsSi3MIQggE2gPsXlCEcoELBxCSxQUkOHJYIS%2FaAxKKhOCAtFyQVoog%2B73qnnG3Y3sn64N%2Ful311Xvf9973anx3q3FsoHTAnTZbjSMrKR%2BIF7K4Jwzv9rWRA5kcjdOwf1UOIoUvZ7FK%2Bg1SJ%2Fb1z241ngl7Pb2x1TjajwStePTV%2Fw2e3Ww0GqESfffo0hc%2FPnkfT4HT6aNLC8%2FcowexLkMXPbo0%2B9Yn8dSoHHvkaQGDn75SA%2FwMGwcw%2Fe%2B%2BgH%2F8xaUq4IPXxgLcP8IXT%2F7791XAbfH3cQDld2jXnoDf%2FX8N8PAR%2FutL9KcdDhfpb08NSEEVgItzF%2BqiXKS%2FHQbwl1drgNt%2F%2FUBlswO49LGXibQh4Be%2BfZ1WPl3ZnPyd16EEVKoKOPPuzyjgQ4iy9Odf1TvlN2NFuD%2FgcusPNcDtNw8Z4fKP%2FlIrm%2B03qXHeFzB5lZbtCfiff9RUPnRhX188QXWyw%2BGrh3Sb67%2Fu1AC374%2FVy%2FsDfvNTM7VefsuOxeEBgNlyHTAep5cfn5eUVwk49%2FoLFEUBePJvv62KMv2DE2OJ8sPjxEwJuDTZoqcS8O2fVMvm9J2lcQr7cds37CjCV3YinPjnBULfSfnT47jN4%2B7bxMwIUBB8AXj6nT%2FVObw7Xh1%2BtAYYEaMFYOvdB7vsayyV1UdqKVcAO403ar384PvjmUM9wgqH3Xsv1Tn80O6yEbcz7UR%2B9OfLkbSMaTPgibQxw0OgtBUqZ0Yo7kTInGY2M30ZSK6YFaGMReLsGbYeCSMYk471MmP0umUyYS4SfjUPBFM8F4bxJGQBLhdZLCxLuXEyyJqEXB4asJg7J4zfPoJvscuWccRgM%2BXO0CExZc1YT7CBEdwhQLGRItIiwHJfs6cznOeRtQNgoONmSu%2BAONNiXJgMlyBtOYu4BZhIcEaqTZko0H3aco0YAGxiJT3Q30LZ7yPjxDGL9ZbpPnJzkdGpHgjKI9VKZQ7vQOjNbucWUSSDCPmtInWkgBM5c8ICIRWBxEtcykax44wNkOxwLrdWWFsSMSN1EIlYBqC%2FJ3XMzSqxxUE%2B9KU4eZoqWSQQClDZjGWCkCGFCPQIFfHGPMlJDMexwgdK6pTMDihPiYTpXohfgEYQ4E4YlctkUATIYhFEvlh8mt1bLbZMJ5EYGWIiWm5noDAYVZWlyIZqkySFIqW6XvgUcojmHCXoDE8siEFZ4FKKRTxo%2Buspm5At0TrDYp3ojRyc%2BwWnhjSv60yFTAnuiaDQWWp0mAUeBmERkhez2D0SYWJxfukUUjlbpkKySqQa4iezuXUCfZEEKguxeI0bqTPLRHInp4q2GY4mZW2WCkO7BCrFxigEK9jE0vxzowBxy%2BYqv4NNFBxkWIOOZWyV3YaHXuuJ%2BS57%2BL3XTlE2UR4aqjKGVc1i2cTV7nwX2L6%2FCNmfN3t5eXSeEUgep9FCAsHPIsE%2Bl2ooVSXVUPRR7xSeRnRZgkoCYYyBnmaMIvVuEPIYLoJKykdUo2ISCX8gDI%2FlSWbWQd%2BSIPCjZCpDir9cgrwpdEjkBDUqNz2d5IpaollKf7N7DpKE69qsbjU%2BEfEeIBFRfuydy%2BWvbIYHqwPjm35p6B2snyWF6L7hLJogCblBn2BVNVirMwOfAg3OyF7mckWWMbE8s3zKr8XbNBIIqni9gNf4ZVjdgC2Ko%2BwiMEJ%2BhBNTpAReoSHsAV7FEEoPb6BKpSdoU5ShJVkkuHJRoY3NegE8hTql2rkjg4M1aDgxSYE4AccQl1chgaqWzQileJzzqtUhApGsSaASBFeFuYs14gDcBHhpik%2BAbB2USRSmdXLgD%2FGejqlgXRbmLfY8GlamCv2ehKmGSSAPOBcCR%2BeObOqmcBGaDPprk%2FVl0mTzrBkKvM2LMr2y6PvioJ7ZXdNPFAr5GNnmxMLsbKHXHiU2cW1h%2FtStUk34SgBJnUaUqF54PBKmISY2yBBF2GKLpSVVuK2MJWoLeIxMqLFqvVPawcPNN5g3GUwNNBIdW5gcoez0RtlE5byMRIoP7ClPAhSLnyv1ScX76ETWnWqGKLGhz2JA7s4IDPUlpHkCoDIoKS%2BKihIjrYfDr8Vmv7XA4DBl1CTQMJO8IMkPwx7wi6yU5PRQmUg0zEY1uzPCKJ696cRwm8Uw4FR8YAUsROtIkSewSYuaM5CIKwocLKFF4EdDL0ffGQ2xI8wJjWGHMGyODhO0rwgQTasVppXjPa383SbZk9jpdo3Y2nViV7eVpV7rGYqm2263WTKYHMCsRlPfT1WOOwNsqqcd%2BXFlHpX1SqbuYx56FjghG8h68naGIoLjU91zq2MoUMwi2irjOEPa5ZviLFxeKLqRBI6bgfCVt1fa75svtCJFp9so19xLRTOQBhbaA%2BcMp7f216KQJWK9ejeo3huqUe1jZlUH3u29LcUDDDJsew5rB91293yz0479RQZta%2BaSvqb%2FfPEMtmPsppIoqsB9DV%2FahBdbUx0hrc3EEdSEU2Lj81eqbsiWcAuAoJZdyXCZE%2F01rXBZPc4UHeDDAug9uoInPBb42e%2FDLlTeu5EJujQl0TVkqfCFIa1E48mV4SxSKdaGtHa%2FdcHLURVyRXI9BuTqS1j3cPPHCwcg967J8vwXJej1qwIZ4v9%2Fx4JQy43PddqtTmfqwqTtdM%2B2u812t91st89ePNvM4cy9ZBPfbXJXdjtol3MXO%2BcDONjK2fa59tT0NLZEIA5tKzZWb%2By8XPGse9FWIBoQLzbbU3Ga9dCP%2BPRQ6HbEh7pxYik1SACVWepxegbFhuaw7Hm6fKzSNKF5fd2oja9HzqX2K5OTmGvCq9ay5XYKpIU75iRdEFYn8d%2FOyf1zG2Dcujwlolb9RxMllvF4BEUudP8bMPrqa1gJZifWKlSyCGfyWbolfRj3HP%2FBIBDhDVxVrH97fKEstvtzGFMDeAWKvG6KI%2BukVkrRVqX30gV56ImjthmaI9nn%2FpO%2B4vQHNVTNhEMi4NkgA61fHtKKkmjhpnIAc%2B8B</w:t>
        </w:r>
      </w:hyperlink>
      <w:r>
        <w:rPr>
          <w:color w:val="000000"/>
        </w:rPr>
        <w:t xml:space="preserve"> discusses how the failure of antioxidant </w:t>
      </w:r>
      <w:proofErr w:type="spellStart"/>
      <w:r>
        <w:rPr>
          <w:color w:val="000000"/>
        </w:rPr>
        <w:t>defenses</w:t>
      </w:r>
      <w:proofErr w:type="spellEnd"/>
      <w:r>
        <w:rPr>
          <w:color w:val="000000"/>
        </w:rPr>
        <w:t xml:space="preserve"> may lead to oxidative stress in aquatic organisms. Furthermore, </w:t>
      </w:r>
      <w:hyperlink w:anchor="e9f5a82c09f847931d2f209adb79b3b8" w:history="1">
        <w:r>
          <w:rPr>
            <w:rStyle w:val="Hyperlink"/>
          </w:rPr>
          <w:t>Iummato et al. (2018)</w:t>
        </w:r>
        <w:r>
          <w:rPr>
            <w:vanish/>
          </w:rPr>
          <w:t>https://dummy-citation.com/citation?d=z%3ApVdNbCRHFR6jgBIJxAFl8UYcCkHQWnjaM%2BPxeAYJdsfjgThrbxbbYRGXdXVXdXfZ1VWT6uoZTw5ogwQR3LghTkQcUZQDB2Qh8SMD4YQUEAckDvxdiTZKLpEjbb7qnt9NHDmx5LGmqut9773ve%2B9VzwsnpUejIM7U0RY7%2FmKLVZq8ycNyLeCVcj1gvNyqrYXlZiVcD1nYqtK1RiR1QK02J6WFwx6N%2BK0s8bnxG61QGxEJ9UjSY%2BFTIoolPjbFMZFbCK3SH5%2BUPsZ8Xx%2BflB4JY%2B4OnF1%2F443%2F%2FqtUKjHJQ3t2o%2F3p19wqsLp3dmNr97c3sOADwWx8dmPnT%2BYeljNuSxcB%2FPvvpoD%2F7%2BD7DOB9h38JwKd%2F8E%2B3mAC%2B2ji4HODNzx84hGmEP3UBXwbw1%2F8jc4A%2F%2BdnlALef%2Fe4ch69%2BzT27DOD9BRfSBPCPDz6Sys6oANz50fevP3jwYAy49sN%2FX0SUt5bednmNAK%2B2%2FzqN8PYTOfoY8Av%2FeesiZfPm%2FQMHMQIkr73idBgB%2FuFwtmw2H%2Fu2e%2FbhAK%2B2%2F%2BbiLQC%2FufjOLIfdK5905FwGMLk6G2H3SvMiZfNBgL%2F%2FxSyH3c8uXkTlhwFfcUoWgLuP%2F3kO8MpXLwt4%2BJ3Z1uteefGjcDgL%2BJvBHODjr3%2F4spkD3PvMY%2FMRHjwsCn8u05YPP15uk1RESoQioMoSoQLDacrJtfXak0tYEhtz8o29fUIDK%2FrCDglVjNA5I8bHRrXG1KjT3ZsajfaSLE25TEnIGdGKRHLYi3VKLSf8uKdT7FIZUU5wRZBakzA6TMmAG060n3LT58wj%2B4Bpb9%2BeQg9o6qIpj8ORzlsREOAsqVXzkMdwOiRMcEvNsPCZAf1avflkfghJLxPD0x536FwOlzwk%2FxQJtLIcmboznfb%2BMtl7ZjNftIO4Ow5F8BTQjChtSRrrAQ4MsRGGSEAFeOhzO%2BC8YGKSL0AUqBivfdGnss9Tj9zSRB8LhguxzxF6Au2I1USKnmBpbtczkFCodJkkyBaJAC4l%2BxvtXTCP5wE1vlZDOQl%2FNrPlnLgxr04g9xR3b%2B5lRpmH2SokmGj%2Bfmo7525zrEPqTuVF5CibiucYm41g23PK20xxgSWDnPBvY4j4HsnmYwQTfX0EtATHfC1FgEKy3BRvE05SiWOMDISNEboFsa5Y3FOYBDFVIk3AedUjW8oazTIEiGcu0wEsDfE1QsjzaJsIXApFCUUcoxSFQjQTERFcyvtwLwmNjA5insCbhIP9WCDlIMgMJMSfkyZFL7oCcaU5Kg2qUud%2BtAEMEWTSZg4wNBBTIKKiDwE%2FgHNiUWM5h84ggy55nRe1h7rFsfIkDHcMEYyfTLF7xgnjSvVaWzonIvdym6so48ukVqk00BDt2ZRQZAqFDV%2BpNcLPHMuAn3H9XAaeAySa9KixCfYAX5AaaJklapmkGepSMZi6IyKQHJqBSJGfXkZTaEuXyLU71AVNOFCll8ezujQuNtf1TvHAFio7HnI7xwSVEgzpXoxAJJSRAEXNQGbHHWXQCpRxxBwgOo2l62BTNLzUjl9uEo%2FwNNCGn13%2F1V%2F%2Bkb8rpXYo%2BQIbaHN0UvqUpAG4Q9ybyC6qVWpr5Uorcc1HheJmS4Ua8zuimQV2ek8KMBLYr%2BOjDVv38EpthZX8%2BEvdQLsSBT06Krqpq%2FoCwjs%2BoNMeDbkdhn1HH1%2F8eW%2FiYnvyyi3crN%2BlKuK4OlDsJrW3sbPYjSUdfb0pnV0uGsJ50V0xiibufBjSRMhhtJUlCfB4hImh9A41py9TssNNwBlPmdGS5xfTvFW8R30orkRhluxxHx7F6UuKdL3zjA474E642HlhJrczdEpH0owJfZ5V1EEhnv5SFSa9NjOCoi87BsWIBj3fjIJFNsor3ET3c3ne4XAH40TR4uzxEyMSGJekQw30ILunL2sMfn6ut6ez05cMf37E4ukL0ERSssEpuH%2B%2BsAow0k9KnwiYFsefq1a8aqXaWDn0eKC56nu1SrXpVVAg9QbazFf38D9V3xOVan293FirropqpVUp1%2BrVeoBr4rDWbNYbzVq9Uos1%2BoqipI7uTDdZLxEsXq1U6tVqrXkIrKwo2UPnqFxZL9eqSS%2FzpUjjcdUu5EkddSXmmhs%2BG986wnWhM5TCs0Ye92Jre%2BlXVlaM8FBUGCHWi3Tfo2bFFxaTgdNkpVpdXW2sNBut9eZKbaXzzK2tTnf%2F7iZ%2BC0KNu7eM9lrU98NGtV5u0FX8rOR1v9xaD1i5vsZaSLNRX1tr3m17%2BN0YpZlvhz1H89FoZOxjuYCpyXV4E5fH7DYuBSmHOCsDgQG1MezoTNnFLyOu0eXM7qCF02K7PmrDgw0xmXOTyzF%2FgXCzJdKSQf3ijYZsi0SBa4Pqm9xgGSaamdxcD7%2FruOvaZfAoJrE8Xh4TiArwtIlWPqgI3gU%3D</w:t>
        </w:r>
      </w:hyperlink>
      <w:r>
        <w:rPr>
          <w:color w:val="000000"/>
        </w:rPr>
        <w:t xml:space="preserve"> observed metabolic alterations in freshwater mussels exposed to glyphosate. Recent studies indicate that the route of exposure strongly influences the toxicity of pesticides</w:t>
      </w:r>
      <w:hyperlink w:anchor="cb5647183b91d997a90610a39f66eea1" w:history="1">
        <w:r>
          <w:rPr>
            <w:rStyle w:val="Hyperlink"/>
          </w:rPr>
          <w:t>(Bürger et al., 2025)</w:t>
        </w:r>
        <w:r>
          <w:rPr>
            <w:vanish/>
          </w:rPr>
          <w:t>https://dummy-citation.com/citation?d=z%3A7VfLbhtHEJQT5HEKkEMA%2B5RBDokNiBRJibacGA7kVxDYTgybgnMd7jR325ydWc%2FMkuLNTj4hX6MgN%2F9JviTVsyQlC%2FEhdx304O5Md3V1Vbf09nTn45kPXLL7jF63PtHq0y%2BfUUxcsCGlm8ZyoRN7FxU7pcvARWtTG7RVVjsTC91QVI2PpCKXjmc47pIKHOdRJa%2Bcd0mHkpLSIVXBN95Edf2XyVG8sauWFRcVXpBacEJEIFG1Ztxgx65UVHjrS0TEq9YVHYzYyh3JaS27jE0BiQKOpAqkC9721cPZjHBhQRkKzkeKsSZA44gcqK2otLXkUHmppiuVKjzydWPphNNK%2BZlKFAJiBkZ6OkGJbaANZgSpuKzsSi00DkwtuAIGWiBDzwTkdX117CzPKfP2ugXQQkVKCfnirhIGJCoFJldQRt9xvkkFRMG3ZaVqEM7ApfAxEe5uGPALCrEJerWLHKUE8G5XgUNhQRepryYebxKVQSf0R65tg23TdFHlnFdatdJCMmoWdE1LH%2Ba7wIFqY2rNSjXSQDCJYhEgkYvCPi4Ke8mfcOHn7AiV9LpPZuV0jcKvTx5PHtzIHCWuqQdivV0gz70WjQo%2FHU9eqNobsoik0UbEn67lh0MZ2TR4bVTQqFS6kwlccqoAX8WGCqbYyz8hQaWNblKn2776tYWscvAzzCboJRh0KIldIYxE1OxrVfMJ5L2uRpQgmKEUj%2BOiT3aGF2xaEUXWWKc5nradPLMMuhdrKiBVCqoFHoghs70rRCKISG%2FWwhd4z8BVVpCn9EHojO00Ji3aWIdbc4mCXgIe2i3M4GBXWhslWuUdraZE6vodvnvUiNYJNgHF%2Bs4e372hjE4615F8k40leL3YeSOIbNuZOAeQxEOiSiQ9qj0SSMLzz9dAIDsHMyA74lQ8ZQFnWHorntsyMaW0JBLJXMh%2BftJkk0GiMAAqOYuHWRK5ZqvDmpJ1y7L4ln6t5ExPwOioYfeOoY0HpPGQTjaCCLKjbq19cgsO3smMAJ6LUwM2k5I7dhB7iore6%2BkG0u66H3CRNdC5pYUMxK3dYkEOI8PjoBQPDl3iWTd%2Fao8Rtr2yNqY0izQQbwUBX4sll2zRNZeHT%2B0Rmh3O1kI8XCAq79UazJdiYfQBQ45chQAXRmutnS4pV5nnaMAWyLNWSvIhxb6RQXC680WlgUCIuFwSl0vicklcLonLJXG5JDZLwuoClUcyDzBHytFgNO4NR3WeMqAh%2FIy8pzuflLqFG0N8Y7luwNYjfPlgDvvDQ%2BIYW7r6NUSQMGC%2Fefge1y%2FgXdH5t2pCReUE2Gq28Lat6eoPzTbNEw99%2BHC6c4UbAH4uk%2BB05yP4PcT0DE%2Bu%2FfhXZfXm93d2a0yA%2BgMnDfwjN2Yz%2BMiuynvv%2FsZmClTKuJ4%2FIQ92glHHfYMVQjv%2FceNFUWEPzbsb5SOLf69A2QdO0yNfzOP67BGOkY7dWTgngrDCeF4OB%2F3hYDTc0zA2rNQfF4P926Ox4Th1b%2FA9ut95MBju927v3%2FyNh%2BPRoDc%2BHA8r36D14HL%2B8uBgOLp1OL65PzZNzaY6GNzaH%2BwfHLzKpOeevco9G9zqjW7XTTu1HCGIrm1XMuqTa0c1VpHM3fsVYcpIWzz6klZzmdVtKOg42JPvqpSa%2BP3eHqD3fSj3PgC%2FhFjTqhE25lj8XFia4OMVqIr87DGG6PnHBBXYFc5aTFwy91b3fevSTgqU50dB5iU2UcxPv1pr6O39zoRGPRW%2FiaZh7aeb9fZw47fnZy6anFvoR2d%2FjRznySn%2Bm5zfYP%2B8%2BbP7vNlh51ZVTmmkwM%2BL9n%2FQ8i8%3D</w:t>
        </w:r>
      </w:hyperlink>
      <w:r>
        <w:rPr>
          <w:color w:val="000000"/>
        </w:rPr>
        <w:t xml:space="preserve">. For instance, </w:t>
      </w:r>
      <w:hyperlink w:anchor="f3c04d21f4296cd635d348f109c1ca27" w:history="1">
        <w:r>
          <w:rPr>
            <w:rStyle w:val="Hyperlink"/>
          </w:rPr>
          <w:t>Vink et al. (1995)</w:t>
        </w:r>
        <w:r>
          <w:rPr>
            <w:vanish/>
          </w:rPr>
          <w:t>https://dummy-citation.com/citation?d=z%3A7VfPb%2BNEFG4RaLnAAXGA25xWWyl17aRpAyuEdru7Yn%2By2q3oeeJ5tqcZz5iZcVNzWjjwP1VC4swF8f9w4ZtxkqbdFsQ9lZrY4%2Ffze997z%2Fn5YuujwlhZSn2HfmyNp%2B7O5MHUectzz04q0oyKgnLvmClYQ87LXApyjFtiHrckmNFMG%2B25Lckzqc%2FIeppajqcD5tpoyxOj88a4FlrSsdo4rzrWOhIJe2NaiAbzbeP5jK45mnbM8cYab01TyfyqA1bzbsAqMyccDhhXzjCT561lvrKmLSt8EyuMEQhF6hwx415J78kyxTt8zqVSbBofSAt7Ukd55kxrc0rYcUUOMdmSa%2BlqB%2BUz5KBZrgzO85A4kJpL3%2FtyRipkbQsOZ1yLK86iNUa58eYc6fku5Bq01vMlbepODVjO7dQUreUaicGQkPwnCaDZnLuIAlRKgCBCNJw5srKHEUjjuibtXe9w5S1oLooGHUW%2B4iqkkEMWeEqjHbuniAupS2ixF0fjlAU%2Fdf9wp48ERb1Zd01Vm10zRUxnJHZ7Bl0VZvdeff%2F4aGfdeiBSac3cVwl7aIDnJXn6%2FAkc6y6JNCd8BA4Ff3TGVRtEA5yBXyy3EpgiyJUCGAEB0J0RzysA7FDfJ7iNBV%2BKDaKJvKI6aLvejUEKtocNIbahrsRRggGbV1L1Rm%2FgerAUAF%2FjTzQ3owZnmnlLsYIOCSbs8WXhejFhNNJcUit0QExIOtMg4NcGBFUK0EXiNLYFPVyLooecOGiNJqB1ct3Yj4EUtcHFCjCUVr8Hd0%2BlyIgANRzeA%2FH7ZigBjUTYcGWZgFLNXaRiBDZAg67YiSD9J70Dopg6tTwHLjH3vn0jIHd53dwv%2Ff1RNkjTdMD2J%2BNe%2B3A%2Fycbsz9%2FKvXLALLkGhENsCtMhPL5uMuDNssFwmA3YMEv28RVORkk6uslIwt6uKL8ah5pNjegWjO3DKyIz1tLsWc6%2BgS%2FE25veudrNS4mYmvL3J8lhthIswui4XokBm7YeDbYKZc03%2BBnZi%2BEVplY%2FXS4Hwi08Rb%2BhF%2BIkD%2FJIvVUebJGY5y72rWpF6LOK%2B6XF9ZaCEFyBBXgs68ZYz8OsDc4EIYVa6jAWriEI3s3B3%2FB9OVFu3ja3r5iQcWBXT89%2FbXxBDWmBCRtmyyLV2ogIU6AyjhaALZs%2FVmohGYeoUabsTeNBYyQQBToOMaIDEnI5%2Bujvb3%2F%2F%2FLMt%2FCH8TtG2mBs7u9j6pOKLtbrZsJsNu9mwmw272bCbDbvZsP9rwyqe5%2BQA5CNEVg7T4Xg3y%2Bq4IqQm%2B1QXBj9oS976ylj3TgEq%2BH2Cf2PFKJmMSTrX0h3y0is6v%2FtYn0lrdCgcXB4vA%2BhiWEchRtSxK86Mamv6tFk5emFyDpMXW9uy4SW94bqki60PZCGt869x8uWHf1SKL6%2F%2FUkHTSrAKYf0KSaF5HTSKgtdSdeIHqWdUohU0Pcfi18IaRVvvCxbHBtVH7lH0gTbt7DbR8jvQgmvXy5YvObf%2BlG6Trt6CsFzBaBSfvQIS7GWCSXRrLOIRzeXC%2BlMQiWt%2Ba9gPSfD2vBcuniXPkpdJLwv2OZQsF0aeZWmSpelwj3yejA%2BGabafHmZjId1Uv8On07%2FI9HCU7h4ODyYyG4%2BHu5ODbJLXvDwdppODdDga7Y8rAw4ikfPZyeXhaSx7ZM1p9tVX4930cDfN6gZNIV21JM52jJpOsG66Eg3juybkMANwMld0jNttcJhM8VxqsX6M8aFUB1mFtwASD7sjzAr%2FxQjbJ2w1tKo4wVug6493FvQToaHWuvlymKw3VZysYcXFvb%2F%2BsnG1g7Gir77GxR3mRMjiY7ywqfO7lfeN%2B3pvD2An2Jd7NwP%2BDw%3D%3D</w:t>
        </w:r>
      </w:hyperlink>
      <w:r>
        <w:rPr>
          <w:color w:val="000000"/>
        </w:rPr>
        <w:t xml:space="preserve"> reported that for some pesticides, soil-contact exposure resulted in higher bioavailability and toxicity to invertebrates than dietary routes in which metabolic detoxification reduces acute effects. This may explain the lower lethality observed in ingestion-based studies compared to direct soil contact. Furthermore, co-exposure of Atrazine with organophosphate insecticides significantly intensified toxicity due to the inhibition of detoxification enzymes and elevated oxidative stress</w:t>
      </w:r>
      <w:hyperlink w:anchor="ab438e8c49537e25a2ba05ef66e2b7ef" w:history="1">
        <w:r>
          <w:rPr>
            <w:rStyle w:val="Hyperlink"/>
          </w:rPr>
          <w:t>(Shukla et al., 2017)</w:t>
        </w:r>
        <w:r>
          <w:rPr>
            <w:vanish/>
          </w:rPr>
          <w:t>https://dummy-citation.com/citation?d=z%3A7VXLbhtHEKQT53HK2QFymFNAwRS1pE3JDgwDtpSHEhs2JCUGcpvd7d0ZcXZmPQ%2BS65MN5CPyK%2FqrHPIBqZkVRdqxA%2BTmgwA9lsOe6u7q6to3F4NPK2NlLfUX9DIYT91nf54JYrUl7sl5VgiuFOmamNSM9EJaoxvSnivmzUoWRpm6Y9LhEwu6JOs81yXzwKCqosI7ZirWyJUPlvor0neMu3fAWqNUwFXEF2aXVhK5IxCthMwl6jBNLjXhoEcdszMR3IjhKyTXVJBz3HaxDFpwFVB9KuI9mZ0pJL4u2VJ6wfzSMGNZYxC0zix1HRO2Bh0h03MQgcslOcYRtcST6lhwgEC6wmhvDTpA1CjmRA5EhVy%2BDNKb4CJzmqcqYketJYee4ymofYeGlFXjeTstww1ZBtTHNcuJleRBAbIniMZEqoC0uRsp38JNaStjSuZ40yoC9nEjS14o01pZsuHx06MdNtRkNAaK7o0sd0aslIVQxi6MY8Oj40NEGFtzbVphXCvA4E4C5t7yVxgNGz46%2Bx1HkWxh6W2eIjmXFEJvsdSGLMag4tex10tSlsbO0VahQgyNA8S8MNrURuxqoympS7kALcCgVWtc5BfH6IUNpwfjGWvqvSdoA6Wz4eTqYywZhbJhdqc%2FSidgslcY99LoiNP3MDxM1EzujA9m7DaLsLfZ5BI85urxv42QozinFuXJBfreiZiebJOKffL82Yj9ePpTUst6JFC7hCxL%2FMe4XnVNFFi8Lr3E49CFlmwMwMila7AejkYQAYSCpwRRx6XxAjUTOE7B%2BCrlfkW55ZV0gg0fyIdHXEuDAq00D%2FbkQxCRSMNo4jymd5kYM%2FSKxTehXW%2BdY0LWItqAki2Ess6QOPICajQYkd0aBea9xk1IGO2pbKTiVnVpObYbBC%2Fvo2BJmOQ6MRrZlJUW1lIZCuBvsTlmJ%2BSCQr2xEhAUJciBuNYF1nRtBEi6JcaSMCvTOuY6TbaOu19ciWwpsAF9OckekodcSqVNOjfvVWGarXIGq25irRvzWe%2F8ijfJzLx0LqAMixmCx0SpI9VrCLaEdbu6PC7jclwMvhI8d9i5wl979bVXX3v1tVdfe%2FVH59WKF9HlqDxCg%2FU0m%2B7vZneaSAEHmD3WlbkY3Kx58MJY91pJFFn4H%2FBrbAkBZ%2BSlV2TPNr59Qq2x3lULo0JDN9srsCcGLBp7MbghW17TCccb4GLwiawkDP45Tm79JSDC%2FvFvlTxQ5gFX3B%2BIKzVvYnxVoVHVVacizBWnGl3p%2BpQHy3NRwjRp8O9g8bPgDd4Esg8XJ0Sas8Pxh%2BKrIy5kdwlOTyG4D4bWj2pul1xdxp7wuZB9LNTgLgafF6WRq28m2XiSTfb3zsfg3lI7nmaTg3E2G2fZFIuY69f46%2FQbOZ1O7u4ezLKsaHh9Pt2fzLJ7B%2FuTA2Fa1KxoNX%2BxOSxbeK6Y3rs%2Fu79%2Fd3aeJp9GeR7hd7MJfpo25Aoru57mjdTA%2FHvlaCEhkMe%2FzeExJtiCfrVqNRLet%2B67vT2UPYZa9v6r8tqF3HdtpGPOLXSu6Awfb0TvMNUvEPL2McFkVIdYBe1R%2Bbg7xMvQ31p4SxUWQmMDX8CrXX%2F8dS%2Bt1epZbw8Qr9TnAe%2Fjgif%2Fz6P2rzYlLsjmhb5l3m%2B9gkb9AmzeN%2BkeuMn7t%2BK2x5Wxsy%2BL8H9J%2BQc%3D</w:t>
        </w:r>
      </w:hyperlink>
      <w:r>
        <w:rPr>
          <w:color w:val="000000"/>
        </w:rPr>
        <w:t xml:space="preserve">, reinforcing that combined exposures present greater ecological risks than single compounds. Their findings echo the broader theme of the study and suggest that Atrazine could potentiate organophosphate insecticide toxicity via a synergistic effect. </w:t>
      </w:r>
    </w:p>
    <w:p w14:paraId="757CFFAE" w14:textId="77777777" w:rsidR="009D1F61" w:rsidRDefault="00000000" w:rsidP="00331442">
      <w:pPr>
        <w:jc w:val="both"/>
      </w:pPr>
      <w:r>
        <w:rPr>
          <w:color w:val="000000"/>
        </w:rPr>
        <w:t>The trend observed in the probit curve for Dichlorvos mortality in which death rates rapidly escalate within a narrow concentration range accords with the known neurotoxic mode of action of organophosphates in invertebrates. Recent work confirms that organophosphorus pesticides inhibit acetylcholinesterase (</w:t>
      </w:r>
      <w:proofErr w:type="spellStart"/>
      <w:r>
        <w:rPr>
          <w:color w:val="000000"/>
        </w:rPr>
        <w:t>AChE</w:t>
      </w:r>
      <w:proofErr w:type="spellEnd"/>
      <w:r>
        <w:rPr>
          <w:color w:val="000000"/>
        </w:rPr>
        <w:t xml:space="preserve">) and cause varying levels of toxicity in organisms </w:t>
      </w:r>
      <w:hyperlink w:anchor="81f921b26f10e82bfbf7db117829b3da" w:history="1">
        <w:r>
          <w:rPr>
            <w:rStyle w:val="Hyperlink"/>
          </w:rPr>
          <w:t>(Sidhu et al., 2019)</w:t>
        </w:r>
        <w:r>
          <w:rPr>
            <w:vanish/>
          </w:rPr>
          <w:t>https://dummy-citation.com/citation?d=z%3A7VdNcxtFELWBFFxyJweoOVFQJSmSbTl2biEmfIQqp2wXOY92e3dbnp1Zz4ekzSlw4I%2FwK3zmxL%2Fi9awINoVTXKnyQbZ2tj9ev37dY%2F98vfNh5TzXbD%2Bmq%2BQi9Q%2F%2BOPW1tq5rXOgaHSko7Uk5i0%2BlYkOq1UvnVeFsiBwT2SgvGvILLrikMFId4c32O9tAxfZJaVsqS35FqtZhop694SHPuKXY9GakisY43%2FWeKwffkrVY2JGqnHU4ygFKDslULjqbga3JmPGldWur3G3gN3CoL09fha9Uo1dsa0WbSDYwYOiuM1zoyCgGUJWuPRfJxORppBrn4f7XkwSToqN3ANoZLbHBxSUiAqDRLSlPUftS2zggBbMq0Iq8NgiWAjXOlLdyThRw5TKEWGQgL15tEEqHQtCdQmlUMVIpJG1Mn6lHVZ4QLKigK8qpboCHKakyIayTyOwBzSDliuBeAboqqfa6zCiUly6jHUUCadLaxjuLrLTpXJBoiCI4C21V512ZClIr7Xvh0qA%2Bk%2BFGtwHZsRcem9Rqiw5qy602IgkjrMhBuZUEEl40BJhS%2FdA%2FpGHb8IIjCqbYmwKEsc20aLGEkFbIMFLWQXQWtSDXNpxaJLiZIDGUvkooDbwhHZw9QnhGF7JCOIBfQ7oU%2FMiJtx2DA%2BcR2dNQoXCFPBArGgctUPcuoCeLUHph0ShtOLKQJ%2FxAmT51Mfey9m4dG6GrdVEStVQ0ObdaCOxcppyDSEYKRfZN38rERA%2Fq0ArppfYIWlUpSJskd0e%2BJb1gpO3VuuGiUQzfEDCGUqDo4EZ6UVFmfqLOqM7xRBk4FrwhLURHw1Bz4d1CQhSubZOV%2BEOx0m7YOkZ0wkRI6ok6GcRFdsUQS4v02dUW5DFKOgRXMGRVqjUDh2TQRZFaQMiS2yJAqyrnUNbA%2BTA2a%2FhhcJLMSSYEu4WkTMgv%2BVoWjiVERvpS1Oc6KLiTAYHIWS8MciEMAY1DWcAl6wVZMKI2v4anjBDUfnsYv0OiETYKAq2Y1pl7HCFhgXkPoAG4794yGSpm7TYpHEKSdxqq6WGJowgtWL7CcW6YBGgzhmFAgHxceSZbQuELdjdnFYC90wUmJ7syOKOqQn5BCVtPLWFviu2kXDt%2Feb3zsNEL6B%2FTc7%2Fc75f7%2FXK%2FX%2B73y%2F3%2Fv9wNKBdplCfAWe9N9w7H0%2F1WdpjGVPnvbeWudx7UOoEdH94abjuM2At8nC%2BPJ0dzytgfEva8oc3Rcw%2FJCv6zTE9u3ze3aj0XHNgOUsWFFOmMq%2Ftq5Uxq6dNZ9y73jw6kO3%2B9s8udrulM25qudz7gin2Ir3Dy6CPXyI4dvv9m8uZlzDiQ%2FgrL0qKb%2BF1VumXT0zmXTaIaU2vbb5PvPFFUL3XyJfY17fyrh62bwWN5zi2mbgmfO81fYqX5wZx%2B4qXu77KsTzDnS222YE60kbgqp7szOjoU9eBRnzfYcpf6vwBvfnD4vwxXwWAMFQZ0tCgdbz6bTSez6dH08Wx6eLC%2Ff3Q82ZvOjiez%2BeF8Pj%2FAqlrYt%2FgZ7C8sFmMx4dn84Mn4cL7%2FpGh1vdw7nh0czOf7e7PGdbL0aHP5%2Bu%2FDZVZHFtdSYo%2Bns%2FHecdulheGAmR30tZvhdxe6x9WuvlAvQHTBocbyiX0ndV1quWcNXeBxF7olV71EUTePca%2Fi4oOtwQ1D5df9c5dsfLT7e%2FSUJ7Sg8jX%2Bkgnb88%2B3kj292F5KI9XiSoN4ZOWKOv8xVu%2Bd66fq2XYjlAL5kyJ5sxk3MXbh6ePHIHsCX%2FD8Hr7%2FBA%3D%3D</w:t>
        </w:r>
      </w:hyperlink>
      <w:r>
        <w:rPr>
          <w:color w:val="000000"/>
        </w:rPr>
        <w:t xml:space="preserve">. The primary neurotoxic mechanism of organophosphate insecticides is irreversible </w:t>
      </w:r>
      <w:proofErr w:type="spellStart"/>
      <w:r>
        <w:rPr>
          <w:color w:val="000000"/>
        </w:rPr>
        <w:t>AChE</w:t>
      </w:r>
      <w:proofErr w:type="spellEnd"/>
      <w:r>
        <w:rPr>
          <w:color w:val="000000"/>
        </w:rPr>
        <w:t xml:space="preserve"> inhibition, leading to excessive accumulation of acetylcholine in synapses and consequent neural transmission failure </w:t>
      </w:r>
      <w:hyperlink w:anchor="2a25dea63880fb4be22c3e222b31fe7f" w:history="1">
        <w:r>
          <w:rPr>
            <w:rStyle w:val="Hyperlink"/>
          </w:rPr>
          <w:t>(Abreu‐Villaça &amp; Levin, 2016)</w:t>
        </w:r>
        <w:r>
          <w:rPr>
            <w:vanish/>
          </w:rPr>
          <w:t>https://dummy-citation.com/citation?d=z%3ApVZJiyRFFK6RQU8i3npAJBSXGaiqzqzu6qp2kO7pRRycDUdn8GZkxsvM6I6MSCMia%2BlTOejFk%2BhBBAUv6s3jQN%2BE%2BQEi%2BgOk8ebRm%2B3BL7J6GwUXPGR3xvK%2Bt3zfe1nv7rcey9Oi1rtXxeS5bKXXS6NBr5NEK8ud5XRpqcO5EJ2sPxwsJcN4icRyrkzKvbH7rXM7Fc%2FpRl0mZJOVODNW5lKfLyuRvSrzQuHxDtdkYyGNdu%2Fvtx4RSWIm%2B63zWUHhwuHab78%2BOWu1WkJR5g%2FXh%2Fe%2B%2BRar1JvqcP3KBz%2BHIxpL4YvD9eu%2Ff%2FUTlmfcPvofATfKF8PiBHD7y3DzfwBu3tzF%2Bwngs%2B91%2F0WE6%2FEnv7z9EGCAnwNu%2FXDtLOCNj34My3%2BK8PD7UfB7BNiRD04jvFHufXEGcO2ZUVieBaR3auNpev6JNwpilTW5JefkiBj%2BeyvTQB0zliVca6lzZjLGbm46JjXzsIhXVyLHFAnmDeMa26kl7uj4vMYrTG7ecgwSYYnxBSsMdgujBAzw5PBSK19brhjMHKWepUZ7a1S3MZTW0oisk4ma4kIhE%2BkZT8lPVQoYqREp2eD04pXNYvtSu%2FFMem9aEl454LjnarpHrjlJEOGuMGPklT2M0wBcalLBNvfURHh8iJTcVPPKy5SlodhNFZqU5mG7g9mnrDExWdbx3ObkUbuca%2BnK5lCTHSF74CDkkl10ROz29aY0nAm4lKGUglxqJfwYfanLrmpW1CXXrkFmcEeWlbwsuXJtNi5Is5D2cWUCXzRJiYRjg%2Bhg9vGg%2F3wb%2BdTIpjLSmYZGsIuaNwlw5kJ5ibGD2WdHudocOSJZYU1JB7PP2%2BHiuJBpAaS0LmvV9HQoIHyDfw5vKFtFiBvxgUonc4Ts6mDiArFzYQjmxgRjxBDScVzJUYPVBi9Gwz%2B4P1Fem5XSOIk8T%2B1zjmMjtQftUgfRlMZLJf20QfSWSmPd5Tl1BB3hyp%2FqTlkW6DqJTsi9vSAj%2BClhAQMEkdWuiaABQoW0r7lS03Y4G9UqHM4pEcinYBdfU5w7BzbC3iZ33JL3rBdFg8vstjJ%2BFyXEapmD0w1yEiwDPAi84Oi3hGDqiiBLFLLZ4mzErYQ%2BQ5011dZ4MwExx%2BGHoBjkrfCikAWNjAzaY0d54mpjgNK0WcUthAviLLpoLBEx7pMy1VHGNKmMqy112VI37jJI0Fg6XPsuuR9Ghhgbu7vfelyBftSJxBa6I%2B9FvX4njsrQrjzI5qrODEZTzmtfgISZkmXFU%2F8KHqDFcTcekpde0eTCth5JEB68Q%2BJoYN3IgKtsZFRd0kJancBeO%2FnqyDC6Xuc6J0xCmUnr%2FC3sLAwKBVk0r9dVMz1kUsPE3QsTU%2FMy3M8yXko1ra5gAtQHsw%2FvSKX4g6855Rh4WrzFSUHwilp%2FtaFrNEIkzUW5LcbcCrbVnd9OpcCX7rFUGDl5Ko66cRSvLO50CQlq3%2B1h1UXmUbwqpEv0DH%2BdviexHXWW414kY3xfOyuDfpSWPN%2Fp9fvDYX8YR8PCVIR60GT37ukmVSX85f3esN9bGYqqlKLoDVaj4XJ%2FsAPkek7NTnDbieNOb7Ws6kRJh66cs3OuSW13W6HtJUbJxp1dTANT25TetGqyXHhfuZcWF4PequCuixG22KhHkVvExpHzNXzrX7YoHMaFqxM%2FrVCwFoYYugSVU9AdiY3ppqm1X7iPvswwZXRK4i605JrtC%2BdeONLD9tZDajxVe%2BhrSBqtGmZamBs5QRLz3xThZD57cRENJUIQC0%2BnNRJpHycCXpoU%2Fo6aPwA%3D</w:t>
        </w:r>
      </w:hyperlink>
      <w:r>
        <w:rPr>
          <w:color w:val="000000"/>
        </w:rPr>
        <w:t xml:space="preserve">. While direct studies of Dichlorvos in terrestrial molluscs remain limited, the general pattern of acute neurotoxicity in invertebrates supports the interpretation of these findings. A recent review of organophosphate pesticide impacts on non-target invertebrates and vertebrates found that </w:t>
      </w:r>
      <w:proofErr w:type="spellStart"/>
      <w:r>
        <w:rPr>
          <w:color w:val="000000"/>
        </w:rPr>
        <w:t>AChE</w:t>
      </w:r>
      <w:proofErr w:type="spellEnd"/>
      <w:r>
        <w:rPr>
          <w:color w:val="000000"/>
        </w:rPr>
        <w:t xml:space="preserve"> inhibition is a key mechanism leading to nervous and other abnormalities </w:t>
      </w:r>
      <w:hyperlink w:anchor="81f921b26f10e82bfbf7db117829b3da" w:history="1">
        <w:r>
          <w:rPr>
            <w:rStyle w:val="Hyperlink"/>
          </w:rPr>
          <w:t>(Sidhu et al., 2019)</w:t>
        </w:r>
        <w:r>
          <w:rPr>
            <w:vanish/>
          </w:rPr>
          <w:t>https://dummy-citation.com/citation?d=z%3A7VdNcxtFELWBFFxyJweoOVFQJSmSbTl2biEmfIQqp2wXOY92e3dbnp1Zz4ekzSlw4I%2FwK3zmxL%2Fi9awINoVTXKnyQbZ2tj9ev37dY%2F98vfNh5TzXbD%2Bmq%2BQi9Q%2F%2BOPW1tq5rXOgaHSko7Uk5i0%2BlYkOq1UvnVeFsiBwT2SgvGvILLrikMFId4c32O9tAxfZJaVsqS35FqtZhop694SHPuKXY9GakisY43%2FWeKwffkrVY2JGqnHU4ygFKDslULjqbga3JmPGldWur3G3gN3CoL09fha9Uo1dsa0WbSDYwYOiuM1zoyCgGUJWuPRfJxORppBrn4f7XkwSToqN3ANoZLbHBxSUiAqDRLSlPUftS2zggBbMq0Iq8NgiWAjXOlLdyThRw5TKEWGQgL15tEEqHQtCdQmlUMVIpJG1Mn6lHVZ4QLKigK8qpboCHKakyIayTyOwBzSDliuBeAboqqfa6zCiUly6jHUUCadLaxjuLrLTpXJBoiCI4C21V512ZClIr7Xvh0qA%2Bk%2BFGtwHZsRcem9Rqiw5qy602IgkjrMhBuZUEEl40BJhS%2FdA%2FpGHb8IIjCqbYmwKEsc20aLGEkFbIMFLWQXQWtSDXNpxaJLiZIDGUvkooDbwhHZw9QnhGF7JCOIBfQ7oU%2FMiJtx2DA%2BcR2dNQoXCFPBArGgctUPcuoCeLUHph0ShtOLKQJ%2FxAmT51Mfey9m4dG6GrdVEStVQ0ObdaCOxcppyDSEYKRfZN38rERA%2Fq0ArppfYIWlUpSJskd0e%2BJb1gpO3VuuGiUQzfEDCGUqDo4EZ6UVFmfqLOqM7xRBk4FrwhLURHw1Bz4d1CQhSubZOV%2BEOx0m7YOkZ0wkRI6ok6GcRFdsUQS4v02dUW5DFKOgRXMGRVqjUDh2TQRZFaQMiS2yJAqyrnUNbA%2BTA2a%2FhhcJLMSSYEu4WkTMgv%2BVoWjiVERvpS1Oc6KLiTAYHIWS8MciEMAY1DWcAl6wVZMKI2v4anjBDUfnsYv0OiETYKAq2Y1pl7HCFhgXkPoAG4794yGSpm7TYpHEKSdxqq6WGJowgtWL7CcW6YBGgzhmFAgHxceSZbQuELdjdnFYC90wUmJ7syOKOqQn5BCVtPLWFviu2kXDt%2Feb3zsNEL6B%2FTc7%2Fc75f7%2FXK%2FX%2B73y%2F3%2Fv9wNKBdplCfAWe9N9w7H0%2F1WdpjGVPnvbeWudx7UOoEdH94abjuM2At8nC%2BPJ0dzytgfEva8oc3Rcw%2FJCv6zTE9u3ze3aj0XHNgOUsWFFOmMq%2Ftq5Uxq6dNZ9y73jw6kO3%2B9s8udrulM25qudz7gin2Ir3Dy6CPXyI4dvv9m8uZlzDiQ%2FgrL0qKb%2BF1VumXT0zmXTaIaU2vbb5PvPFFUL3XyJfY17fyrh62bwWN5zi2mbgmfO81fYqX5wZx%2B4qXu77KsTzDnS222YE60kbgqp7szOjoU9eBRnzfYcpf6vwBvfnD4vwxXwWAMFQZ0tCgdbz6bTSez6dH08Wx6eLC%2Ff3Q82ZvOjiez%2BeF8Pj%2FAqlrYt%2FgZ7C8sFmMx4dn84Mn4cL7%2FpGh1vdw7nh0czOf7e7PGdbL0aHP5%2Bu%2FDZVZHFtdSYo%2Bns%2FHecdulheGAmR30tZvhdxe6x9WuvlAvQHTBocbyiX0ndV1quWcNXeBxF7olV71EUTePca%2Fi4oOtwQ1D5df9c5dsfLT7e%2FSUJ7Sg8jX%2Bkgnb88%2B3kj292F5KI9XiSoN4ZOWKOv8xVu%2Bd66fq2XYjlAL5kyJ5sxk3MXbh6ePHIHsCX%2FD8Hr7%2FBA%3D%3D</w:t>
        </w:r>
      </w:hyperlink>
      <w:r>
        <w:rPr>
          <w:color w:val="000000"/>
        </w:rPr>
        <w:t>.</w:t>
      </w:r>
    </w:p>
    <w:p w14:paraId="5769A255" w14:textId="77777777" w:rsidR="009D1F61" w:rsidRDefault="00000000" w:rsidP="00331442">
      <w:pPr>
        <w:jc w:val="both"/>
      </w:pPr>
      <w:r>
        <w:rPr>
          <w:color w:val="000000"/>
        </w:rPr>
        <w:t xml:space="preserve">In the trials, the high mortality of Helix </w:t>
      </w:r>
      <w:proofErr w:type="spellStart"/>
      <w:r>
        <w:rPr>
          <w:color w:val="000000"/>
        </w:rPr>
        <w:t>aspersa</w:t>
      </w:r>
      <w:proofErr w:type="spellEnd"/>
      <w:r>
        <w:rPr>
          <w:color w:val="000000"/>
        </w:rPr>
        <w:t xml:space="preserve"> is consistent with its demonstrated sensitivity to cholinesterase-inhibiting compounds. Although many earlier studies focused on dimethoate rather than Dichlorvos, the pattern remains relevant; exposure of H. </w:t>
      </w:r>
      <w:proofErr w:type="spellStart"/>
      <w:r>
        <w:rPr>
          <w:color w:val="000000"/>
        </w:rPr>
        <w:t>aspersa</w:t>
      </w:r>
      <w:proofErr w:type="spellEnd"/>
      <w:r>
        <w:rPr>
          <w:color w:val="000000"/>
        </w:rPr>
        <w:t xml:space="preserve"> to dimethoate, an organophosphorus pesticide, produced marked reductions in </w:t>
      </w:r>
      <w:proofErr w:type="spellStart"/>
      <w:r>
        <w:rPr>
          <w:color w:val="000000"/>
        </w:rPr>
        <w:t>AChE</w:t>
      </w:r>
      <w:proofErr w:type="spellEnd"/>
      <w:r>
        <w:rPr>
          <w:color w:val="000000"/>
        </w:rPr>
        <w:t xml:space="preserve"> activity and impaired growth</w:t>
      </w:r>
      <w:hyperlink w:anchor="b892e590ea25d49fc1eb1f3a0571cb55" w:history="1">
        <w:r>
          <w:rPr>
            <w:rStyle w:val="Hyperlink"/>
          </w:rPr>
          <w:t>(Cœurdassier et al., 2001)</w:t>
        </w:r>
        <w:r>
          <w:rPr>
            <w:vanish/>
          </w:rPr>
          <w:t>https://dummy-citation.com/citation?d=z%3A7Ve%2FbxxFFD4jokBBRwESxTRENvKd9%2B58jpMU4FwMiYhFFCJSz%2B683Z14dmaZmb3zdgEJiRJBQYWoqPgLLNFFdIj%2FgfwbNHwzu2fHcaz0yMXZe7vvx%2Fe%2B9703e98cD97MjZWF1Ffp68Z4aq%2F8s5c6b3nm2aOSWMGtIM2c5lKx9buk5BHjribr%2BAaTjmWNtaS9alnjSOARS6WRWsiMe2OZyVlFnislM1YbpRovjR6xLxo8Sp9Q5uWC2BJe3jA68qQFk96FWOGOsQXX8MxKqhBQIXjLnG9EK3XBPOBRniOIYxyOXjrXEMuMzoDI8pDKBQTBMIYydWkcPrZxrCbnZSYFMSEBsTTcE8sB0bBliC4kcFuUVXt%2BSCO2l3uywFgb19hgafFBGUuiwwhf6swSd9HXOIqZT5NIHWGEqJvxqiIhuWYKqbk6C5qt35%2FPko3IiyCkraQGt8iREptuXk8S9vcfxVYBAEaM2FxJkIQgThYouCc%2FNINpMzSpI7sgMeyoeikTMI5PwgUSOVNmCdSv95vMer9RJxRrlr5kNbccdEIfYAY8CYqsAM1S4vELJJ1QiboCISdcdfF6frrsQSUvUbQfKNpky1JmZWSKFlw1se405oNRapDSlaQUiO9gxSIF%2BrokWZQegEqZyigVBEOYnZ1ZtNmebHflbTJLEHwEodrNTmoAuD8fJ9FjvJvEm%2BPt2as8IJ0sa6pGdcB7ISyky8jyGMASnnUNDo94ZRrtA8UvKLN36zoe%2BMGYnWUkx8iaFe1oIlu%2Fxqv6VuFv7bBnP6PNz7%2F%2FcboR0JBvVVYayAaUAwSGbX1vXu5vMISQC%2BnBDmBhCxhdYLJPe7i%2Bm3zIcmuq0%2B4j4j0dm6MaBxxgMXS9AqEBWSir5D6CD5xIDMbd0WqFwK9RaBiKDjOfNxAxKgIw1Q%2B%2Fq%2BKonRtfJPQcc9HVDh0tqHUoDnnPboYKyKEy0U3dabsDv6HoVc0BWOhidnaaIptxXo3zAZyD6YI2u1WxDGpr4%2FNz%2Bo9tArXQQqMABIhzaauOiUZ6nkoVqO4X1JlFG0oWBPWYugIfwcY1ab8rvDnCnMDTo31hV4Zpqq2swrpCFtdUYfziNKdmQUDW4HrFpxuRy4ylfz%2F%2B62Dtk8FgTSyNPTwevFPyfvFfngGXZ8DlGXB5BlyeAf%2FfM0DxLCOHft5Bf4pJMpkNx%2BMqMgrm7T2dm%2BPBlYI30J51T5WsapD0adSXmI52ZxQ37dvkpVd0dG1fLySkEpAC3qMAzyhTtBHCPOxuSKHNF0YB2bv1SaL7Jh4Sx4M1WfOCHnJd0PHgDQmanH%2BAO%2B9f%2FbVUfHX9mwqeVqZN0Pl3sBQaXON%2FnkMKqlXzP39qrODOSXStQJt0eYD1wJ%2F9roQ1igbnfQ6%2FBBQ%2FvEOgpnPhBxfZyq94kytqbNtZ1ntak8dwfmYqE2Jc5Jg%2FlCnmrPNK74wusqPbXOB3WDTTD1CEpedPfzjgVvahsR4dfrZlwsjFOBlhdU%2B2yGej2Q66mCQ3xlMhXaqf4q%2FT38rk%2BjQZXp%2Fs7MrxbDYZ7u6Md0tTo0R07fDx9mQ6m05m29uzJ7GfUQ5PEGY8TG4Mk3FVQ3IS67NXxFpES4%2BloraAHH1bB%2ByH3GJvK3qEr2sYLDL55ziDXrwd3wBa2CrolsTtdh423HsfeUs5OoUtJh7jPcR1tz%2FodfXLa98%2FsKT4ufeNc6tiddDcZPv9Tji7Wvv9IXF%2BbPZj3G15%2FqpNuVqRIpT%2FFl5%2F1NG10vva3dzaQltGSL%2F16tb8Bw%3D%3D</w:t>
        </w:r>
      </w:hyperlink>
      <w:r>
        <w:rPr>
          <w:color w:val="000000"/>
        </w:rPr>
        <w:t xml:space="preserve">. However, sensitivity differs markedly among taxa and endpoints. Some aquatic invertebrates display </w:t>
      </w:r>
      <w:proofErr w:type="spellStart"/>
      <w:r>
        <w:rPr>
          <w:color w:val="000000"/>
        </w:rPr>
        <w:t>behavioral</w:t>
      </w:r>
      <w:proofErr w:type="spellEnd"/>
      <w:r>
        <w:rPr>
          <w:color w:val="000000"/>
        </w:rPr>
        <w:t xml:space="preserve"> responses rather than outright mortality at lower exposures. For instance, Unio </w:t>
      </w:r>
      <w:proofErr w:type="spellStart"/>
      <w:r>
        <w:rPr>
          <w:color w:val="000000"/>
        </w:rPr>
        <w:t>tumidus</w:t>
      </w:r>
      <w:proofErr w:type="spellEnd"/>
      <w:r>
        <w:rPr>
          <w:color w:val="000000"/>
        </w:rPr>
        <w:t xml:space="preserve"> freshwater mussels exposed to DDVP contamination showed altered shell-opening </w:t>
      </w:r>
      <w:proofErr w:type="spellStart"/>
      <w:r>
        <w:rPr>
          <w:color w:val="000000"/>
        </w:rPr>
        <w:t>behavior</w:t>
      </w:r>
      <w:proofErr w:type="spellEnd"/>
      <w:r>
        <w:rPr>
          <w:color w:val="000000"/>
        </w:rPr>
        <w:t xml:space="preserve"> and activity changes prior to mortality</w:t>
      </w:r>
      <w:hyperlink w:anchor="1fe26728b12c82c682dd99bbbe848eeb" w:history="1">
        <w:r>
          <w:rPr>
            <w:rStyle w:val="Hyperlink"/>
          </w:rPr>
          <w:t>(Chmist et al., 2019)</w:t>
        </w:r>
        <w:r>
          <w:rPr>
            <w:vanish/>
          </w:rPr>
          <w:t>https://dummy-citation.com/citation?d=z%3ApVhNjBxHFZ6NY8yJGyJEAiqSkdZkZ7Znd2bWS4T8s4sVx3a8eNdEQjmkpqu6u7zVVZ2q6tmdFQdDkJA4RCAOcESQC%2BLCASEtsgQXiyAkjnABCXHiFkWAODj8fK9mZmfGxmijOcxfd%2FV77%2Ft5r0rztePGuTwtarN%2FXRyeX0%2B63Q7f2GyuZb1Os9PryeZmW2w0xcX%2BelfwvljfWMu1TXmw7rixdK%2FiuXy1LvvSpZ31zcw6lSvzbFmJ7GWVFxqv4LFOxUeUNf57x41nRL9vD48bz2aFpAWPLv37m7dZo9EQWmbh0eUXPqsv41cabPXo8iv24%2FfxQx4oEYpHl7fbH%2BBXYybvuQ8Z8Mam%2BPNswJ6glQsEvHnmZ1TSScBnOlTwIgF%2Fd2YW8ta%2Ffv%2BrxQLe%2Bv6dH8xW2P0u3Vsg4Kv9H%2BLW0jTg%2BxR%2FgYC3V96fU7n7%2BqIB%2F3mZSDsJ2PnJ6Ti8QVL%2Br4A7b7w7q%2FLzb187nQ9nA57%2F%2B7tU7zjgw%2FdmK9y60jydbZ5a4Zde%2FMQ8hx%2B8sWDAb1%2BaM3b3R6ezzdMD%2FiObE6UXO3GBgHe%2B8jZhnFb4zul6%2BekBf%2FlzinAScO1TC9pm9%2Fyf5lqvoRcUZfdbZ%2Bcg9369IOTd95pzkNuvL1jh3t7enMpdCr9QwOOvzkLe%2Bs%2BDBSHf%2FfQ7c8buLS%2FYenff%2Bu0c5KUv4N7s5vihA%2F71b%2FMqLz%2FeevLN2gY5PPuRvUIyXlXcSRNYWnCTS2YzxnwhtWa2kkaZnDkeJKuNkI5V0geVKiFZak3gpTJxZ2YF96wvpWHMycq6IAVThnk5kI5rVjk5ULb2zIdaKOnZ8pUhF0wGxnWLrSXt9kvsZe7CX%2B5%2Fh5XcmJk7vQsrrF8HFgrlWcVDkG6UjTOtSkWJAECrlNPDsRYk7itbWqNwzkD9LXbL%2BkDXtM2xULMD7iIwP%2FRBlojlJDAHBcx97hHSWy31kCFYAENjYgjQHC8a8DRbvsrxNDeC7XC3TzV3LrQYMatMcFbUaawKtD7Jqqc1ljF5qJB%2BpqKSD3ErdRLlxBpklkkEGkgjvadgUyWYkIHuWdNiV3QobJ0XrIQIXKswZKImEpitHQrAVfAEEkvkrKRTJZT3DIz4cRigtwbYgTZipwKQbnv7yzvzmq8ANMHJ4jpuuB5G6uq%2BD9ykwFbwgRy5QkjI4QNBFowAx1sFd2VW6zE24uIJp7TYTbxDIdB7G2nY8lqSdC9MXRYKHlghXT9y4VnmbIkaXMZTyVxtbJYBAxxBGuFbPYLD0xqenpJEngEThUrxFaYNsj%2FSBxIbhhRM2wPCn2IV7tBpNIo8BAneop7UOkFmZF7lRmXwGVrKScg%2Fa8zZ4CzwQ2tsiZxOpUUUlnDyPnqNGISyI%2B18RR8r7KBAMcR2gSEA%2FefbcaY0CCrh6cwiUotdVQbGU5OuIgrbF8gMBxMCt7f3xnIxaYRNkU6ibKG8q6tozBmNtp1U3kvDWWX1EBxWBVBX9ABLo2a3bToEPiFz2HVUUnQ0%2BccptDOwE2fj3ohRI67KVrUerYdIygg1UKJGxyL8KPR1qCGEGhmwpL4urabMuvYp9Q24J2Z45Ag6p3U5ExJAYx%2FbDCMFKGqKKT3Ek48u%2FeYPf4wz9cC6%2FePGxwoOJzuehuGZH1%2BZoRqDCE4qJISjyiZ%2BZ7CWAOUuIgF1lfW4P25Vv4KVKQoisJ6ohJxSCnzMGW6FIQCmBrVli%2B1MksZBIV1Gqh6oUMQcxroSGUoZeN9q5ctJMwbucog9Ju0lRkojB0qwZbQ%2FFpXjGcNFzG4Cep5HkVFBDho9xpDFQsKDBsJcoVEUI0uY6vp4Ogn2Zg2rQxEUOTuXoqoHwOSIjFC7PhtwF5sbzTIZxZWzGBUeq8n6T4y9aYfGjkH8SQwaQvDrGCPdybR1PIbJeG04bGgmYFnubF3FVVNw0fk0%2BvExWiNJAXSt8vujQRInGxGEciYd8BhGioMppwZcD8hMe7RR0fQajocqzYPR1OOEc7xeotuAg3ZHpD3ZIiZxaDn2b4nOl9gppwkx4sl%2BmH9OogfDiAV5yMtKy5UYe4e8UEwIumuUZaEu0UfYd3cKpVXlPbK1Ny5evBBrJOOOdqxR3WRI5MvjtBYKuOP5YMphsIcYWtOipt6emcTLGiMiVRob%2BMjxk%2BuYsjzVFjNNrMSGJMkEJiD0G1iP9VHD2sAh4ydkv8bs4EfYlmO4x8cdamonrMzZTY2OJz%2BJbVSfryVr3WY7KePGhZnmrpvMHjfO5ryGn52%2FjzNEBfav4YX5vda6mNBsq%2BUZCUdredi74tICNMYUXzQD5ayhLROybc0dgKjkPaKFnD3MBlbXpXzuVnWS%2BebJ%2Fx6KTmJ36EiBgx12CufDDq58cumnheaT77%2FQJ8MSdb5FR0DDS3oiy5BVD7OtokRbyZzOBNkrFscmLhwIajy5Vu8eWX%2B0r3AkTI9GT6gb7mjoj4LNnvaQ2Xb24QPx8MHw4Tc8no2P5dtov9ofjR6CPPiD5lwqrDp8vp202kmyseqTZK3TaSbtzWaS9Dr4Nwjt3zf38e7N11WSbCbNznqnrdqd9bVmspGspyXP761tdtc3e5ub7V5BJyQO8vdfm16UVYlseW9jvQ1RRQU%2FF%2Fi6kXR7vXtRsqj4PRy%2FkHejmXTKqu5TI0xEX4r4Dj%2BzGzdTTKVdDA646MWrtYdAaMxbUii%2Bj75CX6byrtOH20UIlf%2F86qpWZr812oala6W2XCV5YIRV%2FFu1%2BnToLdzOsUWEYUXU7uOQq1It9%2FBzCbaRNruBXW72Moa51kOs1Smdbq8Ot7CJh%2BdeCE7GPkyleA37kx9d7ox9unt1ZqDcwdhAV4xMO9f%2F1wCuGM3kWzW6RMdBc7LLzHtaUNEfTWvw8LkJD1C6hQn6fxD%2FFw%3D%3D</w:t>
        </w:r>
      </w:hyperlink>
      <w:r>
        <w:rPr>
          <w:color w:val="000000"/>
        </w:rPr>
        <w:t>. In soil invertebrate assemblages, pesticide exposure often leads to declines in abundance, diversity, or biomarker response rather than simple mortality endpoints. A recent systematic review found that pesticide-related negative effects occurred in approximately 70% of tested parameters across soil invertebrates</w:t>
      </w:r>
      <w:hyperlink w:anchor="ba9613ecbbe25686c05253dc0bfd6cd6" w:history="1">
        <w:r>
          <w:rPr>
            <w:rStyle w:val="Hyperlink"/>
          </w:rPr>
          <w:t>(Gunstone et al., 2021)</w:t>
        </w:r>
        <w:r>
          <w:rPr>
            <w:vanish/>
          </w:rPr>
          <w:t>https://dummy-citation.com/citation?d=z%3A7Vg9bBzHFT4FVpAEcJEigOMm4wBGEIBcHk8k9YMYkSzZkaPoJxIDJeXszuzukLMz65nZO14qGkiCID9A0qVIgqQwDLhw44qAC7fuXLk2DNeuDaiwvze7y9ujcLZsqrMA%2FXDm3rzf733v8V47Gp0ttM14sO5odGav5oW81VSpdHwzt04VyjxV1SK%2FropS42%2FwkFLxgbLG%2F%2BNo9C2RpvbgaPRUXkoSePDzT1%2F487uj0UhomYcHl194%2F%2B0PccqCrR9c%2FuUHn13GQc6UCOWDy7fv%2Fg2n0cDq6CsqvPHOtw8fq8Jf%2Ff9pOgwU0vEUCm%2F%2B6fvk0kLhX8nhUyi8tf%2FM4w359p0f0UcDD9kjKfzD%2F1YovPPsP5c9PLXCv%2F%2BANAwUPlpRViv87F%2FLVf7LKRX%2B2j17IuTTKvz4vydCPmUO795%2F7vFW%2Be57r5%2FA4aMBe6XCez%2F7ydcih9UK33pzucqnLcruc8mXVFm%2B2tgg52fPXJdOrrGZZE5OlZwxI7nTc7Y1HjMfGqGkZ9awUEom81xmAcec1dIHlSnRfmisWQ%2FcFTIwZabSBZk6HvBZKHlgJZ%2FibVGsMc3dlOs1Zh1TVcVD4yQTciq1rStp6HG0463SCdstle99kiazVc29h87J%2BW3WGPVqA8FaZvBvjQV%2BwEkrpFJlpOgu8qgKHxTcKF95xo1gkwtbTCiE4sjkcSCMZ0HBUWUKJxG1oUBdb6lSB%2BRtjP1hwYTdx1ngR5UrWCcz8iA4SOLkpJZTDluCB04x4iIOJRZsjDe3WtsZ9CFOUVsFjZdYZV3gWoX5GuNpYwQ3GcqUKlshDfhBIq3KujVoq50VDZyyJgpkpaxUxnUr7Palg3zh7CyUkFZZaaRvUyEQh%2FOtDRx9cFDTODzNSm4KicC6KvhGUyhwntMfruce90iGhQY2WbtAaJE1p7Kzjw7%2FjeKTPF1UMpAHHx3%2Bh1WSe2QRCYL9zkbU2VYyV9lxBoZJOagtPYu5X0j2VaUsDq6PCxqLklukroXh%2BXGy%2FTzpeMg35ks7w42RBepCYG2Bjq4ogRI4u5lsPd%2BBJ9n8YiXwVUUlAI%2BxzKvCkF9U%2F75%2FcmerAfD6%2BKiUFAa91vOEvYLECAFlVFf0p1A%2Ba1C5QhosPbpTxwJwLJDPyiJXC62Zju3S9kZb32N04eihUWv6P6Ky4DWKfbtxfccpI%2BD0cQ8P%2Bx1VwMswxx1Fi86BMZAGGv333CHbiJrabokKEnbrRHYZR0lhjNqGQJDaUIIh0ugq2kgTICP%2FwN3MWcIs7LZ3yPPDkdLDiCawnmRT7pQM8xUscJyLhImZdftHo6dLnqID0LPz7129UqBRgPnYDAtTDUVLVsh9722mEBspmypnDXEYxEvuYATtQW74GgAiBDrbFKVtAquarIwIQufDshYJeynHBguVyFyFeiNPEh9DA6lq%2BRPUWQAV6HtpgGoAAXZBIeimJqMuGeTDwo1KmZZjekvQ6aLvXIE0UHfXGJujlrhavBVO5SFWhh5V1oclBHvbuKzFAN4C6HLwtgIXUAoS9jsMgi%2FxJ5YEOlFTbzuCoeI9nMqE3VmAjzyzeUAOeF1rwoFQDmhCZnrYEaTREmDBttKF46bR3UGZjBoaCcOLbtwg91VEiYS6zMJNUwBNFd%2BnvCq4VdVExogfNsAn6HacBEPDDxsDYgBP64TMrJ%2BDISrg6x4ufJuFjj97PierIGltC%2BJreNQSMnFHj9Wu%2B1x0suIGXh97kzcmsj64hzCFwE0TAHp8lM0zDe%2FXWm96YkeN4AKy1w6TjLuUphAS5El%2FLFDbRpQXJ4umG1TdxO%2BnhkcKqaVvkj%2FAFcoHu6jX8vSPwBWSPGlnBypFzuGKI2EJu85TFRCfjs1N2KS268dXjQnQRPMCE5hYftiUMQ4fgRllorHYHcNB7BHxHpgYuJ5SNXNUyDoy%2FWTrebL1PNl6nmw939StZxctiN0EzASaiSg7CQTSinnf9YHvJl9miRCogQ3NS8yNk4aQiZR4Fdo9ouwbaI4u9PtLbcQH8XSk2aqu8aspaAXlhrLF%2FtCSZBsyGSalQ6hFA635fo%2Fqc8MxqMjCTFE2u7aJMzduULJdtfoiLmetI6wT0%2Fd4xIMC3FTRWgSpOZJqqbyJ5hnusKZdgxvFZDzZXt8cV90aIN0rJrf4Zb7gTSgxkQ51uz68HAeU2ErOnZNBBS0Pfvwy9qGgqNkQyktL%2B9E9DAJUL59a3VTyu5q0O5U2NOP%2BSF8ZGPQp%2Fs9zJFDPy180xgeLwhWosxG7AItwVsv49cKy7N5V64zUChG00gWkObuZrHogb2iJwKJsfgPaHV8peq1J5bwVlVeo2VdJ5tes0b1ofoujhlBMsgANvuE9mwmrDn64OUa%2BLlzcyLE%2B%2BgS53kx2ts5d2DoP9kjNIf715jU1mVzcWd%2FZ2f5tVvFi79zm9sXz483JZFzaGisRUr1%2Ff3G5hzdNW7w9Urg%2B3l4fb1V1kyInIMi2fmeiv3ZRopsYjnwfyI%2Bb8m%2BcPnixDKH2lzY2ZrNZAhJsBZVJALIN7gB%2FLKcbKyPYwHfahW9SYh7kZb97sYvjGXCktPkNsNbwWgIZeg5ZnWFBFy%2FOr2IchGc%2BAWXG8Z9JcR%2B%2F8fj2%2Bo0OZjvDLRugp60VZDwgs0vsCja2SHZXiHo8gVCQX9%2FJGgT60z5QlCQGtzKmzwE%3D</w:t>
        </w:r>
      </w:hyperlink>
      <w:r>
        <w:rPr>
          <w:color w:val="000000"/>
        </w:rPr>
        <w:t xml:space="preserve">. Thus, while the acute mortality seen in </w:t>
      </w:r>
      <w:r>
        <w:rPr>
          <w:i/>
          <w:iCs/>
          <w:color w:val="000000"/>
        </w:rPr>
        <w:t xml:space="preserve">H. </w:t>
      </w:r>
      <w:proofErr w:type="spellStart"/>
      <w:proofErr w:type="gramStart"/>
      <w:r>
        <w:rPr>
          <w:i/>
          <w:iCs/>
          <w:color w:val="000000"/>
        </w:rPr>
        <w:t>aspersa</w:t>
      </w:r>
      <w:proofErr w:type="spellEnd"/>
      <w:r>
        <w:rPr>
          <w:color w:val="000000"/>
        </w:rPr>
        <w:t xml:space="preserve">  aligns</w:t>
      </w:r>
      <w:proofErr w:type="gramEnd"/>
      <w:r>
        <w:rPr>
          <w:color w:val="000000"/>
        </w:rPr>
        <w:t xml:space="preserve"> with its high susceptibility to </w:t>
      </w:r>
      <w:proofErr w:type="spellStart"/>
      <w:r>
        <w:rPr>
          <w:color w:val="000000"/>
        </w:rPr>
        <w:t>AChE</w:t>
      </w:r>
      <w:proofErr w:type="spellEnd"/>
      <w:r>
        <w:rPr>
          <w:color w:val="000000"/>
        </w:rPr>
        <w:t xml:space="preserve">-inhibiting compounds, the results underscore that the magnitude and type of response (mortality versus </w:t>
      </w:r>
      <w:proofErr w:type="spellStart"/>
      <w:r>
        <w:rPr>
          <w:color w:val="000000"/>
        </w:rPr>
        <w:t>behavior</w:t>
      </w:r>
      <w:proofErr w:type="spellEnd"/>
      <w:r>
        <w:rPr>
          <w:color w:val="000000"/>
        </w:rPr>
        <w:t xml:space="preserve"> versus biomarker change) vary strongly among species, chemical mode of action, exposure milieu, and endpoint. The pronounced shift in the dose‑response curve attributable to the organophosphate’s neurotoxicity fits with the mechanistic understanding that organophosphates often produce more rapid and severe neural disruption than many herbicides.</w:t>
      </w:r>
    </w:p>
    <w:p w14:paraId="0A8574EB" w14:textId="77777777" w:rsidR="009D1F61" w:rsidRDefault="00000000" w:rsidP="00331442">
      <w:pPr>
        <w:jc w:val="both"/>
      </w:pPr>
      <w:r>
        <w:rPr>
          <w:b/>
          <w:bCs/>
          <w:color w:val="000000"/>
        </w:rPr>
        <w:t>Microbial Biomass Dynamics and Soil Microbial Health</w:t>
      </w:r>
    </w:p>
    <w:p w14:paraId="3CE30D46" w14:textId="77777777" w:rsidR="009D1F61" w:rsidRDefault="00000000" w:rsidP="00331442">
      <w:pPr>
        <w:jc w:val="both"/>
      </w:pPr>
      <w:r>
        <w:rPr>
          <w:color w:val="000000"/>
        </w:rPr>
        <w:t>Microbial biomass carbon (MB-C), nitrogen (MB-N), and phosphorus (MB-P) collectively represent the living microbial fraction of soil and serve as sensitive indicators of soil biological activity, nutrient cycling, and ecosystem functioning. These biomass pools are tightly interlinked: MB-C fuels microbial growth, while MB-N and MB-P reflect nutrient immobilization and mineralization processes that depend on the size, composition, and activity of bacterial, fungal, and functional groups such as nitrifiers and phosphate-solubilizers</w:t>
      </w:r>
      <w:hyperlink w:anchor="33c67d61501172de67ba9f3aa0d04edf" w:history="1">
        <w:r>
          <w:rPr>
            <w:rStyle w:val="Hyperlink"/>
          </w:rPr>
          <w:t>(Cheng et al., 2020; Widdig et al., 2019)</w:t>
        </w:r>
        <w:r>
          <w:rPr>
            <w:vanish/>
          </w:rPr>
          <w:t>https://dummy-citation.com/citation?d=z%3A7VpbiBxZGZ7Rja7CKuItKq7HhejETF%2Fn2snqZi7JJpudyWxmsrOKsJ6uOt11MlV1eusynQ4K8YaoKFG8QVQWUdEHBZ80qCiICj6IKKgoiKwPPnhD9MFlvX3%2FOXXtdG%2BmNz76kOmqU6f%2B81%2B%2F85%2Bv8q4bU4e6rrJ4pIIbU9OXerwrNmOvLQLe6KhAdqV%2Fh9ezO2dk13HxLwoxS%2BoXpPLDT73qxtSz7HZbXb4xdUfHETTjqfv%2BHvyOTU1N2a7oRE%2BdfONvd%2BjOilTvqZPbG3%2F9Lm5EX9qR89TJ8w82ruK2sOzUpAK%2FewXXBYEffiYCt3%2BbCdxp%2FuVkSWDtGQl8PBf4hT5JyAXeSfJvQ%2BDFl%2F%2Bn7MNj9Ox2BH7gfWR%2FKnBj6ec08xYCT07zG2RXLpDujMCH546XgnLuYZJ%2FKw3%2F%2BPgv6K1E4N2v%2BcbbMoEveOOfikG5eO%2FzaWZB4PQogf94%2F0%2FJUaME3v33P5CNqcDa5mdp5q0E%2Fu0HXyA1Rgk84jxKDk0Frl%2F%2F%2FDMSmAdl5pEnihq%2B6L4fDUX5AALfsFYZK3DqHl04kwms%2BzpTRgqc3n335BrOPXFtrIYv7p8m%2F04m8Pjz3kmOHynwJd85P7nAkysh%2BWmkwHu%2B%2BujkUT71ke%2FnlTIk8GWPPToEDpOmzbGzdhEc1q9%2F8mAafqVQy3e%2F5ts5wFZbvyen5QI%2FcbC0%2BQXplAn8Vh6U%2BsebZYEfPFjafLUksFB6zbv2yyarg2n4RRKRCfxmnthz79UOzQV%2B9mAalgUWgjL%2FryeLALt%2B%2FfrQnjKpwMX9E8W0gcDb1HDpz28vblLr1x8fQuxJBbY63y4H5eGDld5Ygcd%2F85%2FinnLv5348tElNi8diFYnBobfv8D3hs0h1ReSIYJZFjgxZGMX2gIWO6ocY4BHbZNy2JbUxLBB2bAkb4wLXLnqbfcF4O%2FZt7luCqQ7b2l6dZdyNBKbqaRhglvK82JfRAI98m0nfCgQPMaHnqLCHNXDDuAVpek4fyuA528oXdrjNfMWk18O0KjtrJEi%2Fy3jkkQwRSAua2qKnQvOKxwekQCDQnolsTeZJHz2bK6%2FoxoxUVkGX%2B3gby0E5WyQTQ%2BXGbVmc2FYwFJKyF2YZVgtl2x1gFJ7R%2BrCwLyPLwYi231ZYkfsRxHuqIK8XKEuEoQhZJ1Aeng6tFyl6o6RslZ0Tg74K7PA4E%2F6VgVd0GtwbIJA%2B64ggysTMss04CqTA%2Bpsiwrt7bAYjuD4K5RPvD9uaPlFBHDJrYLmwqzRWVqv8qGjjrkT8ukxEyIgqorOShnOFEoQCvFGcfnZz58L59YtrO2fPb7Id%2BI7vc%2BlymhENKAAIDNkrcmNnNo8iNyhpA%2BV3dRzS3LLjgOJBMXB5GDELTogDyolAxV0HwaarHolBLBNHSsRjZttyXEHJRTXRrNdbR03ahkjBiPU4THeFiyXaAwq39KBkkGcYAl9wyMzWUYz04gjVpBjMDgSUldxlwlLhIIyER5PE974Wo6DCxFm0bmPuaBVuwLLSa3NXV1gbQRSwGzUJjbZSyR6hAmpWdqAfZuJvoJCQJjlIo27AwxBPbFKjzwN62YXmkXH9zCk3FEFh8fqSXjwpn1kmI7If9aeCiOTDFhQDgog71HGWzIiSJ60AYYWFQykfxigLmHirEjxQ5fUdCWkel36Ef4nVW8yndDfFssL2xIDt%2BaqPWHUF6%2FIe2aCxS7kiBbcw7vWQOBAwgIH%2B%2BDol1YCK5PtOR1gUUIjKsI2uMvAhJKxkdlAetpFhACmOWG%2Bvwrc2FeONqbsc3kY%2B4OHgOf%2FaIM8ZG0NkRaKHuDmd4CLpUvqVlxj2koEWPTfxubECL2YxoBfzF%2FahYBGUDcyEKN5ixSVZx4GrPeC8hGUAe8BzWgJpjTmxx%2F1ibenw5mmqa6INUCaIThJS2Mi2HN%2FJx2naJVvMWCBVQZIHhSzYBbphR5PQkIL3NDvX08VrtryPFWNt9rRROxkWCnsKD2FkWrDZjjZzbHOWHUMiH9s0Ic0qVAcMkNbjvk%2BaAFyQvW0J9ytM6iHxaTJMggN1kWYWmjcpLpp5wAgEb6s4cthKBzskn2UXt1eMxhfPGcV5EJH5nIHeAMygFCzkoI1Ni97XnqTtI1NcXO7BLx7GjHONV1FK5NrhXiDdBdGZ6DTso%2FzTJgJZ2FhmR9IpxkMYnG8UBrdYhEyIaDntdNim%2FWlKz0dSYmc565trwHy%2Bq5UiQeuGsuvLDpzgRzDSAWQC8bLF82VgjJ%2BOJ0tAUICdHuDoGh9X4VWYs3Z8iwWUhrMsJO1pOkRAiTPGyX04MaiIy7rCeRuoA4OSfos86QK7YNASmQyP0ZL7HFmXeHCkS4u6mF4NRWNKi8YyQ6Dk6ThIO7siUpVjYxwPT2chzn1hS0AdubzsPI0rpRD8v5X8n7WSFvIPdGJ3PNDdjBZVtgaWEY09gubCbswotBe4M9vlTbskWSmoKcDlCJ1y926WWw0bSI1NyqG%2B1eyfpErkYIfiXei2T11lqcNIyoP2umy7LjYpVZdb2jx7He92m%2FXmQqVR9yjBqEaCs35H4QTU5QAzFYRXIZoCeBr%2FgFYL1cV5EcnIFZfvOY1WEJsN%2BkssdMrfl7inZEZDsm0ByyzR2UdAPPFcV6evbMcQEX6Qzlk%2B9wR%2BOx2Opm7QMQ2s6CI3fbEh5J6wqXXQrFx5qqObxhj668mdLZT9RnXcbHsX5zgzU664HbiFXRg%2F%2Bf7YCbLJ4jI8KYJxk%2BUq9gERYNs1b9gPgpweN1msIp8T0e4pSjT0lw7bGatKdy3g6KYG5pVL6FccLlz2wPgXzslgL1NGnBP7OCiNdaEAQirlmcndU1SHu2NFi90AqWbmOlsCMMHWx0%2Fe7ikn1WIDCJsE0pI2iPpDlq3k5cONenVubrlV6wh%2FP6yiAW9V6%2FXG8oItw7Z%2FFX9D%2F52y2WwtVhYXFx6xPN691Gy1GnOtpaXlJUehkDjCs7ebD17CO7HJ6Eskr9JoVJqLXi9uuyieNKmntbIqz9sN9FR8D92DigNLXAzcyytOFPXC47Vav9%2BvAn3NROlXUaw17ODSwomlNs6AGj5MdMO4HQ165JO95IUd3E6jNoXqnENYisMC1eIOMNe1qCNbHawBHKLDHnYG2g9QQ%2FYu%2BtfQDG8kpfferEvUzU7etaYHP1wRnms0XylhfTa3sl3swlbTLiwXaCB%2BpXC2uT%2FDQtqUQ5vMvNOK4baZ1G2Ir3bVOA%2BN%2FbpjzS%2FVD%2FB959ookubJlWUihxKSpvqmXk5nXnzpvUWi66GPfH2I6Hr2pAJ%2FuF4W%2BMvbFHjPW19YJLpuFnjHhAJf%2F4fDRTrzoWuvPIjAf7tThU8TJYGVZ%2F%2BzbPInhpizSTVsvOdjJZM%2FeuI2TZ5%2F8HDZh8NRnlTg0os%2FXTZ5fYjBnVRg69evLWv45G0G5V7nHaUo37bA%2B%2BrTJQ2vfXmIwZ3U5JVXnCsSrgfU8GkErr7jrlJQrnWHKOFJTV773v1F0nr1109OHuW51x%2FOefpT6x8tCtz60O4QJTypyae%2FpL8sP40PE475jp%2FgeIrmEG2zOS7gAnCPk6zlCBBF6MmyEyYxjejd6RiDWXRmEp4gSi8jndDSuqqr3%2Brovk%2B3eDitZb1ulZ03h5pshIWYDgIrOQEVGZo1sKMZj2beyrtFdMbYeajFNzwPMU15C47zXkJmoZ8IujgRuTgGkyyPTnxEflkysGI61wzTa8Su1U8wdIiyMLJ8gq05gQwjrJgPNxZAFWlaSBNqIAE87HVEY3FiF0Swr2Sgj%2B%2BGGNWH7NSj0NIcCtExExsDDg89Nu3YhitRPvXtLPTo2JjyAGSrlpIeA2AQLJot0HqpFkS8gjagwyITmhJLTgEgaFMVdCzprE1LGTrXFSOYxeLy9gD9EFYua5DSXjAqZH0BlfFL05%2B4%2BmnTKD1x9TNaAQy4sh3wYEAjEJqlGFhbfTLOopcRyTmHoxsWc1zC8ceNbXAvSRcyyzoxjmbQAN72lTewkCPm5I3MiNQVhSk4TSB59Yswy7BcMxv8yhV0nTh3JqFttFpzJ9gD6GzyWC%2BOjTX4iKwIiH%2F2dLtLMUQDTtQCtNP90sjsI%2F2KaVo6HBoCSQcxacz2uRsnBaN5uSS19H2ZoERsTYqBkAnRt1PRavpDJ5Gm5BOZI%2FWyOE5wCR9RrtmZtzg8c1XChJ%2FKiz%2BMFMID%2F4gIhD5VJrLLcGAmJRJrU9Yc8gun4TRHETLyKTSBSENBoJNzZC%2FMaPYMpNLEyXjbFxR42zcUVYv1KZbM0yxrGs2MiaIHPL6MrpoKWNox8l2CJgxpkuYqZlYvrK%2BER1lfxS6q17JijzxWKipzmN7Hp56EQDGSQIYrqmiUScXFaTXze5WdUX2B%2BSY2mv9Oqfo8nkiMEhpTRgGE4V%2FgnBuHlAbQX%2BsHxoEHbcK2NbCjpQ8yQ7VElHUBucvB00hmERlBz3AKwS%2BAvVS1qSo3YT14P5z9KcWIe97HhxXZJUdprCcWxXAlud86ykUBaFIVuVkhgGfgOWOwOIAUThwPPUxgPt00NKenP23QjgEqeBQYWok3NlbL%2FthY3cT9sEs2VuGUPjCQeQh5TAwXFLVAm%2FsFR3FrTy87lDBVti4EOBetH%2BB%2FjHOBnDk6wDUWwSbVM%2FJ9cEXYxBnlhGoHwgmk9aoYStaazVA4NfA82RcpolNyK3eSsGcQX7J2BcY6HMmT80nLrSOzrLE4X8cPvTi32DqC7yqEQc06GwgewP3En2NXQdq5A4NTazUiojClQlMqCgWS5j7KplkHkx6yRrM630i%2FEFmuog8ShjGGs8E8UmKQW%2FU2l0hcc0B4V3HeLJfmWs1QeZv4zZUvk6H43OskiAfXaSIR8rPZwPTVtRrSIOMDbcOfLlaXFkix%2BepCMzE9dT4h%2B0LqBdjh4vulkVJUQ0tpzlWX5knMQqvaWDTKFBVBsuDEbIIewjl5FmvDIHUWf3BvZN8ETmjZNDYOm03koC5W85EGLcComoA8wWJSVvcKeJBmal7q0F3QnkOVO7z6YzH4VZCD5juo4ZMD4BhaOgJxrKrBqLB12Hjqqp5u4eh7sQMMcFAPCk4h%2B%2BnLCYSSAYlj14j6Nq7AFWgSwnXSgTaEm2wAAOlWR2%2BJCp8GSH0Q%2BbRTmhQj5AGcjoKwg5Gch8aQnHPVhXmhGaVDhnDp3y%2Fwvwu018mvA%2FYA%2BiAEOuE3Dx%2FpZZIfzMgNSV36BaoBNP0IJz7hbmHkFdM%2Fc%2Bg7ubn%2BVYkafd8IQm3NAUWXkJ0PwbRBPI57sx6JhZloXYjHcpHt3TiZdIarsXTiGbSJGf%2FY3ZWuK7k3lvRDF5HqKN4sOwjyOIr1LeiQU8IUGHFrU5xtsr8bJ6oWecRXg2Rq1JfrtXpjvlWfX2iAZ2piaKnZXFpcLpCJ75I0o0JTZGOh2ajUF5otTSvO1euLrbnlZqtRoBXzwTKtCDCsNyvN%2BmhasbfDB0hO9jp2GsBnybDEK6qUIHN4XA3MFw8VDKrdWLq2I6rcqsZ7NWnXRA87Y1RrLC00F2uNGnn%2BSLOehANX%2BR6Em9IWj%2FsY5cHt6v%2BIhbxzNAlZTUhIVejGtku9Bgoyb69XE4wyXQwQcQx1Sf1OAkoXElBaT%2Fu1FQLiAt1YGUE3js%2BE%2FwI%3D</w:t>
        </w:r>
      </w:hyperlink>
      <w:r>
        <w:rPr>
          <w:color w:val="000000"/>
        </w:rPr>
        <w:t>. Consequently, changes in any one biomass pool typically mirror shifts in the others and correlate with fluctuations in microbial populations and nutrient-cycling capacity.</w:t>
      </w:r>
    </w:p>
    <w:p w14:paraId="6D810F38" w14:textId="77777777" w:rsidR="009D1F61" w:rsidRDefault="00000000" w:rsidP="00331442">
      <w:pPr>
        <w:jc w:val="both"/>
      </w:pPr>
      <w:r>
        <w:rPr>
          <w:color w:val="000000"/>
        </w:rPr>
        <w:lastRenderedPageBreak/>
        <w:t xml:space="preserve">The observed temporal patterns across pesticide treatments reveal a consistent disturbance-response trajectory. Initially, all three biomass pools experienced acute suppression following Atrazine and Dichlorvos application, </w:t>
      </w:r>
      <w:proofErr w:type="spellStart"/>
      <w:r>
        <w:rPr>
          <w:color w:val="000000"/>
        </w:rPr>
        <w:t>signaling</w:t>
      </w:r>
      <w:proofErr w:type="spellEnd"/>
      <w:r>
        <w:rPr>
          <w:color w:val="000000"/>
        </w:rPr>
        <w:t xml:space="preserve"> strong short-term toxicity that reduced active microbial biomass and constrained nutrient immobilization. This early decline in MB-C limited substrate availability for heterotrophic growth, while reductions in MB-N and MB-P reflected the diminished capacity of microbes to assimilate and cycle nitrogen and phosphorus. Correspondingly, bacterial and fungal populations, as well as key functional guilds like nitrifiers and phosphate-solubilizers, were also suppressed, highlighting the systemic impact of pesticide stress on soil microbial networks</w:t>
      </w:r>
      <w:hyperlink w:anchor="74440a8828a5ef82cc00a369aeeae2b9" w:history="1">
        <w:r>
          <w:rPr>
            <w:rStyle w:val="Hyperlink"/>
          </w:rPr>
          <w:t>(Singh et al., 2024)</w:t>
        </w:r>
        <w:r>
          <w:rPr>
            <w:vanish/>
          </w:rPr>
          <w:t>https://dummy-citation.com/citation?d=z%3ArVi9byRJFffCHtxxnERwAYKkJDjJC57xzPjrdhFibS%2F7IesW4%2F04AUK6mu7q7tqp7uqrqrbdGxkkBEgIiUNIkJ10BASkBJYIyEhICI6IAG1AwL%2BwOonfq%2BqZ6fbau2v5AsvT3a%2Fe5%2B%2F93uv%2ByfHCK6nSEXfaHC9celTyVNyt8rEw4%2BEw0Uamsricl3FyW6aZwp%2BzEJP%2BhNSF%2FfXxwmfi8VgfHi9cTjJBAk%2B%2F80n66tHCwkKsROKeXr%2Fz%2B%2Feu4ypyunx6%2Ff7%2Fhv%2FBhTiQscueXt%2F%2BV%2F43XLbMfuGcCh%2FsbJOGucJD0n8RhX9%2B0FX4EUleQOHDN1J6NFf41QuG%2FLCo3%2Bso%2FDyuXqTw%2BpvLf%2F1wrvCtL9GZRuGNyzfbCu%2Fp350%2F5K99cZnUB4W7X7%2Fd8fCPH7CuwtfPq%2FBnMcX%2FKSr87xFpmCn8%2BEN6dgGF37%2F1mw6wP%2F7nRRX%2B6aNup4wuqHDvtb90gf3LE7A5XWH5CZ06VeGjv9PFp1eUvX%2B83i3KvwlFbYXi%2FUo7Ub%2Fy2VuiEIYrVS%2BxUlgnIxkLy3icCSMYc5pZLRUrucEjRU%2BKmOkoqsqauUwwbVJeyIjl0qthtjIJj3CSW3YglKL%2FJBfR7%2BlDnUA%2BMnos7BI7yGSUsUwWsTBBlsnCQVlEvMjGwh0IUTC63BfMSgcnoEAUj%2Bu88cdqVY0VDtpqbJ3hEOmzbZAqohSFo9hIby4cH2sFb%2BmQVwDujdhNmfbZGtu9s7334J5jpRGxjJyITxxKqiK4VBqdSMoF3BjDL2EkIo90nleFdDXcZ7FMEiSwcMwZwV2OX5b9CC7d8ba3v3f35jV2B9J0ku4ksqDs8bxsFEe6cEarb7HN1XBmc%2FVFRzhCf4w6zG3iFnub5SmbpE9%2B8cGQ8bJEJH7gMEoTad%2Baqt96rv6OgW%2BysdRRxs15TG03gWy%2FMJAoU9qUtZGJBiLaFoajlolTbTTh4Me5rJwRUcfeSXM%2FDqCEiaBwimkCAEHHdw5HG3EFjABPi7u85I8V7zn0DBOwoPpsNBhevdKHq2i6GLp0EdCKnYHgCVuk2qOwpzz6XQbPMo5uyMAEAi7rQ%2FQtkIcnwTT6lSLItRJRhc7gymrGgckIRuN9dJpQoYGbxpWPZ7bmNNBn7D5E%2BD6Xio8lrNddAeKHWdQ5r4Md7xpyjjxkciyxENVMBNuwAKPSsNToA5f12W1RRGKJcTR2WsgE6YXbDMmqQq8hlT6N825t5ZzKGsxTkVHAXs4teAeco8dWmH3kHAq2dwPC7%2F%2FQdxWXiBnlI96QKACLD7SZHC%2B8kXHPHpGrX%2FvVZvOT3dTILyWhVXzq%2BwYtUG%2BQDux3RTpPTM%2FbaZuZOlvAOFoo9TqNtBMQpNWR9IIH0mVNfqrS8Ykg9aVCSsCT0jFpWWQqCCtKfOUZE1AKRDXzKC%2FJb7jpE4fbSqfwHFDsZi6W1soyRETXHKyeV%2BoUHMzcaNgWam1tnciBEODWZXDMuipueHZa64S9AxBmnPVgykmlKESOcz04DjKPZz5TxWSxTwZTnwl40GlP79%2BUfbrJxaOaKc3zppyE2ERX5pl27XLk4miJrS6xdWAPuhvmYr7Pr%2FhbHftTaRbEp7TQlicIFyn12gm7bbgsrr51BXMRnFDZAM558oLrsUgNj08pQshtjLwZDEHfiL7szw6g4OOpHbPI1QTNjvjLTNsSRMIt2i8WWR0bnYrCX3JTK1uppHlaZqLQioFkYn9dgSEt4gxq0fSwdpf1MNldrViqqkiDZgF1Em%2FCFYd0J4Q8r1ODcgrlQHf2jwBqNMKcOAJlBAiCpNHoYDkOZqS9wRvx7NPB0ax%2F2CLb7OMAdhWCOGegXJ%2FuVhOcnAkd0CVaKX1AgEODocqJRO%2F1tAGU2QQC8BxeUANzEKBKwNWJj2y9v%2F7k6Lcbq%2F11r3A0xNVwdY3FvEZNEUeJ%2BFBV1QAA64clUqSzsZBWY90okdeZJ8iPcFn7zuJ0STkB8gDMlaW1pfWeM1izEJzujXoUYCyppot8tuAEoLYTgNKdYNIw0aAzsIFD8ioaE1sNvNvQbxE6Rs0iK9m32aA%2FGAyvAJqYU1GzYLUBP22Xs8ugBIfnoE%2FtD1NJTDffZ5%2BdQW%2BzM23mw6bjZDPE5xA9W7G%2FoBkfoggngd0xllpyFoMX3dB0SqPQhzrj1SaTzyT8maUEySaQyCKCL7ox2J5HOeBCh9veLrewQ8lGyuZFDG3Vw7FcO%2FJ2zijgA8SErRoLOhzb4qoQMtcgCfDgDgep6yCMy71qjDk8vdrMISbLTKqKZMnaFo8wAqomgAowT1vDZrpcN1aR4BNjsajw%2BgEHYxAQuZWC5iJuxpqYC2IwAoLBkgMCmWHa5kvsEOSF7BAR4l8LbcGtuei1dovNMfmyJZneByMVcVj4n9MCHnRNB%2Fg6PDn6g51iA2SA2IGXxYc5P2zGyxRDizv5lefC0bsDfgaPVApexIII32fSb45hKL9wJsNrVuIdsaANGu4bkeO9iFD7spN5tvaIAm9%2BeC2hnZgnmBJ%2BsgVexppLx2yVl5TuPrtlOHBD%2B8p0B1PYTED3Ir4BveloMFrrDQd5WOWAhDtFounjG69cpo09UmEDuok%2FbcRwvb%2B6AhpFe10CSTsl0oatkn28Nubic8q%2FaslxBXH7c3rTLlBD%2FE8SxKJqcQ9dkYkU2Sne3%2BNphv%2BAHNsF7HiJsanEwimnfgAA7YdT8R4vqrMEk12kSNRBMnmIYZbxM5W2XEk3i6rk%2BUvJJu%2FwmheTs0TTe%2BDjCSZoEN7hpirO1ruD3IkmsN3qUSOItsMHzctRrOXhV4aD%2FnAw2Fi2q6ONjZXeYLTaGwxWBuu9NaBuXBzR1C1%2BKkdreLDx9vpG8%2BvqxijTJZYQJQ4n766uXB2trEPN8JEvny%2F%2FI5QfyqBzmJd46ZcWL0ABAZe8o%2FpeSbs4WOgud0DdBG2AbTASD4w6vJE5V9pry8voiEnfNpJ9bE7LBAJgfRlfaJfPdr%2BPxym%2BMri6pJRMms8i93F5CegVOtkB57dvg17QPZBV6GgRb9Xbuircm2AP%2F4EAHPAu3j6sv%2FtlHhB6OP7ubIWetuN0n5%2B%2F77T2vZOr%2FEsMrZhCeDWqkJVvTLOC2vXxQec58f8f</w:t>
        </w:r>
      </w:hyperlink>
      <w:r>
        <w:rPr>
          <w:color w:val="000000"/>
        </w:rPr>
        <w:t>.</w:t>
      </w:r>
    </w:p>
    <w:p w14:paraId="0B31BA8D" w14:textId="77777777" w:rsidR="009D1F61" w:rsidRDefault="00000000" w:rsidP="00331442">
      <w:pPr>
        <w:jc w:val="both"/>
      </w:pPr>
      <w:r>
        <w:rPr>
          <w:color w:val="000000"/>
        </w:rPr>
        <w:t>Following this initial inhibition, progressive recovery and eventual enhancement of MB-C, MB-N, and MB-P were observed, albeit at different rates depending on the pesticide type. Recovery is attributed to two complementary processes: physiological acclimation of surviving populations and selection for tolerant or pesticide-degrading taxa. Where degraders proliferated, they assimilated pesticide-derived carbon, nitrogen, and phosphorus into microbial biomass, facilitating the restoration of MB-C and driving concomitant increases in MB-N and MB-P</w:t>
      </w:r>
      <w:hyperlink w:anchor="a9bf781abd46676f4a99cb87c6ffd09c" w:history="1">
        <w:r>
          <w:rPr>
            <w:rStyle w:val="Hyperlink"/>
          </w:rPr>
          <w:t>(Cui et al., 2022; Meidl et al., 2024)</w:t>
        </w:r>
        <w:r>
          <w:rPr>
            <w:vanish/>
          </w:rPr>
          <w:t>https://dummy-citation.com/citation?d=z%3A7VnPbxxXHXcgEVUPSEgc2h7ah9qCA97Jztpe2%2FTQxGu3%2BWEn27ipS8SBNzNvd148M2%2FzZmbX6wNKeykCDqBeCuKAhDhxRZUMh4LEf4DEAS5QcUAcgBuCSBWf73uzM7O2N2lJLpUcJZvdmTff933f7%2Bf76zNvH859tqe07Mvkc%2BJurjIxfuL9bqjSQah0nrL57nkWyVhmPJMqYZlisfS1UrrPE5nGKZP4m%2Fha8FQm%2FWjMtPBVP5EHIsB1lioZpQvMyzMWqhHLQlGXFotA8kyk5nosMu6pSPpsoJUv0hTXVc9u5%2BF7oOUQWxiRzOfag4D5znlsGGFzgf9jLpOU5YmPC9phl4UWC2wk2EBoHBGbMc7azUbAx6Ry7lklxD7uy1gkGeNBQDtkI8XcxU4j4h5kB8we1mcd7J1rqMbm%2B1HuK2zKk4Clmeaj84xnrCeHAqIn67tGoNkkEkMRkaVYpHA0NpJZiK8jxodcYp9IYHVPq9iYYsus6UawDc8XWCeUCXfY67iT5JmWpGplxWkrjXBodjfnSSZ7Erp7YyaSg3GMpT4bCj9TGkrzaJxK%2BIWnqfLJBYHVyNhWi3QgtZG9UAiWPKr5h2BilJi%2F27nROg8FWQ5biF5P%2Brjuj%2BGXW5uwCIwzgGnJpriJzQEnup4xT2E3eAmAmXebDC5J7Xo6M5tvTy6lGe9bHFQec9hNkeZRlrIUmILqWQiJWgS5TztVGnfrWCtAiuXQuQSNMbkBKVnKXfvw3rut9otGE3NrAoFj%2FjbLW3Zla%2B3FBWM1nBAIiMbkKxMXgfSNcY2GxrhTOqmh0DwCmuFFCCX0wu6h0PRAQnEQIyDT2pE6pRvS2GGXWCL6EAXU4UAWDaEcME9kIyGS4iLudoye9b1T8gJhrSd1mjH3WFj0cm00OXIIIBpfu2w%2BEBN7dhvcv5tLbdxMWIOZyBBAvjAulHFObg1mnIPN13zzYFl5EkAlkai8H5bh6LBdKIrnEd4DlWLpUXtA7%2BNxn%2BZ9QKs8WCghslIwFJnQKtNqEALxtZAodDDLawEON4ohRRIZVWooV9naYa9YY8aKMpLBPkySyQHCXos%2BpKdGBsUL1xntT%2FAEZBDJuIur9IgKbA6ZdkgFbUovdXCbkIaOEAsAFJoax9vIqxljBOsFOZRXJvuVGXiBSUc4%2BCxT%2FFTGKhAaMKBBxdb4hOseSyzwDOar%2FFls0d1E5kGqAvRpX%2BHDM3jGYqtajRCr7Uu5xpylQB5dQ5pBFCAbkuGr4yxQsUHG1Qt1F9VkPVDdDoMjSUeEMEVIoJDBjMERp0AEDjRtZ4uIaY%2FvClrtR3lAiIDJywwNhxYikUFxRKpamcAvH2CoRX9fqxF5vYqT49UDRXpSqAu3yEhmY1S9IiJIfwLPCNmUzlkvtJA4qamd8iyBGAjYmOLD2qIu12E3co2MAQQmfaRfG0H18x1LuyGUoPQmYSIDmjJCbUWAVuVWKRoQyCviDKeFtlRXkHnHCFQ0G%2BXBi1w6pVwwUnrvcO7zIfdIiJ%2BddjKnncxpJ3PayZx2MqedzGknc9rJfGo6mYj7BrTBBpzVbzVbyw3XjclnsLDQV5KeOpw72%2Bd5Boul96DkALnlFfxTOlh2Fl2RySwS4asCgaZj3huqKI%2FF02d%2BNiiFbCmEntKHc2fkAJXpJk%2F64nDuM6i1yKJdXHlm7szvfhJGCN7yV2RgI9EDYdvvY3WQ8Jie6vV4LKOx38ml6MMkSfgNlfT3YdsAKBNzx5eG2%2Bi8QsEDu15scD2OZi0Odkk7s%2FDOmxLf9%2Blj1mrvzdyu7W9DgYNQfAyxPsTOWubvismpsEqhv5q5tX87LPbu3Q5Fsjdza%2B9VYdcFr8tg5s5BF3sV8nbCHBXg4RsH69Bx1jJxG%2FFYSJRvwjo%2B%2FZ65%2FSvl4nALOSdEM2bX%2BjJIgUA%2FUHL%2FWbfpuE23feGO0y%2Fw5gCyLcd1l1fbq4FMveQePtPkbdnEusZKs%2B1Kd3Wl1Wi3ltdChTDlkdjf211qtZZXl5dWlpp3sDy38L9DshrNpUZzJR7kHoIdCcFGwBmj795mlKJgIdmsv7GHEmMq6S0d7Tthlg3Sr1%2B4AC0d5OILD1a0n%2BZeNh7Q%2BfeodKH3fh0%2FzyCChepdQ6qoX0bmiaIx1ka%2BREJdH3dUnmRP7WVa9JCwkAKDXYwjqb28agNy%2F%2FJGlfGrNFPLfSe0echOtTmhyG4BafqEn3%2FyYx7OnetHZezfodi%2FnscedHbdtbW1ggs%2BGw%2BC3mV0BhH%2BZfD1GWkeorL7A0KK56l9IKCHFgEL7r%2F80Rd35vAniEQvu3%2FxSy%2F8kH4hHw3uX3ztL%2F%2B6hx9iJIMsvH%2Fx%2Beffonu1nc%2BeIPBi45nf%2F2aGwJuHb12sCdxo%2F%2BNbDxf48n%2FymNQoBF55%2F4%2BVwMtPfrku0P3xrz%2BOwI%2FeucFmCLzy3jenNFz%2B4KePJvCq94u6DTfaP6eVjyDw2sJ%2F%2F%2FxYNbz276t06%2FEJ3Prtj6aOvPLLRzzy9vf%2BRoh6fBpef2N16sjtrzwibG6wd6aOvPptUvhRBP79D1NHbmmC5cMFXqvF8pTA7u13%2Fy8vzxb4wa%2BmNFz54BE1fO2FD8kLlQ2f%2FXg2nC3wu08%2B5MjFe7Oz%2F9yQqZ%2FbCaiL9g8cQkCDB1pYjESDQUQ0BrWcQxnkVD4WkNVxxxIKZpjy0MOJhqaqYCb3POlTgVADmjvNzOPz3JQPn6c%2BNyQPNaXUb6LmpAz5u1ZZPKliMCMLRyZQbEzSSwrGH%2FsRSWLzm1HjOg%2FDYnv8uszRrLaa7spL7FWVHKBQHzS2ULIPmMDEFjlgGtYWX2LsGjX6xaVWs9l%2Bie2MUMR5dc1dOl9nsrSCFdASD2UjINWN5iUJYDvastHHjOOhaUU376PmmfJKt8CHTaxcNt8V5YYCiqGFzoWmGjPw9Ky0wNjuziVriO3dDbgC9zDRYBjF5Ig9C54H29R2gVINklj3osN2iDAkdq5YV04EKPe16UyLAfoTGJzm%2B5jfwYHLiWCiN51c6YwmKmOQiYuyXCdEsjjsCgYqNMygW6A85s6adtNIK2lMopgsiXlkxJ4eHmlmAwVhCJ8BBFGnW8w9HnEwUH4oVZ5CZqB8zBMY9gJmDIgnIrkHvggrCaAYzXiCgbAEIjFK4D0M3vMMU86BYMwXOCjUMEokxi5T1jbDeuHCRGJexbnhtqpdst4rOqPJZGMOauetGL2qn0ckiYxZEBpqVI6khgTLPRs%2BAGoRHmx%2BZwjmJlDDCXwJv8vALzGX1amKeY0QMzmU3RjOBIeH84QcYIaEVFkbEs9nuOceaLgsp2HfM3QRMdKQPeSaTDxhC8kexyb80kAN%2B%2BhkM1CcAnwDxXEgAUCECXiXgo2rM6sxSAoPEOpJgKxgaqF0pTWG4IkioLyIJd4gTgrGeoOjnSRjNGGM44T7ufcuFV%2FZdQ7IkueLgZfIAksv1NgLioc0xx2wBxz4w7hh6JMkC8FXkb9Bn6Bd9SDIjCpIE2bKTZ1ahq0CC0ISywjlngT7llm42qxBG54kyxzMOMpwDEjloJyxCF4qUrNJLMjFgAdyrcM6JgdlkExPENyhdDqG1ujzwfpXmiEwLLOFSG2QLS3dZqZ%2FCme21Gxa2FFAgj8LKNop4EjbAlQTRLPNW5CDSEEGJQGBOhDWtQXqatmwPDFxN6W6xXsM5OEJq2RSsbGdCWuWqMy6CQiEWWjXI7m4MhCxPeTrApclEVjT40hCoiUc4xR5xWG3DAbsdKPAOqL0FWQ1BzXiY4e%2BRvWKoIhRdBJj5gmDZmRPQAuOEvuYWBPrQZpQSR9TUCmn0Y%2FC47bsUdU2OANRQ9sWB8C5WGUruBWx9YACU09PJ1eYETbXFMtEF%2FE%2B3IvyRg%2BW32GTA7jTCr5s89lmB0xgQfXZLoHOTtokOfJ9QZ7SoRMtfeAITJZ9EULvnypbVI4CbwZFiubBvkqp%2BY7QZln2qoBhjOUZZXigHQQgEWWWHDNGhVuo9BltuafzQVZ71Hjbjoo2qsqifqxRmbanw64rMhUOXEkrnDWIiPaDvyTeyOHlDNVH42cqaiZISyiBVIqyEMJqxjIJGOULt2pmQcQK3Ze0FUwAXSV0OmYLAjGZmUrX5FWCLSRT5zkGD0sxUmxxjccp7u0wPeloECr79eCqF75J7CWCQoIahQQVSSXkEnMGmNjUHXDClEPNYiRNeA3FG%2B93jJMriSdSis2jlOK5GZTiitNaEYaSeaIgMhY2p%2FTZMW%2FLbHh1EcqIVNgDL7fM2Qv68annPgH7%2BLTzp5J7fNr56xTz%2BJ0TiK1tIdG8Wy6xS288ZpFa%2FS0RojkBKM3aS4ncm8m%2FeesF8Se2FfLHrGXxuhYggRLzibg2T3RQhmYKDtdBDmoe84KovMpTotFn6rE10WNT30UozmL3biLLqoIvvIrElIWzlvZuyghotGv3tpEfQokS33Hq%2FN45w%2B89Y%2Fik5sqF1HUXl9uNZmupseiuLrYb%2B9Pc3trSUsNdXFqSbttdaqwsrU1xe4trzTV3aXlxMRjEMggXV1utldby8hGmDzSf23DbJzN9%2B8%2Ft4CUskKIngPvaOg1DhP9tegE%2FRf9tTHgxjDZ7Tlo86SDwLhCYANwL4LgsW3bi6Rzcfhyk4BdO5gQXi1C60pkMN%2FXMiXyQD8woMp2LJi8rU7YnxkcyTo0U%2FOqJpOCJx%2Fwf</w:t>
        </w:r>
      </w:hyperlink>
      <w:r>
        <w:rPr>
          <w:color w:val="000000"/>
        </w:rPr>
        <w:t>. This functional compensation was mirrored in microbial population rebounds, indicating that recovery of biomass pools is mechanistically linked to the resurgence of active microbial communities and nutrient-transforming guilds.</w:t>
      </w:r>
    </w:p>
    <w:p w14:paraId="0DCE7995" w14:textId="77777777" w:rsidR="009D1F61" w:rsidRDefault="00000000" w:rsidP="00331442">
      <w:pPr>
        <w:jc w:val="both"/>
      </w:pPr>
      <w:r>
        <w:rPr>
          <w:color w:val="000000"/>
        </w:rPr>
        <w:t xml:space="preserve"> These differences illustrate how the chemical nature of the pesticide interacts with the indigenous microbial community to determine the speed and extent of recovery, and the capacity of the soil to restore carbon, nitrogen, and phosphorus cycling functions.</w:t>
      </w:r>
    </w:p>
    <w:p w14:paraId="451B121C" w14:textId="77777777" w:rsidR="009D1F61" w:rsidRDefault="00000000" w:rsidP="00331442">
      <w:pPr>
        <w:jc w:val="both"/>
      </w:pPr>
      <w:r>
        <w:rPr>
          <w:color w:val="000000"/>
        </w:rPr>
        <w:t xml:space="preserve">Scientifically and environmentally, these findings have several implications. Early suppression of microbial biomass pools </w:t>
      </w:r>
      <w:proofErr w:type="gramStart"/>
      <w:r>
        <w:rPr>
          <w:color w:val="000000"/>
        </w:rPr>
        <w:t>signal</w:t>
      </w:r>
      <w:proofErr w:type="gramEnd"/>
      <w:r>
        <w:rPr>
          <w:color w:val="000000"/>
        </w:rPr>
        <w:t xml:space="preserve"> acute ecosystem stress and potential short-term reductions in nutrient availability for plants, whereas recovery driven by degrader proliferation reflects microbial resilience and adaptive capacity. However, recovery may also shift community composition, potentially altering nutrient stoichiometry and long-term soil fertility. These dynamics underscore the importance of evaluating MB-C, MB-N, and MB-P in conjunction with microbial populations to obtain a holistic assessment of pesticide impacts and soil microbial health.</w:t>
      </w:r>
    </w:p>
    <w:p w14:paraId="3A9292DD" w14:textId="77777777" w:rsidR="009D1F61" w:rsidRDefault="00000000" w:rsidP="00331442">
      <w:pPr>
        <w:jc w:val="both"/>
      </w:pPr>
      <w:r>
        <w:rPr>
          <w:b/>
          <w:bCs/>
          <w:color w:val="000000"/>
        </w:rPr>
        <w:t>Soil Microbial Responses to Atrazine and Dichlorvos</w:t>
      </w:r>
    </w:p>
    <w:p w14:paraId="24190832" w14:textId="77777777" w:rsidR="009D1F61" w:rsidRDefault="00000000" w:rsidP="00331442">
      <w:pPr>
        <w:jc w:val="both"/>
      </w:pPr>
      <w:r>
        <w:rPr>
          <w:color w:val="000000"/>
        </w:rPr>
        <w:t xml:space="preserve">Soil microbial communities such as bacteria, fungi, actinomycetes, and functional guilds including nitrifiers and phosphate-solubilizing bacteria (PSB) play essential roles in nutrient cycling, organic matter decomposition, and overall soil fertility. Microbial biomass carbon (MB-C), nitrogen (MB-N), and phosphorus (MB-P) reflect the living microbial fraction and are closely linked to nutrient cycling and soil functions </w:t>
      </w:r>
      <w:hyperlink w:anchor="96463c6735451cc1a8d297e3a4d5a8ba" w:history="1">
        <w:r>
          <w:rPr>
            <w:rStyle w:val="Hyperlink"/>
          </w:rPr>
          <w:t>(Chowdhury et al., 2008)</w:t>
        </w:r>
        <w:r>
          <w:rPr>
            <w:vanish/>
          </w:rPr>
          <w:t>https://dummy-citation.com/citation?d=z%3ApVdNjBzFFZ6NQIkUoSiXyFYkp6KgJCTe2e7Z3exupMiOHQFO4h%2B8GCNWBmq6arrLW93Vrqre2fYBDEIckLiBuCJOCMEFcVkBEhevDwiJEwfEASGEEHDgzB7ge9WzM9vYI600h9ntrn71vb%2Fve9X9zE7n7lSbhHtjdzpzV0ueynNV3pc2iePlgbEqVcVdeSkGD6o00%2Fh5BzsVtihTuFd2Or8Q%2Fb7Z3uncNcgkGeyd%2BH5Pnux0OkLLgd87%2BeePP%2Fkcd4k35d7J81%2F%2BHtcdOVTCZ3snT728RM8O%2BJ27MyCfBnjh8ms3DgLe%2Bs0HMwK%2Bd40dBNx9gSxnAHzojyeebEX4IN3OAvj8PXQzATz66oyA33xGjyaAD8wIePH8G9SFCeDlGWt48Z261ZRb984IuH405Djp8lezAj71uxaxb%2F1pRmKvf%2FFlm9ia8GcAfPiBt1u02X2f8GcBfPOZVoS7P8wovUu%2FPd%2BO8NsZa3hp61hLersvzUjsS59%2B1yb2sRlTfuTEuz%2BT3uEABeU1AjzzNmljBHjvr19s02bjcMSeCviX3lyL2LuvH66GUwH%2F9qhv0%2BahGSOcf%2BrrVoQ3fzxchAcPqRZgdPGtVpdv7h6uKVMB4y8%2Bak2bmxU9PAgor1XGy%2FruJ86qxBpjU14olzvGrWRbynPNcBgzZxQupPVKK18zXoiw7DPJhEznLRfhVGZmwBqIhOXce2mDaWm0rjwvvGOqCFiuy87kpbG0yNjA8mR%2Fe%2FB0reLBjyoSXQnpWHgBGNsdBziCHbsa%2BcIy5dBXCLqvTM6dYwm3fdpQKG9NKmmrKqQF%2FHXe15KNDcL%2FrBaWe%2FijqGVxvc4lIg2VaaEiiyYNpuACbyNKSCsF47STqXFmCMuqfuXlbZmxjdUrwYvyhEGFzDlg0Rjs8xn3zFUl4TQPmwZURVMn2ghnziQK4aLA1iTSOQSuii2jt7A0VD5rduINSxVp2JPUiaZrCqeoEBuc7Scrbdo0VibG1c7LfOwPW9Avz4bIj2V1aYDr1HV4CYEGL7gl1JDIbfVymak0Qu5LxhGQNYihRMEUWGr3t5XSeZWgkkSpMaMSXvKEKgYrbC45OJhUmo84ubF2pcsu8EqH0B8xgJY1%2B2u8trp2H9uIoyvM9J20VJFJsJuFGWop0klbphEHzQ2BZ1KX1PWqQKMdeiuojJkZsi1ulancgaoNjd10x1GRIgG%2FAvJEVlBNjjQaZVEy%2B9k3DTYGnZN9RB4jL3Y%2FqoPelqSjEgWjdo90cscuhSIEJCaU85XtcwThmKgk82aUKi9AspxoVgY9weA45caFUAEdltOFNHlCe5GHAn5eOZBdO0MdFhJaJJUJpNFDGud4UahSSauYJLPucWrQWkQNWrzC0PHCqwEeEqmRgJVbSg4Du0Am6TMjXOiUr0RNWd4xhv3R0mXrlKaVrlQQMyUEgUGWyJoZNLNxoVXQfwMfNvsMdrRNJr7LTme8SIOgmrIdxBtC7KxyjeBZYhUSVjxMxAmJvdnGBYi7ES%2BhCIJosdO5R%2FMkSFX8B8pNe1FveT6OcswQD%2FlLe6YYGPo04hXisu6GxjBBkvfjZ6zodVd6UjlXyTnplddy%2B9gZUBHJ%2FddUtkBBUKbRuDLapPUA06DK5ZGoHHv4%2F%2FijS9ExcJHSxKmCBoDYF7ByxGaajy6f1rQvzDBE8xydPgXPyX4w4LnStToNEYissrVM1RamyL9dpnJhjZad263TC9A1CtvYpuvcDVHRadZinWe8Me2f7U6zGqzzoua6scvOKc2Lq2hxsEYj8NX4y0QYtX00jrpxFK0suLgXra7ORxH94nh%2BFVLpFzfw1xXPqiha%2Bsf86tparKK1lcX5lZV4Ocl5erUXLS%2BvRr14aS2DHlFqub15ebIoyxzO0sWl5agXrYgyVyLrLZK%2FaPlq6FhoOGDI7eJ8FOdl1dfKZfs9nwt5bf9hvaRxDcWvJxjPifz7qQqjBJRhZzEw%2BSaIiF4n8pLV20uZ96X758KCrGhKIIYuRs1CmJFaugUsjCI6gS%2Fpf1lJ4yt1Vd%2FXJZVwc2T5MG7nwGxpBv9ThTi4LDGodA1bDTJLcao%2BbarCH%2FnQW4n3AQpQXKaB1yw%2FNqLl4zjdQVmi41gR0PBISyP9EkNV0sxBpA4RNWdRaZxTJE6YWEwqZB1kh4ODNAOxC4r%2FV0mFEty3XwL0OCQ%2Ftc0%2FAQ%3D%3D</w:t>
        </w:r>
      </w:hyperlink>
      <w:r>
        <w:rPr>
          <w:color w:val="000000"/>
        </w:rPr>
        <w:t>.</w:t>
      </w:r>
    </w:p>
    <w:p w14:paraId="6F5C2CD2" w14:textId="77777777" w:rsidR="009D1F61" w:rsidRDefault="00000000" w:rsidP="00331442">
      <w:pPr>
        <w:jc w:val="both"/>
      </w:pPr>
      <w:r>
        <w:rPr>
          <w:color w:val="000000"/>
        </w:rPr>
        <w:t xml:space="preserve">Across all microbial groups, the study revealed a consistent pattern: an acute suppression following pesticide application, followed by gradual recovery and, in some cases, enhancement relative to control soils. Bacterial populations declined sharply immediately after Atrazine and Dichlorvos application, mirroring early reductions in MB-C, MB-N, and MB-P. This suppression indicates the direct toxic effects of pesticides, reducing microbial biomass, constraining functional guild activity, and temporarily impairing nutrient cycling </w:t>
      </w:r>
      <w:hyperlink w:anchor="9fe612286031bc87978a4d6dfa54e936" w:history="1">
        <w:r>
          <w:rPr>
            <w:rStyle w:val="Hyperlink"/>
          </w:rPr>
          <w:t>(Bayer, 2026)</w:t>
        </w:r>
        <w:r>
          <w:rPr>
            <w:vanish/>
          </w:rPr>
          <w:t>https://dummy-citation.com/citation?d=z%3A7VfLUhtHFJWdpJJNVlmnqldZISGwATs7EHIyMUguJIpKpbJozdyZadPTPekHMF7Zn8U%2F5KNybksIkVCuytbFRox6uvs87rlXxafb3leldapS5lv6K9pA3Td%2FvyMfVK4K8kI6Etd40p2IngqhjGhsQc4IWTmVRx0idixiEHRDLgivKqNKlUsTROvIe35tjfBWadGo3NmFklrktmmiUUEBItQS56IPEpfjBJnAWyi3vvOBGlFGkwdljR%2BMr0DF5CRKZxuxsKEWpSJdALwlpxocBWVTiIaC7EsjdeeBoEwBRuEOq92QpwO5DV4LZRvp%2FZYA9VY5ybBb6UYyH7qGhASTq8R7S2iShTKVCFZoa6o%2BrmpEobyLbaLLZiXddwKkVqEbrN1l1jYZVEsvFkQGsK11AT7jTmVKHZPaUJPwwcU8mc1s7m5keFsCtCzJQf2%2Ffa6cje1Dqg1JYMqFJpHX0lTJH7GAMDgo9RbfXfFfxmmdDcqHzXoN5jV58KlVGXBzKx3URC0dR8QgGiKPDb7DpyVXfAmqvzZ9HQscXpklTAxOMf28yzXz5HOOirgSD%2FhW0w3cY7X38pQBaS4JEmYoXFt3iVsZr0G5Qeia5CUll%2B7jBGSlgZYTSxFSNXxpqJXHqytF1wJPMAraOW7gknAqpAGFoSupY8oFn8qjW9oeYsFZlkXB6hiwttf3Sbsv9bqq%2FnM9wfohXLmN7DyqdjBrKefTMgRuHLwC%2BwreG9bA5rVo6mVLPfCuwB7nYWmq%2BB3GKt9YZAorlL6mK9KpJxBrpoe4KrtqK%2Bu8wAjZcLhBMLF8V8hVb6fI3U8NgLVJDawY%2FGqvAeG2Huxdv8ZqXjMo58AijrJtNUOn7gQThD%2Bgph8gaEl801Xj0VJKikZ2oibdsi%2BQAoL0mB3p%2FJ0Ng8PiSqZipcGnKSU9bbE46%2FsLyVMxWKthQnTw23GrkqnwiBLAf8xNdn6z2jbI%2F3i4hU3QwaaliLEDymCe1php7O%2FjNi577FHv%2F9jd%2BXNQcAFve9%2FXcgFe0PU035%2Fm%2B9N8f5rvT%2FP9i5jvWuagD5LHiG%2B1O9zd7w9fNHCF7yKXmdLe9p5XMoYaJD5SUAGd9upIXkYxCzgjzs3amt9sdJwSyDlRJYlZnvrIi5%2FEkbLaVl27vvnEJl23vWeqlRWd8agBEn4cnA%2FvsPJDreXqSfMpp%2FAzAg74l%2BN5YWTDu8tSNkp3dCQ7zLcU6%2BLQa1U41KKHzvK3va%2FzwqqbH3eGgxfDvZf72y%2BGw%2BHLvQGk4mPwEqs7uxg0C%2FMRn958Utiw3z8Y7u%2FVtiXIoZvLi4OdnYPXe69fHey%2Bx6a4tOv90q6d%2FnD3EomB%2BJzOnb7p1yG0%2FuftbQAPrKu2P4td%2BbgIXctyLtOw1DTH12cIL9nyLRKwuYwfLq077NW5wrw56kY2mtBDpNKEz6m44L5frq6qZWfT7EScZqOz6VF2eCJG09PT80k2z8YzcTg5Fm%2FOJ6N5Np3g1WQ8v5ievcX6TBxl02xynI0O59OzmZi%2BEe%2FGs3k2yo7HYjY%2FG89mIpuI8Wg6%2B302H5%2BK0ymunJ5lk18KlvMdZt%2F%2FteIf</w:t>
        </w:r>
      </w:hyperlink>
      <w:r>
        <w:rPr>
          <w:color w:val="000000"/>
        </w:rPr>
        <w:t>.</w:t>
      </w:r>
    </w:p>
    <w:p w14:paraId="3E305925" w14:textId="77777777" w:rsidR="009D1F61" w:rsidRDefault="00000000" w:rsidP="00331442">
      <w:pPr>
        <w:jc w:val="both"/>
      </w:pPr>
      <w:r>
        <w:rPr>
          <w:color w:val="000000"/>
        </w:rPr>
        <w:t xml:space="preserve">Functional guilds exhibited similar trends. Phosphate-solubilizing bacteria also showed pronounced early declines, with Atrazine allowing more robust mid-phase recovery and Dichlorvos causing persistent suppression. This indicates that pesticide type and microbial degradative capacity govern the resilience of nutrient-cycling guilds </w:t>
      </w:r>
      <w:hyperlink w:anchor="ff527332d81e75a144715ce51ac076e1" w:history="1">
        <w:r>
          <w:rPr>
            <w:rStyle w:val="Hyperlink"/>
          </w:rPr>
          <w:t>(Gangola et al., 2023)</w:t>
        </w:r>
        <w:r>
          <w:rPr>
            <w:vanish/>
          </w:rPr>
          <w:t>https://dummy-citation.com/citation?d=z%3ApVhBcxxHFV5RNnCAVMEpcOqqAOWAdrW7klYrkyDLMnKcYJfKcmRSXOid7plpaaZ70t2j1ebkcCFVHKiiqJDiBMWNGxwAHUhCHH4HXLhxAA5cdDDf65ld7cpaI5cOknamX3%2F93ve%2B915r3z1ufC6J0lIf3BFHX%2BuvrkftqB81OW%2BvNVciLpq8319uRrIb9ZejtdXeylqSmYh7Y48bC%2FsFT%2BS9Mh9Iy3uxsSpR%2BkpeiPg1laQZfryDlQoblNHu58eNz4jBwBwdN67EqSSDk41%2Fvb96o9FoiEzG%2FuTGnfc%2FYY3GQuRNcXLjzR%2B89HcsyaESPj25ceuVTx7hcerUq88L%2BIcBLZ0Cfoy1CwDu%2FgoQ5wHufemns4CfXtLDvezPs4B%2FuRhgbwqQ%2Ff63tKkCfOkn7308G%2FIZwM8%2BJ%2BA3xH%2BJtFPAv248efLkEoAvfyeih%2FlJeV7AxRf3ZmXz%2BGKAa%2FMAW%2F%2F%2BdDYpH9LjJQDb%2F%2FjgjLDxdBnA7v2fneHwYlmeC7j80Z3ZkB%2BTw%2F8X8BdfoEDOA1z91n9QRM8Q9sU8%2FOEEsPfBP%2Bnhskk5Bexf%2FQ05P%2BUhFc4lANftW2d0eCEO5wNe%2F9suHhamPLwY4C9nk3IK%2BMr3rsyG%2FNHFkjLdvmYAX%2F3TH2d1%2BOHFPJwLuPH13017uPWj7lkP5dul8XJ09csPUskK45RXh5Jx50ykwthhA%2BmHUmrmU%2BlgYvFbe5aryJqBdExpFmE4GesVZzkfMalTriNJ9soyIRPLRYXEByoDPjaVWkjLCum8ipSQzHnAOnbtLZXl%2FB0mPeNZa5F1293uyy22XVqA2dxYuchMaWFeihGgcxzsLfdA9CkfO6V4BpfyvNTVYUPlU8ZZCrZYLj0fmExFiNUjDrLF6J1yZcZhKxmdCs%2FhMUfYiNYZlQEUDoGN8TaHj9Yp5wMa10weAV5IQe%2BVEYzeYoOVSZlxm41Y6bBoDkGDV7lssS2TF9wqnRBxzA9NOIj5Ec5YZEPJzMBJe4hNIVQyqr0C1yYO4QF2EiDP8MSjkM4ZNrgLtjgYwVheKAHDKmo6nU5dxJIAhB%2B748oQhmVxqQFpNFHMCx4pP6LDK21Ma8IjX46WdOmtIsVEoygDHkWqHWSHd9koRBaBL6VjomIc2tOZHBFq9%2FZWRYs8StVAeccgxqBZMvBmKiFAphQh2mfiVXBCuSLjI4f8UBIr%2FRrambNrt7lOTManVdmBKjcrT4t0lJU5y%2BShBG%2BkTqoQbqN0TOJYnWdIKj2q4Z0ZDcFZDodKW6U04nZAKtQCRSVtMgriquoqsWZIssaaoKNNkYPQFqMy9uYIAtfcl1AccKZOyCQXcCeEBv2AvfooaT0HIQMoBpkGT4UpoNRw8Qz5JFzQ6SFAx%2FMiq9wFm1At3oUiIyM0A29NVhuxa6%2FLOIYA3BR9nT7ou2cgVBIAbaoFaVWUamoE8GhbWVBVgr1FtgnNaTP2bTFEvZVmxpo4k0fqKf8opa5MEsQd0g%2B%2B6kpQ%2BtBkh5K4ol0TZprkNs8VSKsBWky6CLV%2FsvE4%2BXWYAENjD44bX0xBG5pO5EdX%2BHeP0DKJ5RnpsQgdEIfPVR72l1HITtU9T0%2FmCTgoM6xRY1IyEw45NYiYZyOIJTBco9dRYyNFNnNO1cihnbfvP2jubN0HZaEzJFIbGNYNlFoBThfwRYpKOrU9aRheIGlVnU13HXSAs1yxNCi3zmJkihHKnsYLJbLT22X21r1NYJKe4Gotv7BzBiuIaMJji90duwytEgGoTUQNEWAKhczCpfPcgZnUJKYJpkW3nwioYj20WweOZk89TwmvmSFqzFZarSZgVTZnhTktWhLpzbBigiiI7digY1P8AwwaZELXMyXgTjxwhTqYnL0pREgl9fOnHdByGDoQ2kaJjoMjpupike1kaGXe5KNITnzakxbqIxkEvQS%2FNOgRz3SE2qlCPW9i4ZTIUIhWamp3XKKi0c6p50xGVYgUs1DBjaAwdMCY%2BqJOqjEU%2Fs%2BtMinPLyZkqCpolWgVo6HS3GAK6Yuq6mYDZTKT0Mib0X41l2oaSdwz8%2FL8eplzMYlMmQkKBRtxH0LwNL%2FH7bhqPKGn0DrG%2FfQdAhThlUXPEfWNarYln20BUh8qazTBuVbGowgOSHELawkmz2qzvZ4He4WRcEfHBlfBhJc%2BNdY9yipatvFjrOi11trSKw8tfGUbkJj%2FNpx3t4qdWBvFaIhlLl%2FIQuNWgxI73Xt0z9Q8l%2Fgbx3AtGyX1GJQJSlgnuxwtapAKtHrZeNpavm5cqirbdBevDlzK5xmnN9HRBKqxspe3Jep%2BnrHYgQDGhrhMtOYZxrspt3ntr9xE452LmeyQXGEVbNUbPD3g8FfPtb9ZHgB8HN89vg%2F5bs71RNznurZN8HEfvawyhQDwFc%2FVSBh19NVOu7W83F9fiqHMQQupXm51umudTncdt5OBfoTfTr%2BrOr3eSnO53f1%2BagoUHnJ78HBlub%2FW77R76yuiyJVIl9fWu%2F3e2vo%2BtpSVdvYJsNlpN7vtvCgHmXJo1ZV8FoK75lQhd0mpBxB%2BuIm8abOjh6n3hbu%2BtDQcDlvx2FDplrHJEsfVP8J9YGl%2BBEv4VmtDuZ36YLHXfXWbZ04mrhzQDRdcHdQwD%2FC4gCqRJn4DjWL6NVSBJgjbDPdOKW6OttBO%2FQuoPtwdqSOKhxjRLrx98du18n%2BMGY2OSDfZ05IXyAX8xyhGlAXdR0NdnDN9r2OuVbOiml2TOTSnU1C5a6Obk8aBXhcuUYLi%2FHxUgs1vjtlE3gOD84n7Hw%3D%3D</w:t>
        </w:r>
      </w:hyperlink>
      <w:r>
        <w:rPr>
          <w:color w:val="000000"/>
        </w:rPr>
        <w:t>. Actinomycetes, key decomposers of complex organic matter, were initially suppressed and gradually recovered, with Atrazine-treated soils showing stronger rebound than Dichlorvos-treated soils. Fungal populations followed the same pattern: both pesticides reduced fungal abundance early, but Atrazine supported faster recovery, whereas Dichlorvos delayed restoration.</w:t>
      </w:r>
    </w:p>
    <w:p w14:paraId="5FD8A6CC" w14:textId="77777777" w:rsidR="009D1F61" w:rsidRDefault="00000000" w:rsidP="00331442">
      <w:pPr>
        <w:jc w:val="both"/>
      </w:pPr>
      <w:r>
        <w:rPr>
          <w:color w:val="000000"/>
        </w:rPr>
        <w:t>The synchronous suppression of microbial biomass pools and populations highlights strong mechanistic coupling between MB-C, MB-N, MB-P, and microbial abundance. Early reductions in MB-C constrain heterotrophic growth, leading to concurrent declines in MB-N and MB-P due to reduced nitrogen and phosphorus immobilization. Suppression of functional guilds reflects their sensitivity to pesticide stress and dependence on living biomass for energy and substrate. Recovery of MB-C often precedes or parallels population rebounds, indicating that microbial adaptation, physiological acclimation, and proliferation of pesticide-degrading taxa drive the restoration of nutrient cycling functions. Differential responses between Atrazine and Dichlorvos underscore the importance of chemical identity, persistence, and indigenous degrader communities Atrazine, more readily degraded, promoted faster recovery of microbial biomass and functional guilds, while Dichlorvos, with persistent toxicity, slowed restoration across all microbial group.</w:t>
      </w:r>
    </w:p>
    <w:p w14:paraId="1583CF75" w14:textId="77777777" w:rsidR="009D1F61" w:rsidRDefault="00000000" w:rsidP="00331442">
      <w:pPr>
        <w:jc w:val="both"/>
      </w:pPr>
      <w:r>
        <w:rPr>
          <w:b/>
          <w:bCs/>
          <w:color w:val="000000"/>
        </w:rPr>
        <w:t>4. Conclusion</w:t>
      </w:r>
    </w:p>
    <w:p w14:paraId="7CBA6BD4" w14:textId="77777777" w:rsidR="009D1F61" w:rsidRDefault="00000000" w:rsidP="00331442">
      <w:pPr>
        <w:jc w:val="both"/>
      </w:pPr>
      <w:r>
        <w:rPr>
          <w:color w:val="000000"/>
        </w:rPr>
        <w:lastRenderedPageBreak/>
        <w:t>This study demonstrated that the application of Atrazine and Dichlorvos significantly altered soil biological functions and posed measurable ecotoxicological risks to non-target soil organisms.  These findings emphasize the differential toxicity profiles of pesticides, with organophosphates such as Dichlorvos presenting more immediate ecological threats even at low concentrations. This research underscores the need for cautious application of agrochemicals, considering their persistent impacts on soil health and biodiversity. It also highlights the utility of microbial biomass and snail bioassays as effective indicators for assessing the ecological impact of pesticide exposure in terrestrial systems.</w:t>
      </w:r>
    </w:p>
    <w:p w14:paraId="16C7AA4A" w14:textId="77777777" w:rsidR="009D1F61" w:rsidRDefault="00000000" w:rsidP="00331442">
      <w:pPr>
        <w:jc w:val="both"/>
      </w:pPr>
      <w:r>
        <w:rPr>
          <w:b/>
          <w:bCs/>
          <w:color w:val="000000"/>
        </w:rPr>
        <w:t xml:space="preserve">ETHICAL APPROVAL </w:t>
      </w:r>
    </w:p>
    <w:p w14:paraId="04DC9F8B" w14:textId="77777777" w:rsidR="009D1F61" w:rsidRDefault="00000000" w:rsidP="00331442">
      <w:pPr>
        <w:jc w:val="both"/>
      </w:pPr>
      <w:r>
        <w:rPr>
          <w:color w:val="000000"/>
        </w:rPr>
        <w:t xml:space="preserve">This research design was reviewed and approved by the College of Science Ethics Board, Federal University of Petroleum Resources, Effurun (CS/EMT/2025/007). </w:t>
      </w:r>
    </w:p>
    <w:p w14:paraId="1EE155FD" w14:textId="77777777" w:rsidR="009D1F61" w:rsidRDefault="00000000" w:rsidP="00331442">
      <w:pPr>
        <w:jc w:val="both"/>
      </w:pPr>
      <w:r>
        <w:rPr>
          <w:b/>
          <w:bCs/>
          <w:color w:val="000000"/>
        </w:rPr>
        <w:t xml:space="preserve">COMPETING INTERESTS </w:t>
      </w:r>
    </w:p>
    <w:p w14:paraId="08480D4F" w14:textId="04AE2A9C" w:rsidR="009D1F61" w:rsidRDefault="00000000" w:rsidP="00331442">
      <w:pPr>
        <w:jc w:val="both"/>
      </w:pPr>
      <w:r>
        <w:rPr>
          <w:color w:val="000000"/>
        </w:rPr>
        <w:t>Authors have declared that no competing interests exist.</w:t>
      </w:r>
    </w:p>
    <w:p w14:paraId="4F334845" w14:textId="77777777" w:rsidR="009D1F61" w:rsidRDefault="00000000" w:rsidP="00331442">
      <w:pPr>
        <w:pStyle w:val="JenniRefHeader"/>
        <w:jc w:val="both"/>
      </w:pPr>
      <w:r w:rsidRPr="00331442">
        <w:rPr>
          <w:b/>
          <w:bCs/>
        </w:rPr>
        <w:t>References</w:t>
      </w:r>
    </w:p>
    <w:p w14:paraId="7D685E39" w14:textId="77777777" w:rsidR="009D1F61" w:rsidRDefault="00000000" w:rsidP="00331442">
      <w:pPr>
        <w:pStyle w:val="JenniRefBody"/>
        <w:ind w:left="720" w:hanging="720"/>
        <w:jc w:val="both"/>
      </w:pPr>
      <w:bookmarkStart w:id="0" w:name="2a25dea63880fb4be22c3e222b31fe7f"/>
      <w:r>
        <w:t xml:space="preserve">  Abreu‐</w:t>
      </w:r>
      <w:proofErr w:type="spellStart"/>
      <w:r>
        <w:t>Villaça</w:t>
      </w:r>
      <w:proofErr w:type="spellEnd"/>
      <w:r>
        <w:t xml:space="preserve">, Y., &amp; Levin, E. D. (2016). Developmental neurotoxicity of succeeding generations of insecticides [Review of </w:t>
      </w:r>
      <w:r>
        <w:rPr>
          <w:i/>
          <w:iCs/>
        </w:rPr>
        <w:t>Developmental neurotoxicity of succeeding generations of insecticides</w:t>
      </w:r>
      <w:r>
        <w:t xml:space="preserve">]. </w:t>
      </w:r>
      <w:r>
        <w:rPr>
          <w:i/>
          <w:iCs/>
        </w:rPr>
        <w:t>Environment International</w:t>
      </w:r>
      <w:r>
        <w:t xml:space="preserve">, </w:t>
      </w:r>
      <w:r>
        <w:rPr>
          <w:i/>
          <w:iCs/>
        </w:rPr>
        <w:t>99</w:t>
      </w:r>
      <w:r>
        <w:t xml:space="preserve">, 55–77. Elsevier BV. https://doi.org/10.1016/j.envint.2016.11.019 </w:t>
      </w:r>
      <w:bookmarkEnd w:id="0"/>
    </w:p>
    <w:p w14:paraId="27F3A4C6" w14:textId="77777777" w:rsidR="009D1F61" w:rsidRDefault="00000000" w:rsidP="00331442">
      <w:pPr>
        <w:pStyle w:val="JenniRefBody"/>
        <w:ind w:left="720" w:hanging="720"/>
        <w:jc w:val="both"/>
      </w:pPr>
      <w:bookmarkStart w:id="1" w:name="9fe612286031bc87978a4d6dfa54e936"/>
      <w:r>
        <w:t xml:space="preserve">  Bayer, A. (2026). SOIL MICROBIAL COMMUNITIES AND FUNCTIONAL NETWORKS AS BIOINDICATORS OF PESTICIDE STRESS IN ECOSYSTEM MONITORING. </w:t>
      </w:r>
      <w:r>
        <w:rPr>
          <w:i/>
          <w:iCs/>
        </w:rPr>
        <w:t>Baku State University Journal of Life Sciences &amp; Biology</w:t>
      </w:r>
      <w:r>
        <w:t xml:space="preserve">, 19–19. https://doi.org/10.30546/300045.2025.2.4.3012 </w:t>
      </w:r>
      <w:bookmarkEnd w:id="1"/>
    </w:p>
    <w:p w14:paraId="49050158" w14:textId="77777777" w:rsidR="009D1F61" w:rsidRDefault="00000000" w:rsidP="00331442">
      <w:pPr>
        <w:pStyle w:val="JenniRefBody"/>
        <w:ind w:left="720" w:hanging="720"/>
        <w:jc w:val="both"/>
      </w:pPr>
      <w:bookmarkStart w:id="2" w:name="59c219a5e7f207aab0641f0c5ab26c9b"/>
      <w:r>
        <w:t xml:space="preserve">  Berg, G., Rybakova, D., Fischer, D., </w:t>
      </w:r>
      <w:proofErr w:type="spellStart"/>
      <w:r>
        <w:t>Cernava</w:t>
      </w:r>
      <w:proofErr w:type="spellEnd"/>
      <w:r>
        <w:t xml:space="preserve">, T., Vergès, M.-C. C., Charles, T. C., Chen, X., Cocolin, L., Eversole, K., Corral, G. H., </w:t>
      </w:r>
      <w:proofErr w:type="spellStart"/>
      <w:r>
        <w:t>Κάζου</w:t>
      </w:r>
      <w:proofErr w:type="spellEnd"/>
      <w:r>
        <w:t xml:space="preserve">, Μ., Kinkel, L. L., Lange, L., Lima, N., Loy, A., Macklin, J., </w:t>
      </w:r>
      <w:proofErr w:type="spellStart"/>
      <w:r>
        <w:t>Maguin</w:t>
      </w:r>
      <w:proofErr w:type="spellEnd"/>
      <w:r>
        <w:t xml:space="preserve">, E., Mauchline, T. H., McClure, R., … </w:t>
      </w:r>
      <w:proofErr w:type="spellStart"/>
      <w:r>
        <w:t>Schloter</w:t>
      </w:r>
      <w:proofErr w:type="spellEnd"/>
      <w:r>
        <w:t xml:space="preserve">, M. (2020, June 30). Microbiome definition re-visited: old concepts and new challenges. In </w:t>
      </w:r>
      <w:r>
        <w:rPr>
          <w:i/>
          <w:iCs/>
        </w:rPr>
        <w:t>Microbiome</w:t>
      </w:r>
      <w:r>
        <w:t xml:space="preserve"> (Vol. 8, Issue 1). BioMed Central. https://doi.org/10.1186/s40168-020-00875-0 </w:t>
      </w:r>
      <w:bookmarkEnd w:id="2"/>
    </w:p>
    <w:p w14:paraId="60115666" w14:textId="77777777" w:rsidR="009D1F61" w:rsidRDefault="00000000" w:rsidP="00331442">
      <w:pPr>
        <w:pStyle w:val="JenniRefBody"/>
        <w:ind w:left="720" w:hanging="720"/>
        <w:jc w:val="both"/>
      </w:pPr>
      <w:bookmarkStart w:id="3" w:name="a2fedd9bbe4577ff38966b68ff86ce53"/>
      <w:r>
        <w:t xml:space="preserve">  Bhaduri, D., Sihi, D., Bhowmik, A., Verma, B. C., Munda, S., &amp; Dari, B. (2022). A review on effective soil health bio-indicators for ecosystem restoration and sustainability [Review of </w:t>
      </w:r>
      <w:r>
        <w:rPr>
          <w:i/>
          <w:iCs/>
        </w:rPr>
        <w:t>A review on effective soil health bio-indicators for ecosystem restoration and sustainability</w:t>
      </w:r>
      <w:r>
        <w:t xml:space="preserve">]. </w:t>
      </w:r>
      <w:r>
        <w:rPr>
          <w:i/>
          <w:iCs/>
        </w:rPr>
        <w:t>Frontiers in Microbiology</w:t>
      </w:r>
      <w:r>
        <w:t xml:space="preserve">, </w:t>
      </w:r>
      <w:r>
        <w:rPr>
          <w:i/>
          <w:iCs/>
        </w:rPr>
        <w:t>13</w:t>
      </w:r>
      <w:r>
        <w:t xml:space="preserve">. Frontiers Media. https://doi.org/10.3389/fmicb.2022.938481 </w:t>
      </w:r>
      <w:bookmarkEnd w:id="3"/>
    </w:p>
    <w:p w14:paraId="142C6132" w14:textId="77777777" w:rsidR="009D1F61" w:rsidRDefault="00000000" w:rsidP="00331442">
      <w:pPr>
        <w:pStyle w:val="JenniRefBody"/>
        <w:ind w:left="720" w:hanging="720"/>
        <w:jc w:val="both"/>
      </w:pPr>
      <w:bookmarkStart w:id="4" w:name="cb5647183b91d997a90610a39f66eea1"/>
      <w:r>
        <w:t xml:space="preserve">  Bürger, L. U., Schunck, F., &amp; Focks, A. (2025). Combined </w:t>
      </w:r>
      <w:proofErr w:type="spellStart"/>
      <w:r>
        <w:t>Modeling</w:t>
      </w:r>
      <w:proofErr w:type="spellEnd"/>
      <w:r>
        <w:t xml:space="preserve"> of Multiple Exposure Routes for Terrestrial Arthropods Using the Toxicokinetic–Toxicodynamic </w:t>
      </w:r>
      <w:proofErr w:type="spellStart"/>
      <w:r>
        <w:t>BufferGUTS</w:t>
      </w:r>
      <w:proofErr w:type="spellEnd"/>
      <w:r>
        <w:t xml:space="preserve"> Model. </w:t>
      </w:r>
      <w:r>
        <w:rPr>
          <w:i/>
          <w:iCs/>
        </w:rPr>
        <w:t>Environmental Science &amp; Technology</w:t>
      </w:r>
      <w:r>
        <w:t xml:space="preserve">, </w:t>
      </w:r>
      <w:r>
        <w:rPr>
          <w:i/>
          <w:iCs/>
        </w:rPr>
        <w:t>59</w:t>
      </w:r>
      <w:r>
        <w:t xml:space="preserve">(31), 16314–16323. https://doi.org/10.1021/acs.est.5c03925 </w:t>
      </w:r>
      <w:bookmarkEnd w:id="4"/>
    </w:p>
    <w:p w14:paraId="0599825A" w14:textId="77777777" w:rsidR="009D1F61" w:rsidRDefault="00000000" w:rsidP="00331442">
      <w:pPr>
        <w:pStyle w:val="JenniRefBody"/>
        <w:ind w:left="720" w:hanging="720"/>
        <w:jc w:val="both"/>
      </w:pPr>
      <w:bookmarkStart w:id="5" w:name="503548be32cffb861f0e5fe2192f56c8"/>
      <w:r>
        <w:t xml:space="preserve">  Čapek, P., </w:t>
      </w:r>
      <w:proofErr w:type="spellStart"/>
      <w:r>
        <w:t>Tupá</w:t>
      </w:r>
      <w:proofErr w:type="spellEnd"/>
      <w:r>
        <w:t xml:space="preserve">, A., &amp; Choma, M. (2024). Exploring polyphosphates in soil: presence, extractability, and contribution to microbial biomass phosphorus. </w:t>
      </w:r>
      <w:r>
        <w:rPr>
          <w:i/>
          <w:iCs/>
        </w:rPr>
        <w:t>Biology and Fertility of Soils</w:t>
      </w:r>
      <w:r>
        <w:t xml:space="preserve">, </w:t>
      </w:r>
      <w:r>
        <w:rPr>
          <w:i/>
          <w:iCs/>
        </w:rPr>
        <w:t>60</w:t>
      </w:r>
      <w:r>
        <w:t xml:space="preserve">(5), 667–680. https://doi.org/10.1007/s00374-024-01829-6 </w:t>
      </w:r>
      <w:bookmarkEnd w:id="5"/>
    </w:p>
    <w:p w14:paraId="6D2A593C" w14:textId="77777777" w:rsidR="009D1F61" w:rsidRDefault="00000000" w:rsidP="00331442">
      <w:pPr>
        <w:pStyle w:val="JenniRefBody"/>
        <w:ind w:left="720" w:hanging="720"/>
        <w:jc w:val="both"/>
      </w:pPr>
      <w:bookmarkStart w:id="6" w:name="a4c36cf0dccafcbbd9733155b42e4187"/>
      <w:r>
        <w:t xml:space="preserve">  Cha, S., Chae, H.-M., Lee, S., &amp; Shim, J.-K. (2017). Effect of elevated atmospheric CO2 concentration on growth and leaf litter decomposition of Quercus </w:t>
      </w:r>
      <w:proofErr w:type="spellStart"/>
      <w:r>
        <w:t>acutissima</w:t>
      </w:r>
      <w:proofErr w:type="spellEnd"/>
      <w:r>
        <w:t xml:space="preserve"> and Fraxinus </w:t>
      </w:r>
      <w:proofErr w:type="spellStart"/>
      <w:r>
        <w:t>rhynchophylla</w:t>
      </w:r>
      <w:proofErr w:type="spellEnd"/>
      <w:r>
        <w:t xml:space="preserve">. </w:t>
      </w:r>
      <w:proofErr w:type="spellStart"/>
      <w:r>
        <w:rPr>
          <w:i/>
          <w:iCs/>
        </w:rPr>
        <w:t>PLoS</w:t>
      </w:r>
      <w:proofErr w:type="spellEnd"/>
      <w:r>
        <w:rPr>
          <w:i/>
          <w:iCs/>
        </w:rPr>
        <w:t xml:space="preserve"> ONE</w:t>
      </w:r>
      <w:r>
        <w:t xml:space="preserve">, </w:t>
      </w:r>
      <w:r>
        <w:rPr>
          <w:i/>
          <w:iCs/>
        </w:rPr>
        <w:t>12</w:t>
      </w:r>
      <w:r>
        <w:t xml:space="preserve">(2). https://doi.org/10.1371/journal.pone.0171197 </w:t>
      </w:r>
      <w:bookmarkEnd w:id="6"/>
    </w:p>
    <w:p w14:paraId="0CAE48E3" w14:textId="77777777" w:rsidR="009D1F61" w:rsidRDefault="00000000" w:rsidP="00331442">
      <w:pPr>
        <w:pStyle w:val="JenniRefBody"/>
        <w:ind w:left="720" w:hanging="720"/>
        <w:jc w:val="both"/>
      </w:pPr>
      <w:bookmarkStart w:id="7" w:name="9a1f40ff068b423d6e6075437d9e1595"/>
      <w:r>
        <w:t xml:space="preserve">  Cheng, Q., Xue, R., Wu, H., Hartley, W., Zhang, Y., Zhou, L., &amp; Xue, S. (2020). Ecological Stoichiometry of Microbial Biomass Carbon, Nitrogen and Phosphorus on Bauxite Residue Disposal Areas. </w:t>
      </w:r>
      <w:r>
        <w:rPr>
          <w:i/>
          <w:iCs/>
        </w:rPr>
        <w:t>Geomicrobiology Journal</w:t>
      </w:r>
      <w:r>
        <w:t xml:space="preserve">, </w:t>
      </w:r>
      <w:r>
        <w:rPr>
          <w:i/>
          <w:iCs/>
        </w:rPr>
        <w:t>37</w:t>
      </w:r>
      <w:r>
        <w:t xml:space="preserve">(5), 467–474. https://doi.org/10.1080/01490451.2020.1722768 </w:t>
      </w:r>
      <w:bookmarkEnd w:id="7"/>
    </w:p>
    <w:p w14:paraId="152EEA22" w14:textId="77777777" w:rsidR="009D1F61" w:rsidRDefault="00000000" w:rsidP="00331442">
      <w:pPr>
        <w:pStyle w:val="JenniRefBody"/>
        <w:ind w:left="720" w:hanging="720"/>
        <w:jc w:val="both"/>
      </w:pPr>
      <w:bookmarkStart w:id="8" w:name="00d82f6fbef0408fe1fb9bbeb984c8bf"/>
      <w:r>
        <w:t xml:space="preserve">  </w:t>
      </w:r>
      <w:proofErr w:type="spellStart"/>
      <w:r>
        <w:t>Chikumbusko</w:t>
      </w:r>
      <w:proofErr w:type="spellEnd"/>
      <w:r>
        <w:t xml:space="preserve">, C. K., Ishmael, B. K., </w:t>
      </w:r>
      <w:proofErr w:type="spellStart"/>
      <w:r>
        <w:t>Deliwe</w:t>
      </w:r>
      <w:proofErr w:type="spellEnd"/>
      <w:r>
        <w:t xml:space="preserve">, D. L., Rex, M., Benard, T., Morris, M. I., Russel, C. G. C., Stephen, K., &amp; Samson, M. I. S. (2017). A review of heavy metals in soil and aquatic systems of urban and semi-urban areas in Malawi with comparisons to other selected countries [Review of </w:t>
      </w:r>
      <w:r>
        <w:rPr>
          <w:i/>
          <w:iCs/>
        </w:rPr>
        <w:t>A review of heavy metals in soil and aquatic systems of urban and semi-urban areas in Malawi with comparisons to other selected countries</w:t>
      </w:r>
      <w:r>
        <w:t xml:space="preserve">]. </w:t>
      </w:r>
      <w:r>
        <w:rPr>
          <w:i/>
          <w:iCs/>
        </w:rPr>
        <w:t>African Journal of Environmental Science and Technology</w:t>
      </w:r>
      <w:r>
        <w:t xml:space="preserve">, </w:t>
      </w:r>
      <w:r>
        <w:rPr>
          <w:i/>
          <w:iCs/>
        </w:rPr>
        <w:t>11</w:t>
      </w:r>
      <w:r>
        <w:t xml:space="preserve">(9), 448–460. Academic Journals. https://doi.org/10.5897/ajest2017.2367 </w:t>
      </w:r>
      <w:bookmarkEnd w:id="8"/>
    </w:p>
    <w:p w14:paraId="43D8E0A2" w14:textId="77777777" w:rsidR="009D1F61" w:rsidRDefault="00000000" w:rsidP="00331442">
      <w:pPr>
        <w:pStyle w:val="JenniRefBody"/>
        <w:ind w:left="720" w:hanging="720"/>
        <w:jc w:val="both"/>
      </w:pPr>
      <w:bookmarkStart w:id="9" w:name="1fe26728b12c82c682dd99bbbe848eeb"/>
      <w:r>
        <w:t xml:space="preserve">  </w:t>
      </w:r>
      <w:proofErr w:type="spellStart"/>
      <w:r>
        <w:t>Chmist</w:t>
      </w:r>
      <w:proofErr w:type="spellEnd"/>
      <w:r>
        <w:t xml:space="preserve">, J., </w:t>
      </w:r>
      <w:proofErr w:type="spellStart"/>
      <w:r>
        <w:t>Szoszkiewicz</w:t>
      </w:r>
      <w:proofErr w:type="spellEnd"/>
      <w:r>
        <w:t xml:space="preserve">, K., &amp; </w:t>
      </w:r>
      <w:proofErr w:type="spellStart"/>
      <w:r>
        <w:t>Drożdżyński</w:t>
      </w:r>
      <w:proofErr w:type="spellEnd"/>
      <w:r>
        <w:t xml:space="preserve">, D. (2019). Behavioural Responses of Unio </w:t>
      </w:r>
      <w:proofErr w:type="spellStart"/>
      <w:r>
        <w:t>tumidus</w:t>
      </w:r>
      <w:proofErr w:type="spellEnd"/>
      <w:r>
        <w:t xml:space="preserve"> Freshwater Mussels to Pesticide Contamination. </w:t>
      </w:r>
      <w:r>
        <w:rPr>
          <w:i/>
          <w:iCs/>
        </w:rPr>
        <w:t>Archives of Environmental Contamination and Toxicology</w:t>
      </w:r>
      <w:r>
        <w:t xml:space="preserve">, </w:t>
      </w:r>
      <w:r>
        <w:rPr>
          <w:i/>
          <w:iCs/>
        </w:rPr>
        <w:t>77</w:t>
      </w:r>
      <w:r>
        <w:t xml:space="preserve">(3), 432–442. https://doi.org/10.1007/s00244-019-00649-2 </w:t>
      </w:r>
      <w:bookmarkEnd w:id="9"/>
    </w:p>
    <w:p w14:paraId="722E8F39" w14:textId="77777777" w:rsidR="009D1F61" w:rsidRDefault="00000000" w:rsidP="00331442">
      <w:pPr>
        <w:pStyle w:val="JenniRefBody"/>
        <w:ind w:left="720" w:hanging="720"/>
        <w:jc w:val="both"/>
      </w:pPr>
      <w:bookmarkStart w:id="10" w:name="96463c6735451cc1a8d297e3a4d5a8ba"/>
      <w:r>
        <w:lastRenderedPageBreak/>
        <w:t xml:space="preserve">  Chowdhury, A., Pradhan, S., Saha, M., &amp; Sanyal, N. (2008). Impact of pesticides on soil microbiological parameters and possible bioremediation strategies. </w:t>
      </w:r>
      <w:r>
        <w:rPr>
          <w:i/>
          <w:iCs/>
        </w:rPr>
        <w:t>Indian Journal of Microbiology</w:t>
      </w:r>
      <w:r>
        <w:t xml:space="preserve">, </w:t>
      </w:r>
      <w:r>
        <w:rPr>
          <w:i/>
          <w:iCs/>
        </w:rPr>
        <w:t>48</w:t>
      </w:r>
      <w:r>
        <w:t xml:space="preserve">(1), 114–127. https://doi.org/10.1007/s12088-008-0011-8 </w:t>
      </w:r>
      <w:bookmarkEnd w:id="10"/>
    </w:p>
    <w:p w14:paraId="7F397EE1" w14:textId="77777777" w:rsidR="009D1F61" w:rsidRDefault="00000000" w:rsidP="00331442">
      <w:pPr>
        <w:pStyle w:val="JenniRefBody"/>
        <w:ind w:left="720" w:hanging="720"/>
        <w:jc w:val="both"/>
      </w:pPr>
      <w:bookmarkStart w:id="11" w:name="b892e590ea25d49fc1eb1f3a0571cb55"/>
      <w:r>
        <w:t xml:space="preserve">  </w:t>
      </w:r>
      <w:proofErr w:type="spellStart"/>
      <w:r>
        <w:t>Cœurdassier</w:t>
      </w:r>
      <w:proofErr w:type="spellEnd"/>
      <w:r>
        <w:t xml:space="preserve">, M., Saint-Denis, M., Vaufleury, A. G.-D., Ribera, D., &amp; Badot, P. (2001). The garden snail (Helix </w:t>
      </w:r>
      <w:proofErr w:type="spellStart"/>
      <w:r>
        <w:t>aspersa</w:t>
      </w:r>
      <w:proofErr w:type="spellEnd"/>
      <w:r>
        <w:t xml:space="preserve">) as a bioindicator of organophosphorus exposure: Effects of dimethoate on survival, growth, and acetylcholinesterase activity. </w:t>
      </w:r>
      <w:r>
        <w:rPr>
          <w:i/>
          <w:iCs/>
        </w:rPr>
        <w:t>Environmental Toxicology and Chemistry</w:t>
      </w:r>
      <w:r>
        <w:t xml:space="preserve">, </w:t>
      </w:r>
      <w:r>
        <w:rPr>
          <w:i/>
          <w:iCs/>
        </w:rPr>
        <w:t>20</w:t>
      </w:r>
      <w:r>
        <w:t xml:space="preserve">(9), 1951–1957. https://doi.org/10.1002/etc.5620200913 </w:t>
      </w:r>
      <w:bookmarkEnd w:id="11"/>
    </w:p>
    <w:p w14:paraId="5BC583A2" w14:textId="77777777" w:rsidR="009D1F61" w:rsidRDefault="00000000" w:rsidP="00331442">
      <w:pPr>
        <w:pStyle w:val="JenniRefBody"/>
        <w:ind w:left="720" w:hanging="720"/>
        <w:jc w:val="both"/>
      </w:pPr>
      <w:bookmarkStart w:id="12" w:name="345b78da175c570cdc603668146e4a12"/>
      <w:r>
        <w:t xml:space="preserve">  Cruz-Alcalde, A., Sans, C., &amp; </w:t>
      </w:r>
      <w:proofErr w:type="spellStart"/>
      <w:r>
        <w:t>Esplugás</w:t>
      </w:r>
      <w:proofErr w:type="spellEnd"/>
      <w:r>
        <w:t xml:space="preserve">, S. (2017). Priority pesticide dichlorvos removal from water by ozonation process: Reactivity, transformation products and associated toxicity. </w:t>
      </w:r>
      <w:r>
        <w:rPr>
          <w:i/>
          <w:iCs/>
        </w:rPr>
        <w:t>Separation and Purification Technology</w:t>
      </w:r>
      <w:r>
        <w:t xml:space="preserve">, </w:t>
      </w:r>
      <w:r>
        <w:rPr>
          <w:i/>
          <w:iCs/>
        </w:rPr>
        <w:t>192</w:t>
      </w:r>
      <w:r>
        <w:t xml:space="preserve">, 123–129. https://doi.org/10.1016/j.seppur.2017.09.069 </w:t>
      </w:r>
      <w:bookmarkEnd w:id="12"/>
    </w:p>
    <w:p w14:paraId="4357CE78" w14:textId="77777777" w:rsidR="009D1F61" w:rsidRDefault="00000000" w:rsidP="00331442">
      <w:pPr>
        <w:pStyle w:val="JenniRefBody"/>
        <w:ind w:left="720" w:hanging="720"/>
        <w:jc w:val="both"/>
      </w:pPr>
      <w:bookmarkStart w:id="13" w:name="a9bf781abd46676f4a99cb87c6ffd09c"/>
      <w:r>
        <w:t xml:space="preserve">  Cui, Y., Moorhead, D., Wang, X., Xu, M., Wang, X., Wei, X., Zhu, Z., Ge, T., Peng, S., Zhu, B., Zhang, X., &amp; Fang, L. (2022). Decreasing microbial phosphorus limitation increases soil carbon release. </w:t>
      </w:r>
      <w:proofErr w:type="spellStart"/>
      <w:r>
        <w:rPr>
          <w:i/>
          <w:iCs/>
        </w:rPr>
        <w:t>Geoderma</w:t>
      </w:r>
      <w:proofErr w:type="spellEnd"/>
      <w:r>
        <w:t xml:space="preserve">, </w:t>
      </w:r>
      <w:r>
        <w:rPr>
          <w:i/>
          <w:iCs/>
        </w:rPr>
        <w:t>419</w:t>
      </w:r>
      <w:r>
        <w:t xml:space="preserve">, 115868–115868. https://doi.org/10.1016/j.geoderma.2022.115868 </w:t>
      </w:r>
      <w:bookmarkEnd w:id="13"/>
    </w:p>
    <w:p w14:paraId="1A98ABA9" w14:textId="77777777" w:rsidR="009D1F61" w:rsidRDefault="00000000" w:rsidP="00331442">
      <w:pPr>
        <w:pStyle w:val="JenniRefBody"/>
        <w:ind w:left="720" w:hanging="720"/>
        <w:jc w:val="both"/>
      </w:pPr>
      <w:bookmarkStart w:id="14" w:name="53985dbf18add225419bf724f2df3ebd"/>
      <w:r>
        <w:t xml:space="preserve">  </w:t>
      </w:r>
      <w:proofErr w:type="spellStart"/>
      <w:r>
        <w:t>Edjere</w:t>
      </w:r>
      <w:proofErr w:type="spellEnd"/>
      <w:r>
        <w:t xml:space="preserve">, O., </w:t>
      </w:r>
      <w:proofErr w:type="spellStart"/>
      <w:r>
        <w:t>Ibezute</w:t>
      </w:r>
      <w:proofErr w:type="spellEnd"/>
      <w:r>
        <w:t xml:space="preserve">, A. C., </w:t>
      </w:r>
      <w:proofErr w:type="spellStart"/>
      <w:r>
        <w:t>Oghenevowero</w:t>
      </w:r>
      <w:proofErr w:type="spellEnd"/>
      <w:r>
        <w:t xml:space="preserve">, E., </w:t>
      </w:r>
      <w:proofErr w:type="spellStart"/>
      <w:r>
        <w:t>Urhibo</w:t>
      </w:r>
      <w:proofErr w:type="spellEnd"/>
      <w:r>
        <w:t xml:space="preserve">, V. O., &amp; </w:t>
      </w:r>
      <w:proofErr w:type="spellStart"/>
      <w:r>
        <w:t>Ovuoderoye</w:t>
      </w:r>
      <w:proofErr w:type="spellEnd"/>
      <w:r>
        <w:t xml:space="preserve">, O. (2025). Spatiotemporal Variations in Ambient Air Quality During Flyover Construction in Effurun Metropolis, Delta State, Nigeria: Implications for Urban Public Health. </w:t>
      </w:r>
      <w:r>
        <w:rPr>
          <w:i/>
          <w:iCs/>
        </w:rPr>
        <w:t>European Journal of Innovative Studies and Sustainability</w:t>
      </w:r>
      <w:r>
        <w:t xml:space="preserve">, </w:t>
      </w:r>
      <w:r>
        <w:rPr>
          <w:i/>
          <w:iCs/>
        </w:rPr>
        <w:t>1</w:t>
      </w:r>
      <w:r>
        <w:t xml:space="preserve">(6), 89–105. https://doi.org/10.59324/ejiss.2025.1(6).08 </w:t>
      </w:r>
      <w:bookmarkEnd w:id="14"/>
    </w:p>
    <w:p w14:paraId="6DFE329B" w14:textId="77777777" w:rsidR="009D1F61" w:rsidRDefault="00000000" w:rsidP="00331442">
      <w:pPr>
        <w:pStyle w:val="JenniRefBody"/>
        <w:ind w:left="720" w:hanging="720"/>
        <w:jc w:val="both"/>
      </w:pPr>
      <w:bookmarkStart w:id="15" w:name="ff527332d81e75a144715ce51ac076e1"/>
      <w:r>
        <w:t xml:space="preserve">  Gangola, S., Joshi, S., Bhandari, G., Pant, G. C., Sharma, A., Perveen, K., Bukhari, N. A., &amp; Rani, R. (2023). Exploring microbial diversity responses in agricultural fields: a comparative analysis under pesticide stress and non-stress conditions. </w:t>
      </w:r>
      <w:r>
        <w:rPr>
          <w:i/>
          <w:iCs/>
        </w:rPr>
        <w:t>Frontiers in Microbiology</w:t>
      </w:r>
      <w:r>
        <w:t xml:space="preserve">, </w:t>
      </w:r>
      <w:r>
        <w:rPr>
          <w:i/>
          <w:iCs/>
        </w:rPr>
        <w:t>14</w:t>
      </w:r>
      <w:r>
        <w:t xml:space="preserve">. https://doi.org/10.3389/fmicb.2023.1271129 </w:t>
      </w:r>
      <w:bookmarkEnd w:id="15"/>
    </w:p>
    <w:p w14:paraId="4BE857B3" w14:textId="77777777" w:rsidR="009D1F61" w:rsidRDefault="00000000" w:rsidP="00331442">
      <w:pPr>
        <w:pStyle w:val="JenniRefBody"/>
        <w:ind w:left="720" w:hanging="720"/>
        <w:jc w:val="both"/>
      </w:pPr>
      <w:bookmarkStart w:id="16" w:name="24730a465494aa9fb836fdc53ffe51f4"/>
      <w:r>
        <w:t xml:space="preserve">  </w:t>
      </w:r>
      <w:proofErr w:type="spellStart"/>
      <w:r>
        <w:t>Głodowska</w:t>
      </w:r>
      <w:proofErr w:type="spellEnd"/>
      <w:r>
        <w:t xml:space="preserve">, M., &amp; Woźniak, M. (2019). Changes in Soil Microbial Activity and Community Composition as a Result of Selected Agricultural Practices. </w:t>
      </w:r>
      <w:r>
        <w:rPr>
          <w:i/>
          <w:iCs/>
        </w:rPr>
        <w:t>Agricultural Sciences</w:t>
      </w:r>
      <w:r>
        <w:t xml:space="preserve">, </w:t>
      </w:r>
      <w:r>
        <w:rPr>
          <w:i/>
          <w:iCs/>
        </w:rPr>
        <w:t>10</w:t>
      </w:r>
      <w:r>
        <w:t xml:space="preserve">(3), 330–351. https://doi.org/10.4236/as.2019.103028 </w:t>
      </w:r>
      <w:bookmarkEnd w:id="16"/>
    </w:p>
    <w:p w14:paraId="2B793D61" w14:textId="77777777" w:rsidR="009D1F61" w:rsidRDefault="00000000" w:rsidP="00331442">
      <w:pPr>
        <w:pStyle w:val="JenniRefBody"/>
        <w:ind w:left="720" w:hanging="720"/>
        <w:jc w:val="both"/>
      </w:pPr>
      <w:bookmarkStart w:id="17" w:name="43f76486dc2a0f9189d70876ad7068cd"/>
      <w:r>
        <w:t xml:space="preserve">  </w:t>
      </w:r>
      <w:proofErr w:type="spellStart"/>
      <w:r>
        <w:t>Gregušová</w:t>
      </w:r>
      <w:proofErr w:type="spellEnd"/>
      <w:r>
        <w:t xml:space="preserve">, M., </w:t>
      </w:r>
      <w:proofErr w:type="spellStart"/>
      <w:r>
        <w:t>Hybská</w:t>
      </w:r>
      <w:proofErr w:type="spellEnd"/>
      <w:r>
        <w:t xml:space="preserve">, H., &amp; </w:t>
      </w:r>
      <w:proofErr w:type="spellStart"/>
      <w:r>
        <w:t>Mordačová</w:t>
      </w:r>
      <w:proofErr w:type="spellEnd"/>
      <w:r>
        <w:t xml:space="preserve">, M. (2025). Microcosms as an implement for assessing ecological processes in aquatic and terrestrial environments. Review. </w:t>
      </w:r>
      <w:r>
        <w:rPr>
          <w:i/>
          <w:iCs/>
        </w:rPr>
        <w:t>Environment Protection Engineering</w:t>
      </w:r>
      <w:r>
        <w:t xml:space="preserve">, </w:t>
      </w:r>
      <w:r>
        <w:rPr>
          <w:i/>
          <w:iCs/>
        </w:rPr>
        <w:t>51</w:t>
      </w:r>
      <w:r>
        <w:t xml:space="preserve">(1). https://doi.org/10.37190/epe250101 </w:t>
      </w:r>
      <w:bookmarkEnd w:id="17"/>
    </w:p>
    <w:p w14:paraId="6534736D" w14:textId="77777777" w:rsidR="009D1F61" w:rsidRDefault="00000000" w:rsidP="00331442">
      <w:pPr>
        <w:pStyle w:val="JenniRefBody"/>
        <w:ind w:left="720" w:hanging="720"/>
        <w:jc w:val="both"/>
      </w:pPr>
      <w:bookmarkStart w:id="18" w:name="ba9613ecbbe25686c05253dc0bfd6cd6"/>
      <w:r>
        <w:t xml:space="preserve">  Gunstone, T., Cornelisse, T. M., Klein, K., Dubey, A., &amp; Donley, N. (2021). Pesticides and Soil Invertebrates: A Hazard Assessment. </w:t>
      </w:r>
      <w:r>
        <w:rPr>
          <w:i/>
          <w:iCs/>
        </w:rPr>
        <w:t>Frontiers in Environmental Science</w:t>
      </w:r>
      <w:r>
        <w:t xml:space="preserve">, </w:t>
      </w:r>
      <w:r>
        <w:rPr>
          <w:i/>
          <w:iCs/>
        </w:rPr>
        <w:t>9</w:t>
      </w:r>
      <w:r>
        <w:t xml:space="preserve">. https://doi.org/10.3389/fenvs.2021.643847 </w:t>
      </w:r>
      <w:bookmarkEnd w:id="18"/>
    </w:p>
    <w:p w14:paraId="283CF77D" w14:textId="77777777" w:rsidR="009D1F61" w:rsidRDefault="00000000" w:rsidP="00331442">
      <w:pPr>
        <w:pStyle w:val="JenniRefBody"/>
        <w:ind w:left="720" w:hanging="720"/>
        <w:jc w:val="both"/>
      </w:pPr>
      <w:bookmarkStart w:id="19" w:name="074d0de591815e93a611526b6e033396"/>
      <w:r>
        <w:t xml:space="preserve">  Hadeed, M. N., Castiglione, C. L., Saleem, S., </w:t>
      </w:r>
      <w:proofErr w:type="spellStart"/>
      <w:r>
        <w:t>Chammout</w:t>
      </w:r>
      <w:proofErr w:type="spellEnd"/>
      <w:r>
        <w:t xml:space="preserve">, D. H., </w:t>
      </w:r>
      <w:proofErr w:type="spellStart"/>
      <w:r>
        <w:t>Muskovac</w:t>
      </w:r>
      <w:proofErr w:type="spellEnd"/>
      <w:r>
        <w:t xml:space="preserve">, M. D., Crile, K. G., Abdulelah, S. A., </w:t>
      </w:r>
      <w:proofErr w:type="spellStart"/>
      <w:r>
        <w:t>Maalhagh</w:t>
      </w:r>
      <w:proofErr w:type="spellEnd"/>
      <w:r>
        <w:t>-Fard, A., Rampuri, E. Y., Grabowski, G. M., &amp; Belanger, R. M. (2022). Environmentally relevant atrazine exposure leads to increases in DNA damage and changes in morphology in the hepatopancreas of crayfish (</w:t>
      </w:r>
      <w:proofErr w:type="spellStart"/>
      <w:r>
        <w:t>Faxonius</w:t>
      </w:r>
      <w:proofErr w:type="spellEnd"/>
      <w:r>
        <w:t xml:space="preserve"> </w:t>
      </w:r>
      <w:proofErr w:type="spellStart"/>
      <w:r>
        <w:t>virilis</w:t>
      </w:r>
      <w:proofErr w:type="spellEnd"/>
      <w:r>
        <w:t xml:space="preserve">). </w:t>
      </w:r>
      <w:r>
        <w:rPr>
          <w:i/>
          <w:iCs/>
        </w:rPr>
        <w:t>Environmental Advances</w:t>
      </w:r>
      <w:r>
        <w:t xml:space="preserve">, </w:t>
      </w:r>
      <w:r>
        <w:rPr>
          <w:i/>
          <w:iCs/>
        </w:rPr>
        <w:t>10</w:t>
      </w:r>
      <w:r>
        <w:t xml:space="preserve">, 100320–100320. https://doi.org/10.1016/j.envadv.2022.100320 </w:t>
      </w:r>
      <w:bookmarkEnd w:id="19"/>
    </w:p>
    <w:p w14:paraId="45EF368C" w14:textId="77777777" w:rsidR="009D1F61" w:rsidRDefault="00000000" w:rsidP="00331442">
      <w:pPr>
        <w:pStyle w:val="JenniRefBody"/>
        <w:ind w:left="720" w:hanging="720"/>
        <w:jc w:val="both"/>
      </w:pPr>
      <w:bookmarkStart w:id="20" w:name="7dcc2d0202f91e7355b1b300c0ccadcd"/>
      <w:r>
        <w:t xml:space="preserve">  Hu, P., Zhang, W., Wanek, W., Chen, J., </w:t>
      </w:r>
      <w:proofErr w:type="spellStart"/>
      <w:r>
        <w:t>Ábalos</w:t>
      </w:r>
      <w:proofErr w:type="spellEnd"/>
      <w:r>
        <w:t xml:space="preserve">, D., Zhao, J., Xiao, D., Hou, X., Li, J., Chen, H., Xiao, J., Liao, X., Tang, T., Wu, H., &amp; Wang, K. (2025). Calcium-rich parent materials enhance multiple soil functions and bacterial network complexity. </w:t>
      </w:r>
      <w:r>
        <w:rPr>
          <w:i/>
          <w:iCs/>
        </w:rPr>
        <w:t>Communications Earth &amp; Environment</w:t>
      </w:r>
      <w:r>
        <w:t xml:space="preserve">, </w:t>
      </w:r>
      <w:r>
        <w:rPr>
          <w:i/>
          <w:iCs/>
        </w:rPr>
        <w:t>6</w:t>
      </w:r>
      <w:r>
        <w:t xml:space="preserve">(1). https://doi.org/10.1038/s43247-025-02761-9 </w:t>
      </w:r>
      <w:bookmarkEnd w:id="20"/>
    </w:p>
    <w:p w14:paraId="050C8549" w14:textId="77777777" w:rsidR="009D1F61" w:rsidRDefault="00000000" w:rsidP="00331442">
      <w:pPr>
        <w:pStyle w:val="JenniRefBody"/>
        <w:ind w:left="720" w:hanging="720"/>
        <w:jc w:val="both"/>
      </w:pPr>
      <w:bookmarkStart w:id="21" w:name="83f332abf2a69f2d09d3465c163b6bfc"/>
      <w:r>
        <w:t xml:space="preserve">  Hun, H., Rotana, S., &amp; Sarun, H. (2026). Microbial Processes and Nutrient Transformation in Soils: Nitrogen Fixation, Nitrification–Denitrification, Phosphate Solubilization, and Organic Matter Decomposition. </w:t>
      </w:r>
      <w:proofErr w:type="spellStart"/>
      <w:r>
        <w:rPr>
          <w:i/>
          <w:iCs/>
        </w:rPr>
        <w:t>Zenodo</w:t>
      </w:r>
      <w:proofErr w:type="spellEnd"/>
      <w:r>
        <w:rPr>
          <w:i/>
          <w:iCs/>
        </w:rPr>
        <w:t xml:space="preserve"> (CERN European Organization for Nuclear Research)</w:t>
      </w:r>
      <w:r>
        <w:t xml:space="preserve">. https://doi.org/10.5281/zenodo.18266177 </w:t>
      </w:r>
      <w:bookmarkEnd w:id="21"/>
    </w:p>
    <w:p w14:paraId="4C61EEA0" w14:textId="77777777" w:rsidR="009D1F61" w:rsidRDefault="00000000" w:rsidP="00331442">
      <w:pPr>
        <w:pStyle w:val="JenniRefBody"/>
        <w:ind w:left="720" w:hanging="720"/>
        <w:jc w:val="both"/>
      </w:pPr>
      <w:bookmarkStart w:id="22" w:name="e9f5a82c09f847931d2f209adb79b3b8"/>
      <w:r>
        <w:t xml:space="preserve">  </w:t>
      </w:r>
      <w:proofErr w:type="spellStart"/>
      <w:r>
        <w:t>Iummato</w:t>
      </w:r>
      <w:proofErr w:type="spellEnd"/>
      <w:r>
        <w:t xml:space="preserve">, M. M., Sabatini, S. E., Cacciatore, L. C., </w:t>
      </w:r>
      <w:proofErr w:type="spellStart"/>
      <w:r>
        <w:t>Cochón</w:t>
      </w:r>
      <w:proofErr w:type="spellEnd"/>
      <w:r>
        <w:t xml:space="preserve">, A. C., Cataldo, D., Molina, M. del C. R. de, &amp; Juárez, Á. B. (2018). Biochemical responses of the golden mussel </w:t>
      </w:r>
      <w:proofErr w:type="spellStart"/>
      <w:r>
        <w:t>Limnoperna</w:t>
      </w:r>
      <w:proofErr w:type="spellEnd"/>
      <w:r>
        <w:t xml:space="preserve"> </w:t>
      </w:r>
      <w:proofErr w:type="spellStart"/>
      <w:r>
        <w:t>fortunei</w:t>
      </w:r>
      <w:proofErr w:type="spellEnd"/>
      <w:r>
        <w:t xml:space="preserve"> under dietary glyphosate exposure. </w:t>
      </w:r>
      <w:r>
        <w:rPr>
          <w:i/>
          <w:iCs/>
        </w:rPr>
        <w:t>Ecotoxicology and Environmental Safety</w:t>
      </w:r>
      <w:r>
        <w:t xml:space="preserve">, </w:t>
      </w:r>
      <w:r>
        <w:rPr>
          <w:i/>
          <w:iCs/>
        </w:rPr>
        <w:t>163</w:t>
      </w:r>
      <w:r>
        <w:t xml:space="preserve">, 69–75. https://doi.org/10.1016/j.ecoenv.2018.07.046 </w:t>
      </w:r>
      <w:bookmarkEnd w:id="22"/>
    </w:p>
    <w:p w14:paraId="640C574D" w14:textId="77777777" w:rsidR="009D1F61" w:rsidRDefault="00000000" w:rsidP="00331442">
      <w:pPr>
        <w:pStyle w:val="JenniRefBody"/>
        <w:ind w:left="720" w:hanging="720"/>
        <w:jc w:val="both"/>
      </w:pPr>
      <w:bookmarkStart w:id="23" w:name="b3d9a5f3ded00b420d746c51323aba22"/>
      <w:r>
        <w:t xml:space="preserve">  Joergensen, R. G., &amp; Emmerling, C. (2006). Methods for evaluating human impact on soil microorganisms based on their activity, biomass, and diversity in agricultural soils. </w:t>
      </w:r>
      <w:r>
        <w:rPr>
          <w:i/>
          <w:iCs/>
        </w:rPr>
        <w:t>Journal of Plant Nutrition and Soil Science</w:t>
      </w:r>
      <w:r>
        <w:t xml:space="preserve">, </w:t>
      </w:r>
      <w:r>
        <w:rPr>
          <w:i/>
          <w:iCs/>
        </w:rPr>
        <w:t>169</w:t>
      </w:r>
      <w:r>
        <w:t xml:space="preserve">(3), 295–309. https://doi.org/10.1002/jpln.200521941 </w:t>
      </w:r>
      <w:bookmarkEnd w:id="23"/>
    </w:p>
    <w:p w14:paraId="487E0362" w14:textId="77777777" w:rsidR="009D1F61" w:rsidRDefault="00000000" w:rsidP="00331442">
      <w:pPr>
        <w:pStyle w:val="JenniRefBody"/>
        <w:ind w:left="720" w:hanging="720"/>
        <w:jc w:val="both"/>
      </w:pPr>
      <w:bookmarkStart w:id="24" w:name="2d36b07d0a9ccc680abc334ecd415087"/>
      <w:r>
        <w:lastRenderedPageBreak/>
        <w:t xml:space="preserve">  Joly, F., Coq, S., Coulis, M., David, J., </w:t>
      </w:r>
      <w:proofErr w:type="spellStart"/>
      <w:r>
        <w:t>Hättenschwiler</w:t>
      </w:r>
      <w:proofErr w:type="spellEnd"/>
      <w:r>
        <w:t xml:space="preserve">, S., Mueller, C. W., Prater, I., &amp; </w:t>
      </w:r>
      <w:proofErr w:type="spellStart"/>
      <w:r>
        <w:t>Subke</w:t>
      </w:r>
      <w:proofErr w:type="spellEnd"/>
      <w:r>
        <w:t xml:space="preserve">, J. (2020). Detritivore conversion of litter into faeces accelerates organic matter turnover. </w:t>
      </w:r>
      <w:r>
        <w:rPr>
          <w:i/>
          <w:iCs/>
        </w:rPr>
        <w:t>Communications Biology</w:t>
      </w:r>
      <w:r>
        <w:t xml:space="preserve">, </w:t>
      </w:r>
      <w:r>
        <w:rPr>
          <w:i/>
          <w:iCs/>
        </w:rPr>
        <w:t>3</w:t>
      </w:r>
      <w:r>
        <w:t xml:space="preserve">(1). https://doi.org/10.1038/s42003-020-01392-4 </w:t>
      </w:r>
      <w:bookmarkEnd w:id="24"/>
    </w:p>
    <w:p w14:paraId="25549B59" w14:textId="77777777" w:rsidR="009D1F61" w:rsidRDefault="00000000" w:rsidP="00331442">
      <w:pPr>
        <w:pStyle w:val="JenniRefBody"/>
        <w:ind w:left="720" w:hanging="720"/>
        <w:jc w:val="both"/>
      </w:pPr>
      <w:bookmarkStart w:id="25" w:name="e4989579b08b44cdfe373dc3e98c7354"/>
      <w:r>
        <w:t xml:space="preserve">  Malou, O. P., Sebag, D., Moulin, P., Chevallier, T., Badiane-Ndour, N. Y., Thiam, A., &amp; Chapuis‐Lardy, L. (2020). The Rock-Eval® signature of soil organic carbon in </w:t>
      </w:r>
      <w:proofErr w:type="spellStart"/>
      <w:r>
        <w:t>arenosols</w:t>
      </w:r>
      <w:proofErr w:type="spellEnd"/>
      <w:r>
        <w:t xml:space="preserve"> of the Senegalese groundnut basin. How do agricultural practices matter? </w:t>
      </w:r>
      <w:r>
        <w:rPr>
          <w:i/>
          <w:iCs/>
        </w:rPr>
        <w:t>Agriculture Ecosystems &amp; Environment</w:t>
      </w:r>
      <w:r>
        <w:t xml:space="preserve">, </w:t>
      </w:r>
      <w:r>
        <w:rPr>
          <w:i/>
          <w:iCs/>
        </w:rPr>
        <w:t>301</w:t>
      </w:r>
      <w:r>
        <w:t xml:space="preserve">, 107030–107030. https://doi.org/10.1016/j.agee.2020.107030 </w:t>
      </w:r>
      <w:bookmarkEnd w:id="25"/>
    </w:p>
    <w:p w14:paraId="39D86984" w14:textId="77777777" w:rsidR="009D1F61" w:rsidRDefault="00000000" w:rsidP="00331442">
      <w:pPr>
        <w:pStyle w:val="JenniRefBody"/>
        <w:ind w:left="720" w:hanging="720"/>
        <w:jc w:val="both"/>
      </w:pPr>
      <w:bookmarkStart w:id="26" w:name="456cac6dfddde9b71d799ee0557c1d57"/>
      <w:r>
        <w:t xml:space="preserve">  Matias, T. P., Braga, J. K., Damasceno, L. G., &amp; Brucha, G. (2021). </w:t>
      </w:r>
      <w:proofErr w:type="spellStart"/>
      <w:r>
        <w:t>Aspectos</w:t>
      </w:r>
      <w:proofErr w:type="spellEnd"/>
      <w:r>
        <w:t xml:space="preserve"> </w:t>
      </w:r>
      <w:proofErr w:type="spellStart"/>
      <w:r>
        <w:t>envolvidos</w:t>
      </w:r>
      <w:proofErr w:type="spellEnd"/>
      <w:r>
        <w:t xml:space="preserve"> </w:t>
      </w:r>
      <w:proofErr w:type="spellStart"/>
      <w:r>
        <w:t>na</w:t>
      </w:r>
      <w:proofErr w:type="spellEnd"/>
      <w:r>
        <w:t xml:space="preserve"> </w:t>
      </w:r>
      <w:proofErr w:type="spellStart"/>
      <w:r>
        <w:t>biodegradação</w:t>
      </w:r>
      <w:proofErr w:type="spellEnd"/>
      <w:r>
        <w:t xml:space="preserve"> da </w:t>
      </w:r>
      <w:proofErr w:type="spellStart"/>
      <w:r>
        <w:t>atrazina</w:t>
      </w:r>
      <w:proofErr w:type="spellEnd"/>
      <w:r>
        <w:t xml:space="preserve"> sob </w:t>
      </w:r>
      <w:proofErr w:type="spellStart"/>
      <w:r>
        <w:t>diferentes</w:t>
      </w:r>
      <w:proofErr w:type="spellEnd"/>
      <w:r>
        <w:t xml:space="preserve"> </w:t>
      </w:r>
      <w:proofErr w:type="spellStart"/>
      <w:r>
        <w:t>condições</w:t>
      </w:r>
      <w:proofErr w:type="spellEnd"/>
      <w:r>
        <w:t xml:space="preserve"> de </w:t>
      </w:r>
      <w:proofErr w:type="spellStart"/>
      <w:r>
        <w:t>oxirredução</w:t>
      </w:r>
      <w:proofErr w:type="spellEnd"/>
      <w:r>
        <w:t xml:space="preserve">. </w:t>
      </w:r>
      <w:r>
        <w:rPr>
          <w:i/>
          <w:iCs/>
        </w:rPr>
        <w:t>Research Society and Development</w:t>
      </w:r>
      <w:r>
        <w:t xml:space="preserve">, </w:t>
      </w:r>
      <w:r>
        <w:rPr>
          <w:i/>
          <w:iCs/>
        </w:rPr>
        <w:t>10</w:t>
      </w:r>
      <w:r>
        <w:t xml:space="preserve">(8). https://doi.org/10.33448/rsd-v10i8.17689 </w:t>
      </w:r>
      <w:bookmarkEnd w:id="26"/>
    </w:p>
    <w:p w14:paraId="3E54D208" w14:textId="77777777" w:rsidR="009D1F61" w:rsidRDefault="00000000" w:rsidP="00331442">
      <w:pPr>
        <w:pStyle w:val="JenniRefBody"/>
        <w:ind w:left="720" w:hanging="720"/>
        <w:jc w:val="both"/>
      </w:pPr>
      <w:bookmarkStart w:id="27" w:name="0d0103613371c877720126bfb896a1f6"/>
      <w:r>
        <w:t xml:space="preserve">  McGonigle, T. P., &amp; Turner, W. F. (2017). Grasslands and Croplands Have Different Microbial Biomass Carbon Levels per Unit of Soil Organic Carbon. </w:t>
      </w:r>
      <w:r>
        <w:rPr>
          <w:i/>
          <w:iCs/>
        </w:rPr>
        <w:t>Agriculture</w:t>
      </w:r>
      <w:r>
        <w:t xml:space="preserve">, </w:t>
      </w:r>
      <w:r>
        <w:rPr>
          <w:i/>
          <w:iCs/>
        </w:rPr>
        <w:t>7</w:t>
      </w:r>
      <w:r>
        <w:t xml:space="preserve">(7), 57–57. https://doi.org/10.3390/agriculture7070057 </w:t>
      </w:r>
      <w:bookmarkEnd w:id="27"/>
    </w:p>
    <w:p w14:paraId="570A5805" w14:textId="77777777" w:rsidR="009D1F61" w:rsidRDefault="00000000" w:rsidP="00331442">
      <w:pPr>
        <w:pStyle w:val="JenniRefBody"/>
        <w:ind w:left="720" w:hanging="720"/>
        <w:jc w:val="both"/>
      </w:pPr>
      <w:bookmarkStart w:id="28" w:name="410927ecb0e74c1ed3de1013ed794758"/>
      <w:r>
        <w:t xml:space="preserve">  Meidl, P., Lehmann, A., Bi, M., </w:t>
      </w:r>
      <w:proofErr w:type="spellStart"/>
      <w:r>
        <w:t>Breitenreiter</w:t>
      </w:r>
      <w:proofErr w:type="spellEnd"/>
      <w:r>
        <w:t xml:space="preserve">, C., </w:t>
      </w:r>
      <w:proofErr w:type="spellStart"/>
      <w:r>
        <w:t>Benkrama</w:t>
      </w:r>
      <w:proofErr w:type="spellEnd"/>
      <w:r>
        <w:t xml:space="preserve">, J., Li, E., </w:t>
      </w:r>
      <w:proofErr w:type="spellStart"/>
      <w:r>
        <w:t>Riedo</w:t>
      </w:r>
      <w:proofErr w:type="spellEnd"/>
      <w:r>
        <w:t xml:space="preserve">, J., &amp; </w:t>
      </w:r>
      <w:proofErr w:type="spellStart"/>
      <w:r>
        <w:t>Rillig</w:t>
      </w:r>
      <w:proofErr w:type="spellEnd"/>
      <w:r>
        <w:t xml:space="preserve">, M. C. (2024). Combined application of up to ten pesticides decreases key soil processes. </w:t>
      </w:r>
      <w:r>
        <w:rPr>
          <w:i/>
          <w:iCs/>
        </w:rPr>
        <w:t>Environmental Science and Pollution Research</w:t>
      </w:r>
      <w:r>
        <w:t xml:space="preserve">, </w:t>
      </w:r>
      <w:r>
        <w:rPr>
          <w:i/>
          <w:iCs/>
        </w:rPr>
        <w:t>31</w:t>
      </w:r>
      <w:r>
        <w:t xml:space="preserve">(8), 11995–12004. https://doi.org/10.1007/s11356-024-31836-x </w:t>
      </w:r>
      <w:bookmarkEnd w:id="28"/>
    </w:p>
    <w:p w14:paraId="42DF8CDC" w14:textId="77777777" w:rsidR="009D1F61" w:rsidRDefault="00000000" w:rsidP="00331442">
      <w:pPr>
        <w:pStyle w:val="JenniRefBody"/>
        <w:ind w:left="720" w:hanging="720"/>
        <w:jc w:val="both"/>
      </w:pPr>
      <w:bookmarkStart w:id="29" w:name="4039bb5b74a1b31dbf4be19ce6cc1505"/>
      <w:r>
        <w:t xml:space="preserve">  Memoli, V., Eymar, E., García‐Delgado, C., Esposito, F., Panico, S. C., Marco, A. D., Barile, R., &amp; Maisto, G. (2018). Soil element fractions affect phytotoxicity, microbial biomass and activity in volcanic areas. </w:t>
      </w:r>
      <w:r>
        <w:rPr>
          <w:i/>
          <w:iCs/>
        </w:rPr>
        <w:t>The Science of The Total Environment</w:t>
      </w:r>
      <w:r>
        <w:t xml:space="preserve">, </w:t>
      </w:r>
      <w:r>
        <w:rPr>
          <w:i/>
          <w:iCs/>
        </w:rPr>
        <w:t>636</w:t>
      </w:r>
      <w:r>
        <w:t xml:space="preserve">, 1099–1108. https://doi.org/10.1016/j.scitotenv.2018.04.327 </w:t>
      </w:r>
      <w:bookmarkEnd w:id="29"/>
    </w:p>
    <w:p w14:paraId="152BB3FC" w14:textId="77777777" w:rsidR="009D1F61" w:rsidRDefault="00000000" w:rsidP="00331442">
      <w:pPr>
        <w:pStyle w:val="JenniRefBody"/>
        <w:ind w:left="720" w:hanging="720"/>
        <w:jc w:val="both"/>
      </w:pPr>
      <w:bookmarkStart w:id="30" w:name="a65e66d46be8ee2db97dfee668ea2b89"/>
      <w:r>
        <w:t xml:space="preserve">  Niemeyer, J. C., </w:t>
      </w:r>
      <w:proofErr w:type="spellStart"/>
      <w:r>
        <w:t>Lolata</w:t>
      </w:r>
      <w:proofErr w:type="spellEnd"/>
      <w:r>
        <w:t xml:space="preserve">, G. B., Carvalho, G. M. de, Silva, E. M. da, Sousa, J. P., &amp; Nogueira, M. A. (2012). Microbial indicators of soil health as tools for ecological risk assessment of a metal contaminated site in Brazil. </w:t>
      </w:r>
      <w:r>
        <w:rPr>
          <w:i/>
          <w:iCs/>
        </w:rPr>
        <w:t>Applied Soil Ecology</w:t>
      </w:r>
      <w:r>
        <w:t xml:space="preserve">, </w:t>
      </w:r>
      <w:r>
        <w:rPr>
          <w:i/>
          <w:iCs/>
        </w:rPr>
        <w:t>59</w:t>
      </w:r>
      <w:r>
        <w:t xml:space="preserve">, 96–105. https://doi.org/10.1016/j.apsoil.2012.03.019 </w:t>
      </w:r>
      <w:bookmarkEnd w:id="30"/>
    </w:p>
    <w:p w14:paraId="48A478C7" w14:textId="77777777" w:rsidR="009D1F61" w:rsidRDefault="00000000" w:rsidP="00331442">
      <w:pPr>
        <w:pStyle w:val="JenniRefBody"/>
        <w:ind w:left="720" w:hanging="720"/>
        <w:jc w:val="both"/>
      </w:pPr>
      <w:bookmarkStart w:id="31" w:name="3e705a4001f331f2208ed2068fe90e05"/>
      <w:r>
        <w:t xml:space="preserve">  </w:t>
      </w:r>
      <w:proofErr w:type="spellStart"/>
      <w:r>
        <w:t>Okpokparoro</w:t>
      </w:r>
      <w:proofErr w:type="spellEnd"/>
      <w:r>
        <w:t xml:space="preserve">, O. J., Kamalu, O. J., &amp; Anozie, H. I. (2026). CHARACTERIZATION, CLASSIFICATION, AND LAND USE ASSESSMENT OF REPRESENTATIVE SOILS IN THE ISOKO NORTH AREA, DELTA STATE, NIGERIA. </w:t>
      </w:r>
      <w:proofErr w:type="spellStart"/>
      <w:r>
        <w:rPr>
          <w:i/>
          <w:iCs/>
        </w:rPr>
        <w:t>Zenodo</w:t>
      </w:r>
      <w:proofErr w:type="spellEnd"/>
      <w:r>
        <w:rPr>
          <w:i/>
          <w:iCs/>
        </w:rPr>
        <w:t xml:space="preserve"> (CERN European Organization for Nuclear Research)</w:t>
      </w:r>
      <w:r>
        <w:t xml:space="preserve">. https://doi.org/10.5281/zenodo.19095559 </w:t>
      </w:r>
      <w:bookmarkEnd w:id="31"/>
    </w:p>
    <w:p w14:paraId="68BA46E7" w14:textId="77777777" w:rsidR="009D1F61" w:rsidRDefault="00000000" w:rsidP="00331442">
      <w:pPr>
        <w:pStyle w:val="JenniRefBody"/>
        <w:ind w:left="720" w:hanging="720"/>
        <w:jc w:val="both"/>
      </w:pPr>
      <w:bookmarkStart w:id="32" w:name="8ed81e8224411b13d10b019e35574e43"/>
      <w:r>
        <w:t xml:space="preserve">  Parmelee, R. W., </w:t>
      </w:r>
      <w:proofErr w:type="spellStart"/>
      <w:r>
        <w:t>Wentsel</w:t>
      </w:r>
      <w:proofErr w:type="spellEnd"/>
      <w:r>
        <w:t xml:space="preserve">, R. S., Phillips, C. T., </w:t>
      </w:r>
      <w:proofErr w:type="spellStart"/>
      <w:r>
        <w:t>Checkai</w:t>
      </w:r>
      <w:proofErr w:type="spellEnd"/>
      <w:r>
        <w:t xml:space="preserve">, R. T., &amp; </w:t>
      </w:r>
      <w:proofErr w:type="spellStart"/>
      <w:r>
        <w:t>Simini</w:t>
      </w:r>
      <w:proofErr w:type="spellEnd"/>
      <w:r>
        <w:t xml:space="preserve">, M. (1993). Soil microcosm for testing the effects of chemical pollutants on soil fauna communities and trophic structure. </w:t>
      </w:r>
      <w:r>
        <w:rPr>
          <w:i/>
          <w:iCs/>
        </w:rPr>
        <w:t>Environmental Toxicology and Chemistry</w:t>
      </w:r>
      <w:r>
        <w:t xml:space="preserve">, </w:t>
      </w:r>
      <w:r>
        <w:rPr>
          <w:i/>
          <w:iCs/>
        </w:rPr>
        <w:t>12</w:t>
      </w:r>
      <w:r>
        <w:t xml:space="preserve">(8), 1477–1486. https://doi.org/10.1002/etc.5620120815 </w:t>
      </w:r>
      <w:bookmarkEnd w:id="32"/>
    </w:p>
    <w:p w14:paraId="4D3EF93D" w14:textId="77777777" w:rsidR="009D1F61" w:rsidRDefault="00000000" w:rsidP="00331442">
      <w:pPr>
        <w:pStyle w:val="JenniRefBody"/>
        <w:ind w:left="720" w:hanging="720"/>
        <w:jc w:val="both"/>
      </w:pPr>
      <w:bookmarkStart w:id="33" w:name="058ef5b54d015fa77b271d47e2b73cff"/>
      <w:r>
        <w:t xml:space="preserve">  Pastor‐Jáuregui, R., Paniagua‐López, M., Aguilar‐Garrido, A., Martínez-Garzón, F. J., Romero-Freire, A., &amp; Sierra‐Aragón, M. (2022). Ecotoxicological risk assessment in soils contaminated by Pb and </w:t>
      </w:r>
      <w:proofErr w:type="gramStart"/>
      <w:r>
        <w:t>As</w:t>
      </w:r>
      <w:proofErr w:type="gramEnd"/>
      <w:r>
        <w:t xml:space="preserve"> 20 years after a mining spill. </w:t>
      </w:r>
      <w:r>
        <w:rPr>
          <w:i/>
          <w:iCs/>
        </w:rPr>
        <w:t>Journal of Contaminant Hydrology</w:t>
      </w:r>
      <w:r>
        <w:t xml:space="preserve">, </w:t>
      </w:r>
      <w:r>
        <w:rPr>
          <w:i/>
          <w:iCs/>
        </w:rPr>
        <w:t>251</w:t>
      </w:r>
      <w:r>
        <w:t xml:space="preserve">, 104100–104100. https://doi.org/10.1016/j.jconhyd.2022.104100 </w:t>
      </w:r>
      <w:bookmarkEnd w:id="33"/>
    </w:p>
    <w:p w14:paraId="03EC7387" w14:textId="77777777" w:rsidR="009D1F61" w:rsidRDefault="00000000" w:rsidP="00331442">
      <w:pPr>
        <w:pStyle w:val="JenniRefBody"/>
        <w:ind w:left="720" w:hanging="720"/>
        <w:jc w:val="both"/>
      </w:pPr>
      <w:bookmarkStart w:id="34" w:name="143a7b2662c8fd282b89cbdb1ee2f371"/>
      <w:r>
        <w:t xml:space="preserve">  Phillips, E. K., Yanes, Y., </w:t>
      </w:r>
      <w:proofErr w:type="spellStart"/>
      <w:r>
        <w:t>Muruganantham</w:t>
      </w:r>
      <w:proofErr w:type="spellEnd"/>
      <w:r>
        <w:t xml:space="preserve">, K., &amp; Pearce, T. A. (2022). Dietary Niche Partitioning Among Sympatric Terrestrial Gastropods in a Temperate Woodland. </w:t>
      </w:r>
      <w:r>
        <w:rPr>
          <w:i/>
          <w:iCs/>
        </w:rPr>
        <w:t>Research Square (Research Square)</w:t>
      </w:r>
      <w:r>
        <w:t xml:space="preserve">. https://doi.org/10.21203/rs.3.rs-2207716/v1 </w:t>
      </w:r>
      <w:bookmarkEnd w:id="34"/>
    </w:p>
    <w:p w14:paraId="2118B7C5" w14:textId="77777777" w:rsidR="009D1F61" w:rsidRDefault="00000000" w:rsidP="00331442">
      <w:pPr>
        <w:pStyle w:val="JenniRefBody"/>
        <w:ind w:left="720" w:hanging="720"/>
        <w:jc w:val="both"/>
      </w:pPr>
      <w:bookmarkStart w:id="35" w:name="ead7b567effd16b848de34baa64c6227"/>
      <w:r>
        <w:t xml:space="preserve">  Pirsaheb, M., &amp; Fattahi, N. (2018). Development of a liquid-phase microextraction based on the freezing of a deep eutectic solvent followed by HPLC-UV for sensitive determination of common pesticides in environmental water samples. </w:t>
      </w:r>
      <w:r>
        <w:rPr>
          <w:i/>
          <w:iCs/>
        </w:rPr>
        <w:t>RSC Advances</w:t>
      </w:r>
      <w:r>
        <w:t xml:space="preserve">, </w:t>
      </w:r>
      <w:r>
        <w:rPr>
          <w:i/>
          <w:iCs/>
        </w:rPr>
        <w:t>8</w:t>
      </w:r>
      <w:r>
        <w:t xml:space="preserve">(21), 11412–11418. https://doi.org/10.1039/c8ra00912k </w:t>
      </w:r>
      <w:bookmarkEnd w:id="35"/>
    </w:p>
    <w:p w14:paraId="4C4EBD1C" w14:textId="77777777" w:rsidR="009D1F61" w:rsidRDefault="00000000" w:rsidP="00331442">
      <w:pPr>
        <w:pStyle w:val="JenniRefBody"/>
        <w:ind w:left="720" w:hanging="720"/>
        <w:jc w:val="both"/>
      </w:pPr>
      <w:bookmarkStart w:id="36" w:name="b1635897722c268f1f5586861a6b008c"/>
      <w:r>
        <w:t xml:space="preserve">  Richardson, J. B., &amp; Dobson, A. (2025). Effects of rooting, temperature, and organic horizon development on temperate forest soil carbon, nitrogen, and inorganic nutrients in transplanted soils. </w:t>
      </w:r>
      <w:r>
        <w:rPr>
          <w:i/>
          <w:iCs/>
        </w:rPr>
        <w:t>Biogeochemistry</w:t>
      </w:r>
      <w:r>
        <w:t xml:space="preserve">, </w:t>
      </w:r>
      <w:r>
        <w:rPr>
          <w:i/>
          <w:iCs/>
        </w:rPr>
        <w:t>168</w:t>
      </w:r>
      <w:r>
        <w:t xml:space="preserve">(5). https://doi.org/10.1007/s10533-025-01266-z </w:t>
      </w:r>
      <w:bookmarkEnd w:id="36"/>
    </w:p>
    <w:p w14:paraId="03B9AC06" w14:textId="77777777" w:rsidR="009D1F61" w:rsidRDefault="00000000" w:rsidP="00331442">
      <w:pPr>
        <w:pStyle w:val="JenniRefBody"/>
        <w:ind w:left="720" w:hanging="720"/>
        <w:jc w:val="both"/>
      </w:pPr>
      <w:bookmarkStart w:id="37" w:name="a54ccf666534951aedfa746425813b7c"/>
      <w:r>
        <w:t xml:space="preserve">  Roldán, M. M., Fasching, C., Muehe, E. M., </w:t>
      </w:r>
      <w:proofErr w:type="spellStart"/>
      <w:r>
        <w:t>Vetterlein</w:t>
      </w:r>
      <w:proofErr w:type="spellEnd"/>
      <w:r>
        <w:t xml:space="preserve">, D., </w:t>
      </w:r>
      <w:proofErr w:type="spellStart"/>
      <w:r>
        <w:t>Tarkka</w:t>
      </w:r>
      <w:proofErr w:type="spellEnd"/>
      <w:r>
        <w:t xml:space="preserve">, M., &amp; </w:t>
      </w:r>
      <w:proofErr w:type="spellStart"/>
      <w:r>
        <w:t>Blagodatskaya</w:t>
      </w:r>
      <w:proofErr w:type="spellEnd"/>
      <w:r>
        <w:t xml:space="preserve">, Е. (2025). Root hair-deficient mutant of maize promoted an increase in C and N in loamy soil after 5 years of monoculture. </w:t>
      </w:r>
      <w:r>
        <w:rPr>
          <w:i/>
          <w:iCs/>
        </w:rPr>
        <w:t>Biology and Fertility of Soils</w:t>
      </w:r>
      <w:r>
        <w:t xml:space="preserve">. https://doi.org/10.1007/s00374-025-01949-7 </w:t>
      </w:r>
      <w:bookmarkEnd w:id="37"/>
    </w:p>
    <w:p w14:paraId="05091549" w14:textId="77777777" w:rsidR="009D1F61" w:rsidRDefault="00000000" w:rsidP="00331442">
      <w:pPr>
        <w:pStyle w:val="JenniRefBody"/>
        <w:ind w:left="720" w:hanging="720"/>
        <w:jc w:val="both"/>
      </w:pPr>
      <w:bookmarkStart w:id="38" w:name="694416d2aa5173381f277e1dbca37f21"/>
      <w:r>
        <w:t xml:space="preserve">  </w:t>
      </w:r>
      <w:proofErr w:type="spellStart"/>
      <w:r>
        <w:t>Rousk</w:t>
      </w:r>
      <w:proofErr w:type="spellEnd"/>
      <w:r>
        <w:t xml:space="preserve">, J., </w:t>
      </w:r>
      <w:proofErr w:type="spellStart"/>
      <w:r>
        <w:t>Bååth</w:t>
      </w:r>
      <w:proofErr w:type="spellEnd"/>
      <w:r>
        <w:t xml:space="preserve">, E., Brookes, P. C., Lauber, C. L., </w:t>
      </w:r>
      <w:proofErr w:type="spellStart"/>
      <w:r>
        <w:t>Lozupone</w:t>
      </w:r>
      <w:proofErr w:type="spellEnd"/>
      <w:r>
        <w:t xml:space="preserve">, C., Caporaso, J. G., Knight, R., &amp; Fierer, N. (2010). Soil bacterial and fungal communities across a pH gradient in an arable soil. </w:t>
      </w:r>
      <w:r>
        <w:rPr>
          <w:i/>
          <w:iCs/>
        </w:rPr>
        <w:t>The ISME Journal</w:t>
      </w:r>
      <w:r>
        <w:t xml:space="preserve">, </w:t>
      </w:r>
      <w:r>
        <w:rPr>
          <w:i/>
          <w:iCs/>
        </w:rPr>
        <w:t>4</w:t>
      </w:r>
      <w:r>
        <w:t xml:space="preserve">(10), 1340–1351. https://doi.org/10.1038/ismej.2010.58 </w:t>
      </w:r>
      <w:bookmarkEnd w:id="38"/>
    </w:p>
    <w:p w14:paraId="48824059" w14:textId="77777777" w:rsidR="009D1F61" w:rsidRDefault="00000000" w:rsidP="00331442">
      <w:pPr>
        <w:pStyle w:val="JenniRefBody"/>
        <w:ind w:left="720" w:hanging="720"/>
        <w:jc w:val="both"/>
      </w:pPr>
      <w:bookmarkStart w:id="39" w:name="9247e8f8d49ba4c5db107f54dbdefa75"/>
      <w:r>
        <w:t xml:space="preserve">  Sahraoui, A. S., Verweij, R. A., </w:t>
      </w:r>
      <w:proofErr w:type="spellStart"/>
      <w:r>
        <w:t>Belhiouani</w:t>
      </w:r>
      <w:proofErr w:type="spellEnd"/>
      <w:r>
        <w:t xml:space="preserve">, H., </w:t>
      </w:r>
      <w:proofErr w:type="spellStart"/>
      <w:r>
        <w:t>Cheriti</w:t>
      </w:r>
      <w:proofErr w:type="spellEnd"/>
      <w:r>
        <w:t xml:space="preserve">, O., </w:t>
      </w:r>
      <w:proofErr w:type="spellStart"/>
      <w:r>
        <w:t>Gestel</w:t>
      </w:r>
      <w:proofErr w:type="spellEnd"/>
      <w:r>
        <w:t xml:space="preserve">, C. A. M. van, &amp; Sahli, L. (2021). Dose-dependent effects of lead and cadmium and the influence of soil properties on their uptake by Helix </w:t>
      </w:r>
      <w:proofErr w:type="spellStart"/>
      <w:r>
        <w:lastRenderedPageBreak/>
        <w:t>aspersa</w:t>
      </w:r>
      <w:proofErr w:type="spellEnd"/>
      <w:r>
        <w:t xml:space="preserve">: an ecotoxicity test approach. </w:t>
      </w:r>
      <w:r>
        <w:rPr>
          <w:i/>
          <w:iCs/>
        </w:rPr>
        <w:t>Ecotoxicology</w:t>
      </w:r>
      <w:r>
        <w:t xml:space="preserve">, </w:t>
      </w:r>
      <w:r>
        <w:rPr>
          <w:i/>
          <w:iCs/>
        </w:rPr>
        <w:t>30</w:t>
      </w:r>
      <w:r>
        <w:t xml:space="preserve">(2), 331–342. https://doi.org/10.1007/s10646-020-02331-z </w:t>
      </w:r>
      <w:bookmarkEnd w:id="39"/>
    </w:p>
    <w:p w14:paraId="47EB8454" w14:textId="77777777" w:rsidR="009D1F61" w:rsidRDefault="00000000" w:rsidP="00331442">
      <w:pPr>
        <w:pStyle w:val="JenniRefBody"/>
        <w:ind w:left="720" w:hanging="720"/>
        <w:jc w:val="both"/>
      </w:pPr>
      <w:bookmarkStart w:id="40" w:name="df7b1dbcd51db9adc867b86497c1b315"/>
      <w:r>
        <w:t xml:space="preserve">  Samri, S. E., </w:t>
      </w:r>
      <w:proofErr w:type="spellStart"/>
      <w:r>
        <w:t>Aberkani</w:t>
      </w:r>
      <w:proofErr w:type="spellEnd"/>
      <w:r>
        <w:t xml:space="preserve">, K., Said, M. A. A. E.-, </w:t>
      </w:r>
      <w:proofErr w:type="spellStart"/>
      <w:r>
        <w:t>Haboubi</w:t>
      </w:r>
      <w:proofErr w:type="spellEnd"/>
      <w:r>
        <w:t xml:space="preserve">, K., &amp; Ghazal, H. (2023). Effects of inoculation with mycorrhizae and the benefits of bacteria on physicochemical and microbiological properties of soil, growth, productivity and quality of table grapes grown under Mediterranean climate conditions. </w:t>
      </w:r>
      <w:r>
        <w:rPr>
          <w:i/>
          <w:iCs/>
        </w:rPr>
        <w:t>Journal of Plant Protection Research</w:t>
      </w:r>
      <w:r>
        <w:t xml:space="preserve">. https://doi.org/10.24425/jppr.2021.139242 </w:t>
      </w:r>
      <w:bookmarkEnd w:id="40"/>
    </w:p>
    <w:p w14:paraId="314056DE" w14:textId="77777777" w:rsidR="009D1F61" w:rsidRDefault="00000000" w:rsidP="00331442">
      <w:pPr>
        <w:pStyle w:val="JenniRefBody"/>
        <w:ind w:left="720" w:hanging="720"/>
        <w:jc w:val="both"/>
      </w:pPr>
      <w:bookmarkStart w:id="41" w:name="bea37722f18f603aac78f606bedc8662"/>
      <w:r>
        <w:t xml:space="preserve">  </w:t>
      </w:r>
      <w:proofErr w:type="spellStart"/>
      <w:r>
        <w:t>Semren</w:t>
      </w:r>
      <w:proofErr w:type="spellEnd"/>
      <w:r>
        <w:t xml:space="preserve">, T. Ž., </w:t>
      </w:r>
      <w:proofErr w:type="spellStart"/>
      <w:r>
        <w:t>Žunec</w:t>
      </w:r>
      <w:proofErr w:type="spellEnd"/>
      <w:r>
        <w:t xml:space="preserve">, S., &amp; </w:t>
      </w:r>
      <w:proofErr w:type="spellStart"/>
      <w:r>
        <w:t>Pizent</w:t>
      </w:r>
      <w:proofErr w:type="spellEnd"/>
      <w:r>
        <w:t xml:space="preserve">, A. (2018). Oxidative stress in triazine pesticide toxicity: a review of the main biomarker findings. </w:t>
      </w:r>
      <w:r>
        <w:rPr>
          <w:i/>
          <w:iCs/>
        </w:rPr>
        <w:t>Archives of Industrial Hygiene and Toxicology</w:t>
      </w:r>
      <w:r>
        <w:t xml:space="preserve">, </w:t>
      </w:r>
      <w:r>
        <w:rPr>
          <w:i/>
          <w:iCs/>
        </w:rPr>
        <w:t>69</w:t>
      </w:r>
      <w:r>
        <w:t xml:space="preserve">(2), 109–125. https://doi.org/10.2478/aiht-2018-69-3118 </w:t>
      </w:r>
      <w:bookmarkEnd w:id="41"/>
    </w:p>
    <w:p w14:paraId="0C516003" w14:textId="77777777" w:rsidR="009D1F61" w:rsidRDefault="00000000" w:rsidP="00331442">
      <w:pPr>
        <w:pStyle w:val="JenniRefBody"/>
        <w:ind w:left="720" w:hanging="720"/>
        <w:jc w:val="both"/>
      </w:pPr>
      <w:bookmarkStart w:id="42" w:name="ab438e8c49537e25a2ba05ef66e2b7ef"/>
      <w:r>
        <w:t xml:space="preserve">  Shukla, S., </w:t>
      </w:r>
      <w:proofErr w:type="spellStart"/>
      <w:r>
        <w:t>Jhamtani</w:t>
      </w:r>
      <w:proofErr w:type="spellEnd"/>
      <w:r>
        <w:t xml:space="preserve">, R. C., Dahiya, M. S., &amp; Agarwal, R. (2017). Oxidative injury caused by individual and combined exposure of neonicotinoid, organophosphate and herbicide in zebrafish. </w:t>
      </w:r>
      <w:r>
        <w:rPr>
          <w:i/>
          <w:iCs/>
        </w:rPr>
        <w:t>Toxicology Reports</w:t>
      </w:r>
      <w:r>
        <w:t xml:space="preserve">, </w:t>
      </w:r>
      <w:r>
        <w:rPr>
          <w:i/>
          <w:iCs/>
        </w:rPr>
        <w:t>4</w:t>
      </w:r>
      <w:r>
        <w:t xml:space="preserve">, 240–244. https://doi.org/10.1016/j.toxrep.2017.05.002 </w:t>
      </w:r>
      <w:bookmarkEnd w:id="42"/>
    </w:p>
    <w:p w14:paraId="28DD1301" w14:textId="77777777" w:rsidR="009D1F61" w:rsidRDefault="00000000" w:rsidP="00331442">
      <w:pPr>
        <w:pStyle w:val="JenniRefBody"/>
        <w:ind w:left="720" w:hanging="720"/>
        <w:jc w:val="both"/>
      </w:pPr>
      <w:bookmarkStart w:id="43" w:name="81f921b26f10e82bfbf7db117829b3da"/>
      <w:r>
        <w:t xml:space="preserve">  Sidhu, G. K., Singh, S., Kumar, V., Dhanjal, D. S., Datta, S., &amp; Singh, J. (2019). Toxicity, monitoring and biodegradation of organophosphate pesticides: A review. </w:t>
      </w:r>
      <w:r>
        <w:rPr>
          <w:i/>
          <w:iCs/>
        </w:rPr>
        <w:t>Critical Reviews in Environmental Science and Technology</w:t>
      </w:r>
      <w:r>
        <w:t xml:space="preserve">, </w:t>
      </w:r>
      <w:r>
        <w:rPr>
          <w:i/>
          <w:iCs/>
        </w:rPr>
        <w:t>49</w:t>
      </w:r>
      <w:r>
        <w:t xml:space="preserve">(13), 1135–1187. https://doi.org/10.1080/10643389.2019.1565554 </w:t>
      </w:r>
      <w:bookmarkEnd w:id="43"/>
    </w:p>
    <w:p w14:paraId="442EE4E1" w14:textId="77777777" w:rsidR="009D1F61" w:rsidRDefault="00000000" w:rsidP="00331442">
      <w:pPr>
        <w:pStyle w:val="JenniRefBody"/>
        <w:ind w:left="720" w:hanging="720"/>
        <w:jc w:val="both"/>
      </w:pPr>
      <w:bookmarkStart w:id="44" w:name="74440a8828a5ef82cc00a369aeeae2b9"/>
      <w:r>
        <w:t xml:space="preserve">  Singh, R. P., Yadav, R., Pandey, V., Singh, A., Singh, M., Shanker, K., &amp; Khare, P. (2024). Effect of biochar on soil microbial community, dissipation and uptake of chlorpyrifos and atrazine. </w:t>
      </w:r>
      <w:r>
        <w:rPr>
          <w:i/>
          <w:iCs/>
        </w:rPr>
        <w:t>Biochar</w:t>
      </w:r>
      <w:r>
        <w:t xml:space="preserve">, </w:t>
      </w:r>
      <w:r>
        <w:rPr>
          <w:i/>
          <w:iCs/>
        </w:rPr>
        <w:t>6</w:t>
      </w:r>
      <w:r>
        <w:t xml:space="preserve">(1). https://doi.org/10.1007/s42773-024-00306-5 </w:t>
      </w:r>
      <w:bookmarkEnd w:id="44"/>
    </w:p>
    <w:p w14:paraId="560F6B92" w14:textId="77777777" w:rsidR="009D1F61" w:rsidRDefault="00000000" w:rsidP="00331442">
      <w:pPr>
        <w:pStyle w:val="JenniRefBody"/>
        <w:ind w:left="720" w:hanging="720"/>
        <w:jc w:val="both"/>
      </w:pPr>
      <w:bookmarkStart w:id="45" w:name="bb3cb406e4a2b9907f6e5ad02b4983b2"/>
      <w:r>
        <w:t xml:space="preserve">  </w:t>
      </w:r>
      <w:proofErr w:type="spellStart"/>
      <w:r>
        <w:t>Tahmoures</w:t>
      </w:r>
      <w:proofErr w:type="spellEnd"/>
      <w:r>
        <w:t xml:space="preserve">, M., </w:t>
      </w:r>
      <w:proofErr w:type="spellStart"/>
      <w:r>
        <w:t>Honarbakhsh</w:t>
      </w:r>
      <w:proofErr w:type="spellEnd"/>
      <w:r>
        <w:t xml:space="preserve">, A., Afzali, S. F., </w:t>
      </w:r>
      <w:proofErr w:type="spellStart"/>
      <w:r>
        <w:t>Abotaleb</w:t>
      </w:r>
      <w:proofErr w:type="spellEnd"/>
      <w:r>
        <w:t xml:space="preserve">, M., Ingram, B., &amp; </w:t>
      </w:r>
      <w:proofErr w:type="spellStart"/>
      <w:r>
        <w:t>Ostovari</w:t>
      </w:r>
      <w:proofErr w:type="spellEnd"/>
      <w:r>
        <w:t xml:space="preserve">, Y. (2022). Fractal Features of Soil Particles as an Indicator of Land Degradation under Different Types of Land Use at the Watershed Scale in Southern Iran. </w:t>
      </w:r>
      <w:r>
        <w:rPr>
          <w:i/>
          <w:iCs/>
        </w:rPr>
        <w:t>Land</w:t>
      </w:r>
      <w:r>
        <w:t xml:space="preserve">, </w:t>
      </w:r>
      <w:r>
        <w:rPr>
          <w:i/>
          <w:iCs/>
        </w:rPr>
        <w:t>11</w:t>
      </w:r>
      <w:r>
        <w:t xml:space="preserve">(11), 2093–2093. https://doi.org/10.3390/land11112093 </w:t>
      </w:r>
      <w:bookmarkEnd w:id="45"/>
    </w:p>
    <w:p w14:paraId="289EA618" w14:textId="77777777" w:rsidR="009D1F61" w:rsidRDefault="00000000" w:rsidP="00331442">
      <w:pPr>
        <w:pStyle w:val="JenniRefBody"/>
        <w:ind w:left="720" w:hanging="720"/>
        <w:jc w:val="both"/>
      </w:pPr>
      <w:bookmarkStart w:id="46" w:name="f3c04d21f4296cd635d348f109c1ca27"/>
      <w:r>
        <w:t xml:space="preserve">  Vink, K., </w:t>
      </w:r>
      <w:proofErr w:type="spellStart"/>
      <w:r>
        <w:t>Tompot</w:t>
      </w:r>
      <w:proofErr w:type="spellEnd"/>
      <w:r>
        <w:t xml:space="preserve">, A., Hermans, M., </w:t>
      </w:r>
      <w:proofErr w:type="spellStart"/>
      <w:r>
        <w:t>Straalen</w:t>
      </w:r>
      <w:proofErr w:type="spellEnd"/>
      <w:r>
        <w:t xml:space="preserve">, N. M. van, Dewi, I., &amp; Bedaux, J. J. M. (1995). The importance of the exposure route when testing the toxicity of pesticides to saprotrophic isopods. </w:t>
      </w:r>
      <w:r>
        <w:rPr>
          <w:i/>
          <w:iCs/>
        </w:rPr>
        <w:t>Environmental Toxicology and Chemistry</w:t>
      </w:r>
      <w:r>
        <w:t xml:space="preserve">, </w:t>
      </w:r>
      <w:r>
        <w:rPr>
          <w:i/>
          <w:iCs/>
        </w:rPr>
        <w:t>14</w:t>
      </w:r>
      <w:r>
        <w:t xml:space="preserve">(7), 1225–1232. https://doi.org/10.1002/etc.5620140715 </w:t>
      </w:r>
      <w:bookmarkEnd w:id="46"/>
    </w:p>
    <w:p w14:paraId="6956A954" w14:textId="77777777" w:rsidR="009D1F61" w:rsidRDefault="00000000" w:rsidP="00331442">
      <w:pPr>
        <w:pStyle w:val="JenniRefBody"/>
        <w:ind w:left="720" w:hanging="720"/>
        <w:jc w:val="both"/>
      </w:pPr>
      <w:bookmarkStart w:id="47" w:name="d1b29c1ecbcab895e8066fa5b4240049"/>
      <w:r>
        <w:t xml:space="preserve">  Wang, C., Zhou, X., Guo, D., Zhao, J., Li, Y., Feng, G., Gao, Q., Yu, H., &amp; Lan-po, Z. (2019). Soil pH is the primary factor driving the distribution and function of microorganisms in farmland soils in northeastern China. </w:t>
      </w:r>
      <w:r>
        <w:rPr>
          <w:i/>
          <w:iCs/>
        </w:rPr>
        <w:t>Annals of Microbiology</w:t>
      </w:r>
      <w:r>
        <w:t xml:space="preserve">, </w:t>
      </w:r>
      <w:r>
        <w:rPr>
          <w:i/>
          <w:iCs/>
        </w:rPr>
        <w:t>69</w:t>
      </w:r>
      <w:r>
        <w:t xml:space="preserve">(13), 1461–1473. https://doi.org/10.1007/s13213-019-01529-9 </w:t>
      </w:r>
      <w:bookmarkEnd w:id="47"/>
    </w:p>
    <w:p w14:paraId="3CAAE7B6" w14:textId="77777777" w:rsidR="009D1F61" w:rsidRDefault="00000000" w:rsidP="00331442">
      <w:pPr>
        <w:pStyle w:val="JenniRefBody"/>
        <w:ind w:left="720" w:hanging="720"/>
        <w:jc w:val="both"/>
      </w:pPr>
      <w:bookmarkStart w:id="48" w:name="33c67d61501172de67ba9f3aa0d04edf"/>
      <w:r>
        <w:t xml:space="preserve">  </w:t>
      </w:r>
      <w:proofErr w:type="spellStart"/>
      <w:r>
        <w:t>Widdig</w:t>
      </w:r>
      <w:proofErr w:type="spellEnd"/>
      <w:r>
        <w:t xml:space="preserve">, M., Schleuss, P.-M., Weig, A. R., Guhr, A., Biederman, L., Borer, E. T., Crawley, M. J., Kirkman, K., Seabloom, E. W., Wragg, P. D., &amp; Spohn, M. (2019). Nitrogen and Phosphorus Additions Alter the Abundance of Phosphorus-Solubilizing Bacteria and Phosphatase Activity in Grassland Soils. </w:t>
      </w:r>
      <w:r>
        <w:rPr>
          <w:i/>
          <w:iCs/>
        </w:rPr>
        <w:t>Frontiers in Environmental Science</w:t>
      </w:r>
      <w:r>
        <w:t xml:space="preserve">, </w:t>
      </w:r>
      <w:r>
        <w:rPr>
          <w:i/>
          <w:iCs/>
        </w:rPr>
        <w:t>7</w:t>
      </w:r>
      <w:r>
        <w:t xml:space="preserve">. https://doi.org/10.3389/fenvs.2019.00185 </w:t>
      </w:r>
      <w:bookmarkEnd w:id="48"/>
    </w:p>
    <w:p w14:paraId="0388160D" w14:textId="77777777" w:rsidR="009D1F61" w:rsidRDefault="00000000" w:rsidP="00331442">
      <w:pPr>
        <w:pStyle w:val="JenniRefBody"/>
        <w:ind w:left="720" w:hanging="720"/>
        <w:jc w:val="both"/>
      </w:pPr>
      <w:bookmarkStart w:id="49" w:name="695af457d88c1ea919f41b64faac947b"/>
      <w:r>
        <w:t xml:space="preserve">  Wu, L., Chen, L., Zhu, L., Chen, X., &amp; Li, Q. (2020). Integrated assessment of biomarker responses and comparative toxicity pathway in snails </w:t>
      </w:r>
      <w:proofErr w:type="spellStart"/>
      <w:r>
        <w:t>Bellamya</w:t>
      </w:r>
      <w:proofErr w:type="spellEnd"/>
      <w:r>
        <w:t xml:space="preserve"> aeruginosa exposed to tributyltin and </w:t>
      </w:r>
      <w:proofErr w:type="spellStart"/>
      <w:r>
        <w:t>triphenyltin</w:t>
      </w:r>
      <w:proofErr w:type="spellEnd"/>
      <w:r>
        <w:t xml:space="preserve"> in sediments. </w:t>
      </w:r>
      <w:r>
        <w:rPr>
          <w:i/>
          <w:iCs/>
        </w:rPr>
        <w:t>Environmental Sciences Europe</w:t>
      </w:r>
      <w:r>
        <w:t xml:space="preserve">, </w:t>
      </w:r>
      <w:r>
        <w:rPr>
          <w:i/>
          <w:iCs/>
        </w:rPr>
        <w:t>32</w:t>
      </w:r>
      <w:r>
        <w:t xml:space="preserve">(1). https://doi.org/10.1186/s12302-020-00373-y </w:t>
      </w:r>
      <w:bookmarkEnd w:id="49"/>
    </w:p>
    <w:p w14:paraId="16C2978A" w14:textId="77777777" w:rsidR="009D1F61" w:rsidRDefault="00000000" w:rsidP="00331442">
      <w:pPr>
        <w:pStyle w:val="JenniRefBody"/>
        <w:ind w:left="720" w:hanging="720"/>
        <w:jc w:val="both"/>
      </w:pPr>
      <w:bookmarkStart w:id="50" w:name="68949e19b93e733e6f60fd100aa0d935"/>
      <w:r>
        <w:t xml:space="preserve">  Yang, Y., Shi, Y., Fang, J., Chu, H., &amp; Adams, J. M. (2022). Soil Microbial Network Complexity Varies With pH as a Continuum, </w:t>
      </w:r>
      <w:proofErr w:type="gramStart"/>
      <w:r>
        <w:t>Not</w:t>
      </w:r>
      <w:proofErr w:type="gramEnd"/>
      <w:r>
        <w:t xml:space="preserve"> a Threshold, Across the North China Plain. </w:t>
      </w:r>
      <w:r>
        <w:rPr>
          <w:i/>
          <w:iCs/>
        </w:rPr>
        <w:t>Frontiers in Microbiology</w:t>
      </w:r>
      <w:r>
        <w:t xml:space="preserve">, </w:t>
      </w:r>
      <w:r>
        <w:rPr>
          <w:i/>
          <w:iCs/>
        </w:rPr>
        <w:t>13</w:t>
      </w:r>
      <w:r>
        <w:t xml:space="preserve">. https://doi.org/10.3389/fmicb.2022.895687 </w:t>
      </w:r>
      <w:bookmarkEnd w:id="50"/>
    </w:p>
    <w:p w14:paraId="423C400E" w14:textId="77777777" w:rsidR="009D1F61" w:rsidRDefault="00000000" w:rsidP="00331442">
      <w:pPr>
        <w:pStyle w:val="JenniRefBody"/>
        <w:ind w:left="720" w:hanging="720"/>
        <w:jc w:val="both"/>
      </w:pPr>
      <w:bookmarkStart w:id="51" w:name="174d464bc159140ccbef88338ff8b152"/>
      <w:r>
        <w:t xml:space="preserve">  Zaidi, N., Douafer, L., &amp; Hamdani, A. (2021). Diversity and abundance of terrestrial gastropods in </w:t>
      </w:r>
      <w:proofErr w:type="spellStart"/>
      <w:r>
        <w:t>Skikda</w:t>
      </w:r>
      <w:proofErr w:type="spellEnd"/>
      <w:r>
        <w:t xml:space="preserve"> region (North-East Algeria): correlation with soil physicochemical factors. </w:t>
      </w:r>
      <w:r>
        <w:rPr>
          <w:i/>
          <w:iCs/>
        </w:rPr>
        <w:t>The Journal of Basic and Applied Zoology</w:t>
      </w:r>
      <w:r>
        <w:t xml:space="preserve">, </w:t>
      </w:r>
      <w:r>
        <w:rPr>
          <w:i/>
          <w:iCs/>
        </w:rPr>
        <w:t>82</w:t>
      </w:r>
      <w:r>
        <w:t xml:space="preserve">(1). https://doi.org/10.1186/s41936-021-00239-6 </w:t>
      </w:r>
      <w:bookmarkEnd w:id="51"/>
    </w:p>
    <w:p w14:paraId="1C723866" w14:textId="77777777" w:rsidR="009D1F61" w:rsidRDefault="00000000" w:rsidP="00331442">
      <w:pPr>
        <w:pStyle w:val="JenniRefBody"/>
        <w:ind w:left="720" w:hanging="720"/>
        <w:jc w:val="both"/>
      </w:pPr>
      <w:bookmarkStart w:id="52" w:name="c07e0731395656763584d40a22cd7106"/>
      <w:r>
        <w:t xml:space="preserve">  Zhang, S., Hu, W., Xu, Y., Zhong, H., Kong, Z., &amp; Wu, L. (2022). Linking bacterial and fungal assemblages to soil nutrient cycling within different aggregate sizes in agroecosystem. </w:t>
      </w:r>
      <w:r>
        <w:rPr>
          <w:i/>
          <w:iCs/>
        </w:rPr>
        <w:t>Frontiers in Microbiology</w:t>
      </w:r>
      <w:r>
        <w:t xml:space="preserve">, </w:t>
      </w:r>
      <w:r>
        <w:rPr>
          <w:i/>
          <w:iCs/>
        </w:rPr>
        <w:t>13</w:t>
      </w:r>
      <w:r>
        <w:t xml:space="preserve">. https://doi.org/10.3389/fmicb.2022.1038536 </w:t>
      </w:r>
      <w:bookmarkEnd w:id="52"/>
    </w:p>
    <w:p w14:paraId="64EA5654" w14:textId="77777777" w:rsidR="009D1F61" w:rsidRDefault="00000000" w:rsidP="00331442">
      <w:pPr>
        <w:pStyle w:val="JenniRefBody"/>
        <w:ind w:left="720" w:hanging="720"/>
        <w:jc w:val="both"/>
      </w:pPr>
      <w:bookmarkStart w:id="53" w:name="671e20bc71bab074f8fdde75c96df38b"/>
      <w:r>
        <w:t xml:space="preserve">  Zhou, X., Tahvanainen, T., </w:t>
      </w:r>
      <w:proofErr w:type="spellStart"/>
      <w:r>
        <w:t>Malard</w:t>
      </w:r>
      <w:proofErr w:type="spellEnd"/>
      <w:r>
        <w:t xml:space="preserve">, L., Chen, L., Pérez-Pérez, J., &amp; Berninger, F. (2024). Global analysis of soil bacterial genera and diversity in response to </w:t>
      </w:r>
      <w:proofErr w:type="spellStart"/>
      <w:r>
        <w:t>pH.</w:t>
      </w:r>
      <w:proofErr w:type="spellEnd"/>
      <w:r>
        <w:t xml:space="preserve"> </w:t>
      </w:r>
      <w:r>
        <w:rPr>
          <w:i/>
          <w:iCs/>
        </w:rPr>
        <w:t>Soil Biology and Biochemistry</w:t>
      </w:r>
      <w:r>
        <w:t xml:space="preserve">, </w:t>
      </w:r>
      <w:r>
        <w:rPr>
          <w:i/>
          <w:iCs/>
        </w:rPr>
        <w:t>198</w:t>
      </w:r>
      <w:r>
        <w:t xml:space="preserve">, 109552–109552. https://doi.org/10.1016/j.soilbio.2024.109552 </w:t>
      </w:r>
      <w:bookmarkEnd w:id="53"/>
    </w:p>
    <w:sectPr w:rsidR="009D1F6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4F"/>
    <w:multiLevelType w:val="hybridMultilevel"/>
    <w:tmpl w:val="8B245742"/>
    <w:lvl w:ilvl="0" w:tplc="D6A40FF4">
      <w:start w:val="1"/>
      <w:numFmt w:val="bullet"/>
      <w:lvlText w:val="●"/>
      <w:lvlJc w:val="left"/>
      <w:pPr>
        <w:ind w:left="720" w:hanging="360"/>
      </w:pPr>
    </w:lvl>
    <w:lvl w:ilvl="1" w:tplc="8A042CB4">
      <w:start w:val="1"/>
      <w:numFmt w:val="bullet"/>
      <w:lvlText w:val="○"/>
      <w:lvlJc w:val="left"/>
      <w:pPr>
        <w:ind w:left="1440" w:hanging="360"/>
      </w:pPr>
    </w:lvl>
    <w:lvl w:ilvl="2" w:tplc="5FB04378">
      <w:start w:val="1"/>
      <w:numFmt w:val="bullet"/>
      <w:lvlText w:val="■"/>
      <w:lvlJc w:val="left"/>
      <w:pPr>
        <w:ind w:left="2160" w:hanging="360"/>
      </w:pPr>
    </w:lvl>
    <w:lvl w:ilvl="3" w:tplc="D7FC7A30">
      <w:start w:val="1"/>
      <w:numFmt w:val="bullet"/>
      <w:lvlText w:val="●"/>
      <w:lvlJc w:val="left"/>
      <w:pPr>
        <w:ind w:left="2880" w:hanging="360"/>
      </w:pPr>
    </w:lvl>
    <w:lvl w:ilvl="4" w:tplc="EF66D99A">
      <w:start w:val="1"/>
      <w:numFmt w:val="bullet"/>
      <w:lvlText w:val="○"/>
      <w:lvlJc w:val="left"/>
      <w:pPr>
        <w:ind w:left="3600" w:hanging="360"/>
      </w:pPr>
    </w:lvl>
    <w:lvl w:ilvl="5" w:tplc="96467C5E">
      <w:start w:val="1"/>
      <w:numFmt w:val="bullet"/>
      <w:lvlText w:val="■"/>
      <w:lvlJc w:val="left"/>
      <w:pPr>
        <w:ind w:left="4320" w:hanging="360"/>
      </w:pPr>
    </w:lvl>
    <w:lvl w:ilvl="6" w:tplc="A61E7A10">
      <w:start w:val="1"/>
      <w:numFmt w:val="bullet"/>
      <w:lvlText w:val="●"/>
      <w:lvlJc w:val="left"/>
      <w:pPr>
        <w:ind w:left="5040" w:hanging="360"/>
      </w:pPr>
    </w:lvl>
    <w:lvl w:ilvl="7" w:tplc="1932DA2E">
      <w:start w:val="1"/>
      <w:numFmt w:val="bullet"/>
      <w:lvlText w:val="●"/>
      <w:lvlJc w:val="left"/>
      <w:pPr>
        <w:ind w:left="5760" w:hanging="360"/>
      </w:pPr>
    </w:lvl>
    <w:lvl w:ilvl="8" w:tplc="C7082D7E">
      <w:start w:val="1"/>
      <w:numFmt w:val="bullet"/>
      <w:lvlText w:val="●"/>
      <w:lvlJc w:val="left"/>
      <w:pPr>
        <w:ind w:left="6480" w:hanging="360"/>
      </w:pPr>
    </w:lvl>
  </w:abstractNum>
  <w:abstractNum w:abstractNumId="1" w15:restartNumberingAfterBreak="0">
    <w:nsid w:val="4C604B1F"/>
    <w:multiLevelType w:val="hybridMultilevel"/>
    <w:tmpl w:val="5A608D3E"/>
    <w:lvl w:ilvl="0" w:tplc="12780642">
      <w:start w:val="1"/>
      <w:numFmt w:val="decimalEnclosedFullstop"/>
      <w:lvlText w:val="%1"/>
      <w:lvlJc w:val="left"/>
      <w:pPr>
        <w:ind w:left="720" w:hanging="360"/>
      </w:pPr>
    </w:lvl>
    <w:lvl w:ilvl="1" w:tplc="84D0BD04">
      <w:start w:val="1"/>
      <w:numFmt w:val="decimalEnclosedFullstop"/>
      <w:lvlText w:val="%2"/>
      <w:lvlJc w:val="left"/>
      <w:pPr>
        <w:ind w:left="1440" w:hanging="360"/>
      </w:pPr>
    </w:lvl>
    <w:lvl w:ilvl="2" w:tplc="C734BE66">
      <w:start w:val="1"/>
      <w:numFmt w:val="decimalEnclosedFullstop"/>
      <w:lvlText w:val="%3"/>
      <w:lvlJc w:val="left"/>
      <w:pPr>
        <w:ind w:left="2160" w:hanging="360"/>
      </w:pPr>
    </w:lvl>
    <w:lvl w:ilvl="3" w:tplc="F3F46F2A">
      <w:start w:val="1"/>
      <w:numFmt w:val="decimalEnclosedFullstop"/>
      <w:lvlText w:val="%4"/>
      <w:lvlJc w:val="left"/>
      <w:pPr>
        <w:ind w:left="2880" w:hanging="360"/>
      </w:pPr>
    </w:lvl>
    <w:lvl w:ilvl="4" w:tplc="292E4640">
      <w:start w:val="1"/>
      <w:numFmt w:val="decimalEnclosedFullstop"/>
      <w:lvlText w:val="%5"/>
      <w:lvlJc w:val="left"/>
      <w:pPr>
        <w:ind w:left="3600" w:hanging="360"/>
      </w:pPr>
    </w:lvl>
    <w:lvl w:ilvl="5" w:tplc="59D2281C">
      <w:start w:val="1"/>
      <w:numFmt w:val="decimalEnclosedFullstop"/>
      <w:lvlText w:val="%6"/>
      <w:lvlJc w:val="left"/>
      <w:pPr>
        <w:ind w:left="4320" w:hanging="360"/>
      </w:pPr>
    </w:lvl>
    <w:lvl w:ilvl="6" w:tplc="2288FF40">
      <w:start w:val="1"/>
      <w:numFmt w:val="decimalEnclosedFullstop"/>
      <w:lvlText w:val="%7"/>
      <w:lvlJc w:val="left"/>
      <w:pPr>
        <w:ind w:left="5040" w:hanging="360"/>
      </w:pPr>
    </w:lvl>
    <w:lvl w:ilvl="7" w:tplc="07EC5C64">
      <w:start w:val="1"/>
      <w:numFmt w:val="decimalEnclosedFullstop"/>
      <w:lvlText w:val="%8"/>
      <w:lvlJc w:val="left"/>
      <w:pPr>
        <w:ind w:left="5760" w:hanging="360"/>
      </w:pPr>
    </w:lvl>
    <w:lvl w:ilvl="8" w:tplc="E6CA5F40">
      <w:start w:val="1"/>
      <w:numFmt w:val="decimalEnclosedFullstop"/>
      <w:lvlText w:val="%9"/>
      <w:lvlJc w:val="left"/>
      <w:pPr>
        <w:ind w:left="6480" w:hanging="360"/>
      </w:pPr>
    </w:lvl>
  </w:abstractNum>
  <w:abstractNum w:abstractNumId="2" w15:restartNumberingAfterBreak="0">
    <w:nsid w:val="4DCC5944"/>
    <w:multiLevelType w:val="hybridMultilevel"/>
    <w:tmpl w:val="808027A8"/>
    <w:lvl w:ilvl="0" w:tplc="AD228CEA">
      <w:start w:val="1"/>
      <w:numFmt w:val="bullet"/>
      <w:lvlText w:val=""/>
      <w:lvlJc w:val="left"/>
      <w:pPr>
        <w:ind w:left="720" w:hanging="360"/>
      </w:pPr>
    </w:lvl>
    <w:lvl w:ilvl="1" w:tplc="89366DFE">
      <w:start w:val="1"/>
      <w:numFmt w:val="bullet"/>
      <w:lvlText w:val=""/>
      <w:lvlJc w:val="left"/>
      <w:pPr>
        <w:ind w:left="1440" w:hanging="360"/>
      </w:pPr>
    </w:lvl>
    <w:lvl w:ilvl="2" w:tplc="2E24AA5E">
      <w:start w:val="1"/>
      <w:numFmt w:val="bullet"/>
      <w:lvlText w:val=""/>
      <w:lvlJc w:val="left"/>
      <w:pPr>
        <w:ind w:left="2160" w:hanging="360"/>
      </w:pPr>
    </w:lvl>
    <w:lvl w:ilvl="3" w:tplc="777A1246">
      <w:start w:val="1"/>
      <w:numFmt w:val="bullet"/>
      <w:lvlText w:val=""/>
      <w:lvlJc w:val="left"/>
      <w:pPr>
        <w:ind w:left="2880" w:hanging="360"/>
      </w:pPr>
    </w:lvl>
    <w:lvl w:ilvl="4" w:tplc="4B94FD2A">
      <w:start w:val="1"/>
      <w:numFmt w:val="bullet"/>
      <w:lvlText w:val=""/>
      <w:lvlJc w:val="left"/>
      <w:pPr>
        <w:ind w:left="3600" w:hanging="360"/>
      </w:pPr>
    </w:lvl>
    <w:lvl w:ilvl="5" w:tplc="B6741400">
      <w:start w:val="1"/>
      <w:numFmt w:val="bullet"/>
      <w:lvlText w:val=""/>
      <w:lvlJc w:val="left"/>
      <w:pPr>
        <w:ind w:left="4320" w:hanging="360"/>
      </w:pPr>
    </w:lvl>
    <w:lvl w:ilvl="6" w:tplc="B8344F98">
      <w:start w:val="1"/>
      <w:numFmt w:val="bullet"/>
      <w:lvlText w:val=""/>
      <w:lvlJc w:val="left"/>
      <w:pPr>
        <w:ind w:left="5040" w:hanging="360"/>
      </w:pPr>
    </w:lvl>
    <w:lvl w:ilvl="7" w:tplc="E0E2BBF6">
      <w:start w:val="1"/>
      <w:numFmt w:val="bullet"/>
      <w:lvlText w:val=""/>
      <w:lvlJc w:val="left"/>
      <w:pPr>
        <w:ind w:left="5760" w:hanging="360"/>
      </w:pPr>
    </w:lvl>
    <w:lvl w:ilvl="8" w:tplc="7C30C888">
      <w:start w:val="1"/>
      <w:numFmt w:val="bullet"/>
      <w:lvlText w:val=""/>
      <w:lvlJc w:val="left"/>
      <w:pPr>
        <w:ind w:left="6480" w:hanging="360"/>
      </w:pPr>
    </w:lvl>
  </w:abstractNum>
  <w:num w:numId="1" w16cid:durableId="462426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61"/>
    <w:rsid w:val="00331442"/>
    <w:rsid w:val="00973DAE"/>
    <w:rsid w:val="009D1F61"/>
  </w:rsids>
  <m:mathPr>
    <m:mathFont m:val="Cambria Math"/>
    <m:brkBin m:val="before"/>
    <m:brkBinSub m:val="--"/>
    <m:smallFrac m:val="0"/>
    <m:dispDef/>
    <m:lMargin m:val="0"/>
    <m:rMargin m:val="0"/>
    <m:defJc m:val="centerGroup"/>
    <m:wrapIndent m:val="1440"/>
    <m:intLim m:val="subSup"/>
    <m:naryLim m:val="undOvr"/>
  </m:mathPr>
  <w:themeFontLang w:val="en-N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3A95"/>
  <w15:docId w15:val="{E9EA5E80-FA48-423F-985C-03129EE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U" w:eastAsia="zh-C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customStyle="1" w:styleId="JenniTableCaption">
    <w:name w:val="JenniTableCaption"/>
    <w:qFormat/>
    <w:pPr>
      <w:spacing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2" Type="http://schemas.openxmlformats.org/officeDocument/2006/relationships/oleObject" Target="file:///D:\ON-GOING%20WORKS\TEGA%20ATAIKIRU%20MCB%20PHD\TEGA%20ATAIKIRY%20MCB%20PhD%20DATA%20(Toxicity%20Test)\Tega%20Ataikiru%20MCB%20PhD%20DATA%202%20(PROBITS).xlsm"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ON-GOING%20WORKS\TEGA%20ATAIKIRU%20MCB%20PHD\TEGA%20ATAIKIRY%20MCB%20PhD%20DATA%20(Toxicity%20Test)\Tega%20Ataikiru%20MCB%20PhD%20DATA%202%20(PROBITS).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Dr%20Tega%20For%20Alf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679910294076746E-2"/>
          <c:y val="0.16048996944862201"/>
          <c:w val="0.86401731499980505"/>
          <c:h val="0.67896785988822705"/>
        </c:manualLayout>
      </c:layout>
      <c:scatterChart>
        <c:scatterStyle val="smoothMarker"/>
        <c:varyColors val="0"/>
        <c:ser>
          <c:idx val="4"/>
          <c:order val="0"/>
          <c:tx>
            <c:strRef>
              <c:f>Atrazine for snails</c:f>
              <c:strCache>
                <c:ptCount val="1"/>
                <c:pt idx="0">
                  <c:v>Atrazine for snails</c:v>
                </c:pt>
              </c:strCache>
            </c:strRef>
          </c:tx>
          <c:marker>
            <c:spPr>
              <a:noFill/>
              <a:ln w="6350" cap="flat" cmpd="sng" algn="ctr">
                <a:solidFill>
                  <a:schemeClr val="accent5"/>
                </a:solidFill>
                <a:prstDash val="solid"/>
                <a:round/>
              </a:ln>
            </c:spPr>
          </c:marker>
          <c:xVal>
            <c:numRef>
              <c:f>SCA_HID!$M$1:$M$13</c:f>
              <c:numCache>
                <c:formatCode>0</c:formatCode>
                <c:ptCount val="13"/>
                <c:pt idx="0">
                  <c:v>0.77822946533303172</c:v>
                </c:pt>
                <c:pt idx="1">
                  <c:v>1.6461719144765139</c:v>
                </c:pt>
                <c:pt idx="2">
                  <c:v>2.4542986453546467</c:v>
                </c:pt>
                <c:pt idx="3">
                  <c:v>3.9807458959489797</c:v>
                </c:pt>
                <c:pt idx="4">
                  <c:v>5.6417773787929955</c:v>
                </c:pt>
                <c:pt idx="5">
                  <c:v>7.6002111551417402</c:v>
                </c:pt>
                <c:pt idx="6">
                  <c:v>10.041111855112081</c:v>
                </c:pt>
                <c:pt idx="7">
                  <c:v>13.2659376468328</c:v>
                </c:pt>
                <c:pt idx="8">
                  <c:v>17.870951035016567</c:v>
                </c:pt>
                <c:pt idx="9">
                  <c:v>25.327898319125801</c:v>
                </c:pt>
                <c:pt idx="10">
                  <c:v>41.08054554717998</c:v>
                </c:pt>
                <c:pt idx="11">
                  <c:v>61.247507869757229</c:v>
                </c:pt>
                <c:pt idx="12">
                  <c:v>129.55552543070002</c:v>
                </c:pt>
              </c:numCache>
            </c:numRef>
          </c:xVal>
          <c:yVal>
            <c:numRef>
              <c:f>SCA_HID!$N$1:$N$13</c:f>
              <c:numCache>
                <c:formatCode>0</c:formatCode>
                <c:ptCount val="13"/>
                <c:pt idx="0">
                  <c:v>1.0000000000000005E-2</c:v>
                </c:pt>
                <c:pt idx="1">
                  <c:v>0.05</c:v>
                </c:pt>
                <c:pt idx="2">
                  <c:v>0.1</c:v>
                </c:pt>
                <c:pt idx="3">
                  <c:v>0.2</c:v>
                </c:pt>
                <c:pt idx="4">
                  <c:v>0.30000000000000032</c:v>
                </c:pt>
                <c:pt idx="5">
                  <c:v>0.4</c:v>
                </c:pt>
                <c:pt idx="6">
                  <c:v>0.5</c:v>
                </c:pt>
                <c:pt idx="7">
                  <c:v>0.60000000000000164</c:v>
                </c:pt>
                <c:pt idx="8">
                  <c:v>0.70000000000000095</c:v>
                </c:pt>
                <c:pt idx="9">
                  <c:v>0.8</c:v>
                </c:pt>
                <c:pt idx="10">
                  <c:v>0.9</c:v>
                </c:pt>
                <c:pt idx="11">
                  <c:v>0.95000000000000095</c:v>
                </c:pt>
                <c:pt idx="12">
                  <c:v>0.99</c:v>
                </c:pt>
              </c:numCache>
            </c:numRef>
          </c:yVal>
          <c:smooth val="1"/>
          <c:extLst>
            <c:ext xmlns:c16="http://schemas.microsoft.com/office/drawing/2014/chart" uri="{C3380CC4-5D6E-409C-BE32-E72D297353CC}">
              <c16:uniqueId val="{00000000-90D5-44B0-9401-9840622C33D9}"/>
            </c:ext>
          </c:extLst>
        </c:ser>
        <c:dLbls>
          <c:showLegendKey val="0"/>
          <c:showVal val="0"/>
          <c:showCatName val="0"/>
          <c:showSerName val="0"/>
          <c:showPercent val="0"/>
          <c:showBubbleSize val="0"/>
        </c:dLbls>
        <c:axId val="96958720"/>
        <c:axId val="97999872"/>
      </c:scatterChart>
      <c:valAx>
        <c:axId val="96958720"/>
        <c:scaling>
          <c:logBase val="10"/>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US"/>
                  <a:t>Log</a:t>
                </a:r>
                <a:r>
                  <a:rPr lang="en-US" baseline="-25000"/>
                  <a:t>10</a:t>
                </a:r>
                <a:r>
                  <a:rPr lang="en-US"/>
                  <a:t> (concentration, mg/L)</a:t>
                </a:r>
              </a:p>
            </c:rich>
          </c:tx>
          <c:layout>
            <c:manualLayout>
              <c:xMode val="edge"/>
              <c:yMode val="edge"/>
              <c:x val="0.31711442786069793"/>
              <c:y val="0.92342994065055894"/>
            </c:manualLayout>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NU"/>
          </a:p>
        </c:txPr>
        <c:crossAx val="97999872"/>
        <c:crosses val="autoZero"/>
        <c:crossBetween val="midCat"/>
      </c:valAx>
      <c:valAx>
        <c:axId val="97999872"/>
        <c:scaling>
          <c:orientation val="minMax"/>
          <c:max val="1"/>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GB"/>
                  <a:t>Probit</a:t>
                </a:r>
              </a:p>
            </c:rich>
          </c:tx>
          <c:overlay val="0"/>
        </c:title>
        <c:numFmt formatCode="#,##0.0"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NU"/>
          </a:p>
        </c:txPr>
        <c:crossAx val="96958720"/>
        <c:crossesAt val="0.1"/>
        <c:crossBetween val="midCat"/>
      </c:valAx>
      <c:spPr>
        <a:ln>
          <a:solidFill>
            <a:srgbClr val="808080"/>
          </a:solidFill>
          <a:prstDash val="solid"/>
        </a:ln>
      </c:spPr>
    </c:plotArea>
    <c:plotVisOnly val="1"/>
    <c:dispBlanksAs val="gap"/>
    <c:showDLblsOverMax val="0"/>
    <c:extLst>
      <c:ext uri="{0b15fc19-7d7d-44ad-8c2d-2c3a37ce22c3}">
        <chartProps xmlns="https://web.wps.cn/et/2018/main" chartId="{3b73993b-33ee-4d15-bd4a-31075035c3ed}"/>
      </c:ext>
    </c:extLst>
  </c:chart>
  <c:spPr>
    <a:ln w="6350" cap="flat" cmpd="sng" algn="ctr">
      <a:noFill/>
      <a:prstDash val="solid"/>
      <a:round/>
    </a:ln>
  </c:spPr>
  <c:txPr>
    <a:bodyPr/>
    <a:lstStyle/>
    <a:p>
      <a:pPr>
        <a:defRPr lang="en-US"/>
      </a:pPr>
      <a:endParaRPr lang="en-N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'FUNGAL COUNTS'!$H$3</c:f>
              <c:strCache>
                <c:ptCount val="1"/>
                <c:pt idx="0">
                  <c:v>Control</c:v>
                </c:pt>
              </c:strCache>
            </c:strRef>
          </c:tx>
          <c:xVal>
            <c:numRef>
              <c:f>'FUNGAL COUNTS'!$G$4:$G$8</c:f>
              <c:numCache>
                <c:formatCode>General</c:formatCode>
                <c:ptCount val="5"/>
                <c:pt idx="0">
                  <c:v>0</c:v>
                </c:pt>
                <c:pt idx="1">
                  <c:v>7</c:v>
                </c:pt>
                <c:pt idx="2">
                  <c:v>14</c:v>
                </c:pt>
                <c:pt idx="3">
                  <c:v>21</c:v>
                </c:pt>
                <c:pt idx="4">
                  <c:v>28</c:v>
                </c:pt>
              </c:numCache>
            </c:numRef>
          </c:xVal>
          <c:yVal>
            <c:numRef>
              <c:f>'FUNGAL COUNTS'!$H$4:$H$8</c:f>
              <c:numCache>
                <c:formatCode>0.0</c:formatCode>
                <c:ptCount val="5"/>
                <c:pt idx="0">
                  <c:v>150</c:v>
                </c:pt>
                <c:pt idx="1">
                  <c:v>167.3333333333336</c:v>
                </c:pt>
                <c:pt idx="2">
                  <c:v>174.66666666666652</c:v>
                </c:pt>
                <c:pt idx="3">
                  <c:v>188</c:v>
                </c:pt>
                <c:pt idx="4">
                  <c:v>189.66666666666652</c:v>
                </c:pt>
              </c:numCache>
            </c:numRef>
          </c:yVal>
          <c:smooth val="1"/>
          <c:extLst>
            <c:ext xmlns:c16="http://schemas.microsoft.com/office/drawing/2014/chart" uri="{C3380CC4-5D6E-409C-BE32-E72D297353CC}">
              <c16:uniqueId val="{00000000-5744-491F-BD8E-5463FBD062CE}"/>
            </c:ext>
          </c:extLst>
        </c:ser>
        <c:ser>
          <c:idx val="1"/>
          <c:order val="1"/>
          <c:tx>
            <c:strRef>
              <c:f>'FUNGAL COUNTS'!$I$3</c:f>
              <c:strCache>
                <c:ptCount val="1"/>
                <c:pt idx="0">
                  <c:v>Atrazine</c:v>
                </c:pt>
              </c:strCache>
            </c:strRef>
          </c:tx>
          <c:xVal>
            <c:numRef>
              <c:f>'FUNGAL COUNTS'!$G$4:$G$8</c:f>
              <c:numCache>
                <c:formatCode>General</c:formatCode>
                <c:ptCount val="5"/>
                <c:pt idx="0">
                  <c:v>0</c:v>
                </c:pt>
                <c:pt idx="1">
                  <c:v>7</c:v>
                </c:pt>
                <c:pt idx="2">
                  <c:v>14</c:v>
                </c:pt>
                <c:pt idx="3">
                  <c:v>21</c:v>
                </c:pt>
                <c:pt idx="4">
                  <c:v>28</c:v>
                </c:pt>
              </c:numCache>
            </c:numRef>
          </c:xVal>
          <c:yVal>
            <c:numRef>
              <c:f>'FUNGAL COUNTS'!$I$4:$I$8</c:f>
              <c:numCache>
                <c:formatCode>0.0</c:formatCode>
                <c:ptCount val="5"/>
                <c:pt idx="0">
                  <c:v>150</c:v>
                </c:pt>
                <c:pt idx="1">
                  <c:v>65.333333333333258</c:v>
                </c:pt>
                <c:pt idx="2">
                  <c:v>80</c:v>
                </c:pt>
                <c:pt idx="3">
                  <c:v>117</c:v>
                </c:pt>
                <c:pt idx="4">
                  <c:v>102</c:v>
                </c:pt>
              </c:numCache>
            </c:numRef>
          </c:yVal>
          <c:smooth val="1"/>
          <c:extLst>
            <c:ext xmlns:c16="http://schemas.microsoft.com/office/drawing/2014/chart" uri="{C3380CC4-5D6E-409C-BE32-E72D297353CC}">
              <c16:uniqueId val="{00000001-5744-491F-BD8E-5463FBD062CE}"/>
            </c:ext>
          </c:extLst>
        </c:ser>
        <c:ser>
          <c:idx val="2"/>
          <c:order val="2"/>
          <c:tx>
            <c:strRef>
              <c:f>'FUNGAL COUNTS'!$J$3</c:f>
              <c:strCache>
                <c:ptCount val="1"/>
                <c:pt idx="0">
                  <c:v>Dichlorvos</c:v>
                </c:pt>
              </c:strCache>
            </c:strRef>
          </c:tx>
          <c:xVal>
            <c:numRef>
              <c:f>'FUNGAL COUNTS'!$G$4:$G$8</c:f>
              <c:numCache>
                <c:formatCode>General</c:formatCode>
                <c:ptCount val="5"/>
                <c:pt idx="0">
                  <c:v>0</c:v>
                </c:pt>
                <c:pt idx="1">
                  <c:v>7</c:v>
                </c:pt>
                <c:pt idx="2">
                  <c:v>14</c:v>
                </c:pt>
                <c:pt idx="3">
                  <c:v>21</c:v>
                </c:pt>
                <c:pt idx="4">
                  <c:v>28</c:v>
                </c:pt>
              </c:numCache>
            </c:numRef>
          </c:xVal>
          <c:yVal>
            <c:numRef>
              <c:f>'FUNGAL COUNTS'!$J$4:$J$8</c:f>
              <c:numCache>
                <c:formatCode>0.0</c:formatCode>
                <c:ptCount val="5"/>
                <c:pt idx="0">
                  <c:v>150</c:v>
                </c:pt>
                <c:pt idx="1">
                  <c:v>42.666666666666536</c:v>
                </c:pt>
                <c:pt idx="2">
                  <c:v>91.666666666666671</c:v>
                </c:pt>
                <c:pt idx="3">
                  <c:v>110.66666666666667</c:v>
                </c:pt>
                <c:pt idx="4">
                  <c:v>86.666666666666671</c:v>
                </c:pt>
              </c:numCache>
            </c:numRef>
          </c:yVal>
          <c:smooth val="1"/>
          <c:extLst>
            <c:ext xmlns:c16="http://schemas.microsoft.com/office/drawing/2014/chart" uri="{C3380CC4-5D6E-409C-BE32-E72D297353CC}">
              <c16:uniqueId val="{00000002-5744-491F-BD8E-5463FBD062CE}"/>
            </c:ext>
          </c:extLst>
        </c:ser>
        <c:dLbls>
          <c:showLegendKey val="0"/>
          <c:showVal val="0"/>
          <c:showCatName val="0"/>
          <c:showSerName val="0"/>
          <c:showPercent val="0"/>
          <c:showBubbleSize val="0"/>
        </c:dLbls>
        <c:axId val="173721472"/>
        <c:axId val="173834624"/>
      </c:scatterChart>
      <c:valAx>
        <c:axId val="173721472"/>
        <c:scaling>
          <c:orientation val="minMax"/>
        </c:scaling>
        <c:delete val="0"/>
        <c:axPos val="b"/>
        <c:title>
          <c:tx>
            <c:rich>
              <a:bodyPr/>
              <a:lstStyle/>
              <a:p>
                <a:pPr>
                  <a:defRPr/>
                </a:pPr>
                <a:r>
                  <a:rPr lang="en-US"/>
                  <a:t>Time</a:t>
                </a:r>
                <a:r>
                  <a:rPr lang="en-US" baseline="0"/>
                  <a:t> (Days)</a:t>
                </a:r>
                <a:endParaRPr lang="en-US"/>
              </a:p>
            </c:rich>
          </c:tx>
          <c:overlay val="0"/>
        </c:title>
        <c:numFmt formatCode="General" sourceLinked="1"/>
        <c:majorTickMark val="out"/>
        <c:minorTickMark val="none"/>
        <c:tickLblPos val="nextTo"/>
        <c:crossAx val="173834624"/>
        <c:crosses val="autoZero"/>
        <c:crossBetween val="midCat"/>
      </c:valAx>
      <c:valAx>
        <c:axId val="173834624"/>
        <c:scaling>
          <c:orientation val="minMax"/>
        </c:scaling>
        <c:delete val="0"/>
        <c:axPos val="l"/>
        <c:title>
          <c:tx>
            <c:rich>
              <a:bodyPr rot="-5400000" vert="horz"/>
              <a:lstStyle/>
              <a:p>
                <a:pPr>
                  <a:defRPr/>
                </a:pPr>
                <a:r>
                  <a:rPr lang="en-US"/>
                  <a:t>Fungal</a:t>
                </a:r>
                <a:r>
                  <a:rPr lang="en-US" baseline="0"/>
                  <a:t> Count (×10</a:t>
                </a:r>
                <a:r>
                  <a:rPr lang="en-US" baseline="30000"/>
                  <a:t>3</a:t>
                </a:r>
                <a:r>
                  <a:rPr lang="en-US" baseline="0"/>
                  <a:t> CFU/g)</a:t>
                </a:r>
                <a:endParaRPr lang="en-US"/>
              </a:p>
            </c:rich>
          </c:tx>
          <c:overlay val="0"/>
        </c:title>
        <c:numFmt formatCode="0.0" sourceLinked="1"/>
        <c:majorTickMark val="out"/>
        <c:minorTickMark val="none"/>
        <c:tickLblPos val="nextTo"/>
        <c:crossAx val="173721472"/>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15236438615496"/>
          <c:y val="0.12888006619414197"/>
          <c:w val="0.86401731499980505"/>
          <c:h val="0.67896785988822705"/>
        </c:manualLayout>
      </c:layout>
      <c:scatterChart>
        <c:scatterStyle val="smoothMarker"/>
        <c:varyColors val="0"/>
        <c:ser>
          <c:idx val="5"/>
          <c:order val="0"/>
          <c:tx>
            <c:strRef>
              <c:f>DDVP</c:f>
              <c:strCache>
                <c:ptCount val="1"/>
                <c:pt idx="0">
                  <c:v>DDVP</c:v>
                </c:pt>
              </c:strCache>
            </c:strRef>
          </c:tx>
          <c:marker>
            <c:spPr>
              <a:solidFill>
                <a:schemeClr val="accent6"/>
              </a:solidFill>
              <a:ln w="6350" cap="flat" cmpd="sng" algn="ctr">
                <a:solidFill>
                  <a:schemeClr val="accent6"/>
                </a:solidFill>
                <a:prstDash val="solid"/>
                <a:round/>
              </a:ln>
            </c:spPr>
          </c:marker>
          <c:xVal>
            <c:numRef>
              <c:f>SCA_HID!$P$1:$P$13</c:f>
              <c:numCache>
                <c:formatCode>0</c:formatCode>
                <c:ptCount val="13"/>
                <c:pt idx="0">
                  <c:v>0.80099133870022798</c:v>
                </c:pt>
                <c:pt idx="1">
                  <c:v>0.88687611115879095</c:v>
                </c:pt>
                <c:pt idx="2">
                  <c:v>0.93636364757268298</c:v>
                </c:pt>
                <c:pt idx="3">
                  <c:v>1</c:v>
                </c:pt>
                <c:pt idx="4">
                  <c:v>1.04855325383</c:v>
                </c:pt>
                <c:pt idx="5">
                  <c:v>1.0919036272917999</c:v>
                </c:pt>
                <c:pt idx="6">
                  <c:v>1.1340411815780127</c:v>
                </c:pt>
                <c:pt idx="7">
                  <c:v>1.17780486241682</c:v>
                </c:pt>
                <c:pt idx="8">
                  <c:v>1.2264988896056099</c:v>
                </c:pt>
                <c:pt idx="9">
                  <c:v>1.28604940151484</c:v>
                </c:pt>
                <c:pt idx="10">
                  <c:v>1.37345080071043</c:v>
                </c:pt>
                <c:pt idx="11">
                  <c:v>1.4500891221824599</c:v>
                </c:pt>
                <c:pt idx="12">
                  <c:v>1.6055721696088827</c:v>
                </c:pt>
              </c:numCache>
            </c:numRef>
          </c:xVal>
          <c:yVal>
            <c:numRef>
              <c:f>SCA_HID!$Q$1:$Q$13</c:f>
              <c:numCache>
                <c:formatCode>0</c:formatCode>
                <c:ptCount val="13"/>
                <c:pt idx="0">
                  <c:v>1.0000000000000005E-2</c:v>
                </c:pt>
                <c:pt idx="1">
                  <c:v>0.05</c:v>
                </c:pt>
                <c:pt idx="2">
                  <c:v>0.1</c:v>
                </c:pt>
                <c:pt idx="3">
                  <c:v>0.2</c:v>
                </c:pt>
                <c:pt idx="4">
                  <c:v>0.30000000000000032</c:v>
                </c:pt>
                <c:pt idx="5">
                  <c:v>0.4</c:v>
                </c:pt>
                <c:pt idx="6">
                  <c:v>0.5</c:v>
                </c:pt>
                <c:pt idx="7">
                  <c:v>0.60000000000000164</c:v>
                </c:pt>
                <c:pt idx="8">
                  <c:v>0.70000000000000095</c:v>
                </c:pt>
                <c:pt idx="9">
                  <c:v>0.8</c:v>
                </c:pt>
                <c:pt idx="10">
                  <c:v>0.9</c:v>
                </c:pt>
                <c:pt idx="11">
                  <c:v>0.95000000000000095</c:v>
                </c:pt>
                <c:pt idx="12">
                  <c:v>0.99</c:v>
                </c:pt>
              </c:numCache>
            </c:numRef>
          </c:yVal>
          <c:smooth val="1"/>
          <c:extLst>
            <c:ext xmlns:c16="http://schemas.microsoft.com/office/drawing/2014/chart" uri="{C3380CC4-5D6E-409C-BE32-E72D297353CC}">
              <c16:uniqueId val="{00000000-0A82-484D-8E36-56C44468F928}"/>
            </c:ext>
          </c:extLst>
        </c:ser>
        <c:dLbls>
          <c:showLegendKey val="0"/>
          <c:showVal val="0"/>
          <c:showCatName val="0"/>
          <c:showSerName val="0"/>
          <c:showPercent val="0"/>
          <c:showBubbleSize val="0"/>
        </c:dLbls>
        <c:axId val="98330496"/>
        <c:axId val="98342400"/>
      </c:scatterChart>
      <c:valAx>
        <c:axId val="98330496"/>
        <c:scaling>
          <c:logBase val="10"/>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US"/>
                  <a:t>Log</a:t>
                </a:r>
                <a:r>
                  <a:rPr lang="en-US" baseline="-25000"/>
                  <a:t>10</a:t>
                </a:r>
                <a:r>
                  <a:rPr lang="en-US"/>
                  <a:t> (concentration, mg/L)</a:t>
                </a:r>
              </a:p>
            </c:rich>
          </c:tx>
          <c:layout>
            <c:manualLayout>
              <c:xMode val="edge"/>
              <c:yMode val="edge"/>
              <c:x val="0.42003849518810232"/>
              <c:y val="0.909754700362016"/>
            </c:manualLayout>
          </c:layout>
          <c:overlay val="0"/>
        </c:title>
        <c:numFmt formatCode="General"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NU"/>
          </a:p>
        </c:txPr>
        <c:crossAx val="98342400"/>
        <c:crosses val="autoZero"/>
        <c:crossBetween val="midCat"/>
      </c:valAx>
      <c:valAx>
        <c:axId val="98342400"/>
        <c:scaling>
          <c:orientation val="minMax"/>
          <c:max val="1"/>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r>
                  <a:rPr lang="en-GB"/>
                  <a:t>Probit</a:t>
                </a:r>
              </a:p>
            </c:rich>
          </c:tx>
          <c:overlay val="0"/>
        </c:title>
        <c:numFmt formatCode="#,##0.0" sourceLinked="0"/>
        <c:majorTickMark val="cross"/>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NU"/>
          </a:p>
        </c:txPr>
        <c:crossAx val="98330496"/>
        <c:crossesAt val="0.1"/>
        <c:crossBetween val="midCat"/>
      </c:valAx>
      <c:spPr>
        <a:ln>
          <a:solidFill>
            <a:srgbClr val="808080"/>
          </a:solidFill>
          <a:prstDash val="solid"/>
        </a:ln>
      </c:spPr>
    </c:plotArea>
    <c:plotVisOnly val="1"/>
    <c:dispBlanksAs val="gap"/>
    <c:showDLblsOverMax val="0"/>
    <c:extLst>
      <c:ext uri="{0b15fc19-7d7d-44ad-8c2d-2c3a37ce22c3}">
        <chartProps xmlns="https://web.wps.cn/et/2018/main" chartId="{40c2baf4-f3ad-4b16-8ab1-f69942d46be9}"/>
      </c:ext>
    </c:extLst>
  </c:chart>
  <c:spPr>
    <a:ln w="6350" cap="flat" cmpd="sng" algn="ctr">
      <a:noFill/>
      <a:prstDash val="solid"/>
      <a:round/>
    </a:ln>
  </c:spPr>
  <c:txPr>
    <a:bodyPr/>
    <a:lstStyle/>
    <a:p>
      <a:pPr>
        <a:defRPr lang="en-US"/>
      </a:pPr>
      <a:endParaRPr lang="en-N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(MB-C)'!$F$1</c:f>
              <c:strCache>
                <c:ptCount val="1"/>
                <c:pt idx="0">
                  <c:v>Control</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(MB-C)'!$F$2:$F$5</c:f>
              <c:numCache>
                <c:formatCode>General</c:formatCode>
                <c:ptCount val="4"/>
                <c:pt idx="0">
                  <c:v>285.05500000000001</c:v>
                </c:pt>
                <c:pt idx="1">
                  <c:v>279.685</c:v>
                </c:pt>
                <c:pt idx="2">
                  <c:v>275.66500000000002</c:v>
                </c:pt>
                <c:pt idx="3">
                  <c:v>272.72499999999951</c:v>
                </c:pt>
              </c:numCache>
            </c:numRef>
          </c:yVal>
          <c:smooth val="1"/>
          <c:extLst>
            <c:ext xmlns:c16="http://schemas.microsoft.com/office/drawing/2014/chart" uri="{C3380CC4-5D6E-409C-BE32-E72D297353CC}">
              <c16:uniqueId val="{00000000-FC4C-4A1D-93F9-5005F9FB3DDC}"/>
            </c:ext>
          </c:extLst>
        </c:ser>
        <c:ser>
          <c:idx val="1"/>
          <c:order val="1"/>
          <c:tx>
            <c:strRef>
              <c:f>'Microbial biomass carbon (MB-C)'!$G$1</c:f>
              <c:strCache>
                <c:ptCount val="1"/>
                <c:pt idx="0">
                  <c:v>Atrazine</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(MB-C)'!$G$2:$G$5</c:f>
              <c:numCache>
                <c:formatCode>General</c:formatCode>
                <c:ptCount val="4"/>
                <c:pt idx="0">
                  <c:v>271.375</c:v>
                </c:pt>
                <c:pt idx="1">
                  <c:v>274.64499999999998</c:v>
                </c:pt>
                <c:pt idx="2">
                  <c:v>278.81</c:v>
                </c:pt>
                <c:pt idx="3">
                  <c:v>284.67</c:v>
                </c:pt>
              </c:numCache>
            </c:numRef>
          </c:yVal>
          <c:smooth val="1"/>
          <c:extLst>
            <c:ext xmlns:c16="http://schemas.microsoft.com/office/drawing/2014/chart" uri="{C3380CC4-5D6E-409C-BE32-E72D297353CC}">
              <c16:uniqueId val="{00000001-FC4C-4A1D-93F9-5005F9FB3DDC}"/>
            </c:ext>
          </c:extLst>
        </c:ser>
        <c:ser>
          <c:idx val="2"/>
          <c:order val="2"/>
          <c:tx>
            <c:strRef>
              <c:f>'Microbial biomass carbon (MB-C)'!$H$1</c:f>
              <c:strCache>
                <c:ptCount val="1"/>
                <c:pt idx="0">
                  <c:v>Dichlorvos</c:v>
                </c:pt>
              </c:strCache>
            </c:strRef>
          </c:tx>
          <c:xVal>
            <c:numRef>
              <c:f>'Microbial biomass carbon (MB-C)'!$E$2:$E$5</c:f>
              <c:numCache>
                <c:formatCode>General</c:formatCode>
                <c:ptCount val="4"/>
                <c:pt idx="0">
                  <c:v>7</c:v>
                </c:pt>
                <c:pt idx="1">
                  <c:v>14</c:v>
                </c:pt>
                <c:pt idx="2">
                  <c:v>21</c:v>
                </c:pt>
                <c:pt idx="3">
                  <c:v>28</c:v>
                </c:pt>
              </c:numCache>
            </c:numRef>
          </c:xVal>
          <c:yVal>
            <c:numRef>
              <c:f>'Microbial biomass carbon (MB-C)'!$H$2:$H$5</c:f>
              <c:numCache>
                <c:formatCode>General</c:formatCode>
                <c:ptCount val="4"/>
                <c:pt idx="0">
                  <c:v>268.065</c:v>
                </c:pt>
                <c:pt idx="1">
                  <c:v>269.61500000000001</c:v>
                </c:pt>
                <c:pt idx="2">
                  <c:v>274.38</c:v>
                </c:pt>
                <c:pt idx="3">
                  <c:v>277.70500000000004</c:v>
                </c:pt>
              </c:numCache>
            </c:numRef>
          </c:yVal>
          <c:smooth val="1"/>
          <c:extLst>
            <c:ext xmlns:c16="http://schemas.microsoft.com/office/drawing/2014/chart" uri="{C3380CC4-5D6E-409C-BE32-E72D297353CC}">
              <c16:uniqueId val="{00000002-FC4C-4A1D-93F9-5005F9FB3DDC}"/>
            </c:ext>
          </c:extLst>
        </c:ser>
        <c:dLbls>
          <c:showLegendKey val="0"/>
          <c:showVal val="0"/>
          <c:showCatName val="0"/>
          <c:showSerName val="0"/>
          <c:showPercent val="0"/>
          <c:showBubbleSize val="0"/>
        </c:dLbls>
        <c:axId val="99052544"/>
        <c:axId val="99071872"/>
      </c:scatterChart>
      <c:valAx>
        <c:axId val="9905254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99071872"/>
        <c:crosses val="autoZero"/>
        <c:crossBetween val="midCat"/>
      </c:valAx>
      <c:valAx>
        <c:axId val="99071872"/>
        <c:scaling>
          <c:orientation val="minMax"/>
        </c:scaling>
        <c:delete val="0"/>
        <c:axPos val="l"/>
        <c:title>
          <c:tx>
            <c:rich>
              <a:bodyPr rot="-5400000" vert="horz"/>
              <a:lstStyle/>
              <a:p>
                <a:pPr>
                  <a:defRPr/>
                </a:pPr>
                <a:r>
                  <a:rPr lang="en-US"/>
                  <a:t>Micobial</a:t>
                </a:r>
                <a:r>
                  <a:rPr lang="en-US" baseline="0"/>
                  <a:t> Biomass Carbon (µg/g)</a:t>
                </a:r>
                <a:endParaRPr lang="en-US"/>
              </a:p>
            </c:rich>
          </c:tx>
          <c:layout>
            <c:manualLayout>
              <c:xMode val="edge"/>
              <c:yMode val="edge"/>
              <c:x val="3.333333333333334E-2"/>
              <c:y val="0.10733996792067656"/>
            </c:manualLayout>
          </c:layout>
          <c:overlay val="0"/>
        </c:title>
        <c:numFmt formatCode="General" sourceLinked="1"/>
        <c:majorTickMark val="out"/>
        <c:minorTickMark val="none"/>
        <c:tickLblPos val="nextTo"/>
        <c:crossAx val="99052544"/>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(MB-N)'!$G$2</c:f>
              <c:strCache>
                <c:ptCount val="1"/>
                <c:pt idx="0">
                  <c:v>Control</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(MB-N)'!$G$3:$G$6</c:f>
              <c:numCache>
                <c:formatCode>General</c:formatCode>
                <c:ptCount val="4"/>
                <c:pt idx="0">
                  <c:v>18.004999999999999</c:v>
                </c:pt>
                <c:pt idx="1">
                  <c:v>17.670000000000005</c:v>
                </c:pt>
                <c:pt idx="2">
                  <c:v>17.414999999999999</c:v>
                </c:pt>
                <c:pt idx="3">
                  <c:v>17.23</c:v>
                </c:pt>
              </c:numCache>
            </c:numRef>
          </c:yVal>
          <c:smooth val="1"/>
          <c:extLst>
            <c:ext xmlns:c16="http://schemas.microsoft.com/office/drawing/2014/chart" uri="{C3380CC4-5D6E-409C-BE32-E72D297353CC}">
              <c16:uniqueId val="{00000000-80CF-4858-BCFB-978C399D2DFD}"/>
            </c:ext>
          </c:extLst>
        </c:ser>
        <c:ser>
          <c:idx val="1"/>
          <c:order val="1"/>
          <c:tx>
            <c:strRef>
              <c:f>'Microbial biomass carbon (MB-N)'!$H$2</c:f>
              <c:strCache>
                <c:ptCount val="1"/>
                <c:pt idx="0">
                  <c:v>Atrazine</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(MB-N)'!$H$3:$H$6</c:f>
              <c:numCache>
                <c:formatCode>General</c:formatCode>
                <c:ptCount val="4"/>
                <c:pt idx="0">
                  <c:v>17.14</c:v>
                </c:pt>
                <c:pt idx="1">
                  <c:v>17.355</c:v>
                </c:pt>
                <c:pt idx="2">
                  <c:v>17.61500000000003</c:v>
                </c:pt>
                <c:pt idx="3">
                  <c:v>17.984999999999989</c:v>
                </c:pt>
              </c:numCache>
            </c:numRef>
          </c:yVal>
          <c:smooth val="1"/>
          <c:extLst>
            <c:ext xmlns:c16="http://schemas.microsoft.com/office/drawing/2014/chart" uri="{C3380CC4-5D6E-409C-BE32-E72D297353CC}">
              <c16:uniqueId val="{00000001-80CF-4858-BCFB-978C399D2DFD}"/>
            </c:ext>
          </c:extLst>
        </c:ser>
        <c:ser>
          <c:idx val="2"/>
          <c:order val="2"/>
          <c:tx>
            <c:strRef>
              <c:f>'Microbial biomass carbon (MB-N)'!$I$2</c:f>
              <c:strCache>
                <c:ptCount val="1"/>
                <c:pt idx="0">
                  <c:v>Dichlorvos</c:v>
                </c:pt>
              </c:strCache>
            </c:strRef>
          </c:tx>
          <c:xVal>
            <c:numRef>
              <c:f>'Microbial biomass carbon (MB-N)'!$F$3:$F$6</c:f>
              <c:numCache>
                <c:formatCode>General</c:formatCode>
                <c:ptCount val="4"/>
                <c:pt idx="0">
                  <c:v>7</c:v>
                </c:pt>
                <c:pt idx="1">
                  <c:v>14</c:v>
                </c:pt>
                <c:pt idx="2">
                  <c:v>21</c:v>
                </c:pt>
                <c:pt idx="3">
                  <c:v>28</c:v>
                </c:pt>
              </c:numCache>
            </c:numRef>
          </c:xVal>
          <c:yVal>
            <c:numRef>
              <c:f>'Microbial biomass carbon (MB-N)'!$I$3:$I$6</c:f>
              <c:numCache>
                <c:formatCode>General</c:formatCode>
                <c:ptCount val="4"/>
                <c:pt idx="0">
                  <c:v>16.935000000000002</c:v>
                </c:pt>
                <c:pt idx="1">
                  <c:v>17.03</c:v>
                </c:pt>
                <c:pt idx="2">
                  <c:v>17.335000000000001</c:v>
                </c:pt>
                <c:pt idx="3">
                  <c:v>17.545000000000002</c:v>
                </c:pt>
              </c:numCache>
            </c:numRef>
          </c:yVal>
          <c:smooth val="1"/>
          <c:extLst>
            <c:ext xmlns:c16="http://schemas.microsoft.com/office/drawing/2014/chart" uri="{C3380CC4-5D6E-409C-BE32-E72D297353CC}">
              <c16:uniqueId val="{00000002-80CF-4858-BCFB-978C399D2DFD}"/>
            </c:ext>
          </c:extLst>
        </c:ser>
        <c:dLbls>
          <c:showLegendKey val="0"/>
          <c:showVal val="0"/>
          <c:showCatName val="0"/>
          <c:showSerName val="0"/>
          <c:showPercent val="0"/>
          <c:showBubbleSize val="0"/>
        </c:dLbls>
        <c:axId val="118351360"/>
        <c:axId val="118355456"/>
      </c:scatterChart>
      <c:valAx>
        <c:axId val="1183513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18355456"/>
        <c:crosses val="autoZero"/>
        <c:crossBetween val="midCat"/>
      </c:valAx>
      <c:valAx>
        <c:axId val="118355456"/>
        <c:scaling>
          <c:orientation val="minMax"/>
        </c:scaling>
        <c:delete val="0"/>
        <c:axPos val="l"/>
        <c:title>
          <c:tx>
            <c:rich>
              <a:bodyPr rot="-5400000" vert="horz"/>
              <a:lstStyle/>
              <a:p>
                <a:pPr>
                  <a:defRPr/>
                </a:pPr>
                <a:r>
                  <a:rPr lang="en-US"/>
                  <a:t>Microbial biomass Nitrogen (</a:t>
                </a:r>
                <a:r>
                  <a:rPr lang="en-US">
                    <a:latin typeface="Times New Roman"/>
                    <a:cs typeface="Times New Roman"/>
                  </a:rPr>
                  <a:t>µg/g)</a:t>
                </a:r>
                <a:endParaRPr lang="en-US"/>
              </a:p>
            </c:rich>
          </c:tx>
          <c:overlay val="0"/>
        </c:title>
        <c:numFmt formatCode="General" sourceLinked="1"/>
        <c:majorTickMark val="out"/>
        <c:minorTickMark val="none"/>
        <c:tickLblPos val="nextTo"/>
        <c:crossAx val="11835136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'Microbial biomass carbon (MB-P)'!$G$3</c:f>
              <c:strCache>
                <c:ptCount val="1"/>
                <c:pt idx="0">
                  <c:v>Control</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(MB-P)'!$G$4:$G$7</c:f>
              <c:numCache>
                <c:formatCode>General</c:formatCode>
                <c:ptCount val="4"/>
                <c:pt idx="0">
                  <c:v>11.05</c:v>
                </c:pt>
                <c:pt idx="1">
                  <c:v>10.845000000000002</c:v>
                </c:pt>
                <c:pt idx="2">
                  <c:v>10.690000000000001</c:v>
                </c:pt>
                <c:pt idx="3">
                  <c:v>10.575000000000006</c:v>
                </c:pt>
              </c:numCache>
            </c:numRef>
          </c:yVal>
          <c:smooth val="1"/>
          <c:extLst>
            <c:ext xmlns:c16="http://schemas.microsoft.com/office/drawing/2014/chart" uri="{C3380CC4-5D6E-409C-BE32-E72D297353CC}">
              <c16:uniqueId val="{00000000-A9F1-4E9A-BE6D-ACD4229137BA}"/>
            </c:ext>
          </c:extLst>
        </c:ser>
        <c:ser>
          <c:idx val="1"/>
          <c:order val="1"/>
          <c:tx>
            <c:strRef>
              <c:f>'Microbial biomass carbon (MB-P)'!$H$3</c:f>
              <c:strCache>
                <c:ptCount val="1"/>
                <c:pt idx="0">
                  <c:v>Atrazine</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(MB-P)'!$H$4:$H$7</c:f>
              <c:numCache>
                <c:formatCode>General</c:formatCode>
                <c:ptCount val="4"/>
                <c:pt idx="0">
                  <c:v>10.52</c:v>
                </c:pt>
                <c:pt idx="1">
                  <c:v>10.65</c:v>
                </c:pt>
                <c:pt idx="2">
                  <c:v>10.810000000000002</c:v>
                </c:pt>
                <c:pt idx="3">
                  <c:v>11.04</c:v>
                </c:pt>
              </c:numCache>
            </c:numRef>
          </c:yVal>
          <c:smooth val="1"/>
          <c:extLst>
            <c:ext xmlns:c16="http://schemas.microsoft.com/office/drawing/2014/chart" uri="{C3380CC4-5D6E-409C-BE32-E72D297353CC}">
              <c16:uniqueId val="{00000001-A9F1-4E9A-BE6D-ACD4229137BA}"/>
            </c:ext>
          </c:extLst>
        </c:ser>
        <c:ser>
          <c:idx val="2"/>
          <c:order val="2"/>
          <c:tx>
            <c:strRef>
              <c:f>'Microbial biomass carbon (MB-P)'!$I$3</c:f>
              <c:strCache>
                <c:ptCount val="1"/>
                <c:pt idx="0">
                  <c:v>Dichlorvos</c:v>
                </c:pt>
              </c:strCache>
            </c:strRef>
          </c:tx>
          <c:xVal>
            <c:numRef>
              <c:f>'Microbial biomass carbon (MB-P)'!$F$4:$F$7</c:f>
              <c:numCache>
                <c:formatCode>General</c:formatCode>
                <c:ptCount val="4"/>
                <c:pt idx="0">
                  <c:v>7</c:v>
                </c:pt>
                <c:pt idx="1">
                  <c:v>14</c:v>
                </c:pt>
                <c:pt idx="2">
                  <c:v>21</c:v>
                </c:pt>
                <c:pt idx="3">
                  <c:v>28</c:v>
                </c:pt>
              </c:numCache>
            </c:numRef>
          </c:xVal>
          <c:yVal>
            <c:numRef>
              <c:f>'Microbial biomass carbon (MB-P)'!$I$4:$I$7</c:f>
              <c:numCache>
                <c:formatCode>General</c:formatCode>
                <c:ptCount val="4"/>
                <c:pt idx="0">
                  <c:v>10.39</c:v>
                </c:pt>
                <c:pt idx="1">
                  <c:v>10.450000000000006</c:v>
                </c:pt>
                <c:pt idx="2">
                  <c:v>10.639999999999999</c:v>
                </c:pt>
                <c:pt idx="3">
                  <c:v>10.765000000000002</c:v>
                </c:pt>
              </c:numCache>
            </c:numRef>
          </c:yVal>
          <c:smooth val="1"/>
          <c:extLst>
            <c:ext xmlns:c16="http://schemas.microsoft.com/office/drawing/2014/chart" uri="{C3380CC4-5D6E-409C-BE32-E72D297353CC}">
              <c16:uniqueId val="{00000002-A9F1-4E9A-BE6D-ACD4229137BA}"/>
            </c:ext>
          </c:extLst>
        </c:ser>
        <c:dLbls>
          <c:showLegendKey val="0"/>
          <c:showVal val="0"/>
          <c:showCatName val="0"/>
          <c:showSerName val="0"/>
          <c:showPercent val="0"/>
          <c:showBubbleSize val="0"/>
        </c:dLbls>
        <c:axId val="118482816"/>
        <c:axId val="118627328"/>
      </c:scatterChart>
      <c:valAx>
        <c:axId val="118482816"/>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18627328"/>
        <c:crosses val="autoZero"/>
        <c:crossBetween val="midCat"/>
      </c:valAx>
      <c:valAx>
        <c:axId val="118627328"/>
        <c:scaling>
          <c:orientation val="minMax"/>
        </c:scaling>
        <c:delete val="0"/>
        <c:axPos val="l"/>
        <c:title>
          <c:tx>
            <c:rich>
              <a:bodyPr rot="-5400000" vert="horz"/>
              <a:lstStyle/>
              <a:p>
                <a:pPr>
                  <a:defRPr/>
                </a:pPr>
                <a:r>
                  <a:rPr lang="en-US"/>
                  <a:t>Microbial biomass phosphate</a:t>
                </a:r>
                <a:r>
                  <a:rPr lang="en-US" baseline="0"/>
                  <a:t> (</a:t>
                </a:r>
                <a:r>
                  <a:rPr lang="en-US" baseline="0">
                    <a:latin typeface="Times New Roman"/>
                    <a:cs typeface="Times New Roman"/>
                  </a:rPr>
                  <a:t>µg/g)</a:t>
                </a:r>
                <a:endParaRPr lang="en-US"/>
              </a:p>
            </c:rich>
          </c:tx>
          <c:layout>
            <c:manualLayout>
              <c:xMode val="edge"/>
              <c:yMode val="edge"/>
              <c:x val="3.333333333333334E-2"/>
              <c:y val="0.10271033829104691"/>
            </c:manualLayout>
          </c:layout>
          <c:overlay val="0"/>
        </c:title>
        <c:numFmt formatCode="General" sourceLinked="1"/>
        <c:majorTickMark val="out"/>
        <c:minorTickMark val="none"/>
        <c:tickLblPos val="nextTo"/>
        <c:crossAx val="118482816"/>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'BACTERIAL COUNTS (x 104)'!$H$2</c:f>
              <c:strCache>
                <c:ptCount val="1"/>
                <c:pt idx="0">
                  <c:v>Control</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104)'!$H$3:$H$7</c:f>
              <c:numCache>
                <c:formatCode>0.0</c:formatCode>
                <c:ptCount val="5"/>
                <c:pt idx="0">
                  <c:v>254.3333333333336</c:v>
                </c:pt>
                <c:pt idx="1">
                  <c:v>251</c:v>
                </c:pt>
                <c:pt idx="2">
                  <c:v>233.3333333333336</c:v>
                </c:pt>
                <c:pt idx="3">
                  <c:v>201.66666666666652</c:v>
                </c:pt>
                <c:pt idx="4">
                  <c:v>195</c:v>
                </c:pt>
              </c:numCache>
            </c:numRef>
          </c:yVal>
          <c:smooth val="1"/>
          <c:extLst>
            <c:ext xmlns:c16="http://schemas.microsoft.com/office/drawing/2014/chart" uri="{C3380CC4-5D6E-409C-BE32-E72D297353CC}">
              <c16:uniqueId val="{00000000-D170-4E7D-8A2C-E3013C493424}"/>
            </c:ext>
          </c:extLst>
        </c:ser>
        <c:ser>
          <c:idx val="1"/>
          <c:order val="1"/>
          <c:tx>
            <c:strRef>
              <c:f>'BACTERIAL COUNTS (x 104)'!$I$2</c:f>
              <c:strCache>
                <c:ptCount val="1"/>
                <c:pt idx="0">
                  <c:v>Atrazine</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104)'!$I$3:$I$7</c:f>
              <c:numCache>
                <c:formatCode>0.0</c:formatCode>
                <c:ptCount val="5"/>
                <c:pt idx="0">
                  <c:v>254.3333333333336</c:v>
                </c:pt>
                <c:pt idx="1">
                  <c:v>159</c:v>
                </c:pt>
                <c:pt idx="2">
                  <c:v>190.3333333333336</c:v>
                </c:pt>
                <c:pt idx="3">
                  <c:v>245</c:v>
                </c:pt>
                <c:pt idx="4">
                  <c:v>214</c:v>
                </c:pt>
              </c:numCache>
            </c:numRef>
          </c:yVal>
          <c:smooth val="1"/>
          <c:extLst>
            <c:ext xmlns:c16="http://schemas.microsoft.com/office/drawing/2014/chart" uri="{C3380CC4-5D6E-409C-BE32-E72D297353CC}">
              <c16:uniqueId val="{00000001-D170-4E7D-8A2C-E3013C493424}"/>
            </c:ext>
          </c:extLst>
        </c:ser>
        <c:ser>
          <c:idx val="2"/>
          <c:order val="2"/>
          <c:tx>
            <c:strRef>
              <c:f>'BACTERIAL COUNTS (x 104)'!$J$2</c:f>
              <c:strCache>
                <c:ptCount val="1"/>
                <c:pt idx="0">
                  <c:v>Dichlorvos</c:v>
                </c:pt>
              </c:strCache>
            </c:strRef>
          </c:tx>
          <c:xVal>
            <c:numRef>
              <c:f>'BACTERIAL COUNTS (x 104)'!$G$3:$G$7</c:f>
              <c:numCache>
                <c:formatCode>General</c:formatCode>
                <c:ptCount val="5"/>
                <c:pt idx="0">
                  <c:v>0</c:v>
                </c:pt>
                <c:pt idx="1">
                  <c:v>7</c:v>
                </c:pt>
                <c:pt idx="2">
                  <c:v>14</c:v>
                </c:pt>
                <c:pt idx="3">
                  <c:v>21</c:v>
                </c:pt>
                <c:pt idx="4">
                  <c:v>28</c:v>
                </c:pt>
              </c:numCache>
            </c:numRef>
          </c:xVal>
          <c:yVal>
            <c:numRef>
              <c:f>'BACTERIAL COUNTS (x 104)'!$J$3:$J$7</c:f>
              <c:numCache>
                <c:formatCode>0.0</c:formatCode>
                <c:ptCount val="5"/>
                <c:pt idx="0">
                  <c:v>254.3333333333336</c:v>
                </c:pt>
                <c:pt idx="1">
                  <c:v>143</c:v>
                </c:pt>
                <c:pt idx="2">
                  <c:v>179</c:v>
                </c:pt>
                <c:pt idx="3">
                  <c:v>205</c:v>
                </c:pt>
                <c:pt idx="4">
                  <c:v>196.3333333333336</c:v>
                </c:pt>
              </c:numCache>
            </c:numRef>
          </c:yVal>
          <c:smooth val="1"/>
          <c:extLst>
            <c:ext xmlns:c16="http://schemas.microsoft.com/office/drawing/2014/chart" uri="{C3380CC4-5D6E-409C-BE32-E72D297353CC}">
              <c16:uniqueId val="{00000002-D170-4E7D-8A2C-E3013C493424}"/>
            </c:ext>
          </c:extLst>
        </c:ser>
        <c:dLbls>
          <c:showLegendKey val="0"/>
          <c:showVal val="0"/>
          <c:showCatName val="0"/>
          <c:showSerName val="0"/>
          <c:showPercent val="0"/>
          <c:showBubbleSize val="0"/>
        </c:dLbls>
        <c:axId val="131401984"/>
        <c:axId val="131568384"/>
      </c:scatterChart>
      <c:valAx>
        <c:axId val="131401984"/>
        <c:scaling>
          <c:orientation val="minMax"/>
        </c:scaling>
        <c:delete val="0"/>
        <c:axPos val="b"/>
        <c:title>
          <c:tx>
            <c:rich>
              <a:bodyPr/>
              <a:lstStyle/>
              <a:p>
                <a:pPr>
                  <a:defRPr/>
                </a:pPr>
                <a:r>
                  <a:rPr lang="en-US"/>
                  <a:t>Time</a:t>
                </a:r>
                <a:r>
                  <a:rPr lang="en-US" baseline="0"/>
                  <a:t> (Days)</a:t>
                </a:r>
                <a:endParaRPr lang="en-US"/>
              </a:p>
            </c:rich>
          </c:tx>
          <c:overlay val="0"/>
          <c:spPr>
            <a:ln>
              <a:noFill/>
            </a:ln>
          </c:spPr>
        </c:title>
        <c:numFmt formatCode="General" sourceLinked="1"/>
        <c:majorTickMark val="out"/>
        <c:minorTickMark val="none"/>
        <c:tickLblPos val="nextTo"/>
        <c:crossAx val="131568384"/>
        <c:crosses val="autoZero"/>
        <c:crossBetween val="midCat"/>
      </c:valAx>
      <c:valAx>
        <c:axId val="131568384"/>
        <c:scaling>
          <c:orientation val="minMax"/>
        </c:scaling>
        <c:delete val="0"/>
        <c:axPos val="l"/>
        <c:title>
          <c:tx>
            <c:rich>
              <a:bodyPr rot="-5400000" vert="horz"/>
              <a:lstStyle/>
              <a:p>
                <a:pPr>
                  <a:defRPr/>
                </a:pPr>
                <a:r>
                  <a:rPr lang="en-US"/>
                  <a:t>Bacterial Counts </a:t>
                </a:r>
                <a:r>
                  <a:rPr lang="en-US" sz="1000" b="1" i="0" u="none" strike="noStrike" baseline="0"/>
                  <a:t>(×10</a:t>
                </a:r>
                <a:r>
                  <a:rPr lang="en-US" sz="1000" b="1" i="0" u="none" strike="noStrike" baseline="30000"/>
                  <a:t>4</a:t>
                </a:r>
                <a:r>
                  <a:rPr lang="en-US" sz="1000" b="1" i="0" u="none" strike="noStrike" baseline="0"/>
                  <a:t> CFU/g)</a:t>
                </a:r>
                <a:endParaRPr lang="en-US"/>
              </a:p>
            </c:rich>
          </c:tx>
          <c:overlay val="0"/>
        </c:title>
        <c:numFmt formatCode="0.0" sourceLinked="1"/>
        <c:majorTickMark val="out"/>
        <c:minorTickMark val="none"/>
        <c:tickLblPos val="nextTo"/>
        <c:crossAx val="131401984"/>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'NITRIFIERS COUNTS (x 103)'!$I$3</c:f>
              <c:strCache>
                <c:ptCount val="1"/>
                <c:pt idx="0">
                  <c:v>Control</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103)'!$I$4:$I$8</c:f>
              <c:numCache>
                <c:formatCode>0.0</c:formatCode>
                <c:ptCount val="5"/>
                <c:pt idx="0">
                  <c:v>182.3333333333336</c:v>
                </c:pt>
                <c:pt idx="1">
                  <c:v>179.3333333333336</c:v>
                </c:pt>
                <c:pt idx="2">
                  <c:v>175.66666666666652</c:v>
                </c:pt>
                <c:pt idx="3">
                  <c:v>155.3333333333336</c:v>
                </c:pt>
                <c:pt idx="4">
                  <c:v>137.66666666666652</c:v>
                </c:pt>
              </c:numCache>
            </c:numRef>
          </c:yVal>
          <c:smooth val="1"/>
          <c:extLst>
            <c:ext xmlns:c16="http://schemas.microsoft.com/office/drawing/2014/chart" uri="{C3380CC4-5D6E-409C-BE32-E72D297353CC}">
              <c16:uniqueId val="{00000000-9B81-415E-AB6C-A7F6C015857C}"/>
            </c:ext>
          </c:extLst>
        </c:ser>
        <c:ser>
          <c:idx val="1"/>
          <c:order val="1"/>
          <c:tx>
            <c:strRef>
              <c:f>'NITRIFIERS COUNTS (x 103)'!$J$3</c:f>
              <c:strCache>
                <c:ptCount val="1"/>
                <c:pt idx="0">
                  <c:v>Atrazine</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103)'!$J$4:$J$8</c:f>
              <c:numCache>
                <c:formatCode>0.0</c:formatCode>
                <c:ptCount val="5"/>
                <c:pt idx="0">
                  <c:v>182.3333333333336</c:v>
                </c:pt>
                <c:pt idx="1">
                  <c:v>121</c:v>
                </c:pt>
                <c:pt idx="2">
                  <c:v>145.66666666666652</c:v>
                </c:pt>
                <c:pt idx="3">
                  <c:v>184.3333333333336</c:v>
                </c:pt>
                <c:pt idx="4">
                  <c:v>145.66666666666652</c:v>
                </c:pt>
              </c:numCache>
            </c:numRef>
          </c:yVal>
          <c:smooth val="1"/>
          <c:extLst>
            <c:ext xmlns:c16="http://schemas.microsoft.com/office/drawing/2014/chart" uri="{C3380CC4-5D6E-409C-BE32-E72D297353CC}">
              <c16:uniqueId val="{00000001-9B81-415E-AB6C-A7F6C015857C}"/>
            </c:ext>
          </c:extLst>
        </c:ser>
        <c:ser>
          <c:idx val="2"/>
          <c:order val="2"/>
          <c:tx>
            <c:strRef>
              <c:f>'NITRIFIERS COUNTS (x 103)'!$K$3</c:f>
              <c:strCache>
                <c:ptCount val="1"/>
                <c:pt idx="0">
                  <c:v>Dichlorvos</c:v>
                </c:pt>
              </c:strCache>
            </c:strRef>
          </c:tx>
          <c:xVal>
            <c:numRef>
              <c:f>'NITRIFIERS COUNTS (x 103)'!$H$4:$H$8</c:f>
              <c:numCache>
                <c:formatCode>General</c:formatCode>
                <c:ptCount val="5"/>
                <c:pt idx="0">
                  <c:v>0</c:v>
                </c:pt>
                <c:pt idx="1">
                  <c:v>7</c:v>
                </c:pt>
                <c:pt idx="2">
                  <c:v>14</c:v>
                </c:pt>
                <c:pt idx="3">
                  <c:v>21</c:v>
                </c:pt>
                <c:pt idx="4">
                  <c:v>28</c:v>
                </c:pt>
              </c:numCache>
            </c:numRef>
          </c:xVal>
          <c:yVal>
            <c:numRef>
              <c:f>'NITRIFIERS COUNTS (x 103)'!$K$4:$K$8</c:f>
              <c:numCache>
                <c:formatCode>0.0</c:formatCode>
                <c:ptCount val="5"/>
                <c:pt idx="0">
                  <c:v>182.3333333333336</c:v>
                </c:pt>
                <c:pt idx="1">
                  <c:v>79.666666666666671</c:v>
                </c:pt>
                <c:pt idx="2">
                  <c:v>115.66666666666667</c:v>
                </c:pt>
                <c:pt idx="3">
                  <c:v>160</c:v>
                </c:pt>
                <c:pt idx="4">
                  <c:v>80.333333333333258</c:v>
                </c:pt>
              </c:numCache>
            </c:numRef>
          </c:yVal>
          <c:smooth val="1"/>
          <c:extLst>
            <c:ext xmlns:c16="http://schemas.microsoft.com/office/drawing/2014/chart" uri="{C3380CC4-5D6E-409C-BE32-E72D297353CC}">
              <c16:uniqueId val="{00000002-9B81-415E-AB6C-A7F6C015857C}"/>
            </c:ext>
          </c:extLst>
        </c:ser>
        <c:dLbls>
          <c:showLegendKey val="0"/>
          <c:showVal val="0"/>
          <c:showCatName val="0"/>
          <c:showSerName val="0"/>
          <c:showPercent val="0"/>
          <c:showBubbleSize val="0"/>
        </c:dLbls>
        <c:axId val="141505280"/>
        <c:axId val="142958592"/>
      </c:scatterChart>
      <c:valAx>
        <c:axId val="14150528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2958592"/>
        <c:crosses val="autoZero"/>
        <c:crossBetween val="midCat"/>
      </c:valAx>
      <c:valAx>
        <c:axId val="142958592"/>
        <c:scaling>
          <c:orientation val="minMax"/>
        </c:scaling>
        <c:delete val="0"/>
        <c:axPos val="l"/>
        <c:title>
          <c:tx>
            <c:rich>
              <a:bodyPr rot="-5400000" vert="horz"/>
              <a:lstStyle/>
              <a:p>
                <a:pPr>
                  <a:defRPr/>
                </a:pPr>
                <a:r>
                  <a:rPr lang="en-US"/>
                  <a:t>Nitrifiers Count </a:t>
                </a:r>
                <a:r>
                  <a:rPr lang="en-US" sz="1000" b="1" i="0" u="none" strike="noStrike" baseline="0"/>
                  <a:t>(×10</a:t>
                </a:r>
                <a:r>
                  <a:rPr lang="en-US" sz="1000" b="1" i="0" u="none" strike="noStrike" baseline="30000"/>
                  <a:t>3</a:t>
                </a:r>
                <a:r>
                  <a:rPr lang="en-US" sz="1000" b="1" i="0" u="none" strike="noStrike" baseline="0"/>
                  <a:t> CFU/g)</a:t>
                </a:r>
                <a:endParaRPr lang="en-US"/>
              </a:p>
            </c:rich>
          </c:tx>
          <c:overlay val="0"/>
        </c:title>
        <c:numFmt formatCode="0.0" sourceLinked="1"/>
        <c:majorTickMark val="out"/>
        <c:minorTickMark val="none"/>
        <c:tickLblPos val="nextTo"/>
        <c:crossAx val="14150528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'PHOSPHATE SOLUBILIZERS COUNTS'!$I$4</c:f>
              <c:strCache>
                <c:ptCount val="1"/>
                <c:pt idx="0">
                  <c:v>Control</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COUNTS'!$I$5:$I$9</c:f>
              <c:numCache>
                <c:formatCode>0.0</c:formatCode>
                <c:ptCount val="5"/>
                <c:pt idx="0">
                  <c:v>217.3333333333336</c:v>
                </c:pt>
                <c:pt idx="1">
                  <c:v>201.3333333333336</c:v>
                </c:pt>
                <c:pt idx="2">
                  <c:v>175</c:v>
                </c:pt>
                <c:pt idx="3">
                  <c:v>174</c:v>
                </c:pt>
                <c:pt idx="4">
                  <c:v>167.66666666666652</c:v>
                </c:pt>
              </c:numCache>
            </c:numRef>
          </c:yVal>
          <c:smooth val="1"/>
          <c:extLst>
            <c:ext xmlns:c16="http://schemas.microsoft.com/office/drawing/2014/chart" uri="{C3380CC4-5D6E-409C-BE32-E72D297353CC}">
              <c16:uniqueId val="{00000000-1084-4CED-913D-DEDFAE73846D}"/>
            </c:ext>
          </c:extLst>
        </c:ser>
        <c:ser>
          <c:idx val="1"/>
          <c:order val="1"/>
          <c:tx>
            <c:strRef>
              <c:f>'PHOSPHATE SOLUBILIZERS COUNTS'!$J$4</c:f>
              <c:strCache>
                <c:ptCount val="1"/>
                <c:pt idx="0">
                  <c:v>Atrazine</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COUNTS'!$J$5:$J$9</c:f>
              <c:numCache>
                <c:formatCode>0.0</c:formatCode>
                <c:ptCount val="5"/>
                <c:pt idx="0">
                  <c:v>217.3333333333336</c:v>
                </c:pt>
                <c:pt idx="1">
                  <c:v>88.333333333333258</c:v>
                </c:pt>
                <c:pt idx="2">
                  <c:v>140.66666666666652</c:v>
                </c:pt>
                <c:pt idx="3">
                  <c:v>233.3333333333336</c:v>
                </c:pt>
                <c:pt idx="4">
                  <c:v>160.3333333333336</c:v>
                </c:pt>
              </c:numCache>
            </c:numRef>
          </c:yVal>
          <c:smooth val="1"/>
          <c:extLst>
            <c:ext xmlns:c16="http://schemas.microsoft.com/office/drawing/2014/chart" uri="{C3380CC4-5D6E-409C-BE32-E72D297353CC}">
              <c16:uniqueId val="{00000001-1084-4CED-913D-DEDFAE73846D}"/>
            </c:ext>
          </c:extLst>
        </c:ser>
        <c:ser>
          <c:idx val="2"/>
          <c:order val="2"/>
          <c:tx>
            <c:strRef>
              <c:f>'PHOSPHATE SOLUBILIZERS COUNTS'!$K$4</c:f>
              <c:strCache>
                <c:ptCount val="1"/>
                <c:pt idx="0">
                  <c:v>Dichlorvos</c:v>
                </c:pt>
              </c:strCache>
            </c:strRef>
          </c:tx>
          <c:xVal>
            <c:numRef>
              <c:f>'PHOSPHATE SOLUBILIZERS COUNTS'!$H$5:$H$9</c:f>
              <c:numCache>
                <c:formatCode>General</c:formatCode>
                <c:ptCount val="5"/>
                <c:pt idx="0">
                  <c:v>0</c:v>
                </c:pt>
                <c:pt idx="1">
                  <c:v>7</c:v>
                </c:pt>
                <c:pt idx="2">
                  <c:v>14</c:v>
                </c:pt>
                <c:pt idx="3">
                  <c:v>21</c:v>
                </c:pt>
                <c:pt idx="4">
                  <c:v>28</c:v>
                </c:pt>
              </c:numCache>
            </c:numRef>
          </c:xVal>
          <c:yVal>
            <c:numRef>
              <c:f>'PHOSPHATE SOLUBILIZERS COUNTS'!$K$5:$K$9</c:f>
              <c:numCache>
                <c:formatCode>0.0</c:formatCode>
                <c:ptCount val="5"/>
                <c:pt idx="0">
                  <c:v>217.3333333333336</c:v>
                </c:pt>
                <c:pt idx="1">
                  <c:v>78.666666666666671</c:v>
                </c:pt>
                <c:pt idx="2">
                  <c:v>111.66666666666667</c:v>
                </c:pt>
                <c:pt idx="3">
                  <c:v>153.3333333333336</c:v>
                </c:pt>
                <c:pt idx="4">
                  <c:v>117.3333333333332</c:v>
                </c:pt>
              </c:numCache>
            </c:numRef>
          </c:yVal>
          <c:smooth val="1"/>
          <c:extLst>
            <c:ext xmlns:c16="http://schemas.microsoft.com/office/drawing/2014/chart" uri="{C3380CC4-5D6E-409C-BE32-E72D297353CC}">
              <c16:uniqueId val="{00000002-1084-4CED-913D-DEDFAE73846D}"/>
            </c:ext>
          </c:extLst>
        </c:ser>
        <c:dLbls>
          <c:showLegendKey val="0"/>
          <c:showVal val="0"/>
          <c:showCatName val="0"/>
          <c:showSerName val="0"/>
          <c:showPercent val="0"/>
          <c:showBubbleSize val="0"/>
        </c:dLbls>
        <c:axId val="145348480"/>
        <c:axId val="145355136"/>
      </c:scatterChart>
      <c:valAx>
        <c:axId val="14534848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5355136"/>
        <c:crosses val="autoZero"/>
        <c:crossBetween val="midCat"/>
      </c:valAx>
      <c:valAx>
        <c:axId val="145355136"/>
        <c:scaling>
          <c:orientation val="minMax"/>
        </c:scaling>
        <c:delete val="0"/>
        <c:axPos val="l"/>
        <c:title>
          <c:tx>
            <c:rich>
              <a:bodyPr rot="-5400000" vert="horz"/>
              <a:lstStyle/>
              <a:p>
                <a:pPr>
                  <a:defRPr/>
                </a:pPr>
                <a:r>
                  <a:rPr lang="en-US"/>
                  <a:t>Phosphate Solubilizers Count </a:t>
                </a:r>
                <a:r>
                  <a:rPr lang="en-US" sz="1000" b="1" i="0" u="none" strike="noStrike" baseline="0"/>
                  <a:t>(×10</a:t>
                </a:r>
                <a:r>
                  <a:rPr lang="en-US" sz="1000" b="1" i="0" u="none" strike="noStrike" baseline="30000"/>
                  <a:t>3</a:t>
                </a:r>
                <a:r>
                  <a:rPr lang="en-US" sz="1000" b="1" i="0" u="none" strike="noStrike" baseline="0"/>
                  <a:t> CFU/g)</a:t>
                </a:r>
                <a:endParaRPr lang="en-US"/>
              </a:p>
            </c:rich>
          </c:tx>
          <c:overlay val="0"/>
        </c:title>
        <c:numFmt formatCode="0.0" sourceLinked="1"/>
        <c:majorTickMark val="out"/>
        <c:minorTickMark val="none"/>
        <c:tickLblPos val="nextTo"/>
        <c:crossAx val="145348480"/>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'ACTINOMYCETES COUNTS'!$H$2</c:f>
              <c:strCache>
                <c:ptCount val="1"/>
                <c:pt idx="0">
                  <c:v>Control</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COUNTS'!$H$3:$H$7</c:f>
              <c:numCache>
                <c:formatCode>0.0</c:formatCode>
                <c:ptCount val="5"/>
                <c:pt idx="0">
                  <c:v>199</c:v>
                </c:pt>
                <c:pt idx="1">
                  <c:v>147</c:v>
                </c:pt>
                <c:pt idx="2">
                  <c:v>133</c:v>
                </c:pt>
                <c:pt idx="3">
                  <c:v>131</c:v>
                </c:pt>
                <c:pt idx="4">
                  <c:v>127.3333333333332</c:v>
                </c:pt>
              </c:numCache>
            </c:numRef>
          </c:yVal>
          <c:smooth val="1"/>
          <c:extLst>
            <c:ext xmlns:c16="http://schemas.microsoft.com/office/drawing/2014/chart" uri="{C3380CC4-5D6E-409C-BE32-E72D297353CC}">
              <c16:uniqueId val="{00000000-A9B3-4244-9704-4CC91715857F}"/>
            </c:ext>
          </c:extLst>
        </c:ser>
        <c:ser>
          <c:idx val="1"/>
          <c:order val="1"/>
          <c:tx>
            <c:strRef>
              <c:f>'ACTINOMYCETES COUNTS'!$I$2</c:f>
              <c:strCache>
                <c:ptCount val="1"/>
                <c:pt idx="0">
                  <c:v>Atrazine</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COUNTS'!$I$3:$I$7</c:f>
              <c:numCache>
                <c:formatCode>0.0</c:formatCode>
                <c:ptCount val="5"/>
                <c:pt idx="0">
                  <c:v>199</c:v>
                </c:pt>
                <c:pt idx="1">
                  <c:v>97</c:v>
                </c:pt>
                <c:pt idx="2">
                  <c:v>107</c:v>
                </c:pt>
                <c:pt idx="3">
                  <c:v>151.66666666666652</c:v>
                </c:pt>
                <c:pt idx="4">
                  <c:v>147.66666666666652</c:v>
                </c:pt>
              </c:numCache>
            </c:numRef>
          </c:yVal>
          <c:smooth val="1"/>
          <c:extLst>
            <c:ext xmlns:c16="http://schemas.microsoft.com/office/drawing/2014/chart" uri="{C3380CC4-5D6E-409C-BE32-E72D297353CC}">
              <c16:uniqueId val="{00000001-A9B3-4244-9704-4CC91715857F}"/>
            </c:ext>
          </c:extLst>
        </c:ser>
        <c:ser>
          <c:idx val="2"/>
          <c:order val="2"/>
          <c:tx>
            <c:strRef>
              <c:f>'ACTINOMYCETES COUNTS'!$J$2</c:f>
              <c:strCache>
                <c:ptCount val="1"/>
                <c:pt idx="0">
                  <c:v>Dichlorvos</c:v>
                </c:pt>
              </c:strCache>
            </c:strRef>
          </c:tx>
          <c:xVal>
            <c:numRef>
              <c:f>'ACTINOMYCETES COUNTS'!$G$3:$G$7</c:f>
              <c:numCache>
                <c:formatCode>General</c:formatCode>
                <c:ptCount val="5"/>
                <c:pt idx="0">
                  <c:v>0</c:v>
                </c:pt>
                <c:pt idx="1">
                  <c:v>7</c:v>
                </c:pt>
                <c:pt idx="2">
                  <c:v>14</c:v>
                </c:pt>
                <c:pt idx="3">
                  <c:v>21</c:v>
                </c:pt>
                <c:pt idx="4">
                  <c:v>28</c:v>
                </c:pt>
              </c:numCache>
            </c:numRef>
          </c:xVal>
          <c:yVal>
            <c:numRef>
              <c:f>'ACTINOMYCETES COUNTS'!$J$3:$J$7</c:f>
              <c:numCache>
                <c:formatCode>0.0</c:formatCode>
                <c:ptCount val="5"/>
                <c:pt idx="0">
                  <c:v>199</c:v>
                </c:pt>
                <c:pt idx="1">
                  <c:v>86</c:v>
                </c:pt>
                <c:pt idx="2">
                  <c:v>110</c:v>
                </c:pt>
                <c:pt idx="3">
                  <c:v>133.66666666666652</c:v>
                </c:pt>
                <c:pt idx="4">
                  <c:v>128</c:v>
                </c:pt>
              </c:numCache>
            </c:numRef>
          </c:yVal>
          <c:smooth val="1"/>
          <c:extLst>
            <c:ext xmlns:c16="http://schemas.microsoft.com/office/drawing/2014/chart" uri="{C3380CC4-5D6E-409C-BE32-E72D297353CC}">
              <c16:uniqueId val="{00000002-A9B3-4244-9704-4CC91715857F}"/>
            </c:ext>
          </c:extLst>
        </c:ser>
        <c:dLbls>
          <c:showLegendKey val="0"/>
          <c:showVal val="0"/>
          <c:showCatName val="0"/>
          <c:showSerName val="0"/>
          <c:showPercent val="0"/>
          <c:showBubbleSize val="0"/>
        </c:dLbls>
        <c:axId val="147534592"/>
        <c:axId val="169935232"/>
      </c:scatterChart>
      <c:valAx>
        <c:axId val="147534592"/>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69935232"/>
        <c:crosses val="autoZero"/>
        <c:crossBetween val="midCat"/>
      </c:valAx>
      <c:valAx>
        <c:axId val="169935232"/>
        <c:scaling>
          <c:orientation val="minMax"/>
        </c:scaling>
        <c:delete val="0"/>
        <c:axPos val="l"/>
        <c:title>
          <c:tx>
            <c:rich>
              <a:bodyPr rot="-5400000" vert="horz"/>
              <a:lstStyle/>
              <a:p>
                <a:pPr>
                  <a:defRPr/>
                </a:pPr>
                <a:r>
                  <a:rPr lang="en-US"/>
                  <a:t>Actinomycetes Count (</a:t>
                </a:r>
                <a:r>
                  <a:rPr lang="en-US" sz="1000" b="1" i="0" u="none" strike="noStrike" baseline="0"/>
                  <a:t>×10</a:t>
                </a:r>
                <a:r>
                  <a:rPr lang="en-US" sz="1000" b="1" i="0" u="none" strike="noStrike" baseline="30000"/>
                  <a:t>2</a:t>
                </a:r>
                <a:r>
                  <a:rPr lang="en-US" sz="1000" b="1" i="0" u="none" strike="noStrike" baseline="0"/>
                  <a:t> CFU/g)</a:t>
                </a:r>
                <a:endParaRPr lang="en-US"/>
              </a:p>
            </c:rich>
          </c:tx>
          <c:overlay val="0"/>
          <c:spPr>
            <a:ln>
              <a:noFill/>
            </a:ln>
          </c:spPr>
        </c:title>
        <c:numFmt formatCode="0.0" sourceLinked="1"/>
        <c:majorTickMark val="out"/>
        <c:minorTickMark val="none"/>
        <c:tickLblPos val="nextTo"/>
        <c:crossAx val="147534592"/>
        <c:crosses val="autoZero"/>
        <c:crossBetween val="midCat"/>
      </c:valAx>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15</Pages>
  <Words>29502</Words>
  <Characters>168166</Characters>
  <Application>Microsoft Office Word</Application>
  <DocSecurity>0</DocSecurity>
  <Lines>1401</Lines>
  <Paragraphs>394</Paragraphs>
  <ScaleCrop>false</ScaleCrop>
  <Company/>
  <LinksUpToDate>false</LinksUpToDate>
  <CharactersWithSpaces>197274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Atrazine and Dichlorvos on Soil Microbial Biomass and Snail Toxicity: A Microcosm Study</dc:title>
  <dc:creator>Albert Ibezute</dc:creator>
  <cp:lastModifiedBy>DG733</cp:lastModifiedBy>
  <cp:revision>2</cp:revision>
  <dcterms:created xsi:type="dcterms:W3CDTF">2026-05-19T08:10:00Z</dcterms:created>
  <dcterms:modified xsi:type="dcterms:W3CDTF">2026-05-19T08:18:00Z</dcterms:modified>
</cp:coreProperties>
</file>