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3889BF" w14:textId="1CB7D0B5" w:rsidR="00084BE7" w:rsidRDefault="00084BE7" w:rsidP="00084BE7">
      <w:pPr>
        <w:spacing w:line="360" w:lineRule="auto"/>
        <w:jc w:val="center"/>
        <w:rPr>
          <w:rFonts w:ascii="Times New Roman" w:hAnsi="Times New Roman" w:cs="Times New Roman"/>
          <w:b/>
          <w:bCs/>
          <w:sz w:val="28"/>
          <w:szCs w:val="28"/>
        </w:rPr>
      </w:pPr>
      <w:proofErr w:type="spellStart"/>
      <w:r w:rsidRPr="00084BE7">
        <w:rPr>
          <w:rFonts w:ascii="Times New Roman" w:hAnsi="Times New Roman" w:cs="Times New Roman"/>
          <w:b/>
          <w:bCs/>
          <w:sz w:val="28"/>
          <w:szCs w:val="28"/>
        </w:rPr>
        <w:t>Spatio</w:t>
      </w:r>
      <w:proofErr w:type="spellEnd"/>
      <w:r w:rsidRPr="00084BE7">
        <w:rPr>
          <w:rFonts w:ascii="Times New Roman" w:hAnsi="Times New Roman" w:cs="Times New Roman"/>
          <w:b/>
          <w:bCs/>
          <w:sz w:val="28"/>
          <w:szCs w:val="28"/>
        </w:rPr>
        <w:t>-Temporal Analysis of Groundwater Recharge, Storage Anomalies, and Aquifer Variability Under Diverse Geological Units of the Wainganga River Basin</w:t>
      </w:r>
    </w:p>
    <w:p w14:paraId="7AFF1ED2" w14:textId="62DB572D" w:rsidR="004255DB" w:rsidRDefault="004255DB" w:rsidP="004610C5">
      <w:pPr>
        <w:spacing w:line="360" w:lineRule="auto"/>
        <w:jc w:val="center"/>
        <w:rPr>
          <w:rFonts w:ascii="Times New Roman" w:eastAsia="Times New Roman" w:hAnsi="Times New Roman" w:cs="Times New Roman"/>
          <w:b/>
          <w:bCs/>
          <w:sz w:val="24"/>
          <w:szCs w:val="24"/>
          <w:lang w:val="en-GB"/>
        </w:rPr>
      </w:pPr>
    </w:p>
    <w:p w14:paraId="284E4E75" w14:textId="77777777" w:rsidR="00432C71" w:rsidRDefault="00432C71" w:rsidP="00432C71">
      <w:pPr>
        <w:spacing w:line="360" w:lineRule="auto"/>
        <w:rPr>
          <w:rFonts w:ascii="Times New Roman" w:hAnsi="Times New Roman" w:cs="Times New Roman"/>
          <w:b/>
          <w:bCs/>
          <w:sz w:val="28"/>
          <w:szCs w:val="28"/>
        </w:rPr>
      </w:pPr>
      <w:r>
        <w:rPr>
          <w:rFonts w:ascii="Times New Roman" w:hAnsi="Times New Roman" w:cs="Times New Roman"/>
          <w:b/>
          <w:bCs/>
          <w:sz w:val="28"/>
          <w:szCs w:val="28"/>
        </w:rPr>
        <w:t>ABSTRACT</w:t>
      </w:r>
    </w:p>
    <w:p w14:paraId="01F11A27" w14:textId="691E0955" w:rsidR="00360EF7" w:rsidRDefault="00360EF7" w:rsidP="00072ECC">
      <w:pPr>
        <w:spacing w:line="360" w:lineRule="auto"/>
        <w:jc w:val="both"/>
        <w:rPr>
          <w:rFonts w:ascii="Times New Roman" w:hAnsi="Times New Roman" w:cs="Times New Roman"/>
          <w:sz w:val="24"/>
          <w:szCs w:val="24"/>
        </w:rPr>
      </w:pPr>
      <w:r w:rsidRPr="00360EF7">
        <w:rPr>
          <w:rFonts w:ascii="Times New Roman" w:hAnsi="Times New Roman" w:cs="Times New Roman"/>
          <w:b/>
          <w:bCs/>
          <w:sz w:val="24"/>
          <w:szCs w:val="24"/>
        </w:rPr>
        <w:t>Background:</w:t>
      </w:r>
      <w:r>
        <w:rPr>
          <w:rFonts w:ascii="Times New Roman" w:hAnsi="Times New Roman" w:cs="Times New Roman"/>
          <w:sz w:val="24"/>
          <w:szCs w:val="24"/>
        </w:rPr>
        <w:t xml:space="preserve"> </w:t>
      </w:r>
      <w:r w:rsidR="00072ECC" w:rsidRPr="00072ECC">
        <w:rPr>
          <w:rFonts w:ascii="Times New Roman" w:hAnsi="Times New Roman" w:cs="Times New Roman"/>
          <w:sz w:val="24"/>
          <w:szCs w:val="24"/>
        </w:rPr>
        <w:t xml:space="preserve">Groundwater is a major freshwater resource supporting agricultural, domestic, and industrial activities in central India. However, increasing groundwater extraction and climatic variability have intensified groundwater stress in hard-rock aquifer systems. </w:t>
      </w:r>
    </w:p>
    <w:p w14:paraId="3061606F" w14:textId="77777777" w:rsidR="00360EF7" w:rsidRDefault="00360EF7" w:rsidP="00072ECC">
      <w:pPr>
        <w:spacing w:line="360" w:lineRule="auto"/>
        <w:jc w:val="both"/>
        <w:rPr>
          <w:rFonts w:ascii="Times New Roman" w:hAnsi="Times New Roman" w:cs="Times New Roman"/>
          <w:sz w:val="24"/>
          <w:szCs w:val="24"/>
        </w:rPr>
      </w:pPr>
      <w:r w:rsidRPr="00360EF7">
        <w:rPr>
          <w:rFonts w:ascii="Times New Roman" w:hAnsi="Times New Roman" w:cs="Times New Roman"/>
          <w:b/>
          <w:bCs/>
          <w:sz w:val="24"/>
          <w:szCs w:val="24"/>
        </w:rPr>
        <w:t>Aim:</w:t>
      </w:r>
      <w:r>
        <w:rPr>
          <w:rFonts w:ascii="Times New Roman" w:hAnsi="Times New Roman" w:cs="Times New Roman"/>
          <w:sz w:val="24"/>
          <w:szCs w:val="24"/>
        </w:rPr>
        <w:t xml:space="preserve"> </w:t>
      </w:r>
      <w:r w:rsidR="00072ECC" w:rsidRPr="00072ECC">
        <w:rPr>
          <w:rFonts w:ascii="Times New Roman" w:hAnsi="Times New Roman" w:cs="Times New Roman"/>
          <w:sz w:val="24"/>
          <w:szCs w:val="24"/>
        </w:rPr>
        <w:t xml:space="preserve">The present study aimed to evaluate long-term groundwater recharge dynamics, groundwater storage anomalies (GWSA), and spatial variability across diverse geological formations of the Wainganga River basin using groundwater level observations from 2000–2020. </w:t>
      </w:r>
    </w:p>
    <w:p w14:paraId="36B4F544" w14:textId="77777777" w:rsidR="00360EF7" w:rsidRDefault="00360EF7" w:rsidP="00072ECC">
      <w:pPr>
        <w:spacing w:line="360" w:lineRule="auto"/>
        <w:jc w:val="both"/>
        <w:rPr>
          <w:rFonts w:ascii="Times New Roman" w:hAnsi="Times New Roman" w:cs="Times New Roman"/>
          <w:sz w:val="24"/>
          <w:szCs w:val="24"/>
        </w:rPr>
      </w:pPr>
      <w:r w:rsidRPr="00360EF7">
        <w:rPr>
          <w:rFonts w:ascii="Times New Roman" w:hAnsi="Times New Roman" w:cs="Times New Roman"/>
          <w:b/>
          <w:bCs/>
          <w:sz w:val="24"/>
          <w:szCs w:val="24"/>
        </w:rPr>
        <w:t>Method:</w:t>
      </w:r>
      <w:r>
        <w:rPr>
          <w:rFonts w:ascii="Times New Roman" w:hAnsi="Times New Roman" w:cs="Times New Roman"/>
          <w:sz w:val="24"/>
          <w:szCs w:val="24"/>
        </w:rPr>
        <w:t xml:space="preserve"> </w:t>
      </w:r>
      <w:r w:rsidR="00072ECC" w:rsidRPr="00072ECC">
        <w:rPr>
          <w:rFonts w:ascii="Times New Roman" w:hAnsi="Times New Roman" w:cs="Times New Roman"/>
          <w:sz w:val="24"/>
          <w:szCs w:val="24"/>
        </w:rPr>
        <w:t xml:space="preserve">A total of 249 observation wells distributed across major geological formations including Deccan Trap, Betul Gneiss, Lower Gondwana, Sausar Group, </w:t>
      </w:r>
      <w:proofErr w:type="spellStart"/>
      <w:r w:rsidR="00072ECC" w:rsidRPr="00072ECC">
        <w:rPr>
          <w:rFonts w:ascii="Times New Roman" w:hAnsi="Times New Roman" w:cs="Times New Roman"/>
          <w:sz w:val="24"/>
          <w:szCs w:val="24"/>
        </w:rPr>
        <w:t>Khairagarh</w:t>
      </w:r>
      <w:proofErr w:type="spellEnd"/>
      <w:r w:rsidR="00072ECC" w:rsidRPr="00072ECC">
        <w:rPr>
          <w:rFonts w:ascii="Times New Roman" w:hAnsi="Times New Roman" w:cs="Times New Roman"/>
          <w:sz w:val="24"/>
          <w:szCs w:val="24"/>
        </w:rPr>
        <w:t xml:space="preserve"> Group, Acid Intrusive/Granite, and Laterite/Bauxite were analysed. Groundwater recharge was estimated using the Water Table Fluctuation (WTF) method based on pre- and post-monsoon groundwater level fluctuations and aquifer-specific yield values. Groundwater storage anomalies were calculated using long-term mean groundwater storage, while spatial variability was assessed through standard deviation analysis.</w:t>
      </w:r>
      <w:r w:rsidR="00072ECC">
        <w:rPr>
          <w:rFonts w:ascii="Times New Roman" w:hAnsi="Times New Roman" w:cs="Times New Roman"/>
          <w:sz w:val="24"/>
          <w:szCs w:val="24"/>
        </w:rPr>
        <w:t xml:space="preserve"> </w:t>
      </w:r>
    </w:p>
    <w:p w14:paraId="04A346C6" w14:textId="77777777" w:rsidR="00360EF7" w:rsidRDefault="00360EF7" w:rsidP="00072ECC">
      <w:pPr>
        <w:spacing w:line="360" w:lineRule="auto"/>
        <w:jc w:val="both"/>
        <w:rPr>
          <w:rFonts w:ascii="Times New Roman" w:hAnsi="Times New Roman" w:cs="Times New Roman"/>
          <w:sz w:val="24"/>
          <w:szCs w:val="24"/>
        </w:rPr>
      </w:pPr>
      <w:r w:rsidRPr="00360EF7">
        <w:rPr>
          <w:rFonts w:ascii="Times New Roman" w:hAnsi="Times New Roman" w:cs="Times New Roman"/>
          <w:b/>
          <w:bCs/>
          <w:sz w:val="24"/>
          <w:szCs w:val="24"/>
        </w:rPr>
        <w:t>Results:</w:t>
      </w:r>
      <w:r>
        <w:rPr>
          <w:rFonts w:ascii="Times New Roman" w:hAnsi="Times New Roman" w:cs="Times New Roman"/>
          <w:sz w:val="24"/>
          <w:szCs w:val="24"/>
        </w:rPr>
        <w:t xml:space="preserve"> </w:t>
      </w:r>
      <w:r w:rsidR="00072ECC" w:rsidRPr="00072ECC">
        <w:rPr>
          <w:rFonts w:ascii="Times New Roman" w:hAnsi="Times New Roman" w:cs="Times New Roman"/>
          <w:sz w:val="24"/>
          <w:szCs w:val="24"/>
        </w:rPr>
        <w:t xml:space="preserve">The results revealed considerable temporal and spatial variability in groundwater behaviour across different geological formations. Pre-monsoon groundwater depth reached a maximum of 21.35 m, indicating severe groundwater depletion during drought years. Post-monsoon groundwater levels showed substantial recharge variability controlled by geological characteristics and monsoonal rainfall. Groundwater recharge estimation indicated that the Deccan Trap formation contributed the highest recharge, varying from 1048 MCM in 2014 to 1790 MCM in 2019, whereas total basin recharge ranged from 1907 MCM to 3015.97 MCM during the study period. Groundwater storage anomaly analysis revealed severe groundwater stress during 2014 and 2020, with the </w:t>
      </w:r>
      <w:proofErr w:type="spellStart"/>
      <w:r w:rsidR="00072ECC" w:rsidRPr="00072ECC">
        <w:rPr>
          <w:rFonts w:ascii="Times New Roman" w:hAnsi="Times New Roman" w:cs="Times New Roman"/>
          <w:sz w:val="24"/>
          <w:szCs w:val="24"/>
        </w:rPr>
        <w:t>Khairagarh</w:t>
      </w:r>
      <w:proofErr w:type="spellEnd"/>
      <w:r w:rsidR="00072ECC" w:rsidRPr="00072ECC">
        <w:rPr>
          <w:rFonts w:ascii="Times New Roman" w:hAnsi="Times New Roman" w:cs="Times New Roman"/>
          <w:sz w:val="24"/>
          <w:szCs w:val="24"/>
        </w:rPr>
        <w:t xml:space="preserve"> Group exhibiting the highest depletion (−14.7 MCM). In contrast, significant groundwater recovery was observed during 2010 due to high monsoonal recharge. Spatial variability analysis demonstrated strong heterogeneity in groundwater storage distribution, with the </w:t>
      </w:r>
      <w:proofErr w:type="spellStart"/>
      <w:r w:rsidR="00072ECC" w:rsidRPr="00072ECC">
        <w:rPr>
          <w:rFonts w:ascii="Times New Roman" w:hAnsi="Times New Roman" w:cs="Times New Roman"/>
          <w:sz w:val="24"/>
          <w:szCs w:val="24"/>
        </w:rPr>
        <w:t>Khairagarh</w:t>
      </w:r>
      <w:proofErr w:type="spellEnd"/>
      <w:r w:rsidR="00072ECC" w:rsidRPr="00072ECC">
        <w:rPr>
          <w:rFonts w:ascii="Times New Roman" w:hAnsi="Times New Roman" w:cs="Times New Roman"/>
          <w:sz w:val="24"/>
          <w:szCs w:val="24"/>
        </w:rPr>
        <w:t xml:space="preserve"> Group showing the highest spatial </w:t>
      </w:r>
      <w:r w:rsidR="00072ECC" w:rsidRPr="00072ECC">
        <w:rPr>
          <w:rFonts w:ascii="Times New Roman" w:hAnsi="Times New Roman" w:cs="Times New Roman"/>
          <w:sz w:val="24"/>
          <w:szCs w:val="24"/>
        </w:rPr>
        <w:lastRenderedPageBreak/>
        <w:t>variability (20.01 MCM), while Acid Intrusive/Granite and Sausar Group formations maintained relatively stable groundwater conditions.</w:t>
      </w:r>
      <w:r w:rsidR="00072ECC">
        <w:rPr>
          <w:rFonts w:ascii="Times New Roman" w:hAnsi="Times New Roman" w:cs="Times New Roman"/>
          <w:sz w:val="24"/>
          <w:szCs w:val="24"/>
        </w:rPr>
        <w:t xml:space="preserve"> </w:t>
      </w:r>
    </w:p>
    <w:p w14:paraId="5F24B532" w14:textId="13A9FC61" w:rsidR="00432C71" w:rsidRDefault="00360EF7" w:rsidP="00072ECC">
      <w:pPr>
        <w:spacing w:line="360" w:lineRule="auto"/>
        <w:jc w:val="both"/>
        <w:rPr>
          <w:rFonts w:ascii="Times New Roman" w:hAnsi="Times New Roman" w:cs="Times New Roman"/>
          <w:sz w:val="24"/>
          <w:szCs w:val="24"/>
        </w:rPr>
      </w:pPr>
      <w:r w:rsidRPr="00360EF7">
        <w:rPr>
          <w:rFonts w:ascii="Times New Roman" w:hAnsi="Times New Roman" w:cs="Times New Roman"/>
          <w:b/>
          <w:bCs/>
          <w:sz w:val="24"/>
          <w:szCs w:val="24"/>
        </w:rPr>
        <w:t>Conclusion:</w:t>
      </w:r>
      <w:r>
        <w:rPr>
          <w:rFonts w:ascii="Times New Roman" w:hAnsi="Times New Roman" w:cs="Times New Roman"/>
          <w:sz w:val="24"/>
          <w:szCs w:val="24"/>
        </w:rPr>
        <w:t xml:space="preserve"> </w:t>
      </w:r>
      <w:r w:rsidR="00072ECC" w:rsidRPr="00072ECC">
        <w:rPr>
          <w:rFonts w:ascii="Times New Roman" w:hAnsi="Times New Roman" w:cs="Times New Roman"/>
          <w:sz w:val="24"/>
          <w:szCs w:val="24"/>
        </w:rPr>
        <w:t>The study highlights the strong influence of geological formations and monsoonal variability on groundwater recharge and storage dynamics within the Wainganga River basin. The findings provide important scientific information for sustainable groundwater management, artificial recharge planning, and identification of groundwater-stressed regions in hard-rock terrains of central India.</w:t>
      </w:r>
    </w:p>
    <w:p w14:paraId="1E481F13" w14:textId="77777777" w:rsidR="00EA37CE" w:rsidRDefault="00EA37CE" w:rsidP="00EA37CE">
      <w:pPr>
        <w:pStyle w:val="NormalWeb"/>
        <w:spacing w:line="360" w:lineRule="auto"/>
        <w:ind w:left="1134" w:hanging="1134"/>
        <w:jc w:val="both"/>
      </w:pPr>
      <w:r w:rsidRPr="00EA37CE">
        <w:rPr>
          <w:b/>
          <w:bCs/>
        </w:rPr>
        <w:t>Keyword:</w:t>
      </w:r>
      <w:r>
        <w:tab/>
      </w:r>
      <w:r w:rsidRPr="005A1667">
        <w:t>Groundwater management; Groundwater recharge; Groundwater storage anomaly; Hard-rock aquifers; Hydrogeology; Spatial var</w:t>
      </w:r>
      <w:r w:rsidR="003E1252" w:rsidRPr="005A1667">
        <w:t xml:space="preserve">iability; Wainganga River basin and </w:t>
      </w:r>
      <w:r w:rsidRPr="005A1667">
        <w:t>Water Table Fluctuation</w:t>
      </w:r>
      <w:r w:rsidRPr="00EA37CE">
        <w:rPr>
          <w:b/>
          <w:bCs/>
        </w:rPr>
        <w:t xml:space="preserve"> </w:t>
      </w:r>
    </w:p>
    <w:p w14:paraId="4FDCE28F" w14:textId="77777777" w:rsidR="00F03FE5" w:rsidRPr="00072ECC" w:rsidRDefault="00F03FE5" w:rsidP="00072ECC">
      <w:pPr>
        <w:spacing w:line="360" w:lineRule="auto"/>
        <w:jc w:val="both"/>
        <w:rPr>
          <w:rFonts w:ascii="Times New Roman" w:hAnsi="Times New Roman" w:cs="Times New Roman"/>
          <w:sz w:val="24"/>
          <w:szCs w:val="24"/>
        </w:rPr>
      </w:pPr>
    </w:p>
    <w:p w14:paraId="67EC6CCD" w14:textId="77777777" w:rsidR="00972B8F" w:rsidRDefault="00972B8F" w:rsidP="009C0874">
      <w:pPr>
        <w:spacing w:line="360" w:lineRule="auto"/>
        <w:jc w:val="both"/>
        <w:rPr>
          <w:rFonts w:ascii="Times New Roman" w:hAnsi="Times New Roman" w:cs="Times New Roman"/>
          <w:sz w:val="24"/>
          <w:szCs w:val="24"/>
        </w:rPr>
      </w:pPr>
      <w:r w:rsidRPr="00972B8F">
        <w:rPr>
          <w:rFonts w:ascii="Times New Roman" w:hAnsi="Times New Roman" w:cs="Times New Roman"/>
          <w:b/>
          <w:bCs/>
          <w:sz w:val="24"/>
          <w:szCs w:val="24"/>
        </w:rPr>
        <w:t>INTRODUCTION</w:t>
      </w:r>
    </w:p>
    <w:p w14:paraId="7416E10A" w14:textId="66A0468F" w:rsidR="0068186D" w:rsidRPr="0068186D" w:rsidRDefault="0068186D" w:rsidP="0068186D">
      <w:pPr>
        <w:spacing w:line="360" w:lineRule="auto"/>
        <w:ind w:firstLine="851"/>
        <w:jc w:val="both"/>
        <w:rPr>
          <w:rFonts w:ascii="Times New Roman" w:hAnsi="Times New Roman" w:cs="Times New Roman"/>
          <w:sz w:val="24"/>
          <w:szCs w:val="24"/>
        </w:rPr>
      </w:pPr>
      <w:r w:rsidRPr="0068186D">
        <w:rPr>
          <w:rFonts w:ascii="Times New Roman" w:hAnsi="Times New Roman" w:cs="Times New Roman"/>
          <w:sz w:val="24"/>
          <w:szCs w:val="24"/>
        </w:rPr>
        <w:t xml:space="preserve">Groundwater is one of the most important freshwater resources supporting domestic, agricultural, and industrial activities across the world. In semi-arid and tropical regions, groundwater serves as the primary source of irrigation and drinking water because of uneven surface water distribution and increasing climatic variability. </w:t>
      </w:r>
      <w:r w:rsidR="00C8779A" w:rsidRPr="005571A1">
        <w:rPr>
          <w:rFonts w:ascii="Merriweather" w:hAnsi="Merriweather"/>
          <w:color w:val="222222"/>
          <w:sz w:val="20"/>
          <w:szCs w:val="20"/>
          <w:highlight w:val="yellow"/>
          <w:shd w:val="clear" w:color="auto" w:fill="FFFFFF"/>
        </w:rPr>
        <w:t>Groundwater depletion within a large basin-scale interaction with surface water has multifaceted impacts, including reduced base flow and river discharge, affecting aquatic ecosystems and water availability; economic consequences through agricultural losses and increased energy costs; insecurity in drinking water availability, posing health risks; diminished soil moisture and ecology sustenance, leading to habitat loss and altered ecosystems; and long-term sustainability challenges, potentially lasting generations. Furthermore, land subsidence and increased conflicts over water resources can occur, driving migration</w:t>
      </w:r>
      <w:r w:rsidR="00C8779A">
        <w:rPr>
          <w:rFonts w:ascii="Merriweather" w:hAnsi="Merriweather"/>
          <w:color w:val="222222"/>
          <w:sz w:val="20"/>
          <w:szCs w:val="20"/>
          <w:highlight w:val="yellow"/>
          <w:shd w:val="clear" w:color="auto" w:fill="FFFFFF"/>
        </w:rPr>
        <w:t xml:space="preserve"> (</w:t>
      </w:r>
      <w:r w:rsidR="00C8779A" w:rsidRPr="001B6FDB">
        <w:rPr>
          <w:rFonts w:ascii="inherit" w:hAnsi="inherit" w:cs="Helvetica"/>
          <w:color w:val="222222"/>
          <w:sz w:val="20"/>
          <w:szCs w:val="20"/>
          <w:highlight w:val="yellow"/>
        </w:rPr>
        <w:t>Mondal</w:t>
      </w:r>
      <w:r w:rsidR="00C8779A" w:rsidRPr="001B6FDB">
        <w:rPr>
          <w:rFonts w:ascii="Arial" w:hAnsi="Arial" w:cs="Arial"/>
          <w:color w:val="222222"/>
          <w:sz w:val="20"/>
          <w:szCs w:val="20"/>
          <w:highlight w:val="yellow"/>
          <w:shd w:val="clear" w:color="auto" w:fill="FFFFFF"/>
        </w:rPr>
        <w:t xml:space="preserve"> </w:t>
      </w:r>
      <w:r w:rsidR="00C8779A">
        <w:rPr>
          <w:rFonts w:ascii="Arial" w:hAnsi="Arial" w:cs="Arial"/>
          <w:color w:val="222222"/>
          <w:sz w:val="20"/>
          <w:szCs w:val="20"/>
          <w:highlight w:val="yellow"/>
          <w:shd w:val="clear" w:color="auto" w:fill="FFFFFF"/>
        </w:rPr>
        <w:t xml:space="preserve">et al., 2022; </w:t>
      </w:r>
      <w:r w:rsidR="00C8779A" w:rsidRPr="001B6FDB">
        <w:rPr>
          <w:rFonts w:ascii="Arial" w:hAnsi="Arial" w:cs="Arial"/>
          <w:color w:val="222222"/>
          <w:sz w:val="20"/>
          <w:szCs w:val="20"/>
          <w:highlight w:val="yellow"/>
          <w:shd w:val="clear" w:color="auto" w:fill="FFFFFF"/>
        </w:rPr>
        <w:t>Arya</w:t>
      </w:r>
      <w:r w:rsidR="00C8779A">
        <w:rPr>
          <w:rFonts w:ascii="Arial" w:hAnsi="Arial" w:cs="Arial"/>
          <w:color w:val="222222"/>
          <w:sz w:val="20"/>
          <w:szCs w:val="20"/>
          <w:highlight w:val="yellow"/>
          <w:shd w:val="clear" w:color="auto" w:fill="FFFFFF"/>
        </w:rPr>
        <w:t xml:space="preserve"> </w:t>
      </w:r>
      <w:r w:rsidR="00C8779A" w:rsidRPr="001B6FDB">
        <w:rPr>
          <w:rFonts w:ascii="Arial" w:hAnsi="Arial" w:cs="Arial"/>
          <w:color w:val="222222"/>
          <w:sz w:val="20"/>
          <w:szCs w:val="20"/>
          <w:highlight w:val="yellow"/>
          <w:shd w:val="clear" w:color="auto" w:fill="FFFFFF"/>
        </w:rPr>
        <w:t>&amp; Rao</w:t>
      </w:r>
      <w:r w:rsidR="00C8779A">
        <w:rPr>
          <w:rFonts w:ascii="Arial" w:hAnsi="Arial" w:cs="Arial"/>
          <w:color w:val="222222"/>
          <w:sz w:val="20"/>
          <w:szCs w:val="20"/>
          <w:highlight w:val="yellow"/>
          <w:shd w:val="clear" w:color="auto" w:fill="FFFFFF"/>
        </w:rPr>
        <w:t xml:space="preserve">, </w:t>
      </w:r>
      <w:r w:rsidR="00C8779A" w:rsidRPr="001B6FDB">
        <w:rPr>
          <w:rFonts w:ascii="Arial" w:hAnsi="Arial" w:cs="Arial"/>
          <w:color w:val="222222"/>
          <w:sz w:val="20"/>
          <w:szCs w:val="20"/>
          <w:highlight w:val="yellow"/>
          <w:shd w:val="clear" w:color="auto" w:fill="FFFFFF"/>
        </w:rPr>
        <w:t>2024</w:t>
      </w:r>
      <w:r w:rsidR="00C8779A">
        <w:rPr>
          <w:rFonts w:ascii="Merriweather" w:hAnsi="Merriweather"/>
          <w:color w:val="222222"/>
          <w:sz w:val="20"/>
          <w:szCs w:val="20"/>
          <w:highlight w:val="yellow"/>
          <w:shd w:val="clear" w:color="auto" w:fill="FFFFFF"/>
        </w:rPr>
        <w:t>)</w:t>
      </w:r>
      <w:r w:rsidR="00C8779A" w:rsidRPr="005571A1">
        <w:rPr>
          <w:rFonts w:ascii="Merriweather" w:hAnsi="Merriweather"/>
          <w:color w:val="222222"/>
          <w:sz w:val="20"/>
          <w:szCs w:val="20"/>
          <w:highlight w:val="yellow"/>
          <w:shd w:val="clear" w:color="auto" w:fill="FFFFFF"/>
        </w:rPr>
        <w:t>.</w:t>
      </w:r>
      <w:r w:rsidR="00C8779A" w:rsidRPr="005571A1">
        <w:rPr>
          <w:rFonts w:ascii="Merriweather" w:hAnsi="Merriweather"/>
          <w:color w:val="222222"/>
          <w:sz w:val="20"/>
          <w:szCs w:val="20"/>
          <w:shd w:val="clear" w:color="auto" w:fill="FFFFFF"/>
        </w:rPr>
        <w:t xml:space="preserve"> </w:t>
      </w:r>
      <w:r w:rsidRPr="0068186D">
        <w:rPr>
          <w:rFonts w:ascii="Times New Roman" w:hAnsi="Times New Roman" w:cs="Times New Roman"/>
          <w:sz w:val="24"/>
          <w:szCs w:val="24"/>
        </w:rPr>
        <w:t>Rapid population growth, urbanization, industrialization, and agricultural intensification have substantially increased pressure on groundwater resources over recent decades. As a result, groundwater depletion, declining water tables, and hydrological stress have emerged as major environmental concerns affecting water security and sustainable development globally.</w:t>
      </w:r>
      <w:r>
        <w:rPr>
          <w:rFonts w:ascii="Times New Roman" w:hAnsi="Times New Roman" w:cs="Times New Roman"/>
          <w:sz w:val="24"/>
          <w:szCs w:val="24"/>
        </w:rPr>
        <w:t xml:space="preserve"> </w:t>
      </w:r>
      <w:r w:rsidRPr="0068186D">
        <w:rPr>
          <w:rFonts w:ascii="Times New Roman" w:hAnsi="Times New Roman" w:cs="Times New Roman"/>
          <w:sz w:val="24"/>
          <w:szCs w:val="24"/>
        </w:rPr>
        <w:t xml:space="preserve">India is recognized as the largest user of groundwater in the world, accounting for nearly one-fourth of global groundwater extraction. Groundwater plays a vital role in Indian agriculture and significantly contributes to food security, rural livelihoods, and economic development. Approximately 89% of extracted groundwater in India is utilized for irrigation, while the remaining portion is used for domestic and industrial purposes (CGWB, 2020). After the Green </w:t>
      </w:r>
      <w:r w:rsidRPr="0068186D">
        <w:rPr>
          <w:rFonts w:ascii="Times New Roman" w:hAnsi="Times New Roman" w:cs="Times New Roman"/>
          <w:sz w:val="24"/>
          <w:szCs w:val="24"/>
        </w:rPr>
        <w:lastRenderedPageBreak/>
        <w:t xml:space="preserve">Revolution, groundwater-based irrigation expanded rapidly and greatly enhanced agricultural productivity; however, excessive abstraction has caused severe groundwater depletion in many river basins of the country (Rodell </w:t>
      </w:r>
      <w:r w:rsidR="00A1135E" w:rsidRPr="00A1135E">
        <w:rPr>
          <w:rFonts w:ascii="Times New Roman" w:hAnsi="Times New Roman" w:cs="Times New Roman"/>
          <w:i/>
          <w:sz w:val="24"/>
          <w:szCs w:val="24"/>
        </w:rPr>
        <w:t>et al</w:t>
      </w:r>
      <w:r w:rsidRPr="0068186D">
        <w:rPr>
          <w:rFonts w:ascii="Times New Roman" w:hAnsi="Times New Roman" w:cs="Times New Roman"/>
          <w:sz w:val="24"/>
          <w:szCs w:val="24"/>
        </w:rPr>
        <w:t xml:space="preserve">., 2009). </w:t>
      </w:r>
      <w:r w:rsidR="00B87BDC">
        <w:rPr>
          <w:rFonts w:ascii="Georgia" w:hAnsi="Georgia"/>
          <w:color w:val="1F1F1F"/>
          <w:highlight w:val="yellow"/>
        </w:rPr>
        <w:t>G</w:t>
      </w:r>
      <w:r w:rsidR="00B87BDC" w:rsidRPr="005571A1">
        <w:rPr>
          <w:rFonts w:ascii="Georgia" w:hAnsi="Georgia"/>
          <w:color w:val="1F1F1F"/>
          <w:highlight w:val="yellow"/>
        </w:rPr>
        <w:t>roundwater resources were usually sufficient for agriculture purposes due to the timely and good amount of southwest monsoon. However, due to growing anthropogenic activities, urbanization, and energy demand, 99 % of the world's freshwater comes from groundwater, of which domestic use accounts for 50 %, while agricultural use accounts for 25 % leading the monsoon to be very erratic, shifting of the monsoon and poor precipitation, groundwater recharge and groundwater storage are getting affected</w:t>
      </w:r>
      <w:r w:rsidR="000B2C93">
        <w:rPr>
          <w:rFonts w:ascii="Georgia" w:hAnsi="Georgia"/>
          <w:color w:val="1F1F1F"/>
          <w:highlight w:val="yellow"/>
        </w:rPr>
        <w:t xml:space="preserve"> </w:t>
      </w:r>
      <w:r w:rsidR="000B2C93" w:rsidRPr="000B2C93">
        <w:rPr>
          <w:rFonts w:ascii="Georgia" w:hAnsi="Georgia"/>
          <w:color w:val="1F1F1F"/>
          <w:highlight w:val="yellow"/>
        </w:rPr>
        <w:t>(</w:t>
      </w:r>
      <w:r w:rsidR="000B2C93" w:rsidRPr="005571A1">
        <w:rPr>
          <w:rFonts w:ascii="Arial" w:hAnsi="Arial" w:cs="Arial"/>
          <w:color w:val="222222"/>
          <w:sz w:val="20"/>
          <w:szCs w:val="20"/>
          <w:highlight w:val="yellow"/>
          <w:shd w:val="clear" w:color="auto" w:fill="FFFFFF"/>
        </w:rPr>
        <w:t>Raju et al., 2024</w:t>
      </w:r>
      <w:r w:rsidR="000B2C93">
        <w:rPr>
          <w:rFonts w:ascii="Georgia" w:hAnsi="Georgia"/>
          <w:color w:val="1F1F1F"/>
          <w:highlight w:val="yellow"/>
        </w:rPr>
        <w:t>)</w:t>
      </w:r>
      <w:r w:rsidR="00B87BDC" w:rsidRPr="005571A1">
        <w:rPr>
          <w:rFonts w:ascii="Georgia" w:hAnsi="Georgia"/>
          <w:color w:val="1F1F1F"/>
          <w:highlight w:val="yellow"/>
        </w:rPr>
        <w:t>.</w:t>
      </w:r>
      <w:r w:rsidR="00B87BDC" w:rsidRPr="0068186D">
        <w:rPr>
          <w:rFonts w:ascii="Times New Roman" w:hAnsi="Times New Roman" w:cs="Times New Roman"/>
          <w:sz w:val="24"/>
          <w:szCs w:val="24"/>
        </w:rPr>
        <w:t xml:space="preserve"> </w:t>
      </w:r>
      <w:r w:rsidRPr="0068186D">
        <w:rPr>
          <w:rFonts w:ascii="Times New Roman" w:hAnsi="Times New Roman" w:cs="Times New Roman"/>
          <w:sz w:val="24"/>
          <w:szCs w:val="24"/>
        </w:rPr>
        <w:t xml:space="preserve">Several studies based on field observations and satellite-derived datasets have highlighted alarming declines in groundwater storage across different regions of India (Tiwari </w:t>
      </w:r>
      <w:r w:rsidR="00A1135E" w:rsidRPr="00A1135E">
        <w:rPr>
          <w:rFonts w:ascii="Times New Roman" w:hAnsi="Times New Roman" w:cs="Times New Roman"/>
          <w:i/>
          <w:sz w:val="24"/>
          <w:szCs w:val="24"/>
        </w:rPr>
        <w:t>et al</w:t>
      </w:r>
      <w:r w:rsidRPr="0068186D">
        <w:rPr>
          <w:rFonts w:ascii="Times New Roman" w:hAnsi="Times New Roman" w:cs="Times New Roman"/>
          <w:sz w:val="24"/>
          <w:szCs w:val="24"/>
        </w:rPr>
        <w:t>., 2009; Panda and Wahr, 2016).</w:t>
      </w:r>
      <w:r>
        <w:rPr>
          <w:rFonts w:ascii="Times New Roman" w:hAnsi="Times New Roman" w:cs="Times New Roman"/>
          <w:sz w:val="24"/>
          <w:szCs w:val="24"/>
        </w:rPr>
        <w:t xml:space="preserve"> </w:t>
      </w:r>
      <w:r w:rsidRPr="0068186D">
        <w:rPr>
          <w:rFonts w:ascii="Times New Roman" w:hAnsi="Times New Roman" w:cs="Times New Roman"/>
          <w:sz w:val="24"/>
          <w:szCs w:val="24"/>
        </w:rPr>
        <w:t xml:space="preserve">Groundwater recharge is a fundamental hydrological process responsible for replenishing aquifers and maintaining groundwater sustainability. Recharge occurs when water infiltrates through the soil surface and percolates downward into the saturated zone. The quantity of groundwater recharge depends on several factors including rainfall intensity, land use, soil characteristics, topography, vegetation cover, geology, and hydrogeological conditions (Healy, 2010). In monsoon-dominated regions such as central India, groundwater recharge is highly dependent on seasonal rainfall variability. Variations in monsoon rainfall directly influence groundwater levels, recharge rates, and aquifer storage conditions (Bhanja </w:t>
      </w:r>
      <w:r w:rsidR="00A1135E" w:rsidRPr="00A1135E">
        <w:rPr>
          <w:rFonts w:ascii="Times New Roman" w:hAnsi="Times New Roman" w:cs="Times New Roman"/>
          <w:i/>
          <w:sz w:val="24"/>
          <w:szCs w:val="24"/>
        </w:rPr>
        <w:t>et al</w:t>
      </w:r>
      <w:r w:rsidRPr="0068186D">
        <w:rPr>
          <w:rFonts w:ascii="Times New Roman" w:hAnsi="Times New Roman" w:cs="Times New Roman"/>
          <w:sz w:val="24"/>
          <w:szCs w:val="24"/>
        </w:rPr>
        <w:t>., 2017).</w:t>
      </w:r>
      <w:r>
        <w:rPr>
          <w:rFonts w:ascii="Times New Roman" w:hAnsi="Times New Roman" w:cs="Times New Roman"/>
          <w:sz w:val="24"/>
          <w:szCs w:val="24"/>
        </w:rPr>
        <w:t xml:space="preserve"> </w:t>
      </w:r>
      <w:r w:rsidRPr="0068186D">
        <w:rPr>
          <w:rFonts w:ascii="Times New Roman" w:hAnsi="Times New Roman" w:cs="Times New Roman"/>
          <w:sz w:val="24"/>
          <w:szCs w:val="24"/>
        </w:rPr>
        <w:t>Hard-rock aquifers, which dominate large parts of peninsular India, exhibit highly heterogeneous groundwater occurrence and recharge behaviour due to variations in lithology, fracture systems, weathering thickness, and structural discontinuities. These aquifers generally possess low primary porosity, and groundwater movement mainly occurs through secondary structures such as fractures and joints (Todd and Mays, 2005). Therefore, understanding groundwater recharge dynamics and storage variability in hard-rock terrains is essential for sustainable groundwater management and artificial recharge planning.</w:t>
      </w:r>
    </w:p>
    <w:p w14:paraId="2CC44468" w14:textId="77777777" w:rsidR="0068186D" w:rsidRPr="0068186D" w:rsidRDefault="0068186D" w:rsidP="0068186D">
      <w:pPr>
        <w:spacing w:line="360" w:lineRule="auto"/>
        <w:ind w:firstLine="851"/>
        <w:jc w:val="both"/>
        <w:rPr>
          <w:rFonts w:ascii="Times New Roman" w:hAnsi="Times New Roman" w:cs="Times New Roman"/>
          <w:sz w:val="24"/>
          <w:szCs w:val="24"/>
        </w:rPr>
      </w:pPr>
      <w:r w:rsidRPr="0068186D">
        <w:rPr>
          <w:rFonts w:ascii="Times New Roman" w:hAnsi="Times New Roman" w:cs="Times New Roman"/>
          <w:sz w:val="24"/>
          <w:szCs w:val="24"/>
        </w:rPr>
        <w:t xml:space="preserve">Groundwater resources in India are increasingly vulnerable to climatic variability and anthropogenic stress. Rodell </w:t>
      </w:r>
      <w:r w:rsidR="00A1135E" w:rsidRPr="00A1135E">
        <w:rPr>
          <w:rFonts w:ascii="Times New Roman" w:hAnsi="Times New Roman" w:cs="Times New Roman"/>
          <w:i/>
          <w:sz w:val="24"/>
          <w:szCs w:val="24"/>
        </w:rPr>
        <w:t>et al</w:t>
      </w:r>
      <w:r w:rsidRPr="0068186D">
        <w:rPr>
          <w:rFonts w:ascii="Times New Roman" w:hAnsi="Times New Roman" w:cs="Times New Roman"/>
          <w:sz w:val="24"/>
          <w:szCs w:val="24"/>
        </w:rPr>
        <w:t>. (2009) used GRACE satellite observations to demonstrate significant groundwater depletion in north</w:t>
      </w:r>
      <w:r>
        <w:rPr>
          <w:rFonts w:ascii="Times New Roman" w:hAnsi="Times New Roman" w:cs="Times New Roman"/>
          <w:sz w:val="24"/>
          <w:szCs w:val="24"/>
        </w:rPr>
        <w:t>-</w:t>
      </w:r>
      <w:r w:rsidRPr="0068186D">
        <w:rPr>
          <w:rFonts w:ascii="Times New Roman" w:hAnsi="Times New Roman" w:cs="Times New Roman"/>
          <w:sz w:val="24"/>
          <w:szCs w:val="24"/>
        </w:rPr>
        <w:t xml:space="preserve">western India caused primarily by excessive irrigation pumping. Similarly, Tiwari </w:t>
      </w:r>
      <w:r w:rsidR="00A1135E" w:rsidRPr="00A1135E">
        <w:rPr>
          <w:rFonts w:ascii="Times New Roman" w:hAnsi="Times New Roman" w:cs="Times New Roman"/>
          <w:i/>
          <w:sz w:val="24"/>
          <w:szCs w:val="24"/>
        </w:rPr>
        <w:t>et al</w:t>
      </w:r>
      <w:r w:rsidRPr="0068186D">
        <w:rPr>
          <w:rFonts w:ascii="Times New Roman" w:hAnsi="Times New Roman" w:cs="Times New Roman"/>
          <w:sz w:val="24"/>
          <w:szCs w:val="24"/>
        </w:rPr>
        <w:t xml:space="preserve">. (2009) identified substantial groundwater loss in northern India and emphasized the combined role of climate variability and groundwater extraction. Panda and Wahr (2016) further confirmed groundwater depletion trends across India using GRACE-derived groundwater storage analysis. These studies clearly indicate that unsustainable groundwater abstraction, coupled with irregular rainfall patterns, has intensified </w:t>
      </w:r>
      <w:r w:rsidRPr="0068186D">
        <w:rPr>
          <w:rFonts w:ascii="Times New Roman" w:hAnsi="Times New Roman" w:cs="Times New Roman"/>
          <w:sz w:val="24"/>
          <w:szCs w:val="24"/>
        </w:rPr>
        <w:lastRenderedPageBreak/>
        <w:t>groundwater stress in many parts of the country.</w:t>
      </w:r>
      <w:r>
        <w:rPr>
          <w:rFonts w:ascii="Times New Roman" w:hAnsi="Times New Roman" w:cs="Times New Roman"/>
          <w:sz w:val="24"/>
          <w:szCs w:val="24"/>
        </w:rPr>
        <w:t xml:space="preserve"> </w:t>
      </w:r>
      <w:r w:rsidRPr="0068186D">
        <w:rPr>
          <w:rFonts w:ascii="Times New Roman" w:hAnsi="Times New Roman" w:cs="Times New Roman"/>
          <w:sz w:val="24"/>
          <w:szCs w:val="24"/>
        </w:rPr>
        <w:t xml:space="preserve">Groundwater Storage Anomalies (GWSA) have emerged as an important indicator for evaluating temporal variations in groundwater availability and identifying periods of hydrological stress. Groundwater storage anomalies represent deviations of groundwater storage from long-term mean conditions and provide valuable insights into depletion and recharge trends (Bhanja </w:t>
      </w:r>
      <w:r w:rsidR="00A1135E" w:rsidRPr="00A1135E">
        <w:rPr>
          <w:rFonts w:ascii="Times New Roman" w:hAnsi="Times New Roman" w:cs="Times New Roman"/>
          <w:i/>
          <w:sz w:val="24"/>
          <w:szCs w:val="24"/>
        </w:rPr>
        <w:t>et al</w:t>
      </w:r>
      <w:r w:rsidRPr="0068186D">
        <w:rPr>
          <w:rFonts w:ascii="Times New Roman" w:hAnsi="Times New Roman" w:cs="Times New Roman"/>
          <w:sz w:val="24"/>
          <w:szCs w:val="24"/>
        </w:rPr>
        <w:t>., 2017). Negative groundwater storage anomalies generally indicate groundwater depletion and drought conditions, whereas positive anomalies reflect aquifer replenishment and recharge recovery. The integration of groundwater storage anomaly analysis with recharge estimation provides a comprehensive understanding of aquifer dynamics and groundwater sustainability.</w:t>
      </w:r>
    </w:p>
    <w:p w14:paraId="0081025B" w14:textId="77777777" w:rsidR="0068186D" w:rsidRPr="0068186D" w:rsidRDefault="0068186D" w:rsidP="0068186D">
      <w:pPr>
        <w:spacing w:line="360" w:lineRule="auto"/>
        <w:ind w:firstLine="851"/>
        <w:jc w:val="both"/>
        <w:rPr>
          <w:rFonts w:ascii="Times New Roman" w:hAnsi="Times New Roman" w:cs="Times New Roman"/>
          <w:sz w:val="24"/>
          <w:szCs w:val="24"/>
        </w:rPr>
      </w:pPr>
      <w:r w:rsidRPr="0068186D">
        <w:rPr>
          <w:rFonts w:ascii="Times New Roman" w:hAnsi="Times New Roman" w:cs="Times New Roman"/>
          <w:sz w:val="24"/>
          <w:szCs w:val="24"/>
        </w:rPr>
        <w:t xml:space="preserve">Recent advancements in satellite hydrology, particularly the Gravity Recovery and Climate Experiment (GRACE), have improved the capability to monitor groundwater storage changes over large spatial scales (Rodell and Famiglietti, 2002). However, regional-scale groundwater assessments based on field observations remain highly important because they provide better spatial resolution and direct representation of aquifer conditions. Bhanja </w:t>
      </w:r>
      <w:r w:rsidR="00A1135E" w:rsidRPr="00A1135E">
        <w:rPr>
          <w:rFonts w:ascii="Times New Roman" w:hAnsi="Times New Roman" w:cs="Times New Roman"/>
          <w:i/>
          <w:sz w:val="24"/>
          <w:szCs w:val="24"/>
        </w:rPr>
        <w:t>et al</w:t>
      </w:r>
      <w:r w:rsidRPr="0068186D">
        <w:rPr>
          <w:rFonts w:ascii="Times New Roman" w:hAnsi="Times New Roman" w:cs="Times New Roman"/>
          <w:sz w:val="24"/>
          <w:szCs w:val="24"/>
        </w:rPr>
        <w:t>. (2017) successfully validated groundwater storage anomalies derived from in-situ groundwater level observations across India and demonstrated the effectiveness of groundwater fluctuation methods combined with aquifer-specific yield values for groundwater storage estimation.</w:t>
      </w:r>
      <w:r>
        <w:rPr>
          <w:rFonts w:ascii="Times New Roman" w:hAnsi="Times New Roman" w:cs="Times New Roman"/>
          <w:sz w:val="24"/>
          <w:szCs w:val="24"/>
        </w:rPr>
        <w:t xml:space="preserve"> </w:t>
      </w:r>
      <w:r w:rsidRPr="0068186D">
        <w:rPr>
          <w:rFonts w:ascii="Times New Roman" w:hAnsi="Times New Roman" w:cs="Times New Roman"/>
          <w:sz w:val="24"/>
          <w:szCs w:val="24"/>
        </w:rPr>
        <w:t>Apart from temporal groundwater variations, spatial variability of groundwater storage is another critical aspect influencing groundwater management. Spatial variability refers to the uneven distribution of groundwater storage and recharge across different hydrogeological and geological settings. Geological formations strongly control aquifer properties such as porosity, permeability, transmissivity, storage coefficient, and recharge potential (Fetter, 2001). Therefore, different geological units exhibit contrasting groundwater behaviour and recharge characteristics. Understanding spatial variability is essential for identifying groundwater-stressed regions, prioritizing artificial recharge sites, and implementing effective groundwater conservation measures.</w:t>
      </w:r>
    </w:p>
    <w:p w14:paraId="704415DA" w14:textId="77777777" w:rsidR="0068186D" w:rsidRDefault="0068186D" w:rsidP="0068186D">
      <w:pPr>
        <w:spacing w:line="360" w:lineRule="auto"/>
        <w:ind w:firstLine="851"/>
        <w:jc w:val="both"/>
        <w:rPr>
          <w:rFonts w:ascii="Times New Roman" w:hAnsi="Times New Roman" w:cs="Times New Roman"/>
          <w:sz w:val="24"/>
          <w:szCs w:val="24"/>
        </w:rPr>
      </w:pPr>
      <w:r w:rsidRPr="0068186D">
        <w:rPr>
          <w:rFonts w:ascii="Times New Roman" w:hAnsi="Times New Roman" w:cs="Times New Roman"/>
          <w:sz w:val="24"/>
          <w:szCs w:val="24"/>
        </w:rPr>
        <w:t xml:space="preserve">The Wainganga River basin, located in central India, represents an important hydrological region characterized by diverse geological formations including Deccan Trap, Betul Gneiss, Lower Gondwana, Sausar Group, </w:t>
      </w:r>
      <w:proofErr w:type="spellStart"/>
      <w:r w:rsidRPr="0068186D">
        <w:rPr>
          <w:rFonts w:ascii="Times New Roman" w:hAnsi="Times New Roman" w:cs="Times New Roman"/>
          <w:sz w:val="24"/>
          <w:szCs w:val="24"/>
        </w:rPr>
        <w:t>Khairagarh</w:t>
      </w:r>
      <w:proofErr w:type="spellEnd"/>
      <w:r w:rsidRPr="0068186D">
        <w:rPr>
          <w:rFonts w:ascii="Times New Roman" w:hAnsi="Times New Roman" w:cs="Times New Roman"/>
          <w:sz w:val="24"/>
          <w:szCs w:val="24"/>
        </w:rPr>
        <w:t xml:space="preserve"> Group, Acid Intrusive/Granite, and Laterite/Bauxite formations. The basin receives most of its annual rainfall during the southwest monsoon season, making groundwater recharge highly dependent on monsoonal precipitation. Agriculture is the dominant land use activity within the basin, resulting in substantial groundwater extraction for irrigation purposes. Increasing water demand and irregular rainfall patterns have raised serious concerns regarding groundwater depletion and aquifer </w:t>
      </w:r>
      <w:r w:rsidRPr="0068186D">
        <w:rPr>
          <w:rFonts w:ascii="Times New Roman" w:hAnsi="Times New Roman" w:cs="Times New Roman"/>
          <w:sz w:val="24"/>
          <w:szCs w:val="24"/>
        </w:rPr>
        <w:lastRenderedPageBreak/>
        <w:t>sustainability in the region.</w:t>
      </w:r>
      <w:r>
        <w:rPr>
          <w:rFonts w:ascii="Times New Roman" w:hAnsi="Times New Roman" w:cs="Times New Roman"/>
          <w:sz w:val="24"/>
          <w:szCs w:val="24"/>
        </w:rPr>
        <w:t xml:space="preserve"> In </w:t>
      </w:r>
      <w:r w:rsidRPr="0068186D">
        <w:rPr>
          <w:rFonts w:ascii="Times New Roman" w:hAnsi="Times New Roman" w:cs="Times New Roman"/>
          <w:sz w:val="24"/>
          <w:szCs w:val="24"/>
        </w:rPr>
        <w:t xml:space="preserve">central India mainly focused on groundwater potential zonation, hydrogeological mapping, and remote sensing-based groundwater assessment (Magesh </w:t>
      </w:r>
      <w:r w:rsidR="00A1135E" w:rsidRPr="00A1135E">
        <w:rPr>
          <w:rFonts w:ascii="Times New Roman" w:hAnsi="Times New Roman" w:cs="Times New Roman"/>
          <w:i/>
          <w:sz w:val="24"/>
          <w:szCs w:val="24"/>
        </w:rPr>
        <w:t>et al</w:t>
      </w:r>
      <w:r w:rsidRPr="0068186D">
        <w:rPr>
          <w:rFonts w:ascii="Times New Roman" w:hAnsi="Times New Roman" w:cs="Times New Roman"/>
          <w:sz w:val="24"/>
          <w:szCs w:val="24"/>
        </w:rPr>
        <w:t>., 2012; Agarwal and Garg, 2016). Although these investigations provided valuable information regarding groundwater occurrence and groundwater potential zones, limited studies have comprehensively evaluated groundwater recharge, groundwater storage anomalies, and spatial variability across different geological formations within the Wainganga River basin. In particular, long-term assessments integrating groundwater recharge estimation with groundwater storage anomaly analysis remain scarce for this region.</w:t>
      </w:r>
      <w:r>
        <w:rPr>
          <w:rFonts w:ascii="Times New Roman" w:hAnsi="Times New Roman" w:cs="Times New Roman"/>
          <w:sz w:val="24"/>
          <w:szCs w:val="24"/>
        </w:rPr>
        <w:t xml:space="preserve"> </w:t>
      </w:r>
    </w:p>
    <w:p w14:paraId="7F074042" w14:textId="77777777" w:rsidR="00212913" w:rsidRDefault="0068186D" w:rsidP="0068186D">
      <w:pPr>
        <w:spacing w:line="360" w:lineRule="auto"/>
        <w:ind w:firstLine="851"/>
        <w:jc w:val="both"/>
        <w:rPr>
          <w:rFonts w:ascii="Times New Roman" w:hAnsi="Times New Roman" w:cs="Times New Roman"/>
          <w:sz w:val="24"/>
          <w:szCs w:val="24"/>
        </w:rPr>
      </w:pPr>
      <w:r w:rsidRPr="0068186D">
        <w:rPr>
          <w:rFonts w:ascii="Times New Roman" w:hAnsi="Times New Roman" w:cs="Times New Roman"/>
          <w:sz w:val="24"/>
          <w:szCs w:val="24"/>
        </w:rPr>
        <w:t xml:space="preserve">Therefore, the present study was undertaken to </w:t>
      </w:r>
      <w:r w:rsidR="004A6BFE" w:rsidRPr="0068186D">
        <w:rPr>
          <w:rFonts w:ascii="Times New Roman" w:hAnsi="Times New Roman" w:cs="Times New Roman"/>
          <w:sz w:val="24"/>
          <w:szCs w:val="24"/>
        </w:rPr>
        <w:t>analyse</w:t>
      </w:r>
      <w:r w:rsidRPr="0068186D">
        <w:rPr>
          <w:rFonts w:ascii="Times New Roman" w:hAnsi="Times New Roman" w:cs="Times New Roman"/>
          <w:sz w:val="24"/>
          <w:szCs w:val="24"/>
        </w:rPr>
        <w:t xml:space="preserve"> groundwater recharge dynamics and groundwater storage variability across the major geological formations of the Wainganga River basin using long-term groundwater level observations from 2000 to 2020. Groundwater recharge was estimated using groundwater level fluctuation methods combined with aquifer-specific yield values following standard hydrogeological procedures (Healy and Cook, 2002). Furthermore, groundwater storage anomalies were calculated by subtracting long-term mean groundwater storage from annual storage estimates following the methodology adopted</w:t>
      </w:r>
      <w:r w:rsidR="004A6BFE">
        <w:rPr>
          <w:rFonts w:ascii="Times New Roman" w:hAnsi="Times New Roman" w:cs="Times New Roman"/>
          <w:sz w:val="24"/>
          <w:szCs w:val="24"/>
        </w:rPr>
        <w:t xml:space="preserve"> (</w:t>
      </w:r>
      <w:r w:rsidRPr="0068186D">
        <w:rPr>
          <w:rFonts w:ascii="Times New Roman" w:hAnsi="Times New Roman" w:cs="Times New Roman"/>
          <w:sz w:val="24"/>
          <w:szCs w:val="24"/>
        </w:rPr>
        <w:t xml:space="preserve">Bhanja </w:t>
      </w:r>
      <w:r w:rsidR="00A1135E" w:rsidRPr="00A1135E">
        <w:rPr>
          <w:rFonts w:ascii="Times New Roman" w:hAnsi="Times New Roman" w:cs="Times New Roman"/>
          <w:i/>
          <w:sz w:val="24"/>
          <w:szCs w:val="24"/>
        </w:rPr>
        <w:t>et al</w:t>
      </w:r>
      <w:r w:rsidR="003E4C92">
        <w:rPr>
          <w:rFonts w:ascii="Times New Roman" w:hAnsi="Times New Roman" w:cs="Times New Roman"/>
          <w:sz w:val="24"/>
          <w:szCs w:val="24"/>
        </w:rPr>
        <w:t xml:space="preserve">. </w:t>
      </w:r>
      <w:r w:rsidRPr="0068186D">
        <w:rPr>
          <w:rFonts w:ascii="Times New Roman" w:hAnsi="Times New Roman" w:cs="Times New Roman"/>
          <w:sz w:val="24"/>
          <w:szCs w:val="24"/>
        </w:rPr>
        <w:t>2017). Spatial variability of groundwater storage anomalies was quantified using standard deviation analysis to assess the degree of heterogeneity within different geological formations. The study is expected to provide valuable insights into hydrogeological controls governing groundwater recharge and storage variability in hard-rock terrains of central India and to support sustainable groundwater management and artificial recharge planning within the Wainganga River basin.</w:t>
      </w:r>
    </w:p>
    <w:p w14:paraId="5439174A" w14:textId="77777777" w:rsidR="0068186D" w:rsidRDefault="0068186D" w:rsidP="0068186D">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MATERIAL AND METHODS</w:t>
      </w:r>
    </w:p>
    <w:p w14:paraId="2D3F60B4" w14:textId="77777777" w:rsidR="005C5E56" w:rsidRDefault="005C5E56" w:rsidP="005C5E56">
      <w:pPr>
        <w:spacing w:line="360" w:lineRule="auto"/>
        <w:ind w:firstLine="851"/>
        <w:jc w:val="both"/>
        <w:rPr>
          <w:rFonts w:ascii="Times New Roman" w:hAnsi="Times New Roman" w:cs="Times New Roman"/>
          <w:sz w:val="24"/>
          <w:szCs w:val="24"/>
        </w:rPr>
      </w:pPr>
      <w:r w:rsidRPr="005C5E56">
        <w:rPr>
          <w:rFonts w:ascii="Times New Roman" w:hAnsi="Times New Roman" w:cs="Times New Roman"/>
          <w:sz w:val="24"/>
          <w:szCs w:val="24"/>
        </w:rPr>
        <w:t xml:space="preserve">The present study was carried out in the Wainganga River basin located in central India, which is characterized by diverse geological formations and strong dependence on monsoonal rainfall for groundwater recharge. The basin comprises major geological units including Deccan Trap, Betul Gneiss, Lower Gondwana, Sausar Group, </w:t>
      </w:r>
      <w:proofErr w:type="spellStart"/>
      <w:r w:rsidRPr="005C5E56">
        <w:rPr>
          <w:rFonts w:ascii="Times New Roman" w:hAnsi="Times New Roman" w:cs="Times New Roman"/>
          <w:sz w:val="24"/>
          <w:szCs w:val="24"/>
        </w:rPr>
        <w:t>Khairagarh</w:t>
      </w:r>
      <w:proofErr w:type="spellEnd"/>
      <w:r w:rsidRPr="005C5E56">
        <w:rPr>
          <w:rFonts w:ascii="Times New Roman" w:hAnsi="Times New Roman" w:cs="Times New Roman"/>
          <w:sz w:val="24"/>
          <w:szCs w:val="24"/>
        </w:rPr>
        <w:t xml:space="preserve"> Group, Acid Intrusive/Granite, and Laterite/Bauxite formations. These formations exhibit considerable variation in lithology, permeability, weathering characteristics, fracture density, and groundwater storage behaviour. The climate of the basin is tropical monsoonal, where the majority of annual rainfall is received during the southwest monsoon season. Agriculture is the dominant land-use activity within the basin, resulting in substantial dependence on groundwater resources for irrigation and domestic purposes. Due to increasing groundwater extraction and climatic variability, the basin has become highly vulnerable to groundwater </w:t>
      </w:r>
      <w:r w:rsidRPr="005C5E56">
        <w:rPr>
          <w:rFonts w:ascii="Times New Roman" w:hAnsi="Times New Roman" w:cs="Times New Roman"/>
          <w:sz w:val="24"/>
          <w:szCs w:val="24"/>
        </w:rPr>
        <w:lastRenderedPageBreak/>
        <w:t>stress and declining aquifer conditions.</w:t>
      </w:r>
      <w:r>
        <w:rPr>
          <w:rFonts w:ascii="Times New Roman" w:hAnsi="Times New Roman" w:cs="Times New Roman"/>
          <w:sz w:val="24"/>
          <w:szCs w:val="24"/>
        </w:rPr>
        <w:t xml:space="preserve"> </w:t>
      </w:r>
      <w:r w:rsidRPr="005C5E56">
        <w:rPr>
          <w:rFonts w:ascii="Times New Roman" w:hAnsi="Times New Roman" w:cs="Times New Roman"/>
          <w:sz w:val="24"/>
          <w:szCs w:val="24"/>
        </w:rPr>
        <w:t>To evaluate groundwater recharge dynamics, groundwater storage anomalies, and spatial variability, long-term groundwater level data from 249 observation wells distributed across the Wainganga River basin were collected for the period 2000–2020. The groundwater level data were obtained from the Central Ground Water Board (CGWB) and related state groundwater agencies. Both pre-monsoon and post-monsoon groundwater levels were utilized in the present investigation. Pre-monsoon groundwater levels represent the depleted groundwater condition before the onset of monsoon recharge, whereas post-monsoon groundwater levels indicate groundwater replenishment after monsoon rainfall. The observation wells were selected to ensure adequate spatial representation of all major geological formations within the basin.</w:t>
      </w:r>
    </w:p>
    <w:p w14:paraId="736DA5AA" w14:textId="77777777" w:rsidR="005C5E56" w:rsidRPr="005C5E56" w:rsidRDefault="005C5E56" w:rsidP="005C5E56">
      <w:pPr>
        <w:spacing w:line="360" w:lineRule="auto"/>
        <w:ind w:firstLine="851"/>
        <w:jc w:val="both"/>
        <w:rPr>
          <w:rFonts w:ascii="Times New Roman" w:hAnsi="Times New Roman" w:cs="Times New Roman"/>
          <w:sz w:val="24"/>
          <w:szCs w:val="24"/>
        </w:rPr>
      </w:pPr>
      <w:r w:rsidRPr="005C5E56">
        <w:rPr>
          <w:rFonts w:ascii="Times New Roman" w:hAnsi="Times New Roman" w:cs="Times New Roman"/>
          <w:sz w:val="24"/>
          <w:szCs w:val="24"/>
        </w:rPr>
        <w:t xml:space="preserve">Geological and hydrogeological data including lithological maps, geological boundaries, and aquifer characteristics were collected from published geological reports, hydrogeological atlases, and CGWB records. Specific yield values for different geological formations were adopted based on standard hydrogeological classifications and previous groundwater studies conducted in hard-rock terrains (Todd and Mays, 2005; CGWB, 2020). Rainfall and climatic data for the study period were also </w:t>
      </w:r>
      <w:proofErr w:type="spellStart"/>
      <w:r w:rsidRPr="005C5E56">
        <w:rPr>
          <w:rFonts w:ascii="Times New Roman" w:hAnsi="Times New Roman" w:cs="Times New Roman"/>
          <w:sz w:val="24"/>
          <w:szCs w:val="24"/>
        </w:rPr>
        <w:t>analyzed</w:t>
      </w:r>
      <w:proofErr w:type="spellEnd"/>
      <w:r w:rsidRPr="005C5E56">
        <w:rPr>
          <w:rFonts w:ascii="Times New Roman" w:hAnsi="Times New Roman" w:cs="Times New Roman"/>
          <w:sz w:val="24"/>
          <w:szCs w:val="24"/>
        </w:rPr>
        <w:t xml:space="preserve"> to understand the influence of monsoonal variability on groundwater recharge and storage fluctuations.</w:t>
      </w:r>
      <w:r>
        <w:rPr>
          <w:rFonts w:ascii="Times New Roman" w:hAnsi="Times New Roman" w:cs="Times New Roman"/>
          <w:sz w:val="24"/>
          <w:szCs w:val="24"/>
        </w:rPr>
        <w:t xml:space="preserve"> </w:t>
      </w:r>
      <w:r w:rsidRPr="005C5E56">
        <w:rPr>
          <w:rFonts w:ascii="Times New Roman" w:hAnsi="Times New Roman" w:cs="Times New Roman"/>
          <w:sz w:val="24"/>
          <w:szCs w:val="24"/>
        </w:rPr>
        <w:t xml:space="preserve">The groundwater level analysis was carried out separately for pre-monsoon and post-monsoon seasons to examine temporal groundwater behaviour across different geological formations. The maximum and minimum groundwater depths for individual wells were identified to evaluate groundwater depletion and recovery conditions over the 20-year period. Long-term groundwater trends were also </w:t>
      </w:r>
      <w:proofErr w:type="spellStart"/>
      <w:r w:rsidRPr="005C5E56">
        <w:rPr>
          <w:rFonts w:ascii="Times New Roman" w:hAnsi="Times New Roman" w:cs="Times New Roman"/>
          <w:sz w:val="24"/>
          <w:szCs w:val="24"/>
        </w:rPr>
        <w:t>analyzed</w:t>
      </w:r>
      <w:proofErr w:type="spellEnd"/>
      <w:r w:rsidRPr="005C5E56">
        <w:rPr>
          <w:rFonts w:ascii="Times New Roman" w:hAnsi="Times New Roman" w:cs="Times New Roman"/>
          <w:sz w:val="24"/>
          <w:szCs w:val="24"/>
        </w:rPr>
        <w:t xml:space="preserve"> to assess aquifer response under varying climatic and hydrological conditions.</w:t>
      </w:r>
      <w:r>
        <w:rPr>
          <w:rFonts w:ascii="Times New Roman" w:hAnsi="Times New Roman" w:cs="Times New Roman"/>
          <w:sz w:val="24"/>
          <w:szCs w:val="24"/>
        </w:rPr>
        <w:t xml:space="preserve"> </w:t>
      </w:r>
      <w:r w:rsidRPr="005C5E56">
        <w:rPr>
          <w:rFonts w:ascii="Times New Roman" w:hAnsi="Times New Roman" w:cs="Times New Roman"/>
          <w:sz w:val="24"/>
          <w:szCs w:val="24"/>
        </w:rPr>
        <w:t>Groundwater level fluctuation was estimated by calculating the difference between pre-monsoon and post-monsoon groundwater levels for each observation well following the Water Table Fluctuation (WTF) approach (Healy and Cook, 2002). Groundwater fluctuation serves as an important indicator of seasonal recharge and aquifer response to monsoon rainfall. The temporal variability of groundwater fluctuations was analysed for different geological formations to identify recharge-sensitive and recharge-deficient zones within the basin.</w:t>
      </w:r>
      <w:r>
        <w:rPr>
          <w:rFonts w:ascii="Times New Roman" w:hAnsi="Times New Roman" w:cs="Times New Roman"/>
          <w:sz w:val="24"/>
          <w:szCs w:val="24"/>
        </w:rPr>
        <w:t xml:space="preserve"> </w:t>
      </w:r>
      <w:r w:rsidRPr="005C5E56">
        <w:rPr>
          <w:rFonts w:ascii="Times New Roman" w:hAnsi="Times New Roman" w:cs="Times New Roman"/>
          <w:sz w:val="24"/>
          <w:szCs w:val="24"/>
        </w:rPr>
        <w:t>Groundwater recharge was estimated using the Water Table Fluctuation (WTF) method, which is one of the most widely accepted approaches for recharge estimation in hard-rock aquifers (Healy and Cook, 2002). The method assumes that rises in groundwater levels during the monsoon period primarily represent recharge to the aquifer system. Groundwater recharge was estimated using the following equation:</w:t>
      </w:r>
    </w:p>
    <w:p w14:paraId="50796783" w14:textId="77777777" w:rsidR="005C5E56" w:rsidRPr="005C5E56" w:rsidRDefault="00484458" w:rsidP="005C5E56">
      <w:pPr>
        <w:spacing w:line="360" w:lineRule="auto"/>
        <w:jc w:val="both"/>
        <w:rPr>
          <w:rFonts w:ascii="Times New Roman" w:hAnsi="Times New Roman" w:cs="Times New Roman"/>
          <w:color w:val="000000" w:themeColor="text1"/>
          <w:sz w:val="24"/>
          <w:szCs w:val="24"/>
        </w:rPr>
      </w:pPr>
      <m:oMathPara>
        <m:oMathParaPr>
          <m:jc m:val="center"/>
        </m:oMathParaPr>
        <m:oMath>
          <m:r>
            <w:rPr>
              <w:rFonts w:ascii="Cambria Math" w:hAnsi="Cambria Math" w:cs="Times New Roman"/>
              <w:color w:val="000000" w:themeColor="text1"/>
              <w:sz w:val="24"/>
              <w:szCs w:val="24"/>
            </w:rPr>
            <m:t>R</m:t>
          </m:r>
          <m:r>
            <m:rPr>
              <m:sty m:val="p"/>
            </m:rPr>
            <w:rPr>
              <w:rFonts w:ascii="Cambria Math" w:hAnsi="Cambria Math" w:cs="Times New Roman"/>
              <w:color w:val="000000" w:themeColor="text1"/>
              <w:sz w:val="24"/>
              <w:szCs w:val="24"/>
            </w:rPr>
            <m:t>=</m:t>
          </m:r>
          <m:r>
            <w:rPr>
              <w:rFonts w:ascii="Cambria Math" w:hAnsi="Cambria Math" w:cs="Times New Roman"/>
              <w:color w:val="000000" w:themeColor="text1"/>
              <w:sz w:val="24"/>
              <w:szCs w:val="24"/>
            </w:rPr>
            <m:t>S</m:t>
          </m:r>
          <m:r>
            <m:rPr>
              <m:sty m:val="p"/>
            </m:rPr>
            <w:rPr>
              <w:rFonts w:ascii="Cambria Math" w:hAnsi="Cambria Math" w:cs="Times New Roman"/>
              <w:color w:val="000000" w:themeColor="text1"/>
              <w:sz w:val="24"/>
              <w:szCs w:val="24"/>
            </w:rPr>
            <m:t>y​×Δ</m:t>
          </m:r>
          <m:r>
            <w:rPr>
              <w:rFonts w:ascii="Cambria Math" w:hAnsi="Cambria Math" w:cs="Times New Roman"/>
              <w:color w:val="000000" w:themeColor="text1"/>
              <w:sz w:val="24"/>
              <w:szCs w:val="24"/>
            </w:rPr>
            <m:t>h</m:t>
          </m:r>
          <m:r>
            <m:rPr>
              <m:sty m:val="p"/>
            </m:rPr>
            <w:rPr>
              <w:rFonts w:ascii="Cambria Math" w:hAnsi="Cambria Math" w:cs="Times New Roman"/>
              <w:color w:val="000000" w:themeColor="text1"/>
              <w:sz w:val="24"/>
              <w:szCs w:val="24"/>
            </w:rPr>
            <m:t>×</m:t>
          </m:r>
          <m:r>
            <w:rPr>
              <w:rFonts w:ascii="Cambria Math" w:hAnsi="Cambria Math" w:cs="Times New Roman"/>
              <w:color w:val="000000" w:themeColor="text1"/>
              <w:sz w:val="24"/>
              <w:szCs w:val="24"/>
            </w:rPr>
            <m:t>A</m:t>
          </m:r>
        </m:oMath>
      </m:oMathPara>
    </w:p>
    <w:p w14:paraId="5C84F710" w14:textId="77777777" w:rsidR="008B7293" w:rsidRDefault="008B7293" w:rsidP="005C5E56">
      <w:pPr>
        <w:spacing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lastRenderedPageBreak/>
        <w:t>Where</w:t>
      </w:r>
      <w:proofErr w:type="gramEnd"/>
      <w:r>
        <w:rPr>
          <w:rFonts w:ascii="Times New Roman" w:hAnsi="Times New Roman" w:cs="Times New Roman"/>
          <w:sz w:val="24"/>
          <w:szCs w:val="24"/>
        </w:rPr>
        <w:t>,</w:t>
      </w:r>
    </w:p>
    <w:p w14:paraId="7406FEEB" w14:textId="77777777" w:rsidR="008B7293" w:rsidRDefault="005C5E56" w:rsidP="008B7293">
      <w:pPr>
        <w:spacing w:line="360" w:lineRule="auto"/>
        <w:ind w:firstLine="851"/>
        <w:jc w:val="both"/>
        <w:rPr>
          <w:rFonts w:ascii="Times New Roman" w:hAnsi="Times New Roman" w:cs="Times New Roman"/>
          <w:sz w:val="24"/>
          <w:szCs w:val="24"/>
        </w:rPr>
      </w:pPr>
      <w:r w:rsidRPr="00484458">
        <w:rPr>
          <w:rFonts w:ascii="Times New Roman" w:hAnsi="Times New Roman" w:cs="Times New Roman"/>
          <w:i/>
          <w:iCs/>
          <w:sz w:val="24"/>
          <w:szCs w:val="24"/>
        </w:rPr>
        <w:t>R</w:t>
      </w:r>
      <w:r w:rsidRPr="005C5E56">
        <w:rPr>
          <w:rFonts w:ascii="Times New Roman" w:hAnsi="Times New Roman" w:cs="Times New Roman"/>
          <w:sz w:val="24"/>
          <w:szCs w:val="24"/>
        </w:rPr>
        <w:t xml:space="preserve"> represents groundwater recharge, </w:t>
      </w:r>
      <w:r w:rsidRPr="00484458">
        <w:rPr>
          <w:rFonts w:ascii="Times New Roman" w:hAnsi="Times New Roman" w:cs="Times New Roman"/>
          <w:i/>
          <w:iCs/>
          <w:sz w:val="24"/>
          <w:szCs w:val="24"/>
        </w:rPr>
        <w:t>S</w:t>
      </w:r>
      <w:r w:rsidRPr="005C5E56">
        <w:rPr>
          <w:rFonts w:ascii="Times New Roman" w:hAnsi="Times New Roman" w:cs="Times New Roman"/>
          <w:sz w:val="24"/>
          <w:szCs w:val="24"/>
        </w:rPr>
        <w:t>y</w:t>
      </w:r>
      <w:r>
        <w:rPr>
          <w:rFonts w:ascii="Times New Roman" w:hAnsi="Times New Roman" w:cs="Times New Roman"/>
          <w:sz w:val="24"/>
          <w:szCs w:val="24"/>
        </w:rPr>
        <w:t xml:space="preserve"> </w:t>
      </w:r>
      <w:r w:rsidRPr="005C5E56">
        <w:rPr>
          <w:rFonts w:ascii="Times New Roman" w:hAnsi="Times New Roman" w:cs="Times New Roman"/>
          <w:sz w:val="24"/>
          <w:szCs w:val="24"/>
        </w:rPr>
        <w:t xml:space="preserve">is the specific yield of the aquifer, </w:t>
      </w:r>
      <w:proofErr w:type="spellStart"/>
      <w:r w:rsidRPr="005C5E56">
        <w:rPr>
          <w:rFonts w:ascii="Times New Roman" w:hAnsi="Times New Roman" w:cs="Times New Roman"/>
          <w:sz w:val="24"/>
          <w:szCs w:val="24"/>
        </w:rPr>
        <w:t>Δ</w:t>
      </w:r>
      <w:r w:rsidRPr="00484458">
        <w:rPr>
          <w:rFonts w:ascii="Times New Roman" w:hAnsi="Times New Roman" w:cs="Times New Roman"/>
          <w:i/>
          <w:iCs/>
          <w:sz w:val="24"/>
          <w:szCs w:val="24"/>
        </w:rPr>
        <w:t>h</w:t>
      </w:r>
      <w:proofErr w:type="spellEnd"/>
      <w:r w:rsidRPr="005C5E56">
        <w:rPr>
          <w:rFonts w:ascii="Times New Roman" w:hAnsi="Times New Roman" w:cs="Times New Roman"/>
          <w:sz w:val="24"/>
          <w:szCs w:val="24"/>
        </w:rPr>
        <w:t xml:space="preserve"> denotes groundwater level fluctuation, and </w:t>
      </w:r>
      <w:r w:rsidRPr="00484458">
        <w:rPr>
          <w:rFonts w:ascii="Times New Roman" w:hAnsi="Times New Roman" w:cs="Times New Roman"/>
          <w:i/>
          <w:iCs/>
          <w:sz w:val="24"/>
          <w:szCs w:val="24"/>
        </w:rPr>
        <w:t>A</w:t>
      </w:r>
      <w:r w:rsidRPr="005C5E56">
        <w:rPr>
          <w:rFonts w:ascii="Times New Roman" w:hAnsi="Times New Roman" w:cs="Times New Roman"/>
          <w:sz w:val="24"/>
          <w:szCs w:val="24"/>
        </w:rPr>
        <w:t xml:space="preserve"> represents the areal extent of the geological formation. Formation-wise groundwater recharge was estimated annually for the period 2000–2020 to assess temporal and spatial recharge variability across different geological units.</w:t>
      </w:r>
    </w:p>
    <w:p w14:paraId="4B6E82F8" w14:textId="77777777" w:rsidR="005C5E56" w:rsidRDefault="005C5E56" w:rsidP="008B7293">
      <w:pPr>
        <w:spacing w:line="360" w:lineRule="auto"/>
        <w:ind w:firstLine="851"/>
        <w:jc w:val="both"/>
        <w:rPr>
          <w:rFonts w:ascii="Times New Roman" w:hAnsi="Times New Roman" w:cs="Times New Roman"/>
          <w:sz w:val="24"/>
          <w:szCs w:val="24"/>
        </w:rPr>
      </w:pPr>
      <w:r w:rsidRPr="005C5E56">
        <w:rPr>
          <w:rFonts w:ascii="Times New Roman" w:hAnsi="Times New Roman" w:cs="Times New Roman"/>
          <w:sz w:val="24"/>
          <w:szCs w:val="24"/>
        </w:rPr>
        <w:t xml:space="preserve">Groundwater storage anomalies (GWSA) were computed to evaluate temporal groundwater stress and aquifer recovery conditions. Prior to anomaly estimation, the sign of groundwater depth values was reversed to represent groundwater storage conditions. Groundwater storage anomalies were calculated by subtracting the long-term mean groundwater storage from annual groundwater storage values following the methodology adopted by Bhanja </w:t>
      </w:r>
      <w:r w:rsidR="00A1135E" w:rsidRPr="00A1135E">
        <w:rPr>
          <w:rFonts w:ascii="Times New Roman" w:hAnsi="Times New Roman" w:cs="Times New Roman"/>
          <w:i/>
          <w:sz w:val="24"/>
          <w:szCs w:val="24"/>
        </w:rPr>
        <w:t>et al</w:t>
      </w:r>
      <w:r w:rsidRPr="005C5E56">
        <w:rPr>
          <w:rFonts w:ascii="Times New Roman" w:hAnsi="Times New Roman" w:cs="Times New Roman"/>
          <w:sz w:val="24"/>
          <w:szCs w:val="24"/>
        </w:rPr>
        <w:t>. (2017). The groundwater storage anomaly was estimated using the following equation:</w:t>
      </w:r>
    </w:p>
    <w:p w14:paraId="69A338D6" w14:textId="77777777" w:rsidR="004352A6" w:rsidRPr="004352A6" w:rsidRDefault="004352A6" w:rsidP="008B7293">
      <w:pPr>
        <w:spacing w:line="360" w:lineRule="auto"/>
        <w:ind w:firstLine="851"/>
        <w:jc w:val="both"/>
        <w:rPr>
          <w:rStyle w:val="mord"/>
          <w:i/>
          <w:iCs/>
        </w:rPr>
      </w:pPr>
      <m:oMathPara>
        <m:oMath>
          <m:r>
            <w:rPr>
              <w:rStyle w:val="mord"/>
              <w:rFonts w:ascii="Cambria Math" w:hAnsi="Cambria Math"/>
            </w:rPr>
            <m:t>GWSAi</m:t>
          </m:r>
          <m:r>
            <w:rPr>
              <w:rStyle w:val="vlist-s"/>
              <w:rFonts w:ascii="Cambria Math" w:hAnsi="Cambria Math"/>
            </w:rPr>
            <m:t>​</m:t>
          </m:r>
          <m:r>
            <w:rPr>
              <w:rStyle w:val="mrel"/>
              <w:rFonts w:ascii="Cambria Math" w:hAnsi="Cambria Math"/>
            </w:rPr>
            <m:t>=</m:t>
          </m:r>
          <m:r>
            <w:rPr>
              <w:rStyle w:val="mord"/>
              <w:rFonts w:ascii="Cambria Math" w:hAnsi="Cambria Math"/>
            </w:rPr>
            <m:t>GWSi</m:t>
          </m:r>
          <m:r>
            <w:rPr>
              <w:rStyle w:val="vlist-s"/>
              <w:rFonts w:ascii="Cambria Math" w:hAnsi="Cambria Math"/>
            </w:rPr>
            <m:t>​</m:t>
          </m:r>
          <m:r>
            <w:rPr>
              <w:rStyle w:val="mbin"/>
              <w:rFonts w:ascii="Cambria Math" w:hAnsi="Cambria Math"/>
            </w:rPr>
            <m:t>-</m:t>
          </m:r>
          <m:acc>
            <m:accPr>
              <m:chr m:val="̅"/>
              <m:ctrlPr>
                <w:rPr>
                  <w:rStyle w:val="mord"/>
                  <w:rFonts w:ascii="Cambria Math" w:hAnsi="Cambria Math"/>
                  <w:i/>
                  <w:iCs/>
                </w:rPr>
              </m:ctrlPr>
            </m:accPr>
            <m:e>
              <m:r>
                <w:rPr>
                  <w:rStyle w:val="mord"/>
                  <w:rFonts w:ascii="Cambria Math" w:hAnsi="Cambria Math"/>
                </w:rPr>
                <m:t>GWS</m:t>
              </m:r>
            </m:e>
          </m:acc>
        </m:oMath>
      </m:oMathPara>
    </w:p>
    <w:p w14:paraId="35C8544B" w14:textId="77777777" w:rsidR="005C5E56" w:rsidRPr="005C5E56" w:rsidRDefault="005C5E56" w:rsidP="005C5E56">
      <w:pPr>
        <w:spacing w:line="360" w:lineRule="auto"/>
        <w:jc w:val="both"/>
        <w:rPr>
          <w:rFonts w:ascii="Times New Roman" w:hAnsi="Times New Roman" w:cs="Times New Roman"/>
          <w:sz w:val="24"/>
          <w:szCs w:val="24"/>
        </w:rPr>
      </w:pPr>
      <w:r w:rsidRPr="005C5E56">
        <w:rPr>
          <w:rFonts w:ascii="Times New Roman" w:hAnsi="Times New Roman" w:cs="Times New Roman"/>
          <w:sz w:val="24"/>
          <w:szCs w:val="24"/>
        </w:rPr>
        <w:t xml:space="preserve">Where, </w:t>
      </w:r>
      <w:proofErr w:type="spellStart"/>
      <w:r w:rsidRPr="007A7534">
        <w:rPr>
          <w:rFonts w:ascii="Times New Roman" w:hAnsi="Times New Roman" w:cs="Times New Roman"/>
          <w:i/>
          <w:iCs/>
          <w:sz w:val="24"/>
          <w:szCs w:val="24"/>
        </w:rPr>
        <w:t>GWSAi</w:t>
      </w:r>
      <w:proofErr w:type="spellEnd"/>
      <w:r w:rsidR="007A7534">
        <w:rPr>
          <w:rFonts w:ascii="Times New Roman" w:hAnsi="Times New Roman" w:cs="Times New Roman"/>
          <w:sz w:val="24"/>
          <w:szCs w:val="24"/>
        </w:rPr>
        <w:t xml:space="preserve"> </w:t>
      </w:r>
      <w:r w:rsidRPr="005C5E56">
        <w:rPr>
          <w:rFonts w:ascii="Times New Roman" w:hAnsi="Times New Roman" w:cs="Times New Roman"/>
          <w:sz w:val="24"/>
          <w:szCs w:val="24"/>
        </w:rPr>
        <w:t xml:space="preserve">is the groundwater storage anomaly for year </w:t>
      </w:r>
      <w:proofErr w:type="spellStart"/>
      <w:r w:rsidRPr="007A7534">
        <w:rPr>
          <w:rFonts w:ascii="Times New Roman" w:hAnsi="Times New Roman" w:cs="Times New Roman"/>
          <w:i/>
          <w:iCs/>
          <w:sz w:val="24"/>
          <w:szCs w:val="24"/>
        </w:rPr>
        <w:t>i</w:t>
      </w:r>
      <w:proofErr w:type="spellEnd"/>
      <w:r w:rsidRPr="005C5E56">
        <w:rPr>
          <w:rFonts w:ascii="Times New Roman" w:hAnsi="Times New Roman" w:cs="Times New Roman"/>
          <w:sz w:val="24"/>
          <w:szCs w:val="24"/>
        </w:rPr>
        <w:t xml:space="preserve">, </w:t>
      </w:r>
      <w:proofErr w:type="spellStart"/>
      <w:r w:rsidRPr="007A7534">
        <w:rPr>
          <w:rFonts w:ascii="Times New Roman" w:hAnsi="Times New Roman" w:cs="Times New Roman"/>
          <w:i/>
          <w:iCs/>
          <w:sz w:val="24"/>
          <w:szCs w:val="24"/>
        </w:rPr>
        <w:t>GWSi</w:t>
      </w:r>
      <w:proofErr w:type="spellEnd"/>
      <w:r w:rsidR="007A7534">
        <w:rPr>
          <w:rFonts w:ascii="Times New Roman" w:hAnsi="Times New Roman" w:cs="Times New Roman"/>
          <w:sz w:val="24"/>
          <w:szCs w:val="24"/>
        </w:rPr>
        <w:t xml:space="preserve"> </w:t>
      </w:r>
      <w:r w:rsidRPr="005C5E56">
        <w:rPr>
          <w:rFonts w:ascii="Times New Roman" w:hAnsi="Times New Roman" w:cs="Times New Roman"/>
          <w:sz w:val="24"/>
          <w:szCs w:val="24"/>
        </w:rPr>
        <w:t xml:space="preserve">is groundwater storage during year </w:t>
      </w:r>
      <w:proofErr w:type="spellStart"/>
      <w:r w:rsidRPr="007A7534">
        <w:rPr>
          <w:rFonts w:ascii="Times New Roman" w:hAnsi="Times New Roman" w:cs="Times New Roman"/>
          <w:i/>
          <w:iCs/>
          <w:sz w:val="24"/>
          <w:szCs w:val="24"/>
        </w:rPr>
        <w:t>i</w:t>
      </w:r>
      <w:proofErr w:type="spellEnd"/>
      <w:r w:rsidR="007A7534">
        <w:rPr>
          <w:rFonts w:ascii="Times New Roman" w:hAnsi="Times New Roman" w:cs="Times New Roman"/>
          <w:sz w:val="24"/>
          <w:szCs w:val="24"/>
        </w:rPr>
        <w:t xml:space="preserve">, and </w:t>
      </w:r>
      <w:r w:rsidRPr="005C5E56">
        <w:rPr>
          <w:rFonts w:ascii="Times New Roman" w:hAnsi="Times New Roman" w:cs="Times New Roman"/>
          <w:sz w:val="24"/>
          <w:szCs w:val="24"/>
        </w:rPr>
        <w:t>GWS</w:t>
      </w:r>
      <w:r w:rsidR="007A7534">
        <w:rPr>
          <w:rFonts w:ascii="Times New Roman" w:hAnsi="Times New Roman" w:cs="Times New Roman"/>
          <w:sz w:val="24"/>
          <w:szCs w:val="24"/>
        </w:rPr>
        <w:t xml:space="preserve"> </w:t>
      </w:r>
      <w:r w:rsidRPr="005C5E56">
        <w:rPr>
          <w:rFonts w:ascii="Times New Roman" w:hAnsi="Times New Roman" w:cs="Times New Roman"/>
          <w:sz w:val="24"/>
          <w:szCs w:val="24"/>
        </w:rPr>
        <w:t>represents long-term mean groundwater storage. Negative groundwater storage anomalies indicate groundwater depletion and hydrological stress, whereas positive anomalies represent groundwater replenishment and aquifer recovery.</w:t>
      </w:r>
      <w:r w:rsidR="007A7534">
        <w:rPr>
          <w:rFonts w:ascii="Times New Roman" w:hAnsi="Times New Roman" w:cs="Times New Roman"/>
          <w:sz w:val="24"/>
          <w:szCs w:val="24"/>
        </w:rPr>
        <w:t xml:space="preserve"> </w:t>
      </w:r>
      <w:r w:rsidRPr="005C5E56">
        <w:rPr>
          <w:rFonts w:ascii="Times New Roman" w:hAnsi="Times New Roman" w:cs="Times New Roman"/>
          <w:sz w:val="24"/>
          <w:szCs w:val="24"/>
        </w:rPr>
        <w:t>Spatial variability of groundwater storage anomalies was assessed using spatial standard deviation analysis. Standard deviation was calculated to quantify the dispersion of groundwater storage anomalies from their spatial mean within each geological formation. High standard deviation values indicate strong spatial heterogeneity and uneven groundwater distribution, whereas low values indicate relatively uniform groundwater conditions. Spatial variability was estimated using the following standard deviation equation:</w:t>
      </w:r>
    </w:p>
    <w:p w14:paraId="61567FF6" w14:textId="77777777" w:rsidR="00113357" w:rsidRDefault="00113357" w:rsidP="005C5E56">
      <w:pPr>
        <w:spacing w:line="360" w:lineRule="auto"/>
        <w:jc w:val="both"/>
        <w:rPr>
          <w:rFonts w:ascii="Times New Roman" w:hAnsi="Times New Roman" w:cs="Times New Roman"/>
          <w:sz w:val="24"/>
          <w:szCs w:val="24"/>
        </w:rPr>
      </w:pPr>
      <m:oMathPara>
        <m:oMath>
          <m:r>
            <w:rPr>
              <w:rFonts w:ascii="Cambria Math" w:hAnsi="Cambria Math" w:cs="Cambria Math"/>
              <w:sz w:val="24"/>
              <w:szCs w:val="24"/>
            </w:rPr>
            <m:t>x</m:t>
          </m:r>
          <m:r>
            <m:rPr>
              <m:sty m:val="p"/>
            </m:rPr>
            <w:rPr>
              <w:rFonts w:ascii="Cambria Math" w:hAnsi="Cambria Math" w:cs="Cambria Math"/>
              <w:sz w:val="24"/>
              <w:szCs w:val="24"/>
            </w:rPr>
            <m:t>=</m:t>
          </m:r>
          <m:rad>
            <m:radPr>
              <m:degHide m:val="1"/>
              <m:ctrlPr>
                <w:rPr>
                  <w:rFonts w:ascii="Cambria Math" w:hAnsi="Cambria Math" w:cs="Cambria Math"/>
                  <w:sz w:val="24"/>
                  <w:szCs w:val="24"/>
                </w:rPr>
              </m:ctrlPr>
            </m:radPr>
            <m:deg/>
            <m:e>
              <m:f>
                <m:fPr>
                  <m:ctrlPr>
                    <w:rPr>
                      <w:rFonts w:ascii="Cambria Math" w:hAnsi="Cambria Math" w:cs="Cambria Math"/>
                      <w:sz w:val="24"/>
                      <w:szCs w:val="24"/>
                    </w:rPr>
                  </m:ctrlPr>
                </m:fPr>
                <m:num>
                  <m:sSubSup>
                    <m:sSubSupPr>
                      <m:ctrlPr>
                        <w:rPr>
                          <w:rFonts w:ascii="Cambria Math" w:hAnsi="Cambria Math" w:cs="Cambria Math"/>
                          <w:sz w:val="24"/>
                          <w:szCs w:val="24"/>
                        </w:rPr>
                      </m:ctrlPr>
                    </m:sSubSupPr>
                    <m:e>
                      <m:r>
                        <m:rPr>
                          <m:sty m:val="p"/>
                        </m:rPr>
                        <w:rPr>
                          <w:rFonts w:ascii="Cambria Math" w:hAnsi="Cambria Math" w:cs="Cambria Math"/>
                          <w:sz w:val="24"/>
                          <w:szCs w:val="24"/>
                        </w:rPr>
                        <m:t>Σ</m:t>
                      </m:r>
                    </m:e>
                    <m:sub>
                      <m:r>
                        <m:rPr>
                          <m:sty m:val="p"/>
                        </m:rPr>
                        <w:rPr>
                          <w:rFonts w:ascii="Cambria Math" w:hAnsi="Cambria Math" w:cs="Cambria Math"/>
                          <w:sz w:val="24"/>
                          <w:szCs w:val="24"/>
                        </w:rPr>
                        <m:t>i =1</m:t>
                      </m:r>
                    </m:sub>
                    <m:sup>
                      <m:r>
                        <m:rPr>
                          <m:sty m:val="p"/>
                        </m:rPr>
                        <w:rPr>
                          <w:rFonts w:ascii="Cambria Math" w:hAnsi="Cambria Math" w:cs="Cambria Math"/>
                          <w:sz w:val="24"/>
                          <w:szCs w:val="24"/>
                        </w:rPr>
                        <m:t>n</m:t>
                      </m:r>
                    </m:sup>
                  </m:sSubSup>
                  <m:sSup>
                    <m:sSupPr>
                      <m:ctrlPr>
                        <w:rPr>
                          <w:rFonts w:ascii="Cambria Math" w:hAnsi="Cambria Math" w:cs="Cambria Math"/>
                          <w:sz w:val="24"/>
                          <w:szCs w:val="24"/>
                        </w:rPr>
                      </m:ctrlPr>
                    </m:sSupPr>
                    <m:e>
                      <m:r>
                        <m:rPr>
                          <m:sty m:val="p"/>
                        </m:rPr>
                        <w:rPr>
                          <w:rFonts w:ascii="Cambria Math" w:hAnsi="Cambria Math" w:cs="Cambria Math"/>
                          <w:sz w:val="24"/>
                          <w:szCs w:val="24"/>
                        </w:rPr>
                        <m:t>(</m:t>
                      </m:r>
                      <m:r>
                        <w:rPr>
                          <w:rFonts w:ascii="Cambria Math" w:hAnsi="Cambria Math" w:cs="Times New Roman"/>
                          <w:sz w:val="24"/>
                          <w:szCs w:val="24"/>
                        </w:rPr>
                        <m:t>x</m:t>
                      </m:r>
                      <m:r>
                        <w:rPr>
                          <w:rFonts w:ascii="Cambria Math" w:hAnsi="Cambria Math" w:cs="Times New Roman"/>
                          <w:sz w:val="24"/>
                          <w:szCs w:val="24"/>
                          <w:vertAlign w:val="subscript"/>
                        </w:rPr>
                        <m:t>i</m:t>
                      </m:r>
                      <m:r>
                        <m:rPr>
                          <m:sty m:val="p"/>
                        </m:rPr>
                        <w:rPr>
                          <w:rFonts w:ascii="Cambria Math" w:hAnsi="Cambria Math" w:cs="Cambria Math"/>
                          <w:sz w:val="24"/>
                          <w:szCs w:val="24"/>
                        </w:rPr>
                        <m:t>-</m:t>
                      </m:r>
                      <m:acc>
                        <m:accPr>
                          <m:chr m:val="̅"/>
                          <m:ctrlPr>
                            <w:rPr>
                              <w:rFonts w:ascii="Cambria Math" w:hAnsi="Cambria Math" w:cs="Cambria Math"/>
                              <w:sz w:val="24"/>
                              <w:szCs w:val="24"/>
                            </w:rPr>
                          </m:ctrlPr>
                        </m:accPr>
                        <m:e>
                          <m:r>
                            <w:rPr>
                              <w:rFonts w:ascii="Cambria Math" w:hAnsi="Cambria Math" w:cs="Times New Roman"/>
                              <w:sz w:val="24"/>
                              <w:szCs w:val="24"/>
                            </w:rPr>
                            <m:t>x</m:t>
                          </m:r>
                        </m:e>
                      </m:acc>
                      <m:r>
                        <m:rPr>
                          <m:sty m:val="p"/>
                        </m:rPr>
                        <w:rPr>
                          <w:rFonts w:ascii="Cambria Math" w:hAnsi="Cambria Math" w:cs="Cambria Math"/>
                          <w:sz w:val="24"/>
                          <w:szCs w:val="24"/>
                        </w:rPr>
                        <m:t xml:space="preserve"> )</m:t>
                      </m:r>
                    </m:e>
                    <m:sup>
                      <m:r>
                        <w:rPr>
                          <w:rFonts w:ascii="Cambria Math" w:hAnsi="Cambria Math" w:cs="Cambria Math"/>
                          <w:sz w:val="24"/>
                          <w:szCs w:val="24"/>
                        </w:rPr>
                        <m:t>2</m:t>
                      </m:r>
                    </m:sup>
                  </m:sSup>
                </m:num>
                <m:den>
                  <m:r>
                    <m:rPr>
                      <m:sty m:val="p"/>
                    </m:rPr>
                    <w:rPr>
                      <w:rFonts w:ascii="Cambria Math" w:hAnsi="Cambria Math" w:cs="Cambria Math"/>
                      <w:sz w:val="24"/>
                      <w:szCs w:val="24"/>
                    </w:rPr>
                    <m:t>n</m:t>
                  </m:r>
                </m:den>
              </m:f>
            </m:e>
          </m:rad>
        </m:oMath>
      </m:oMathPara>
    </w:p>
    <w:p w14:paraId="4E77DB7B" w14:textId="77777777" w:rsidR="00E45AA2" w:rsidRDefault="005C5E56" w:rsidP="004A6BFE">
      <w:pPr>
        <w:spacing w:line="360" w:lineRule="auto"/>
        <w:jc w:val="both"/>
        <w:rPr>
          <w:rFonts w:ascii="Times New Roman" w:hAnsi="Times New Roman" w:cs="Times New Roman"/>
          <w:sz w:val="24"/>
          <w:szCs w:val="24"/>
        </w:rPr>
      </w:pPr>
      <w:r w:rsidRPr="005C5E56">
        <w:rPr>
          <w:rFonts w:ascii="Times New Roman" w:hAnsi="Times New Roman" w:cs="Times New Roman"/>
          <w:sz w:val="24"/>
          <w:szCs w:val="24"/>
        </w:rPr>
        <w:t xml:space="preserve">Where, SD represents spatial standard deviation, </w:t>
      </w:r>
      <w:r w:rsidRPr="004A6BFE">
        <w:rPr>
          <w:rFonts w:ascii="Times New Roman" w:hAnsi="Times New Roman" w:cs="Times New Roman"/>
          <w:i/>
          <w:iCs/>
          <w:sz w:val="24"/>
          <w:szCs w:val="24"/>
        </w:rPr>
        <w:t>x</w:t>
      </w:r>
      <w:r w:rsidRPr="004A6BFE">
        <w:rPr>
          <w:rFonts w:ascii="Times New Roman" w:hAnsi="Times New Roman" w:cs="Times New Roman"/>
          <w:i/>
          <w:iCs/>
          <w:sz w:val="24"/>
          <w:szCs w:val="24"/>
          <w:vertAlign w:val="subscript"/>
        </w:rPr>
        <w:t>i</w:t>
      </w:r>
      <w:r w:rsidRPr="005C5E56">
        <w:rPr>
          <w:rFonts w:ascii="Times New Roman" w:hAnsi="Times New Roman" w:cs="Times New Roman"/>
          <w:sz w:val="24"/>
          <w:szCs w:val="24"/>
        </w:rPr>
        <w:t xml:space="preserve"> is the</w:t>
      </w:r>
      <w:r w:rsidR="004A6BFE">
        <w:rPr>
          <w:rFonts w:ascii="Times New Roman" w:hAnsi="Times New Roman" w:cs="Times New Roman"/>
          <w:sz w:val="24"/>
          <w:szCs w:val="24"/>
        </w:rPr>
        <w:t xml:space="preserve"> groundwater storage anomaly at </w:t>
      </w:r>
      <w:r w:rsidRPr="005C5E56">
        <w:rPr>
          <w:rFonts w:ascii="Times New Roman" w:hAnsi="Times New Roman" w:cs="Times New Roman"/>
          <w:sz w:val="24"/>
          <w:szCs w:val="24"/>
        </w:rPr>
        <w:t xml:space="preserve">observation point </w:t>
      </w:r>
      <w:proofErr w:type="spellStart"/>
      <w:r w:rsidRPr="004A6BFE">
        <w:rPr>
          <w:rFonts w:ascii="Times New Roman" w:hAnsi="Times New Roman" w:cs="Times New Roman"/>
          <w:i/>
          <w:iCs/>
          <w:sz w:val="24"/>
          <w:szCs w:val="24"/>
        </w:rPr>
        <w:t>i</w:t>
      </w:r>
      <w:proofErr w:type="spellEnd"/>
      <w:r w:rsidRPr="005C5E56">
        <w:rPr>
          <w:rFonts w:ascii="Times New Roman" w:hAnsi="Times New Roman" w:cs="Times New Roman"/>
          <w:sz w:val="24"/>
          <w:szCs w:val="24"/>
        </w:rPr>
        <w:t>,</w:t>
      </w:r>
      <w:r w:rsidR="004A6BFE">
        <w:rPr>
          <w:rFonts w:ascii="Times New Roman" w:hAnsi="Times New Roman" w:cs="Times New Roman"/>
          <w:sz w:val="24"/>
          <w:szCs w:val="24"/>
        </w:rPr>
        <w:t xml:space="preserve"> </w:t>
      </w:r>
      <m:oMath>
        <m:acc>
          <m:accPr>
            <m:chr m:val="̅"/>
            <m:ctrlPr>
              <w:rPr>
                <w:rFonts w:ascii="Cambria Math" w:hAnsi="Cambria Math" w:cs="Cambria Math"/>
                <w:sz w:val="24"/>
                <w:szCs w:val="24"/>
              </w:rPr>
            </m:ctrlPr>
          </m:accPr>
          <m:e>
            <m:r>
              <w:rPr>
                <w:rFonts w:ascii="Cambria Math" w:hAnsi="Cambria Math" w:cs="Times New Roman"/>
                <w:sz w:val="24"/>
                <w:szCs w:val="24"/>
              </w:rPr>
              <m:t>x</m:t>
            </m:r>
          </m:e>
        </m:acc>
        <m:r>
          <w:rPr>
            <w:rFonts w:ascii="Cambria Math" w:hAnsi="Cambria Math" w:cs="Cambria Math"/>
            <w:sz w:val="24"/>
            <w:szCs w:val="24"/>
          </w:rPr>
          <m:t xml:space="preserve"> </m:t>
        </m:r>
      </m:oMath>
      <w:r w:rsidRPr="005C5E56">
        <w:rPr>
          <w:rFonts w:ascii="Times New Roman" w:hAnsi="Times New Roman" w:cs="Times New Roman"/>
          <w:sz w:val="24"/>
          <w:szCs w:val="24"/>
        </w:rPr>
        <w:t xml:space="preserve">is the mean groundwater storage anomaly, and </w:t>
      </w:r>
      <w:r w:rsidRPr="004A6BFE">
        <w:rPr>
          <w:rFonts w:ascii="Times New Roman" w:hAnsi="Times New Roman" w:cs="Times New Roman"/>
          <w:i/>
          <w:iCs/>
          <w:sz w:val="24"/>
          <w:szCs w:val="24"/>
        </w:rPr>
        <w:t>n</w:t>
      </w:r>
      <w:r w:rsidRPr="005C5E56">
        <w:rPr>
          <w:rFonts w:ascii="Times New Roman" w:hAnsi="Times New Roman" w:cs="Times New Roman"/>
          <w:sz w:val="24"/>
          <w:szCs w:val="24"/>
        </w:rPr>
        <w:t xml:space="preserve"> is the number of observation wells. The spatial variability analysis was particularly useful for identifying heterogeneous groundwater conditions and hydrologically stressed regions within different geological formations.</w:t>
      </w:r>
      <w:r w:rsidR="004A6BFE">
        <w:rPr>
          <w:rFonts w:ascii="Times New Roman" w:hAnsi="Times New Roman" w:cs="Times New Roman"/>
          <w:sz w:val="24"/>
          <w:szCs w:val="24"/>
        </w:rPr>
        <w:t xml:space="preserve"> </w:t>
      </w:r>
      <w:r w:rsidRPr="005C5E56">
        <w:rPr>
          <w:rFonts w:ascii="Times New Roman" w:hAnsi="Times New Roman" w:cs="Times New Roman"/>
          <w:sz w:val="24"/>
          <w:szCs w:val="24"/>
        </w:rPr>
        <w:t>Temporal relationships among groundwater recharge, groundwater storage anomalies, and spatial variability were further examined to understand aquifer response under v</w:t>
      </w:r>
      <w:r w:rsidR="00E45AA2">
        <w:rPr>
          <w:rFonts w:ascii="Times New Roman" w:hAnsi="Times New Roman" w:cs="Times New Roman"/>
          <w:sz w:val="24"/>
          <w:szCs w:val="24"/>
        </w:rPr>
        <w:t>arying hydrological conditions.</w:t>
      </w:r>
    </w:p>
    <w:p w14:paraId="672BD2BA" w14:textId="77777777" w:rsidR="004A6BFE" w:rsidRDefault="005C5E56" w:rsidP="00E45AA2">
      <w:pPr>
        <w:spacing w:line="360" w:lineRule="auto"/>
        <w:ind w:firstLine="851"/>
        <w:jc w:val="both"/>
        <w:rPr>
          <w:rFonts w:ascii="Times New Roman" w:hAnsi="Times New Roman" w:cs="Times New Roman"/>
          <w:sz w:val="24"/>
          <w:szCs w:val="24"/>
        </w:rPr>
      </w:pPr>
      <w:r w:rsidRPr="005C5E56">
        <w:rPr>
          <w:rFonts w:ascii="Times New Roman" w:hAnsi="Times New Roman" w:cs="Times New Roman"/>
          <w:sz w:val="24"/>
          <w:szCs w:val="24"/>
        </w:rPr>
        <w:lastRenderedPageBreak/>
        <w:t>The study particularly focused on identifying drought years, recharge recovery periods, and geological controls governing groundwater storage behaviour. Statistical analyses including mean, standard deviation, temporal trend analysis, and formation-wise comparison were performed using Microsoft Excel and R statistical software. Spatial interpretation and thematic map preparation were carried out using Geographic Information System (GIS) techniques in ArcGIS/QGIS environments.</w:t>
      </w:r>
      <w:r w:rsidR="004A6BFE">
        <w:rPr>
          <w:rFonts w:ascii="Times New Roman" w:hAnsi="Times New Roman" w:cs="Times New Roman"/>
          <w:sz w:val="24"/>
          <w:szCs w:val="24"/>
        </w:rPr>
        <w:t xml:space="preserve"> </w:t>
      </w:r>
      <w:r w:rsidRPr="005C5E56">
        <w:rPr>
          <w:rFonts w:ascii="Times New Roman" w:hAnsi="Times New Roman" w:cs="Times New Roman"/>
          <w:sz w:val="24"/>
          <w:szCs w:val="24"/>
        </w:rPr>
        <w:t>The overall methodological framework integrated groundwater fluctuation analysis, recharge estimation, groundwater storage anomaly assessment, and spatial variability analysis to evaluate groundwater dynamics within the Wainganga River basin. The adopted methodology provides a comprehensive hydrogeological approach for understanding groundwater recharge behaviour, identifying groundwater stress zones, and supporting sustainable groundwater management and artificial recharge planning in hard-rock terrains of central India.</w:t>
      </w:r>
    </w:p>
    <w:p w14:paraId="35E6E5B5" w14:textId="77777777" w:rsidR="007A0ACE" w:rsidRDefault="007A0ACE" w:rsidP="00E45AA2">
      <w:pPr>
        <w:spacing w:line="360" w:lineRule="auto"/>
        <w:ind w:firstLine="851"/>
        <w:jc w:val="both"/>
        <w:rPr>
          <w:rFonts w:ascii="Times New Roman" w:hAnsi="Times New Roman" w:cs="Times New Roman"/>
          <w:sz w:val="24"/>
          <w:szCs w:val="24"/>
        </w:rPr>
      </w:pPr>
    </w:p>
    <w:p w14:paraId="0BD75C72" w14:textId="77777777" w:rsidR="007A0ACE" w:rsidRPr="007A0ACE" w:rsidRDefault="007A0ACE" w:rsidP="00E45AA2">
      <w:pPr>
        <w:spacing w:line="360" w:lineRule="auto"/>
        <w:ind w:firstLine="851"/>
        <w:jc w:val="both"/>
        <w:rPr>
          <w:rFonts w:ascii="Times New Roman" w:hAnsi="Times New Roman" w:cs="Times New Roman"/>
          <w:b/>
          <w:bCs/>
          <w:sz w:val="24"/>
          <w:szCs w:val="24"/>
        </w:rPr>
      </w:pPr>
    </w:p>
    <w:p w14:paraId="5151CDE0" w14:textId="73C99761" w:rsidR="007A0ACE" w:rsidRPr="007A0ACE" w:rsidRDefault="007A0ACE" w:rsidP="007A0ACE">
      <w:pPr>
        <w:spacing w:line="360" w:lineRule="auto"/>
        <w:jc w:val="both"/>
        <w:rPr>
          <w:rFonts w:ascii="Times New Roman" w:hAnsi="Times New Roman" w:cs="Times New Roman"/>
          <w:b/>
          <w:bCs/>
          <w:sz w:val="24"/>
          <w:szCs w:val="24"/>
        </w:rPr>
      </w:pPr>
      <w:r w:rsidRPr="007A0ACE">
        <w:rPr>
          <w:rFonts w:ascii="Times New Roman" w:hAnsi="Times New Roman" w:cs="Times New Roman"/>
          <w:b/>
          <w:bCs/>
          <w:sz w:val="24"/>
          <w:szCs w:val="24"/>
        </w:rPr>
        <w:t>Result &amp; Discussion</w:t>
      </w:r>
    </w:p>
    <w:p w14:paraId="174009A2" w14:textId="77777777" w:rsidR="00B9501C" w:rsidRPr="00B9501C" w:rsidRDefault="00B9501C" w:rsidP="00B9501C">
      <w:pPr>
        <w:spacing w:line="360" w:lineRule="auto"/>
        <w:jc w:val="both"/>
        <w:rPr>
          <w:rFonts w:ascii="Times New Roman" w:hAnsi="Times New Roman" w:cs="Times New Roman"/>
          <w:b/>
          <w:bCs/>
          <w:sz w:val="24"/>
          <w:szCs w:val="24"/>
        </w:rPr>
      </w:pPr>
      <w:r w:rsidRPr="00B9501C">
        <w:rPr>
          <w:rFonts w:ascii="Times New Roman" w:hAnsi="Times New Roman" w:cs="Times New Roman"/>
          <w:b/>
          <w:bCs/>
          <w:sz w:val="24"/>
          <w:szCs w:val="24"/>
        </w:rPr>
        <w:t>Groundwater Recharge Dynamics and Spatial Variability of Groundwater Storage in the Wainganga River Basin</w:t>
      </w:r>
    </w:p>
    <w:p w14:paraId="0EBE3A16" w14:textId="77777777" w:rsidR="00B9501C" w:rsidRPr="00B9501C" w:rsidRDefault="00B9501C" w:rsidP="00B9501C">
      <w:pPr>
        <w:spacing w:line="360" w:lineRule="auto"/>
        <w:ind w:firstLine="851"/>
        <w:jc w:val="both"/>
        <w:rPr>
          <w:rFonts w:ascii="Times New Roman" w:hAnsi="Times New Roman" w:cs="Times New Roman"/>
          <w:sz w:val="24"/>
          <w:szCs w:val="24"/>
        </w:rPr>
      </w:pPr>
      <w:r w:rsidRPr="00B9501C">
        <w:rPr>
          <w:rFonts w:ascii="Times New Roman" w:hAnsi="Times New Roman" w:cs="Times New Roman"/>
          <w:sz w:val="24"/>
          <w:szCs w:val="24"/>
        </w:rPr>
        <w:t>Following the successful delineation and validation of groundwater potential zones within the Wainganga River basin, the present investigation focused on evaluating the spatial variability of groundwater storage and recharge characteristics across different geological formations. The major objective of this analysis was to understand the hydrogeological behaviour of aquifers and identify regions vulnerable to groundwater stress for sustainable groundwater management and artificial recharge planning. The study integrated long-term groundwater level observations, groundwater recharge estimation, groundwater storage anomaly (GWSA) analysis, and spatial variability assessment to examine the response of aquifers under varying hydrological conditions.</w:t>
      </w:r>
    </w:p>
    <w:p w14:paraId="32C7143E" w14:textId="77777777" w:rsidR="00B9501C" w:rsidRPr="00B9501C" w:rsidRDefault="00B9501C" w:rsidP="00B9501C">
      <w:pPr>
        <w:spacing w:line="360" w:lineRule="auto"/>
        <w:jc w:val="both"/>
        <w:rPr>
          <w:rFonts w:ascii="Times New Roman" w:hAnsi="Times New Roman" w:cs="Times New Roman"/>
          <w:b/>
          <w:bCs/>
          <w:sz w:val="24"/>
          <w:szCs w:val="24"/>
        </w:rPr>
      </w:pPr>
      <w:r w:rsidRPr="00B9501C">
        <w:rPr>
          <w:rFonts w:ascii="Times New Roman" w:hAnsi="Times New Roman" w:cs="Times New Roman"/>
          <w:b/>
          <w:bCs/>
          <w:sz w:val="24"/>
          <w:szCs w:val="24"/>
        </w:rPr>
        <w:t>Pre-Monsoon Groundwater Level</w:t>
      </w:r>
    </w:p>
    <w:p w14:paraId="1A60557C" w14:textId="77777777" w:rsidR="00B9501C" w:rsidRPr="00B9501C" w:rsidRDefault="00B9501C" w:rsidP="007E6FB8">
      <w:pPr>
        <w:spacing w:line="360" w:lineRule="auto"/>
        <w:ind w:firstLine="851"/>
        <w:jc w:val="both"/>
        <w:rPr>
          <w:rFonts w:ascii="Times New Roman" w:hAnsi="Times New Roman" w:cs="Times New Roman"/>
          <w:sz w:val="24"/>
          <w:szCs w:val="24"/>
        </w:rPr>
      </w:pPr>
      <w:r w:rsidRPr="00B9501C">
        <w:rPr>
          <w:rFonts w:ascii="Times New Roman" w:hAnsi="Times New Roman" w:cs="Times New Roman"/>
          <w:sz w:val="24"/>
          <w:szCs w:val="24"/>
        </w:rPr>
        <w:t>Pre-monsoon groundwater levels represent the depleted condition of aquifers prior to monsoonal recharge and therefore provide valuable information regarding groundwater stress conditions. Analysis of pre-monsoon groundwater levels for 249 observation wells during the period 2000–2020 revealed considerable temporal and spatial variability among different geological formations. The highest pre-monsoon groundwater depth recorded during 2000–</w:t>
      </w:r>
      <w:r w:rsidRPr="00B9501C">
        <w:rPr>
          <w:rFonts w:ascii="Times New Roman" w:hAnsi="Times New Roman" w:cs="Times New Roman"/>
          <w:sz w:val="24"/>
          <w:szCs w:val="24"/>
        </w:rPr>
        <w:lastRenderedPageBreak/>
        <w:t>2010 was 21.35 m at observation well CWD-067-OW in 2002, whereas during 2011–2020 the maximum groundwater depth reached 20.60 m at well CWD-015-OW-A in 2011. Another significant groundwater depletion event was observed at well CWD-059-OW, where groundwater depth reached 20.34 m during 2014. These observations indicate that severe groundwater depletion occurred during low rainfall years and drought periods.</w:t>
      </w:r>
      <w:r w:rsidR="007E6FB8">
        <w:rPr>
          <w:rFonts w:ascii="Times New Roman" w:hAnsi="Times New Roman" w:cs="Times New Roman"/>
          <w:sz w:val="24"/>
          <w:szCs w:val="24"/>
        </w:rPr>
        <w:t xml:space="preserve"> </w:t>
      </w:r>
      <w:r w:rsidRPr="00B9501C">
        <w:rPr>
          <w:rFonts w:ascii="Times New Roman" w:hAnsi="Times New Roman" w:cs="Times New Roman"/>
          <w:sz w:val="24"/>
          <w:szCs w:val="24"/>
        </w:rPr>
        <w:t xml:space="preserve">The Deccan Trap formation exhibited comparatively deeper groundwater levels than other geological formations throughout the study period. This behaviour may be attributed to variations in fracture connectivity, weathered zone thickness, and groundwater abstraction intensity within basaltic terrains. Similar groundwater depletion patterns in hard-rock aquifers of peninsular India have also been reported by Rodell </w:t>
      </w:r>
      <w:r w:rsidR="00A1135E" w:rsidRPr="00A1135E">
        <w:rPr>
          <w:rFonts w:ascii="Times New Roman" w:hAnsi="Times New Roman" w:cs="Times New Roman"/>
          <w:i/>
          <w:sz w:val="24"/>
          <w:szCs w:val="24"/>
        </w:rPr>
        <w:t>et al</w:t>
      </w:r>
      <w:r w:rsidRPr="00B9501C">
        <w:rPr>
          <w:rFonts w:ascii="Times New Roman" w:hAnsi="Times New Roman" w:cs="Times New Roman"/>
          <w:sz w:val="24"/>
          <w:szCs w:val="24"/>
        </w:rPr>
        <w:t xml:space="preserve">. (2009), Tiwari </w:t>
      </w:r>
      <w:r w:rsidR="00A1135E" w:rsidRPr="00A1135E">
        <w:rPr>
          <w:rFonts w:ascii="Times New Roman" w:hAnsi="Times New Roman" w:cs="Times New Roman"/>
          <w:i/>
          <w:sz w:val="24"/>
          <w:szCs w:val="24"/>
        </w:rPr>
        <w:t>et al</w:t>
      </w:r>
      <w:r w:rsidRPr="00B9501C">
        <w:rPr>
          <w:rFonts w:ascii="Times New Roman" w:hAnsi="Times New Roman" w:cs="Times New Roman"/>
          <w:sz w:val="24"/>
          <w:szCs w:val="24"/>
        </w:rPr>
        <w:t>. (2009), and Panda and Wahr (2016), who emphasized that excessive groundwater extraction coupled with irregular monsoon rainfall significantly influences groundwater decline in semi-arid regions. The long-term trend analysis of groundwater levels further indicated progressive groundwater stress in certain parts of the basin, highlighting the increasing vulnerability of hard-rock aquifers to climatic variability and anthropogenic pressure.</w:t>
      </w:r>
    </w:p>
    <w:p w14:paraId="7CBC2A0B" w14:textId="77777777" w:rsidR="00B9501C" w:rsidRPr="007E6FB8" w:rsidRDefault="00B9501C" w:rsidP="00B9501C">
      <w:pPr>
        <w:spacing w:line="360" w:lineRule="auto"/>
        <w:jc w:val="both"/>
        <w:rPr>
          <w:rFonts w:ascii="Times New Roman" w:hAnsi="Times New Roman" w:cs="Times New Roman"/>
          <w:b/>
          <w:bCs/>
          <w:sz w:val="24"/>
          <w:szCs w:val="24"/>
        </w:rPr>
      </w:pPr>
      <w:r w:rsidRPr="007E6FB8">
        <w:rPr>
          <w:rFonts w:ascii="Times New Roman" w:hAnsi="Times New Roman" w:cs="Times New Roman"/>
          <w:b/>
          <w:bCs/>
          <w:sz w:val="24"/>
          <w:szCs w:val="24"/>
        </w:rPr>
        <w:t>Post-Monsoon Groundwater Level</w:t>
      </w:r>
    </w:p>
    <w:p w14:paraId="59A5EA72" w14:textId="77777777" w:rsidR="00B9501C" w:rsidRPr="00B9501C" w:rsidRDefault="00B9501C" w:rsidP="00A1135E">
      <w:pPr>
        <w:spacing w:line="360" w:lineRule="auto"/>
        <w:ind w:firstLine="851"/>
        <w:jc w:val="both"/>
        <w:rPr>
          <w:rFonts w:ascii="Times New Roman" w:hAnsi="Times New Roman" w:cs="Times New Roman"/>
          <w:sz w:val="24"/>
          <w:szCs w:val="24"/>
        </w:rPr>
      </w:pPr>
      <w:r w:rsidRPr="00B9501C">
        <w:rPr>
          <w:rFonts w:ascii="Times New Roman" w:hAnsi="Times New Roman" w:cs="Times New Roman"/>
          <w:sz w:val="24"/>
          <w:szCs w:val="24"/>
        </w:rPr>
        <w:t>Post-monsoon groundwater levels represent aquifer replenishment conditions after monsoonal rainfall recharge. Analysis of post-monsoon groundwater levels indicated substantial improvement in groundwater conditions across most geological formations; however, significant variability was observed among different lithological units. The maximum depth to post-monsoon groundwater level was recorded as 15.50 m at well BGT-092-OW in 2019 within the Betul Gneiss formation, whereas the minimum groundwater depth was observed as 0.55 m at well SEO-061-OW during both 2003 and 2013 within the Acid Intrusive/Granite formation.</w:t>
      </w:r>
      <w:r w:rsidR="00A1135E">
        <w:rPr>
          <w:rFonts w:ascii="Times New Roman" w:hAnsi="Times New Roman" w:cs="Times New Roman"/>
          <w:sz w:val="24"/>
          <w:szCs w:val="24"/>
        </w:rPr>
        <w:t xml:space="preserve"> </w:t>
      </w:r>
      <w:r w:rsidRPr="00B9501C">
        <w:rPr>
          <w:rFonts w:ascii="Times New Roman" w:hAnsi="Times New Roman" w:cs="Times New Roman"/>
          <w:sz w:val="24"/>
          <w:szCs w:val="24"/>
        </w:rPr>
        <w:t>The consistently deeper groundwater levels within the Betul Gneiss formation suggest comparatively lower recharge efficiency and reduced groundwater retention characteristics. In contrast, shallower groundwater levels in the Acid Intrusive/Granite formation indicate relatively better groundwater replenishment conditions. Such differences among geological formations are primarily controlled by lithological characteristics, fracture density, permeability, and weathering conditions of the aquifers (Todd and Mays, 2005). Similar findings were reported by Healy (2010), who demonstrated that geological heterogeneity strongly governs recharge efficiency and groundwater storage distribution in hard-rock terrains.</w:t>
      </w:r>
    </w:p>
    <w:p w14:paraId="4D1FFA65" w14:textId="77777777" w:rsidR="00B9501C" w:rsidRPr="00A1135E" w:rsidRDefault="00B9501C" w:rsidP="00B9501C">
      <w:pPr>
        <w:spacing w:line="360" w:lineRule="auto"/>
        <w:jc w:val="both"/>
        <w:rPr>
          <w:rFonts w:ascii="Times New Roman" w:hAnsi="Times New Roman" w:cs="Times New Roman"/>
          <w:b/>
          <w:bCs/>
          <w:sz w:val="24"/>
          <w:szCs w:val="24"/>
        </w:rPr>
      </w:pPr>
      <w:r w:rsidRPr="00A1135E">
        <w:rPr>
          <w:rFonts w:ascii="Times New Roman" w:hAnsi="Times New Roman" w:cs="Times New Roman"/>
          <w:b/>
          <w:bCs/>
          <w:sz w:val="24"/>
          <w:szCs w:val="24"/>
        </w:rPr>
        <w:t>Groundwater Level Fluctuation</w:t>
      </w:r>
    </w:p>
    <w:p w14:paraId="5ED5CC81" w14:textId="77777777" w:rsidR="00B9501C" w:rsidRPr="00B9501C" w:rsidRDefault="00B9501C" w:rsidP="00A1135E">
      <w:pPr>
        <w:spacing w:line="360" w:lineRule="auto"/>
        <w:ind w:firstLine="851"/>
        <w:jc w:val="both"/>
        <w:rPr>
          <w:rFonts w:ascii="Times New Roman" w:hAnsi="Times New Roman" w:cs="Times New Roman"/>
          <w:sz w:val="24"/>
          <w:szCs w:val="24"/>
        </w:rPr>
      </w:pPr>
      <w:r w:rsidRPr="00B9501C">
        <w:rPr>
          <w:rFonts w:ascii="Times New Roman" w:hAnsi="Times New Roman" w:cs="Times New Roman"/>
          <w:sz w:val="24"/>
          <w:szCs w:val="24"/>
        </w:rPr>
        <w:lastRenderedPageBreak/>
        <w:t>Groundwater level fluctuation analysis was carried out by calculating the difference between pre-monsoon and post-monsoon groundwater levels for all observation wells. The results revealed considerable variability in groundwater recharge patterns across the Wainganga River basin during 2000–2020. The maximum groundwater fluctuation was observed at well CWD-015-OW-A during 2011, where fluctuation reached 13.82 m, indicating substantial monsoonal recharge and rapid aquifer recovery. Conversely, minimum groundwater fluctuations were observed at wells BGT-013-OW in 2015 (0.10 m) and CWD-011-OW-A in 2013 (0.20 m), suggesting poor recharge conditions during deficient rainfall years.</w:t>
      </w:r>
      <w:r w:rsidR="00A1135E">
        <w:rPr>
          <w:rFonts w:ascii="Times New Roman" w:hAnsi="Times New Roman" w:cs="Times New Roman"/>
          <w:sz w:val="24"/>
          <w:szCs w:val="24"/>
        </w:rPr>
        <w:t xml:space="preserve"> </w:t>
      </w:r>
      <w:r w:rsidRPr="00B9501C">
        <w:rPr>
          <w:rFonts w:ascii="Times New Roman" w:hAnsi="Times New Roman" w:cs="Times New Roman"/>
          <w:sz w:val="24"/>
          <w:szCs w:val="24"/>
        </w:rPr>
        <w:t xml:space="preserve">The Acid Intrusive/Granite formations generally exhibited higher groundwater fluctuation peaks, whereas the Betul Gneiss formation displayed relatively moderate but stable groundwater fluctuations. This indicates that granite formations may possess comparatively higher recharge sensitivity, while gneissic formations exhibit more gradual aquifer response. The observed variability in groundwater fluctuations confirms that geological characteristics significantly influence aquifer recharge dynamics and groundwater storage behaviour. Similar hydrogeological responses in fractured hard-rock aquifers have also been documented by Healy and Cook (2002) and Bhanja </w:t>
      </w:r>
      <w:r w:rsidR="00A1135E" w:rsidRPr="00A1135E">
        <w:rPr>
          <w:rFonts w:ascii="Times New Roman" w:hAnsi="Times New Roman" w:cs="Times New Roman"/>
          <w:i/>
          <w:sz w:val="24"/>
          <w:szCs w:val="24"/>
        </w:rPr>
        <w:t>et al</w:t>
      </w:r>
      <w:r w:rsidRPr="00B9501C">
        <w:rPr>
          <w:rFonts w:ascii="Times New Roman" w:hAnsi="Times New Roman" w:cs="Times New Roman"/>
          <w:sz w:val="24"/>
          <w:szCs w:val="24"/>
        </w:rPr>
        <w:t>. (2017).</w:t>
      </w:r>
    </w:p>
    <w:p w14:paraId="4B136C92" w14:textId="77777777" w:rsidR="00B9501C" w:rsidRPr="00A1135E" w:rsidRDefault="00B9501C" w:rsidP="00B9501C">
      <w:pPr>
        <w:spacing w:line="360" w:lineRule="auto"/>
        <w:jc w:val="both"/>
        <w:rPr>
          <w:rFonts w:ascii="Times New Roman" w:hAnsi="Times New Roman" w:cs="Times New Roman"/>
          <w:b/>
          <w:bCs/>
          <w:sz w:val="24"/>
          <w:szCs w:val="24"/>
        </w:rPr>
      </w:pPr>
      <w:r w:rsidRPr="00A1135E">
        <w:rPr>
          <w:rFonts w:ascii="Times New Roman" w:hAnsi="Times New Roman" w:cs="Times New Roman"/>
          <w:b/>
          <w:bCs/>
          <w:sz w:val="24"/>
          <w:szCs w:val="24"/>
        </w:rPr>
        <w:t>Groundwater Recharge Estimation</w:t>
      </w:r>
    </w:p>
    <w:p w14:paraId="4338F29B" w14:textId="77777777" w:rsidR="00B9501C" w:rsidRPr="00B9501C" w:rsidRDefault="00B9501C" w:rsidP="00A1135E">
      <w:pPr>
        <w:spacing w:line="360" w:lineRule="auto"/>
        <w:ind w:firstLine="851"/>
        <w:jc w:val="both"/>
        <w:rPr>
          <w:rFonts w:ascii="Times New Roman" w:hAnsi="Times New Roman" w:cs="Times New Roman"/>
          <w:sz w:val="24"/>
          <w:szCs w:val="24"/>
        </w:rPr>
      </w:pPr>
      <w:r w:rsidRPr="00B9501C">
        <w:rPr>
          <w:rFonts w:ascii="Times New Roman" w:hAnsi="Times New Roman" w:cs="Times New Roman"/>
          <w:sz w:val="24"/>
          <w:szCs w:val="24"/>
        </w:rPr>
        <w:t>Groundwater recharge estimated using the Water Table Fluctuation (WTF) method revealed significant differences among geological formations and years. Recharge estimation showed that the Deccan Trap formation contributed the largest share of groundwater recharge due to its extensive areal coverage within the basin. The maximum recharge in the Deccan Trap reached 1790 MCM during 2019, whereas the minimum recharge declined to 1048 MCM during the drought year 2014. Similarly, Betul Gneiss exhibited recharge values ranging from 542.7 MCM in 2014 to 754.4 MCM in 2019.</w:t>
      </w:r>
      <w:r w:rsidR="00A1135E">
        <w:rPr>
          <w:rFonts w:ascii="Times New Roman" w:hAnsi="Times New Roman" w:cs="Times New Roman"/>
          <w:sz w:val="24"/>
          <w:szCs w:val="24"/>
        </w:rPr>
        <w:t xml:space="preserve"> </w:t>
      </w:r>
      <w:r w:rsidRPr="00B9501C">
        <w:rPr>
          <w:rFonts w:ascii="Times New Roman" w:hAnsi="Times New Roman" w:cs="Times New Roman"/>
          <w:sz w:val="24"/>
          <w:szCs w:val="24"/>
        </w:rPr>
        <w:t xml:space="preserve">Among other formations, maximum recharge values reached 149.24 MCM for Acid Intrusive formations, 135.4 MCM for Lower Gondwana, 121.55 MCM for Sausar Group, 101.4 MCM for </w:t>
      </w:r>
      <w:proofErr w:type="spellStart"/>
      <w:r w:rsidRPr="00B9501C">
        <w:rPr>
          <w:rFonts w:ascii="Times New Roman" w:hAnsi="Times New Roman" w:cs="Times New Roman"/>
          <w:sz w:val="24"/>
          <w:szCs w:val="24"/>
        </w:rPr>
        <w:t>Khairagarh</w:t>
      </w:r>
      <w:proofErr w:type="spellEnd"/>
      <w:r w:rsidRPr="00B9501C">
        <w:rPr>
          <w:rFonts w:ascii="Times New Roman" w:hAnsi="Times New Roman" w:cs="Times New Roman"/>
          <w:sz w:val="24"/>
          <w:szCs w:val="24"/>
        </w:rPr>
        <w:t xml:space="preserve"> Group, and 60.5 MCM for Laterite/Bauxite formations. Most formations recorded minimum recharge values during 2014, indicating the strong influence of deficient monsoon rainfall on groundwater replenishment. Overall, total basin recharge varied from 1907 MCM in 2014 to 3015.97 MCM in 2019.</w:t>
      </w:r>
      <w:r w:rsidR="00A1135E">
        <w:rPr>
          <w:rFonts w:ascii="Times New Roman" w:hAnsi="Times New Roman" w:cs="Times New Roman"/>
          <w:sz w:val="24"/>
          <w:szCs w:val="24"/>
        </w:rPr>
        <w:t xml:space="preserve"> </w:t>
      </w:r>
      <w:r w:rsidRPr="00B9501C">
        <w:rPr>
          <w:rFonts w:ascii="Times New Roman" w:hAnsi="Times New Roman" w:cs="Times New Roman"/>
          <w:sz w:val="24"/>
          <w:szCs w:val="24"/>
        </w:rPr>
        <w:t xml:space="preserve">The observed recharge variability demonstrates that monsoonal rainfall patterns and geological controls jointly regulate groundwater recharge processes within the basin. Higher recharge during wet years indicates effective aquifer replenishment, whereas reduced recharge during drought years reflects declining infiltration and groundwater recovery. Similar rainfall-driven </w:t>
      </w:r>
      <w:r w:rsidRPr="00B9501C">
        <w:rPr>
          <w:rFonts w:ascii="Times New Roman" w:hAnsi="Times New Roman" w:cs="Times New Roman"/>
          <w:sz w:val="24"/>
          <w:szCs w:val="24"/>
        </w:rPr>
        <w:lastRenderedPageBreak/>
        <w:t xml:space="preserve">recharge variability in Indian hard-rock aquifers has been reported by Rodell </w:t>
      </w:r>
      <w:r w:rsidR="00A1135E" w:rsidRPr="00A1135E">
        <w:rPr>
          <w:rFonts w:ascii="Times New Roman" w:hAnsi="Times New Roman" w:cs="Times New Roman"/>
          <w:i/>
          <w:sz w:val="24"/>
          <w:szCs w:val="24"/>
        </w:rPr>
        <w:t>et al</w:t>
      </w:r>
      <w:r w:rsidR="00763D0A">
        <w:rPr>
          <w:rFonts w:ascii="Times New Roman" w:hAnsi="Times New Roman" w:cs="Times New Roman"/>
          <w:sz w:val="24"/>
          <w:szCs w:val="24"/>
        </w:rPr>
        <w:t xml:space="preserve">. (2009) and </w:t>
      </w:r>
      <w:r w:rsidRPr="00B9501C">
        <w:rPr>
          <w:rFonts w:ascii="Times New Roman" w:hAnsi="Times New Roman" w:cs="Times New Roman"/>
          <w:sz w:val="24"/>
          <w:szCs w:val="24"/>
        </w:rPr>
        <w:t xml:space="preserve">Bhanja </w:t>
      </w:r>
      <w:r w:rsidR="00A1135E" w:rsidRPr="00A1135E">
        <w:rPr>
          <w:rFonts w:ascii="Times New Roman" w:hAnsi="Times New Roman" w:cs="Times New Roman"/>
          <w:i/>
          <w:sz w:val="24"/>
          <w:szCs w:val="24"/>
        </w:rPr>
        <w:t>et al</w:t>
      </w:r>
      <w:r w:rsidRPr="00B9501C">
        <w:rPr>
          <w:rFonts w:ascii="Times New Roman" w:hAnsi="Times New Roman" w:cs="Times New Roman"/>
          <w:sz w:val="24"/>
          <w:szCs w:val="24"/>
        </w:rPr>
        <w:t>. (2017).</w:t>
      </w:r>
    </w:p>
    <w:p w14:paraId="7AC00EC7" w14:textId="77777777" w:rsidR="00B9501C" w:rsidRPr="00A1135E" w:rsidRDefault="00B9501C" w:rsidP="00B9501C">
      <w:pPr>
        <w:spacing w:line="360" w:lineRule="auto"/>
        <w:jc w:val="both"/>
        <w:rPr>
          <w:rFonts w:ascii="Times New Roman" w:hAnsi="Times New Roman" w:cs="Times New Roman"/>
          <w:b/>
          <w:bCs/>
          <w:sz w:val="24"/>
          <w:szCs w:val="24"/>
        </w:rPr>
      </w:pPr>
      <w:r w:rsidRPr="00A1135E">
        <w:rPr>
          <w:rFonts w:ascii="Times New Roman" w:hAnsi="Times New Roman" w:cs="Times New Roman"/>
          <w:b/>
          <w:bCs/>
          <w:sz w:val="24"/>
          <w:szCs w:val="24"/>
        </w:rPr>
        <w:t>Groundwater Storage Anomaly (GWSA)</w:t>
      </w:r>
    </w:p>
    <w:p w14:paraId="3503ECC4" w14:textId="77777777" w:rsidR="00B9501C" w:rsidRPr="00B9501C" w:rsidRDefault="00B9501C" w:rsidP="003C09DC">
      <w:pPr>
        <w:spacing w:line="360" w:lineRule="auto"/>
        <w:ind w:firstLine="851"/>
        <w:jc w:val="both"/>
        <w:rPr>
          <w:rFonts w:ascii="Times New Roman" w:hAnsi="Times New Roman" w:cs="Times New Roman"/>
          <w:sz w:val="24"/>
          <w:szCs w:val="24"/>
        </w:rPr>
      </w:pPr>
      <w:r w:rsidRPr="00B9501C">
        <w:rPr>
          <w:rFonts w:ascii="Times New Roman" w:hAnsi="Times New Roman" w:cs="Times New Roman"/>
          <w:sz w:val="24"/>
          <w:szCs w:val="24"/>
        </w:rPr>
        <w:t xml:space="preserve">Groundwater storage anomalies were computed to assess temporal groundwater depletion and recovery conditions across different geological formations. The results revealed that severe groundwater stress occurred during the years 2014 and 2020, when most geological formations exhibited strongly negative groundwater storage anomalies. The </w:t>
      </w:r>
      <w:proofErr w:type="spellStart"/>
      <w:r w:rsidRPr="00B9501C">
        <w:rPr>
          <w:rFonts w:ascii="Times New Roman" w:hAnsi="Times New Roman" w:cs="Times New Roman"/>
          <w:sz w:val="24"/>
          <w:szCs w:val="24"/>
        </w:rPr>
        <w:t>Khairagarh</w:t>
      </w:r>
      <w:proofErr w:type="spellEnd"/>
      <w:r w:rsidRPr="00B9501C">
        <w:rPr>
          <w:rFonts w:ascii="Times New Roman" w:hAnsi="Times New Roman" w:cs="Times New Roman"/>
          <w:sz w:val="24"/>
          <w:szCs w:val="24"/>
        </w:rPr>
        <w:t xml:space="preserve"> Group showed the most extreme depletion, reaching a minimum anomaly of −14.7 MCM during 2020. Other formations including Lower Gondwana (−6.46 MCM), Deccan Trap (−3.39 MCM), Laterite/Bauxite (−2.25 MCM), Sausar Group (−1.97 MCM), Betul Gneiss (−1.62 MCM), and Acid Intrusive/Granite (−1.59 MCM) also experienced significant groundwater depletion.</w:t>
      </w:r>
      <w:r w:rsidR="003C09DC">
        <w:rPr>
          <w:rFonts w:ascii="Times New Roman" w:hAnsi="Times New Roman" w:cs="Times New Roman"/>
          <w:sz w:val="24"/>
          <w:szCs w:val="24"/>
        </w:rPr>
        <w:t xml:space="preserve"> </w:t>
      </w:r>
      <w:r w:rsidRPr="00B9501C">
        <w:rPr>
          <w:rFonts w:ascii="Times New Roman" w:hAnsi="Times New Roman" w:cs="Times New Roman"/>
          <w:sz w:val="24"/>
          <w:szCs w:val="24"/>
        </w:rPr>
        <w:t xml:space="preserve">The occurrence of strong negative groundwater storage anomalies during drought years clearly indicates the sensitivity of hard-rock aquifers to rainfall variability and groundwater abstraction. Geological formations with lower storage capacity and poor recharge efficiency experienced greater depletion during stress periods. Similar groundwater depletion patterns across India have been reported using GRACE satellite observations by Rodell </w:t>
      </w:r>
      <w:r w:rsidR="00A1135E" w:rsidRPr="00A1135E">
        <w:rPr>
          <w:rFonts w:ascii="Times New Roman" w:hAnsi="Times New Roman" w:cs="Times New Roman"/>
          <w:i/>
          <w:sz w:val="24"/>
          <w:szCs w:val="24"/>
        </w:rPr>
        <w:t>et al</w:t>
      </w:r>
      <w:r w:rsidRPr="00B9501C">
        <w:rPr>
          <w:rFonts w:ascii="Times New Roman" w:hAnsi="Times New Roman" w:cs="Times New Roman"/>
          <w:sz w:val="24"/>
          <w:szCs w:val="24"/>
        </w:rPr>
        <w:t xml:space="preserve">. (2009), Tiwari </w:t>
      </w:r>
      <w:r w:rsidR="00A1135E" w:rsidRPr="00A1135E">
        <w:rPr>
          <w:rFonts w:ascii="Times New Roman" w:hAnsi="Times New Roman" w:cs="Times New Roman"/>
          <w:i/>
          <w:sz w:val="24"/>
          <w:szCs w:val="24"/>
        </w:rPr>
        <w:t>et al</w:t>
      </w:r>
      <w:r w:rsidRPr="00B9501C">
        <w:rPr>
          <w:rFonts w:ascii="Times New Roman" w:hAnsi="Times New Roman" w:cs="Times New Roman"/>
          <w:sz w:val="24"/>
          <w:szCs w:val="24"/>
        </w:rPr>
        <w:t>. (2009), and Panda and Wahr (2016).</w:t>
      </w:r>
      <w:r w:rsidR="003C09DC">
        <w:rPr>
          <w:rFonts w:ascii="Times New Roman" w:hAnsi="Times New Roman" w:cs="Times New Roman"/>
          <w:sz w:val="24"/>
          <w:szCs w:val="24"/>
        </w:rPr>
        <w:t xml:space="preserve"> </w:t>
      </w:r>
      <w:r w:rsidRPr="00B9501C">
        <w:rPr>
          <w:rFonts w:ascii="Times New Roman" w:hAnsi="Times New Roman" w:cs="Times New Roman"/>
          <w:sz w:val="24"/>
          <w:szCs w:val="24"/>
        </w:rPr>
        <w:t xml:space="preserve">In contrast, substantial groundwater recovery was observed during 2010, when most formations exhibited positive groundwater storage anomalies due to high monsoonal recharge. The </w:t>
      </w:r>
      <w:proofErr w:type="spellStart"/>
      <w:r w:rsidRPr="00B9501C">
        <w:rPr>
          <w:rFonts w:ascii="Times New Roman" w:hAnsi="Times New Roman" w:cs="Times New Roman"/>
          <w:sz w:val="24"/>
          <w:szCs w:val="24"/>
        </w:rPr>
        <w:t>Khairagarh</w:t>
      </w:r>
      <w:proofErr w:type="spellEnd"/>
      <w:r w:rsidRPr="00B9501C">
        <w:rPr>
          <w:rFonts w:ascii="Times New Roman" w:hAnsi="Times New Roman" w:cs="Times New Roman"/>
          <w:sz w:val="24"/>
          <w:szCs w:val="24"/>
        </w:rPr>
        <w:t xml:space="preserve"> Group recorded the highest positive anomaly of +13.9 MCM, followed by Lower Gondwana (+2.33 MCM), Laterite/Bauxite (+1.09 MCM), Betul Gneiss (+0.95 MCM), Acid Intrusive/Granite (+0.93 MCM), Sausar Group (+0.35 MCM), and Deccan Trap (+0.23 MCM). These results demonstrate that heavy monsoonal rainfall can significantly restore groundwater storage; however, recharge efficiency and storage response vary considerably depending on geological conditions and aquifer properties.</w:t>
      </w:r>
    </w:p>
    <w:p w14:paraId="729EFA6F" w14:textId="77777777" w:rsidR="00B9501C" w:rsidRPr="003C09DC" w:rsidRDefault="00B9501C" w:rsidP="00B9501C">
      <w:pPr>
        <w:spacing w:line="360" w:lineRule="auto"/>
        <w:jc w:val="both"/>
        <w:rPr>
          <w:rFonts w:ascii="Times New Roman" w:hAnsi="Times New Roman" w:cs="Times New Roman"/>
          <w:b/>
          <w:bCs/>
          <w:sz w:val="24"/>
          <w:szCs w:val="24"/>
        </w:rPr>
      </w:pPr>
      <w:r w:rsidRPr="003C09DC">
        <w:rPr>
          <w:rFonts w:ascii="Times New Roman" w:hAnsi="Times New Roman" w:cs="Times New Roman"/>
          <w:b/>
          <w:bCs/>
          <w:sz w:val="24"/>
          <w:szCs w:val="24"/>
        </w:rPr>
        <w:t>Spatial Variability of Groundwater Storage</w:t>
      </w:r>
    </w:p>
    <w:p w14:paraId="57FA6F5B" w14:textId="77777777" w:rsidR="00FE1B8A" w:rsidRDefault="00B9501C" w:rsidP="00C46DBE">
      <w:pPr>
        <w:spacing w:line="360" w:lineRule="auto"/>
        <w:ind w:firstLine="851"/>
        <w:jc w:val="both"/>
        <w:rPr>
          <w:rFonts w:ascii="Times New Roman" w:hAnsi="Times New Roman" w:cs="Times New Roman"/>
          <w:sz w:val="24"/>
          <w:szCs w:val="24"/>
        </w:rPr>
      </w:pPr>
      <w:r w:rsidRPr="00B9501C">
        <w:rPr>
          <w:rFonts w:ascii="Times New Roman" w:hAnsi="Times New Roman" w:cs="Times New Roman"/>
          <w:sz w:val="24"/>
          <w:szCs w:val="24"/>
        </w:rPr>
        <w:t xml:space="preserve">Spatial variability analysis using standard deviation highlighted substantial heterogeneity in groundwater storage distribution among geological formations. The </w:t>
      </w:r>
      <w:proofErr w:type="spellStart"/>
      <w:r w:rsidRPr="00B9501C">
        <w:rPr>
          <w:rFonts w:ascii="Times New Roman" w:hAnsi="Times New Roman" w:cs="Times New Roman"/>
          <w:sz w:val="24"/>
          <w:szCs w:val="24"/>
        </w:rPr>
        <w:t>Khairagarh</w:t>
      </w:r>
      <w:proofErr w:type="spellEnd"/>
      <w:r w:rsidRPr="00B9501C">
        <w:rPr>
          <w:rFonts w:ascii="Times New Roman" w:hAnsi="Times New Roman" w:cs="Times New Roman"/>
          <w:sz w:val="24"/>
          <w:szCs w:val="24"/>
        </w:rPr>
        <w:t xml:space="preserve"> Group exhibited the highest spatial variability, particularly during the drought year 2014, when standard deviation reached 20.01 MCM. This indicates highly uneven groundwater distribution within the formation, where certain areas retained groundwater while others experienced severe depletion.</w:t>
      </w:r>
      <w:r w:rsidR="00C46DBE">
        <w:rPr>
          <w:rFonts w:ascii="Times New Roman" w:hAnsi="Times New Roman" w:cs="Times New Roman"/>
          <w:sz w:val="24"/>
          <w:szCs w:val="24"/>
        </w:rPr>
        <w:t xml:space="preserve"> </w:t>
      </w:r>
      <w:r w:rsidRPr="00B9501C">
        <w:rPr>
          <w:rFonts w:ascii="Times New Roman" w:hAnsi="Times New Roman" w:cs="Times New Roman"/>
          <w:sz w:val="24"/>
          <w:szCs w:val="24"/>
        </w:rPr>
        <w:t xml:space="preserve">Similarly, Deccan Trap and Lower Gondwana formations showed increasing spatial variability during the last decade, reaching values of 7.79 MCM and </w:t>
      </w:r>
      <w:r w:rsidRPr="00B9501C">
        <w:rPr>
          <w:rFonts w:ascii="Times New Roman" w:hAnsi="Times New Roman" w:cs="Times New Roman"/>
          <w:sz w:val="24"/>
          <w:szCs w:val="24"/>
        </w:rPr>
        <w:lastRenderedPageBreak/>
        <w:t>7.80 MCM, respectively. Increasing variability suggests growing hydrological complexity and non-uniform groundwater behaviour within these formations. In contrast, Acid Intrusive/Granite and Sausar Group formations maintained relatively low and stable spatial variability ranging between 1.9 and 3.4 MCM, indicating comparatively uniform groundwater distribution and aquifer behaviour.</w:t>
      </w:r>
      <w:r w:rsidR="00C46DBE">
        <w:rPr>
          <w:rFonts w:ascii="Times New Roman" w:hAnsi="Times New Roman" w:cs="Times New Roman"/>
          <w:sz w:val="24"/>
          <w:szCs w:val="24"/>
        </w:rPr>
        <w:t xml:space="preserve"> </w:t>
      </w:r>
      <w:r w:rsidRPr="00B9501C">
        <w:rPr>
          <w:rFonts w:ascii="Times New Roman" w:hAnsi="Times New Roman" w:cs="Times New Roman"/>
          <w:sz w:val="24"/>
          <w:szCs w:val="24"/>
        </w:rPr>
        <w:t xml:space="preserve">The relationship between groundwater storage anomalies, recharge magnitude, and spatial variability revealed strong hydrogeological coupling within the basin. Spatial variability generally increased during periods of groundwater depletion and hydrological stress, indicating uneven aquifer response to declining recharge conditions. Similar relationships between geological heterogeneity and groundwater storage variability have been reported by Fetter (2001) and Bhanja </w:t>
      </w:r>
      <w:r w:rsidR="00A1135E" w:rsidRPr="00A1135E">
        <w:rPr>
          <w:rFonts w:ascii="Times New Roman" w:hAnsi="Times New Roman" w:cs="Times New Roman"/>
          <w:i/>
          <w:sz w:val="24"/>
          <w:szCs w:val="24"/>
        </w:rPr>
        <w:t>et al</w:t>
      </w:r>
      <w:r w:rsidRPr="00B9501C">
        <w:rPr>
          <w:rFonts w:ascii="Times New Roman" w:hAnsi="Times New Roman" w:cs="Times New Roman"/>
          <w:sz w:val="24"/>
          <w:szCs w:val="24"/>
        </w:rPr>
        <w:t>. (2017).</w:t>
      </w:r>
      <w:r w:rsidR="00C46DBE">
        <w:rPr>
          <w:rFonts w:ascii="Times New Roman" w:hAnsi="Times New Roman" w:cs="Times New Roman"/>
          <w:sz w:val="24"/>
          <w:szCs w:val="24"/>
        </w:rPr>
        <w:t xml:space="preserve"> </w:t>
      </w:r>
      <w:r w:rsidRPr="00B9501C">
        <w:rPr>
          <w:rFonts w:ascii="Times New Roman" w:hAnsi="Times New Roman" w:cs="Times New Roman"/>
          <w:sz w:val="24"/>
          <w:szCs w:val="24"/>
        </w:rPr>
        <w:t>Overall, the results indicate that groundwater recharge, storage anomalies, and spatial variability within the Wainganga River basin are strongly controlled by geological characteristics, monsoonal rainfall variability, and aquifer properties. The findings emphasize the importance of geological considerations in groundwater management and artificial recharge planning for sustainable utilization of groundwater resources in hard-rock terrains of central India.</w:t>
      </w:r>
    </w:p>
    <w:p w14:paraId="3D8ED9CA" w14:textId="77777777" w:rsidR="00961921" w:rsidRPr="00961921" w:rsidRDefault="00961921" w:rsidP="00961921">
      <w:pPr>
        <w:spacing w:line="360" w:lineRule="auto"/>
        <w:jc w:val="both"/>
        <w:rPr>
          <w:rFonts w:ascii="Times New Roman" w:hAnsi="Times New Roman" w:cs="Times New Roman"/>
          <w:sz w:val="24"/>
          <w:szCs w:val="24"/>
        </w:rPr>
      </w:pPr>
      <w:r w:rsidRPr="00961921">
        <w:rPr>
          <w:rFonts w:ascii="Times New Roman" w:hAnsi="Times New Roman" w:cs="Times New Roman"/>
          <w:b/>
          <w:bCs/>
          <w:sz w:val="24"/>
          <w:szCs w:val="24"/>
        </w:rPr>
        <w:t>CONCLUSION</w:t>
      </w:r>
    </w:p>
    <w:p w14:paraId="2C45EB28" w14:textId="4637B050" w:rsidR="00961921" w:rsidRDefault="00961921" w:rsidP="00961921">
      <w:pPr>
        <w:spacing w:line="360" w:lineRule="auto"/>
        <w:ind w:firstLine="851"/>
        <w:jc w:val="both"/>
        <w:rPr>
          <w:rFonts w:ascii="Times New Roman" w:hAnsi="Times New Roman" w:cs="Times New Roman"/>
          <w:sz w:val="24"/>
          <w:szCs w:val="24"/>
        </w:rPr>
      </w:pPr>
      <w:r w:rsidRPr="00961921">
        <w:rPr>
          <w:rFonts w:ascii="Times New Roman" w:hAnsi="Times New Roman" w:cs="Times New Roman"/>
          <w:sz w:val="24"/>
          <w:szCs w:val="24"/>
        </w:rPr>
        <w:t>The present study comprehensively evaluated groundwater recharge dynamics, groundwater storage anomalies (GWSA), and spatial variability across different geological formations of the Wainganga River basin using long-term groundwater level observations from 2000–2020. The findings revealed considerable temporal and spatial variability in groundwater behaviour, strongly influenced by geological characteristics, monsoonal rainfall variability, and aquifer properties. Pre- and post-monsoon groundwater level analyses indicated that deeper groundwater levels were predominantly associated with the Deccan Trap and Betul Gneiss formations, whereas comparatively shallow groundwater conditions were observed within the Acid Intrusive/Granite formations. These variations demonstrate the important role of lithology, fracture connectivity, and aquifer permeability in controlling groundwater occurrence and recharge processes.</w:t>
      </w:r>
      <w:r>
        <w:rPr>
          <w:rFonts w:ascii="Times New Roman" w:hAnsi="Times New Roman" w:cs="Times New Roman"/>
          <w:sz w:val="24"/>
          <w:szCs w:val="24"/>
        </w:rPr>
        <w:t xml:space="preserve"> </w:t>
      </w:r>
      <w:r w:rsidRPr="00961921">
        <w:rPr>
          <w:rFonts w:ascii="Times New Roman" w:hAnsi="Times New Roman" w:cs="Times New Roman"/>
          <w:sz w:val="24"/>
          <w:szCs w:val="24"/>
        </w:rPr>
        <w:t xml:space="preserve">Groundwater recharge estimation using the Water Table Fluctuation (WTF) method showed that the Deccan Trap formation contributed the highest recharge due to its extensive areal coverage, while recharge values significantly declined during drought years, particularly in 2014. The basin-wide recharge variability clearly reflected the influence of monsoonal rainfall on aquifer replenishment. Groundwater storage anomaly analysis further demonstrated that severe hydrological stress occurred during 2014 and 2020, when most geological formations exhibited strong negative anomalies. The </w:t>
      </w:r>
      <w:proofErr w:type="spellStart"/>
      <w:r w:rsidRPr="00961921">
        <w:rPr>
          <w:rFonts w:ascii="Times New Roman" w:hAnsi="Times New Roman" w:cs="Times New Roman"/>
          <w:sz w:val="24"/>
          <w:szCs w:val="24"/>
        </w:rPr>
        <w:t>Khairagarh</w:t>
      </w:r>
      <w:proofErr w:type="spellEnd"/>
      <w:r w:rsidRPr="00961921">
        <w:rPr>
          <w:rFonts w:ascii="Times New Roman" w:hAnsi="Times New Roman" w:cs="Times New Roman"/>
          <w:sz w:val="24"/>
          <w:szCs w:val="24"/>
        </w:rPr>
        <w:t xml:space="preserve"> Group experienced the highest depletion, indicating greater aquifer vulnerability under deficient </w:t>
      </w:r>
      <w:r w:rsidRPr="00961921">
        <w:rPr>
          <w:rFonts w:ascii="Times New Roman" w:hAnsi="Times New Roman" w:cs="Times New Roman"/>
          <w:sz w:val="24"/>
          <w:szCs w:val="24"/>
        </w:rPr>
        <w:lastRenderedPageBreak/>
        <w:t>rainfall conditions. In contrast, substantial groundwater recovery was observed during high rainfall years such as 2010, emphasizing the importance of monsoon recharge in restoring groundwater storage.</w:t>
      </w:r>
      <w:r>
        <w:rPr>
          <w:rFonts w:ascii="Times New Roman" w:hAnsi="Times New Roman" w:cs="Times New Roman"/>
          <w:sz w:val="24"/>
          <w:szCs w:val="24"/>
        </w:rPr>
        <w:t xml:space="preserve"> </w:t>
      </w:r>
      <w:r w:rsidRPr="00961921">
        <w:rPr>
          <w:rFonts w:ascii="Times New Roman" w:hAnsi="Times New Roman" w:cs="Times New Roman"/>
          <w:sz w:val="24"/>
          <w:szCs w:val="24"/>
        </w:rPr>
        <w:t xml:space="preserve">Spatial variability analysis revealed significant heterogeneity in groundwater storage distribution across geological formations. The </w:t>
      </w:r>
      <w:proofErr w:type="spellStart"/>
      <w:r w:rsidRPr="00961921">
        <w:rPr>
          <w:rFonts w:ascii="Times New Roman" w:hAnsi="Times New Roman" w:cs="Times New Roman"/>
          <w:sz w:val="24"/>
          <w:szCs w:val="24"/>
        </w:rPr>
        <w:t>Khairagarh</w:t>
      </w:r>
      <w:proofErr w:type="spellEnd"/>
      <w:r w:rsidRPr="00961921">
        <w:rPr>
          <w:rFonts w:ascii="Times New Roman" w:hAnsi="Times New Roman" w:cs="Times New Roman"/>
          <w:sz w:val="24"/>
          <w:szCs w:val="24"/>
        </w:rPr>
        <w:t xml:space="preserve"> Group exhibited the highest spatial variability, while Acid Intrusive/Granite and Sausar Group formations showed relatively stable groundwater conditions. Overall, the study highlights a strong coupling between geology, recharge magnitude, and groundwater storage behaviour. These findings provide valuable scientific information for sustainable groundwater management, artificial recharge planning, and identification of groundwater-stressed zones in hard-rock terrains of central India.</w:t>
      </w:r>
    </w:p>
    <w:p w14:paraId="734BFDE4" w14:textId="77777777" w:rsidR="00B24397" w:rsidRPr="00B24397" w:rsidRDefault="00B24397" w:rsidP="00B24397">
      <w:pPr>
        <w:keepNext/>
        <w:keepLines/>
        <w:spacing w:before="120" w:after="120" w:line="360" w:lineRule="auto"/>
        <w:jc w:val="both"/>
        <w:outlineLvl w:val="1"/>
        <w:rPr>
          <w:rFonts w:ascii="Times New Roman" w:eastAsia="Times New Roman" w:hAnsi="Times New Roman" w:cs="Times New Roman"/>
          <w:bCs/>
          <w:kern w:val="0"/>
          <w:sz w:val="24"/>
          <w:szCs w:val="24"/>
          <w:highlight w:val="yellow"/>
          <w:lang w:val="en-GB" w:eastAsia="en-IN"/>
          <w14:ligatures w14:val="none"/>
        </w:rPr>
      </w:pPr>
      <w:bookmarkStart w:id="0" w:name="_Hlk218867759"/>
      <w:r w:rsidRPr="00B24397">
        <w:rPr>
          <w:rFonts w:ascii="Times New Roman" w:eastAsia="Times New Roman" w:hAnsi="Times New Roman" w:cs="Times New Roman"/>
          <w:bCs/>
          <w:kern w:val="0"/>
          <w:sz w:val="24"/>
          <w:szCs w:val="24"/>
          <w:highlight w:val="yellow"/>
          <w:lang w:val="en-GB" w:eastAsia="en-IN"/>
          <w14:ligatures w14:val="none"/>
        </w:rPr>
        <w:t>Disclaimer (Artificial intelligence)</w:t>
      </w:r>
    </w:p>
    <w:p w14:paraId="45580B57" w14:textId="77777777" w:rsidR="00B24397" w:rsidRPr="00B24397" w:rsidRDefault="00B24397" w:rsidP="00B24397">
      <w:pPr>
        <w:keepNext/>
        <w:keepLines/>
        <w:spacing w:before="120" w:after="120" w:line="360" w:lineRule="auto"/>
        <w:jc w:val="both"/>
        <w:outlineLvl w:val="1"/>
        <w:rPr>
          <w:rFonts w:ascii="Times New Roman" w:eastAsia="Times New Roman" w:hAnsi="Times New Roman" w:cs="Times New Roman"/>
          <w:bCs/>
          <w:kern w:val="0"/>
          <w:sz w:val="24"/>
          <w:szCs w:val="24"/>
          <w:lang w:val="en-GB" w:eastAsia="en-IN"/>
          <w14:ligatures w14:val="none"/>
        </w:rPr>
      </w:pPr>
      <w:r w:rsidRPr="00B24397">
        <w:rPr>
          <w:rFonts w:ascii="Times New Roman" w:eastAsia="Times New Roman" w:hAnsi="Times New Roman" w:cs="Times New Roman"/>
          <w:bCs/>
          <w:kern w:val="0"/>
          <w:sz w:val="24"/>
          <w:szCs w:val="24"/>
          <w:highlight w:val="yellow"/>
          <w:lang w:val="en-GB" w:eastAsia="en-IN"/>
          <w14:ligatures w14:val="none"/>
        </w:rPr>
        <w:t xml:space="preserve">Author(s) hereby </w:t>
      </w:r>
      <w:proofErr w:type="gramStart"/>
      <w:r w:rsidRPr="00B24397">
        <w:rPr>
          <w:rFonts w:ascii="Times New Roman" w:eastAsia="Times New Roman" w:hAnsi="Times New Roman" w:cs="Times New Roman"/>
          <w:bCs/>
          <w:kern w:val="0"/>
          <w:sz w:val="24"/>
          <w:szCs w:val="24"/>
          <w:highlight w:val="yellow"/>
          <w:lang w:val="en-GB" w:eastAsia="en-IN"/>
          <w14:ligatures w14:val="none"/>
        </w:rPr>
        <w:t>declare</w:t>
      </w:r>
      <w:proofErr w:type="gramEnd"/>
      <w:r w:rsidRPr="00B24397">
        <w:rPr>
          <w:rFonts w:ascii="Times New Roman" w:eastAsia="Times New Roman" w:hAnsi="Times New Roman" w:cs="Times New Roman"/>
          <w:bCs/>
          <w:kern w:val="0"/>
          <w:sz w:val="24"/>
          <w:szCs w:val="24"/>
          <w:highlight w:val="yellow"/>
          <w:lang w:val="en-GB" w:eastAsia="en-IN"/>
          <w14:ligatures w14:val="none"/>
        </w:rPr>
        <w:t xml:space="preserve"> that NO generative AI technologies such as Large Language Models (ChatGPT, COPILOT, etc.) and text-to-image generators have been used during the writing or editing of this manuscript.</w:t>
      </w:r>
      <w:r w:rsidRPr="00B24397">
        <w:rPr>
          <w:rFonts w:ascii="Times New Roman" w:eastAsia="Times New Roman" w:hAnsi="Times New Roman" w:cs="Times New Roman"/>
          <w:bCs/>
          <w:kern w:val="0"/>
          <w:sz w:val="24"/>
          <w:szCs w:val="24"/>
          <w:lang w:val="en-GB" w:eastAsia="en-IN"/>
          <w14:ligatures w14:val="none"/>
        </w:rPr>
        <w:t xml:space="preserve"> </w:t>
      </w:r>
    </w:p>
    <w:bookmarkEnd w:id="0"/>
    <w:p w14:paraId="648B8EE9" w14:textId="77777777" w:rsidR="004453DF" w:rsidRDefault="004453DF" w:rsidP="00961921">
      <w:pPr>
        <w:spacing w:line="360" w:lineRule="auto"/>
        <w:ind w:firstLine="851"/>
        <w:jc w:val="both"/>
        <w:rPr>
          <w:rFonts w:ascii="Times New Roman" w:hAnsi="Times New Roman" w:cs="Times New Roman"/>
          <w:sz w:val="24"/>
          <w:szCs w:val="24"/>
        </w:rPr>
      </w:pPr>
    </w:p>
    <w:p w14:paraId="115B3008" w14:textId="77777777" w:rsidR="00961921" w:rsidRDefault="00961921" w:rsidP="00961921">
      <w:pPr>
        <w:spacing w:line="360" w:lineRule="auto"/>
        <w:jc w:val="both"/>
        <w:rPr>
          <w:rFonts w:ascii="Times New Roman" w:hAnsi="Times New Roman" w:cs="Times New Roman"/>
          <w:b/>
          <w:bCs/>
          <w:sz w:val="24"/>
          <w:szCs w:val="24"/>
        </w:rPr>
      </w:pPr>
      <w:r w:rsidRPr="00961921">
        <w:rPr>
          <w:rFonts w:ascii="Times New Roman" w:hAnsi="Times New Roman" w:cs="Times New Roman"/>
          <w:b/>
          <w:bCs/>
          <w:sz w:val="24"/>
          <w:szCs w:val="24"/>
        </w:rPr>
        <w:t>REFERENCES</w:t>
      </w:r>
    </w:p>
    <w:p w14:paraId="724E55DB" w14:textId="77777777" w:rsidR="0049098C" w:rsidRPr="00D93D98" w:rsidRDefault="0049098C" w:rsidP="00356AF8">
      <w:pPr>
        <w:spacing w:line="360" w:lineRule="auto"/>
        <w:ind w:left="567" w:hanging="567"/>
        <w:jc w:val="both"/>
        <w:rPr>
          <w:rFonts w:ascii="Times New Roman" w:hAnsi="Times New Roman" w:cs="Times New Roman"/>
          <w:sz w:val="24"/>
          <w:szCs w:val="24"/>
        </w:rPr>
      </w:pPr>
      <w:r w:rsidRPr="00D93D98">
        <w:rPr>
          <w:rFonts w:ascii="Times New Roman" w:hAnsi="Times New Roman" w:cs="Times New Roman"/>
          <w:sz w:val="24"/>
          <w:szCs w:val="24"/>
        </w:rPr>
        <w:t>Agarwal, E., &amp; Garg, R. D. (2016). Remote sensing and GIS based groundwater potential &amp; recharge zones mapping using multi-</w:t>
      </w:r>
      <w:proofErr w:type="gramStart"/>
      <w:r w:rsidRPr="00D93D98">
        <w:rPr>
          <w:rFonts w:ascii="Times New Roman" w:hAnsi="Times New Roman" w:cs="Times New Roman"/>
          <w:sz w:val="24"/>
          <w:szCs w:val="24"/>
        </w:rPr>
        <w:t>criteria decision making</w:t>
      </w:r>
      <w:proofErr w:type="gramEnd"/>
      <w:r w:rsidRPr="00D93D98">
        <w:rPr>
          <w:rFonts w:ascii="Times New Roman" w:hAnsi="Times New Roman" w:cs="Times New Roman"/>
          <w:sz w:val="24"/>
          <w:szCs w:val="24"/>
        </w:rPr>
        <w:t xml:space="preserve"> technique. Water Resources Management, 30, 243–260.</w:t>
      </w:r>
    </w:p>
    <w:p w14:paraId="4240A02E" w14:textId="77777777" w:rsidR="0049098C" w:rsidRPr="00D93D98" w:rsidRDefault="0049098C" w:rsidP="00356AF8">
      <w:pPr>
        <w:spacing w:line="360" w:lineRule="auto"/>
        <w:ind w:left="567" w:hanging="567"/>
        <w:jc w:val="both"/>
        <w:rPr>
          <w:rFonts w:ascii="Times New Roman" w:hAnsi="Times New Roman" w:cs="Times New Roman"/>
          <w:sz w:val="24"/>
          <w:szCs w:val="24"/>
        </w:rPr>
      </w:pPr>
      <w:r w:rsidRPr="00D93D98">
        <w:rPr>
          <w:rFonts w:ascii="Times New Roman" w:hAnsi="Times New Roman" w:cs="Times New Roman"/>
          <w:sz w:val="24"/>
          <w:szCs w:val="24"/>
        </w:rPr>
        <w:t xml:space="preserve">Bhanja, S. N., Mukherjee, A., Saha, D., </w:t>
      </w:r>
      <w:proofErr w:type="spellStart"/>
      <w:r w:rsidRPr="00D93D98">
        <w:rPr>
          <w:rFonts w:ascii="Times New Roman" w:hAnsi="Times New Roman" w:cs="Times New Roman"/>
          <w:sz w:val="24"/>
          <w:szCs w:val="24"/>
        </w:rPr>
        <w:t>Velicogna</w:t>
      </w:r>
      <w:proofErr w:type="spellEnd"/>
      <w:r w:rsidRPr="00D93D98">
        <w:rPr>
          <w:rFonts w:ascii="Times New Roman" w:hAnsi="Times New Roman" w:cs="Times New Roman"/>
          <w:sz w:val="24"/>
          <w:szCs w:val="24"/>
        </w:rPr>
        <w:t>, I., &amp; Famiglietti, J. S. (2017). Validation of GRACE based groundwater storage anomaly using in-situ groundwater level measurements in India. Journal of Hydrology, 543, 729–738.</w:t>
      </w:r>
    </w:p>
    <w:p w14:paraId="444DD4A9" w14:textId="77777777" w:rsidR="0049098C" w:rsidRPr="00D93D98" w:rsidRDefault="0049098C" w:rsidP="00356AF8">
      <w:pPr>
        <w:spacing w:line="360" w:lineRule="auto"/>
        <w:ind w:left="567" w:hanging="567"/>
        <w:jc w:val="both"/>
        <w:rPr>
          <w:rFonts w:ascii="Times New Roman" w:hAnsi="Times New Roman" w:cs="Times New Roman"/>
          <w:sz w:val="24"/>
          <w:szCs w:val="24"/>
        </w:rPr>
      </w:pPr>
      <w:r w:rsidRPr="00D93D98">
        <w:rPr>
          <w:rFonts w:ascii="Times New Roman" w:hAnsi="Times New Roman" w:cs="Times New Roman"/>
          <w:sz w:val="24"/>
          <w:szCs w:val="24"/>
        </w:rPr>
        <w:t>Central Ground Water Board (CGWB). (2020). Dynamic Ground Water Resources of India. Ministry of Jal Shakti, Government of India.</w:t>
      </w:r>
    </w:p>
    <w:p w14:paraId="78E429F6" w14:textId="77777777" w:rsidR="0049098C" w:rsidRPr="00D93D98" w:rsidRDefault="0049098C" w:rsidP="00356AF8">
      <w:pPr>
        <w:spacing w:line="360" w:lineRule="auto"/>
        <w:ind w:left="567" w:hanging="567"/>
        <w:jc w:val="both"/>
        <w:rPr>
          <w:rFonts w:ascii="Times New Roman" w:hAnsi="Times New Roman" w:cs="Times New Roman"/>
          <w:sz w:val="24"/>
          <w:szCs w:val="24"/>
        </w:rPr>
      </w:pPr>
      <w:r w:rsidRPr="00D93D98">
        <w:rPr>
          <w:rFonts w:ascii="Times New Roman" w:hAnsi="Times New Roman" w:cs="Times New Roman"/>
          <w:sz w:val="24"/>
          <w:szCs w:val="24"/>
        </w:rPr>
        <w:t>Fetter, C. W. (2001). Applied Hydrogeology (4th ed.). Prentice Hall.</w:t>
      </w:r>
    </w:p>
    <w:p w14:paraId="642AC903" w14:textId="77777777" w:rsidR="0049098C" w:rsidRPr="00C84EBA" w:rsidRDefault="0049098C" w:rsidP="00356AF8">
      <w:pPr>
        <w:spacing w:line="360" w:lineRule="auto"/>
        <w:ind w:left="567" w:hanging="567"/>
        <w:jc w:val="both"/>
        <w:rPr>
          <w:rFonts w:ascii="Times New Roman" w:hAnsi="Times New Roman" w:cs="Times New Roman"/>
          <w:sz w:val="24"/>
          <w:szCs w:val="24"/>
        </w:rPr>
      </w:pPr>
      <w:r w:rsidRPr="00C84EBA">
        <w:rPr>
          <w:rFonts w:ascii="Times New Roman" w:hAnsi="Times New Roman" w:cs="Times New Roman"/>
          <w:sz w:val="24"/>
          <w:szCs w:val="24"/>
        </w:rPr>
        <w:t>Healy, R. W. (2010). Estimating Groundwater Recharge. Cambridge University Press.</w:t>
      </w:r>
    </w:p>
    <w:p w14:paraId="586E61AA" w14:textId="77777777" w:rsidR="0049098C" w:rsidRPr="00D93D98" w:rsidRDefault="0049098C" w:rsidP="00356AF8">
      <w:pPr>
        <w:spacing w:line="360" w:lineRule="auto"/>
        <w:ind w:left="567" w:hanging="567"/>
        <w:jc w:val="both"/>
        <w:rPr>
          <w:rFonts w:ascii="Times New Roman" w:hAnsi="Times New Roman" w:cs="Times New Roman"/>
          <w:sz w:val="24"/>
          <w:szCs w:val="24"/>
        </w:rPr>
      </w:pPr>
      <w:r w:rsidRPr="00D93D98">
        <w:rPr>
          <w:rFonts w:ascii="Times New Roman" w:hAnsi="Times New Roman" w:cs="Times New Roman"/>
          <w:sz w:val="24"/>
          <w:szCs w:val="24"/>
        </w:rPr>
        <w:t>Healy, R. W., &amp; Cook, P. G. (2002). Using groundwater levels to estimate recharge. Hydrogeology Journal, 10, 91–109.</w:t>
      </w:r>
    </w:p>
    <w:p w14:paraId="1DA58DFA" w14:textId="77777777" w:rsidR="0049098C" w:rsidRPr="00D93D98" w:rsidRDefault="0049098C" w:rsidP="00356AF8">
      <w:pPr>
        <w:spacing w:line="360" w:lineRule="auto"/>
        <w:ind w:left="567" w:hanging="567"/>
        <w:jc w:val="both"/>
        <w:rPr>
          <w:rFonts w:ascii="Times New Roman" w:hAnsi="Times New Roman" w:cs="Times New Roman"/>
          <w:sz w:val="24"/>
          <w:szCs w:val="24"/>
        </w:rPr>
      </w:pPr>
      <w:r w:rsidRPr="00D93D98">
        <w:rPr>
          <w:rFonts w:ascii="Times New Roman" w:hAnsi="Times New Roman" w:cs="Times New Roman"/>
          <w:sz w:val="24"/>
          <w:szCs w:val="24"/>
        </w:rPr>
        <w:lastRenderedPageBreak/>
        <w:t xml:space="preserve">Magesh, N. S., Chandrasekar, N., &amp; </w:t>
      </w:r>
      <w:proofErr w:type="spellStart"/>
      <w:r w:rsidRPr="00D93D98">
        <w:rPr>
          <w:rFonts w:ascii="Times New Roman" w:hAnsi="Times New Roman" w:cs="Times New Roman"/>
          <w:sz w:val="24"/>
          <w:szCs w:val="24"/>
        </w:rPr>
        <w:t>Soundranayagam</w:t>
      </w:r>
      <w:proofErr w:type="spellEnd"/>
      <w:r w:rsidRPr="00D93D98">
        <w:rPr>
          <w:rFonts w:ascii="Times New Roman" w:hAnsi="Times New Roman" w:cs="Times New Roman"/>
          <w:sz w:val="24"/>
          <w:szCs w:val="24"/>
        </w:rPr>
        <w:t>, J. P. (2012). Delineation of groundwater potential zones in Theni district, Tamil Nadu, using remote sensing, GIS and MIF techniques. Geoscience Frontiers, 3(2), 189–196.</w:t>
      </w:r>
    </w:p>
    <w:p w14:paraId="734473C7" w14:textId="77777777" w:rsidR="0049098C" w:rsidRPr="00D93D98" w:rsidRDefault="0049098C" w:rsidP="00356AF8">
      <w:pPr>
        <w:spacing w:line="360" w:lineRule="auto"/>
        <w:ind w:left="567" w:hanging="567"/>
        <w:jc w:val="both"/>
        <w:rPr>
          <w:rFonts w:ascii="Times New Roman" w:hAnsi="Times New Roman" w:cs="Times New Roman"/>
          <w:sz w:val="24"/>
          <w:szCs w:val="24"/>
        </w:rPr>
      </w:pPr>
      <w:r w:rsidRPr="00D93D98">
        <w:rPr>
          <w:rFonts w:ascii="Times New Roman" w:hAnsi="Times New Roman" w:cs="Times New Roman"/>
          <w:sz w:val="24"/>
          <w:szCs w:val="24"/>
        </w:rPr>
        <w:t>Panda, D. K., &amp; Wahr, J. (2016). Spatiotemporal evolution of water storage changes in India from the updated GRACE-derived gravity records. Water Resources Research, 52, 135–149.</w:t>
      </w:r>
    </w:p>
    <w:p w14:paraId="241A8FD5" w14:textId="77777777" w:rsidR="0049098C" w:rsidRPr="00D93D98" w:rsidRDefault="0049098C" w:rsidP="00356AF8">
      <w:pPr>
        <w:spacing w:line="360" w:lineRule="auto"/>
        <w:ind w:left="567" w:hanging="567"/>
        <w:jc w:val="both"/>
        <w:rPr>
          <w:rFonts w:ascii="Times New Roman" w:hAnsi="Times New Roman" w:cs="Times New Roman"/>
          <w:sz w:val="24"/>
          <w:szCs w:val="24"/>
        </w:rPr>
      </w:pPr>
      <w:r w:rsidRPr="00D93D98">
        <w:rPr>
          <w:rFonts w:ascii="Times New Roman" w:hAnsi="Times New Roman" w:cs="Times New Roman"/>
          <w:sz w:val="24"/>
          <w:szCs w:val="24"/>
        </w:rPr>
        <w:t xml:space="preserve">Rodell, M., </w:t>
      </w:r>
      <w:proofErr w:type="spellStart"/>
      <w:r w:rsidRPr="00D93D98">
        <w:rPr>
          <w:rFonts w:ascii="Times New Roman" w:hAnsi="Times New Roman" w:cs="Times New Roman"/>
          <w:sz w:val="24"/>
          <w:szCs w:val="24"/>
        </w:rPr>
        <w:t>Velicogna</w:t>
      </w:r>
      <w:proofErr w:type="spellEnd"/>
      <w:r w:rsidRPr="00D93D98">
        <w:rPr>
          <w:rFonts w:ascii="Times New Roman" w:hAnsi="Times New Roman" w:cs="Times New Roman"/>
          <w:sz w:val="24"/>
          <w:szCs w:val="24"/>
        </w:rPr>
        <w:t>, I., &amp; Famiglietti, J. S. (2009). Satellite-based estimates of groundwater depletion in India. Nature, 460, 999–1002.</w:t>
      </w:r>
    </w:p>
    <w:p w14:paraId="2A0C9FA5" w14:textId="77777777" w:rsidR="0049098C" w:rsidRPr="00C84EBA" w:rsidRDefault="0049098C" w:rsidP="00356AF8">
      <w:pPr>
        <w:spacing w:line="360" w:lineRule="auto"/>
        <w:ind w:left="567" w:hanging="567"/>
        <w:jc w:val="both"/>
        <w:rPr>
          <w:rFonts w:ascii="Times New Roman" w:hAnsi="Times New Roman" w:cs="Times New Roman"/>
          <w:sz w:val="24"/>
          <w:szCs w:val="24"/>
        </w:rPr>
      </w:pPr>
      <w:r w:rsidRPr="00C84EBA">
        <w:rPr>
          <w:rFonts w:ascii="Times New Roman" w:hAnsi="Times New Roman" w:cs="Times New Roman"/>
          <w:sz w:val="24"/>
          <w:szCs w:val="24"/>
        </w:rPr>
        <w:t xml:space="preserve">Rodell, M., </w:t>
      </w:r>
      <w:proofErr w:type="spellStart"/>
      <w:r w:rsidRPr="00C84EBA">
        <w:rPr>
          <w:rFonts w:ascii="Times New Roman" w:hAnsi="Times New Roman" w:cs="Times New Roman"/>
          <w:sz w:val="24"/>
          <w:szCs w:val="24"/>
        </w:rPr>
        <w:t>Velicogna</w:t>
      </w:r>
      <w:proofErr w:type="spellEnd"/>
      <w:r w:rsidRPr="00C84EBA">
        <w:rPr>
          <w:rFonts w:ascii="Times New Roman" w:hAnsi="Times New Roman" w:cs="Times New Roman"/>
          <w:sz w:val="24"/>
          <w:szCs w:val="24"/>
        </w:rPr>
        <w:t>, I., &amp; Famiglietti, J. S. (2009). Satellite-based estimates of groundwater depletion in India. Nature, 460, 999–1002.</w:t>
      </w:r>
    </w:p>
    <w:p w14:paraId="4155386F" w14:textId="77777777" w:rsidR="0049098C" w:rsidRPr="00D93D98" w:rsidRDefault="0049098C" w:rsidP="00356AF8">
      <w:pPr>
        <w:spacing w:line="360" w:lineRule="auto"/>
        <w:ind w:left="567" w:hanging="567"/>
        <w:jc w:val="both"/>
        <w:rPr>
          <w:rFonts w:ascii="Times New Roman" w:hAnsi="Times New Roman" w:cs="Times New Roman"/>
          <w:sz w:val="24"/>
          <w:szCs w:val="24"/>
        </w:rPr>
      </w:pPr>
      <w:r w:rsidRPr="00D93D98">
        <w:rPr>
          <w:rFonts w:ascii="Times New Roman" w:hAnsi="Times New Roman" w:cs="Times New Roman"/>
          <w:sz w:val="24"/>
          <w:szCs w:val="24"/>
        </w:rPr>
        <w:t>Tiwari, V. M., Wahr, J., &amp; Swenson, S. (2009). Dwindling groundwater resources in northern India from satellite gravity observations. Geophysical Research Letters, 36, L18401.</w:t>
      </w:r>
    </w:p>
    <w:p w14:paraId="7D62DCB4" w14:textId="77777777" w:rsidR="00961921" w:rsidRDefault="0049098C" w:rsidP="00356AF8">
      <w:pPr>
        <w:spacing w:line="360" w:lineRule="auto"/>
        <w:ind w:left="567" w:hanging="567"/>
        <w:jc w:val="both"/>
        <w:rPr>
          <w:rFonts w:ascii="Times New Roman" w:hAnsi="Times New Roman" w:cs="Times New Roman"/>
          <w:sz w:val="24"/>
          <w:szCs w:val="24"/>
        </w:rPr>
      </w:pPr>
      <w:r w:rsidRPr="00D93D98">
        <w:rPr>
          <w:rFonts w:ascii="Times New Roman" w:hAnsi="Times New Roman" w:cs="Times New Roman"/>
          <w:sz w:val="24"/>
          <w:szCs w:val="24"/>
        </w:rPr>
        <w:t>Todd, D. K., &amp; Mays, L. W. (2005). Groundwater Hydrology (3</w:t>
      </w:r>
      <w:r w:rsidRPr="00763D0A">
        <w:rPr>
          <w:rFonts w:ascii="Times New Roman" w:hAnsi="Times New Roman" w:cs="Times New Roman"/>
          <w:sz w:val="24"/>
          <w:szCs w:val="24"/>
          <w:vertAlign w:val="superscript"/>
        </w:rPr>
        <w:t>rd</w:t>
      </w:r>
      <w:r w:rsidRPr="00D93D98">
        <w:rPr>
          <w:rFonts w:ascii="Times New Roman" w:hAnsi="Times New Roman" w:cs="Times New Roman"/>
          <w:sz w:val="24"/>
          <w:szCs w:val="24"/>
        </w:rPr>
        <w:t xml:space="preserve"> ed.). Wiley.</w:t>
      </w:r>
    </w:p>
    <w:p w14:paraId="14735192" w14:textId="57B5210D" w:rsidR="00C8779A" w:rsidRDefault="00C8779A" w:rsidP="00356AF8">
      <w:pPr>
        <w:spacing w:line="360" w:lineRule="auto"/>
        <w:ind w:left="567" w:hanging="567"/>
        <w:jc w:val="both"/>
        <w:rPr>
          <w:rFonts w:ascii="Arial" w:hAnsi="Arial" w:cs="Arial"/>
          <w:color w:val="222222"/>
          <w:sz w:val="20"/>
          <w:szCs w:val="20"/>
          <w:shd w:val="clear" w:color="auto" w:fill="FFFFFF"/>
        </w:rPr>
      </w:pPr>
      <w:r w:rsidRPr="005571A1">
        <w:rPr>
          <w:rFonts w:ascii="Arial" w:hAnsi="Arial" w:cs="Arial"/>
          <w:color w:val="222222"/>
          <w:sz w:val="20"/>
          <w:szCs w:val="20"/>
          <w:highlight w:val="yellow"/>
          <w:shd w:val="clear" w:color="auto" w:fill="FFFFFF"/>
        </w:rPr>
        <w:t>Arya, V., &amp; Rao, M. S. (2024). Groundwater recharge potential index and artificial groundwater recharge in the alluvial soils of the middle Ganga basin. </w:t>
      </w:r>
      <w:r w:rsidRPr="005571A1">
        <w:rPr>
          <w:rFonts w:ascii="Arial" w:hAnsi="Arial" w:cs="Arial"/>
          <w:i/>
          <w:iCs/>
          <w:color w:val="222222"/>
          <w:sz w:val="20"/>
          <w:szCs w:val="20"/>
          <w:highlight w:val="yellow"/>
          <w:shd w:val="clear" w:color="auto" w:fill="FFFFFF"/>
        </w:rPr>
        <w:t>Discover Applied Sciences</w:t>
      </w:r>
      <w:r w:rsidRPr="005571A1">
        <w:rPr>
          <w:rFonts w:ascii="Arial" w:hAnsi="Arial" w:cs="Arial"/>
          <w:color w:val="222222"/>
          <w:sz w:val="20"/>
          <w:szCs w:val="20"/>
          <w:highlight w:val="yellow"/>
          <w:shd w:val="clear" w:color="auto" w:fill="FFFFFF"/>
        </w:rPr>
        <w:t>, </w:t>
      </w:r>
      <w:r w:rsidRPr="005571A1">
        <w:rPr>
          <w:rFonts w:ascii="Arial" w:hAnsi="Arial" w:cs="Arial"/>
          <w:i/>
          <w:iCs/>
          <w:color w:val="222222"/>
          <w:sz w:val="20"/>
          <w:szCs w:val="20"/>
          <w:highlight w:val="yellow"/>
          <w:shd w:val="clear" w:color="auto" w:fill="FFFFFF"/>
        </w:rPr>
        <w:t>6</w:t>
      </w:r>
      <w:r w:rsidRPr="005571A1">
        <w:rPr>
          <w:rFonts w:ascii="Arial" w:hAnsi="Arial" w:cs="Arial"/>
          <w:color w:val="222222"/>
          <w:sz w:val="20"/>
          <w:szCs w:val="20"/>
          <w:highlight w:val="yellow"/>
          <w:shd w:val="clear" w:color="auto" w:fill="FFFFFF"/>
        </w:rPr>
        <w:t>(7), 367.</w:t>
      </w:r>
    </w:p>
    <w:p w14:paraId="45CAACDD" w14:textId="77777777" w:rsidR="00C8779A" w:rsidRPr="005571A1" w:rsidRDefault="00C8779A" w:rsidP="00C8779A">
      <w:pPr>
        <w:pStyle w:val="NormalWeb"/>
        <w:shd w:val="clear" w:color="auto" w:fill="FFFFFF"/>
        <w:spacing w:before="0" w:beforeAutospacing="0" w:after="150" w:afterAutospacing="0"/>
        <w:rPr>
          <w:rFonts w:ascii="inherit" w:hAnsi="inherit" w:cs="Helvetica"/>
          <w:color w:val="222222"/>
          <w:sz w:val="20"/>
          <w:szCs w:val="20"/>
        </w:rPr>
      </w:pPr>
      <w:r w:rsidRPr="005571A1">
        <w:rPr>
          <w:rFonts w:ascii="inherit" w:hAnsi="inherit" w:cs="Helvetica"/>
          <w:color w:val="222222"/>
          <w:sz w:val="20"/>
          <w:szCs w:val="20"/>
          <w:highlight w:val="yellow"/>
        </w:rPr>
        <w:t xml:space="preserve">Mondal, B. K., Sahoo, S., Das, R., Mishra, P. K., Abdelrahman, K., Acharya, A., Lee, M.-A., Tiwari, A., &amp; </w:t>
      </w:r>
      <w:proofErr w:type="spellStart"/>
      <w:r w:rsidRPr="005571A1">
        <w:rPr>
          <w:rFonts w:ascii="inherit" w:hAnsi="inherit" w:cs="Helvetica"/>
          <w:color w:val="222222"/>
          <w:sz w:val="20"/>
          <w:szCs w:val="20"/>
          <w:highlight w:val="yellow"/>
        </w:rPr>
        <w:t>Fnais</w:t>
      </w:r>
      <w:proofErr w:type="spellEnd"/>
      <w:r w:rsidRPr="005571A1">
        <w:rPr>
          <w:rFonts w:ascii="inherit" w:hAnsi="inherit" w:cs="Helvetica"/>
          <w:color w:val="222222"/>
          <w:sz w:val="20"/>
          <w:szCs w:val="20"/>
          <w:highlight w:val="yellow"/>
        </w:rPr>
        <w:t>, M. S. (2022). Assessing Groundwater Dynamics and Potentiality in the Lower Ganga Plain, India. </w:t>
      </w:r>
      <w:r w:rsidRPr="005571A1">
        <w:rPr>
          <w:rStyle w:val="Emphasis"/>
          <w:rFonts w:ascii="inherit" w:hAnsi="inherit" w:cs="Helvetica"/>
          <w:color w:val="222222"/>
          <w:sz w:val="20"/>
          <w:szCs w:val="20"/>
          <w:highlight w:val="yellow"/>
        </w:rPr>
        <w:t>Water</w:t>
      </w:r>
      <w:r w:rsidRPr="005571A1">
        <w:rPr>
          <w:rFonts w:ascii="inherit" w:hAnsi="inherit" w:cs="Helvetica"/>
          <w:color w:val="222222"/>
          <w:sz w:val="20"/>
          <w:szCs w:val="20"/>
          <w:highlight w:val="yellow"/>
        </w:rPr>
        <w:t>, </w:t>
      </w:r>
      <w:r w:rsidRPr="005571A1">
        <w:rPr>
          <w:rStyle w:val="Emphasis"/>
          <w:rFonts w:ascii="inherit" w:hAnsi="inherit" w:cs="Helvetica"/>
          <w:color w:val="222222"/>
          <w:sz w:val="20"/>
          <w:szCs w:val="20"/>
          <w:highlight w:val="yellow"/>
        </w:rPr>
        <w:t>14</w:t>
      </w:r>
      <w:r w:rsidRPr="005571A1">
        <w:rPr>
          <w:rFonts w:ascii="inherit" w:hAnsi="inherit" w:cs="Helvetica"/>
          <w:color w:val="222222"/>
          <w:sz w:val="20"/>
          <w:szCs w:val="20"/>
          <w:highlight w:val="yellow"/>
        </w:rPr>
        <w:t>(14), 2180. https://doi.org/10.3390/w14142180</w:t>
      </w:r>
    </w:p>
    <w:p w14:paraId="263817BC" w14:textId="665DE30C" w:rsidR="00C8779A" w:rsidRPr="00C46DBE" w:rsidRDefault="00B87BDC" w:rsidP="00356AF8">
      <w:pPr>
        <w:spacing w:line="360" w:lineRule="auto"/>
        <w:ind w:left="567" w:hanging="567"/>
        <w:jc w:val="both"/>
        <w:rPr>
          <w:rFonts w:ascii="Times New Roman" w:hAnsi="Times New Roman" w:cs="Times New Roman"/>
          <w:sz w:val="24"/>
          <w:szCs w:val="24"/>
        </w:rPr>
      </w:pPr>
      <w:r w:rsidRPr="005571A1">
        <w:rPr>
          <w:rFonts w:ascii="Arial" w:hAnsi="Arial" w:cs="Arial"/>
          <w:color w:val="222222"/>
          <w:sz w:val="20"/>
          <w:szCs w:val="20"/>
          <w:highlight w:val="yellow"/>
          <w:shd w:val="clear" w:color="auto" w:fill="FFFFFF"/>
        </w:rPr>
        <w:t>Raju, A., Singh, R. P., Kannojiya, P. K., Patel, A., Singh, S., &amp; Sinha, M. (2024). Declining groundwater and its impacts along Ganga riverfronts using combined Sentinel-1, GRACE, water levels, and rainfall data. </w:t>
      </w:r>
      <w:r w:rsidRPr="005571A1">
        <w:rPr>
          <w:rFonts w:ascii="Arial" w:hAnsi="Arial" w:cs="Arial"/>
          <w:i/>
          <w:iCs/>
          <w:color w:val="222222"/>
          <w:sz w:val="20"/>
          <w:szCs w:val="20"/>
          <w:highlight w:val="yellow"/>
          <w:shd w:val="clear" w:color="auto" w:fill="FFFFFF"/>
        </w:rPr>
        <w:t>Science of the Total Environment</w:t>
      </w:r>
      <w:r w:rsidRPr="005571A1">
        <w:rPr>
          <w:rFonts w:ascii="Arial" w:hAnsi="Arial" w:cs="Arial"/>
          <w:color w:val="222222"/>
          <w:sz w:val="20"/>
          <w:szCs w:val="20"/>
          <w:highlight w:val="yellow"/>
          <w:shd w:val="clear" w:color="auto" w:fill="FFFFFF"/>
        </w:rPr>
        <w:t>, </w:t>
      </w:r>
      <w:r w:rsidRPr="005571A1">
        <w:rPr>
          <w:rFonts w:ascii="Arial" w:hAnsi="Arial" w:cs="Arial"/>
          <w:i/>
          <w:iCs/>
          <w:color w:val="222222"/>
          <w:sz w:val="20"/>
          <w:szCs w:val="20"/>
          <w:highlight w:val="yellow"/>
          <w:shd w:val="clear" w:color="auto" w:fill="FFFFFF"/>
        </w:rPr>
        <w:t>920</w:t>
      </w:r>
      <w:r w:rsidRPr="005571A1">
        <w:rPr>
          <w:rFonts w:ascii="Arial" w:hAnsi="Arial" w:cs="Arial"/>
          <w:color w:val="222222"/>
          <w:sz w:val="20"/>
          <w:szCs w:val="20"/>
          <w:highlight w:val="yellow"/>
          <w:shd w:val="clear" w:color="auto" w:fill="FFFFFF"/>
        </w:rPr>
        <w:t>, 170932.</w:t>
      </w:r>
    </w:p>
    <w:sectPr w:rsidR="00C8779A" w:rsidRPr="00C46DBE" w:rsidSect="00356AF8">
      <w:headerReference w:type="even" r:id="rId6"/>
      <w:headerReference w:type="default" r:id="rId7"/>
      <w:footerReference w:type="even" r:id="rId8"/>
      <w:footerReference w:type="default" r:id="rId9"/>
      <w:headerReference w:type="first" r:id="rId10"/>
      <w:footerReference w:type="first" r:id="rId11"/>
      <w:pgSz w:w="11906" w:h="16838"/>
      <w:pgMar w:top="1276"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30B774" w14:textId="77777777" w:rsidR="00EC2A9D" w:rsidRDefault="00EC2A9D" w:rsidP="00C14558">
      <w:pPr>
        <w:spacing w:after="0" w:line="240" w:lineRule="auto"/>
      </w:pPr>
      <w:r>
        <w:separator/>
      </w:r>
    </w:p>
  </w:endnote>
  <w:endnote w:type="continuationSeparator" w:id="0">
    <w:p w14:paraId="55BD5C2C" w14:textId="77777777" w:rsidR="00EC2A9D" w:rsidRDefault="00EC2A9D" w:rsidP="00C145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Merriweather">
    <w:charset w:val="00"/>
    <w:family w:val="auto"/>
    <w:pitch w:val="variable"/>
    <w:sig w:usb0="20000207" w:usb1="00000002" w:usb2="00000000" w:usb3="00000000" w:csb0="00000197" w:csb1="00000000"/>
  </w:font>
  <w:font w:name="inherit">
    <w:altName w:val="Cambria"/>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2CFD1" w14:textId="77777777" w:rsidR="00C14558" w:rsidRDefault="00C1455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EAEFD" w14:textId="77777777" w:rsidR="00C14558" w:rsidRDefault="00C1455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CE1F3" w14:textId="77777777" w:rsidR="00C14558" w:rsidRDefault="00C145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E344DD" w14:textId="77777777" w:rsidR="00EC2A9D" w:rsidRDefault="00EC2A9D" w:rsidP="00C14558">
      <w:pPr>
        <w:spacing w:after="0" w:line="240" w:lineRule="auto"/>
      </w:pPr>
      <w:r>
        <w:separator/>
      </w:r>
    </w:p>
  </w:footnote>
  <w:footnote w:type="continuationSeparator" w:id="0">
    <w:p w14:paraId="66497F1E" w14:textId="77777777" w:rsidR="00EC2A9D" w:rsidRDefault="00EC2A9D" w:rsidP="00C145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3EAE1" w14:textId="1CB40D2E" w:rsidR="00C14558" w:rsidRDefault="00000000">
    <w:pPr>
      <w:pStyle w:val="Header"/>
    </w:pPr>
    <w:r>
      <w:rPr>
        <w:noProof/>
      </w:rPr>
      <w:pict w14:anchorId="3893E48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846969"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D2BAD" w14:textId="0339A3F7" w:rsidR="00C14558" w:rsidRDefault="00000000">
    <w:pPr>
      <w:pStyle w:val="Header"/>
    </w:pPr>
    <w:r>
      <w:rPr>
        <w:noProof/>
      </w:rPr>
      <w:pict w14:anchorId="5B5912F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846970"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D31AB" w14:textId="4E224AA5" w:rsidR="00C14558" w:rsidRDefault="00000000">
    <w:pPr>
      <w:pStyle w:val="Header"/>
    </w:pPr>
    <w:r>
      <w:rPr>
        <w:noProof/>
      </w:rPr>
      <w:pict w14:anchorId="2BBB5E6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846968"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rYwNjOxMDMyMjY3NDFR0lEKTi0uzszPAykwrAUACFxFiywAAAA="/>
  </w:docVars>
  <w:rsids>
    <w:rsidRoot w:val="002D13A3"/>
    <w:rsid w:val="00072ECC"/>
    <w:rsid w:val="00084BE7"/>
    <w:rsid w:val="000B2C93"/>
    <w:rsid w:val="00113357"/>
    <w:rsid w:val="00151FEC"/>
    <w:rsid w:val="00212913"/>
    <w:rsid w:val="002205DF"/>
    <w:rsid w:val="002B29F3"/>
    <w:rsid w:val="002D13A3"/>
    <w:rsid w:val="00356AF8"/>
    <w:rsid w:val="00360EF7"/>
    <w:rsid w:val="003C09DC"/>
    <w:rsid w:val="003E1252"/>
    <w:rsid w:val="003E4C92"/>
    <w:rsid w:val="003E719A"/>
    <w:rsid w:val="004255DB"/>
    <w:rsid w:val="00432C71"/>
    <w:rsid w:val="004352A6"/>
    <w:rsid w:val="004453DF"/>
    <w:rsid w:val="004610C5"/>
    <w:rsid w:val="00484458"/>
    <w:rsid w:val="0049098C"/>
    <w:rsid w:val="004A6BFE"/>
    <w:rsid w:val="005571A1"/>
    <w:rsid w:val="005A1667"/>
    <w:rsid w:val="005C5E56"/>
    <w:rsid w:val="005D5598"/>
    <w:rsid w:val="0068186D"/>
    <w:rsid w:val="006A4ABA"/>
    <w:rsid w:val="00763D0A"/>
    <w:rsid w:val="007A0ACE"/>
    <w:rsid w:val="007A7534"/>
    <w:rsid w:val="007E6FB8"/>
    <w:rsid w:val="0082089F"/>
    <w:rsid w:val="008B7293"/>
    <w:rsid w:val="00961921"/>
    <w:rsid w:val="00964E9A"/>
    <w:rsid w:val="00972B8F"/>
    <w:rsid w:val="009C0874"/>
    <w:rsid w:val="009E11B6"/>
    <w:rsid w:val="00A1135E"/>
    <w:rsid w:val="00A2179C"/>
    <w:rsid w:val="00A82359"/>
    <w:rsid w:val="00B12642"/>
    <w:rsid w:val="00B24397"/>
    <w:rsid w:val="00B87BDC"/>
    <w:rsid w:val="00B9501C"/>
    <w:rsid w:val="00C14558"/>
    <w:rsid w:val="00C33A17"/>
    <w:rsid w:val="00C46DBE"/>
    <w:rsid w:val="00C84EBA"/>
    <w:rsid w:val="00C8779A"/>
    <w:rsid w:val="00C96ED7"/>
    <w:rsid w:val="00D26E9F"/>
    <w:rsid w:val="00D93D98"/>
    <w:rsid w:val="00E45AA2"/>
    <w:rsid w:val="00EA37CE"/>
    <w:rsid w:val="00EC2A9D"/>
    <w:rsid w:val="00F03FE5"/>
    <w:rsid w:val="00F36BEF"/>
    <w:rsid w:val="00FB4673"/>
    <w:rsid w:val="00FE1B8A"/>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405334"/>
  <w15:chartTrackingRefBased/>
  <w15:docId w15:val="{7346C74F-455D-4214-8C97-3FBAA518B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lang w:val="en-IN" w:eastAsia="en-US" w:bidi="hi-IN"/>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13A3"/>
    <w:rPr>
      <w:kern w:val="2"/>
      <w:szCs w:val="22"/>
      <w:lang w:bidi="ar-SA"/>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C5E56"/>
    <w:rPr>
      <w:color w:val="808080"/>
    </w:rPr>
  </w:style>
  <w:style w:type="character" w:customStyle="1" w:styleId="mord">
    <w:name w:val="mord"/>
    <w:basedOn w:val="DefaultParagraphFont"/>
    <w:rsid w:val="004352A6"/>
  </w:style>
  <w:style w:type="character" w:customStyle="1" w:styleId="vlist-s">
    <w:name w:val="vlist-s"/>
    <w:basedOn w:val="DefaultParagraphFont"/>
    <w:rsid w:val="004352A6"/>
  </w:style>
  <w:style w:type="character" w:customStyle="1" w:styleId="mrel">
    <w:name w:val="mrel"/>
    <w:basedOn w:val="DefaultParagraphFont"/>
    <w:rsid w:val="004352A6"/>
  </w:style>
  <w:style w:type="character" w:customStyle="1" w:styleId="mbin">
    <w:name w:val="mbin"/>
    <w:basedOn w:val="DefaultParagraphFont"/>
    <w:rsid w:val="004352A6"/>
  </w:style>
  <w:style w:type="paragraph" w:styleId="NormalWeb">
    <w:name w:val="Normal (Web)"/>
    <w:basedOn w:val="Normal"/>
    <w:uiPriority w:val="99"/>
    <w:semiHidden/>
    <w:unhideWhenUsed/>
    <w:rsid w:val="00EA37CE"/>
    <w:pPr>
      <w:spacing w:before="100" w:beforeAutospacing="1" w:after="100" w:afterAutospacing="1" w:line="240" w:lineRule="auto"/>
    </w:pPr>
    <w:rPr>
      <w:rFonts w:ascii="Times New Roman" w:eastAsia="Times New Roman" w:hAnsi="Times New Roman" w:cs="Times New Roman"/>
      <w:kern w:val="0"/>
      <w:sz w:val="24"/>
      <w:szCs w:val="24"/>
      <w:lang w:eastAsia="en-IN" w:bidi="hi-IN"/>
      <w14:ligatures w14:val="none"/>
    </w:rPr>
  </w:style>
  <w:style w:type="character" w:styleId="Hyperlink">
    <w:name w:val="Hyperlink"/>
    <w:basedOn w:val="DefaultParagraphFont"/>
    <w:uiPriority w:val="99"/>
    <w:unhideWhenUsed/>
    <w:rsid w:val="006A4ABA"/>
    <w:rPr>
      <w:color w:val="0563C1" w:themeColor="hyperlink"/>
      <w:u w:val="single"/>
    </w:rPr>
  </w:style>
  <w:style w:type="character" w:styleId="UnresolvedMention">
    <w:name w:val="Unresolved Mention"/>
    <w:basedOn w:val="DefaultParagraphFont"/>
    <w:uiPriority w:val="99"/>
    <w:semiHidden/>
    <w:unhideWhenUsed/>
    <w:rsid w:val="006A4ABA"/>
    <w:rPr>
      <w:color w:val="605E5C"/>
      <w:shd w:val="clear" w:color="auto" w:fill="E1DFDD"/>
    </w:rPr>
  </w:style>
  <w:style w:type="paragraph" w:styleId="Header">
    <w:name w:val="header"/>
    <w:basedOn w:val="Normal"/>
    <w:link w:val="HeaderChar"/>
    <w:uiPriority w:val="99"/>
    <w:unhideWhenUsed/>
    <w:rsid w:val="00C145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4558"/>
    <w:rPr>
      <w:kern w:val="2"/>
      <w:szCs w:val="22"/>
      <w:lang w:bidi="ar-SA"/>
      <w14:ligatures w14:val="standardContextual"/>
    </w:rPr>
  </w:style>
  <w:style w:type="paragraph" w:styleId="Footer">
    <w:name w:val="footer"/>
    <w:basedOn w:val="Normal"/>
    <w:link w:val="FooterChar"/>
    <w:uiPriority w:val="99"/>
    <w:unhideWhenUsed/>
    <w:rsid w:val="00C145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4558"/>
    <w:rPr>
      <w:kern w:val="2"/>
      <w:szCs w:val="22"/>
      <w:lang w:bidi="ar-SA"/>
      <w14:ligatures w14:val="standardContextual"/>
    </w:rPr>
  </w:style>
  <w:style w:type="paragraph" w:styleId="Revision">
    <w:name w:val="Revision"/>
    <w:hidden/>
    <w:uiPriority w:val="99"/>
    <w:semiHidden/>
    <w:rsid w:val="00C8779A"/>
    <w:pPr>
      <w:spacing w:after="0" w:line="240" w:lineRule="auto"/>
    </w:pPr>
    <w:rPr>
      <w:kern w:val="2"/>
      <w:szCs w:val="22"/>
      <w:lang w:bidi="ar-SA"/>
      <w14:ligatures w14:val="standardContextual"/>
    </w:rPr>
  </w:style>
  <w:style w:type="character" w:styleId="Emphasis">
    <w:name w:val="Emphasis"/>
    <w:basedOn w:val="DefaultParagraphFont"/>
    <w:uiPriority w:val="20"/>
    <w:qFormat/>
    <w:rsid w:val="00C8779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786421">
      <w:bodyDiv w:val="1"/>
      <w:marLeft w:val="0"/>
      <w:marRight w:val="0"/>
      <w:marTop w:val="0"/>
      <w:marBottom w:val="0"/>
      <w:divBdr>
        <w:top w:val="none" w:sz="0" w:space="0" w:color="auto"/>
        <w:left w:val="none" w:sz="0" w:space="0" w:color="auto"/>
        <w:bottom w:val="none" w:sz="0" w:space="0" w:color="auto"/>
        <w:right w:val="none" w:sz="0" w:space="0" w:color="auto"/>
      </w:divBdr>
    </w:div>
    <w:div w:id="199130756">
      <w:bodyDiv w:val="1"/>
      <w:marLeft w:val="0"/>
      <w:marRight w:val="0"/>
      <w:marTop w:val="0"/>
      <w:marBottom w:val="0"/>
      <w:divBdr>
        <w:top w:val="none" w:sz="0" w:space="0" w:color="auto"/>
        <w:left w:val="none" w:sz="0" w:space="0" w:color="auto"/>
        <w:bottom w:val="none" w:sz="0" w:space="0" w:color="auto"/>
        <w:right w:val="none" w:sz="0" w:space="0" w:color="auto"/>
      </w:divBdr>
      <w:divsChild>
        <w:div w:id="1455636742">
          <w:marLeft w:val="0"/>
          <w:marRight w:val="0"/>
          <w:marTop w:val="0"/>
          <w:marBottom w:val="0"/>
          <w:divBdr>
            <w:top w:val="none" w:sz="0" w:space="0" w:color="auto"/>
            <w:left w:val="none" w:sz="0" w:space="0" w:color="auto"/>
            <w:bottom w:val="none" w:sz="0" w:space="0" w:color="auto"/>
            <w:right w:val="none" w:sz="0" w:space="0" w:color="auto"/>
          </w:divBdr>
          <w:divsChild>
            <w:div w:id="1335064179">
              <w:marLeft w:val="0"/>
              <w:marRight w:val="0"/>
              <w:marTop w:val="0"/>
              <w:marBottom w:val="0"/>
              <w:divBdr>
                <w:top w:val="none" w:sz="0" w:space="0" w:color="auto"/>
                <w:left w:val="none" w:sz="0" w:space="0" w:color="auto"/>
                <w:bottom w:val="none" w:sz="0" w:space="0" w:color="auto"/>
                <w:right w:val="none" w:sz="0" w:space="0" w:color="auto"/>
              </w:divBdr>
              <w:divsChild>
                <w:div w:id="2006933910">
                  <w:marLeft w:val="0"/>
                  <w:marRight w:val="0"/>
                  <w:marTop w:val="0"/>
                  <w:marBottom w:val="0"/>
                  <w:divBdr>
                    <w:top w:val="none" w:sz="0" w:space="0" w:color="auto"/>
                    <w:left w:val="none" w:sz="0" w:space="0" w:color="auto"/>
                    <w:bottom w:val="none" w:sz="0" w:space="0" w:color="auto"/>
                    <w:right w:val="none" w:sz="0" w:space="0" w:color="auto"/>
                  </w:divBdr>
                  <w:divsChild>
                    <w:div w:id="2110657013">
                      <w:marLeft w:val="0"/>
                      <w:marRight w:val="0"/>
                      <w:marTop w:val="0"/>
                      <w:marBottom w:val="0"/>
                      <w:divBdr>
                        <w:top w:val="none" w:sz="0" w:space="0" w:color="auto"/>
                        <w:left w:val="none" w:sz="0" w:space="0" w:color="auto"/>
                        <w:bottom w:val="none" w:sz="0" w:space="0" w:color="auto"/>
                        <w:right w:val="none" w:sz="0" w:space="0" w:color="auto"/>
                      </w:divBdr>
                      <w:divsChild>
                        <w:div w:id="1351640484">
                          <w:marLeft w:val="0"/>
                          <w:marRight w:val="0"/>
                          <w:marTop w:val="0"/>
                          <w:marBottom w:val="0"/>
                          <w:divBdr>
                            <w:top w:val="none" w:sz="0" w:space="0" w:color="auto"/>
                            <w:left w:val="none" w:sz="0" w:space="0" w:color="auto"/>
                            <w:bottom w:val="none" w:sz="0" w:space="0" w:color="auto"/>
                            <w:right w:val="none" w:sz="0" w:space="0" w:color="auto"/>
                          </w:divBdr>
                          <w:divsChild>
                            <w:div w:id="1073818522">
                              <w:marLeft w:val="0"/>
                              <w:marRight w:val="0"/>
                              <w:marTop w:val="0"/>
                              <w:marBottom w:val="0"/>
                              <w:divBdr>
                                <w:top w:val="none" w:sz="0" w:space="0" w:color="auto"/>
                                <w:left w:val="none" w:sz="0" w:space="0" w:color="auto"/>
                                <w:bottom w:val="none" w:sz="0" w:space="0" w:color="auto"/>
                                <w:right w:val="none" w:sz="0" w:space="0" w:color="auto"/>
                              </w:divBdr>
                              <w:divsChild>
                                <w:div w:id="454640940">
                                  <w:marLeft w:val="0"/>
                                  <w:marRight w:val="0"/>
                                  <w:marTop w:val="0"/>
                                  <w:marBottom w:val="0"/>
                                  <w:divBdr>
                                    <w:top w:val="none" w:sz="0" w:space="0" w:color="auto"/>
                                    <w:left w:val="none" w:sz="0" w:space="0" w:color="auto"/>
                                    <w:bottom w:val="none" w:sz="0" w:space="0" w:color="auto"/>
                                    <w:right w:val="none" w:sz="0" w:space="0" w:color="auto"/>
                                  </w:divBdr>
                                  <w:divsChild>
                                    <w:div w:id="1294099574">
                                      <w:marLeft w:val="0"/>
                                      <w:marRight w:val="0"/>
                                      <w:marTop w:val="0"/>
                                      <w:marBottom w:val="0"/>
                                      <w:divBdr>
                                        <w:top w:val="none" w:sz="0" w:space="0" w:color="auto"/>
                                        <w:left w:val="none" w:sz="0" w:space="0" w:color="auto"/>
                                        <w:bottom w:val="none" w:sz="0" w:space="0" w:color="auto"/>
                                        <w:right w:val="none" w:sz="0" w:space="0" w:color="auto"/>
                                      </w:divBdr>
                                      <w:divsChild>
                                        <w:div w:id="126846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6335667">
      <w:bodyDiv w:val="1"/>
      <w:marLeft w:val="0"/>
      <w:marRight w:val="0"/>
      <w:marTop w:val="0"/>
      <w:marBottom w:val="0"/>
      <w:divBdr>
        <w:top w:val="none" w:sz="0" w:space="0" w:color="auto"/>
        <w:left w:val="none" w:sz="0" w:space="0" w:color="auto"/>
        <w:bottom w:val="none" w:sz="0" w:space="0" w:color="auto"/>
        <w:right w:val="none" w:sz="0" w:space="0" w:color="auto"/>
      </w:divBdr>
      <w:divsChild>
        <w:div w:id="85926010">
          <w:marLeft w:val="0"/>
          <w:marRight w:val="0"/>
          <w:marTop w:val="0"/>
          <w:marBottom w:val="0"/>
          <w:divBdr>
            <w:top w:val="none" w:sz="0" w:space="0" w:color="auto"/>
            <w:left w:val="none" w:sz="0" w:space="0" w:color="auto"/>
            <w:bottom w:val="none" w:sz="0" w:space="0" w:color="auto"/>
            <w:right w:val="none" w:sz="0" w:space="0" w:color="auto"/>
          </w:divBdr>
          <w:divsChild>
            <w:div w:id="2142843514">
              <w:marLeft w:val="0"/>
              <w:marRight w:val="0"/>
              <w:marTop w:val="0"/>
              <w:marBottom w:val="0"/>
              <w:divBdr>
                <w:top w:val="none" w:sz="0" w:space="0" w:color="auto"/>
                <w:left w:val="none" w:sz="0" w:space="0" w:color="auto"/>
                <w:bottom w:val="none" w:sz="0" w:space="0" w:color="auto"/>
                <w:right w:val="none" w:sz="0" w:space="0" w:color="auto"/>
              </w:divBdr>
              <w:divsChild>
                <w:div w:id="1921481103">
                  <w:marLeft w:val="0"/>
                  <w:marRight w:val="0"/>
                  <w:marTop w:val="0"/>
                  <w:marBottom w:val="0"/>
                  <w:divBdr>
                    <w:top w:val="none" w:sz="0" w:space="0" w:color="auto"/>
                    <w:left w:val="none" w:sz="0" w:space="0" w:color="auto"/>
                    <w:bottom w:val="none" w:sz="0" w:space="0" w:color="auto"/>
                    <w:right w:val="none" w:sz="0" w:space="0" w:color="auto"/>
                  </w:divBdr>
                  <w:divsChild>
                    <w:div w:id="1334918261">
                      <w:marLeft w:val="0"/>
                      <w:marRight w:val="0"/>
                      <w:marTop w:val="0"/>
                      <w:marBottom w:val="0"/>
                      <w:divBdr>
                        <w:top w:val="none" w:sz="0" w:space="0" w:color="auto"/>
                        <w:left w:val="none" w:sz="0" w:space="0" w:color="auto"/>
                        <w:bottom w:val="none" w:sz="0" w:space="0" w:color="auto"/>
                        <w:right w:val="none" w:sz="0" w:space="0" w:color="auto"/>
                      </w:divBdr>
                      <w:divsChild>
                        <w:div w:id="328795005">
                          <w:marLeft w:val="0"/>
                          <w:marRight w:val="0"/>
                          <w:marTop w:val="0"/>
                          <w:marBottom w:val="0"/>
                          <w:divBdr>
                            <w:top w:val="none" w:sz="0" w:space="0" w:color="auto"/>
                            <w:left w:val="none" w:sz="0" w:space="0" w:color="auto"/>
                            <w:bottom w:val="none" w:sz="0" w:space="0" w:color="auto"/>
                            <w:right w:val="none" w:sz="0" w:space="0" w:color="auto"/>
                          </w:divBdr>
                          <w:divsChild>
                            <w:div w:id="549725504">
                              <w:marLeft w:val="0"/>
                              <w:marRight w:val="0"/>
                              <w:marTop w:val="0"/>
                              <w:marBottom w:val="0"/>
                              <w:divBdr>
                                <w:top w:val="none" w:sz="0" w:space="0" w:color="auto"/>
                                <w:left w:val="none" w:sz="0" w:space="0" w:color="auto"/>
                                <w:bottom w:val="none" w:sz="0" w:space="0" w:color="auto"/>
                                <w:right w:val="none" w:sz="0" w:space="0" w:color="auto"/>
                              </w:divBdr>
                              <w:divsChild>
                                <w:div w:id="1373461815">
                                  <w:marLeft w:val="0"/>
                                  <w:marRight w:val="0"/>
                                  <w:marTop w:val="0"/>
                                  <w:marBottom w:val="0"/>
                                  <w:divBdr>
                                    <w:top w:val="none" w:sz="0" w:space="0" w:color="auto"/>
                                    <w:left w:val="none" w:sz="0" w:space="0" w:color="auto"/>
                                    <w:bottom w:val="none" w:sz="0" w:space="0" w:color="auto"/>
                                    <w:right w:val="none" w:sz="0" w:space="0" w:color="auto"/>
                                  </w:divBdr>
                                  <w:divsChild>
                                    <w:div w:id="1924143421">
                                      <w:marLeft w:val="0"/>
                                      <w:marRight w:val="0"/>
                                      <w:marTop w:val="0"/>
                                      <w:marBottom w:val="0"/>
                                      <w:divBdr>
                                        <w:top w:val="none" w:sz="0" w:space="0" w:color="auto"/>
                                        <w:left w:val="none" w:sz="0" w:space="0" w:color="auto"/>
                                        <w:bottom w:val="none" w:sz="0" w:space="0" w:color="auto"/>
                                        <w:right w:val="none" w:sz="0" w:space="0" w:color="auto"/>
                                      </w:divBdr>
                                      <w:divsChild>
                                        <w:div w:id="50116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85357871">
      <w:bodyDiv w:val="1"/>
      <w:marLeft w:val="0"/>
      <w:marRight w:val="0"/>
      <w:marTop w:val="0"/>
      <w:marBottom w:val="0"/>
      <w:divBdr>
        <w:top w:val="none" w:sz="0" w:space="0" w:color="auto"/>
        <w:left w:val="none" w:sz="0" w:space="0" w:color="auto"/>
        <w:bottom w:val="none" w:sz="0" w:space="0" w:color="auto"/>
        <w:right w:val="none" w:sz="0" w:space="0" w:color="auto"/>
      </w:divBdr>
    </w:div>
    <w:div w:id="819422754">
      <w:bodyDiv w:val="1"/>
      <w:marLeft w:val="0"/>
      <w:marRight w:val="0"/>
      <w:marTop w:val="0"/>
      <w:marBottom w:val="0"/>
      <w:divBdr>
        <w:top w:val="none" w:sz="0" w:space="0" w:color="auto"/>
        <w:left w:val="none" w:sz="0" w:space="0" w:color="auto"/>
        <w:bottom w:val="none" w:sz="0" w:space="0" w:color="auto"/>
        <w:right w:val="none" w:sz="0" w:space="0" w:color="auto"/>
      </w:divBdr>
    </w:div>
    <w:div w:id="901521913">
      <w:bodyDiv w:val="1"/>
      <w:marLeft w:val="0"/>
      <w:marRight w:val="0"/>
      <w:marTop w:val="0"/>
      <w:marBottom w:val="0"/>
      <w:divBdr>
        <w:top w:val="none" w:sz="0" w:space="0" w:color="auto"/>
        <w:left w:val="none" w:sz="0" w:space="0" w:color="auto"/>
        <w:bottom w:val="none" w:sz="0" w:space="0" w:color="auto"/>
        <w:right w:val="none" w:sz="0" w:space="0" w:color="auto"/>
      </w:divBdr>
    </w:div>
    <w:div w:id="931233460">
      <w:bodyDiv w:val="1"/>
      <w:marLeft w:val="0"/>
      <w:marRight w:val="0"/>
      <w:marTop w:val="0"/>
      <w:marBottom w:val="0"/>
      <w:divBdr>
        <w:top w:val="none" w:sz="0" w:space="0" w:color="auto"/>
        <w:left w:val="none" w:sz="0" w:space="0" w:color="auto"/>
        <w:bottom w:val="none" w:sz="0" w:space="0" w:color="auto"/>
        <w:right w:val="none" w:sz="0" w:space="0" w:color="auto"/>
      </w:divBdr>
    </w:div>
    <w:div w:id="1042050372">
      <w:bodyDiv w:val="1"/>
      <w:marLeft w:val="0"/>
      <w:marRight w:val="0"/>
      <w:marTop w:val="0"/>
      <w:marBottom w:val="0"/>
      <w:divBdr>
        <w:top w:val="none" w:sz="0" w:space="0" w:color="auto"/>
        <w:left w:val="none" w:sz="0" w:space="0" w:color="auto"/>
        <w:bottom w:val="none" w:sz="0" w:space="0" w:color="auto"/>
        <w:right w:val="none" w:sz="0" w:space="0" w:color="auto"/>
      </w:divBdr>
    </w:div>
    <w:div w:id="1059282197">
      <w:bodyDiv w:val="1"/>
      <w:marLeft w:val="0"/>
      <w:marRight w:val="0"/>
      <w:marTop w:val="0"/>
      <w:marBottom w:val="0"/>
      <w:divBdr>
        <w:top w:val="none" w:sz="0" w:space="0" w:color="auto"/>
        <w:left w:val="none" w:sz="0" w:space="0" w:color="auto"/>
        <w:bottom w:val="none" w:sz="0" w:space="0" w:color="auto"/>
        <w:right w:val="none" w:sz="0" w:space="0" w:color="auto"/>
      </w:divBdr>
    </w:div>
    <w:div w:id="1269893223">
      <w:bodyDiv w:val="1"/>
      <w:marLeft w:val="0"/>
      <w:marRight w:val="0"/>
      <w:marTop w:val="0"/>
      <w:marBottom w:val="0"/>
      <w:divBdr>
        <w:top w:val="none" w:sz="0" w:space="0" w:color="auto"/>
        <w:left w:val="none" w:sz="0" w:space="0" w:color="auto"/>
        <w:bottom w:val="none" w:sz="0" w:space="0" w:color="auto"/>
        <w:right w:val="none" w:sz="0" w:space="0" w:color="auto"/>
      </w:divBdr>
    </w:div>
    <w:div w:id="1982347715">
      <w:bodyDiv w:val="1"/>
      <w:marLeft w:val="0"/>
      <w:marRight w:val="0"/>
      <w:marTop w:val="0"/>
      <w:marBottom w:val="0"/>
      <w:divBdr>
        <w:top w:val="none" w:sz="0" w:space="0" w:color="auto"/>
        <w:left w:val="none" w:sz="0" w:space="0" w:color="auto"/>
        <w:bottom w:val="none" w:sz="0" w:space="0" w:color="auto"/>
        <w:right w:val="none" w:sz="0" w:space="0" w:color="auto"/>
      </w:divBdr>
      <w:divsChild>
        <w:div w:id="1621306030">
          <w:marLeft w:val="0"/>
          <w:marRight w:val="0"/>
          <w:marTop w:val="0"/>
          <w:marBottom w:val="0"/>
          <w:divBdr>
            <w:top w:val="none" w:sz="0" w:space="0" w:color="auto"/>
            <w:left w:val="none" w:sz="0" w:space="0" w:color="auto"/>
            <w:bottom w:val="none" w:sz="0" w:space="0" w:color="auto"/>
            <w:right w:val="none" w:sz="0" w:space="0" w:color="auto"/>
          </w:divBdr>
          <w:divsChild>
            <w:div w:id="160975770">
              <w:marLeft w:val="0"/>
              <w:marRight w:val="0"/>
              <w:marTop w:val="0"/>
              <w:marBottom w:val="0"/>
              <w:divBdr>
                <w:top w:val="none" w:sz="0" w:space="0" w:color="auto"/>
                <w:left w:val="none" w:sz="0" w:space="0" w:color="auto"/>
                <w:bottom w:val="none" w:sz="0" w:space="0" w:color="auto"/>
                <w:right w:val="none" w:sz="0" w:space="0" w:color="auto"/>
              </w:divBdr>
              <w:divsChild>
                <w:div w:id="322783567">
                  <w:marLeft w:val="0"/>
                  <w:marRight w:val="0"/>
                  <w:marTop w:val="0"/>
                  <w:marBottom w:val="0"/>
                  <w:divBdr>
                    <w:top w:val="none" w:sz="0" w:space="0" w:color="auto"/>
                    <w:left w:val="none" w:sz="0" w:space="0" w:color="auto"/>
                    <w:bottom w:val="none" w:sz="0" w:space="0" w:color="auto"/>
                    <w:right w:val="none" w:sz="0" w:space="0" w:color="auto"/>
                  </w:divBdr>
                  <w:divsChild>
                    <w:div w:id="532159457">
                      <w:marLeft w:val="0"/>
                      <w:marRight w:val="0"/>
                      <w:marTop w:val="0"/>
                      <w:marBottom w:val="0"/>
                      <w:divBdr>
                        <w:top w:val="none" w:sz="0" w:space="0" w:color="auto"/>
                        <w:left w:val="none" w:sz="0" w:space="0" w:color="auto"/>
                        <w:bottom w:val="none" w:sz="0" w:space="0" w:color="auto"/>
                        <w:right w:val="none" w:sz="0" w:space="0" w:color="auto"/>
                      </w:divBdr>
                      <w:divsChild>
                        <w:div w:id="234364841">
                          <w:marLeft w:val="0"/>
                          <w:marRight w:val="0"/>
                          <w:marTop w:val="0"/>
                          <w:marBottom w:val="0"/>
                          <w:divBdr>
                            <w:top w:val="none" w:sz="0" w:space="0" w:color="auto"/>
                            <w:left w:val="none" w:sz="0" w:space="0" w:color="auto"/>
                            <w:bottom w:val="none" w:sz="0" w:space="0" w:color="auto"/>
                            <w:right w:val="none" w:sz="0" w:space="0" w:color="auto"/>
                          </w:divBdr>
                          <w:divsChild>
                            <w:div w:id="1091973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4770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119</TotalTime>
  <Pages>14</Pages>
  <Words>5384</Words>
  <Characters>30692</Characters>
  <Application>Microsoft Office Word</Application>
  <DocSecurity>0</DocSecurity>
  <Lines>255</Lines>
  <Paragraphs>72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36004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CG-DTE</dc:creator>
  <cp:keywords/>
  <dc:description/>
  <cp:lastModifiedBy>SDI PC New 16</cp:lastModifiedBy>
  <cp:revision>63</cp:revision>
  <dcterms:created xsi:type="dcterms:W3CDTF">2026-05-13T04:48:00Z</dcterms:created>
  <dcterms:modified xsi:type="dcterms:W3CDTF">2026-05-21T11:37:00Z</dcterms:modified>
</cp:coreProperties>
</file>