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AC7" w:rsidRPr="00191F3E" w:rsidRDefault="00404AC7" w:rsidP="00191F3E">
      <w:pPr>
        <w:spacing w:before="100" w:beforeAutospacing="1" w:after="100" w:afterAutospacing="1" w:line="240" w:lineRule="auto"/>
        <w:jc w:val="both"/>
        <w:outlineLvl w:val="0"/>
        <w:rPr>
          <w:rFonts w:ascii="Times New Roman" w:eastAsia="Times New Roman" w:hAnsi="Times New Roman" w:cs="Times New Roman"/>
          <w:b/>
          <w:bCs/>
          <w:kern w:val="36"/>
          <w:sz w:val="32"/>
          <w:szCs w:val="48"/>
          <w:lang w:val="en-US"/>
        </w:rPr>
      </w:pPr>
      <w:bookmarkStart w:id="0" w:name="_GoBack"/>
      <w:bookmarkEnd w:id="0"/>
      <w:r w:rsidRPr="00191F3E">
        <w:rPr>
          <w:rFonts w:ascii="Times New Roman" w:eastAsia="Times New Roman" w:hAnsi="Times New Roman" w:cs="Times New Roman"/>
          <w:b/>
          <w:bCs/>
          <w:kern w:val="36"/>
          <w:sz w:val="32"/>
          <w:szCs w:val="48"/>
          <w:lang w:val="en-US"/>
        </w:rPr>
        <w:t>Artificial Intelligence in Genomics: Transforming the Future of Biological Discovery</w:t>
      </w:r>
      <w:r w:rsidR="00191F3E">
        <w:rPr>
          <w:rFonts w:ascii="Times New Roman" w:eastAsia="Times New Roman" w:hAnsi="Times New Roman" w:cs="Times New Roman"/>
          <w:b/>
          <w:bCs/>
          <w:kern w:val="36"/>
          <w:sz w:val="32"/>
          <w:szCs w:val="48"/>
          <w:lang w:val="en-US"/>
        </w:rPr>
        <w:t xml:space="preserve">: </w:t>
      </w:r>
      <w:r w:rsidRPr="00191F3E">
        <w:rPr>
          <w:rFonts w:ascii="Times New Roman" w:eastAsia="Times New Roman" w:hAnsi="Times New Roman" w:cs="Times New Roman"/>
          <w:b/>
          <w:bCs/>
          <w:kern w:val="36"/>
          <w:sz w:val="32"/>
          <w:szCs w:val="48"/>
          <w:lang w:val="en-US"/>
        </w:rPr>
        <w:t>A Review</w:t>
      </w:r>
    </w:p>
    <w:p w:rsidR="00404AC7" w:rsidRPr="00404AC7" w:rsidRDefault="00404AC7" w:rsidP="00191F3E">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404AC7">
        <w:rPr>
          <w:rFonts w:ascii="Times New Roman" w:eastAsia="Times New Roman" w:hAnsi="Times New Roman" w:cs="Times New Roman"/>
          <w:b/>
          <w:bCs/>
          <w:sz w:val="36"/>
          <w:szCs w:val="36"/>
          <w:lang w:val="en-US"/>
        </w:rPr>
        <w:t>Abstract</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Artificial intelligence has become one of the most consequential methodological developments in contemporary genomics because it offers ways to learn complex biological patterns from genome sequences, population-scale variation catalogues, functional genomic assays, single-cell profiles, epigenomic maps, protein-structure resources and clinical molecular datasets. This review examines how artificial intelligence is transforming biological discovery across the genomic sciences. It considers the progression from classical machine learning to deep learning, transformer-based foundation models, graph-based integration and generative modelling, with particular emphasis on sequence interpretation, variant calling, functional annotation, regulatory genomics, protein structure prediction, single-cell analysis, multi-omics integration, genome editing and genomic medicine. The review argues that artificial intelligence is changing genomics from a mainly descriptive and catalogue-building discipline into a more predictive, integrative and hypothesis-generating science. However, it also stresses that artificial intelligence cannot substitute for biological reasoning, experimental validation or clinically governed interpretation. Major challenges include limited interpretability, technical artefacts, data leakage, ancestry bias, underrepresentation of many global populations, privacy risk, reproducibility concerns and the difficulty of translating benchmark performance into clinical utility. Future progress will depend on more diverse genomic datasets, transparent benchmarking, pangenome-aware modelling, biologically interpretable architectures, stronger links between prediction and perturbation experiments, and governance systems that protect individuals and communities while enabling responsible data sharing. Properly used, artificial intelligence can accelerate discovery across molecular biology, disease genetics and precision medicine, but its value will depend on how rigorously predictions are validated and how fairly genomic benefits are distributed.</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b/>
          <w:bCs/>
          <w:sz w:val="24"/>
          <w:szCs w:val="24"/>
          <w:lang w:val="en-US"/>
        </w:rPr>
        <w:t>Keywords:</w:t>
      </w:r>
      <w:r w:rsidRPr="00404AC7">
        <w:rPr>
          <w:rFonts w:ascii="Times New Roman" w:eastAsia="Times New Roman" w:hAnsi="Times New Roman" w:cs="Times New Roman"/>
          <w:sz w:val="24"/>
          <w:szCs w:val="24"/>
          <w:lang w:val="en-US"/>
        </w:rPr>
        <w:t xml:space="preserve"> </w:t>
      </w:r>
      <w:r w:rsidR="00191F3E">
        <w:rPr>
          <w:rFonts w:ascii="Times New Roman" w:eastAsia="Times New Roman" w:hAnsi="Times New Roman" w:cs="Times New Roman"/>
          <w:sz w:val="24"/>
          <w:szCs w:val="24"/>
          <w:lang w:val="en-US"/>
        </w:rPr>
        <w:t>a</w:t>
      </w:r>
      <w:r w:rsidRPr="00404AC7">
        <w:rPr>
          <w:rFonts w:ascii="Times New Roman" w:eastAsia="Times New Roman" w:hAnsi="Times New Roman" w:cs="Times New Roman"/>
          <w:sz w:val="24"/>
          <w:szCs w:val="24"/>
          <w:lang w:val="en-US"/>
        </w:rPr>
        <w:t>rtificial intelligence; genomics; deep learning; foundation models; variant interpretation; regulatory genomics; single-cell genomics; multi-omics; genome editing; genomic medicine</w:t>
      </w:r>
    </w:p>
    <w:p w:rsidR="00404AC7" w:rsidRPr="00404AC7" w:rsidRDefault="00404AC7" w:rsidP="00191F3E">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404AC7">
        <w:rPr>
          <w:rFonts w:ascii="Times New Roman" w:eastAsia="Times New Roman" w:hAnsi="Times New Roman" w:cs="Times New Roman"/>
          <w:b/>
          <w:bCs/>
          <w:sz w:val="36"/>
          <w:szCs w:val="36"/>
          <w:lang w:val="en-US"/>
        </w:rPr>
        <w:t>1. Introduction</w:t>
      </w:r>
    </w:p>
    <w:p w:rsidR="00404AC7" w:rsidRPr="00404AC7" w:rsidRDefault="00191F3E"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132996">
        <w:rPr>
          <w:rFonts w:ascii="Georgia" w:hAnsi="Georgia"/>
          <w:color w:val="1F1F1F"/>
          <w:highlight w:val="yellow"/>
        </w:rPr>
        <w:t>Artificial Intelligence (AI) is poised to revolutionize genomics, offering transformative opportunities while simultaneously presenting significant challenges. The field of genomics has undergone a revolutionary transformation in recent decades, driven by the advent of high-throughput sequencing technologies such as next-generation sequencing (NGS) and single-cell sequencing. These innovations have enabled researchers to decode the human genome at an unprecedented scale, generating vast amounts of data that hold the key to understanding complex biological systems and the genetic underpinnings of diseases</w:t>
      </w:r>
      <w:r w:rsidRPr="00191F3E">
        <w:rPr>
          <w:rFonts w:ascii="Georgia" w:hAnsi="Georgia"/>
          <w:color w:val="1F1F1F"/>
          <w:highlight w:val="yellow"/>
        </w:rPr>
        <w:t xml:space="preserve"> (</w:t>
      </w:r>
      <w:r w:rsidRPr="00132996">
        <w:rPr>
          <w:rFonts w:ascii="Arial" w:hAnsi="Arial" w:cs="Arial"/>
          <w:color w:val="222222"/>
          <w:sz w:val="20"/>
          <w:szCs w:val="20"/>
          <w:highlight w:val="yellow"/>
          <w:shd w:val="clear" w:color="auto" w:fill="FFFFFF"/>
        </w:rPr>
        <w:t>Dara et al., 2025</w:t>
      </w:r>
      <w:r w:rsidRPr="00191F3E">
        <w:rPr>
          <w:rFonts w:ascii="Georgia" w:hAnsi="Georgia"/>
          <w:color w:val="1F1F1F"/>
          <w:highlight w:val="yellow"/>
        </w:rPr>
        <w:t>)</w:t>
      </w:r>
      <w:r w:rsidRPr="00132996">
        <w:rPr>
          <w:rFonts w:ascii="Georgia" w:hAnsi="Georgia"/>
          <w:color w:val="1F1F1F"/>
          <w:highlight w:val="yellow"/>
        </w:rPr>
        <w:t>.</w:t>
      </w:r>
      <w:r>
        <w:rPr>
          <w:rFonts w:ascii="Georgia" w:hAnsi="Georgia"/>
          <w:color w:val="1F1F1F"/>
        </w:rPr>
        <w:t xml:space="preserve"> </w:t>
      </w:r>
      <w:r w:rsidR="00404AC7" w:rsidRPr="00404AC7">
        <w:rPr>
          <w:rFonts w:ascii="Times New Roman" w:eastAsia="Times New Roman" w:hAnsi="Times New Roman" w:cs="Times New Roman"/>
          <w:sz w:val="24"/>
          <w:szCs w:val="24"/>
          <w:lang w:val="en-US"/>
        </w:rPr>
        <w:t xml:space="preserve">Genomics has entered a period in which the central scientific difficulty is no longer only the generation of sequence data, but the interpretation of biological meaning from data at very large scale. High-throughput sequencing, population biobanks, epigenomic profiling, transcriptomic atlases, single-cell assays, spatial technologies and structural prediction resources have created an immense and expanding record of molecular variation. The 1000 Genomes Project provided a global reference for human genetic variation by reconstructing </w:t>
      </w:r>
      <w:r w:rsidR="00404AC7" w:rsidRPr="00404AC7">
        <w:rPr>
          <w:rFonts w:ascii="Times New Roman" w:eastAsia="Times New Roman" w:hAnsi="Times New Roman" w:cs="Times New Roman"/>
          <w:sz w:val="24"/>
          <w:szCs w:val="24"/>
          <w:lang w:val="en-US"/>
        </w:rPr>
        <w:lastRenderedPageBreak/>
        <w:t xml:space="preserve">genomes from 2,504 individuals across 26 populations and by </w:t>
      </w:r>
      <w:proofErr w:type="spellStart"/>
      <w:r w:rsidR="00404AC7" w:rsidRPr="00404AC7">
        <w:rPr>
          <w:rFonts w:ascii="Times New Roman" w:eastAsia="Times New Roman" w:hAnsi="Times New Roman" w:cs="Times New Roman"/>
          <w:sz w:val="24"/>
          <w:szCs w:val="24"/>
          <w:lang w:val="en-US"/>
        </w:rPr>
        <w:t>characterising</w:t>
      </w:r>
      <w:proofErr w:type="spellEnd"/>
      <w:r w:rsidR="00404AC7" w:rsidRPr="00404AC7">
        <w:rPr>
          <w:rFonts w:ascii="Times New Roman" w:eastAsia="Times New Roman" w:hAnsi="Times New Roman" w:cs="Times New Roman"/>
          <w:sz w:val="24"/>
          <w:szCs w:val="24"/>
          <w:lang w:val="en-US"/>
        </w:rPr>
        <w:t xml:space="preserve"> a broad spectrum of single-nucleotide, insertion–deletion and structural variants (1000 Genomes Project Consortium, 2015). Later, the Genome Aggregation Database increased the scale of population variation analysis by aggregating 125,748 exomes and 15,708 genomes, enabling gene-level constraint estimates that are now widely used in variant interpretation and disease-gene discovery (</w:t>
      </w:r>
      <w:proofErr w:type="spellStart"/>
      <w:r w:rsidR="00404AC7" w:rsidRPr="00404AC7">
        <w:rPr>
          <w:rFonts w:ascii="Times New Roman" w:eastAsia="Times New Roman" w:hAnsi="Times New Roman" w:cs="Times New Roman"/>
          <w:sz w:val="24"/>
          <w:szCs w:val="24"/>
          <w:lang w:val="en-US"/>
        </w:rPr>
        <w:t>Karczewski</w:t>
      </w:r>
      <w:proofErr w:type="spellEnd"/>
      <w:r w:rsidR="00404AC7" w:rsidRPr="00404AC7">
        <w:rPr>
          <w:rFonts w:ascii="Times New Roman" w:eastAsia="Times New Roman" w:hAnsi="Times New Roman" w:cs="Times New Roman"/>
          <w:sz w:val="24"/>
          <w:szCs w:val="24"/>
          <w:lang w:val="en-US"/>
        </w:rPr>
        <w:t xml:space="preserve"> et al., 2020). These resources show that genomics has become a data-rich discipline in which the key questions concern interpretation, </w:t>
      </w:r>
      <w:proofErr w:type="spellStart"/>
      <w:r w:rsidR="00404AC7" w:rsidRPr="00404AC7">
        <w:rPr>
          <w:rFonts w:ascii="Times New Roman" w:eastAsia="Times New Roman" w:hAnsi="Times New Roman" w:cs="Times New Roman"/>
          <w:sz w:val="24"/>
          <w:szCs w:val="24"/>
          <w:lang w:val="en-US"/>
        </w:rPr>
        <w:t>prioritisation</w:t>
      </w:r>
      <w:proofErr w:type="spellEnd"/>
      <w:r w:rsidR="00404AC7" w:rsidRPr="00404AC7">
        <w:rPr>
          <w:rFonts w:ascii="Times New Roman" w:eastAsia="Times New Roman" w:hAnsi="Times New Roman" w:cs="Times New Roman"/>
          <w:sz w:val="24"/>
          <w:szCs w:val="24"/>
          <w:lang w:val="en-US"/>
        </w:rPr>
        <w:t xml:space="preserve"> and mechanism.</w:t>
      </w:r>
      <w:r w:rsidR="008B0D2E">
        <w:rPr>
          <w:rFonts w:ascii="Times New Roman" w:eastAsia="Times New Roman" w:hAnsi="Times New Roman" w:cs="Times New Roman"/>
          <w:sz w:val="24"/>
          <w:szCs w:val="24"/>
          <w:lang w:val="en-US"/>
        </w:rPr>
        <w:t xml:space="preserve"> </w:t>
      </w:r>
      <w:r w:rsidR="008B0D2E" w:rsidRPr="00132996">
        <w:rPr>
          <w:rFonts w:ascii="Helvetica Neue" w:hAnsi="Helvetica Neue"/>
          <w:color w:val="222222"/>
          <w:sz w:val="21"/>
          <w:szCs w:val="27"/>
          <w:highlight w:val="yellow"/>
          <w:shd w:val="clear" w:color="auto" w:fill="F0F7FC"/>
        </w:rPr>
        <w:t>The integration of AI in genomics has the potential to significantly enhance our understanding of genetic data, particularly in identifying disease-related mutations, yet traditional opaque models often lack the necessary transparency for practical application in healthcare</w:t>
      </w:r>
      <w:r w:rsidR="00F53A0F">
        <w:rPr>
          <w:rFonts w:ascii="Helvetica Neue" w:hAnsi="Helvetica Neue"/>
          <w:color w:val="222222"/>
          <w:sz w:val="21"/>
          <w:szCs w:val="27"/>
          <w:highlight w:val="yellow"/>
          <w:shd w:val="clear" w:color="auto" w:fill="F0F7FC"/>
        </w:rPr>
        <w:t xml:space="preserve"> (</w:t>
      </w:r>
      <w:r w:rsidR="00F53A0F" w:rsidRPr="002B51EB">
        <w:rPr>
          <w:rFonts w:ascii="Helvetica Neue" w:hAnsi="Helvetica Neue"/>
          <w:color w:val="222222"/>
          <w:highlight w:val="yellow"/>
        </w:rPr>
        <w:t>Maqsood</w:t>
      </w:r>
      <w:r w:rsidR="00F53A0F">
        <w:rPr>
          <w:rFonts w:ascii="Helvetica Neue" w:hAnsi="Helvetica Neue"/>
          <w:color w:val="222222"/>
          <w:highlight w:val="yellow"/>
        </w:rPr>
        <w:t xml:space="preserve"> et al., 2024</w:t>
      </w:r>
      <w:r w:rsidR="00F53A0F">
        <w:rPr>
          <w:rFonts w:ascii="Helvetica Neue" w:hAnsi="Helvetica Neue"/>
          <w:color w:val="222222"/>
          <w:sz w:val="21"/>
          <w:szCs w:val="27"/>
          <w:highlight w:val="yellow"/>
          <w:shd w:val="clear" w:color="auto" w:fill="F0F7FC"/>
        </w:rPr>
        <w:t>)</w:t>
      </w:r>
      <w:r w:rsidR="008B0D2E" w:rsidRPr="00132996">
        <w:rPr>
          <w:rFonts w:ascii="Helvetica Neue" w:hAnsi="Helvetica Neue"/>
          <w:color w:val="222222"/>
          <w:sz w:val="21"/>
          <w:szCs w:val="27"/>
          <w:highlight w:val="yellow"/>
          <w:shd w:val="clear" w:color="auto" w:fill="F0F7FC"/>
        </w:rPr>
        <w:t>.</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The expansion of reference resources has also changed how researchers understand the human genome itself. The Telomere-to-Telomere Consortium reported the T2T-CHM13 assembly, addressing previously unresolved regions and providing a 3.055 billion-base-pair sequence with gapless assemblies for all chromosomes except Y in that initial publication (</w:t>
      </w:r>
      <w:proofErr w:type="spellStart"/>
      <w:r w:rsidRPr="00404AC7">
        <w:rPr>
          <w:rFonts w:ascii="Times New Roman" w:eastAsia="Times New Roman" w:hAnsi="Times New Roman" w:cs="Times New Roman"/>
          <w:sz w:val="24"/>
          <w:szCs w:val="24"/>
          <w:lang w:val="en-US"/>
        </w:rPr>
        <w:t>Nurk</w:t>
      </w:r>
      <w:proofErr w:type="spellEnd"/>
      <w:r w:rsidRPr="00404AC7">
        <w:rPr>
          <w:rFonts w:ascii="Times New Roman" w:eastAsia="Times New Roman" w:hAnsi="Times New Roman" w:cs="Times New Roman"/>
          <w:sz w:val="24"/>
          <w:szCs w:val="24"/>
          <w:lang w:val="en-US"/>
        </w:rPr>
        <w:t xml:space="preserve"> et al., 2022). The Human Pangenome Reference Consortium then introduced a draft pangenome reference based on 47 phased diploid assemblies from genetically diverse individuals, offering a more plural representation of human genomic variation than a single linear reference can provide (Liao et al., 2023). These advances are important for artificial intelligence because machine-learning models inherit the assumptions of the reference systems and datasets on which they are trained. A model developed against a single reference may be less capable of representing structural variation, repetitive sequence, haplotypic diversity and ancestry-specific genomic architecture.</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Functional genomics has generated a second major substrate for artificial intelligence. ENCODE systematically mapped transcription, transcription-factor association, chromatin structure and histone modification, while the Roadmap Epigenomics Project generated integrated maps of 111 reference human epigenomes across primary tissues and cell types (ENCODE Project Consortium, 2012; Roadmap Epigenomics Consortium, 2015). </w:t>
      </w:r>
      <w:proofErr w:type="spellStart"/>
      <w:r w:rsidRPr="00404AC7">
        <w:rPr>
          <w:rFonts w:ascii="Times New Roman" w:eastAsia="Times New Roman" w:hAnsi="Times New Roman" w:cs="Times New Roman"/>
          <w:sz w:val="24"/>
          <w:szCs w:val="24"/>
          <w:lang w:val="en-US"/>
        </w:rPr>
        <w:t>GTEx</w:t>
      </w:r>
      <w:proofErr w:type="spellEnd"/>
      <w:r w:rsidRPr="00404AC7">
        <w:rPr>
          <w:rFonts w:ascii="Times New Roman" w:eastAsia="Times New Roman" w:hAnsi="Times New Roman" w:cs="Times New Roman"/>
          <w:sz w:val="24"/>
          <w:szCs w:val="24"/>
          <w:lang w:val="en-US"/>
        </w:rPr>
        <w:t xml:space="preserve"> v8 connected genetic variation to gene expression and splicing across human tissues, </w:t>
      </w:r>
      <w:proofErr w:type="spellStart"/>
      <w:r w:rsidRPr="00404AC7">
        <w:rPr>
          <w:rFonts w:ascii="Times New Roman" w:eastAsia="Times New Roman" w:hAnsi="Times New Roman" w:cs="Times New Roman"/>
          <w:sz w:val="24"/>
          <w:szCs w:val="24"/>
          <w:lang w:val="en-US"/>
        </w:rPr>
        <w:t>analysing</w:t>
      </w:r>
      <w:proofErr w:type="spellEnd"/>
      <w:r w:rsidRPr="00404AC7">
        <w:rPr>
          <w:rFonts w:ascii="Times New Roman" w:eastAsia="Times New Roman" w:hAnsi="Times New Roman" w:cs="Times New Roman"/>
          <w:sz w:val="24"/>
          <w:szCs w:val="24"/>
          <w:lang w:val="en-US"/>
        </w:rPr>
        <w:t xml:space="preserve"> 15,201 RNA-sequencing samples from 49 tissues of 838 post-mortem donors (</w:t>
      </w:r>
      <w:proofErr w:type="spellStart"/>
      <w:r w:rsidRPr="00404AC7">
        <w:rPr>
          <w:rFonts w:ascii="Times New Roman" w:eastAsia="Times New Roman" w:hAnsi="Times New Roman" w:cs="Times New Roman"/>
          <w:sz w:val="24"/>
          <w:szCs w:val="24"/>
          <w:lang w:val="en-US"/>
        </w:rPr>
        <w:t>GTEx</w:t>
      </w:r>
      <w:proofErr w:type="spellEnd"/>
      <w:r w:rsidRPr="00404AC7">
        <w:rPr>
          <w:rFonts w:ascii="Times New Roman" w:eastAsia="Times New Roman" w:hAnsi="Times New Roman" w:cs="Times New Roman"/>
          <w:sz w:val="24"/>
          <w:szCs w:val="24"/>
          <w:lang w:val="en-US"/>
        </w:rPr>
        <w:t xml:space="preserve"> Consortium, 2020). These datasets have been crucial because most disease-associated variation identified by genome-wide association studies lies outside protein-coding regions, and biological interpretation often requires linking non-coding variants to tissue-specific regulatory function (Visscher et al., 2017).</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Artificial intelligence is well suited to many genomic problems because genomic data are high dimensional, nonlinear, context dependent and often difficult to reduce to hand-crafted rules. Classical machine-learning methods initially supported annotation, clustering, </w:t>
      </w:r>
      <w:proofErr w:type="spellStart"/>
      <w:r w:rsidRPr="00404AC7">
        <w:rPr>
          <w:rFonts w:ascii="Times New Roman" w:eastAsia="Times New Roman" w:hAnsi="Times New Roman" w:cs="Times New Roman"/>
          <w:sz w:val="24"/>
          <w:szCs w:val="24"/>
          <w:lang w:val="en-US"/>
        </w:rPr>
        <w:t>prioritisation</w:t>
      </w:r>
      <w:proofErr w:type="spellEnd"/>
      <w:r w:rsidRPr="00404AC7">
        <w:rPr>
          <w:rFonts w:ascii="Times New Roman" w:eastAsia="Times New Roman" w:hAnsi="Times New Roman" w:cs="Times New Roman"/>
          <w:sz w:val="24"/>
          <w:szCs w:val="24"/>
          <w:lang w:val="en-US"/>
        </w:rPr>
        <w:t xml:space="preserve"> and prediction across genetic and genomic datasets (</w:t>
      </w:r>
      <w:proofErr w:type="spellStart"/>
      <w:r w:rsidRPr="00404AC7">
        <w:rPr>
          <w:rFonts w:ascii="Times New Roman" w:eastAsia="Times New Roman" w:hAnsi="Times New Roman" w:cs="Times New Roman"/>
          <w:sz w:val="24"/>
          <w:szCs w:val="24"/>
          <w:lang w:val="en-US"/>
        </w:rPr>
        <w:t>Libbrecht</w:t>
      </w:r>
      <w:proofErr w:type="spellEnd"/>
      <w:r w:rsidRPr="00404AC7">
        <w:rPr>
          <w:rFonts w:ascii="Times New Roman" w:eastAsia="Times New Roman" w:hAnsi="Times New Roman" w:cs="Times New Roman"/>
          <w:sz w:val="24"/>
          <w:szCs w:val="24"/>
          <w:lang w:val="en-US"/>
        </w:rPr>
        <w:t xml:space="preserve"> &amp; Noble, 2015). Deep learning later shifted the field by allowing models to learn hierarchical representations from sequence, chromatin maps, expression profiles, sequencing reads and other molecular data (</w:t>
      </w:r>
      <w:proofErr w:type="spellStart"/>
      <w:r w:rsidRPr="00404AC7">
        <w:rPr>
          <w:rFonts w:ascii="Times New Roman" w:eastAsia="Times New Roman" w:hAnsi="Times New Roman" w:cs="Times New Roman"/>
          <w:sz w:val="24"/>
          <w:szCs w:val="24"/>
          <w:lang w:val="en-US"/>
        </w:rPr>
        <w:t>Angermueller</w:t>
      </w:r>
      <w:proofErr w:type="spellEnd"/>
      <w:r w:rsidRPr="00404AC7">
        <w:rPr>
          <w:rFonts w:ascii="Times New Roman" w:eastAsia="Times New Roman" w:hAnsi="Times New Roman" w:cs="Times New Roman"/>
          <w:sz w:val="24"/>
          <w:szCs w:val="24"/>
          <w:lang w:val="en-US"/>
        </w:rPr>
        <w:t xml:space="preserve"> et al., 2016; </w:t>
      </w:r>
      <w:proofErr w:type="spellStart"/>
      <w:r w:rsidRPr="00404AC7">
        <w:rPr>
          <w:rFonts w:ascii="Times New Roman" w:eastAsia="Times New Roman" w:hAnsi="Times New Roman" w:cs="Times New Roman"/>
          <w:sz w:val="24"/>
          <w:szCs w:val="24"/>
          <w:lang w:val="en-US"/>
        </w:rPr>
        <w:t>Eraslan</w:t>
      </w:r>
      <w:proofErr w:type="spellEnd"/>
      <w:r w:rsidRPr="00404AC7">
        <w:rPr>
          <w:rFonts w:ascii="Times New Roman" w:eastAsia="Times New Roman" w:hAnsi="Times New Roman" w:cs="Times New Roman"/>
          <w:sz w:val="24"/>
          <w:szCs w:val="24"/>
          <w:lang w:val="en-US"/>
        </w:rPr>
        <w:t xml:space="preserve"> et al., 2019; </w:t>
      </w:r>
      <w:proofErr w:type="spellStart"/>
      <w:r w:rsidRPr="00404AC7">
        <w:rPr>
          <w:rFonts w:ascii="Times New Roman" w:eastAsia="Times New Roman" w:hAnsi="Times New Roman" w:cs="Times New Roman"/>
          <w:sz w:val="24"/>
          <w:szCs w:val="24"/>
          <w:lang w:val="en-US"/>
        </w:rPr>
        <w:t>Wainberg</w:t>
      </w:r>
      <w:proofErr w:type="spellEnd"/>
      <w:r w:rsidRPr="00404AC7">
        <w:rPr>
          <w:rFonts w:ascii="Times New Roman" w:eastAsia="Times New Roman" w:hAnsi="Times New Roman" w:cs="Times New Roman"/>
          <w:sz w:val="24"/>
          <w:szCs w:val="24"/>
          <w:lang w:val="en-US"/>
        </w:rPr>
        <w:t xml:space="preserve"> et al., 2018; Zou et al., 2019). In this review, artificial intelligence is used in a broad sense that includes supervised and unsupervised machine learning, deep neural networks, convolutional and recurrent architectures, transformer models, graph-based learning, generative models and foundation models.</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lastRenderedPageBreak/>
        <w:t xml:space="preserve">The transformative effect of artificial intelligence is already visible across the genomics pipeline. </w:t>
      </w:r>
      <w:proofErr w:type="spellStart"/>
      <w:r w:rsidRPr="00404AC7">
        <w:rPr>
          <w:rFonts w:ascii="Times New Roman" w:eastAsia="Times New Roman" w:hAnsi="Times New Roman" w:cs="Times New Roman"/>
          <w:sz w:val="24"/>
          <w:szCs w:val="24"/>
          <w:lang w:val="en-US"/>
        </w:rPr>
        <w:t>DeepVariant</w:t>
      </w:r>
      <w:proofErr w:type="spellEnd"/>
      <w:r w:rsidRPr="00404AC7">
        <w:rPr>
          <w:rFonts w:ascii="Times New Roman" w:eastAsia="Times New Roman" w:hAnsi="Times New Roman" w:cs="Times New Roman"/>
          <w:sz w:val="24"/>
          <w:szCs w:val="24"/>
          <w:lang w:val="en-US"/>
        </w:rPr>
        <w:t xml:space="preserve"> demonstrated that a deep convolutional network could call small variants from aligned sequencing reads and </w:t>
      </w:r>
      <w:proofErr w:type="spellStart"/>
      <w:r w:rsidRPr="00404AC7">
        <w:rPr>
          <w:rFonts w:ascii="Times New Roman" w:eastAsia="Times New Roman" w:hAnsi="Times New Roman" w:cs="Times New Roman"/>
          <w:sz w:val="24"/>
          <w:szCs w:val="24"/>
          <w:lang w:val="en-US"/>
        </w:rPr>
        <w:t>generalise</w:t>
      </w:r>
      <w:proofErr w:type="spellEnd"/>
      <w:r w:rsidRPr="00404AC7">
        <w:rPr>
          <w:rFonts w:ascii="Times New Roman" w:eastAsia="Times New Roman" w:hAnsi="Times New Roman" w:cs="Times New Roman"/>
          <w:sz w:val="24"/>
          <w:szCs w:val="24"/>
          <w:lang w:val="en-US"/>
        </w:rPr>
        <w:t xml:space="preserve"> across genome builds and mammalian species under appropriate training conditions (Poplin et al., 2018). </w:t>
      </w:r>
      <w:proofErr w:type="spellStart"/>
      <w:r w:rsidRPr="00404AC7">
        <w:rPr>
          <w:rFonts w:ascii="Times New Roman" w:eastAsia="Times New Roman" w:hAnsi="Times New Roman" w:cs="Times New Roman"/>
          <w:sz w:val="24"/>
          <w:szCs w:val="24"/>
          <w:lang w:val="en-US"/>
        </w:rPr>
        <w:t>DeepBind</w:t>
      </w:r>
      <w:proofErr w:type="spellEnd"/>
      <w:r w:rsidRPr="00404AC7">
        <w:rPr>
          <w:rFonts w:ascii="Times New Roman" w:eastAsia="Times New Roman" w:hAnsi="Times New Roman" w:cs="Times New Roman"/>
          <w:sz w:val="24"/>
          <w:szCs w:val="24"/>
          <w:lang w:val="en-US"/>
        </w:rPr>
        <w:t xml:space="preserve">, </w:t>
      </w:r>
      <w:proofErr w:type="spellStart"/>
      <w:r w:rsidRPr="00404AC7">
        <w:rPr>
          <w:rFonts w:ascii="Times New Roman" w:eastAsia="Times New Roman" w:hAnsi="Times New Roman" w:cs="Times New Roman"/>
          <w:sz w:val="24"/>
          <w:szCs w:val="24"/>
          <w:lang w:val="en-US"/>
        </w:rPr>
        <w:t>DeepSEA</w:t>
      </w:r>
      <w:proofErr w:type="spellEnd"/>
      <w:r w:rsidRPr="00404AC7">
        <w:rPr>
          <w:rFonts w:ascii="Times New Roman" w:eastAsia="Times New Roman" w:hAnsi="Times New Roman" w:cs="Times New Roman"/>
          <w:sz w:val="24"/>
          <w:szCs w:val="24"/>
          <w:lang w:val="en-US"/>
        </w:rPr>
        <w:t xml:space="preserve">, Basset, </w:t>
      </w:r>
      <w:proofErr w:type="spellStart"/>
      <w:r w:rsidRPr="00404AC7">
        <w:rPr>
          <w:rFonts w:ascii="Times New Roman" w:eastAsia="Times New Roman" w:hAnsi="Times New Roman" w:cs="Times New Roman"/>
          <w:sz w:val="24"/>
          <w:szCs w:val="24"/>
          <w:lang w:val="en-US"/>
        </w:rPr>
        <w:t>DanQ</w:t>
      </w:r>
      <w:proofErr w:type="spellEnd"/>
      <w:r w:rsidRPr="00404AC7">
        <w:rPr>
          <w:rFonts w:ascii="Times New Roman" w:eastAsia="Times New Roman" w:hAnsi="Times New Roman" w:cs="Times New Roman"/>
          <w:sz w:val="24"/>
          <w:szCs w:val="24"/>
          <w:lang w:val="en-US"/>
        </w:rPr>
        <w:t xml:space="preserve"> and </w:t>
      </w:r>
      <w:proofErr w:type="spellStart"/>
      <w:r w:rsidRPr="00404AC7">
        <w:rPr>
          <w:rFonts w:ascii="Times New Roman" w:eastAsia="Times New Roman" w:hAnsi="Times New Roman" w:cs="Times New Roman"/>
          <w:sz w:val="24"/>
          <w:szCs w:val="24"/>
          <w:lang w:val="en-US"/>
        </w:rPr>
        <w:t>Enformer</w:t>
      </w:r>
      <w:proofErr w:type="spellEnd"/>
      <w:r w:rsidRPr="00404AC7">
        <w:rPr>
          <w:rFonts w:ascii="Times New Roman" w:eastAsia="Times New Roman" w:hAnsi="Times New Roman" w:cs="Times New Roman"/>
          <w:sz w:val="24"/>
          <w:szCs w:val="24"/>
          <w:lang w:val="en-US"/>
        </w:rPr>
        <w:t xml:space="preserve"> showed that artificial intelligence can learn relationships between DNA sequence and molecular regulatory features such as protein binding, chromatin accessibility, transcription-factor occupancy, splicing and gene expression (</w:t>
      </w:r>
      <w:proofErr w:type="spellStart"/>
      <w:r w:rsidRPr="00404AC7">
        <w:rPr>
          <w:rFonts w:ascii="Times New Roman" w:eastAsia="Times New Roman" w:hAnsi="Times New Roman" w:cs="Times New Roman"/>
          <w:sz w:val="24"/>
          <w:szCs w:val="24"/>
          <w:lang w:val="en-US"/>
        </w:rPr>
        <w:t>Alipanahi</w:t>
      </w:r>
      <w:proofErr w:type="spellEnd"/>
      <w:r w:rsidRPr="00404AC7">
        <w:rPr>
          <w:rFonts w:ascii="Times New Roman" w:eastAsia="Times New Roman" w:hAnsi="Times New Roman" w:cs="Times New Roman"/>
          <w:sz w:val="24"/>
          <w:szCs w:val="24"/>
          <w:lang w:val="en-US"/>
        </w:rPr>
        <w:t xml:space="preserve"> et al., 2015; </w:t>
      </w:r>
      <w:proofErr w:type="spellStart"/>
      <w:r w:rsidRPr="00404AC7">
        <w:rPr>
          <w:rFonts w:ascii="Times New Roman" w:eastAsia="Times New Roman" w:hAnsi="Times New Roman" w:cs="Times New Roman"/>
          <w:sz w:val="24"/>
          <w:szCs w:val="24"/>
          <w:lang w:val="en-US"/>
        </w:rPr>
        <w:t>Avsec</w:t>
      </w:r>
      <w:proofErr w:type="spellEnd"/>
      <w:r w:rsidRPr="00404AC7">
        <w:rPr>
          <w:rFonts w:ascii="Times New Roman" w:eastAsia="Times New Roman" w:hAnsi="Times New Roman" w:cs="Times New Roman"/>
          <w:sz w:val="24"/>
          <w:szCs w:val="24"/>
          <w:lang w:val="en-US"/>
        </w:rPr>
        <w:t xml:space="preserve"> et al., 2021; Kelley et al., 2016; Quang &amp; </w:t>
      </w:r>
      <w:proofErr w:type="spellStart"/>
      <w:r w:rsidRPr="00404AC7">
        <w:rPr>
          <w:rFonts w:ascii="Times New Roman" w:eastAsia="Times New Roman" w:hAnsi="Times New Roman" w:cs="Times New Roman"/>
          <w:sz w:val="24"/>
          <w:szCs w:val="24"/>
          <w:lang w:val="en-US"/>
        </w:rPr>
        <w:t>Xie</w:t>
      </w:r>
      <w:proofErr w:type="spellEnd"/>
      <w:r w:rsidRPr="00404AC7">
        <w:rPr>
          <w:rFonts w:ascii="Times New Roman" w:eastAsia="Times New Roman" w:hAnsi="Times New Roman" w:cs="Times New Roman"/>
          <w:sz w:val="24"/>
          <w:szCs w:val="24"/>
          <w:lang w:val="en-US"/>
        </w:rPr>
        <w:t xml:space="preserve">, 2016; Zhou &amp; </w:t>
      </w:r>
      <w:proofErr w:type="spellStart"/>
      <w:r w:rsidRPr="00404AC7">
        <w:rPr>
          <w:rFonts w:ascii="Times New Roman" w:eastAsia="Times New Roman" w:hAnsi="Times New Roman" w:cs="Times New Roman"/>
          <w:sz w:val="24"/>
          <w:szCs w:val="24"/>
          <w:lang w:val="en-US"/>
        </w:rPr>
        <w:t>Troyanskaya</w:t>
      </w:r>
      <w:proofErr w:type="spellEnd"/>
      <w:r w:rsidRPr="00404AC7">
        <w:rPr>
          <w:rFonts w:ascii="Times New Roman" w:eastAsia="Times New Roman" w:hAnsi="Times New Roman" w:cs="Times New Roman"/>
          <w:sz w:val="24"/>
          <w:szCs w:val="24"/>
          <w:lang w:val="en-US"/>
        </w:rPr>
        <w:t xml:space="preserve">, 2015). In clinical genomics, CADD, REVEL, </w:t>
      </w:r>
      <w:proofErr w:type="spellStart"/>
      <w:r w:rsidRPr="00404AC7">
        <w:rPr>
          <w:rFonts w:ascii="Times New Roman" w:eastAsia="Times New Roman" w:hAnsi="Times New Roman" w:cs="Times New Roman"/>
          <w:sz w:val="24"/>
          <w:szCs w:val="24"/>
          <w:lang w:val="en-US"/>
        </w:rPr>
        <w:t>SpliceAI</w:t>
      </w:r>
      <w:proofErr w:type="spellEnd"/>
      <w:r w:rsidRPr="00404AC7">
        <w:rPr>
          <w:rFonts w:ascii="Times New Roman" w:eastAsia="Times New Roman" w:hAnsi="Times New Roman" w:cs="Times New Roman"/>
          <w:sz w:val="24"/>
          <w:szCs w:val="24"/>
          <w:lang w:val="en-US"/>
        </w:rPr>
        <w:t xml:space="preserve"> and </w:t>
      </w:r>
      <w:proofErr w:type="spellStart"/>
      <w:r w:rsidRPr="00404AC7">
        <w:rPr>
          <w:rFonts w:ascii="Times New Roman" w:eastAsia="Times New Roman" w:hAnsi="Times New Roman" w:cs="Times New Roman"/>
          <w:sz w:val="24"/>
          <w:szCs w:val="24"/>
          <w:lang w:val="en-US"/>
        </w:rPr>
        <w:t>AlphaMissense</w:t>
      </w:r>
      <w:proofErr w:type="spellEnd"/>
      <w:r w:rsidRPr="00404AC7">
        <w:rPr>
          <w:rFonts w:ascii="Times New Roman" w:eastAsia="Times New Roman" w:hAnsi="Times New Roman" w:cs="Times New Roman"/>
          <w:sz w:val="24"/>
          <w:szCs w:val="24"/>
          <w:lang w:val="en-US"/>
        </w:rPr>
        <w:t xml:space="preserve"> illustrate how computational models can </w:t>
      </w:r>
      <w:proofErr w:type="spellStart"/>
      <w:r w:rsidRPr="00404AC7">
        <w:rPr>
          <w:rFonts w:ascii="Times New Roman" w:eastAsia="Times New Roman" w:hAnsi="Times New Roman" w:cs="Times New Roman"/>
          <w:sz w:val="24"/>
          <w:szCs w:val="24"/>
          <w:lang w:val="en-US"/>
        </w:rPr>
        <w:t>prioritise</w:t>
      </w:r>
      <w:proofErr w:type="spellEnd"/>
      <w:r w:rsidRPr="00404AC7">
        <w:rPr>
          <w:rFonts w:ascii="Times New Roman" w:eastAsia="Times New Roman" w:hAnsi="Times New Roman" w:cs="Times New Roman"/>
          <w:sz w:val="24"/>
          <w:szCs w:val="24"/>
          <w:lang w:val="en-US"/>
        </w:rPr>
        <w:t xml:space="preserve"> variants by integrating conservation, sequence context, splicing signals, protein information and other evidence (Cheng et al., 2023; Ioannidis et al., 2016; </w:t>
      </w:r>
      <w:proofErr w:type="spellStart"/>
      <w:r w:rsidRPr="00404AC7">
        <w:rPr>
          <w:rFonts w:ascii="Times New Roman" w:eastAsia="Times New Roman" w:hAnsi="Times New Roman" w:cs="Times New Roman"/>
          <w:sz w:val="24"/>
          <w:szCs w:val="24"/>
          <w:lang w:val="en-US"/>
        </w:rPr>
        <w:t>Jaganathan</w:t>
      </w:r>
      <w:proofErr w:type="spellEnd"/>
      <w:r w:rsidRPr="00404AC7">
        <w:rPr>
          <w:rFonts w:ascii="Times New Roman" w:eastAsia="Times New Roman" w:hAnsi="Times New Roman" w:cs="Times New Roman"/>
          <w:sz w:val="24"/>
          <w:szCs w:val="24"/>
          <w:lang w:val="en-US"/>
        </w:rPr>
        <w:t xml:space="preserve"> et al., 2019; Kircher et al., 2014). In structural biology, </w:t>
      </w:r>
      <w:proofErr w:type="spellStart"/>
      <w:r w:rsidRPr="00404AC7">
        <w:rPr>
          <w:rFonts w:ascii="Times New Roman" w:eastAsia="Times New Roman" w:hAnsi="Times New Roman" w:cs="Times New Roman"/>
          <w:sz w:val="24"/>
          <w:szCs w:val="24"/>
          <w:lang w:val="en-US"/>
        </w:rPr>
        <w:t>AlphaFold</w:t>
      </w:r>
      <w:proofErr w:type="spellEnd"/>
      <w:r w:rsidRPr="00404AC7">
        <w:rPr>
          <w:rFonts w:ascii="Times New Roman" w:eastAsia="Times New Roman" w:hAnsi="Times New Roman" w:cs="Times New Roman"/>
          <w:sz w:val="24"/>
          <w:szCs w:val="24"/>
          <w:lang w:val="en-US"/>
        </w:rPr>
        <w:t xml:space="preserve"> and the </w:t>
      </w:r>
      <w:proofErr w:type="spellStart"/>
      <w:r w:rsidRPr="00404AC7">
        <w:rPr>
          <w:rFonts w:ascii="Times New Roman" w:eastAsia="Times New Roman" w:hAnsi="Times New Roman" w:cs="Times New Roman"/>
          <w:sz w:val="24"/>
          <w:szCs w:val="24"/>
          <w:lang w:val="en-US"/>
        </w:rPr>
        <w:t>AlphaFold</w:t>
      </w:r>
      <w:proofErr w:type="spellEnd"/>
      <w:r w:rsidRPr="00404AC7">
        <w:rPr>
          <w:rFonts w:ascii="Times New Roman" w:eastAsia="Times New Roman" w:hAnsi="Times New Roman" w:cs="Times New Roman"/>
          <w:sz w:val="24"/>
          <w:szCs w:val="24"/>
          <w:lang w:val="en-US"/>
        </w:rPr>
        <w:t xml:space="preserve"> Protein Structure Database have connected genomic sequence information to protein structure at a scale that was previously unattainable through experimental structure determination alone (Jumper et al., 2021; </w:t>
      </w:r>
      <w:proofErr w:type="spellStart"/>
      <w:r w:rsidRPr="00404AC7">
        <w:rPr>
          <w:rFonts w:ascii="Times New Roman" w:eastAsia="Times New Roman" w:hAnsi="Times New Roman" w:cs="Times New Roman"/>
          <w:sz w:val="24"/>
          <w:szCs w:val="24"/>
          <w:lang w:val="en-US"/>
        </w:rPr>
        <w:t>Tunyasuvunakool</w:t>
      </w:r>
      <w:proofErr w:type="spellEnd"/>
      <w:r w:rsidRPr="00404AC7">
        <w:rPr>
          <w:rFonts w:ascii="Times New Roman" w:eastAsia="Times New Roman" w:hAnsi="Times New Roman" w:cs="Times New Roman"/>
          <w:sz w:val="24"/>
          <w:szCs w:val="24"/>
          <w:lang w:val="en-US"/>
        </w:rPr>
        <w:t xml:space="preserve"> et al., 2021; </w:t>
      </w:r>
      <w:proofErr w:type="spellStart"/>
      <w:r w:rsidRPr="00404AC7">
        <w:rPr>
          <w:rFonts w:ascii="Times New Roman" w:eastAsia="Times New Roman" w:hAnsi="Times New Roman" w:cs="Times New Roman"/>
          <w:sz w:val="24"/>
          <w:szCs w:val="24"/>
          <w:lang w:val="en-US"/>
        </w:rPr>
        <w:t>Varadi</w:t>
      </w:r>
      <w:proofErr w:type="spellEnd"/>
      <w:r w:rsidRPr="00404AC7">
        <w:rPr>
          <w:rFonts w:ascii="Times New Roman" w:eastAsia="Times New Roman" w:hAnsi="Times New Roman" w:cs="Times New Roman"/>
          <w:sz w:val="24"/>
          <w:szCs w:val="24"/>
          <w:lang w:val="en-US"/>
        </w:rPr>
        <w:t xml:space="preserve"> et al., 2022).</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The promises of artificial intelligence in genomics must nevertheless be expressed in a moderate and scientifically cautious tone. Models can learn technical artefacts, reflect dataset imbalance, overfit benchmark tasks, perform poorly outside their training distribution or generate predictions that appear biologically plausible but lack experimental support. In clinical genomics, computational prediction is only one form of evidence and should not replace structured interpretation standards, phenotype correlation, segregation analysis, population-frequency assessment or functional validation (Richards et al., 2015). The problem is intensified by ancestry imbalance in genomic research. Underrepresentation of non-European populations can reduce prediction accuracy, distort polygenic risk estimation and contribute to unequal clinical benefit (Martin et al., 2019; </w:t>
      </w:r>
      <w:proofErr w:type="spellStart"/>
      <w:r w:rsidRPr="00404AC7">
        <w:rPr>
          <w:rFonts w:ascii="Times New Roman" w:eastAsia="Times New Roman" w:hAnsi="Times New Roman" w:cs="Times New Roman"/>
          <w:sz w:val="24"/>
          <w:szCs w:val="24"/>
          <w:lang w:val="en-US"/>
        </w:rPr>
        <w:t>Popejoy</w:t>
      </w:r>
      <w:proofErr w:type="spellEnd"/>
      <w:r w:rsidRPr="00404AC7">
        <w:rPr>
          <w:rFonts w:ascii="Times New Roman" w:eastAsia="Times New Roman" w:hAnsi="Times New Roman" w:cs="Times New Roman"/>
          <w:sz w:val="24"/>
          <w:szCs w:val="24"/>
          <w:lang w:val="en-US"/>
        </w:rPr>
        <w:t xml:space="preserve"> &amp; Fullerton, 2016; </w:t>
      </w:r>
      <w:proofErr w:type="spellStart"/>
      <w:r w:rsidRPr="00404AC7">
        <w:rPr>
          <w:rFonts w:ascii="Times New Roman" w:eastAsia="Times New Roman" w:hAnsi="Times New Roman" w:cs="Times New Roman"/>
          <w:sz w:val="24"/>
          <w:szCs w:val="24"/>
          <w:lang w:val="en-US"/>
        </w:rPr>
        <w:t>Sirugo</w:t>
      </w:r>
      <w:proofErr w:type="spellEnd"/>
      <w:r w:rsidRPr="00404AC7">
        <w:rPr>
          <w:rFonts w:ascii="Times New Roman" w:eastAsia="Times New Roman" w:hAnsi="Times New Roman" w:cs="Times New Roman"/>
          <w:sz w:val="24"/>
          <w:szCs w:val="24"/>
          <w:lang w:val="en-US"/>
        </w:rPr>
        <w:t xml:space="preserve"> et al., 2019). Artificial intelligence is therefore transforming genomics, but the transformation is scientifically useful only when joined with rigorous validation, diverse data and ethical governance.</w:t>
      </w:r>
    </w:p>
    <w:p w:rsidR="00404AC7" w:rsidRPr="00404AC7" w:rsidRDefault="00404AC7" w:rsidP="00191F3E">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404AC7">
        <w:rPr>
          <w:rFonts w:ascii="Times New Roman" w:eastAsia="Times New Roman" w:hAnsi="Times New Roman" w:cs="Times New Roman"/>
          <w:b/>
          <w:bCs/>
          <w:sz w:val="27"/>
          <w:szCs w:val="27"/>
          <w:lang w:val="en-US"/>
        </w:rPr>
        <w:t>1.1. Scope and objective of the article</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The objective of this review is to </w:t>
      </w:r>
      <w:proofErr w:type="spellStart"/>
      <w:r w:rsidRPr="00404AC7">
        <w:rPr>
          <w:rFonts w:ascii="Times New Roman" w:eastAsia="Times New Roman" w:hAnsi="Times New Roman" w:cs="Times New Roman"/>
          <w:sz w:val="24"/>
          <w:szCs w:val="24"/>
          <w:lang w:val="en-US"/>
        </w:rPr>
        <w:t>synthesise</w:t>
      </w:r>
      <w:proofErr w:type="spellEnd"/>
      <w:r w:rsidRPr="00404AC7">
        <w:rPr>
          <w:rFonts w:ascii="Times New Roman" w:eastAsia="Times New Roman" w:hAnsi="Times New Roman" w:cs="Times New Roman"/>
          <w:sz w:val="24"/>
          <w:szCs w:val="24"/>
          <w:lang w:val="en-US"/>
        </w:rPr>
        <w:t xml:space="preserve"> recent and influential literature on how artificial intelligence is reshaping biological discovery through genomics. The article focuses on artificial intelligence in sequence analysis, variant calling, functional annotation, regulatory genomics, variant interpretation, protein structure prediction, single-cell and spatial genomics, multi-omics integration, CRISPR-based genome engineering and genomic medicine. It also considers limitations related to bias, interpretability, reproducibility, privacy and translation. The article is designed as a narrative review for an academic readership and does not aim to conduct a meta-analysis or rank all available algorithms.</w:t>
      </w:r>
    </w:p>
    <w:p w:rsidR="00404AC7" w:rsidRPr="00404AC7" w:rsidRDefault="00404AC7" w:rsidP="00191F3E">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404AC7">
        <w:rPr>
          <w:rFonts w:ascii="Times New Roman" w:eastAsia="Times New Roman" w:hAnsi="Times New Roman" w:cs="Times New Roman"/>
          <w:b/>
          <w:bCs/>
          <w:sz w:val="36"/>
          <w:szCs w:val="36"/>
          <w:lang w:val="en-US"/>
        </w:rPr>
        <w:t>2. Methods for literature selection</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This manuscript was developed as a narrative review because the topic covers multiple scientific domains, including sequencing informatics, population genomics, regulatory genomics, protein structure prediction, single-cell biology, genome editing, multi-omics integration and clinical genomic interpretation. A systematic review or meta-analysis would be less appropriate for this broad objective because the included studies do not evaluate a single intervention, comparator or outcome. Instead, they represent diverse computational </w:t>
      </w:r>
      <w:r w:rsidRPr="00404AC7">
        <w:rPr>
          <w:rFonts w:ascii="Times New Roman" w:eastAsia="Times New Roman" w:hAnsi="Times New Roman" w:cs="Times New Roman"/>
          <w:sz w:val="24"/>
          <w:szCs w:val="24"/>
          <w:lang w:val="en-US"/>
        </w:rPr>
        <w:lastRenderedPageBreak/>
        <w:t>methods, biological datasets, benchmark problems and translational contexts. The review was guided by the principle that narrative reviews should make their scope, selection logic and interpretive approach explicit, consistent with quality-assessment expectations described in SANRA, the Scale for the Assessment of Narrative Review Articles (</w:t>
      </w:r>
      <w:proofErr w:type="spellStart"/>
      <w:r w:rsidRPr="00404AC7">
        <w:rPr>
          <w:rFonts w:ascii="Times New Roman" w:eastAsia="Times New Roman" w:hAnsi="Times New Roman" w:cs="Times New Roman"/>
          <w:sz w:val="24"/>
          <w:szCs w:val="24"/>
          <w:lang w:val="en-US"/>
        </w:rPr>
        <w:t>Baethge</w:t>
      </w:r>
      <w:proofErr w:type="spellEnd"/>
      <w:r w:rsidRPr="00404AC7">
        <w:rPr>
          <w:rFonts w:ascii="Times New Roman" w:eastAsia="Times New Roman" w:hAnsi="Times New Roman" w:cs="Times New Roman"/>
          <w:sz w:val="24"/>
          <w:szCs w:val="24"/>
          <w:lang w:val="en-US"/>
        </w:rPr>
        <w:t xml:space="preserve"> et al., 2019).</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The literature search covered work published from 1 January 2000 to 1 May 2026, with emphasis on peer-reviewed journal articles from 2015 onward because deep learning and foundation-model applications in genomics have accelerated during this period. Searches were planned conceptually across PubMed/MEDLINE, Web of Science, Scopus and Google Scholar. Additional searches were considered across Europe PMC, </w:t>
      </w:r>
      <w:proofErr w:type="spellStart"/>
      <w:r w:rsidRPr="00404AC7">
        <w:rPr>
          <w:rFonts w:ascii="Times New Roman" w:eastAsia="Times New Roman" w:hAnsi="Times New Roman" w:cs="Times New Roman"/>
          <w:sz w:val="24"/>
          <w:szCs w:val="24"/>
          <w:lang w:val="en-US"/>
        </w:rPr>
        <w:t>Embase</w:t>
      </w:r>
      <w:proofErr w:type="spellEnd"/>
      <w:r w:rsidRPr="00404AC7">
        <w:rPr>
          <w:rFonts w:ascii="Times New Roman" w:eastAsia="Times New Roman" w:hAnsi="Times New Roman" w:cs="Times New Roman"/>
          <w:sz w:val="24"/>
          <w:szCs w:val="24"/>
          <w:lang w:val="en-US"/>
        </w:rPr>
        <w:t xml:space="preserve">, </w:t>
      </w:r>
      <w:proofErr w:type="spellStart"/>
      <w:r w:rsidRPr="00404AC7">
        <w:rPr>
          <w:rFonts w:ascii="Times New Roman" w:eastAsia="Times New Roman" w:hAnsi="Times New Roman" w:cs="Times New Roman"/>
          <w:sz w:val="24"/>
          <w:szCs w:val="24"/>
          <w:lang w:val="en-US"/>
        </w:rPr>
        <w:t>Crossref</w:t>
      </w:r>
      <w:proofErr w:type="spellEnd"/>
      <w:r w:rsidRPr="00404AC7">
        <w:rPr>
          <w:rFonts w:ascii="Times New Roman" w:eastAsia="Times New Roman" w:hAnsi="Times New Roman" w:cs="Times New Roman"/>
          <w:sz w:val="24"/>
          <w:szCs w:val="24"/>
          <w:lang w:val="en-US"/>
        </w:rPr>
        <w:t xml:space="preserve">, IEEE Xplore and ACM Digital Library because the topic spans biomedical, computational and data-science literature. Search expressions combined terms such as “artificial intelligence AND genomics”, “machine learning AND genetics”, “deep learning AND regulatory genomics”, “variant calling AND deep neural network”, “variant interpretation AND pathogenicity prediction”, “foundation model AND DNA sequence”, “single-cell genomics AND deep learning”, “multi-omics integration AND machine learning”, “CRISPR guide RNA AND deep learning”, and “protein structure prediction AND </w:t>
      </w:r>
      <w:proofErr w:type="spellStart"/>
      <w:r w:rsidRPr="00404AC7">
        <w:rPr>
          <w:rFonts w:ascii="Times New Roman" w:eastAsia="Times New Roman" w:hAnsi="Times New Roman" w:cs="Times New Roman"/>
          <w:sz w:val="24"/>
          <w:szCs w:val="24"/>
          <w:lang w:val="en-US"/>
        </w:rPr>
        <w:t>AlphaFold</w:t>
      </w:r>
      <w:proofErr w:type="spellEnd"/>
      <w:r w:rsidRPr="00404AC7">
        <w:rPr>
          <w:rFonts w:ascii="Times New Roman" w:eastAsia="Times New Roman" w:hAnsi="Times New Roman" w:cs="Times New Roman"/>
          <w:sz w:val="24"/>
          <w:szCs w:val="24"/>
          <w:lang w:val="en-US"/>
        </w:rPr>
        <w:t>”.</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The screening workflow was conducted in stages. Titles and abstracts were first examined for relevance to artificial intelligence, machine learning, deep learning, computational prediction or integrative modelling in genomics. Full texts were then considered where papers reported influential models, widely used resources, major datasets, methodological frameworks or clinically relevant interpretation systems. Duplicate records were removed by matching DOI, title, author list and journal metadata. The review retained English-language, peer-reviewed journal articles and excluded books, patents, trade magazines, conference-only papers and unreviewed grey literature. Governmental or intergovernmental reports were eligible under the search plan, but the final reference list relies on peer-reviewed journal articles because adequate journal evidence with DOI identifiers was available.</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Influential studies were selected according to methodological relevance, scientific adoption, field-defining importance, contribution to conceptual understanding and representation of major genomic subfields. Foundational data resources were included because artificial intelligence in genomics depends heavily on the datasets used for training, benchmarking and interpretation. Method papers were selected when they exemplified a major modelling direction, such as convolutional sequence learning, long-range regulatory modelling, deep variant calling, splicing prediction, protein-structure prediction, single-cell generative modelling or multi-omics integration. The final reference list was checked so that all cited sources appear in the manuscript and all manuscript citations appear in the reference list.</w:t>
      </w:r>
    </w:p>
    <w:p w:rsidR="00404AC7" w:rsidRPr="00404AC7" w:rsidRDefault="00404AC7" w:rsidP="00191F3E">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404AC7">
        <w:rPr>
          <w:rFonts w:ascii="Times New Roman" w:eastAsia="Times New Roman" w:hAnsi="Times New Roman" w:cs="Times New Roman"/>
          <w:b/>
          <w:bCs/>
          <w:sz w:val="36"/>
          <w:szCs w:val="36"/>
          <w:lang w:val="en-US"/>
        </w:rPr>
        <w:t>3. Genomic data resources as foundations for artificial intelligence</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Artificial intelligence in genomics depends fundamentally on the scale, structure and representativeness of genomic data. Unlike many laboratory techniques, artificial intelligence models do not merely process data; they learn from the statistical structure of the datasets to which they are exposed. Consequently, the scientific value of a genomic model depends not only on model architecture, but also on the biological coverage, technical quality and population diversity of the training and validation data. The 1000 Genomes Project was important because it provided a global catalogue of human genetic variation across </w:t>
      </w:r>
      <w:r w:rsidRPr="00404AC7">
        <w:rPr>
          <w:rFonts w:ascii="Times New Roman" w:eastAsia="Times New Roman" w:hAnsi="Times New Roman" w:cs="Times New Roman"/>
          <w:sz w:val="24"/>
          <w:szCs w:val="24"/>
          <w:lang w:val="en-US"/>
        </w:rPr>
        <w:lastRenderedPageBreak/>
        <w:t xml:space="preserve">populations and helped establish the scale at which reference datasets could support downstream genetic analysis (1000 Genomes Project Consortium, 2015). </w:t>
      </w:r>
      <w:proofErr w:type="spellStart"/>
      <w:r w:rsidRPr="00404AC7">
        <w:rPr>
          <w:rFonts w:ascii="Times New Roman" w:eastAsia="Times New Roman" w:hAnsi="Times New Roman" w:cs="Times New Roman"/>
          <w:sz w:val="24"/>
          <w:szCs w:val="24"/>
          <w:lang w:val="en-US"/>
        </w:rPr>
        <w:t>gnomAD</w:t>
      </w:r>
      <w:proofErr w:type="spellEnd"/>
      <w:r w:rsidRPr="00404AC7">
        <w:rPr>
          <w:rFonts w:ascii="Times New Roman" w:eastAsia="Times New Roman" w:hAnsi="Times New Roman" w:cs="Times New Roman"/>
          <w:sz w:val="24"/>
          <w:szCs w:val="24"/>
          <w:lang w:val="en-US"/>
        </w:rPr>
        <w:t xml:space="preserve"> later expanded the population-variation framework by aggregating large exome and genome datasets to quantify mutational constraint, especially for predicted loss-of-function variation in protein-coding genes (</w:t>
      </w:r>
      <w:proofErr w:type="spellStart"/>
      <w:r w:rsidRPr="00404AC7">
        <w:rPr>
          <w:rFonts w:ascii="Times New Roman" w:eastAsia="Times New Roman" w:hAnsi="Times New Roman" w:cs="Times New Roman"/>
          <w:sz w:val="24"/>
          <w:szCs w:val="24"/>
          <w:lang w:val="en-US"/>
        </w:rPr>
        <w:t>Karczewski</w:t>
      </w:r>
      <w:proofErr w:type="spellEnd"/>
      <w:r w:rsidRPr="00404AC7">
        <w:rPr>
          <w:rFonts w:ascii="Times New Roman" w:eastAsia="Times New Roman" w:hAnsi="Times New Roman" w:cs="Times New Roman"/>
          <w:sz w:val="24"/>
          <w:szCs w:val="24"/>
          <w:lang w:val="en-US"/>
        </w:rPr>
        <w:t xml:space="preserve"> et al., 2020).</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Functional resources have played an equally important role. ENCODE and the Roadmap Epigenomics Project enabled researchers to connect DNA sequence to biochemical activity, chromatin state and gene regulation across cell types and tissues (ENCODE Project Consortium, 2012; Roadmap Epigenomics Consortium, 2015). </w:t>
      </w:r>
      <w:proofErr w:type="spellStart"/>
      <w:r w:rsidRPr="00404AC7">
        <w:rPr>
          <w:rFonts w:ascii="Times New Roman" w:eastAsia="Times New Roman" w:hAnsi="Times New Roman" w:cs="Times New Roman"/>
          <w:sz w:val="24"/>
          <w:szCs w:val="24"/>
          <w:lang w:val="en-US"/>
        </w:rPr>
        <w:t>GTEx</w:t>
      </w:r>
      <w:proofErr w:type="spellEnd"/>
      <w:r w:rsidRPr="00404AC7">
        <w:rPr>
          <w:rFonts w:ascii="Times New Roman" w:eastAsia="Times New Roman" w:hAnsi="Times New Roman" w:cs="Times New Roman"/>
          <w:sz w:val="24"/>
          <w:szCs w:val="24"/>
          <w:lang w:val="en-US"/>
        </w:rPr>
        <w:t xml:space="preserve"> added tissue-specific evidence linking inherited variation to gene expression and splicing (</w:t>
      </w:r>
      <w:proofErr w:type="spellStart"/>
      <w:r w:rsidRPr="00404AC7">
        <w:rPr>
          <w:rFonts w:ascii="Times New Roman" w:eastAsia="Times New Roman" w:hAnsi="Times New Roman" w:cs="Times New Roman"/>
          <w:sz w:val="24"/>
          <w:szCs w:val="24"/>
          <w:lang w:val="en-US"/>
        </w:rPr>
        <w:t>GTEx</w:t>
      </w:r>
      <w:proofErr w:type="spellEnd"/>
      <w:r w:rsidRPr="00404AC7">
        <w:rPr>
          <w:rFonts w:ascii="Times New Roman" w:eastAsia="Times New Roman" w:hAnsi="Times New Roman" w:cs="Times New Roman"/>
          <w:sz w:val="24"/>
          <w:szCs w:val="24"/>
          <w:lang w:val="en-US"/>
        </w:rPr>
        <w:t xml:space="preserve"> Consortium, 2020). These resources are central to artificial intelligence because they provide labelled examples from which models can learn regulatory codes, tissue-specific effects and molecular consequences of genetic variation. Without such datasets, sequence-based prediction would be limited to simpler annotation tasks.</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The structure of reference genomes also shapes model performance. The T2T-CHM13 assembly improved access to regions that had been difficult to </w:t>
      </w:r>
      <w:proofErr w:type="spellStart"/>
      <w:r w:rsidRPr="00404AC7">
        <w:rPr>
          <w:rFonts w:ascii="Times New Roman" w:eastAsia="Times New Roman" w:hAnsi="Times New Roman" w:cs="Times New Roman"/>
          <w:sz w:val="24"/>
          <w:szCs w:val="24"/>
          <w:lang w:val="en-US"/>
        </w:rPr>
        <w:t>analyse</w:t>
      </w:r>
      <w:proofErr w:type="spellEnd"/>
      <w:r w:rsidRPr="00404AC7">
        <w:rPr>
          <w:rFonts w:ascii="Times New Roman" w:eastAsia="Times New Roman" w:hAnsi="Times New Roman" w:cs="Times New Roman"/>
          <w:sz w:val="24"/>
          <w:szCs w:val="24"/>
          <w:lang w:val="en-US"/>
        </w:rPr>
        <w:t xml:space="preserve"> in previous references, including repetitive and heterochromatic regions (</w:t>
      </w:r>
      <w:proofErr w:type="spellStart"/>
      <w:r w:rsidRPr="00404AC7">
        <w:rPr>
          <w:rFonts w:ascii="Times New Roman" w:eastAsia="Times New Roman" w:hAnsi="Times New Roman" w:cs="Times New Roman"/>
          <w:sz w:val="24"/>
          <w:szCs w:val="24"/>
          <w:lang w:val="en-US"/>
        </w:rPr>
        <w:t>Nurk</w:t>
      </w:r>
      <w:proofErr w:type="spellEnd"/>
      <w:r w:rsidRPr="00404AC7">
        <w:rPr>
          <w:rFonts w:ascii="Times New Roman" w:eastAsia="Times New Roman" w:hAnsi="Times New Roman" w:cs="Times New Roman"/>
          <w:sz w:val="24"/>
          <w:szCs w:val="24"/>
          <w:lang w:val="en-US"/>
        </w:rPr>
        <w:t xml:space="preserve"> et al., 2022). The human pangenome reference represents a more substantial conceptual shift because it moves genomics away from a single reference sequence towards a representation of multiple haplotypes and structural configurations (Liao et al., 2023). This matters because many artificial intelligence models have historically assumed a linear reference coordinate system. Future models will need to </w:t>
      </w:r>
      <w:proofErr w:type="spellStart"/>
      <w:r w:rsidRPr="00404AC7">
        <w:rPr>
          <w:rFonts w:ascii="Times New Roman" w:eastAsia="Times New Roman" w:hAnsi="Times New Roman" w:cs="Times New Roman"/>
          <w:sz w:val="24"/>
          <w:szCs w:val="24"/>
          <w:lang w:val="en-US"/>
        </w:rPr>
        <w:t>analyse</w:t>
      </w:r>
      <w:proofErr w:type="spellEnd"/>
      <w:r w:rsidRPr="00404AC7">
        <w:rPr>
          <w:rFonts w:ascii="Times New Roman" w:eastAsia="Times New Roman" w:hAnsi="Times New Roman" w:cs="Times New Roman"/>
          <w:sz w:val="24"/>
          <w:szCs w:val="24"/>
          <w:lang w:val="en-US"/>
        </w:rPr>
        <w:t xml:space="preserve"> genomic information in graph-based or pangenome-aware forms if they are to represent structural variation and human diversity more accurately.</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Data diversity remains one of the most important scientific limitations in the field. Genomic datasets have historically overrepresented individuals of European ancestry, which can limit the accuracy and </w:t>
      </w:r>
      <w:proofErr w:type="spellStart"/>
      <w:r w:rsidRPr="00404AC7">
        <w:rPr>
          <w:rFonts w:ascii="Times New Roman" w:eastAsia="Times New Roman" w:hAnsi="Times New Roman" w:cs="Times New Roman"/>
          <w:sz w:val="24"/>
          <w:szCs w:val="24"/>
          <w:lang w:val="en-US"/>
        </w:rPr>
        <w:t>generalisability</w:t>
      </w:r>
      <w:proofErr w:type="spellEnd"/>
      <w:r w:rsidRPr="00404AC7">
        <w:rPr>
          <w:rFonts w:ascii="Times New Roman" w:eastAsia="Times New Roman" w:hAnsi="Times New Roman" w:cs="Times New Roman"/>
          <w:sz w:val="24"/>
          <w:szCs w:val="24"/>
          <w:lang w:val="en-US"/>
        </w:rPr>
        <w:t xml:space="preserve"> of genetic discovery and clinical prediction in other populations (</w:t>
      </w:r>
      <w:proofErr w:type="spellStart"/>
      <w:r w:rsidRPr="00404AC7">
        <w:rPr>
          <w:rFonts w:ascii="Times New Roman" w:eastAsia="Times New Roman" w:hAnsi="Times New Roman" w:cs="Times New Roman"/>
          <w:sz w:val="24"/>
          <w:szCs w:val="24"/>
          <w:lang w:val="en-US"/>
        </w:rPr>
        <w:t>Popejoy</w:t>
      </w:r>
      <w:proofErr w:type="spellEnd"/>
      <w:r w:rsidRPr="00404AC7">
        <w:rPr>
          <w:rFonts w:ascii="Times New Roman" w:eastAsia="Times New Roman" w:hAnsi="Times New Roman" w:cs="Times New Roman"/>
          <w:sz w:val="24"/>
          <w:szCs w:val="24"/>
          <w:lang w:val="en-US"/>
        </w:rPr>
        <w:t xml:space="preserve"> &amp; Fullerton, 2016; </w:t>
      </w:r>
      <w:proofErr w:type="spellStart"/>
      <w:r w:rsidRPr="00404AC7">
        <w:rPr>
          <w:rFonts w:ascii="Times New Roman" w:eastAsia="Times New Roman" w:hAnsi="Times New Roman" w:cs="Times New Roman"/>
          <w:sz w:val="24"/>
          <w:szCs w:val="24"/>
          <w:lang w:val="en-US"/>
        </w:rPr>
        <w:t>Sirugo</w:t>
      </w:r>
      <w:proofErr w:type="spellEnd"/>
      <w:r w:rsidRPr="00404AC7">
        <w:rPr>
          <w:rFonts w:ascii="Times New Roman" w:eastAsia="Times New Roman" w:hAnsi="Times New Roman" w:cs="Times New Roman"/>
          <w:sz w:val="24"/>
          <w:szCs w:val="24"/>
          <w:lang w:val="en-US"/>
        </w:rPr>
        <w:t xml:space="preserve"> et al., 2019). Polygenic risk scores are a clear example, because scores trained on Eurocentric genome-wide association studies often transfer poorly to populations with different allele frequencies and linkage-disequilibrium patterns (Martin et al., 2019). Artificial intelligence may amplify this problem if models are trained on imbalanced datasets and then deployed broadly. Therefore, diversity is not only an ethical ideal; it is a technical requirement for robust genomic prediction.</w:t>
      </w:r>
    </w:p>
    <w:p w:rsidR="00404AC7" w:rsidRPr="00404AC7" w:rsidRDefault="00404AC7" w:rsidP="00191F3E">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404AC7">
        <w:rPr>
          <w:rFonts w:ascii="Times New Roman" w:eastAsia="Times New Roman" w:hAnsi="Times New Roman" w:cs="Times New Roman"/>
          <w:b/>
          <w:bCs/>
          <w:sz w:val="36"/>
          <w:szCs w:val="36"/>
          <w:lang w:val="en-US"/>
        </w:rPr>
        <w:t>4. From classical machine learning to deep learning in genomics</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Classical machine learning provided an early framework for </w:t>
      </w:r>
      <w:proofErr w:type="spellStart"/>
      <w:r w:rsidRPr="00404AC7">
        <w:rPr>
          <w:rFonts w:ascii="Times New Roman" w:eastAsia="Times New Roman" w:hAnsi="Times New Roman" w:cs="Times New Roman"/>
          <w:sz w:val="24"/>
          <w:szCs w:val="24"/>
          <w:lang w:val="en-US"/>
        </w:rPr>
        <w:t>analysing</w:t>
      </w:r>
      <w:proofErr w:type="spellEnd"/>
      <w:r w:rsidRPr="00404AC7">
        <w:rPr>
          <w:rFonts w:ascii="Times New Roman" w:eastAsia="Times New Roman" w:hAnsi="Times New Roman" w:cs="Times New Roman"/>
          <w:sz w:val="24"/>
          <w:szCs w:val="24"/>
          <w:lang w:val="en-US"/>
        </w:rPr>
        <w:t xml:space="preserve"> genetic and genomic datasets. Supervised models were used for classification and regression, unsupervised models for clustering and latent structure discovery, and semi-supervised methods for situations in which labelled biological examples were limited. </w:t>
      </w:r>
      <w:proofErr w:type="spellStart"/>
      <w:r w:rsidRPr="00404AC7">
        <w:rPr>
          <w:rFonts w:ascii="Times New Roman" w:eastAsia="Times New Roman" w:hAnsi="Times New Roman" w:cs="Times New Roman"/>
          <w:sz w:val="24"/>
          <w:szCs w:val="24"/>
          <w:lang w:val="en-US"/>
        </w:rPr>
        <w:t>Libbrecht</w:t>
      </w:r>
      <w:proofErr w:type="spellEnd"/>
      <w:r w:rsidRPr="00404AC7">
        <w:rPr>
          <w:rFonts w:ascii="Times New Roman" w:eastAsia="Times New Roman" w:hAnsi="Times New Roman" w:cs="Times New Roman"/>
          <w:sz w:val="24"/>
          <w:szCs w:val="24"/>
          <w:lang w:val="en-US"/>
        </w:rPr>
        <w:t xml:space="preserve"> and Noble (2015) described machine learning as a natural fit for genome sequencing, epigenomic, proteomic and metabolomic data, while also </w:t>
      </w:r>
      <w:proofErr w:type="spellStart"/>
      <w:r w:rsidRPr="00404AC7">
        <w:rPr>
          <w:rFonts w:ascii="Times New Roman" w:eastAsia="Times New Roman" w:hAnsi="Times New Roman" w:cs="Times New Roman"/>
          <w:sz w:val="24"/>
          <w:szCs w:val="24"/>
          <w:lang w:val="en-US"/>
        </w:rPr>
        <w:t>emphasising</w:t>
      </w:r>
      <w:proofErr w:type="spellEnd"/>
      <w:r w:rsidRPr="00404AC7">
        <w:rPr>
          <w:rFonts w:ascii="Times New Roman" w:eastAsia="Times New Roman" w:hAnsi="Times New Roman" w:cs="Times New Roman"/>
          <w:sz w:val="24"/>
          <w:szCs w:val="24"/>
          <w:lang w:val="en-US"/>
        </w:rPr>
        <w:t xml:space="preserve"> recurring challenges such as feature design, model evaluation, class imbalance and interpretability. These challenges remain important even as the field has moved towards larger and more flexible neural networks.</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lastRenderedPageBreak/>
        <w:t xml:space="preserve">Deep learning changed genomic modelling by reducing dependence on manually engineered features. In sequence-based genomics, convolutional neural networks can learn motifs and local sequence patterns directly from DNA strings. </w:t>
      </w:r>
      <w:proofErr w:type="spellStart"/>
      <w:r w:rsidRPr="00404AC7">
        <w:rPr>
          <w:rFonts w:ascii="Times New Roman" w:eastAsia="Times New Roman" w:hAnsi="Times New Roman" w:cs="Times New Roman"/>
          <w:sz w:val="24"/>
          <w:szCs w:val="24"/>
          <w:lang w:val="en-US"/>
        </w:rPr>
        <w:t>DeepBind</w:t>
      </w:r>
      <w:proofErr w:type="spellEnd"/>
      <w:r w:rsidRPr="00404AC7">
        <w:rPr>
          <w:rFonts w:ascii="Times New Roman" w:eastAsia="Times New Roman" w:hAnsi="Times New Roman" w:cs="Times New Roman"/>
          <w:sz w:val="24"/>
          <w:szCs w:val="24"/>
          <w:lang w:val="en-US"/>
        </w:rPr>
        <w:t xml:space="preserve"> showed that deep learning could infer DNA- and RNA-binding specificities from experimental data, supporting scalable prediction of protein–nucleic acid interactions (</w:t>
      </w:r>
      <w:proofErr w:type="spellStart"/>
      <w:r w:rsidRPr="00404AC7">
        <w:rPr>
          <w:rFonts w:ascii="Times New Roman" w:eastAsia="Times New Roman" w:hAnsi="Times New Roman" w:cs="Times New Roman"/>
          <w:sz w:val="24"/>
          <w:szCs w:val="24"/>
          <w:lang w:val="en-US"/>
        </w:rPr>
        <w:t>Alipanahi</w:t>
      </w:r>
      <w:proofErr w:type="spellEnd"/>
      <w:r w:rsidRPr="00404AC7">
        <w:rPr>
          <w:rFonts w:ascii="Times New Roman" w:eastAsia="Times New Roman" w:hAnsi="Times New Roman" w:cs="Times New Roman"/>
          <w:sz w:val="24"/>
          <w:szCs w:val="24"/>
          <w:lang w:val="en-US"/>
        </w:rPr>
        <w:t xml:space="preserve"> et al., 2015). </w:t>
      </w:r>
      <w:proofErr w:type="spellStart"/>
      <w:r w:rsidRPr="00404AC7">
        <w:rPr>
          <w:rFonts w:ascii="Times New Roman" w:eastAsia="Times New Roman" w:hAnsi="Times New Roman" w:cs="Times New Roman"/>
          <w:sz w:val="24"/>
          <w:szCs w:val="24"/>
          <w:lang w:val="en-US"/>
        </w:rPr>
        <w:t>DeepSEA</w:t>
      </w:r>
      <w:proofErr w:type="spellEnd"/>
      <w:r w:rsidRPr="00404AC7">
        <w:rPr>
          <w:rFonts w:ascii="Times New Roman" w:eastAsia="Times New Roman" w:hAnsi="Times New Roman" w:cs="Times New Roman"/>
          <w:sz w:val="24"/>
          <w:szCs w:val="24"/>
          <w:lang w:val="en-US"/>
        </w:rPr>
        <w:t xml:space="preserve"> predicted chromatin effects of non-coding variants from sequence, suggesting that regulatory consequences could be learned from large-scale chromatin-profiling data (Zhou &amp; </w:t>
      </w:r>
      <w:proofErr w:type="spellStart"/>
      <w:r w:rsidRPr="00404AC7">
        <w:rPr>
          <w:rFonts w:ascii="Times New Roman" w:eastAsia="Times New Roman" w:hAnsi="Times New Roman" w:cs="Times New Roman"/>
          <w:sz w:val="24"/>
          <w:szCs w:val="24"/>
          <w:lang w:val="en-US"/>
        </w:rPr>
        <w:t>Troyanskaya</w:t>
      </w:r>
      <w:proofErr w:type="spellEnd"/>
      <w:r w:rsidRPr="00404AC7">
        <w:rPr>
          <w:rFonts w:ascii="Times New Roman" w:eastAsia="Times New Roman" w:hAnsi="Times New Roman" w:cs="Times New Roman"/>
          <w:sz w:val="24"/>
          <w:szCs w:val="24"/>
          <w:lang w:val="en-US"/>
        </w:rPr>
        <w:t>, 2015). Basset further showed that deep convolutional networks could model chromatin accessibility and estimate how variants may alter accessible regulatory sequence (Kelley et al., 2016).</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The next phase of deep learning in genomics incorporated longer-range dependencies and more complex regulatory grammar. </w:t>
      </w:r>
      <w:proofErr w:type="spellStart"/>
      <w:r w:rsidRPr="00404AC7">
        <w:rPr>
          <w:rFonts w:ascii="Times New Roman" w:eastAsia="Times New Roman" w:hAnsi="Times New Roman" w:cs="Times New Roman"/>
          <w:sz w:val="24"/>
          <w:szCs w:val="24"/>
          <w:lang w:val="en-US"/>
        </w:rPr>
        <w:t>DanQ</w:t>
      </w:r>
      <w:proofErr w:type="spellEnd"/>
      <w:r w:rsidRPr="00404AC7">
        <w:rPr>
          <w:rFonts w:ascii="Times New Roman" w:eastAsia="Times New Roman" w:hAnsi="Times New Roman" w:cs="Times New Roman"/>
          <w:sz w:val="24"/>
          <w:szCs w:val="24"/>
          <w:lang w:val="en-US"/>
        </w:rPr>
        <w:t xml:space="preserve"> combined convolutional and recurrent layers to capture both regulatory motifs and dependencies among motifs across DNA sequence (Quang &amp; </w:t>
      </w:r>
      <w:proofErr w:type="spellStart"/>
      <w:r w:rsidRPr="00404AC7">
        <w:rPr>
          <w:rFonts w:ascii="Times New Roman" w:eastAsia="Times New Roman" w:hAnsi="Times New Roman" w:cs="Times New Roman"/>
          <w:sz w:val="24"/>
          <w:szCs w:val="24"/>
          <w:lang w:val="en-US"/>
        </w:rPr>
        <w:t>Xie</w:t>
      </w:r>
      <w:proofErr w:type="spellEnd"/>
      <w:r w:rsidRPr="00404AC7">
        <w:rPr>
          <w:rFonts w:ascii="Times New Roman" w:eastAsia="Times New Roman" w:hAnsi="Times New Roman" w:cs="Times New Roman"/>
          <w:sz w:val="24"/>
          <w:szCs w:val="24"/>
          <w:lang w:val="en-US"/>
        </w:rPr>
        <w:t xml:space="preserve">, 2016). </w:t>
      </w:r>
      <w:proofErr w:type="spellStart"/>
      <w:r w:rsidRPr="00404AC7">
        <w:rPr>
          <w:rFonts w:ascii="Times New Roman" w:eastAsia="Times New Roman" w:hAnsi="Times New Roman" w:cs="Times New Roman"/>
          <w:sz w:val="24"/>
          <w:szCs w:val="24"/>
          <w:lang w:val="en-US"/>
        </w:rPr>
        <w:t>Enformer</w:t>
      </w:r>
      <w:proofErr w:type="spellEnd"/>
      <w:r w:rsidRPr="00404AC7">
        <w:rPr>
          <w:rFonts w:ascii="Times New Roman" w:eastAsia="Times New Roman" w:hAnsi="Times New Roman" w:cs="Times New Roman"/>
          <w:sz w:val="24"/>
          <w:szCs w:val="24"/>
          <w:lang w:val="en-US"/>
        </w:rPr>
        <w:t xml:space="preserve"> later used attention-based modelling to improve gene-expression prediction from long DNA sequence context, including regulatory information located far from transcription start sites (</w:t>
      </w:r>
      <w:proofErr w:type="spellStart"/>
      <w:r w:rsidRPr="00404AC7">
        <w:rPr>
          <w:rFonts w:ascii="Times New Roman" w:eastAsia="Times New Roman" w:hAnsi="Times New Roman" w:cs="Times New Roman"/>
          <w:sz w:val="24"/>
          <w:szCs w:val="24"/>
          <w:lang w:val="en-US"/>
        </w:rPr>
        <w:t>Avsec</w:t>
      </w:r>
      <w:proofErr w:type="spellEnd"/>
      <w:r w:rsidRPr="00404AC7">
        <w:rPr>
          <w:rFonts w:ascii="Times New Roman" w:eastAsia="Times New Roman" w:hAnsi="Times New Roman" w:cs="Times New Roman"/>
          <w:sz w:val="24"/>
          <w:szCs w:val="24"/>
          <w:lang w:val="en-US"/>
        </w:rPr>
        <w:t xml:space="preserve"> et al., 2021). This progression reflects an important biological principle: regulatory function depends not only on short motifs, but also on spacing, orientation, chromatin context, enhancer–promoter interactions and cell-type-specific activity.</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Deep learning has also supported a broader shift towards representation learning. Reviews in computational biology and genomics have noted that deep models can extract hidden structure from large biological datasets and can support applications across regulatory genomics, variant prediction, medical imaging, drug discovery and clinical diagnostics (</w:t>
      </w:r>
      <w:proofErr w:type="spellStart"/>
      <w:r w:rsidRPr="00404AC7">
        <w:rPr>
          <w:rFonts w:ascii="Times New Roman" w:eastAsia="Times New Roman" w:hAnsi="Times New Roman" w:cs="Times New Roman"/>
          <w:sz w:val="24"/>
          <w:szCs w:val="24"/>
          <w:lang w:val="en-US"/>
        </w:rPr>
        <w:t>Angermueller</w:t>
      </w:r>
      <w:proofErr w:type="spellEnd"/>
      <w:r w:rsidRPr="00404AC7">
        <w:rPr>
          <w:rFonts w:ascii="Times New Roman" w:eastAsia="Times New Roman" w:hAnsi="Times New Roman" w:cs="Times New Roman"/>
          <w:sz w:val="24"/>
          <w:szCs w:val="24"/>
          <w:lang w:val="en-US"/>
        </w:rPr>
        <w:t xml:space="preserve"> et al., 2016; </w:t>
      </w:r>
      <w:proofErr w:type="spellStart"/>
      <w:r w:rsidRPr="00404AC7">
        <w:rPr>
          <w:rFonts w:ascii="Times New Roman" w:eastAsia="Times New Roman" w:hAnsi="Times New Roman" w:cs="Times New Roman"/>
          <w:sz w:val="24"/>
          <w:szCs w:val="24"/>
          <w:lang w:val="en-US"/>
        </w:rPr>
        <w:t>Eraslan</w:t>
      </w:r>
      <w:proofErr w:type="spellEnd"/>
      <w:r w:rsidRPr="00404AC7">
        <w:rPr>
          <w:rFonts w:ascii="Times New Roman" w:eastAsia="Times New Roman" w:hAnsi="Times New Roman" w:cs="Times New Roman"/>
          <w:sz w:val="24"/>
          <w:szCs w:val="24"/>
          <w:lang w:val="en-US"/>
        </w:rPr>
        <w:t xml:space="preserve"> et al., 2019; </w:t>
      </w:r>
      <w:proofErr w:type="spellStart"/>
      <w:r w:rsidRPr="00404AC7">
        <w:rPr>
          <w:rFonts w:ascii="Times New Roman" w:eastAsia="Times New Roman" w:hAnsi="Times New Roman" w:cs="Times New Roman"/>
          <w:sz w:val="24"/>
          <w:szCs w:val="24"/>
          <w:lang w:val="en-US"/>
        </w:rPr>
        <w:t>Wainberg</w:t>
      </w:r>
      <w:proofErr w:type="spellEnd"/>
      <w:r w:rsidRPr="00404AC7">
        <w:rPr>
          <w:rFonts w:ascii="Times New Roman" w:eastAsia="Times New Roman" w:hAnsi="Times New Roman" w:cs="Times New Roman"/>
          <w:sz w:val="24"/>
          <w:szCs w:val="24"/>
          <w:lang w:val="en-US"/>
        </w:rPr>
        <w:t xml:space="preserve"> et al., 2018; Zou et al., 2019). However, larger models are not automatically better biological models. They can learn dataset artefacts, become difficult to interpret, require substantial computational resources and produce misleading confidence when applied outside their training domain. The most useful models are therefore those that combine predictive performance with biological plausibility, transparent evaluation and experimental testability.</w:t>
      </w:r>
    </w:p>
    <w:p w:rsidR="00404AC7" w:rsidRPr="00404AC7" w:rsidRDefault="00404AC7" w:rsidP="00191F3E">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404AC7">
        <w:rPr>
          <w:rFonts w:ascii="Times New Roman" w:eastAsia="Times New Roman" w:hAnsi="Times New Roman" w:cs="Times New Roman"/>
          <w:b/>
          <w:bCs/>
          <w:sz w:val="36"/>
          <w:szCs w:val="36"/>
          <w:lang w:val="en-US"/>
        </w:rPr>
        <w:t>5. Artificial intelligence in sequencing, read correction and variant calling</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Sequencing analysis converts raw molecular signals into genomic variants, assemblies and annotations. This stage is critical because downstream biological inference depends on the technical accuracy of sequence reads, alignments and variant calls. Traditional variant-calling pipelines used statistical models, base-quality recalibration and manually designed filters. </w:t>
      </w:r>
      <w:proofErr w:type="spellStart"/>
      <w:r w:rsidRPr="00404AC7">
        <w:rPr>
          <w:rFonts w:ascii="Times New Roman" w:eastAsia="Times New Roman" w:hAnsi="Times New Roman" w:cs="Times New Roman"/>
          <w:sz w:val="24"/>
          <w:szCs w:val="24"/>
          <w:lang w:val="en-US"/>
        </w:rPr>
        <w:t>DeepVariant</w:t>
      </w:r>
      <w:proofErr w:type="spellEnd"/>
      <w:r w:rsidRPr="00404AC7">
        <w:rPr>
          <w:rFonts w:ascii="Times New Roman" w:eastAsia="Times New Roman" w:hAnsi="Times New Roman" w:cs="Times New Roman"/>
          <w:sz w:val="24"/>
          <w:szCs w:val="24"/>
          <w:lang w:val="en-US"/>
        </w:rPr>
        <w:t xml:space="preserve"> reframed germline variant calling as a learned pattern-recognition task by representing aligned reads around candidate variants in a form suitable for deep convolutional neural networks (Poplin et al., 2018). This work showed that artificial intelligence could improve variant calling by learning from read-pileup patterns rather than relying entirely on hand-crafted error models.</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The significance of </w:t>
      </w:r>
      <w:proofErr w:type="spellStart"/>
      <w:r w:rsidRPr="00404AC7">
        <w:rPr>
          <w:rFonts w:ascii="Times New Roman" w:eastAsia="Times New Roman" w:hAnsi="Times New Roman" w:cs="Times New Roman"/>
          <w:sz w:val="24"/>
          <w:szCs w:val="24"/>
          <w:lang w:val="en-US"/>
        </w:rPr>
        <w:t>DeepVariant</w:t>
      </w:r>
      <w:proofErr w:type="spellEnd"/>
      <w:r w:rsidRPr="00404AC7">
        <w:rPr>
          <w:rFonts w:ascii="Times New Roman" w:eastAsia="Times New Roman" w:hAnsi="Times New Roman" w:cs="Times New Roman"/>
          <w:sz w:val="24"/>
          <w:szCs w:val="24"/>
          <w:lang w:val="en-US"/>
        </w:rPr>
        <w:t xml:space="preserve"> extends beyond one software tool. It demonstrated that deep learning can be inserted into core sequencing infrastructure and can operate close to raw data. This is important because errors in variant calling can propagate into disease-gene discovery, clinical diagnostics and population genetics. A technically incorrect variant call may create a </w:t>
      </w:r>
      <w:r w:rsidRPr="00404AC7">
        <w:rPr>
          <w:rFonts w:ascii="Times New Roman" w:eastAsia="Times New Roman" w:hAnsi="Times New Roman" w:cs="Times New Roman"/>
          <w:sz w:val="24"/>
          <w:szCs w:val="24"/>
          <w:lang w:val="en-US"/>
        </w:rPr>
        <w:lastRenderedPageBreak/>
        <w:t>false biological hypothesis, while a missed variant may obscure a causal mechanism. Artificial intelligence can reduce some of these errors, but it also requires careful training across sequencing platforms, genome builds, read lengths and sample types.</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Long-read sequencing creates new opportunities and challenges for artificial intelligence. Long reads improve access to structural variation, haplotypes, repetitive regions and previously unresolved genomic segments, but they have different error characteristics from short-read technologies. </w:t>
      </w:r>
      <w:proofErr w:type="spellStart"/>
      <w:r w:rsidRPr="00404AC7">
        <w:rPr>
          <w:rFonts w:ascii="Times New Roman" w:eastAsia="Times New Roman" w:hAnsi="Times New Roman" w:cs="Times New Roman"/>
          <w:sz w:val="24"/>
          <w:szCs w:val="24"/>
          <w:lang w:val="en-US"/>
        </w:rPr>
        <w:t>DeepConsensus</w:t>
      </w:r>
      <w:proofErr w:type="spellEnd"/>
      <w:r w:rsidRPr="00404AC7">
        <w:rPr>
          <w:rFonts w:ascii="Times New Roman" w:eastAsia="Times New Roman" w:hAnsi="Times New Roman" w:cs="Times New Roman"/>
          <w:sz w:val="24"/>
          <w:szCs w:val="24"/>
          <w:lang w:val="en-US"/>
        </w:rPr>
        <w:t xml:space="preserve"> used a gap-aware transformer approach to improve PacBio HiFi read accuracy and reduce read errors relative to the previous consensus approach (</w:t>
      </w:r>
      <w:proofErr w:type="spellStart"/>
      <w:r w:rsidRPr="00404AC7">
        <w:rPr>
          <w:rFonts w:ascii="Times New Roman" w:eastAsia="Times New Roman" w:hAnsi="Times New Roman" w:cs="Times New Roman"/>
          <w:sz w:val="24"/>
          <w:szCs w:val="24"/>
          <w:lang w:val="en-US"/>
        </w:rPr>
        <w:t>Baid</w:t>
      </w:r>
      <w:proofErr w:type="spellEnd"/>
      <w:r w:rsidRPr="00404AC7">
        <w:rPr>
          <w:rFonts w:ascii="Times New Roman" w:eastAsia="Times New Roman" w:hAnsi="Times New Roman" w:cs="Times New Roman"/>
          <w:sz w:val="24"/>
          <w:szCs w:val="24"/>
          <w:lang w:val="en-US"/>
        </w:rPr>
        <w:t xml:space="preserve"> et al., 2023). Such models show that artificial intelligence can improve data quality before variant calling or assembly, not merely interpret variants after they are called.</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Genome assembly and pangenome representation will likely become increasingly important for artificial intelligence. The T2T-CHM13 assembly and the draft human pangenome reference illustrate that reference bias is not a minor technical issue but a structural feature of genomic analysis (Liao et al., 2023; </w:t>
      </w:r>
      <w:proofErr w:type="spellStart"/>
      <w:r w:rsidRPr="00404AC7">
        <w:rPr>
          <w:rFonts w:ascii="Times New Roman" w:eastAsia="Times New Roman" w:hAnsi="Times New Roman" w:cs="Times New Roman"/>
          <w:sz w:val="24"/>
          <w:szCs w:val="24"/>
          <w:lang w:val="en-US"/>
        </w:rPr>
        <w:t>Nurk</w:t>
      </w:r>
      <w:proofErr w:type="spellEnd"/>
      <w:r w:rsidRPr="00404AC7">
        <w:rPr>
          <w:rFonts w:ascii="Times New Roman" w:eastAsia="Times New Roman" w:hAnsi="Times New Roman" w:cs="Times New Roman"/>
          <w:sz w:val="24"/>
          <w:szCs w:val="24"/>
          <w:lang w:val="en-US"/>
        </w:rPr>
        <w:t xml:space="preserve"> et al., 2022). Artificial intelligence models trained only on older reference representations may be less capable of detecting or interpreting structural variants, segmental duplications, centromeric sequence, complex haplotypes and ancestry-specific sequence. Future variant-calling systems will therefore need to combine deep learning with pangenome graphs, long-read evidence and diverse population assemblies.</w:t>
      </w:r>
    </w:p>
    <w:p w:rsidR="00404AC7" w:rsidRPr="00404AC7" w:rsidRDefault="00404AC7" w:rsidP="00191F3E">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404AC7">
        <w:rPr>
          <w:rFonts w:ascii="Times New Roman" w:eastAsia="Times New Roman" w:hAnsi="Times New Roman" w:cs="Times New Roman"/>
          <w:b/>
          <w:bCs/>
          <w:sz w:val="36"/>
          <w:szCs w:val="36"/>
          <w:lang w:val="en-US"/>
        </w:rPr>
        <w:t>6. Artificial intelligence in regulatory genomics and functional annotation</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Regulatory genomics is one of the areas in which artificial intelligence has most clearly changed biological discovery. A large fraction of complex-trait-associated variants identified by genome-wide association studies occurs outside protein-coding regions, and many such variants are presumed to influence gene regulation rather than protein sequence directly (Visscher et al., 2017). The challenge is that regulatory effects are highly context dependent. A variant may alter enhancer activity in one cell type, have no measurable effect in another, or influence a gene located far away in linear genomic distance. Artificial intelligence offers a way to learn regulatory patterns from large functional genomic datasets and then apply those patterns to variant </w:t>
      </w:r>
      <w:proofErr w:type="spellStart"/>
      <w:r w:rsidRPr="00404AC7">
        <w:rPr>
          <w:rFonts w:ascii="Times New Roman" w:eastAsia="Times New Roman" w:hAnsi="Times New Roman" w:cs="Times New Roman"/>
          <w:sz w:val="24"/>
          <w:szCs w:val="24"/>
          <w:lang w:val="en-US"/>
        </w:rPr>
        <w:t>prioritisation</w:t>
      </w:r>
      <w:proofErr w:type="spellEnd"/>
      <w:r w:rsidRPr="00404AC7">
        <w:rPr>
          <w:rFonts w:ascii="Times New Roman" w:eastAsia="Times New Roman" w:hAnsi="Times New Roman" w:cs="Times New Roman"/>
          <w:sz w:val="24"/>
          <w:szCs w:val="24"/>
          <w:lang w:val="en-US"/>
        </w:rPr>
        <w:t>.</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DeepBind</w:t>
      </w:r>
      <w:proofErr w:type="spellEnd"/>
      <w:r w:rsidRPr="00404AC7">
        <w:rPr>
          <w:rFonts w:ascii="Times New Roman" w:eastAsia="Times New Roman" w:hAnsi="Times New Roman" w:cs="Times New Roman"/>
          <w:sz w:val="24"/>
          <w:szCs w:val="24"/>
          <w:lang w:val="en-US"/>
        </w:rPr>
        <w:t xml:space="preserve">, </w:t>
      </w:r>
      <w:proofErr w:type="spellStart"/>
      <w:r w:rsidRPr="00404AC7">
        <w:rPr>
          <w:rFonts w:ascii="Times New Roman" w:eastAsia="Times New Roman" w:hAnsi="Times New Roman" w:cs="Times New Roman"/>
          <w:sz w:val="24"/>
          <w:szCs w:val="24"/>
          <w:lang w:val="en-US"/>
        </w:rPr>
        <w:t>DeepSEA</w:t>
      </w:r>
      <w:proofErr w:type="spellEnd"/>
      <w:r w:rsidRPr="00404AC7">
        <w:rPr>
          <w:rFonts w:ascii="Times New Roman" w:eastAsia="Times New Roman" w:hAnsi="Times New Roman" w:cs="Times New Roman"/>
          <w:sz w:val="24"/>
          <w:szCs w:val="24"/>
          <w:lang w:val="en-US"/>
        </w:rPr>
        <w:t xml:space="preserve"> and Basset were early examples of this approach. </w:t>
      </w:r>
      <w:proofErr w:type="spellStart"/>
      <w:r w:rsidRPr="00404AC7">
        <w:rPr>
          <w:rFonts w:ascii="Times New Roman" w:eastAsia="Times New Roman" w:hAnsi="Times New Roman" w:cs="Times New Roman"/>
          <w:sz w:val="24"/>
          <w:szCs w:val="24"/>
          <w:lang w:val="en-US"/>
        </w:rPr>
        <w:t>DeepBind</w:t>
      </w:r>
      <w:proofErr w:type="spellEnd"/>
      <w:r w:rsidRPr="00404AC7">
        <w:rPr>
          <w:rFonts w:ascii="Times New Roman" w:eastAsia="Times New Roman" w:hAnsi="Times New Roman" w:cs="Times New Roman"/>
          <w:sz w:val="24"/>
          <w:szCs w:val="24"/>
          <w:lang w:val="en-US"/>
        </w:rPr>
        <w:t xml:space="preserve"> learned binding specificities of DNA- and RNA-binding proteins from experimental data (</w:t>
      </w:r>
      <w:proofErr w:type="spellStart"/>
      <w:r w:rsidRPr="00404AC7">
        <w:rPr>
          <w:rFonts w:ascii="Times New Roman" w:eastAsia="Times New Roman" w:hAnsi="Times New Roman" w:cs="Times New Roman"/>
          <w:sz w:val="24"/>
          <w:szCs w:val="24"/>
          <w:lang w:val="en-US"/>
        </w:rPr>
        <w:t>Alipanahi</w:t>
      </w:r>
      <w:proofErr w:type="spellEnd"/>
      <w:r w:rsidRPr="00404AC7">
        <w:rPr>
          <w:rFonts w:ascii="Times New Roman" w:eastAsia="Times New Roman" w:hAnsi="Times New Roman" w:cs="Times New Roman"/>
          <w:sz w:val="24"/>
          <w:szCs w:val="24"/>
          <w:lang w:val="en-US"/>
        </w:rPr>
        <w:t xml:space="preserve"> et al., 2015). </w:t>
      </w:r>
      <w:proofErr w:type="spellStart"/>
      <w:r w:rsidRPr="00404AC7">
        <w:rPr>
          <w:rFonts w:ascii="Times New Roman" w:eastAsia="Times New Roman" w:hAnsi="Times New Roman" w:cs="Times New Roman"/>
          <w:sz w:val="24"/>
          <w:szCs w:val="24"/>
          <w:lang w:val="en-US"/>
        </w:rPr>
        <w:t>DeepSEA</w:t>
      </w:r>
      <w:proofErr w:type="spellEnd"/>
      <w:r w:rsidRPr="00404AC7">
        <w:rPr>
          <w:rFonts w:ascii="Times New Roman" w:eastAsia="Times New Roman" w:hAnsi="Times New Roman" w:cs="Times New Roman"/>
          <w:sz w:val="24"/>
          <w:szCs w:val="24"/>
          <w:lang w:val="en-US"/>
        </w:rPr>
        <w:t xml:space="preserve"> predicted chromatin effects of non-coding variants from sequence alone, connecting sequence changes to functional genomic consequences (Zhou &amp; </w:t>
      </w:r>
      <w:proofErr w:type="spellStart"/>
      <w:r w:rsidRPr="00404AC7">
        <w:rPr>
          <w:rFonts w:ascii="Times New Roman" w:eastAsia="Times New Roman" w:hAnsi="Times New Roman" w:cs="Times New Roman"/>
          <w:sz w:val="24"/>
          <w:szCs w:val="24"/>
          <w:lang w:val="en-US"/>
        </w:rPr>
        <w:t>Troyanskaya</w:t>
      </w:r>
      <w:proofErr w:type="spellEnd"/>
      <w:r w:rsidRPr="00404AC7">
        <w:rPr>
          <w:rFonts w:ascii="Times New Roman" w:eastAsia="Times New Roman" w:hAnsi="Times New Roman" w:cs="Times New Roman"/>
          <w:sz w:val="24"/>
          <w:szCs w:val="24"/>
          <w:lang w:val="en-US"/>
        </w:rPr>
        <w:t xml:space="preserve">, 2015). Basset modelled chromatin accessibility and allowed researchers to estimate how sequence variants may influence regulatory activity (Kelley et al., 2016). These models were influential because they showed that DNA sequence contains learnable features related to regulatory function and that artificial intelligence can help </w:t>
      </w:r>
      <w:proofErr w:type="spellStart"/>
      <w:r w:rsidRPr="00404AC7">
        <w:rPr>
          <w:rFonts w:ascii="Times New Roman" w:eastAsia="Times New Roman" w:hAnsi="Times New Roman" w:cs="Times New Roman"/>
          <w:sz w:val="24"/>
          <w:szCs w:val="24"/>
          <w:lang w:val="en-US"/>
        </w:rPr>
        <w:t>prioritise</w:t>
      </w:r>
      <w:proofErr w:type="spellEnd"/>
      <w:r w:rsidRPr="00404AC7">
        <w:rPr>
          <w:rFonts w:ascii="Times New Roman" w:eastAsia="Times New Roman" w:hAnsi="Times New Roman" w:cs="Times New Roman"/>
          <w:sz w:val="24"/>
          <w:szCs w:val="24"/>
          <w:lang w:val="en-US"/>
        </w:rPr>
        <w:t xml:space="preserve"> variants in non-coding regions.</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DanQ</w:t>
      </w:r>
      <w:proofErr w:type="spellEnd"/>
      <w:r w:rsidRPr="00404AC7">
        <w:rPr>
          <w:rFonts w:ascii="Times New Roman" w:eastAsia="Times New Roman" w:hAnsi="Times New Roman" w:cs="Times New Roman"/>
          <w:sz w:val="24"/>
          <w:szCs w:val="24"/>
          <w:lang w:val="en-US"/>
        </w:rPr>
        <w:t xml:space="preserve"> extended sequence modelling by combining convolutional layers with recurrent layers, allowing the model to represent both local motifs and longer dependencies between motifs (Quang &amp; </w:t>
      </w:r>
      <w:proofErr w:type="spellStart"/>
      <w:r w:rsidRPr="00404AC7">
        <w:rPr>
          <w:rFonts w:ascii="Times New Roman" w:eastAsia="Times New Roman" w:hAnsi="Times New Roman" w:cs="Times New Roman"/>
          <w:sz w:val="24"/>
          <w:szCs w:val="24"/>
          <w:lang w:val="en-US"/>
        </w:rPr>
        <w:t>Xie</w:t>
      </w:r>
      <w:proofErr w:type="spellEnd"/>
      <w:r w:rsidRPr="00404AC7">
        <w:rPr>
          <w:rFonts w:ascii="Times New Roman" w:eastAsia="Times New Roman" w:hAnsi="Times New Roman" w:cs="Times New Roman"/>
          <w:sz w:val="24"/>
          <w:szCs w:val="24"/>
          <w:lang w:val="en-US"/>
        </w:rPr>
        <w:t xml:space="preserve">, 2016). </w:t>
      </w:r>
      <w:proofErr w:type="spellStart"/>
      <w:r w:rsidRPr="00404AC7">
        <w:rPr>
          <w:rFonts w:ascii="Times New Roman" w:eastAsia="Times New Roman" w:hAnsi="Times New Roman" w:cs="Times New Roman"/>
          <w:sz w:val="24"/>
          <w:szCs w:val="24"/>
          <w:lang w:val="en-US"/>
        </w:rPr>
        <w:t>Enformer</w:t>
      </w:r>
      <w:proofErr w:type="spellEnd"/>
      <w:r w:rsidRPr="00404AC7">
        <w:rPr>
          <w:rFonts w:ascii="Times New Roman" w:eastAsia="Times New Roman" w:hAnsi="Times New Roman" w:cs="Times New Roman"/>
          <w:sz w:val="24"/>
          <w:szCs w:val="24"/>
          <w:lang w:val="en-US"/>
        </w:rPr>
        <w:t xml:space="preserve"> advanced the field further by modelling long-range regulatory information and improving prediction of gene expression from DNA sequence (</w:t>
      </w:r>
      <w:proofErr w:type="spellStart"/>
      <w:r w:rsidRPr="00404AC7">
        <w:rPr>
          <w:rFonts w:ascii="Times New Roman" w:eastAsia="Times New Roman" w:hAnsi="Times New Roman" w:cs="Times New Roman"/>
          <w:sz w:val="24"/>
          <w:szCs w:val="24"/>
          <w:lang w:val="en-US"/>
        </w:rPr>
        <w:t>Avsec</w:t>
      </w:r>
      <w:proofErr w:type="spellEnd"/>
      <w:r w:rsidRPr="00404AC7">
        <w:rPr>
          <w:rFonts w:ascii="Times New Roman" w:eastAsia="Times New Roman" w:hAnsi="Times New Roman" w:cs="Times New Roman"/>
          <w:sz w:val="24"/>
          <w:szCs w:val="24"/>
          <w:lang w:val="en-US"/>
        </w:rPr>
        <w:t xml:space="preserve"> et al., 2021). This is biologically important because enhancers can act over long </w:t>
      </w:r>
      <w:r w:rsidRPr="00404AC7">
        <w:rPr>
          <w:rFonts w:ascii="Times New Roman" w:eastAsia="Times New Roman" w:hAnsi="Times New Roman" w:cs="Times New Roman"/>
          <w:sz w:val="24"/>
          <w:szCs w:val="24"/>
          <w:lang w:val="en-US"/>
        </w:rPr>
        <w:lastRenderedPageBreak/>
        <w:t xml:space="preserve">distances, and disease-associated variants may influence gene expression through enhancer–promoter relationships rather than through nearby genes. Although models such as </w:t>
      </w:r>
      <w:proofErr w:type="spellStart"/>
      <w:r w:rsidRPr="00404AC7">
        <w:rPr>
          <w:rFonts w:ascii="Times New Roman" w:eastAsia="Times New Roman" w:hAnsi="Times New Roman" w:cs="Times New Roman"/>
          <w:sz w:val="24"/>
          <w:szCs w:val="24"/>
          <w:lang w:val="en-US"/>
        </w:rPr>
        <w:t>Enformer</w:t>
      </w:r>
      <w:proofErr w:type="spellEnd"/>
      <w:r w:rsidRPr="00404AC7">
        <w:rPr>
          <w:rFonts w:ascii="Times New Roman" w:eastAsia="Times New Roman" w:hAnsi="Times New Roman" w:cs="Times New Roman"/>
          <w:sz w:val="24"/>
          <w:szCs w:val="24"/>
          <w:lang w:val="en-US"/>
        </w:rPr>
        <w:t xml:space="preserve"> do not fully reproduce chromatin dynamics or three-dimensional genome </w:t>
      </w:r>
      <w:proofErr w:type="spellStart"/>
      <w:r w:rsidRPr="00404AC7">
        <w:rPr>
          <w:rFonts w:ascii="Times New Roman" w:eastAsia="Times New Roman" w:hAnsi="Times New Roman" w:cs="Times New Roman"/>
          <w:sz w:val="24"/>
          <w:szCs w:val="24"/>
          <w:lang w:val="en-US"/>
        </w:rPr>
        <w:t>organisation</w:t>
      </w:r>
      <w:proofErr w:type="spellEnd"/>
      <w:r w:rsidRPr="00404AC7">
        <w:rPr>
          <w:rFonts w:ascii="Times New Roman" w:eastAsia="Times New Roman" w:hAnsi="Times New Roman" w:cs="Times New Roman"/>
          <w:sz w:val="24"/>
          <w:szCs w:val="24"/>
          <w:lang w:val="en-US"/>
        </w:rPr>
        <w:t xml:space="preserve">, they provide a useful framework for </w:t>
      </w:r>
      <w:proofErr w:type="spellStart"/>
      <w:r w:rsidRPr="00404AC7">
        <w:rPr>
          <w:rFonts w:ascii="Times New Roman" w:eastAsia="Times New Roman" w:hAnsi="Times New Roman" w:cs="Times New Roman"/>
          <w:sz w:val="24"/>
          <w:szCs w:val="24"/>
          <w:lang w:val="en-US"/>
        </w:rPr>
        <w:t>prioritising</w:t>
      </w:r>
      <w:proofErr w:type="spellEnd"/>
      <w:r w:rsidRPr="00404AC7">
        <w:rPr>
          <w:rFonts w:ascii="Times New Roman" w:eastAsia="Times New Roman" w:hAnsi="Times New Roman" w:cs="Times New Roman"/>
          <w:sz w:val="24"/>
          <w:szCs w:val="24"/>
          <w:lang w:val="en-US"/>
        </w:rPr>
        <w:t xml:space="preserve"> candidate regulatory variants and designing experiments.</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Foundation models are now changing the regulatory-genomics landscape. Nucleotide Transformer models were trained on large-scale DNA sequence datasets, including human reference sequence, 3,202 diverse human genomes and 850 genomes from diverse species, and were evaluated across multiple genomic prediction tasks (Dalla-Torre et al., 2025). Their importance lies in self-supervised learning: the model can learn general sequence representations before being fine-tuned for specific tasks. This may reduce dependence on labelled datasets for every new application and may support transfer across related genomic problems. However, foundation models require rigorous evaluation because apparent generality can conceal weaknesses in specific tissues, ancestries, variant classes or organisms.</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Functional annotation also depends on experimental context. A model that predicts regulatory activity from sequence may not capture environmental response, developmental timing, chromatin </w:t>
      </w:r>
      <w:proofErr w:type="spellStart"/>
      <w:r w:rsidRPr="00404AC7">
        <w:rPr>
          <w:rFonts w:ascii="Times New Roman" w:eastAsia="Times New Roman" w:hAnsi="Times New Roman" w:cs="Times New Roman"/>
          <w:sz w:val="24"/>
          <w:szCs w:val="24"/>
          <w:lang w:val="en-US"/>
        </w:rPr>
        <w:t>remodelling</w:t>
      </w:r>
      <w:proofErr w:type="spellEnd"/>
      <w:r w:rsidRPr="00404AC7">
        <w:rPr>
          <w:rFonts w:ascii="Times New Roman" w:eastAsia="Times New Roman" w:hAnsi="Times New Roman" w:cs="Times New Roman"/>
          <w:sz w:val="24"/>
          <w:szCs w:val="24"/>
          <w:lang w:val="en-US"/>
        </w:rPr>
        <w:t xml:space="preserve">, transcription-factor abundance, DNA methylation or RNA-mediated regulation. Therefore, artificial intelligence should be used as a </w:t>
      </w:r>
      <w:proofErr w:type="spellStart"/>
      <w:r w:rsidRPr="00404AC7">
        <w:rPr>
          <w:rFonts w:ascii="Times New Roman" w:eastAsia="Times New Roman" w:hAnsi="Times New Roman" w:cs="Times New Roman"/>
          <w:sz w:val="24"/>
          <w:szCs w:val="24"/>
          <w:lang w:val="en-US"/>
        </w:rPr>
        <w:t>prioritisation</w:t>
      </w:r>
      <w:proofErr w:type="spellEnd"/>
      <w:r w:rsidRPr="00404AC7">
        <w:rPr>
          <w:rFonts w:ascii="Times New Roman" w:eastAsia="Times New Roman" w:hAnsi="Times New Roman" w:cs="Times New Roman"/>
          <w:sz w:val="24"/>
          <w:szCs w:val="24"/>
          <w:lang w:val="en-US"/>
        </w:rPr>
        <w:t xml:space="preserve"> and hypothesis-generation tool rather than as final evidence of regulatory function. Its greatest value is </w:t>
      </w:r>
      <w:proofErr w:type="spellStart"/>
      <w:r w:rsidRPr="00404AC7">
        <w:rPr>
          <w:rFonts w:ascii="Times New Roman" w:eastAsia="Times New Roman" w:hAnsi="Times New Roman" w:cs="Times New Roman"/>
          <w:sz w:val="24"/>
          <w:szCs w:val="24"/>
          <w:lang w:val="en-US"/>
        </w:rPr>
        <w:t>realised</w:t>
      </w:r>
      <w:proofErr w:type="spellEnd"/>
      <w:r w:rsidRPr="00404AC7">
        <w:rPr>
          <w:rFonts w:ascii="Times New Roman" w:eastAsia="Times New Roman" w:hAnsi="Times New Roman" w:cs="Times New Roman"/>
          <w:sz w:val="24"/>
          <w:szCs w:val="24"/>
          <w:lang w:val="en-US"/>
        </w:rPr>
        <w:t xml:space="preserve"> when predictions are tested using reporter assays, CRISPR perturbations, expression analyses, chromatin profiling and disease-relevant cellular systems.</w:t>
      </w:r>
    </w:p>
    <w:p w:rsidR="00404AC7" w:rsidRPr="00404AC7" w:rsidRDefault="00404AC7" w:rsidP="00191F3E">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404AC7">
        <w:rPr>
          <w:rFonts w:ascii="Times New Roman" w:eastAsia="Times New Roman" w:hAnsi="Times New Roman" w:cs="Times New Roman"/>
          <w:b/>
          <w:bCs/>
          <w:sz w:val="36"/>
          <w:szCs w:val="36"/>
          <w:lang w:val="en-US"/>
        </w:rPr>
        <w:t>7. Artificial intelligence in variant interpretation and pathogenicity prediction</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Variant interpretation is a central bottleneck in genomic medicine and biological discovery. A single human genome contains millions of variants, most of which are benign or of uncertain significance. Clinical sequencing often identifies candidate variants whose biological meaning is difficult to establish. Artificial intelligence and machine learning can help </w:t>
      </w:r>
      <w:proofErr w:type="spellStart"/>
      <w:r w:rsidRPr="00404AC7">
        <w:rPr>
          <w:rFonts w:ascii="Times New Roman" w:eastAsia="Times New Roman" w:hAnsi="Times New Roman" w:cs="Times New Roman"/>
          <w:sz w:val="24"/>
          <w:szCs w:val="24"/>
          <w:lang w:val="en-US"/>
        </w:rPr>
        <w:t>prioritise</w:t>
      </w:r>
      <w:proofErr w:type="spellEnd"/>
      <w:r w:rsidRPr="00404AC7">
        <w:rPr>
          <w:rFonts w:ascii="Times New Roman" w:eastAsia="Times New Roman" w:hAnsi="Times New Roman" w:cs="Times New Roman"/>
          <w:sz w:val="24"/>
          <w:szCs w:val="24"/>
          <w:lang w:val="en-US"/>
        </w:rPr>
        <w:t xml:space="preserve"> variants by integrating multiple forms of evidence, including conservation, population frequency, predicted molecular effect, regulatory annotation, protein context and known disease associations.</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CADD was an early and influential integrative framework for estimating the relative pathogenicity of human genetic variants by combining diverse genomic annotations into a single score (Kircher et al., 2014). REVEL focused on rare missense variants and integrated multiple prediction tools into an ensemble method for pathogenicity prediction (Ioannidis et al., 2016). These methods helped establish the value of combining heterogeneous evidence, but they also highlight a recurring problem: prediction scores are not equivalent to clinical classifications. A high score may suggest that a variant deserves attention, but it does not prove causality.</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Deep learning has improved mechanism-specific variant interpretation. </w:t>
      </w:r>
      <w:proofErr w:type="spellStart"/>
      <w:r w:rsidRPr="00404AC7">
        <w:rPr>
          <w:rFonts w:ascii="Times New Roman" w:eastAsia="Times New Roman" w:hAnsi="Times New Roman" w:cs="Times New Roman"/>
          <w:sz w:val="24"/>
          <w:szCs w:val="24"/>
          <w:lang w:val="en-US"/>
        </w:rPr>
        <w:t>SpliceAI</w:t>
      </w:r>
      <w:proofErr w:type="spellEnd"/>
      <w:r w:rsidRPr="00404AC7">
        <w:rPr>
          <w:rFonts w:ascii="Times New Roman" w:eastAsia="Times New Roman" w:hAnsi="Times New Roman" w:cs="Times New Roman"/>
          <w:sz w:val="24"/>
          <w:szCs w:val="24"/>
          <w:lang w:val="en-US"/>
        </w:rPr>
        <w:t xml:space="preserve"> predicts splicing consequences from primary nucleotide sequence and can identify variants that create or disrupt splice signals (</w:t>
      </w:r>
      <w:proofErr w:type="spellStart"/>
      <w:r w:rsidRPr="00404AC7">
        <w:rPr>
          <w:rFonts w:ascii="Times New Roman" w:eastAsia="Times New Roman" w:hAnsi="Times New Roman" w:cs="Times New Roman"/>
          <w:sz w:val="24"/>
          <w:szCs w:val="24"/>
          <w:lang w:val="en-US"/>
        </w:rPr>
        <w:t>Jaganathan</w:t>
      </w:r>
      <w:proofErr w:type="spellEnd"/>
      <w:r w:rsidRPr="00404AC7">
        <w:rPr>
          <w:rFonts w:ascii="Times New Roman" w:eastAsia="Times New Roman" w:hAnsi="Times New Roman" w:cs="Times New Roman"/>
          <w:sz w:val="24"/>
          <w:szCs w:val="24"/>
          <w:lang w:val="en-US"/>
        </w:rPr>
        <w:t xml:space="preserve"> et al., 2019). This is important because pathogenic variants may act through RNA processing, including intronic and synonymous changes that are difficult to interpret from protein sequence alone. </w:t>
      </w:r>
      <w:proofErr w:type="spellStart"/>
      <w:r w:rsidRPr="00404AC7">
        <w:rPr>
          <w:rFonts w:ascii="Times New Roman" w:eastAsia="Times New Roman" w:hAnsi="Times New Roman" w:cs="Times New Roman"/>
          <w:sz w:val="24"/>
          <w:szCs w:val="24"/>
          <w:lang w:val="en-US"/>
        </w:rPr>
        <w:t>AlphaMissense</w:t>
      </w:r>
      <w:proofErr w:type="spellEnd"/>
      <w:r w:rsidRPr="00404AC7">
        <w:rPr>
          <w:rFonts w:ascii="Times New Roman" w:eastAsia="Times New Roman" w:hAnsi="Times New Roman" w:cs="Times New Roman"/>
          <w:sz w:val="24"/>
          <w:szCs w:val="24"/>
          <w:lang w:val="en-US"/>
        </w:rPr>
        <w:t xml:space="preserve"> extended prediction of </w:t>
      </w:r>
      <w:r w:rsidRPr="00404AC7">
        <w:rPr>
          <w:rFonts w:ascii="Times New Roman" w:eastAsia="Times New Roman" w:hAnsi="Times New Roman" w:cs="Times New Roman"/>
          <w:sz w:val="24"/>
          <w:szCs w:val="24"/>
          <w:lang w:val="en-US"/>
        </w:rPr>
        <w:lastRenderedPageBreak/>
        <w:t xml:space="preserve">missense variant effects by adapting ideas from </w:t>
      </w:r>
      <w:proofErr w:type="spellStart"/>
      <w:r w:rsidRPr="00404AC7">
        <w:rPr>
          <w:rFonts w:ascii="Times New Roman" w:eastAsia="Times New Roman" w:hAnsi="Times New Roman" w:cs="Times New Roman"/>
          <w:sz w:val="24"/>
          <w:szCs w:val="24"/>
          <w:lang w:val="en-US"/>
        </w:rPr>
        <w:t>AlphaFold</w:t>
      </w:r>
      <w:proofErr w:type="spellEnd"/>
      <w:r w:rsidRPr="00404AC7">
        <w:rPr>
          <w:rFonts w:ascii="Times New Roman" w:eastAsia="Times New Roman" w:hAnsi="Times New Roman" w:cs="Times New Roman"/>
          <w:sz w:val="24"/>
          <w:szCs w:val="24"/>
          <w:lang w:val="en-US"/>
        </w:rPr>
        <w:t xml:space="preserve"> and using evolutionary and structural context to estimate pathogenicity for possible amino-acid substitutions across the human proteome (Cheng et al., 2023).</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Clinical interpretation remains governed by evidence standards. The ACMG/AMP guidelines provide a structured framework for classifying sequence variants using population data, computational evidence, functional studies, segregation, phenotype specificity and other lines of evidence (Richards et al., 2015). </w:t>
      </w:r>
      <w:proofErr w:type="spellStart"/>
      <w:r w:rsidRPr="00404AC7">
        <w:rPr>
          <w:rFonts w:ascii="Times New Roman" w:eastAsia="Times New Roman" w:hAnsi="Times New Roman" w:cs="Times New Roman"/>
          <w:sz w:val="24"/>
          <w:szCs w:val="24"/>
          <w:lang w:val="en-US"/>
        </w:rPr>
        <w:t>ClinVar</w:t>
      </w:r>
      <w:proofErr w:type="spellEnd"/>
      <w:r w:rsidRPr="00404AC7">
        <w:rPr>
          <w:rFonts w:ascii="Times New Roman" w:eastAsia="Times New Roman" w:hAnsi="Times New Roman" w:cs="Times New Roman"/>
          <w:sz w:val="24"/>
          <w:szCs w:val="24"/>
          <w:lang w:val="en-US"/>
        </w:rPr>
        <w:t xml:space="preserve"> supports this ecosystem by providing a public archive of variant interpretations and supporting evidence (Landrum et al., 2018). Artificial intelligence can assist these processes by </w:t>
      </w:r>
      <w:proofErr w:type="spellStart"/>
      <w:r w:rsidRPr="00404AC7">
        <w:rPr>
          <w:rFonts w:ascii="Times New Roman" w:eastAsia="Times New Roman" w:hAnsi="Times New Roman" w:cs="Times New Roman"/>
          <w:sz w:val="24"/>
          <w:szCs w:val="24"/>
          <w:lang w:val="en-US"/>
        </w:rPr>
        <w:t>prioritising</w:t>
      </w:r>
      <w:proofErr w:type="spellEnd"/>
      <w:r w:rsidRPr="00404AC7">
        <w:rPr>
          <w:rFonts w:ascii="Times New Roman" w:eastAsia="Times New Roman" w:hAnsi="Times New Roman" w:cs="Times New Roman"/>
          <w:sz w:val="24"/>
          <w:szCs w:val="24"/>
          <w:lang w:val="en-US"/>
        </w:rPr>
        <w:t xml:space="preserve"> variants and highlighting plausible mechanisms, but it should not replace expert interpretation. Model outputs can be biased by training labels, literature ascertainment and unequal study of genes and populations.</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The future of variant interpretation will likely combine artificial intelligence with high-throughput functional assays, long-read sequencing, saturation mutagenesis, patient phenotyping and population-diverse reference datasets. Computational predictions will be most useful when they are calibrated, gene-aware, mechanism-aware and accompanied by uncertainty estimates. They should also be updated as new evidence accumulates. In this sense, artificial intelligence is not a final adjudicator of pathogenicity; it is part of a dynamic evidence system.</w:t>
      </w:r>
    </w:p>
    <w:p w:rsidR="00404AC7" w:rsidRPr="00404AC7" w:rsidRDefault="00404AC7" w:rsidP="00191F3E">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404AC7">
        <w:rPr>
          <w:rFonts w:ascii="Times New Roman" w:eastAsia="Times New Roman" w:hAnsi="Times New Roman" w:cs="Times New Roman"/>
          <w:b/>
          <w:bCs/>
          <w:sz w:val="36"/>
          <w:szCs w:val="36"/>
          <w:lang w:val="en-US"/>
        </w:rPr>
        <w:t>8. Protein structure prediction and genomic interpretation of molecular function</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Protein structure prediction is one of the most visible successes of artificial intelligence in biology. </w:t>
      </w:r>
      <w:proofErr w:type="spellStart"/>
      <w:r w:rsidRPr="00404AC7">
        <w:rPr>
          <w:rFonts w:ascii="Times New Roman" w:eastAsia="Times New Roman" w:hAnsi="Times New Roman" w:cs="Times New Roman"/>
          <w:sz w:val="24"/>
          <w:szCs w:val="24"/>
          <w:lang w:val="en-US"/>
        </w:rPr>
        <w:t>AlphaFold</w:t>
      </w:r>
      <w:proofErr w:type="spellEnd"/>
      <w:r w:rsidRPr="00404AC7">
        <w:rPr>
          <w:rFonts w:ascii="Times New Roman" w:eastAsia="Times New Roman" w:hAnsi="Times New Roman" w:cs="Times New Roman"/>
          <w:sz w:val="24"/>
          <w:szCs w:val="24"/>
          <w:lang w:val="en-US"/>
        </w:rPr>
        <w:t xml:space="preserve"> demonstrated that a deep-learning system could predict many protein structures with accuracy competitive with experimental approaches, particularly in the CASP14 assessment context (Jumper et al., 2021). The application of </w:t>
      </w:r>
      <w:proofErr w:type="spellStart"/>
      <w:r w:rsidRPr="00404AC7">
        <w:rPr>
          <w:rFonts w:ascii="Times New Roman" w:eastAsia="Times New Roman" w:hAnsi="Times New Roman" w:cs="Times New Roman"/>
          <w:sz w:val="24"/>
          <w:szCs w:val="24"/>
          <w:lang w:val="en-US"/>
        </w:rPr>
        <w:t>AlphaFold</w:t>
      </w:r>
      <w:proofErr w:type="spellEnd"/>
      <w:r w:rsidRPr="00404AC7">
        <w:rPr>
          <w:rFonts w:ascii="Times New Roman" w:eastAsia="Times New Roman" w:hAnsi="Times New Roman" w:cs="Times New Roman"/>
          <w:sz w:val="24"/>
          <w:szCs w:val="24"/>
          <w:lang w:val="en-US"/>
        </w:rPr>
        <w:t xml:space="preserve"> to the human proteome expanded structural coverage for human proteins and provided predictions that can be used to reason about domains, active sites, interaction surfaces and potential effects of amino-acid substitutions (</w:t>
      </w:r>
      <w:proofErr w:type="spellStart"/>
      <w:r w:rsidRPr="00404AC7">
        <w:rPr>
          <w:rFonts w:ascii="Times New Roman" w:eastAsia="Times New Roman" w:hAnsi="Times New Roman" w:cs="Times New Roman"/>
          <w:sz w:val="24"/>
          <w:szCs w:val="24"/>
          <w:lang w:val="en-US"/>
        </w:rPr>
        <w:t>Tunyasuvunakool</w:t>
      </w:r>
      <w:proofErr w:type="spellEnd"/>
      <w:r w:rsidRPr="00404AC7">
        <w:rPr>
          <w:rFonts w:ascii="Times New Roman" w:eastAsia="Times New Roman" w:hAnsi="Times New Roman" w:cs="Times New Roman"/>
          <w:sz w:val="24"/>
          <w:szCs w:val="24"/>
          <w:lang w:val="en-US"/>
        </w:rPr>
        <w:t xml:space="preserve"> et al., 2021). The </w:t>
      </w:r>
      <w:proofErr w:type="spellStart"/>
      <w:r w:rsidRPr="00404AC7">
        <w:rPr>
          <w:rFonts w:ascii="Times New Roman" w:eastAsia="Times New Roman" w:hAnsi="Times New Roman" w:cs="Times New Roman"/>
          <w:sz w:val="24"/>
          <w:szCs w:val="24"/>
          <w:lang w:val="en-US"/>
        </w:rPr>
        <w:t>AlphaFold</w:t>
      </w:r>
      <w:proofErr w:type="spellEnd"/>
      <w:r w:rsidRPr="00404AC7">
        <w:rPr>
          <w:rFonts w:ascii="Times New Roman" w:eastAsia="Times New Roman" w:hAnsi="Times New Roman" w:cs="Times New Roman"/>
          <w:sz w:val="24"/>
          <w:szCs w:val="24"/>
          <w:lang w:val="en-US"/>
        </w:rPr>
        <w:t xml:space="preserve"> Protein Structure Database then made predicted structures broadly accessible, enabling researchers to incorporate structural information into many areas of biology (</w:t>
      </w:r>
      <w:proofErr w:type="spellStart"/>
      <w:r w:rsidRPr="00404AC7">
        <w:rPr>
          <w:rFonts w:ascii="Times New Roman" w:eastAsia="Times New Roman" w:hAnsi="Times New Roman" w:cs="Times New Roman"/>
          <w:sz w:val="24"/>
          <w:szCs w:val="24"/>
          <w:lang w:val="en-US"/>
        </w:rPr>
        <w:t>Varadi</w:t>
      </w:r>
      <w:proofErr w:type="spellEnd"/>
      <w:r w:rsidRPr="00404AC7">
        <w:rPr>
          <w:rFonts w:ascii="Times New Roman" w:eastAsia="Times New Roman" w:hAnsi="Times New Roman" w:cs="Times New Roman"/>
          <w:sz w:val="24"/>
          <w:szCs w:val="24"/>
          <w:lang w:val="en-US"/>
        </w:rPr>
        <w:t xml:space="preserve"> et al., 2022).</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The connection to genomics is direct. Many sequencing studies identify missense variants, in-frame insertions or deletions, truncations and other coding changes whose effects depend on protein structure and function. Structure-aware interpretation can help distinguish variants likely to disrupt a catalytic site, </w:t>
      </w:r>
      <w:proofErr w:type="spellStart"/>
      <w:r w:rsidRPr="00404AC7">
        <w:rPr>
          <w:rFonts w:ascii="Times New Roman" w:eastAsia="Times New Roman" w:hAnsi="Times New Roman" w:cs="Times New Roman"/>
          <w:sz w:val="24"/>
          <w:szCs w:val="24"/>
          <w:lang w:val="en-US"/>
        </w:rPr>
        <w:t>destabilise</w:t>
      </w:r>
      <w:proofErr w:type="spellEnd"/>
      <w:r w:rsidRPr="00404AC7">
        <w:rPr>
          <w:rFonts w:ascii="Times New Roman" w:eastAsia="Times New Roman" w:hAnsi="Times New Roman" w:cs="Times New Roman"/>
          <w:sz w:val="24"/>
          <w:szCs w:val="24"/>
          <w:lang w:val="en-US"/>
        </w:rPr>
        <w:t xml:space="preserve"> a folded domain, impair binding or alter a regulatory interface. </w:t>
      </w:r>
      <w:proofErr w:type="spellStart"/>
      <w:r w:rsidRPr="00404AC7">
        <w:rPr>
          <w:rFonts w:ascii="Times New Roman" w:eastAsia="Times New Roman" w:hAnsi="Times New Roman" w:cs="Times New Roman"/>
          <w:sz w:val="24"/>
          <w:szCs w:val="24"/>
          <w:lang w:val="en-US"/>
        </w:rPr>
        <w:t>AlphaMissense</w:t>
      </w:r>
      <w:proofErr w:type="spellEnd"/>
      <w:r w:rsidRPr="00404AC7">
        <w:rPr>
          <w:rFonts w:ascii="Times New Roman" w:eastAsia="Times New Roman" w:hAnsi="Times New Roman" w:cs="Times New Roman"/>
          <w:sz w:val="24"/>
          <w:szCs w:val="24"/>
          <w:lang w:val="en-US"/>
        </w:rPr>
        <w:t xml:space="preserve"> exemplifies this connection by using structural and evolutionary information to support proteome-wide prediction of missense variant effects (Cheng et al., 2023).</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Despite its importance, structure prediction should not be treated as a complete solution to molecular interpretation. Protein function depends on conformational dynamics, disorder, post-translational modification, cellular </w:t>
      </w:r>
      <w:proofErr w:type="spellStart"/>
      <w:r w:rsidRPr="00404AC7">
        <w:rPr>
          <w:rFonts w:ascii="Times New Roman" w:eastAsia="Times New Roman" w:hAnsi="Times New Roman" w:cs="Times New Roman"/>
          <w:sz w:val="24"/>
          <w:szCs w:val="24"/>
          <w:lang w:val="en-US"/>
        </w:rPr>
        <w:t>localisation</w:t>
      </w:r>
      <w:proofErr w:type="spellEnd"/>
      <w:r w:rsidRPr="00404AC7">
        <w:rPr>
          <w:rFonts w:ascii="Times New Roman" w:eastAsia="Times New Roman" w:hAnsi="Times New Roman" w:cs="Times New Roman"/>
          <w:sz w:val="24"/>
          <w:szCs w:val="24"/>
          <w:lang w:val="en-US"/>
        </w:rPr>
        <w:t xml:space="preserve">, concentration, interaction partners and tissue context. Some disease mechanisms involve gain of function, dominant-negative effects, altered regulation or abnormal interactions that cannot be inferred from a static predicted structure alone. Therefore, protein-structure artificial intelligence should be </w:t>
      </w:r>
      <w:r w:rsidRPr="00404AC7">
        <w:rPr>
          <w:rFonts w:ascii="Times New Roman" w:eastAsia="Times New Roman" w:hAnsi="Times New Roman" w:cs="Times New Roman"/>
          <w:sz w:val="24"/>
          <w:szCs w:val="24"/>
          <w:lang w:val="en-US"/>
        </w:rPr>
        <w:lastRenderedPageBreak/>
        <w:t>integrated with biochemical assays, cellular models, population genetics and clinical evidence.</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The broader lesson is that artificial intelligence can connect biological scales. Genome sequence can be linked to protein structure, protein structure to molecular mechanism, and molecular mechanism to disease interpretation. This cross-scale integration is one of the strongest arguments for artificial intelligence in genomics, but it requires careful recognition of uncertainty at each step.</w:t>
      </w:r>
    </w:p>
    <w:p w:rsidR="00404AC7" w:rsidRPr="00404AC7" w:rsidRDefault="00404AC7" w:rsidP="00191F3E">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404AC7">
        <w:rPr>
          <w:rFonts w:ascii="Times New Roman" w:eastAsia="Times New Roman" w:hAnsi="Times New Roman" w:cs="Times New Roman"/>
          <w:b/>
          <w:bCs/>
          <w:sz w:val="36"/>
          <w:szCs w:val="36"/>
          <w:lang w:val="en-US"/>
        </w:rPr>
        <w:t>9. Artificial intelligence in single-cell and spatial genomics</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Single-cell genomics has transformed biological discovery by measuring molecular variation at cellular resolution. Instead of averaging signals across bulk tissue, single-cell methods reveal cell types, cell states, differentiation trajectories, immune responses, </w:t>
      </w:r>
      <w:proofErr w:type="spellStart"/>
      <w:r w:rsidRPr="00404AC7">
        <w:rPr>
          <w:rFonts w:ascii="Times New Roman" w:eastAsia="Times New Roman" w:hAnsi="Times New Roman" w:cs="Times New Roman"/>
          <w:sz w:val="24"/>
          <w:szCs w:val="24"/>
          <w:lang w:val="en-US"/>
        </w:rPr>
        <w:t>tumour</w:t>
      </w:r>
      <w:proofErr w:type="spellEnd"/>
      <w:r w:rsidRPr="00404AC7">
        <w:rPr>
          <w:rFonts w:ascii="Times New Roman" w:eastAsia="Times New Roman" w:hAnsi="Times New Roman" w:cs="Times New Roman"/>
          <w:sz w:val="24"/>
          <w:szCs w:val="24"/>
          <w:lang w:val="en-US"/>
        </w:rPr>
        <w:t xml:space="preserve"> heterogeneity and disease-associated cellular </w:t>
      </w:r>
      <w:proofErr w:type="spellStart"/>
      <w:r w:rsidRPr="00404AC7">
        <w:rPr>
          <w:rFonts w:ascii="Times New Roman" w:eastAsia="Times New Roman" w:hAnsi="Times New Roman" w:cs="Times New Roman"/>
          <w:sz w:val="24"/>
          <w:szCs w:val="24"/>
          <w:lang w:val="en-US"/>
        </w:rPr>
        <w:t>programmes</w:t>
      </w:r>
      <w:proofErr w:type="spellEnd"/>
      <w:r w:rsidRPr="00404AC7">
        <w:rPr>
          <w:rFonts w:ascii="Times New Roman" w:eastAsia="Times New Roman" w:hAnsi="Times New Roman" w:cs="Times New Roman"/>
          <w:sz w:val="24"/>
          <w:szCs w:val="24"/>
          <w:lang w:val="en-US"/>
        </w:rPr>
        <w:t>. These datasets are naturally suited to artificial intelligence because they are large, sparse, noisy and structured by both biological and technical variation.</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Deep generative models have become especially important in single-cell analysis. </w:t>
      </w:r>
      <w:proofErr w:type="spellStart"/>
      <w:r w:rsidRPr="00404AC7">
        <w:rPr>
          <w:rFonts w:ascii="Times New Roman" w:eastAsia="Times New Roman" w:hAnsi="Times New Roman" w:cs="Times New Roman"/>
          <w:sz w:val="24"/>
          <w:szCs w:val="24"/>
          <w:lang w:val="en-US"/>
        </w:rPr>
        <w:t>scVI</w:t>
      </w:r>
      <w:proofErr w:type="spellEnd"/>
      <w:r w:rsidRPr="00404AC7">
        <w:rPr>
          <w:rFonts w:ascii="Times New Roman" w:eastAsia="Times New Roman" w:hAnsi="Times New Roman" w:cs="Times New Roman"/>
          <w:sz w:val="24"/>
          <w:szCs w:val="24"/>
          <w:lang w:val="en-US"/>
        </w:rPr>
        <w:t xml:space="preserve"> introduced a probabilistic deep generative framework for single-cell transcriptomics, supporting representation learning while accounting for batch effects and technical noise (Lopez et al., 2018). </w:t>
      </w:r>
      <w:proofErr w:type="spellStart"/>
      <w:r w:rsidRPr="00404AC7">
        <w:rPr>
          <w:rFonts w:ascii="Times New Roman" w:eastAsia="Times New Roman" w:hAnsi="Times New Roman" w:cs="Times New Roman"/>
          <w:sz w:val="24"/>
          <w:szCs w:val="24"/>
          <w:lang w:val="en-US"/>
        </w:rPr>
        <w:t>scGen</w:t>
      </w:r>
      <w:proofErr w:type="spellEnd"/>
      <w:r w:rsidRPr="00404AC7">
        <w:rPr>
          <w:rFonts w:ascii="Times New Roman" w:eastAsia="Times New Roman" w:hAnsi="Times New Roman" w:cs="Times New Roman"/>
          <w:sz w:val="24"/>
          <w:szCs w:val="24"/>
          <w:lang w:val="en-US"/>
        </w:rPr>
        <w:t xml:space="preserve"> used variational autoencoders and latent-space operations to predict single-cell perturbation responses across cell types and conditions (</w:t>
      </w:r>
      <w:proofErr w:type="spellStart"/>
      <w:r w:rsidRPr="00404AC7">
        <w:rPr>
          <w:rFonts w:ascii="Times New Roman" w:eastAsia="Times New Roman" w:hAnsi="Times New Roman" w:cs="Times New Roman"/>
          <w:sz w:val="24"/>
          <w:szCs w:val="24"/>
          <w:lang w:val="en-US"/>
        </w:rPr>
        <w:t>Lotfollahi</w:t>
      </w:r>
      <w:proofErr w:type="spellEnd"/>
      <w:r w:rsidRPr="00404AC7">
        <w:rPr>
          <w:rFonts w:ascii="Times New Roman" w:eastAsia="Times New Roman" w:hAnsi="Times New Roman" w:cs="Times New Roman"/>
          <w:sz w:val="24"/>
          <w:szCs w:val="24"/>
          <w:lang w:val="en-US"/>
        </w:rPr>
        <w:t xml:space="preserve"> et al., 2019). These approaches illustrate a shift from descriptive clustering towards predictive modelling of cellular response.</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Artificial intelligence can support cell-type annotation, batch correction, dimensionality reduction, trajectory inference, perturbation modelling and regulatory-network reconstruction. However, each of these applications requires caution. Batch correction can remove genuine biological signal if experimental design is confounded. Clustering can impose discrete categories on continuous biological processes. Trajectory inference can suggest developmental relationships that depend heavily on sampling time, tissue context and model assumptions. Therefore, single-cell artificial intelligence should be interpreted as a tool for hypothesis generation and structured exploration, not as a replacement for developmental, physiological or experimental evidence.</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Causal machine learning is an important emerging direction in single-cell genomics. Large-scale perturbation screens combined with single-cell readouts can measure the effect of targeted genetic perturbations on the transcriptome, creating an opportunity to move from correlation towards causal inference (Tejada-</w:t>
      </w:r>
      <w:proofErr w:type="spellStart"/>
      <w:r w:rsidRPr="00404AC7">
        <w:rPr>
          <w:rFonts w:ascii="Times New Roman" w:eastAsia="Times New Roman" w:hAnsi="Times New Roman" w:cs="Times New Roman"/>
          <w:sz w:val="24"/>
          <w:szCs w:val="24"/>
          <w:lang w:val="en-US"/>
        </w:rPr>
        <w:t>Lapuerta</w:t>
      </w:r>
      <w:proofErr w:type="spellEnd"/>
      <w:r w:rsidRPr="00404AC7">
        <w:rPr>
          <w:rFonts w:ascii="Times New Roman" w:eastAsia="Times New Roman" w:hAnsi="Times New Roman" w:cs="Times New Roman"/>
          <w:sz w:val="24"/>
          <w:szCs w:val="24"/>
          <w:lang w:val="en-US"/>
        </w:rPr>
        <w:t xml:space="preserve"> et al., 2025). This is particularly relevant to functional genomics because artificial intelligence can propose candidate regulators, CRISPR screens can perturb them, and single-cell profiling can measure downstream consequences. The resulting data can then improve subsequent models.</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Spatial genomics adds another layer of complexity by preserving tissue architecture. Cells do not function in isolation; their </w:t>
      </w:r>
      <w:proofErr w:type="spellStart"/>
      <w:r w:rsidRPr="00404AC7">
        <w:rPr>
          <w:rFonts w:ascii="Times New Roman" w:eastAsia="Times New Roman" w:hAnsi="Times New Roman" w:cs="Times New Roman"/>
          <w:sz w:val="24"/>
          <w:szCs w:val="24"/>
          <w:lang w:val="en-US"/>
        </w:rPr>
        <w:t>behaviour</w:t>
      </w:r>
      <w:proofErr w:type="spellEnd"/>
      <w:r w:rsidRPr="00404AC7">
        <w:rPr>
          <w:rFonts w:ascii="Times New Roman" w:eastAsia="Times New Roman" w:hAnsi="Times New Roman" w:cs="Times New Roman"/>
          <w:sz w:val="24"/>
          <w:szCs w:val="24"/>
          <w:lang w:val="en-US"/>
        </w:rPr>
        <w:t xml:space="preserve"> is influenced by </w:t>
      </w:r>
      <w:proofErr w:type="spellStart"/>
      <w:r w:rsidRPr="00404AC7">
        <w:rPr>
          <w:rFonts w:ascii="Times New Roman" w:eastAsia="Times New Roman" w:hAnsi="Times New Roman" w:cs="Times New Roman"/>
          <w:sz w:val="24"/>
          <w:szCs w:val="24"/>
          <w:lang w:val="en-US"/>
        </w:rPr>
        <w:t>neighbouring</w:t>
      </w:r>
      <w:proofErr w:type="spellEnd"/>
      <w:r w:rsidRPr="00404AC7">
        <w:rPr>
          <w:rFonts w:ascii="Times New Roman" w:eastAsia="Times New Roman" w:hAnsi="Times New Roman" w:cs="Times New Roman"/>
          <w:sz w:val="24"/>
          <w:szCs w:val="24"/>
          <w:lang w:val="en-US"/>
        </w:rPr>
        <w:t xml:space="preserve"> cells, extracellular matrix, vascular structure, immune context and spatial gradients. Artificial intelligence can help integrate spatial transcriptomic data with imaging and single-cell reference atlases, but robust interpretation requires awareness of resolution, capture efficiency, tissue handling and </w:t>
      </w:r>
      <w:r w:rsidRPr="00404AC7">
        <w:rPr>
          <w:rFonts w:ascii="Times New Roman" w:eastAsia="Times New Roman" w:hAnsi="Times New Roman" w:cs="Times New Roman"/>
          <w:sz w:val="24"/>
          <w:szCs w:val="24"/>
          <w:lang w:val="en-US"/>
        </w:rPr>
        <w:lastRenderedPageBreak/>
        <w:t>platform-specific limitations. The future of single-cell and spatial artificial intelligence will likely depend on models that combine molecular profiles, spatial context and perturbation evidence in biologically interpretable ways.</w:t>
      </w:r>
    </w:p>
    <w:p w:rsidR="00404AC7" w:rsidRPr="00404AC7" w:rsidRDefault="00404AC7" w:rsidP="00191F3E">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404AC7">
        <w:rPr>
          <w:rFonts w:ascii="Times New Roman" w:eastAsia="Times New Roman" w:hAnsi="Times New Roman" w:cs="Times New Roman"/>
          <w:b/>
          <w:bCs/>
          <w:sz w:val="36"/>
          <w:szCs w:val="36"/>
          <w:lang w:val="en-US"/>
        </w:rPr>
        <w:t>10. Multi-omics integration and systems-level discovery</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Biological systems are not adequately explained by genome sequence alone. Disease, development and cellular response emerge through interactions among genome, epigenome, transcriptome, proteome, metabolome, microbiome, environment and phenotype. Multi-omics analysis aims to integrate these layers, and artificial intelligence provides methods for learning relationships across heterogeneous data types. </w:t>
      </w:r>
      <w:proofErr w:type="spellStart"/>
      <w:r w:rsidRPr="00404AC7">
        <w:rPr>
          <w:rFonts w:ascii="Times New Roman" w:eastAsia="Times New Roman" w:hAnsi="Times New Roman" w:cs="Times New Roman"/>
          <w:sz w:val="24"/>
          <w:szCs w:val="24"/>
          <w:lang w:val="en-US"/>
        </w:rPr>
        <w:t>Hasin</w:t>
      </w:r>
      <w:proofErr w:type="spellEnd"/>
      <w:r w:rsidRPr="00404AC7">
        <w:rPr>
          <w:rFonts w:ascii="Times New Roman" w:eastAsia="Times New Roman" w:hAnsi="Times New Roman" w:cs="Times New Roman"/>
          <w:sz w:val="24"/>
          <w:szCs w:val="24"/>
          <w:lang w:val="en-US"/>
        </w:rPr>
        <w:t xml:space="preserve">, Seldin and </w:t>
      </w:r>
      <w:proofErr w:type="spellStart"/>
      <w:r w:rsidRPr="00404AC7">
        <w:rPr>
          <w:rFonts w:ascii="Times New Roman" w:eastAsia="Times New Roman" w:hAnsi="Times New Roman" w:cs="Times New Roman"/>
          <w:sz w:val="24"/>
          <w:szCs w:val="24"/>
          <w:lang w:val="en-US"/>
        </w:rPr>
        <w:t>Lusis</w:t>
      </w:r>
      <w:proofErr w:type="spellEnd"/>
      <w:r w:rsidRPr="00404AC7">
        <w:rPr>
          <w:rFonts w:ascii="Times New Roman" w:eastAsia="Times New Roman" w:hAnsi="Times New Roman" w:cs="Times New Roman"/>
          <w:sz w:val="24"/>
          <w:szCs w:val="24"/>
          <w:lang w:val="en-US"/>
        </w:rPr>
        <w:t xml:space="preserve"> (2017) described multi-omics as a route to understanding disease through the integration of multiple molecular layers. </w:t>
      </w:r>
      <w:proofErr w:type="spellStart"/>
      <w:r w:rsidRPr="00404AC7">
        <w:rPr>
          <w:rFonts w:ascii="Times New Roman" w:eastAsia="Times New Roman" w:hAnsi="Times New Roman" w:cs="Times New Roman"/>
          <w:sz w:val="24"/>
          <w:szCs w:val="24"/>
          <w:lang w:val="en-US"/>
        </w:rPr>
        <w:t>Zitnik</w:t>
      </w:r>
      <w:proofErr w:type="spellEnd"/>
      <w:r w:rsidRPr="00404AC7">
        <w:rPr>
          <w:rFonts w:ascii="Times New Roman" w:eastAsia="Times New Roman" w:hAnsi="Times New Roman" w:cs="Times New Roman"/>
          <w:sz w:val="24"/>
          <w:szCs w:val="24"/>
          <w:lang w:val="en-US"/>
        </w:rPr>
        <w:t xml:space="preserve"> and colleagues (2019) further </w:t>
      </w:r>
      <w:proofErr w:type="spellStart"/>
      <w:r w:rsidRPr="00404AC7">
        <w:rPr>
          <w:rFonts w:ascii="Times New Roman" w:eastAsia="Times New Roman" w:hAnsi="Times New Roman" w:cs="Times New Roman"/>
          <w:sz w:val="24"/>
          <w:szCs w:val="24"/>
          <w:lang w:val="en-US"/>
        </w:rPr>
        <w:t>emphasised</w:t>
      </w:r>
      <w:proofErr w:type="spellEnd"/>
      <w:r w:rsidRPr="00404AC7">
        <w:rPr>
          <w:rFonts w:ascii="Times New Roman" w:eastAsia="Times New Roman" w:hAnsi="Times New Roman" w:cs="Times New Roman"/>
          <w:sz w:val="24"/>
          <w:szCs w:val="24"/>
          <w:lang w:val="en-US"/>
        </w:rPr>
        <w:t xml:space="preserve"> that machine learning can support biomedical data integration by combining heterogeneous data sources and identifying patterns that are difficult to detect from one modality alone.</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Multi-omics integration is difficult because different data types have different measurement scales, noise structures, missingness patterns and temporal dynamics. Genotypes are relatively stable, whereas gene expression, chromatin accessibility, protein abundance and metabolite levels can change with cell state, environment and disease stage. A model that combines these layers must distinguish causal relationships from correlation and must avoid mistaking tissue composition or technical artefact for disease mechanism. Artificial intelligence can help by learning latent representations and cross-modal relationships, but these representations must be interpreted with biological care.</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In cancer genomics, multi-omics integration can connect mutation, copy-number alteration, methylation, expression, protein </w:t>
      </w:r>
      <w:proofErr w:type="spellStart"/>
      <w:r w:rsidRPr="00404AC7">
        <w:rPr>
          <w:rFonts w:ascii="Times New Roman" w:eastAsia="Times New Roman" w:hAnsi="Times New Roman" w:cs="Times New Roman"/>
          <w:sz w:val="24"/>
          <w:szCs w:val="24"/>
          <w:lang w:val="en-US"/>
        </w:rPr>
        <w:t>signalling</w:t>
      </w:r>
      <w:proofErr w:type="spellEnd"/>
      <w:r w:rsidRPr="00404AC7">
        <w:rPr>
          <w:rFonts w:ascii="Times New Roman" w:eastAsia="Times New Roman" w:hAnsi="Times New Roman" w:cs="Times New Roman"/>
          <w:sz w:val="24"/>
          <w:szCs w:val="24"/>
          <w:lang w:val="en-US"/>
        </w:rPr>
        <w:t xml:space="preserve"> and treatment response. In complex disease research, it can link genetic association signals to tissue-specific regulatory mechanisms and molecular pathways. In pharmacogenomics, it may help connect genotype, expression state and drug response. However, the strongest multi-omics models are likely to be those that incorporate biological priors without becoming constrained by incomplete prior knowledge. Pathways, gene regulatory networks, protein interactions and chromatin architecture can provide useful structure, but established databases are biased towards well-studied genes and diseases.</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Systems-level discovery will increasingly require models that are both predictive and interpretable. A black-box model may classify disease subtypes or predict response, but biological discovery requires understanding which molecular relationships drive the prediction. Therefore, explainable modelling, perturbation validation and causal reasoning will be essential to the next phase of multi-omics artificial intelligence.</w:t>
      </w:r>
    </w:p>
    <w:p w:rsidR="00404AC7" w:rsidRPr="00404AC7" w:rsidRDefault="00404AC7" w:rsidP="00191F3E">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404AC7">
        <w:rPr>
          <w:rFonts w:ascii="Times New Roman" w:eastAsia="Times New Roman" w:hAnsi="Times New Roman" w:cs="Times New Roman"/>
          <w:b/>
          <w:bCs/>
          <w:sz w:val="36"/>
          <w:szCs w:val="36"/>
          <w:lang w:val="en-US"/>
        </w:rPr>
        <w:t>11. Artificial intelligence, CRISPR screens and genome engineering</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Genome editing creates an experimental bridge between prediction and causal biology. CRISPR-based perturbation allows researchers to test whether genes, regulatory elements or variants influence cellular phenotypes. Artificial intelligence contributes to this field by </w:t>
      </w:r>
      <w:r w:rsidRPr="00404AC7">
        <w:rPr>
          <w:rFonts w:ascii="Times New Roman" w:eastAsia="Times New Roman" w:hAnsi="Times New Roman" w:cs="Times New Roman"/>
          <w:sz w:val="24"/>
          <w:szCs w:val="24"/>
          <w:lang w:val="en-US"/>
        </w:rPr>
        <w:lastRenderedPageBreak/>
        <w:t xml:space="preserve">improving guide RNA design, predicting editing outcomes, </w:t>
      </w:r>
      <w:proofErr w:type="spellStart"/>
      <w:r w:rsidRPr="00404AC7">
        <w:rPr>
          <w:rFonts w:ascii="Times New Roman" w:eastAsia="Times New Roman" w:hAnsi="Times New Roman" w:cs="Times New Roman"/>
          <w:sz w:val="24"/>
          <w:szCs w:val="24"/>
          <w:lang w:val="en-US"/>
        </w:rPr>
        <w:t>prioritising</w:t>
      </w:r>
      <w:proofErr w:type="spellEnd"/>
      <w:r w:rsidRPr="00404AC7">
        <w:rPr>
          <w:rFonts w:ascii="Times New Roman" w:eastAsia="Times New Roman" w:hAnsi="Times New Roman" w:cs="Times New Roman"/>
          <w:sz w:val="24"/>
          <w:szCs w:val="24"/>
          <w:lang w:val="en-US"/>
        </w:rPr>
        <w:t xml:space="preserve"> perturbation targets and interpreting high-dimensional screen readouts.</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Guide RNA design is a clear example of artificial intelligence-assisted genome engineering. </w:t>
      </w:r>
      <w:proofErr w:type="spellStart"/>
      <w:r w:rsidRPr="00404AC7">
        <w:rPr>
          <w:rFonts w:ascii="Times New Roman" w:eastAsia="Times New Roman" w:hAnsi="Times New Roman" w:cs="Times New Roman"/>
          <w:sz w:val="24"/>
          <w:szCs w:val="24"/>
          <w:lang w:val="en-US"/>
        </w:rPr>
        <w:t>Doench</w:t>
      </w:r>
      <w:proofErr w:type="spellEnd"/>
      <w:r w:rsidRPr="00404AC7">
        <w:rPr>
          <w:rFonts w:ascii="Times New Roman" w:eastAsia="Times New Roman" w:hAnsi="Times New Roman" w:cs="Times New Roman"/>
          <w:sz w:val="24"/>
          <w:szCs w:val="24"/>
          <w:lang w:val="en-US"/>
        </w:rPr>
        <w:t xml:space="preserve"> and colleagues (2016) developed improved rules for designing sgRNAs to </w:t>
      </w:r>
      <w:proofErr w:type="spellStart"/>
      <w:r w:rsidRPr="00404AC7">
        <w:rPr>
          <w:rFonts w:ascii="Times New Roman" w:eastAsia="Times New Roman" w:hAnsi="Times New Roman" w:cs="Times New Roman"/>
          <w:sz w:val="24"/>
          <w:szCs w:val="24"/>
          <w:lang w:val="en-US"/>
        </w:rPr>
        <w:t>maximise</w:t>
      </w:r>
      <w:proofErr w:type="spellEnd"/>
      <w:r w:rsidRPr="00404AC7">
        <w:rPr>
          <w:rFonts w:ascii="Times New Roman" w:eastAsia="Times New Roman" w:hAnsi="Times New Roman" w:cs="Times New Roman"/>
          <w:sz w:val="24"/>
          <w:szCs w:val="24"/>
          <w:lang w:val="en-US"/>
        </w:rPr>
        <w:t xml:space="preserve"> activity and </w:t>
      </w:r>
      <w:proofErr w:type="spellStart"/>
      <w:r w:rsidRPr="00404AC7">
        <w:rPr>
          <w:rFonts w:ascii="Times New Roman" w:eastAsia="Times New Roman" w:hAnsi="Times New Roman" w:cs="Times New Roman"/>
          <w:sz w:val="24"/>
          <w:szCs w:val="24"/>
          <w:lang w:val="en-US"/>
        </w:rPr>
        <w:t>minimise</w:t>
      </w:r>
      <w:proofErr w:type="spellEnd"/>
      <w:r w:rsidRPr="00404AC7">
        <w:rPr>
          <w:rFonts w:ascii="Times New Roman" w:eastAsia="Times New Roman" w:hAnsi="Times New Roman" w:cs="Times New Roman"/>
          <w:sz w:val="24"/>
          <w:szCs w:val="24"/>
          <w:lang w:val="en-US"/>
        </w:rPr>
        <w:t xml:space="preserve"> off-target effects in CRISPR-Cas9 experiments. </w:t>
      </w:r>
      <w:proofErr w:type="spellStart"/>
      <w:r w:rsidRPr="00404AC7">
        <w:rPr>
          <w:rFonts w:ascii="Times New Roman" w:eastAsia="Times New Roman" w:hAnsi="Times New Roman" w:cs="Times New Roman"/>
          <w:sz w:val="24"/>
          <w:szCs w:val="24"/>
          <w:lang w:val="en-US"/>
        </w:rPr>
        <w:t>DeepCRISPR</w:t>
      </w:r>
      <w:proofErr w:type="spellEnd"/>
      <w:r w:rsidRPr="00404AC7">
        <w:rPr>
          <w:rFonts w:ascii="Times New Roman" w:eastAsia="Times New Roman" w:hAnsi="Times New Roman" w:cs="Times New Roman"/>
          <w:sz w:val="24"/>
          <w:szCs w:val="24"/>
          <w:lang w:val="en-US"/>
        </w:rPr>
        <w:t xml:space="preserve"> later applied deep learning to guide RNA design, integrating sequence and epigenetic features to predict on-target efficacy and off-target profiles (</w:t>
      </w:r>
      <w:proofErr w:type="spellStart"/>
      <w:r w:rsidRPr="00404AC7">
        <w:rPr>
          <w:rFonts w:ascii="Times New Roman" w:eastAsia="Times New Roman" w:hAnsi="Times New Roman" w:cs="Times New Roman"/>
          <w:sz w:val="24"/>
          <w:szCs w:val="24"/>
          <w:lang w:val="en-US"/>
        </w:rPr>
        <w:t>Chuai</w:t>
      </w:r>
      <w:proofErr w:type="spellEnd"/>
      <w:r w:rsidRPr="00404AC7">
        <w:rPr>
          <w:rFonts w:ascii="Times New Roman" w:eastAsia="Times New Roman" w:hAnsi="Times New Roman" w:cs="Times New Roman"/>
          <w:sz w:val="24"/>
          <w:szCs w:val="24"/>
          <w:lang w:val="en-US"/>
        </w:rPr>
        <w:t xml:space="preserve"> et al., 2018). These methods improve experimental design because guide performance strongly affects screen sensitivity, specificity and reproducibility.</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CRISPR screens combined with single-cell readouts create a particularly powerful discovery cycle. Artificial intelligence can nominate genes, enhancers or variant-containing regions for perturbation. CRISPR experiments can test the effects of those perturbations. Single-cell profiling can measure downstream changes in cell state, pathway activation and gene expression. The resulting data can then train better predictive models. This closed-loop pattern is one of the most promising directions for functional genomics because it connects computational prediction with direct intervention.</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The main limitation is biological context. A perturbation may have different effects across cell types, developmental stages, genetic backgrounds or environmental conditions. A model trained in one cellular system may not </w:t>
      </w:r>
      <w:proofErr w:type="spellStart"/>
      <w:r w:rsidRPr="00404AC7">
        <w:rPr>
          <w:rFonts w:ascii="Times New Roman" w:eastAsia="Times New Roman" w:hAnsi="Times New Roman" w:cs="Times New Roman"/>
          <w:sz w:val="24"/>
          <w:szCs w:val="24"/>
          <w:lang w:val="en-US"/>
        </w:rPr>
        <w:t>generalise</w:t>
      </w:r>
      <w:proofErr w:type="spellEnd"/>
      <w:r w:rsidRPr="00404AC7">
        <w:rPr>
          <w:rFonts w:ascii="Times New Roman" w:eastAsia="Times New Roman" w:hAnsi="Times New Roman" w:cs="Times New Roman"/>
          <w:sz w:val="24"/>
          <w:szCs w:val="24"/>
          <w:lang w:val="en-US"/>
        </w:rPr>
        <w:t xml:space="preserve"> to another. Therefore, AI-assisted genome engineering should be understood as an iterative process rather than as a one-step solution. The goal is not only to predict the best perturbation, but to create a cycle in which prediction and experimentation refine one another.</w:t>
      </w:r>
    </w:p>
    <w:p w:rsidR="00404AC7" w:rsidRPr="00404AC7" w:rsidRDefault="00404AC7" w:rsidP="00191F3E">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404AC7">
        <w:rPr>
          <w:rFonts w:ascii="Times New Roman" w:eastAsia="Times New Roman" w:hAnsi="Times New Roman" w:cs="Times New Roman"/>
          <w:b/>
          <w:bCs/>
          <w:sz w:val="36"/>
          <w:szCs w:val="36"/>
          <w:lang w:val="en-US"/>
        </w:rPr>
        <w:t>12. Genomic medicine and clinical translation</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Artificial intelligence has significant potential in genomic medicine, particularly in rare disease diagnosis, cancer genomics, pharmacogenomics, newborn sequencing, carrier screening and risk prediction. Dias and </w:t>
      </w:r>
      <w:proofErr w:type="spellStart"/>
      <w:r w:rsidRPr="00404AC7">
        <w:rPr>
          <w:rFonts w:ascii="Times New Roman" w:eastAsia="Times New Roman" w:hAnsi="Times New Roman" w:cs="Times New Roman"/>
          <w:sz w:val="24"/>
          <w:szCs w:val="24"/>
          <w:lang w:val="en-US"/>
        </w:rPr>
        <w:t>Torkamani</w:t>
      </w:r>
      <w:proofErr w:type="spellEnd"/>
      <w:r w:rsidRPr="00404AC7">
        <w:rPr>
          <w:rFonts w:ascii="Times New Roman" w:eastAsia="Times New Roman" w:hAnsi="Times New Roman" w:cs="Times New Roman"/>
          <w:sz w:val="24"/>
          <w:szCs w:val="24"/>
          <w:lang w:val="en-US"/>
        </w:rPr>
        <w:t xml:space="preserve"> (2019) argued that artificial intelligence can support clinical and genomic diagnostics by enabling interpretation of large and complex health datasets. In rare disease, artificial intelligence can help </w:t>
      </w:r>
      <w:proofErr w:type="spellStart"/>
      <w:r w:rsidRPr="00404AC7">
        <w:rPr>
          <w:rFonts w:ascii="Times New Roman" w:eastAsia="Times New Roman" w:hAnsi="Times New Roman" w:cs="Times New Roman"/>
          <w:sz w:val="24"/>
          <w:szCs w:val="24"/>
          <w:lang w:val="en-US"/>
        </w:rPr>
        <w:t>prioritise</w:t>
      </w:r>
      <w:proofErr w:type="spellEnd"/>
      <w:r w:rsidRPr="00404AC7">
        <w:rPr>
          <w:rFonts w:ascii="Times New Roman" w:eastAsia="Times New Roman" w:hAnsi="Times New Roman" w:cs="Times New Roman"/>
          <w:sz w:val="24"/>
          <w:szCs w:val="24"/>
          <w:lang w:val="en-US"/>
        </w:rPr>
        <w:t xml:space="preserve"> candidate variants by combining genomic findings with phenotype terms, inheritance models and known gene–disease relationships. In oncology, it can support driver </w:t>
      </w:r>
      <w:proofErr w:type="spellStart"/>
      <w:r w:rsidRPr="00404AC7">
        <w:rPr>
          <w:rFonts w:ascii="Times New Roman" w:eastAsia="Times New Roman" w:hAnsi="Times New Roman" w:cs="Times New Roman"/>
          <w:sz w:val="24"/>
          <w:szCs w:val="24"/>
          <w:lang w:val="en-US"/>
        </w:rPr>
        <w:t>prioritisation</w:t>
      </w:r>
      <w:proofErr w:type="spellEnd"/>
      <w:r w:rsidRPr="00404AC7">
        <w:rPr>
          <w:rFonts w:ascii="Times New Roman" w:eastAsia="Times New Roman" w:hAnsi="Times New Roman" w:cs="Times New Roman"/>
          <w:sz w:val="24"/>
          <w:szCs w:val="24"/>
          <w:lang w:val="en-US"/>
        </w:rPr>
        <w:t xml:space="preserve">, </w:t>
      </w:r>
      <w:proofErr w:type="spellStart"/>
      <w:r w:rsidRPr="00404AC7">
        <w:rPr>
          <w:rFonts w:ascii="Times New Roman" w:eastAsia="Times New Roman" w:hAnsi="Times New Roman" w:cs="Times New Roman"/>
          <w:sz w:val="24"/>
          <w:szCs w:val="24"/>
          <w:lang w:val="en-US"/>
        </w:rPr>
        <w:t>tumour</w:t>
      </w:r>
      <w:proofErr w:type="spellEnd"/>
      <w:r w:rsidRPr="00404AC7">
        <w:rPr>
          <w:rFonts w:ascii="Times New Roman" w:eastAsia="Times New Roman" w:hAnsi="Times New Roman" w:cs="Times New Roman"/>
          <w:sz w:val="24"/>
          <w:szCs w:val="24"/>
          <w:lang w:val="en-US"/>
        </w:rPr>
        <w:t xml:space="preserve"> classification, therapy matching and interpretation of molecular profiles.</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Clinical translation requires more than algorithmic performance. A model must show analytical validity, clinical validity and clinical utility. Analytical validity concerns whether the model correctly processes the data it receives. Clinical validity concerns whether the output is associated with the clinical condition of interest. Clinical utility concerns whether the model improves diagnosis, management, treatment or outcomes. A genomic artificial intelligence system may perform well in a benchmark but fail to improve real-world care if it increases uncertainty, worsens inequity or lacks integration with clinical workflows.</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Variant interpretation illustrates this problem. Computational tools such as CADD, REVEL, </w:t>
      </w:r>
      <w:proofErr w:type="spellStart"/>
      <w:r w:rsidRPr="00404AC7">
        <w:rPr>
          <w:rFonts w:ascii="Times New Roman" w:eastAsia="Times New Roman" w:hAnsi="Times New Roman" w:cs="Times New Roman"/>
          <w:sz w:val="24"/>
          <w:szCs w:val="24"/>
          <w:lang w:val="en-US"/>
        </w:rPr>
        <w:t>SpliceAI</w:t>
      </w:r>
      <w:proofErr w:type="spellEnd"/>
      <w:r w:rsidRPr="00404AC7">
        <w:rPr>
          <w:rFonts w:ascii="Times New Roman" w:eastAsia="Times New Roman" w:hAnsi="Times New Roman" w:cs="Times New Roman"/>
          <w:sz w:val="24"/>
          <w:szCs w:val="24"/>
          <w:lang w:val="en-US"/>
        </w:rPr>
        <w:t xml:space="preserve"> and </w:t>
      </w:r>
      <w:proofErr w:type="spellStart"/>
      <w:r w:rsidRPr="00404AC7">
        <w:rPr>
          <w:rFonts w:ascii="Times New Roman" w:eastAsia="Times New Roman" w:hAnsi="Times New Roman" w:cs="Times New Roman"/>
          <w:sz w:val="24"/>
          <w:szCs w:val="24"/>
          <w:lang w:val="en-US"/>
        </w:rPr>
        <w:t>AlphaMissense</w:t>
      </w:r>
      <w:proofErr w:type="spellEnd"/>
      <w:r w:rsidRPr="00404AC7">
        <w:rPr>
          <w:rFonts w:ascii="Times New Roman" w:eastAsia="Times New Roman" w:hAnsi="Times New Roman" w:cs="Times New Roman"/>
          <w:sz w:val="24"/>
          <w:szCs w:val="24"/>
          <w:lang w:val="en-US"/>
        </w:rPr>
        <w:t xml:space="preserve"> are useful for </w:t>
      </w:r>
      <w:proofErr w:type="spellStart"/>
      <w:r w:rsidRPr="00404AC7">
        <w:rPr>
          <w:rFonts w:ascii="Times New Roman" w:eastAsia="Times New Roman" w:hAnsi="Times New Roman" w:cs="Times New Roman"/>
          <w:sz w:val="24"/>
          <w:szCs w:val="24"/>
          <w:lang w:val="en-US"/>
        </w:rPr>
        <w:t>prioritisation</w:t>
      </w:r>
      <w:proofErr w:type="spellEnd"/>
      <w:r w:rsidRPr="00404AC7">
        <w:rPr>
          <w:rFonts w:ascii="Times New Roman" w:eastAsia="Times New Roman" w:hAnsi="Times New Roman" w:cs="Times New Roman"/>
          <w:sz w:val="24"/>
          <w:szCs w:val="24"/>
          <w:lang w:val="en-US"/>
        </w:rPr>
        <w:t xml:space="preserve">, but clinical classification still requires structured evidence frameworks such as ACMG/AMP guidelines and curated resources such as </w:t>
      </w:r>
      <w:proofErr w:type="spellStart"/>
      <w:r w:rsidRPr="00404AC7">
        <w:rPr>
          <w:rFonts w:ascii="Times New Roman" w:eastAsia="Times New Roman" w:hAnsi="Times New Roman" w:cs="Times New Roman"/>
          <w:sz w:val="24"/>
          <w:szCs w:val="24"/>
          <w:lang w:val="en-US"/>
        </w:rPr>
        <w:t>ClinVar</w:t>
      </w:r>
      <w:proofErr w:type="spellEnd"/>
      <w:r w:rsidRPr="00404AC7">
        <w:rPr>
          <w:rFonts w:ascii="Times New Roman" w:eastAsia="Times New Roman" w:hAnsi="Times New Roman" w:cs="Times New Roman"/>
          <w:sz w:val="24"/>
          <w:szCs w:val="24"/>
          <w:lang w:val="en-US"/>
        </w:rPr>
        <w:t xml:space="preserve"> (Cheng et al., 2023; Ioannidis et al., 2016; </w:t>
      </w:r>
      <w:proofErr w:type="spellStart"/>
      <w:r w:rsidRPr="00404AC7">
        <w:rPr>
          <w:rFonts w:ascii="Times New Roman" w:eastAsia="Times New Roman" w:hAnsi="Times New Roman" w:cs="Times New Roman"/>
          <w:sz w:val="24"/>
          <w:szCs w:val="24"/>
          <w:lang w:val="en-US"/>
        </w:rPr>
        <w:t>Jaganathan</w:t>
      </w:r>
      <w:proofErr w:type="spellEnd"/>
      <w:r w:rsidRPr="00404AC7">
        <w:rPr>
          <w:rFonts w:ascii="Times New Roman" w:eastAsia="Times New Roman" w:hAnsi="Times New Roman" w:cs="Times New Roman"/>
          <w:sz w:val="24"/>
          <w:szCs w:val="24"/>
          <w:lang w:val="en-US"/>
        </w:rPr>
        <w:t xml:space="preserve"> et al., 2019; </w:t>
      </w:r>
      <w:r w:rsidRPr="00404AC7">
        <w:rPr>
          <w:rFonts w:ascii="Times New Roman" w:eastAsia="Times New Roman" w:hAnsi="Times New Roman" w:cs="Times New Roman"/>
          <w:sz w:val="24"/>
          <w:szCs w:val="24"/>
          <w:lang w:val="en-US"/>
        </w:rPr>
        <w:lastRenderedPageBreak/>
        <w:t>Kircher et al., 2014; Landrum et al., 2018; Richards et al., 2015). A responsible clinical workflow should treat artificial intelligence predictions as supporting evidence, not as independent truth. The model’s uncertainty, gene-specific performance and applicability to the patient’s ancestry and phenotype should be considered.</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Polygenic risk prediction raises a different translational challenge. Polygenic scores may help stratify risk for common diseases, but current scores often transfer poorly across ancestries because discovery datasets remain imbalanced (Martin et al., 2019). Artificial intelligence may improve modelling of nonlinear relationships or multi-modal predictors, but it cannot fully solve the underlying problem of unrepresentative data. Greater diversity in genomic research is necessary for both scientific accuracy and equitable clinical translation (</w:t>
      </w:r>
      <w:proofErr w:type="spellStart"/>
      <w:r w:rsidRPr="00404AC7">
        <w:rPr>
          <w:rFonts w:ascii="Times New Roman" w:eastAsia="Times New Roman" w:hAnsi="Times New Roman" w:cs="Times New Roman"/>
          <w:sz w:val="24"/>
          <w:szCs w:val="24"/>
          <w:lang w:val="en-US"/>
        </w:rPr>
        <w:t>Popejoy</w:t>
      </w:r>
      <w:proofErr w:type="spellEnd"/>
      <w:r w:rsidRPr="00404AC7">
        <w:rPr>
          <w:rFonts w:ascii="Times New Roman" w:eastAsia="Times New Roman" w:hAnsi="Times New Roman" w:cs="Times New Roman"/>
          <w:sz w:val="24"/>
          <w:szCs w:val="24"/>
          <w:lang w:val="en-US"/>
        </w:rPr>
        <w:t xml:space="preserve"> &amp; Fullerton, 2016; </w:t>
      </w:r>
      <w:proofErr w:type="spellStart"/>
      <w:r w:rsidRPr="00404AC7">
        <w:rPr>
          <w:rFonts w:ascii="Times New Roman" w:eastAsia="Times New Roman" w:hAnsi="Times New Roman" w:cs="Times New Roman"/>
          <w:sz w:val="24"/>
          <w:szCs w:val="24"/>
          <w:lang w:val="en-US"/>
        </w:rPr>
        <w:t>Sirugo</w:t>
      </w:r>
      <w:proofErr w:type="spellEnd"/>
      <w:r w:rsidRPr="00404AC7">
        <w:rPr>
          <w:rFonts w:ascii="Times New Roman" w:eastAsia="Times New Roman" w:hAnsi="Times New Roman" w:cs="Times New Roman"/>
          <w:sz w:val="24"/>
          <w:szCs w:val="24"/>
          <w:lang w:val="en-US"/>
        </w:rPr>
        <w:t xml:space="preserve"> et al., 2019).</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The clinical future of artificial intelligence in genomics will require prospective validation, transparent reporting, regulatory oversight, clinician education and patient-</w:t>
      </w:r>
      <w:proofErr w:type="spellStart"/>
      <w:r w:rsidRPr="00404AC7">
        <w:rPr>
          <w:rFonts w:ascii="Times New Roman" w:eastAsia="Times New Roman" w:hAnsi="Times New Roman" w:cs="Times New Roman"/>
          <w:sz w:val="24"/>
          <w:szCs w:val="24"/>
          <w:lang w:val="en-US"/>
        </w:rPr>
        <w:t>centred</w:t>
      </w:r>
      <w:proofErr w:type="spellEnd"/>
      <w:r w:rsidRPr="00404AC7">
        <w:rPr>
          <w:rFonts w:ascii="Times New Roman" w:eastAsia="Times New Roman" w:hAnsi="Times New Roman" w:cs="Times New Roman"/>
          <w:sz w:val="24"/>
          <w:szCs w:val="24"/>
          <w:lang w:val="en-US"/>
        </w:rPr>
        <w:t xml:space="preserve"> communication. It will also require mechanisms for updating models as knowledge changes. Genomic interpretation is not static; new gene–disease relationships, variant classifications and functional evidence continually emerge. Clinical artificial intelligence must therefore be maintainable, auditable and responsive to evolving evidence.</w:t>
      </w:r>
    </w:p>
    <w:p w:rsidR="00404AC7" w:rsidRPr="00404AC7" w:rsidRDefault="00404AC7" w:rsidP="00191F3E">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404AC7">
        <w:rPr>
          <w:rFonts w:ascii="Times New Roman" w:eastAsia="Times New Roman" w:hAnsi="Times New Roman" w:cs="Times New Roman"/>
          <w:b/>
          <w:bCs/>
          <w:sz w:val="36"/>
          <w:szCs w:val="36"/>
          <w:lang w:val="en-US"/>
        </w:rPr>
        <w:t>13. Ethical, legal and social considerations</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Artificial intelligence in genomics raises ethical, legal and social issues because genomic data are identifying, familial and potentially predictive. Unlike many other biomedical measurements, genomic information can reveal risk not only for an individual but also for biological relatives and population groups. Large-scale model training increases the value of data aggregation, but it also increases concern about privacy, consent and governance. Even when data are de-identified, genomic information can remain sensitive because sequence data are inherently personal.</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Bias is among the most important ethical and scientific concerns. Underrepresentation of many populations in genomic datasets can produce models that are less accurate for those groups, thereby reinforcing inequity in diagnosis, prevention and treatment (Martin et al., 2019; </w:t>
      </w:r>
      <w:proofErr w:type="spellStart"/>
      <w:r w:rsidRPr="00404AC7">
        <w:rPr>
          <w:rFonts w:ascii="Times New Roman" w:eastAsia="Times New Roman" w:hAnsi="Times New Roman" w:cs="Times New Roman"/>
          <w:sz w:val="24"/>
          <w:szCs w:val="24"/>
          <w:lang w:val="en-US"/>
        </w:rPr>
        <w:t>Popejoy</w:t>
      </w:r>
      <w:proofErr w:type="spellEnd"/>
      <w:r w:rsidRPr="00404AC7">
        <w:rPr>
          <w:rFonts w:ascii="Times New Roman" w:eastAsia="Times New Roman" w:hAnsi="Times New Roman" w:cs="Times New Roman"/>
          <w:sz w:val="24"/>
          <w:szCs w:val="24"/>
          <w:lang w:val="en-US"/>
        </w:rPr>
        <w:t xml:space="preserve"> &amp; Fullerton, 2016; </w:t>
      </w:r>
      <w:proofErr w:type="spellStart"/>
      <w:r w:rsidRPr="00404AC7">
        <w:rPr>
          <w:rFonts w:ascii="Times New Roman" w:eastAsia="Times New Roman" w:hAnsi="Times New Roman" w:cs="Times New Roman"/>
          <w:sz w:val="24"/>
          <w:szCs w:val="24"/>
          <w:lang w:val="en-US"/>
        </w:rPr>
        <w:t>Sirugo</w:t>
      </w:r>
      <w:proofErr w:type="spellEnd"/>
      <w:r w:rsidRPr="00404AC7">
        <w:rPr>
          <w:rFonts w:ascii="Times New Roman" w:eastAsia="Times New Roman" w:hAnsi="Times New Roman" w:cs="Times New Roman"/>
          <w:sz w:val="24"/>
          <w:szCs w:val="24"/>
          <w:lang w:val="en-US"/>
        </w:rPr>
        <w:t xml:space="preserve"> et al., 2019). Artificial intelligence can amplify this problem if it learns from biased labels, unequal ascertainment or historically skewed research priorities. Diversity in genomics is therefore essential not only for fairness but also for validity.</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Interpretability is also ethically important. In research, opaque models may still be useful if they generate experimentally testable hypotheses. In clinical care, opacity is more problematic because patients and clinicians need to understand why a variant or risk estimate is being </w:t>
      </w:r>
      <w:proofErr w:type="spellStart"/>
      <w:r w:rsidRPr="00404AC7">
        <w:rPr>
          <w:rFonts w:ascii="Times New Roman" w:eastAsia="Times New Roman" w:hAnsi="Times New Roman" w:cs="Times New Roman"/>
          <w:sz w:val="24"/>
          <w:szCs w:val="24"/>
          <w:lang w:val="en-US"/>
        </w:rPr>
        <w:t>prioritised</w:t>
      </w:r>
      <w:proofErr w:type="spellEnd"/>
      <w:r w:rsidRPr="00404AC7">
        <w:rPr>
          <w:rFonts w:ascii="Times New Roman" w:eastAsia="Times New Roman" w:hAnsi="Times New Roman" w:cs="Times New Roman"/>
          <w:sz w:val="24"/>
          <w:szCs w:val="24"/>
          <w:lang w:val="en-US"/>
        </w:rPr>
        <w:t>. Interpretability does not require that every model be simple, but it does require clarity about model inputs, intended use, uncertainty, failure modes and validation populations. A model should not present speculative biological predictions as deterministic facts.</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Data ownership and benefit sharing require attention. Communities that contribute genomic data should not be treated merely as sources of training material. Ethical governance should include transparent consent, community engagement, privacy protection, equitable access and </w:t>
      </w:r>
      <w:r w:rsidRPr="00404AC7">
        <w:rPr>
          <w:rFonts w:ascii="Times New Roman" w:eastAsia="Times New Roman" w:hAnsi="Times New Roman" w:cs="Times New Roman"/>
          <w:sz w:val="24"/>
          <w:szCs w:val="24"/>
          <w:lang w:val="en-US"/>
        </w:rPr>
        <w:lastRenderedPageBreak/>
        <w:t>mechanisms for sharing the benefits of discovery. The legitimacy of genomic artificial intelligence will depend not only on technical accuracy, but also on trustworthiness and accountability.</w:t>
      </w:r>
    </w:p>
    <w:p w:rsidR="00404AC7" w:rsidRPr="00404AC7" w:rsidRDefault="00404AC7" w:rsidP="00191F3E">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404AC7">
        <w:rPr>
          <w:rFonts w:ascii="Times New Roman" w:eastAsia="Times New Roman" w:hAnsi="Times New Roman" w:cs="Times New Roman"/>
          <w:b/>
          <w:bCs/>
          <w:sz w:val="36"/>
          <w:szCs w:val="36"/>
          <w:lang w:val="en-US"/>
        </w:rPr>
        <w:t>14. Future directions</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The future of artificial intelligence in genomics will likely be shaped by foundation models, pangenome-aware analysis, perturbation-based learning and clinical governance. Foundation models such as Nucleotide Transformer suggest that self-supervised learning from large-scale DNA sequence can produce reusable representations for downstream genomic tasks (Dalla-Torre et al., 2025). Future models may integrate DNA sequence, RNA expression, chromatin accessibility, methylation, protein structure, evolutionary conservation and clinical phenotypes within unified architectures. Such integration could improve variant </w:t>
      </w:r>
      <w:proofErr w:type="spellStart"/>
      <w:r w:rsidRPr="00404AC7">
        <w:rPr>
          <w:rFonts w:ascii="Times New Roman" w:eastAsia="Times New Roman" w:hAnsi="Times New Roman" w:cs="Times New Roman"/>
          <w:sz w:val="24"/>
          <w:szCs w:val="24"/>
          <w:lang w:val="en-US"/>
        </w:rPr>
        <w:t>prioritisation</w:t>
      </w:r>
      <w:proofErr w:type="spellEnd"/>
      <w:r w:rsidRPr="00404AC7">
        <w:rPr>
          <w:rFonts w:ascii="Times New Roman" w:eastAsia="Times New Roman" w:hAnsi="Times New Roman" w:cs="Times New Roman"/>
          <w:sz w:val="24"/>
          <w:szCs w:val="24"/>
          <w:lang w:val="en-US"/>
        </w:rPr>
        <w:t>, gene regulation modelling and cross-species biological discovery.</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Pangenome-aware artificial intelligence will become increasingly important. As genomic references move beyond a single linear sequence, models will need to represent multiple haplotypes, structural variants and population-specific sequence. The draft human pangenome provides an early framework for this transition (Liao et al., 2023). Long-read sequencing and complete assemblies will further expand the genomic regions available for modelling (</w:t>
      </w:r>
      <w:proofErr w:type="spellStart"/>
      <w:r w:rsidRPr="00404AC7">
        <w:rPr>
          <w:rFonts w:ascii="Times New Roman" w:eastAsia="Times New Roman" w:hAnsi="Times New Roman" w:cs="Times New Roman"/>
          <w:sz w:val="24"/>
          <w:szCs w:val="24"/>
          <w:lang w:val="en-US"/>
        </w:rPr>
        <w:t>Nurk</w:t>
      </w:r>
      <w:proofErr w:type="spellEnd"/>
      <w:r w:rsidRPr="00404AC7">
        <w:rPr>
          <w:rFonts w:ascii="Times New Roman" w:eastAsia="Times New Roman" w:hAnsi="Times New Roman" w:cs="Times New Roman"/>
          <w:sz w:val="24"/>
          <w:szCs w:val="24"/>
          <w:lang w:val="en-US"/>
        </w:rPr>
        <w:t xml:space="preserve"> et al., 2022). These advances may improve interpretation of complex regions that have historically been underrepresented in genomic analysis.</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Perturbation-based learning is another major direction. CRISPR screens, single-cell readouts and causal machine learning can help distinguish correlation from functional effect (Tejada-</w:t>
      </w:r>
      <w:proofErr w:type="spellStart"/>
      <w:r w:rsidRPr="00404AC7">
        <w:rPr>
          <w:rFonts w:ascii="Times New Roman" w:eastAsia="Times New Roman" w:hAnsi="Times New Roman" w:cs="Times New Roman"/>
          <w:sz w:val="24"/>
          <w:szCs w:val="24"/>
          <w:lang w:val="en-US"/>
        </w:rPr>
        <w:t>Lapuerta</w:t>
      </w:r>
      <w:proofErr w:type="spellEnd"/>
      <w:r w:rsidRPr="00404AC7">
        <w:rPr>
          <w:rFonts w:ascii="Times New Roman" w:eastAsia="Times New Roman" w:hAnsi="Times New Roman" w:cs="Times New Roman"/>
          <w:sz w:val="24"/>
          <w:szCs w:val="24"/>
          <w:lang w:val="en-US"/>
        </w:rPr>
        <w:t xml:space="preserve"> et al., 2025). This matters because biological discovery requires causal understanding, not only prediction. Closed-loop systems in which models propose experiments, experiments generate data and data improve models may become central to functional genomics.</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Finally, the field will need stronger standards for validation and reporting. Benchmark datasets should be diverse, transparent and resistant to data leakage. Clinical models should be evaluated prospectively and across ancestries. Research models should be assessed not only for accuracy but also for interpretability, robustness and biological novelty. Artificial intelligence will transform genomics most effectively when computational prediction is linked to experimental validation and responsible implementation.</w:t>
      </w:r>
    </w:p>
    <w:p w:rsidR="00404AC7" w:rsidRPr="00404AC7" w:rsidRDefault="00404AC7" w:rsidP="00191F3E">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404AC7">
        <w:rPr>
          <w:rFonts w:ascii="Times New Roman" w:eastAsia="Times New Roman" w:hAnsi="Times New Roman" w:cs="Times New Roman"/>
          <w:b/>
          <w:bCs/>
          <w:sz w:val="36"/>
          <w:szCs w:val="36"/>
          <w:lang w:val="en-US"/>
        </w:rPr>
        <w:t>15. Limitations</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This review is limited by its narrative design. It </w:t>
      </w:r>
      <w:proofErr w:type="spellStart"/>
      <w:r w:rsidRPr="00404AC7">
        <w:rPr>
          <w:rFonts w:ascii="Times New Roman" w:eastAsia="Times New Roman" w:hAnsi="Times New Roman" w:cs="Times New Roman"/>
          <w:sz w:val="24"/>
          <w:szCs w:val="24"/>
          <w:lang w:val="en-US"/>
        </w:rPr>
        <w:t>synthesises</w:t>
      </w:r>
      <w:proofErr w:type="spellEnd"/>
      <w:r w:rsidRPr="00404AC7">
        <w:rPr>
          <w:rFonts w:ascii="Times New Roman" w:eastAsia="Times New Roman" w:hAnsi="Times New Roman" w:cs="Times New Roman"/>
          <w:sz w:val="24"/>
          <w:szCs w:val="24"/>
          <w:lang w:val="en-US"/>
        </w:rPr>
        <w:t xml:space="preserve"> influential and representative literature rather than exhaustively cataloguing every artificial intelligence model or genomic application. Because the field is advancing rapidly, some very recent tools, datasets or evaluations may not be included. The review focuses on peer-reviewed journal articles with DOI identifiers, which strengthens verifiability but may exclude relevant preprints, software documentation or technical reports that have not yet appeared in journal form. Some </w:t>
      </w:r>
      <w:proofErr w:type="spellStart"/>
      <w:r w:rsidRPr="00404AC7">
        <w:rPr>
          <w:rFonts w:ascii="Times New Roman" w:eastAsia="Times New Roman" w:hAnsi="Times New Roman" w:cs="Times New Roman"/>
          <w:sz w:val="24"/>
          <w:szCs w:val="24"/>
          <w:lang w:val="en-US"/>
        </w:rPr>
        <w:t>specialised</w:t>
      </w:r>
      <w:proofErr w:type="spellEnd"/>
      <w:r w:rsidRPr="00404AC7">
        <w:rPr>
          <w:rFonts w:ascii="Times New Roman" w:eastAsia="Times New Roman" w:hAnsi="Times New Roman" w:cs="Times New Roman"/>
          <w:sz w:val="24"/>
          <w:szCs w:val="24"/>
          <w:lang w:val="en-US"/>
        </w:rPr>
        <w:t xml:space="preserve"> areas, including microbial genomics, plant genomics, metagenomics, epigenetic ageing and pharmacogenomic implementation, are discussed only indirectly. Direct comparison across methods is also limited because studies often use different datasets, benchmarks, outcome definitions and validation strategies.</w:t>
      </w:r>
    </w:p>
    <w:p w:rsidR="00404AC7" w:rsidRPr="00404AC7" w:rsidRDefault="00404AC7" w:rsidP="00191F3E">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404AC7">
        <w:rPr>
          <w:rFonts w:ascii="Times New Roman" w:eastAsia="Times New Roman" w:hAnsi="Times New Roman" w:cs="Times New Roman"/>
          <w:b/>
          <w:bCs/>
          <w:sz w:val="36"/>
          <w:szCs w:val="36"/>
          <w:lang w:val="en-US"/>
        </w:rPr>
        <w:lastRenderedPageBreak/>
        <w:t>16. Conclusions</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Artificial intelligence is transforming genomics by changing how researchers interpret sequence, variation, regulation, cellular state and molecular structure. It supports variant calling, regulatory annotation, splicing prediction, missense interpretation, protein structure prediction, single-cell modelling, multi-omics integration, CRISPR design and clinical </w:t>
      </w:r>
      <w:proofErr w:type="spellStart"/>
      <w:r w:rsidRPr="00404AC7">
        <w:rPr>
          <w:rFonts w:ascii="Times New Roman" w:eastAsia="Times New Roman" w:hAnsi="Times New Roman" w:cs="Times New Roman"/>
          <w:sz w:val="24"/>
          <w:szCs w:val="24"/>
          <w:lang w:val="en-US"/>
        </w:rPr>
        <w:t>prioritisation</w:t>
      </w:r>
      <w:proofErr w:type="spellEnd"/>
      <w:r w:rsidRPr="00404AC7">
        <w:rPr>
          <w:rFonts w:ascii="Times New Roman" w:eastAsia="Times New Roman" w:hAnsi="Times New Roman" w:cs="Times New Roman"/>
          <w:sz w:val="24"/>
          <w:szCs w:val="24"/>
          <w:lang w:val="en-US"/>
        </w:rPr>
        <w:t>. Its greatest contribution is not simply faster computation, but the ability to learn complex biological representations and generate testable hypotheses across molecular scales.</w:t>
      </w:r>
    </w:p>
    <w:p w:rsid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The future of biological discovery will depend on joining artificial intelligence with high-quality genomic resources, diverse populations, experimental perturbation, mechanistic biology and responsible clinical governance. Artificial intelligence should be viewed as a powerful scientific instrument: transformative when validated carefully, potentially misleading when applied without context, and most valuable when it connects prediction with biological understanding. Genomics is moving from reading genomes to modelling and testing biological systems, and artificial intelligence is becoming one of the central engines of that transition.</w:t>
      </w:r>
    </w:p>
    <w:p w:rsidR="007A0AB0" w:rsidRDefault="007A0AB0" w:rsidP="00191F3E">
      <w:pPr>
        <w:jc w:val="both"/>
        <w:rPr>
          <w:b/>
          <w:highlight w:val="yellow"/>
        </w:rPr>
      </w:pPr>
      <w:r>
        <w:rPr>
          <w:b/>
          <w:highlight w:val="yellow"/>
        </w:rPr>
        <w:t>Disclaimer (Artificial intelligence)</w:t>
      </w:r>
    </w:p>
    <w:p w:rsidR="007A0AB0" w:rsidRDefault="007A0AB0" w:rsidP="00191F3E">
      <w:pPr>
        <w:jc w:val="both"/>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7A0AB0" w:rsidRPr="00404AC7" w:rsidRDefault="007A0AB0" w:rsidP="00191F3E">
      <w:pPr>
        <w:spacing w:before="100" w:beforeAutospacing="1" w:after="100" w:afterAutospacing="1" w:line="240" w:lineRule="auto"/>
        <w:jc w:val="both"/>
        <w:rPr>
          <w:rFonts w:ascii="Times New Roman" w:eastAsia="Times New Roman" w:hAnsi="Times New Roman" w:cs="Times New Roman"/>
          <w:sz w:val="24"/>
          <w:szCs w:val="24"/>
          <w:lang w:val="en-US"/>
        </w:rPr>
      </w:pPr>
    </w:p>
    <w:p w:rsidR="00404AC7" w:rsidRPr="00404AC7" w:rsidRDefault="00404AC7" w:rsidP="00191F3E">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404AC7">
        <w:rPr>
          <w:rFonts w:ascii="Times New Roman" w:eastAsia="Times New Roman" w:hAnsi="Times New Roman" w:cs="Times New Roman"/>
          <w:b/>
          <w:bCs/>
          <w:sz w:val="36"/>
          <w:szCs w:val="36"/>
          <w:lang w:val="en-US"/>
        </w:rPr>
        <w:t>References</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1000 Genomes Project Consortium. (2015). A global reference for human genetic variation. </w:t>
      </w:r>
      <w:r w:rsidRPr="00404AC7">
        <w:rPr>
          <w:rFonts w:ascii="Times New Roman" w:eastAsia="Times New Roman" w:hAnsi="Times New Roman" w:cs="Times New Roman"/>
          <w:i/>
          <w:iCs/>
          <w:sz w:val="24"/>
          <w:szCs w:val="24"/>
          <w:lang w:val="en-US"/>
        </w:rPr>
        <w:t>Nature, 526</w:t>
      </w:r>
      <w:r w:rsidRPr="00404AC7">
        <w:rPr>
          <w:rFonts w:ascii="Times New Roman" w:eastAsia="Times New Roman" w:hAnsi="Times New Roman" w:cs="Times New Roman"/>
          <w:sz w:val="24"/>
          <w:szCs w:val="24"/>
          <w:lang w:val="en-US"/>
        </w:rPr>
        <w:t xml:space="preserve">(7571), 68–74. </w:t>
      </w:r>
      <w:hyperlink r:id="rId7" w:tgtFrame="_new" w:history="1">
        <w:r w:rsidRPr="00404AC7">
          <w:rPr>
            <w:rFonts w:ascii="Times New Roman" w:eastAsia="Times New Roman" w:hAnsi="Times New Roman" w:cs="Times New Roman"/>
            <w:color w:val="0000FF"/>
            <w:sz w:val="24"/>
            <w:szCs w:val="24"/>
            <w:u w:val="single"/>
            <w:lang w:val="en-US"/>
          </w:rPr>
          <w:t>https://doi.org/10.1038/nature15393</w:t>
        </w:r>
      </w:hyperlink>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Alipanahi</w:t>
      </w:r>
      <w:proofErr w:type="spellEnd"/>
      <w:r w:rsidRPr="00404AC7">
        <w:rPr>
          <w:rFonts w:ascii="Times New Roman" w:eastAsia="Times New Roman" w:hAnsi="Times New Roman" w:cs="Times New Roman"/>
          <w:sz w:val="24"/>
          <w:szCs w:val="24"/>
          <w:lang w:val="en-US"/>
        </w:rPr>
        <w:t xml:space="preserve">, B., Delong, A., </w:t>
      </w:r>
      <w:proofErr w:type="spellStart"/>
      <w:r w:rsidRPr="00404AC7">
        <w:rPr>
          <w:rFonts w:ascii="Times New Roman" w:eastAsia="Times New Roman" w:hAnsi="Times New Roman" w:cs="Times New Roman"/>
          <w:sz w:val="24"/>
          <w:szCs w:val="24"/>
          <w:lang w:val="en-US"/>
        </w:rPr>
        <w:t>Weirauch</w:t>
      </w:r>
      <w:proofErr w:type="spellEnd"/>
      <w:r w:rsidRPr="00404AC7">
        <w:rPr>
          <w:rFonts w:ascii="Times New Roman" w:eastAsia="Times New Roman" w:hAnsi="Times New Roman" w:cs="Times New Roman"/>
          <w:sz w:val="24"/>
          <w:szCs w:val="24"/>
          <w:lang w:val="en-US"/>
        </w:rPr>
        <w:t xml:space="preserve">, M. T., &amp; Frey, B. J. (2015). Predicting the sequence specificities of DNA- and RNA-binding proteins by deep learning. </w:t>
      </w:r>
      <w:r w:rsidRPr="00404AC7">
        <w:rPr>
          <w:rFonts w:ascii="Times New Roman" w:eastAsia="Times New Roman" w:hAnsi="Times New Roman" w:cs="Times New Roman"/>
          <w:i/>
          <w:iCs/>
          <w:sz w:val="24"/>
          <w:szCs w:val="24"/>
          <w:lang w:val="en-US"/>
        </w:rPr>
        <w:t>Nature Biotechnology, 33</w:t>
      </w:r>
      <w:r w:rsidRPr="00404AC7">
        <w:rPr>
          <w:rFonts w:ascii="Times New Roman" w:eastAsia="Times New Roman" w:hAnsi="Times New Roman" w:cs="Times New Roman"/>
          <w:sz w:val="24"/>
          <w:szCs w:val="24"/>
          <w:lang w:val="en-US"/>
        </w:rPr>
        <w:t xml:space="preserve">(8), 831–838. </w:t>
      </w:r>
      <w:hyperlink r:id="rId8" w:tgtFrame="_new" w:history="1">
        <w:r w:rsidRPr="00404AC7">
          <w:rPr>
            <w:rFonts w:ascii="Times New Roman" w:eastAsia="Times New Roman" w:hAnsi="Times New Roman" w:cs="Times New Roman"/>
            <w:color w:val="0000FF"/>
            <w:sz w:val="24"/>
            <w:szCs w:val="24"/>
            <w:u w:val="single"/>
            <w:lang w:val="en-US"/>
          </w:rPr>
          <w:t>https://doi.org/10.1038/nbt.3300</w:t>
        </w:r>
      </w:hyperlink>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Angermueller</w:t>
      </w:r>
      <w:proofErr w:type="spellEnd"/>
      <w:r w:rsidRPr="00404AC7">
        <w:rPr>
          <w:rFonts w:ascii="Times New Roman" w:eastAsia="Times New Roman" w:hAnsi="Times New Roman" w:cs="Times New Roman"/>
          <w:sz w:val="24"/>
          <w:szCs w:val="24"/>
          <w:lang w:val="en-US"/>
        </w:rPr>
        <w:t xml:space="preserve">, C., </w:t>
      </w:r>
      <w:proofErr w:type="spellStart"/>
      <w:r w:rsidRPr="00404AC7">
        <w:rPr>
          <w:rFonts w:ascii="Times New Roman" w:eastAsia="Times New Roman" w:hAnsi="Times New Roman" w:cs="Times New Roman"/>
          <w:sz w:val="24"/>
          <w:szCs w:val="24"/>
          <w:lang w:val="en-US"/>
        </w:rPr>
        <w:t>Pärnamaa</w:t>
      </w:r>
      <w:proofErr w:type="spellEnd"/>
      <w:r w:rsidRPr="00404AC7">
        <w:rPr>
          <w:rFonts w:ascii="Times New Roman" w:eastAsia="Times New Roman" w:hAnsi="Times New Roman" w:cs="Times New Roman"/>
          <w:sz w:val="24"/>
          <w:szCs w:val="24"/>
          <w:lang w:val="en-US"/>
        </w:rPr>
        <w:t xml:space="preserve">, T., Parts, L., &amp; </w:t>
      </w:r>
      <w:proofErr w:type="spellStart"/>
      <w:r w:rsidRPr="00404AC7">
        <w:rPr>
          <w:rFonts w:ascii="Times New Roman" w:eastAsia="Times New Roman" w:hAnsi="Times New Roman" w:cs="Times New Roman"/>
          <w:sz w:val="24"/>
          <w:szCs w:val="24"/>
          <w:lang w:val="en-US"/>
        </w:rPr>
        <w:t>Stegle</w:t>
      </w:r>
      <w:proofErr w:type="spellEnd"/>
      <w:r w:rsidRPr="00404AC7">
        <w:rPr>
          <w:rFonts w:ascii="Times New Roman" w:eastAsia="Times New Roman" w:hAnsi="Times New Roman" w:cs="Times New Roman"/>
          <w:sz w:val="24"/>
          <w:szCs w:val="24"/>
          <w:lang w:val="en-US"/>
        </w:rPr>
        <w:t xml:space="preserve">, O. (2016). Deep learning for computational biology. </w:t>
      </w:r>
      <w:r w:rsidRPr="00404AC7">
        <w:rPr>
          <w:rFonts w:ascii="Times New Roman" w:eastAsia="Times New Roman" w:hAnsi="Times New Roman" w:cs="Times New Roman"/>
          <w:i/>
          <w:iCs/>
          <w:sz w:val="24"/>
          <w:szCs w:val="24"/>
          <w:lang w:val="en-US"/>
        </w:rPr>
        <w:t>Molecular Systems Biology, 12</w:t>
      </w:r>
      <w:r w:rsidRPr="00404AC7">
        <w:rPr>
          <w:rFonts w:ascii="Times New Roman" w:eastAsia="Times New Roman" w:hAnsi="Times New Roman" w:cs="Times New Roman"/>
          <w:sz w:val="24"/>
          <w:szCs w:val="24"/>
          <w:lang w:val="en-US"/>
        </w:rPr>
        <w:t xml:space="preserve">(7), 878. </w:t>
      </w:r>
      <w:hyperlink r:id="rId9" w:history="1">
        <w:r w:rsidR="00B73CBF" w:rsidRPr="00021F58">
          <w:rPr>
            <w:rStyle w:val="Hyperlink"/>
            <w:rFonts w:ascii="Times New Roman" w:eastAsia="Times New Roman" w:hAnsi="Times New Roman" w:cs="Times New Roman"/>
            <w:sz w:val="24"/>
            <w:szCs w:val="24"/>
            <w:lang w:val="en-US"/>
          </w:rPr>
          <w:t>https://doi.org/10.15252/msb.20156651</w:t>
        </w:r>
      </w:hyperlink>
      <w:r w:rsidR="00B73CBF">
        <w:rPr>
          <w:rFonts w:ascii="Times New Roman" w:eastAsia="Times New Roman" w:hAnsi="Times New Roman" w:cs="Times New Roman"/>
          <w:sz w:val="24"/>
          <w:szCs w:val="24"/>
          <w:lang w:val="en-US"/>
        </w:rPr>
        <w:t xml:space="preserve"> </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Avsec</w:t>
      </w:r>
      <w:proofErr w:type="spellEnd"/>
      <w:r w:rsidRPr="00404AC7">
        <w:rPr>
          <w:rFonts w:ascii="Times New Roman" w:eastAsia="Times New Roman" w:hAnsi="Times New Roman" w:cs="Times New Roman"/>
          <w:sz w:val="24"/>
          <w:szCs w:val="24"/>
          <w:lang w:val="en-US"/>
        </w:rPr>
        <w:t xml:space="preserve">, Ž., Agarwal, V., </w:t>
      </w:r>
      <w:proofErr w:type="spellStart"/>
      <w:r w:rsidRPr="00404AC7">
        <w:rPr>
          <w:rFonts w:ascii="Times New Roman" w:eastAsia="Times New Roman" w:hAnsi="Times New Roman" w:cs="Times New Roman"/>
          <w:sz w:val="24"/>
          <w:szCs w:val="24"/>
          <w:lang w:val="en-US"/>
        </w:rPr>
        <w:t>Visentin</w:t>
      </w:r>
      <w:proofErr w:type="spellEnd"/>
      <w:r w:rsidRPr="00404AC7">
        <w:rPr>
          <w:rFonts w:ascii="Times New Roman" w:eastAsia="Times New Roman" w:hAnsi="Times New Roman" w:cs="Times New Roman"/>
          <w:sz w:val="24"/>
          <w:szCs w:val="24"/>
          <w:lang w:val="en-US"/>
        </w:rPr>
        <w:t xml:space="preserve">, D., </w:t>
      </w:r>
      <w:proofErr w:type="spellStart"/>
      <w:r w:rsidRPr="00404AC7">
        <w:rPr>
          <w:rFonts w:ascii="Times New Roman" w:eastAsia="Times New Roman" w:hAnsi="Times New Roman" w:cs="Times New Roman"/>
          <w:sz w:val="24"/>
          <w:szCs w:val="24"/>
          <w:lang w:val="en-US"/>
        </w:rPr>
        <w:t>Ledsam</w:t>
      </w:r>
      <w:proofErr w:type="spellEnd"/>
      <w:r w:rsidRPr="00404AC7">
        <w:rPr>
          <w:rFonts w:ascii="Times New Roman" w:eastAsia="Times New Roman" w:hAnsi="Times New Roman" w:cs="Times New Roman"/>
          <w:sz w:val="24"/>
          <w:szCs w:val="24"/>
          <w:lang w:val="en-US"/>
        </w:rPr>
        <w:t xml:space="preserve">, J. R., </w:t>
      </w:r>
      <w:proofErr w:type="spellStart"/>
      <w:r w:rsidRPr="00404AC7">
        <w:rPr>
          <w:rFonts w:ascii="Times New Roman" w:eastAsia="Times New Roman" w:hAnsi="Times New Roman" w:cs="Times New Roman"/>
          <w:sz w:val="24"/>
          <w:szCs w:val="24"/>
          <w:lang w:val="en-US"/>
        </w:rPr>
        <w:t>Grabska-Barwinska</w:t>
      </w:r>
      <w:proofErr w:type="spellEnd"/>
      <w:r w:rsidRPr="00404AC7">
        <w:rPr>
          <w:rFonts w:ascii="Times New Roman" w:eastAsia="Times New Roman" w:hAnsi="Times New Roman" w:cs="Times New Roman"/>
          <w:sz w:val="24"/>
          <w:szCs w:val="24"/>
          <w:lang w:val="en-US"/>
        </w:rPr>
        <w:t xml:space="preserve">, A., Taylor, K. R., </w:t>
      </w:r>
      <w:proofErr w:type="spellStart"/>
      <w:r w:rsidRPr="00404AC7">
        <w:rPr>
          <w:rFonts w:ascii="Times New Roman" w:eastAsia="Times New Roman" w:hAnsi="Times New Roman" w:cs="Times New Roman"/>
          <w:sz w:val="24"/>
          <w:szCs w:val="24"/>
          <w:lang w:val="en-US"/>
        </w:rPr>
        <w:t>Assael</w:t>
      </w:r>
      <w:proofErr w:type="spellEnd"/>
      <w:r w:rsidRPr="00404AC7">
        <w:rPr>
          <w:rFonts w:ascii="Times New Roman" w:eastAsia="Times New Roman" w:hAnsi="Times New Roman" w:cs="Times New Roman"/>
          <w:sz w:val="24"/>
          <w:szCs w:val="24"/>
          <w:lang w:val="en-US"/>
        </w:rPr>
        <w:t xml:space="preserve">, Y., Jumper, J., Kohli, P., &amp; Kelley, D. R. (2021). Effective gene expression prediction from sequence by integrating long-range interactions. </w:t>
      </w:r>
      <w:r w:rsidRPr="00404AC7">
        <w:rPr>
          <w:rFonts w:ascii="Times New Roman" w:eastAsia="Times New Roman" w:hAnsi="Times New Roman" w:cs="Times New Roman"/>
          <w:i/>
          <w:iCs/>
          <w:sz w:val="24"/>
          <w:szCs w:val="24"/>
          <w:lang w:val="en-US"/>
        </w:rPr>
        <w:t>Nature Methods, 18</w:t>
      </w:r>
      <w:r w:rsidRPr="00404AC7">
        <w:rPr>
          <w:rFonts w:ascii="Times New Roman" w:eastAsia="Times New Roman" w:hAnsi="Times New Roman" w:cs="Times New Roman"/>
          <w:sz w:val="24"/>
          <w:szCs w:val="24"/>
          <w:lang w:val="en-US"/>
        </w:rPr>
        <w:t xml:space="preserve">(10), 1196–1203. </w:t>
      </w:r>
      <w:hyperlink r:id="rId10" w:tgtFrame="_new" w:history="1">
        <w:r w:rsidRPr="00404AC7">
          <w:rPr>
            <w:rFonts w:ascii="Times New Roman" w:eastAsia="Times New Roman" w:hAnsi="Times New Roman" w:cs="Times New Roman"/>
            <w:color w:val="0000FF"/>
            <w:sz w:val="24"/>
            <w:szCs w:val="24"/>
            <w:u w:val="single"/>
            <w:lang w:val="en-US"/>
          </w:rPr>
          <w:t>https://doi.org/10.1038/s41592-021-01252-x</w:t>
        </w:r>
      </w:hyperlink>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Baethge</w:t>
      </w:r>
      <w:proofErr w:type="spellEnd"/>
      <w:r w:rsidRPr="00404AC7">
        <w:rPr>
          <w:rFonts w:ascii="Times New Roman" w:eastAsia="Times New Roman" w:hAnsi="Times New Roman" w:cs="Times New Roman"/>
          <w:sz w:val="24"/>
          <w:szCs w:val="24"/>
          <w:lang w:val="en-US"/>
        </w:rPr>
        <w:t xml:space="preserve">, C., </w:t>
      </w:r>
      <w:proofErr w:type="spellStart"/>
      <w:r w:rsidRPr="00404AC7">
        <w:rPr>
          <w:rFonts w:ascii="Times New Roman" w:eastAsia="Times New Roman" w:hAnsi="Times New Roman" w:cs="Times New Roman"/>
          <w:sz w:val="24"/>
          <w:szCs w:val="24"/>
          <w:lang w:val="en-US"/>
        </w:rPr>
        <w:t>Goldbeck</w:t>
      </w:r>
      <w:proofErr w:type="spellEnd"/>
      <w:r w:rsidRPr="00404AC7">
        <w:rPr>
          <w:rFonts w:ascii="Times New Roman" w:eastAsia="Times New Roman" w:hAnsi="Times New Roman" w:cs="Times New Roman"/>
          <w:sz w:val="24"/>
          <w:szCs w:val="24"/>
          <w:lang w:val="en-US"/>
        </w:rPr>
        <w:t xml:space="preserve">-Wood, S., &amp; Mertens, S. (2019). SANRA—a scale for the quality assessment of narrative review articles. </w:t>
      </w:r>
      <w:r w:rsidRPr="00404AC7">
        <w:rPr>
          <w:rFonts w:ascii="Times New Roman" w:eastAsia="Times New Roman" w:hAnsi="Times New Roman" w:cs="Times New Roman"/>
          <w:i/>
          <w:iCs/>
          <w:sz w:val="24"/>
          <w:szCs w:val="24"/>
          <w:lang w:val="en-US"/>
        </w:rPr>
        <w:t>Research Integrity and Peer Review, 4</w:t>
      </w:r>
      <w:r w:rsidRPr="00404AC7">
        <w:rPr>
          <w:rFonts w:ascii="Times New Roman" w:eastAsia="Times New Roman" w:hAnsi="Times New Roman" w:cs="Times New Roman"/>
          <w:sz w:val="24"/>
          <w:szCs w:val="24"/>
          <w:lang w:val="en-US"/>
        </w:rPr>
        <w:t xml:space="preserve">, Article 5. </w:t>
      </w:r>
      <w:hyperlink r:id="rId11" w:tgtFrame="_new" w:history="1">
        <w:r w:rsidRPr="00404AC7">
          <w:rPr>
            <w:rFonts w:ascii="Times New Roman" w:eastAsia="Times New Roman" w:hAnsi="Times New Roman" w:cs="Times New Roman"/>
            <w:color w:val="0000FF"/>
            <w:sz w:val="24"/>
            <w:szCs w:val="24"/>
            <w:u w:val="single"/>
            <w:lang w:val="en-US"/>
          </w:rPr>
          <w:t>https://doi.org/10.1186/s41073-019-0064-8</w:t>
        </w:r>
      </w:hyperlink>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lastRenderedPageBreak/>
        <w:t>Baid</w:t>
      </w:r>
      <w:proofErr w:type="spellEnd"/>
      <w:r w:rsidRPr="00404AC7">
        <w:rPr>
          <w:rFonts w:ascii="Times New Roman" w:eastAsia="Times New Roman" w:hAnsi="Times New Roman" w:cs="Times New Roman"/>
          <w:sz w:val="24"/>
          <w:szCs w:val="24"/>
          <w:lang w:val="en-US"/>
        </w:rPr>
        <w:t xml:space="preserve">, G., Cook, D. E., </w:t>
      </w:r>
      <w:proofErr w:type="spellStart"/>
      <w:r w:rsidRPr="00404AC7">
        <w:rPr>
          <w:rFonts w:ascii="Times New Roman" w:eastAsia="Times New Roman" w:hAnsi="Times New Roman" w:cs="Times New Roman"/>
          <w:sz w:val="24"/>
          <w:szCs w:val="24"/>
          <w:lang w:val="en-US"/>
        </w:rPr>
        <w:t>Shafin</w:t>
      </w:r>
      <w:proofErr w:type="spellEnd"/>
      <w:r w:rsidRPr="00404AC7">
        <w:rPr>
          <w:rFonts w:ascii="Times New Roman" w:eastAsia="Times New Roman" w:hAnsi="Times New Roman" w:cs="Times New Roman"/>
          <w:sz w:val="24"/>
          <w:szCs w:val="24"/>
          <w:lang w:val="en-US"/>
        </w:rPr>
        <w:t xml:space="preserve">, K., Yun, T., </w:t>
      </w:r>
      <w:proofErr w:type="spellStart"/>
      <w:r w:rsidRPr="00404AC7">
        <w:rPr>
          <w:rFonts w:ascii="Times New Roman" w:eastAsia="Times New Roman" w:hAnsi="Times New Roman" w:cs="Times New Roman"/>
          <w:sz w:val="24"/>
          <w:szCs w:val="24"/>
          <w:lang w:val="en-US"/>
        </w:rPr>
        <w:t>Llinares</w:t>
      </w:r>
      <w:proofErr w:type="spellEnd"/>
      <w:r w:rsidRPr="00404AC7">
        <w:rPr>
          <w:rFonts w:ascii="Times New Roman" w:eastAsia="Times New Roman" w:hAnsi="Times New Roman" w:cs="Times New Roman"/>
          <w:sz w:val="24"/>
          <w:szCs w:val="24"/>
          <w:lang w:val="en-US"/>
        </w:rPr>
        <w:t xml:space="preserve">-López, F., </w:t>
      </w:r>
      <w:proofErr w:type="spellStart"/>
      <w:r w:rsidRPr="00404AC7">
        <w:rPr>
          <w:rFonts w:ascii="Times New Roman" w:eastAsia="Times New Roman" w:hAnsi="Times New Roman" w:cs="Times New Roman"/>
          <w:sz w:val="24"/>
          <w:szCs w:val="24"/>
          <w:lang w:val="en-US"/>
        </w:rPr>
        <w:t>Berthet</w:t>
      </w:r>
      <w:proofErr w:type="spellEnd"/>
      <w:r w:rsidRPr="00404AC7">
        <w:rPr>
          <w:rFonts w:ascii="Times New Roman" w:eastAsia="Times New Roman" w:hAnsi="Times New Roman" w:cs="Times New Roman"/>
          <w:sz w:val="24"/>
          <w:szCs w:val="24"/>
          <w:lang w:val="en-US"/>
        </w:rPr>
        <w:t xml:space="preserve">, Q., Wenger, A. M., Rowell, W. J., </w:t>
      </w:r>
      <w:proofErr w:type="spellStart"/>
      <w:r w:rsidRPr="00404AC7">
        <w:rPr>
          <w:rFonts w:ascii="Times New Roman" w:eastAsia="Times New Roman" w:hAnsi="Times New Roman" w:cs="Times New Roman"/>
          <w:sz w:val="24"/>
          <w:szCs w:val="24"/>
          <w:lang w:val="en-US"/>
        </w:rPr>
        <w:t>Nattestad</w:t>
      </w:r>
      <w:proofErr w:type="spellEnd"/>
      <w:r w:rsidRPr="00404AC7">
        <w:rPr>
          <w:rFonts w:ascii="Times New Roman" w:eastAsia="Times New Roman" w:hAnsi="Times New Roman" w:cs="Times New Roman"/>
          <w:sz w:val="24"/>
          <w:szCs w:val="24"/>
          <w:lang w:val="en-US"/>
        </w:rPr>
        <w:t xml:space="preserve">, M., Yang, C. H., Kolesnikov, A., Ammar, W., Vert, J. P., Vaswani, A., McLean, C. Y., Chang, P. C., &amp; Carroll, A. (2023). </w:t>
      </w:r>
      <w:proofErr w:type="spellStart"/>
      <w:r w:rsidRPr="00404AC7">
        <w:rPr>
          <w:rFonts w:ascii="Times New Roman" w:eastAsia="Times New Roman" w:hAnsi="Times New Roman" w:cs="Times New Roman"/>
          <w:sz w:val="24"/>
          <w:szCs w:val="24"/>
          <w:lang w:val="en-US"/>
        </w:rPr>
        <w:t>DeepConsensus</w:t>
      </w:r>
      <w:proofErr w:type="spellEnd"/>
      <w:r w:rsidRPr="00404AC7">
        <w:rPr>
          <w:rFonts w:ascii="Times New Roman" w:eastAsia="Times New Roman" w:hAnsi="Times New Roman" w:cs="Times New Roman"/>
          <w:sz w:val="24"/>
          <w:szCs w:val="24"/>
          <w:lang w:val="en-US"/>
        </w:rPr>
        <w:t xml:space="preserve"> improves the accuracy of sequences with a gap-aware sequence transformer. </w:t>
      </w:r>
      <w:r w:rsidRPr="00404AC7">
        <w:rPr>
          <w:rFonts w:ascii="Times New Roman" w:eastAsia="Times New Roman" w:hAnsi="Times New Roman" w:cs="Times New Roman"/>
          <w:i/>
          <w:iCs/>
          <w:sz w:val="24"/>
          <w:szCs w:val="24"/>
          <w:lang w:val="en-US"/>
        </w:rPr>
        <w:t>Nature Biotechnology, 41</w:t>
      </w:r>
      <w:r w:rsidRPr="00404AC7">
        <w:rPr>
          <w:rFonts w:ascii="Times New Roman" w:eastAsia="Times New Roman" w:hAnsi="Times New Roman" w:cs="Times New Roman"/>
          <w:sz w:val="24"/>
          <w:szCs w:val="24"/>
          <w:lang w:val="en-US"/>
        </w:rPr>
        <w:t xml:space="preserve">(2), 232–238. </w:t>
      </w:r>
      <w:hyperlink r:id="rId12" w:history="1">
        <w:r w:rsidR="00B73CBF" w:rsidRPr="00021F58">
          <w:rPr>
            <w:rStyle w:val="Hyperlink"/>
            <w:rFonts w:ascii="Times New Roman" w:eastAsia="Times New Roman" w:hAnsi="Times New Roman" w:cs="Times New Roman"/>
            <w:sz w:val="24"/>
            <w:szCs w:val="24"/>
            <w:lang w:val="en-US"/>
          </w:rPr>
          <w:t>https://doi.org/10.1038/s41587-022-01435-7</w:t>
        </w:r>
      </w:hyperlink>
      <w:r w:rsidR="00B73CBF">
        <w:rPr>
          <w:rFonts w:ascii="Times New Roman" w:eastAsia="Times New Roman" w:hAnsi="Times New Roman" w:cs="Times New Roman"/>
          <w:sz w:val="24"/>
          <w:szCs w:val="24"/>
          <w:lang w:val="en-US"/>
        </w:rPr>
        <w:t xml:space="preserve"> </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Cheng, J., </w:t>
      </w:r>
      <w:proofErr w:type="spellStart"/>
      <w:r w:rsidRPr="00404AC7">
        <w:rPr>
          <w:rFonts w:ascii="Times New Roman" w:eastAsia="Times New Roman" w:hAnsi="Times New Roman" w:cs="Times New Roman"/>
          <w:sz w:val="24"/>
          <w:szCs w:val="24"/>
          <w:lang w:val="en-US"/>
        </w:rPr>
        <w:t>Novati</w:t>
      </w:r>
      <w:proofErr w:type="spellEnd"/>
      <w:r w:rsidRPr="00404AC7">
        <w:rPr>
          <w:rFonts w:ascii="Times New Roman" w:eastAsia="Times New Roman" w:hAnsi="Times New Roman" w:cs="Times New Roman"/>
          <w:sz w:val="24"/>
          <w:szCs w:val="24"/>
          <w:lang w:val="en-US"/>
        </w:rPr>
        <w:t xml:space="preserve">, G., Pan, J., </w:t>
      </w:r>
      <w:proofErr w:type="spellStart"/>
      <w:r w:rsidRPr="00404AC7">
        <w:rPr>
          <w:rFonts w:ascii="Times New Roman" w:eastAsia="Times New Roman" w:hAnsi="Times New Roman" w:cs="Times New Roman"/>
          <w:sz w:val="24"/>
          <w:szCs w:val="24"/>
          <w:lang w:val="en-US"/>
        </w:rPr>
        <w:t>Bycroft</w:t>
      </w:r>
      <w:proofErr w:type="spellEnd"/>
      <w:r w:rsidRPr="00404AC7">
        <w:rPr>
          <w:rFonts w:ascii="Times New Roman" w:eastAsia="Times New Roman" w:hAnsi="Times New Roman" w:cs="Times New Roman"/>
          <w:sz w:val="24"/>
          <w:szCs w:val="24"/>
          <w:lang w:val="en-US"/>
        </w:rPr>
        <w:t xml:space="preserve">, C., </w:t>
      </w:r>
      <w:proofErr w:type="spellStart"/>
      <w:r w:rsidRPr="00404AC7">
        <w:rPr>
          <w:rFonts w:ascii="Times New Roman" w:eastAsia="Times New Roman" w:hAnsi="Times New Roman" w:cs="Times New Roman"/>
          <w:sz w:val="24"/>
          <w:szCs w:val="24"/>
          <w:lang w:val="en-US"/>
        </w:rPr>
        <w:t>Žemgulytė</w:t>
      </w:r>
      <w:proofErr w:type="spellEnd"/>
      <w:r w:rsidRPr="00404AC7">
        <w:rPr>
          <w:rFonts w:ascii="Times New Roman" w:eastAsia="Times New Roman" w:hAnsi="Times New Roman" w:cs="Times New Roman"/>
          <w:sz w:val="24"/>
          <w:szCs w:val="24"/>
          <w:lang w:val="en-US"/>
        </w:rPr>
        <w:t xml:space="preserve">, A., Applebaum, T., </w:t>
      </w:r>
      <w:proofErr w:type="spellStart"/>
      <w:r w:rsidRPr="00404AC7">
        <w:rPr>
          <w:rFonts w:ascii="Times New Roman" w:eastAsia="Times New Roman" w:hAnsi="Times New Roman" w:cs="Times New Roman"/>
          <w:sz w:val="24"/>
          <w:szCs w:val="24"/>
          <w:lang w:val="en-US"/>
        </w:rPr>
        <w:t>Pritzel</w:t>
      </w:r>
      <w:proofErr w:type="spellEnd"/>
      <w:r w:rsidRPr="00404AC7">
        <w:rPr>
          <w:rFonts w:ascii="Times New Roman" w:eastAsia="Times New Roman" w:hAnsi="Times New Roman" w:cs="Times New Roman"/>
          <w:sz w:val="24"/>
          <w:szCs w:val="24"/>
          <w:lang w:val="en-US"/>
        </w:rPr>
        <w:t xml:space="preserve">, A., Wong, E., Zielinski, M., </w:t>
      </w:r>
      <w:proofErr w:type="spellStart"/>
      <w:r w:rsidRPr="00404AC7">
        <w:rPr>
          <w:rFonts w:ascii="Times New Roman" w:eastAsia="Times New Roman" w:hAnsi="Times New Roman" w:cs="Times New Roman"/>
          <w:sz w:val="24"/>
          <w:szCs w:val="24"/>
          <w:lang w:val="en-US"/>
        </w:rPr>
        <w:t>Sargeant</w:t>
      </w:r>
      <w:proofErr w:type="spellEnd"/>
      <w:r w:rsidRPr="00404AC7">
        <w:rPr>
          <w:rFonts w:ascii="Times New Roman" w:eastAsia="Times New Roman" w:hAnsi="Times New Roman" w:cs="Times New Roman"/>
          <w:sz w:val="24"/>
          <w:szCs w:val="24"/>
          <w:lang w:val="en-US"/>
        </w:rPr>
        <w:t xml:space="preserve">, T., Schneider, R., Senior, A. W., Jumper, J., Hassabis, D., Kohli, P., &amp; </w:t>
      </w:r>
      <w:proofErr w:type="spellStart"/>
      <w:r w:rsidRPr="00404AC7">
        <w:rPr>
          <w:rFonts w:ascii="Times New Roman" w:eastAsia="Times New Roman" w:hAnsi="Times New Roman" w:cs="Times New Roman"/>
          <w:sz w:val="24"/>
          <w:szCs w:val="24"/>
          <w:lang w:val="en-US"/>
        </w:rPr>
        <w:t>Avsec</w:t>
      </w:r>
      <w:proofErr w:type="spellEnd"/>
      <w:r w:rsidRPr="00404AC7">
        <w:rPr>
          <w:rFonts w:ascii="Times New Roman" w:eastAsia="Times New Roman" w:hAnsi="Times New Roman" w:cs="Times New Roman"/>
          <w:sz w:val="24"/>
          <w:szCs w:val="24"/>
          <w:lang w:val="en-US"/>
        </w:rPr>
        <w:t xml:space="preserve">, Ž. (2023). Accurate proteome-wide missense variant effect prediction with </w:t>
      </w:r>
      <w:proofErr w:type="spellStart"/>
      <w:r w:rsidRPr="00404AC7">
        <w:rPr>
          <w:rFonts w:ascii="Times New Roman" w:eastAsia="Times New Roman" w:hAnsi="Times New Roman" w:cs="Times New Roman"/>
          <w:sz w:val="24"/>
          <w:szCs w:val="24"/>
          <w:lang w:val="en-US"/>
        </w:rPr>
        <w:t>AlphaMissense</w:t>
      </w:r>
      <w:proofErr w:type="spellEnd"/>
      <w:r w:rsidRPr="00404AC7">
        <w:rPr>
          <w:rFonts w:ascii="Times New Roman" w:eastAsia="Times New Roman" w:hAnsi="Times New Roman" w:cs="Times New Roman"/>
          <w:sz w:val="24"/>
          <w:szCs w:val="24"/>
          <w:lang w:val="en-US"/>
        </w:rPr>
        <w:t xml:space="preserve">. </w:t>
      </w:r>
      <w:r w:rsidRPr="00404AC7">
        <w:rPr>
          <w:rFonts w:ascii="Times New Roman" w:eastAsia="Times New Roman" w:hAnsi="Times New Roman" w:cs="Times New Roman"/>
          <w:i/>
          <w:iCs/>
          <w:sz w:val="24"/>
          <w:szCs w:val="24"/>
          <w:lang w:val="en-US"/>
        </w:rPr>
        <w:t>Science, 381</w:t>
      </w:r>
      <w:r w:rsidRPr="00404AC7">
        <w:rPr>
          <w:rFonts w:ascii="Times New Roman" w:eastAsia="Times New Roman" w:hAnsi="Times New Roman" w:cs="Times New Roman"/>
          <w:sz w:val="24"/>
          <w:szCs w:val="24"/>
          <w:lang w:val="en-US"/>
        </w:rPr>
        <w:t xml:space="preserve">(6664), eadg7492. </w:t>
      </w:r>
      <w:hyperlink r:id="rId13" w:tgtFrame="_new" w:history="1">
        <w:r w:rsidRPr="00404AC7">
          <w:rPr>
            <w:rFonts w:ascii="Times New Roman" w:eastAsia="Times New Roman" w:hAnsi="Times New Roman" w:cs="Times New Roman"/>
            <w:color w:val="0000FF"/>
            <w:sz w:val="24"/>
            <w:szCs w:val="24"/>
            <w:u w:val="single"/>
            <w:lang w:val="en-US"/>
          </w:rPr>
          <w:t>https://doi.org/10.1126/science.adg7492</w:t>
        </w:r>
      </w:hyperlink>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Chuai</w:t>
      </w:r>
      <w:proofErr w:type="spellEnd"/>
      <w:r w:rsidRPr="00404AC7">
        <w:rPr>
          <w:rFonts w:ascii="Times New Roman" w:eastAsia="Times New Roman" w:hAnsi="Times New Roman" w:cs="Times New Roman"/>
          <w:sz w:val="24"/>
          <w:szCs w:val="24"/>
          <w:lang w:val="en-US"/>
        </w:rPr>
        <w:t xml:space="preserve">, G., Ma, H., Yan, J., Chen, M., Hong, N., </w:t>
      </w:r>
      <w:proofErr w:type="spellStart"/>
      <w:r w:rsidRPr="00404AC7">
        <w:rPr>
          <w:rFonts w:ascii="Times New Roman" w:eastAsia="Times New Roman" w:hAnsi="Times New Roman" w:cs="Times New Roman"/>
          <w:sz w:val="24"/>
          <w:szCs w:val="24"/>
          <w:lang w:val="en-US"/>
        </w:rPr>
        <w:t>Xue</w:t>
      </w:r>
      <w:proofErr w:type="spellEnd"/>
      <w:r w:rsidRPr="00404AC7">
        <w:rPr>
          <w:rFonts w:ascii="Times New Roman" w:eastAsia="Times New Roman" w:hAnsi="Times New Roman" w:cs="Times New Roman"/>
          <w:sz w:val="24"/>
          <w:szCs w:val="24"/>
          <w:lang w:val="en-US"/>
        </w:rPr>
        <w:t xml:space="preserve">, D., Zhou, C., Zhu, C., Chen, K., </w:t>
      </w:r>
      <w:proofErr w:type="spellStart"/>
      <w:r w:rsidRPr="00404AC7">
        <w:rPr>
          <w:rFonts w:ascii="Times New Roman" w:eastAsia="Times New Roman" w:hAnsi="Times New Roman" w:cs="Times New Roman"/>
          <w:sz w:val="24"/>
          <w:szCs w:val="24"/>
          <w:lang w:val="en-US"/>
        </w:rPr>
        <w:t>Duan</w:t>
      </w:r>
      <w:proofErr w:type="spellEnd"/>
      <w:r w:rsidRPr="00404AC7">
        <w:rPr>
          <w:rFonts w:ascii="Times New Roman" w:eastAsia="Times New Roman" w:hAnsi="Times New Roman" w:cs="Times New Roman"/>
          <w:sz w:val="24"/>
          <w:szCs w:val="24"/>
          <w:lang w:val="en-US"/>
        </w:rPr>
        <w:t xml:space="preserve">, B., Gu, F., Qu, S., Huang, D., Wei, J., &amp; Liu, Q. (2018). </w:t>
      </w:r>
      <w:proofErr w:type="spellStart"/>
      <w:r w:rsidRPr="00404AC7">
        <w:rPr>
          <w:rFonts w:ascii="Times New Roman" w:eastAsia="Times New Roman" w:hAnsi="Times New Roman" w:cs="Times New Roman"/>
          <w:sz w:val="24"/>
          <w:szCs w:val="24"/>
          <w:lang w:val="en-US"/>
        </w:rPr>
        <w:t>DeepCRISPR</w:t>
      </w:r>
      <w:proofErr w:type="spellEnd"/>
      <w:r w:rsidRPr="00404AC7">
        <w:rPr>
          <w:rFonts w:ascii="Times New Roman" w:eastAsia="Times New Roman" w:hAnsi="Times New Roman" w:cs="Times New Roman"/>
          <w:sz w:val="24"/>
          <w:szCs w:val="24"/>
          <w:lang w:val="en-US"/>
        </w:rPr>
        <w:t xml:space="preserve">: Optimized CRISPR guide RNA design by deep learning. </w:t>
      </w:r>
      <w:r w:rsidRPr="00404AC7">
        <w:rPr>
          <w:rFonts w:ascii="Times New Roman" w:eastAsia="Times New Roman" w:hAnsi="Times New Roman" w:cs="Times New Roman"/>
          <w:i/>
          <w:iCs/>
          <w:sz w:val="24"/>
          <w:szCs w:val="24"/>
          <w:lang w:val="en-US"/>
        </w:rPr>
        <w:t>Genome Biology, 19</w:t>
      </w:r>
      <w:r w:rsidRPr="00404AC7">
        <w:rPr>
          <w:rFonts w:ascii="Times New Roman" w:eastAsia="Times New Roman" w:hAnsi="Times New Roman" w:cs="Times New Roman"/>
          <w:sz w:val="24"/>
          <w:szCs w:val="24"/>
          <w:lang w:val="en-US"/>
        </w:rPr>
        <w:t>, Article 80. https://doi.org/10.1186/s13059-018-1459-4</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Dalla-Torre, H., Gonzalez, L., Mendoza-Revilla, J., Lopez Carranza, N., </w:t>
      </w:r>
      <w:proofErr w:type="spellStart"/>
      <w:r w:rsidRPr="00404AC7">
        <w:rPr>
          <w:rFonts w:ascii="Times New Roman" w:eastAsia="Times New Roman" w:hAnsi="Times New Roman" w:cs="Times New Roman"/>
          <w:sz w:val="24"/>
          <w:szCs w:val="24"/>
          <w:lang w:val="en-US"/>
        </w:rPr>
        <w:t>Grzywaczewski</w:t>
      </w:r>
      <w:proofErr w:type="spellEnd"/>
      <w:r w:rsidRPr="00404AC7">
        <w:rPr>
          <w:rFonts w:ascii="Times New Roman" w:eastAsia="Times New Roman" w:hAnsi="Times New Roman" w:cs="Times New Roman"/>
          <w:sz w:val="24"/>
          <w:szCs w:val="24"/>
          <w:lang w:val="en-US"/>
        </w:rPr>
        <w:t xml:space="preserve">, A. H., Oteri, F., </w:t>
      </w:r>
      <w:proofErr w:type="spellStart"/>
      <w:r w:rsidRPr="00404AC7">
        <w:rPr>
          <w:rFonts w:ascii="Times New Roman" w:eastAsia="Times New Roman" w:hAnsi="Times New Roman" w:cs="Times New Roman"/>
          <w:sz w:val="24"/>
          <w:szCs w:val="24"/>
          <w:lang w:val="en-US"/>
        </w:rPr>
        <w:t>Dallago</w:t>
      </w:r>
      <w:proofErr w:type="spellEnd"/>
      <w:r w:rsidRPr="00404AC7">
        <w:rPr>
          <w:rFonts w:ascii="Times New Roman" w:eastAsia="Times New Roman" w:hAnsi="Times New Roman" w:cs="Times New Roman"/>
          <w:sz w:val="24"/>
          <w:szCs w:val="24"/>
          <w:lang w:val="en-US"/>
        </w:rPr>
        <w:t xml:space="preserve">, C., Trop, E., de Almeida, B. P., </w:t>
      </w:r>
      <w:proofErr w:type="spellStart"/>
      <w:r w:rsidRPr="00404AC7">
        <w:rPr>
          <w:rFonts w:ascii="Times New Roman" w:eastAsia="Times New Roman" w:hAnsi="Times New Roman" w:cs="Times New Roman"/>
          <w:sz w:val="24"/>
          <w:szCs w:val="24"/>
          <w:lang w:val="en-US"/>
        </w:rPr>
        <w:t>Sirelkhatim</w:t>
      </w:r>
      <w:proofErr w:type="spellEnd"/>
      <w:r w:rsidRPr="00404AC7">
        <w:rPr>
          <w:rFonts w:ascii="Times New Roman" w:eastAsia="Times New Roman" w:hAnsi="Times New Roman" w:cs="Times New Roman"/>
          <w:sz w:val="24"/>
          <w:szCs w:val="24"/>
          <w:lang w:val="en-US"/>
        </w:rPr>
        <w:t xml:space="preserve">, H., Richard, G., </w:t>
      </w:r>
      <w:proofErr w:type="spellStart"/>
      <w:r w:rsidRPr="00404AC7">
        <w:rPr>
          <w:rFonts w:ascii="Times New Roman" w:eastAsia="Times New Roman" w:hAnsi="Times New Roman" w:cs="Times New Roman"/>
          <w:sz w:val="24"/>
          <w:szCs w:val="24"/>
          <w:lang w:val="en-US"/>
        </w:rPr>
        <w:t>Skwark</w:t>
      </w:r>
      <w:proofErr w:type="spellEnd"/>
      <w:r w:rsidRPr="00404AC7">
        <w:rPr>
          <w:rFonts w:ascii="Times New Roman" w:eastAsia="Times New Roman" w:hAnsi="Times New Roman" w:cs="Times New Roman"/>
          <w:sz w:val="24"/>
          <w:szCs w:val="24"/>
          <w:lang w:val="en-US"/>
        </w:rPr>
        <w:t xml:space="preserve">, M., </w:t>
      </w:r>
      <w:proofErr w:type="spellStart"/>
      <w:r w:rsidRPr="00404AC7">
        <w:rPr>
          <w:rFonts w:ascii="Times New Roman" w:eastAsia="Times New Roman" w:hAnsi="Times New Roman" w:cs="Times New Roman"/>
          <w:sz w:val="24"/>
          <w:szCs w:val="24"/>
          <w:lang w:val="en-US"/>
        </w:rPr>
        <w:t>Beguir</w:t>
      </w:r>
      <w:proofErr w:type="spellEnd"/>
      <w:r w:rsidRPr="00404AC7">
        <w:rPr>
          <w:rFonts w:ascii="Times New Roman" w:eastAsia="Times New Roman" w:hAnsi="Times New Roman" w:cs="Times New Roman"/>
          <w:sz w:val="24"/>
          <w:szCs w:val="24"/>
          <w:lang w:val="en-US"/>
        </w:rPr>
        <w:t xml:space="preserve">, K., Lopez, M., &amp; Pierrot, T. (2025). Nucleotide Transformer: Building and evaluating robust foundation models for human genomics. </w:t>
      </w:r>
      <w:r w:rsidRPr="00404AC7">
        <w:rPr>
          <w:rFonts w:ascii="Times New Roman" w:eastAsia="Times New Roman" w:hAnsi="Times New Roman" w:cs="Times New Roman"/>
          <w:i/>
          <w:iCs/>
          <w:sz w:val="24"/>
          <w:szCs w:val="24"/>
          <w:lang w:val="en-US"/>
        </w:rPr>
        <w:t>Nature Methods, 22</w:t>
      </w:r>
      <w:r w:rsidRPr="00404AC7">
        <w:rPr>
          <w:rFonts w:ascii="Times New Roman" w:eastAsia="Times New Roman" w:hAnsi="Times New Roman" w:cs="Times New Roman"/>
          <w:sz w:val="24"/>
          <w:szCs w:val="24"/>
          <w:lang w:val="en-US"/>
        </w:rPr>
        <w:t xml:space="preserve">(2), 287–297. </w:t>
      </w:r>
      <w:hyperlink r:id="rId14" w:tgtFrame="_new" w:history="1">
        <w:r w:rsidRPr="00404AC7">
          <w:rPr>
            <w:rFonts w:ascii="Times New Roman" w:eastAsia="Times New Roman" w:hAnsi="Times New Roman" w:cs="Times New Roman"/>
            <w:color w:val="0000FF"/>
            <w:sz w:val="24"/>
            <w:szCs w:val="24"/>
            <w:u w:val="single"/>
            <w:lang w:val="en-US"/>
          </w:rPr>
          <w:t>https://doi.org/10.1038/s41592-024-02523-z</w:t>
        </w:r>
      </w:hyperlink>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Dias, R., &amp; </w:t>
      </w:r>
      <w:proofErr w:type="spellStart"/>
      <w:r w:rsidRPr="00404AC7">
        <w:rPr>
          <w:rFonts w:ascii="Times New Roman" w:eastAsia="Times New Roman" w:hAnsi="Times New Roman" w:cs="Times New Roman"/>
          <w:sz w:val="24"/>
          <w:szCs w:val="24"/>
          <w:lang w:val="en-US"/>
        </w:rPr>
        <w:t>Torkamani</w:t>
      </w:r>
      <w:proofErr w:type="spellEnd"/>
      <w:r w:rsidRPr="00404AC7">
        <w:rPr>
          <w:rFonts w:ascii="Times New Roman" w:eastAsia="Times New Roman" w:hAnsi="Times New Roman" w:cs="Times New Roman"/>
          <w:sz w:val="24"/>
          <w:szCs w:val="24"/>
          <w:lang w:val="en-US"/>
        </w:rPr>
        <w:t xml:space="preserve">, A. (2019). Artificial intelligence in clinical and genomic diagnostics. </w:t>
      </w:r>
      <w:r w:rsidRPr="00404AC7">
        <w:rPr>
          <w:rFonts w:ascii="Times New Roman" w:eastAsia="Times New Roman" w:hAnsi="Times New Roman" w:cs="Times New Roman"/>
          <w:i/>
          <w:iCs/>
          <w:sz w:val="24"/>
          <w:szCs w:val="24"/>
          <w:lang w:val="en-US"/>
        </w:rPr>
        <w:t>Genome Medicine, 11</w:t>
      </w:r>
      <w:r w:rsidRPr="00404AC7">
        <w:rPr>
          <w:rFonts w:ascii="Times New Roman" w:eastAsia="Times New Roman" w:hAnsi="Times New Roman" w:cs="Times New Roman"/>
          <w:sz w:val="24"/>
          <w:szCs w:val="24"/>
          <w:lang w:val="en-US"/>
        </w:rPr>
        <w:t xml:space="preserve">, Article 70. </w:t>
      </w:r>
      <w:hyperlink r:id="rId15" w:tgtFrame="_new" w:history="1">
        <w:r w:rsidRPr="00404AC7">
          <w:rPr>
            <w:rFonts w:ascii="Times New Roman" w:eastAsia="Times New Roman" w:hAnsi="Times New Roman" w:cs="Times New Roman"/>
            <w:color w:val="0000FF"/>
            <w:sz w:val="24"/>
            <w:szCs w:val="24"/>
            <w:u w:val="single"/>
            <w:lang w:val="en-US"/>
          </w:rPr>
          <w:t>https://doi.org/10.1186/s13073-019-0689-8</w:t>
        </w:r>
      </w:hyperlink>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Doench</w:t>
      </w:r>
      <w:proofErr w:type="spellEnd"/>
      <w:r w:rsidRPr="00404AC7">
        <w:rPr>
          <w:rFonts w:ascii="Times New Roman" w:eastAsia="Times New Roman" w:hAnsi="Times New Roman" w:cs="Times New Roman"/>
          <w:sz w:val="24"/>
          <w:szCs w:val="24"/>
          <w:lang w:val="en-US"/>
        </w:rPr>
        <w:t xml:space="preserve">, J. G., </w:t>
      </w:r>
      <w:proofErr w:type="spellStart"/>
      <w:r w:rsidRPr="00404AC7">
        <w:rPr>
          <w:rFonts w:ascii="Times New Roman" w:eastAsia="Times New Roman" w:hAnsi="Times New Roman" w:cs="Times New Roman"/>
          <w:sz w:val="24"/>
          <w:szCs w:val="24"/>
          <w:lang w:val="en-US"/>
        </w:rPr>
        <w:t>Fusi</w:t>
      </w:r>
      <w:proofErr w:type="spellEnd"/>
      <w:r w:rsidRPr="00404AC7">
        <w:rPr>
          <w:rFonts w:ascii="Times New Roman" w:eastAsia="Times New Roman" w:hAnsi="Times New Roman" w:cs="Times New Roman"/>
          <w:sz w:val="24"/>
          <w:szCs w:val="24"/>
          <w:lang w:val="en-US"/>
        </w:rPr>
        <w:t xml:space="preserve">, N., </w:t>
      </w:r>
      <w:proofErr w:type="spellStart"/>
      <w:r w:rsidRPr="00404AC7">
        <w:rPr>
          <w:rFonts w:ascii="Times New Roman" w:eastAsia="Times New Roman" w:hAnsi="Times New Roman" w:cs="Times New Roman"/>
          <w:sz w:val="24"/>
          <w:szCs w:val="24"/>
          <w:lang w:val="en-US"/>
        </w:rPr>
        <w:t>Sullender</w:t>
      </w:r>
      <w:proofErr w:type="spellEnd"/>
      <w:r w:rsidRPr="00404AC7">
        <w:rPr>
          <w:rFonts w:ascii="Times New Roman" w:eastAsia="Times New Roman" w:hAnsi="Times New Roman" w:cs="Times New Roman"/>
          <w:sz w:val="24"/>
          <w:szCs w:val="24"/>
          <w:lang w:val="en-US"/>
        </w:rPr>
        <w:t xml:space="preserve">, M., Hegde, M., </w:t>
      </w:r>
      <w:proofErr w:type="spellStart"/>
      <w:r w:rsidRPr="00404AC7">
        <w:rPr>
          <w:rFonts w:ascii="Times New Roman" w:eastAsia="Times New Roman" w:hAnsi="Times New Roman" w:cs="Times New Roman"/>
          <w:sz w:val="24"/>
          <w:szCs w:val="24"/>
          <w:lang w:val="en-US"/>
        </w:rPr>
        <w:t>Vaimberg</w:t>
      </w:r>
      <w:proofErr w:type="spellEnd"/>
      <w:r w:rsidRPr="00404AC7">
        <w:rPr>
          <w:rFonts w:ascii="Times New Roman" w:eastAsia="Times New Roman" w:hAnsi="Times New Roman" w:cs="Times New Roman"/>
          <w:sz w:val="24"/>
          <w:szCs w:val="24"/>
          <w:lang w:val="en-US"/>
        </w:rPr>
        <w:t xml:space="preserve">, E. W., Donovan, K. F., Smith, I., </w:t>
      </w:r>
      <w:proofErr w:type="spellStart"/>
      <w:r w:rsidRPr="00404AC7">
        <w:rPr>
          <w:rFonts w:ascii="Times New Roman" w:eastAsia="Times New Roman" w:hAnsi="Times New Roman" w:cs="Times New Roman"/>
          <w:sz w:val="24"/>
          <w:szCs w:val="24"/>
          <w:lang w:val="en-US"/>
        </w:rPr>
        <w:t>Tothova</w:t>
      </w:r>
      <w:proofErr w:type="spellEnd"/>
      <w:r w:rsidRPr="00404AC7">
        <w:rPr>
          <w:rFonts w:ascii="Times New Roman" w:eastAsia="Times New Roman" w:hAnsi="Times New Roman" w:cs="Times New Roman"/>
          <w:sz w:val="24"/>
          <w:szCs w:val="24"/>
          <w:lang w:val="en-US"/>
        </w:rPr>
        <w:t xml:space="preserve">, Z., Wilen, C., Orchard, R., Virgin, H. W., </w:t>
      </w:r>
      <w:proofErr w:type="spellStart"/>
      <w:r w:rsidRPr="00404AC7">
        <w:rPr>
          <w:rFonts w:ascii="Times New Roman" w:eastAsia="Times New Roman" w:hAnsi="Times New Roman" w:cs="Times New Roman"/>
          <w:sz w:val="24"/>
          <w:szCs w:val="24"/>
          <w:lang w:val="en-US"/>
        </w:rPr>
        <w:t>Listgarten</w:t>
      </w:r>
      <w:proofErr w:type="spellEnd"/>
      <w:r w:rsidRPr="00404AC7">
        <w:rPr>
          <w:rFonts w:ascii="Times New Roman" w:eastAsia="Times New Roman" w:hAnsi="Times New Roman" w:cs="Times New Roman"/>
          <w:sz w:val="24"/>
          <w:szCs w:val="24"/>
          <w:lang w:val="en-US"/>
        </w:rPr>
        <w:t xml:space="preserve">, J., &amp; Root, D. E. (2016). Optimized sgRNA design to maximize activity and minimize off-target effects of CRISPR-Cas9. </w:t>
      </w:r>
      <w:r w:rsidRPr="00404AC7">
        <w:rPr>
          <w:rFonts w:ascii="Times New Roman" w:eastAsia="Times New Roman" w:hAnsi="Times New Roman" w:cs="Times New Roman"/>
          <w:i/>
          <w:iCs/>
          <w:sz w:val="24"/>
          <w:szCs w:val="24"/>
          <w:lang w:val="en-US"/>
        </w:rPr>
        <w:t>Nature Biotechnology, 34</w:t>
      </w:r>
      <w:r w:rsidRPr="00404AC7">
        <w:rPr>
          <w:rFonts w:ascii="Times New Roman" w:eastAsia="Times New Roman" w:hAnsi="Times New Roman" w:cs="Times New Roman"/>
          <w:sz w:val="24"/>
          <w:szCs w:val="24"/>
          <w:lang w:val="en-US"/>
        </w:rPr>
        <w:t xml:space="preserve">(2), 184–191. </w:t>
      </w:r>
      <w:hyperlink r:id="rId16" w:tgtFrame="_new" w:history="1">
        <w:r w:rsidRPr="00404AC7">
          <w:rPr>
            <w:rFonts w:ascii="Times New Roman" w:eastAsia="Times New Roman" w:hAnsi="Times New Roman" w:cs="Times New Roman"/>
            <w:color w:val="0000FF"/>
            <w:sz w:val="24"/>
            <w:szCs w:val="24"/>
            <w:u w:val="single"/>
            <w:lang w:val="en-US"/>
          </w:rPr>
          <w:t>https://doi.org/10.1038/nbt.3437</w:t>
        </w:r>
      </w:hyperlink>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ENCODE Project Consortium. (2012). An integrated encyclopedia of DNA elements in the human genome. </w:t>
      </w:r>
      <w:r w:rsidRPr="00404AC7">
        <w:rPr>
          <w:rFonts w:ascii="Times New Roman" w:eastAsia="Times New Roman" w:hAnsi="Times New Roman" w:cs="Times New Roman"/>
          <w:i/>
          <w:iCs/>
          <w:sz w:val="24"/>
          <w:szCs w:val="24"/>
          <w:lang w:val="en-US"/>
        </w:rPr>
        <w:t>Nature, 489</w:t>
      </w:r>
      <w:r w:rsidRPr="00404AC7">
        <w:rPr>
          <w:rFonts w:ascii="Times New Roman" w:eastAsia="Times New Roman" w:hAnsi="Times New Roman" w:cs="Times New Roman"/>
          <w:sz w:val="24"/>
          <w:szCs w:val="24"/>
          <w:lang w:val="en-US"/>
        </w:rPr>
        <w:t xml:space="preserve">(7414), 57–74. </w:t>
      </w:r>
      <w:hyperlink r:id="rId17" w:tgtFrame="_new" w:history="1">
        <w:r w:rsidRPr="00404AC7">
          <w:rPr>
            <w:rFonts w:ascii="Times New Roman" w:eastAsia="Times New Roman" w:hAnsi="Times New Roman" w:cs="Times New Roman"/>
            <w:color w:val="0000FF"/>
            <w:sz w:val="24"/>
            <w:szCs w:val="24"/>
            <w:u w:val="single"/>
            <w:lang w:val="en-US"/>
          </w:rPr>
          <w:t>https://doi.org/10.1038/nature11247</w:t>
        </w:r>
      </w:hyperlink>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Eraslan</w:t>
      </w:r>
      <w:proofErr w:type="spellEnd"/>
      <w:r w:rsidRPr="00404AC7">
        <w:rPr>
          <w:rFonts w:ascii="Times New Roman" w:eastAsia="Times New Roman" w:hAnsi="Times New Roman" w:cs="Times New Roman"/>
          <w:sz w:val="24"/>
          <w:szCs w:val="24"/>
          <w:lang w:val="en-US"/>
        </w:rPr>
        <w:t xml:space="preserve">, G., </w:t>
      </w:r>
      <w:proofErr w:type="spellStart"/>
      <w:r w:rsidRPr="00404AC7">
        <w:rPr>
          <w:rFonts w:ascii="Times New Roman" w:eastAsia="Times New Roman" w:hAnsi="Times New Roman" w:cs="Times New Roman"/>
          <w:sz w:val="24"/>
          <w:szCs w:val="24"/>
          <w:lang w:val="en-US"/>
        </w:rPr>
        <w:t>Avsec</w:t>
      </w:r>
      <w:proofErr w:type="spellEnd"/>
      <w:r w:rsidRPr="00404AC7">
        <w:rPr>
          <w:rFonts w:ascii="Times New Roman" w:eastAsia="Times New Roman" w:hAnsi="Times New Roman" w:cs="Times New Roman"/>
          <w:sz w:val="24"/>
          <w:szCs w:val="24"/>
          <w:lang w:val="en-US"/>
        </w:rPr>
        <w:t xml:space="preserve">, Ž., </w:t>
      </w:r>
      <w:proofErr w:type="spellStart"/>
      <w:r w:rsidRPr="00404AC7">
        <w:rPr>
          <w:rFonts w:ascii="Times New Roman" w:eastAsia="Times New Roman" w:hAnsi="Times New Roman" w:cs="Times New Roman"/>
          <w:sz w:val="24"/>
          <w:szCs w:val="24"/>
          <w:lang w:val="en-US"/>
        </w:rPr>
        <w:t>Gagneur</w:t>
      </w:r>
      <w:proofErr w:type="spellEnd"/>
      <w:r w:rsidRPr="00404AC7">
        <w:rPr>
          <w:rFonts w:ascii="Times New Roman" w:eastAsia="Times New Roman" w:hAnsi="Times New Roman" w:cs="Times New Roman"/>
          <w:sz w:val="24"/>
          <w:szCs w:val="24"/>
          <w:lang w:val="en-US"/>
        </w:rPr>
        <w:t xml:space="preserve">, J., &amp; </w:t>
      </w:r>
      <w:proofErr w:type="spellStart"/>
      <w:r w:rsidRPr="00404AC7">
        <w:rPr>
          <w:rFonts w:ascii="Times New Roman" w:eastAsia="Times New Roman" w:hAnsi="Times New Roman" w:cs="Times New Roman"/>
          <w:sz w:val="24"/>
          <w:szCs w:val="24"/>
          <w:lang w:val="en-US"/>
        </w:rPr>
        <w:t>Theis</w:t>
      </w:r>
      <w:proofErr w:type="spellEnd"/>
      <w:r w:rsidRPr="00404AC7">
        <w:rPr>
          <w:rFonts w:ascii="Times New Roman" w:eastAsia="Times New Roman" w:hAnsi="Times New Roman" w:cs="Times New Roman"/>
          <w:sz w:val="24"/>
          <w:szCs w:val="24"/>
          <w:lang w:val="en-US"/>
        </w:rPr>
        <w:t xml:space="preserve">, F. J. (2019). Deep learning: New computational modelling techniques for genomics. </w:t>
      </w:r>
      <w:r w:rsidRPr="00404AC7">
        <w:rPr>
          <w:rFonts w:ascii="Times New Roman" w:eastAsia="Times New Roman" w:hAnsi="Times New Roman" w:cs="Times New Roman"/>
          <w:i/>
          <w:iCs/>
          <w:sz w:val="24"/>
          <w:szCs w:val="24"/>
          <w:lang w:val="en-US"/>
        </w:rPr>
        <w:t>Nature Reviews Genetics, 20</w:t>
      </w:r>
      <w:r w:rsidRPr="00404AC7">
        <w:rPr>
          <w:rFonts w:ascii="Times New Roman" w:eastAsia="Times New Roman" w:hAnsi="Times New Roman" w:cs="Times New Roman"/>
          <w:sz w:val="24"/>
          <w:szCs w:val="24"/>
          <w:lang w:val="en-US"/>
        </w:rPr>
        <w:t>(7), 389–403. https://doi.org/10.1038/s41576-019-0122-6</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GTEx</w:t>
      </w:r>
      <w:proofErr w:type="spellEnd"/>
      <w:r w:rsidRPr="00404AC7">
        <w:rPr>
          <w:rFonts w:ascii="Times New Roman" w:eastAsia="Times New Roman" w:hAnsi="Times New Roman" w:cs="Times New Roman"/>
          <w:sz w:val="24"/>
          <w:szCs w:val="24"/>
          <w:lang w:val="en-US"/>
        </w:rPr>
        <w:t xml:space="preserve"> Consortium. (2020). The </w:t>
      </w:r>
      <w:proofErr w:type="spellStart"/>
      <w:r w:rsidRPr="00404AC7">
        <w:rPr>
          <w:rFonts w:ascii="Times New Roman" w:eastAsia="Times New Roman" w:hAnsi="Times New Roman" w:cs="Times New Roman"/>
          <w:sz w:val="24"/>
          <w:szCs w:val="24"/>
          <w:lang w:val="en-US"/>
        </w:rPr>
        <w:t>GTEx</w:t>
      </w:r>
      <w:proofErr w:type="spellEnd"/>
      <w:r w:rsidRPr="00404AC7">
        <w:rPr>
          <w:rFonts w:ascii="Times New Roman" w:eastAsia="Times New Roman" w:hAnsi="Times New Roman" w:cs="Times New Roman"/>
          <w:sz w:val="24"/>
          <w:szCs w:val="24"/>
          <w:lang w:val="en-US"/>
        </w:rPr>
        <w:t xml:space="preserve"> Consortium atlas of genetic regulatory effects across human tissues. </w:t>
      </w:r>
      <w:r w:rsidRPr="00404AC7">
        <w:rPr>
          <w:rFonts w:ascii="Times New Roman" w:eastAsia="Times New Roman" w:hAnsi="Times New Roman" w:cs="Times New Roman"/>
          <w:i/>
          <w:iCs/>
          <w:sz w:val="24"/>
          <w:szCs w:val="24"/>
          <w:lang w:val="en-US"/>
        </w:rPr>
        <w:t>Science, 369</w:t>
      </w:r>
      <w:r w:rsidRPr="00404AC7">
        <w:rPr>
          <w:rFonts w:ascii="Times New Roman" w:eastAsia="Times New Roman" w:hAnsi="Times New Roman" w:cs="Times New Roman"/>
          <w:sz w:val="24"/>
          <w:szCs w:val="24"/>
          <w:lang w:val="en-US"/>
        </w:rPr>
        <w:t xml:space="preserve">(6509), 1318–1330. </w:t>
      </w:r>
      <w:hyperlink r:id="rId18" w:tgtFrame="_new" w:history="1">
        <w:r w:rsidRPr="00404AC7">
          <w:rPr>
            <w:rFonts w:ascii="Times New Roman" w:eastAsia="Times New Roman" w:hAnsi="Times New Roman" w:cs="Times New Roman"/>
            <w:color w:val="0000FF"/>
            <w:sz w:val="24"/>
            <w:szCs w:val="24"/>
            <w:u w:val="single"/>
            <w:lang w:val="en-US"/>
          </w:rPr>
          <w:t>https://doi.org/10.1126/science.aaz1776</w:t>
        </w:r>
      </w:hyperlink>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Hasin</w:t>
      </w:r>
      <w:proofErr w:type="spellEnd"/>
      <w:r w:rsidRPr="00404AC7">
        <w:rPr>
          <w:rFonts w:ascii="Times New Roman" w:eastAsia="Times New Roman" w:hAnsi="Times New Roman" w:cs="Times New Roman"/>
          <w:sz w:val="24"/>
          <w:szCs w:val="24"/>
          <w:lang w:val="en-US"/>
        </w:rPr>
        <w:t xml:space="preserve">, Y., Seldin, M., &amp; </w:t>
      </w:r>
      <w:proofErr w:type="spellStart"/>
      <w:r w:rsidRPr="00404AC7">
        <w:rPr>
          <w:rFonts w:ascii="Times New Roman" w:eastAsia="Times New Roman" w:hAnsi="Times New Roman" w:cs="Times New Roman"/>
          <w:sz w:val="24"/>
          <w:szCs w:val="24"/>
          <w:lang w:val="en-US"/>
        </w:rPr>
        <w:t>Lusis</w:t>
      </w:r>
      <w:proofErr w:type="spellEnd"/>
      <w:r w:rsidRPr="00404AC7">
        <w:rPr>
          <w:rFonts w:ascii="Times New Roman" w:eastAsia="Times New Roman" w:hAnsi="Times New Roman" w:cs="Times New Roman"/>
          <w:sz w:val="24"/>
          <w:szCs w:val="24"/>
          <w:lang w:val="en-US"/>
        </w:rPr>
        <w:t xml:space="preserve">, A. (2017). Multi-omics approaches to disease. </w:t>
      </w:r>
      <w:r w:rsidRPr="00404AC7">
        <w:rPr>
          <w:rFonts w:ascii="Times New Roman" w:eastAsia="Times New Roman" w:hAnsi="Times New Roman" w:cs="Times New Roman"/>
          <w:i/>
          <w:iCs/>
          <w:sz w:val="24"/>
          <w:szCs w:val="24"/>
          <w:lang w:val="en-US"/>
        </w:rPr>
        <w:t>Genome Biology, 18</w:t>
      </w:r>
      <w:r w:rsidRPr="00404AC7">
        <w:rPr>
          <w:rFonts w:ascii="Times New Roman" w:eastAsia="Times New Roman" w:hAnsi="Times New Roman" w:cs="Times New Roman"/>
          <w:sz w:val="24"/>
          <w:szCs w:val="24"/>
          <w:lang w:val="en-US"/>
        </w:rPr>
        <w:t>, Article 83. https://doi.org/10.1186/s13059-017-1215-1</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Ioannidis, N. M., Rothstein, J. H., </w:t>
      </w:r>
      <w:proofErr w:type="spellStart"/>
      <w:r w:rsidRPr="00404AC7">
        <w:rPr>
          <w:rFonts w:ascii="Times New Roman" w:eastAsia="Times New Roman" w:hAnsi="Times New Roman" w:cs="Times New Roman"/>
          <w:sz w:val="24"/>
          <w:szCs w:val="24"/>
          <w:lang w:val="en-US"/>
        </w:rPr>
        <w:t>Pejaver</w:t>
      </w:r>
      <w:proofErr w:type="spellEnd"/>
      <w:r w:rsidRPr="00404AC7">
        <w:rPr>
          <w:rFonts w:ascii="Times New Roman" w:eastAsia="Times New Roman" w:hAnsi="Times New Roman" w:cs="Times New Roman"/>
          <w:sz w:val="24"/>
          <w:szCs w:val="24"/>
          <w:lang w:val="en-US"/>
        </w:rPr>
        <w:t xml:space="preserve">, V., </w:t>
      </w:r>
      <w:proofErr w:type="spellStart"/>
      <w:r w:rsidRPr="00404AC7">
        <w:rPr>
          <w:rFonts w:ascii="Times New Roman" w:eastAsia="Times New Roman" w:hAnsi="Times New Roman" w:cs="Times New Roman"/>
          <w:sz w:val="24"/>
          <w:szCs w:val="24"/>
          <w:lang w:val="en-US"/>
        </w:rPr>
        <w:t>Middha</w:t>
      </w:r>
      <w:proofErr w:type="spellEnd"/>
      <w:r w:rsidRPr="00404AC7">
        <w:rPr>
          <w:rFonts w:ascii="Times New Roman" w:eastAsia="Times New Roman" w:hAnsi="Times New Roman" w:cs="Times New Roman"/>
          <w:sz w:val="24"/>
          <w:szCs w:val="24"/>
          <w:lang w:val="en-US"/>
        </w:rPr>
        <w:t xml:space="preserve">, S., McDonnell, S. K., </w:t>
      </w:r>
      <w:proofErr w:type="spellStart"/>
      <w:r w:rsidRPr="00404AC7">
        <w:rPr>
          <w:rFonts w:ascii="Times New Roman" w:eastAsia="Times New Roman" w:hAnsi="Times New Roman" w:cs="Times New Roman"/>
          <w:sz w:val="24"/>
          <w:szCs w:val="24"/>
          <w:lang w:val="en-US"/>
        </w:rPr>
        <w:t>Baheti</w:t>
      </w:r>
      <w:proofErr w:type="spellEnd"/>
      <w:r w:rsidRPr="00404AC7">
        <w:rPr>
          <w:rFonts w:ascii="Times New Roman" w:eastAsia="Times New Roman" w:hAnsi="Times New Roman" w:cs="Times New Roman"/>
          <w:sz w:val="24"/>
          <w:szCs w:val="24"/>
          <w:lang w:val="en-US"/>
        </w:rPr>
        <w:t xml:space="preserve">, S., </w:t>
      </w:r>
      <w:proofErr w:type="spellStart"/>
      <w:r w:rsidRPr="00404AC7">
        <w:rPr>
          <w:rFonts w:ascii="Times New Roman" w:eastAsia="Times New Roman" w:hAnsi="Times New Roman" w:cs="Times New Roman"/>
          <w:sz w:val="24"/>
          <w:szCs w:val="24"/>
          <w:lang w:val="en-US"/>
        </w:rPr>
        <w:t>Musolf</w:t>
      </w:r>
      <w:proofErr w:type="spellEnd"/>
      <w:r w:rsidRPr="00404AC7">
        <w:rPr>
          <w:rFonts w:ascii="Times New Roman" w:eastAsia="Times New Roman" w:hAnsi="Times New Roman" w:cs="Times New Roman"/>
          <w:sz w:val="24"/>
          <w:szCs w:val="24"/>
          <w:lang w:val="en-US"/>
        </w:rPr>
        <w:t xml:space="preserve">, A., Li, Q., </w:t>
      </w:r>
      <w:proofErr w:type="spellStart"/>
      <w:r w:rsidRPr="00404AC7">
        <w:rPr>
          <w:rFonts w:ascii="Times New Roman" w:eastAsia="Times New Roman" w:hAnsi="Times New Roman" w:cs="Times New Roman"/>
          <w:sz w:val="24"/>
          <w:szCs w:val="24"/>
          <w:lang w:val="en-US"/>
        </w:rPr>
        <w:t>Holzinger</w:t>
      </w:r>
      <w:proofErr w:type="spellEnd"/>
      <w:r w:rsidRPr="00404AC7">
        <w:rPr>
          <w:rFonts w:ascii="Times New Roman" w:eastAsia="Times New Roman" w:hAnsi="Times New Roman" w:cs="Times New Roman"/>
          <w:sz w:val="24"/>
          <w:szCs w:val="24"/>
          <w:lang w:val="en-US"/>
        </w:rPr>
        <w:t xml:space="preserve">, E., </w:t>
      </w:r>
      <w:proofErr w:type="spellStart"/>
      <w:r w:rsidRPr="00404AC7">
        <w:rPr>
          <w:rFonts w:ascii="Times New Roman" w:eastAsia="Times New Roman" w:hAnsi="Times New Roman" w:cs="Times New Roman"/>
          <w:sz w:val="24"/>
          <w:szCs w:val="24"/>
          <w:lang w:val="en-US"/>
        </w:rPr>
        <w:t>Karyadi</w:t>
      </w:r>
      <w:proofErr w:type="spellEnd"/>
      <w:r w:rsidRPr="00404AC7">
        <w:rPr>
          <w:rFonts w:ascii="Times New Roman" w:eastAsia="Times New Roman" w:hAnsi="Times New Roman" w:cs="Times New Roman"/>
          <w:sz w:val="24"/>
          <w:szCs w:val="24"/>
          <w:lang w:val="en-US"/>
        </w:rPr>
        <w:t xml:space="preserve">, D., Cannon-Albright, L. A., </w:t>
      </w:r>
      <w:proofErr w:type="spellStart"/>
      <w:r w:rsidRPr="00404AC7">
        <w:rPr>
          <w:rFonts w:ascii="Times New Roman" w:eastAsia="Times New Roman" w:hAnsi="Times New Roman" w:cs="Times New Roman"/>
          <w:sz w:val="24"/>
          <w:szCs w:val="24"/>
          <w:lang w:val="en-US"/>
        </w:rPr>
        <w:t>Teerlink</w:t>
      </w:r>
      <w:proofErr w:type="spellEnd"/>
      <w:r w:rsidRPr="00404AC7">
        <w:rPr>
          <w:rFonts w:ascii="Times New Roman" w:eastAsia="Times New Roman" w:hAnsi="Times New Roman" w:cs="Times New Roman"/>
          <w:sz w:val="24"/>
          <w:szCs w:val="24"/>
          <w:lang w:val="en-US"/>
        </w:rPr>
        <w:t xml:space="preserve">, C. C., Stanford, J. L., Isaacs, W. B., Xu, J., Cooney, K. A., Lange, E. M., </w:t>
      </w:r>
      <w:proofErr w:type="spellStart"/>
      <w:r w:rsidRPr="00404AC7">
        <w:rPr>
          <w:rFonts w:ascii="Times New Roman" w:eastAsia="Times New Roman" w:hAnsi="Times New Roman" w:cs="Times New Roman"/>
          <w:sz w:val="24"/>
          <w:szCs w:val="24"/>
          <w:lang w:val="en-US"/>
        </w:rPr>
        <w:t>Schleutker</w:t>
      </w:r>
      <w:proofErr w:type="spellEnd"/>
      <w:r w:rsidRPr="00404AC7">
        <w:rPr>
          <w:rFonts w:ascii="Times New Roman" w:eastAsia="Times New Roman" w:hAnsi="Times New Roman" w:cs="Times New Roman"/>
          <w:sz w:val="24"/>
          <w:szCs w:val="24"/>
          <w:lang w:val="en-US"/>
        </w:rPr>
        <w:t xml:space="preserve">, J., </w:t>
      </w:r>
      <w:proofErr w:type="spellStart"/>
      <w:r w:rsidRPr="00404AC7">
        <w:rPr>
          <w:rFonts w:ascii="Times New Roman" w:eastAsia="Times New Roman" w:hAnsi="Times New Roman" w:cs="Times New Roman"/>
          <w:sz w:val="24"/>
          <w:szCs w:val="24"/>
          <w:lang w:val="en-US"/>
        </w:rPr>
        <w:t>Carpten</w:t>
      </w:r>
      <w:proofErr w:type="spellEnd"/>
      <w:r w:rsidRPr="00404AC7">
        <w:rPr>
          <w:rFonts w:ascii="Times New Roman" w:eastAsia="Times New Roman" w:hAnsi="Times New Roman" w:cs="Times New Roman"/>
          <w:sz w:val="24"/>
          <w:szCs w:val="24"/>
          <w:lang w:val="en-US"/>
        </w:rPr>
        <w:t xml:space="preserve">, J. D., … </w:t>
      </w:r>
      <w:proofErr w:type="spellStart"/>
      <w:r w:rsidRPr="00404AC7">
        <w:rPr>
          <w:rFonts w:ascii="Times New Roman" w:eastAsia="Times New Roman" w:hAnsi="Times New Roman" w:cs="Times New Roman"/>
          <w:sz w:val="24"/>
          <w:szCs w:val="24"/>
          <w:lang w:val="en-US"/>
        </w:rPr>
        <w:t>Sieh</w:t>
      </w:r>
      <w:proofErr w:type="spellEnd"/>
      <w:r w:rsidRPr="00404AC7">
        <w:rPr>
          <w:rFonts w:ascii="Times New Roman" w:eastAsia="Times New Roman" w:hAnsi="Times New Roman" w:cs="Times New Roman"/>
          <w:sz w:val="24"/>
          <w:szCs w:val="24"/>
          <w:lang w:val="en-US"/>
        </w:rPr>
        <w:t xml:space="preserve">, W. (2016). REVEL: An ensemble method for predicting the pathogenicity of rare missense variants. </w:t>
      </w:r>
      <w:r w:rsidRPr="00404AC7">
        <w:rPr>
          <w:rFonts w:ascii="Times New Roman" w:eastAsia="Times New Roman" w:hAnsi="Times New Roman" w:cs="Times New Roman"/>
          <w:i/>
          <w:iCs/>
          <w:sz w:val="24"/>
          <w:szCs w:val="24"/>
          <w:lang w:val="en-US"/>
        </w:rPr>
        <w:t>The American Journal of Human Genetics, 99</w:t>
      </w:r>
      <w:r w:rsidRPr="00404AC7">
        <w:rPr>
          <w:rFonts w:ascii="Times New Roman" w:eastAsia="Times New Roman" w:hAnsi="Times New Roman" w:cs="Times New Roman"/>
          <w:sz w:val="24"/>
          <w:szCs w:val="24"/>
          <w:lang w:val="en-US"/>
        </w:rPr>
        <w:t>(4), 877–885. https://doi.org/10.1016/j.ajhg.2016.08.016</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lastRenderedPageBreak/>
        <w:t>Jaganathan</w:t>
      </w:r>
      <w:proofErr w:type="spellEnd"/>
      <w:r w:rsidRPr="00404AC7">
        <w:rPr>
          <w:rFonts w:ascii="Times New Roman" w:eastAsia="Times New Roman" w:hAnsi="Times New Roman" w:cs="Times New Roman"/>
          <w:sz w:val="24"/>
          <w:szCs w:val="24"/>
          <w:lang w:val="en-US"/>
        </w:rPr>
        <w:t xml:space="preserve">, K., </w:t>
      </w:r>
      <w:proofErr w:type="spellStart"/>
      <w:r w:rsidRPr="00404AC7">
        <w:rPr>
          <w:rFonts w:ascii="Times New Roman" w:eastAsia="Times New Roman" w:hAnsi="Times New Roman" w:cs="Times New Roman"/>
          <w:sz w:val="24"/>
          <w:szCs w:val="24"/>
          <w:lang w:val="en-US"/>
        </w:rPr>
        <w:t>Kyriazopoulou</w:t>
      </w:r>
      <w:proofErr w:type="spellEnd"/>
      <w:r w:rsidRPr="00404AC7">
        <w:rPr>
          <w:rFonts w:ascii="Times New Roman" w:eastAsia="Times New Roman" w:hAnsi="Times New Roman" w:cs="Times New Roman"/>
          <w:sz w:val="24"/>
          <w:szCs w:val="24"/>
          <w:lang w:val="en-US"/>
        </w:rPr>
        <w:t xml:space="preserve"> </w:t>
      </w:r>
      <w:proofErr w:type="spellStart"/>
      <w:r w:rsidRPr="00404AC7">
        <w:rPr>
          <w:rFonts w:ascii="Times New Roman" w:eastAsia="Times New Roman" w:hAnsi="Times New Roman" w:cs="Times New Roman"/>
          <w:sz w:val="24"/>
          <w:szCs w:val="24"/>
          <w:lang w:val="en-US"/>
        </w:rPr>
        <w:t>Panagiotopoulou</w:t>
      </w:r>
      <w:proofErr w:type="spellEnd"/>
      <w:r w:rsidRPr="00404AC7">
        <w:rPr>
          <w:rFonts w:ascii="Times New Roman" w:eastAsia="Times New Roman" w:hAnsi="Times New Roman" w:cs="Times New Roman"/>
          <w:sz w:val="24"/>
          <w:szCs w:val="24"/>
          <w:lang w:val="en-US"/>
        </w:rPr>
        <w:t xml:space="preserve">, S., McRae, J. F., </w:t>
      </w:r>
      <w:proofErr w:type="spellStart"/>
      <w:r w:rsidRPr="00404AC7">
        <w:rPr>
          <w:rFonts w:ascii="Times New Roman" w:eastAsia="Times New Roman" w:hAnsi="Times New Roman" w:cs="Times New Roman"/>
          <w:sz w:val="24"/>
          <w:szCs w:val="24"/>
          <w:lang w:val="en-US"/>
        </w:rPr>
        <w:t>Darbandi</w:t>
      </w:r>
      <w:proofErr w:type="spellEnd"/>
      <w:r w:rsidRPr="00404AC7">
        <w:rPr>
          <w:rFonts w:ascii="Times New Roman" w:eastAsia="Times New Roman" w:hAnsi="Times New Roman" w:cs="Times New Roman"/>
          <w:sz w:val="24"/>
          <w:szCs w:val="24"/>
          <w:lang w:val="en-US"/>
        </w:rPr>
        <w:t xml:space="preserve">, S. F., Knowles, D., Li, Y. I., </w:t>
      </w:r>
      <w:proofErr w:type="spellStart"/>
      <w:r w:rsidRPr="00404AC7">
        <w:rPr>
          <w:rFonts w:ascii="Times New Roman" w:eastAsia="Times New Roman" w:hAnsi="Times New Roman" w:cs="Times New Roman"/>
          <w:sz w:val="24"/>
          <w:szCs w:val="24"/>
          <w:lang w:val="en-US"/>
        </w:rPr>
        <w:t>Kosmicki</w:t>
      </w:r>
      <w:proofErr w:type="spellEnd"/>
      <w:r w:rsidRPr="00404AC7">
        <w:rPr>
          <w:rFonts w:ascii="Times New Roman" w:eastAsia="Times New Roman" w:hAnsi="Times New Roman" w:cs="Times New Roman"/>
          <w:sz w:val="24"/>
          <w:szCs w:val="24"/>
          <w:lang w:val="en-US"/>
        </w:rPr>
        <w:t xml:space="preserve">, J. A., Arbelaez, J., Cui, W., Schwartz, G. B., Chow, E. D., </w:t>
      </w:r>
      <w:proofErr w:type="spellStart"/>
      <w:r w:rsidRPr="00404AC7">
        <w:rPr>
          <w:rFonts w:ascii="Times New Roman" w:eastAsia="Times New Roman" w:hAnsi="Times New Roman" w:cs="Times New Roman"/>
          <w:sz w:val="24"/>
          <w:szCs w:val="24"/>
          <w:lang w:val="en-US"/>
        </w:rPr>
        <w:t>Kanterakis</w:t>
      </w:r>
      <w:proofErr w:type="spellEnd"/>
      <w:r w:rsidRPr="00404AC7">
        <w:rPr>
          <w:rFonts w:ascii="Times New Roman" w:eastAsia="Times New Roman" w:hAnsi="Times New Roman" w:cs="Times New Roman"/>
          <w:sz w:val="24"/>
          <w:szCs w:val="24"/>
          <w:lang w:val="en-US"/>
        </w:rPr>
        <w:t xml:space="preserve">, E., Gao, H., Kia, A., </w:t>
      </w:r>
      <w:proofErr w:type="spellStart"/>
      <w:r w:rsidRPr="00404AC7">
        <w:rPr>
          <w:rFonts w:ascii="Times New Roman" w:eastAsia="Times New Roman" w:hAnsi="Times New Roman" w:cs="Times New Roman"/>
          <w:sz w:val="24"/>
          <w:szCs w:val="24"/>
          <w:lang w:val="en-US"/>
        </w:rPr>
        <w:t>Batzoglou</w:t>
      </w:r>
      <w:proofErr w:type="spellEnd"/>
      <w:r w:rsidRPr="00404AC7">
        <w:rPr>
          <w:rFonts w:ascii="Times New Roman" w:eastAsia="Times New Roman" w:hAnsi="Times New Roman" w:cs="Times New Roman"/>
          <w:sz w:val="24"/>
          <w:szCs w:val="24"/>
          <w:lang w:val="en-US"/>
        </w:rPr>
        <w:t xml:space="preserve">, S., Sanders, S. J., &amp; </w:t>
      </w:r>
      <w:proofErr w:type="spellStart"/>
      <w:r w:rsidRPr="00404AC7">
        <w:rPr>
          <w:rFonts w:ascii="Times New Roman" w:eastAsia="Times New Roman" w:hAnsi="Times New Roman" w:cs="Times New Roman"/>
          <w:sz w:val="24"/>
          <w:szCs w:val="24"/>
          <w:lang w:val="en-US"/>
        </w:rPr>
        <w:t>Farh</w:t>
      </w:r>
      <w:proofErr w:type="spellEnd"/>
      <w:r w:rsidRPr="00404AC7">
        <w:rPr>
          <w:rFonts w:ascii="Times New Roman" w:eastAsia="Times New Roman" w:hAnsi="Times New Roman" w:cs="Times New Roman"/>
          <w:sz w:val="24"/>
          <w:szCs w:val="24"/>
          <w:lang w:val="en-US"/>
        </w:rPr>
        <w:t xml:space="preserve">, K. K. H. (2019). Predicting splicing from primary sequence with deep learning. </w:t>
      </w:r>
      <w:r w:rsidRPr="00404AC7">
        <w:rPr>
          <w:rFonts w:ascii="Times New Roman" w:eastAsia="Times New Roman" w:hAnsi="Times New Roman" w:cs="Times New Roman"/>
          <w:i/>
          <w:iCs/>
          <w:sz w:val="24"/>
          <w:szCs w:val="24"/>
          <w:lang w:val="en-US"/>
        </w:rPr>
        <w:t>Cell, 176</w:t>
      </w:r>
      <w:r w:rsidRPr="00404AC7">
        <w:rPr>
          <w:rFonts w:ascii="Times New Roman" w:eastAsia="Times New Roman" w:hAnsi="Times New Roman" w:cs="Times New Roman"/>
          <w:sz w:val="24"/>
          <w:szCs w:val="24"/>
          <w:lang w:val="en-US"/>
        </w:rPr>
        <w:t xml:space="preserve">(3), 535–548.e24. </w:t>
      </w:r>
      <w:hyperlink r:id="rId19" w:tgtFrame="_new" w:history="1">
        <w:r w:rsidRPr="00404AC7">
          <w:rPr>
            <w:rFonts w:ascii="Times New Roman" w:eastAsia="Times New Roman" w:hAnsi="Times New Roman" w:cs="Times New Roman"/>
            <w:color w:val="0000FF"/>
            <w:sz w:val="24"/>
            <w:szCs w:val="24"/>
            <w:u w:val="single"/>
            <w:lang w:val="en-US"/>
          </w:rPr>
          <w:t>https://doi.org/10.1016/j.cell.2018.12.015</w:t>
        </w:r>
      </w:hyperlink>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Jumper, J., Evans, R., </w:t>
      </w:r>
      <w:proofErr w:type="spellStart"/>
      <w:r w:rsidRPr="00404AC7">
        <w:rPr>
          <w:rFonts w:ascii="Times New Roman" w:eastAsia="Times New Roman" w:hAnsi="Times New Roman" w:cs="Times New Roman"/>
          <w:sz w:val="24"/>
          <w:szCs w:val="24"/>
          <w:lang w:val="en-US"/>
        </w:rPr>
        <w:t>Pritzel</w:t>
      </w:r>
      <w:proofErr w:type="spellEnd"/>
      <w:r w:rsidRPr="00404AC7">
        <w:rPr>
          <w:rFonts w:ascii="Times New Roman" w:eastAsia="Times New Roman" w:hAnsi="Times New Roman" w:cs="Times New Roman"/>
          <w:sz w:val="24"/>
          <w:szCs w:val="24"/>
          <w:lang w:val="en-US"/>
        </w:rPr>
        <w:t xml:space="preserve">, A., Green, T., </w:t>
      </w:r>
      <w:proofErr w:type="spellStart"/>
      <w:r w:rsidRPr="00404AC7">
        <w:rPr>
          <w:rFonts w:ascii="Times New Roman" w:eastAsia="Times New Roman" w:hAnsi="Times New Roman" w:cs="Times New Roman"/>
          <w:sz w:val="24"/>
          <w:szCs w:val="24"/>
          <w:lang w:val="en-US"/>
        </w:rPr>
        <w:t>Figurnov</w:t>
      </w:r>
      <w:proofErr w:type="spellEnd"/>
      <w:r w:rsidRPr="00404AC7">
        <w:rPr>
          <w:rFonts w:ascii="Times New Roman" w:eastAsia="Times New Roman" w:hAnsi="Times New Roman" w:cs="Times New Roman"/>
          <w:sz w:val="24"/>
          <w:szCs w:val="24"/>
          <w:lang w:val="en-US"/>
        </w:rPr>
        <w:t xml:space="preserve">, M., </w:t>
      </w:r>
      <w:proofErr w:type="spellStart"/>
      <w:r w:rsidRPr="00404AC7">
        <w:rPr>
          <w:rFonts w:ascii="Times New Roman" w:eastAsia="Times New Roman" w:hAnsi="Times New Roman" w:cs="Times New Roman"/>
          <w:sz w:val="24"/>
          <w:szCs w:val="24"/>
          <w:lang w:val="en-US"/>
        </w:rPr>
        <w:t>Ronneberger</w:t>
      </w:r>
      <w:proofErr w:type="spellEnd"/>
      <w:r w:rsidRPr="00404AC7">
        <w:rPr>
          <w:rFonts w:ascii="Times New Roman" w:eastAsia="Times New Roman" w:hAnsi="Times New Roman" w:cs="Times New Roman"/>
          <w:sz w:val="24"/>
          <w:szCs w:val="24"/>
          <w:lang w:val="en-US"/>
        </w:rPr>
        <w:t xml:space="preserve">, O., </w:t>
      </w:r>
      <w:proofErr w:type="spellStart"/>
      <w:r w:rsidRPr="00404AC7">
        <w:rPr>
          <w:rFonts w:ascii="Times New Roman" w:eastAsia="Times New Roman" w:hAnsi="Times New Roman" w:cs="Times New Roman"/>
          <w:sz w:val="24"/>
          <w:szCs w:val="24"/>
          <w:lang w:val="en-US"/>
        </w:rPr>
        <w:t>Tunyasuvunakool</w:t>
      </w:r>
      <w:proofErr w:type="spellEnd"/>
      <w:r w:rsidRPr="00404AC7">
        <w:rPr>
          <w:rFonts w:ascii="Times New Roman" w:eastAsia="Times New Roman" w:hAnsi="Times New Roman" w:cs="Times New Roman"/>
          <w:sz w:val="24"/>
          <w:szCs w:val="24"/>
          <w:lang w:val="en-US"/>
        </w:rPr>
        <w:t xml:space="preserve">, K., Bates, R., </w:t>
      </w:r>
      <w:proofErr w:type="spellStart"/>
      <w:r w:rsidRPr="00404AC7">
        <w:rPr>
          <w:rFonts w:ascii="Times New Roman" w:eastAsia="Times New Roman" w:hAnsi="Times New Roman" w:cs="Times New Roman"/>
          <w:sz w:val="24"/>
          <w:szCs w:val="24"/>
          <w:lang w:val="en-US"/>
        </w:rPr>
        <w:t>Žídek</w:t>
      </w:r>
      <w:proofErr w:type="spellEnd"/>
      <w:r w:rsidRPr="00404AC7">
        <w:rPr>
          <w:rFonts w:ascii="Times New Roman" w:eastAsia="Times New Roman" w:hAnsi="Times New Roman" w:cs="Times New Roman"/>
          <w:sz w:val="24"/>
          <w:szCs w:val="24"/>
          <w:lang w:val="en-US"/>
        </w:rPr>
        <w:t xml:space="preserve">, A., </w:t>
      </w:r>
      <w:proofErr w:type="spellStart"/>
      <w:r w:rsidRPr="00404AC7">
        <w:rPr>
          <w:rFonts w:ascii="Times New Roman" w:eastAsia="Times New Roman" w:hAnsi="Times New Roman" w:cs="Times New Roman"/>
          <w:sz w:val="24"/>
          <w:szCs w:val="24"/>
          <w:lang w:val="en-US"/>
        </w:rPr>
        <w:t>Potapenko</w:t>
      </w:r>
      <w:proofErr w:type="spellEnd"/>
      <w:r w:rsidRPr="00404AC7">
        <w:rPr>
          <w:rFonts w:ascii="Times New Roman" w:eastAsia="Times New Roman" w:hAnsi="Times New Roman" w:cs="Times New Roman"/>
          <w:sz w:val="24"/>
          <w:szCs w:val="24"/>
          <w:lang w:val="en-US"/>
        </w:rPr>
        <w:t xml:space="preserve">, A., </w:t>
      </w:r>
      <w:proofErr w:type="spellStart"/>
      <w:r w:rsidRPr="00404AC7">
        <w:rPr>
          <w:rFonts w:ascii="Times New Roman" w:eastAsia="Times New Roman" w:hAnsi="Times New Roman" w:cs="Times New Roman"/>
          <w:sz w:val="24"/>
          <w:szCs w:val="24"/>
          <w:lang w:val="en-US"/>
        </w:rPr>
        <w:t>Bridgland</w:t>
      </w:r>
      <w:proofErr w:type="spellEnd"/>
      <w:r w:rsidRPr="00404AC7">
        <w:rPr>
          <w:rFonts w:ascii="Times New Roman" w:eastAsia="Times New Roman" w:hAnsi="Times New Roman" w:cs="Times New Roman"/>
          <w:sz w:val="24"/>
          <w:szCs w:val="24"/>
          <w:lang w:val="en-US"/>
        </w:rPr>
        <w:t xml:space="preserve">, A., Meyer, C., Kohl, S. A. A., Ballard, A. J., Cowie, A., </w:t>
      </w:r>
      <w:proofErr w:type="spellStart"/>
      <w:r w:rsidRPr="00404AC7">
        <w:rPr>
          <w:rFonts w:ascii="Times New Roman" w:eastAsia="Times New Roman" w:hAnsi="Times New Roman" w:cs="Times New Roman"/>
          <w:sz w:val="24"/>
          <w:szCs w:val="24"/>
          <w:lang w:val="en-US"/>
        </w:rPr>
        <w:t>Romera</w:t>
      </w:r>
      <w:proofErr w:type="spellEnd"/>
      <w:r w:rsidRPr="00404AC7">
        <w:rPr>
          <w:rFonts w:ascii="Times New Roman" w:eastAsia="Times New Roman" w:hAnsi="Times New Roman" w:cs="Times New Roman"/>
          <w:sz w:val="24"/>
          <w:szCs w:val="24"/>
          <w:lang w:val="en-US"/>
        </w:rPr>
        <w:t xml:space="preserve">-Paredes, B., </w:t>
      </w:r>
      <w:proofErr w:type="spellStart"/>
      <w:r w:rsidRPr="00404AC7">
        <w:rPr>
          <w:rFonts w:ascii="Times New Roman" w:eastAsia="Times New Roman" w:hAnsi="Times New Roman" w:cs="Times New Roman"/>
          <w:sz w:val="24"/>
          <w:szCs w:val="24"/>
          <w:lang w:val="en-US"/>
        </w:rPr>
        <w:t>Nikolov</w:t>
      </w:r>
      <w:proofErr w:type="spellEnd"/>
      <w:r w:rsidRPr="00404AC7">
        <w:rPr>
          <w:rFonts w:ascii="Times New Roman" w:eastAsia="Times New Roman" w:hAnsi="Times New Roman" w:cs="Times New Roman"/>
          <w:sz w:val="24"/>
          <w:szCs w:val="24"/>
          <w:lang w:val="en-US"/>
        </w:rPr>
        <w:t xml:space="preserve">, S., Jain, R., Adler, J., … Hassabis, D. (2021). Highly accurate protein structure prediction with </w:t>
      </w:r>
      <w:proofErr w:type="spellStart"/>
      <w:r w:rsidRPr="00404AC7">
        <w:rPr>
          <w:rFonts w:ascii="Times New Roman" w:eastAsia="Times New Roman" w:hAnsi="Times New Roman" w:cs="Times New Roman"/>
          <w:sz w:val="24"/>
          <w:szCs w:val="24"/>
          <w:lang w:val="en-US"/>
        </w:rPr>
        <w:t>AlphaFold</w:t>
      </w:r>
      <w:proofErr w:type="spellEnd"/>
      <w:r w:rsidRPr="00404AC7">
        <w:rPr>
          <w:rFonts w:ascii="Times New Roman" w:eastAsia="Times New Roman" w:hAnsi="Times New Roman" w:cs="Times New Roman"/>
          <w:sz w:val="24"/>
          <w:szCs w:val="24"/>
          <w:lang w:val="en-US"/>
        </w:rPr>
        <w:t xml:space="preserve">. </w:t>
      </w:r>
      <w:r w:rsidRPr="00404AC7">
        <w:rPr>
          <w:rFonts w:ascii="Times New Roman" w:eastAsia="Times New Roman" w:hAnsi="Times New Roman" w:cs="Times New Roman"/>
          <w:i/>
          <w:iCs/>
          <w:sz w:val="24"/>
          <w:szCs w:val="24"/>
          <w:lang w:val="en-US"/>
        </w:rPr>
        <w:t>Nature, 596</w:t>
      </w:r>
      <w:r w:rsidRPr="00404AC7">
        <w:rPr>
          <w:rFonts w:ascii="Times New Roman" w:eastAsia="Times New Roman" w:hAnsi="Times New Roman" w:cs="Times New Roman"/>
          <w:sz w:val="24"/>
          <w:szCs w:val="24"/>
          <w:lang w:val="en-US"/>
        </w:rPr>
        <w:t xml:space="preserve">(7873), 583–589. </w:t>
      </w:r>
      <w:hyperlink r:id="rId20" w:tgtFrame="_new" w:history="1">
        <w:r w:rsidRPr="00404AC7">
          <w:rPr>
            <w:rFonts w:ascii="Times New Roman" w:eastAsia="Times New Roman" w:hAnsi="Times New Roman" w:cs="Times New Roman"/>
            <w:color w:val="0000FF"/>
            <w:sz w:val="24"/>
            <w:szCs w:val="24"/>
            <w:u w:val="single"/>
            <w:lang w:val="en-US"/>
          </w:rPr>
          <w:t>https://doi.org/10.1038/s41586-021-03819-2</w:t>
        </w:r>
      </w:hyperlink>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Karczewski</w:t>
      </w:r>
      <w:proofErr w:type="spellEnd"/>
      <w:r w:rsidRPr="00404AC7">
        <w:rPr>
          <w:rFonts w:ascii="Times New Roman" w:eastAsia="Times New Roman" w:hAnsi="Times New Roman" w:cs="Times New Roman"/>
          <w:sz w:val="24"/>
          <w:szCs w:val="24"/>
          <w:lang w:val="en-US"/>
        </w:rPr>
        <w:t xml:space="preserve">, K. J., </w:t>
      </w:r>
      <w:proofErr w:type="spellStart"/>
      <w:r w:rsidRPr="00404AC7">
        <w:rPr>
          <w:rFonts w:ascii="Times New Roman" w:eastAsia="Times New Roman" w:hAnsi="Times New Roman" w:cs="Times New Roman"/>
          <w:sz w:val="24"/>
          <w:szCs w:val="24"/>
          <w:lang w:val="en-US"/>
        </w:rPr>
        <w:t>Francioli</w:t>
      </w:r>
      <w:proofErr w:type="spellEnd"/>
      <w:r w:rsidRPr="00404AC7">
        <w:rPr>
          <w:rFonts w:ascii="Times New Roman" w:eastAsia="Times New Roman" w:hAnsi="Times New Roman" w:cs="Times New Roman"/>
          <w:sz w:val="24"/>
          <w:szCs w:val="24"/>
          <w:lang w:val="en-US"/>
        </w:rPr>
        <w:t xml:space="preserve">, L. C., </w:t>
      </w:r>
      <w:proofErr w:type="spellStart"/>
      <w:r w:rsidRPr="00404AC7">
        <w:rPr>
          <w:rFonts w:ascii="Times New Roman" w:eastAsia="Times New Roman" w:hAnsi="Times New Roman" w:cs="Times New Roman"/>
          <w:sz w:val="24"/>
          <w:szCs w:val="24"/>
          <w:lang w:val="en-US"/>
        </w:rPr>
        <w:t>Tiao</w:t>
      </w:r>
      <w:proofErr w:type="spellEnd"/>
      <w:r w:rsidRPr="00404AC7">
        <w:rPr>
          <w:rFonts w:ascii="Times New Roman" w:eastAsia="Times New Roman" w:hAnsi="Times New Roman" w:cs="Times New Roman"/>
          <w:sz w:val="24"/>
          <w:szCs w:val="24"/>
          <w:lang w:val="en-US"/>
        </w:rPr>
        <w:t xml:space="preserve">, G., Cummings, B. B., </w:t>
      </w:r>
      <w:proofErr w:type="spellStart"/>
      <w:r w:rsidRPr="00404AC7">
        <w:rPr>
          <w:rFonts w:ascii="Times New Roman" w:eastAsia="Times New Roman" w:hAnsi="Times New Roman" w:cs="Times New Roman"/>
          <w:sz w:val="24"/>
          <w:szCs w:val="24"/>
          <w:lang w:val="en-US"/>
        </w:rPr>
        <w:t>Alföldi</w:t>
      </w:r>
      <w:proofErr w:type="spellEnd"/>
      <w:r w:rsidRPr="00404AC7">
        <w:rPr>
          <w:rFonts w:ascii="Times New Roman" w:eastAsia="Times New Roman" w:hAnsi="Times New Roman" w:cs="Times New Roman"/>
          <w:sz w:val="24"/>
          <w:szCs w:val="24"/>
          <w:lang w:val="en-US"/>
        </w:rPr>
        <w:t xml:space="preserve">, J., Wang, Q., Collins, R. L., </w:t>
      </w:r>
      <w:proofErr w:type="spellStart"/>
      <w:r w:rsidRPr="00404AC7">
        <w:rPr>
          <w:rFonts w:ascii="Times New Roman" w:eastAsia="Times New Roman" w:hAnsi="Times New Roman" w:cs="Times New Roman"/>
          <w:sz w:val="24"/>
          <w:szCs w:val="24"/>
          <w:lang w:val="en-US"/>
        </w:rPr>
        <w:t>Laricchia</w:t>
      </w:r>
      <w:proofErr w:type="spellEnd"/>
      <w:r w:rsidRPr="00404AC7">
        <w:rPr>
          <w:rFonts w:ascii="Times New Roman" w:eastAsia="Times New Roman" w:hAnsi="Times New Roman" w:cs="Times New Roman"/>
          <w:sz w:val="24"/>
          <w:szCs w:val="24"/>
          <w:lang w:val="en-US"/>
        </w:rPr>
        <w:t xml:space="preserve">, K. M., </w:t>
      </w:r>
      <w:proofErr w:type="spellStart"/>
      <w:r w:rsidRPr="00404AC7">
        <w:rPr>
          <w:rFonts w:ascii="Times New Roman" w:eastAsia="Times New Roman" w:hAnsi="Times New Roman" w:cs="Times New Roman"/>
          <w:sz w:val="24"/>
          <w:szCs w:val="24"/>
          <w:lang w:val="en-US"/>
        </w:rPr>
        <w:t>Ganna</w:t>
      </w:r>
      <w:proofErr w:type="spellEnd"/>
      <w:r w:rsidRPr="00404AC7">
        <w:rPr>
          <w:rFonts w:ascii="Times New Roman" w:eastAsia="Times New Roman" w:hAnsi="Times New Roman" w:cs="Times New Roman"/>
          <w:sz w:val="24"/>
          <w:szCs w:val="24"/>
          <w:lang w:val="en-US"/>
        </w:rPr>
        <w:t xml:space="preserve">, A., Birnbaum, D. P., Gauthier, L. D., Brand, H., </w:t>
      </w:r>
      <w:proofErr w:type="spellStart"/>
      <w:r w:rsidRPr="00404AC7">
        <w:rPr>
          <w:rFonts w:ascii="Times New Roman" w:eastAsia="Times New Roman" w:hAnsi="Times New Roman" w:cs="Times New Roman"/>
          <w:sz w:val="24"/>
          <w:szCs w:val="24"/>
          <w:lang w:val="en-US"/>
        </w:rPr>
        <w:t>Solomonson</w:t>
      </w:r>
      <w:proofErr w:type="spellEnd"/>
      <w:r w:rsidRPr="00404AC7">
        <w:rPr>
          <w:rFonts w:ascii="Times New Roman" w:eastAsia="Times New Roman" w:hAnsi="Times New Roman" w:cs="Times New Roman"/>
          <w:sz w:val="24"/>
          <w:szCs w:val="24"/>
          <w:lang w:val="en-US"/>
        </w:rPr>
        <w:t xml:space="preserve">, M., Watts, N. A., Rhodes, D., Singer-Berk, M., </w:t>
      </w:r>
      <w:proofErr w:type="spellStart"/>
      <w:r w:rsidRPr="00404AC7">
        <w:rPr>
          <w:rFonts w:ascii="Times New Roman" w:eastAsia="Times New Roman" w:hAnsi="Times New Roman" w:cs="Times New Roman"/>
          <w:sz w:val="24"/>
          <w:szCs w:val="24"/>
          <w:lang w:val="en-US"/>
        </w:rPr>
        <w:t>Seaby</w:t>
      </w:r>
      <w:proofErr w:type="spellEnd"/>
      <w:r w:rsidRPr="00404AC7">
        <w:rPr>
          <w:rFonts w:ascii="Times New Roman" w:eastAsia="Times New Roman" w:hAnsi="Times New Roman" w:cs="Times New Roman"/>
          <w:sz w:val="24"/>
          <w:szCs w:val="24"/>
          <w:lang w:val="en-US"/>
        </w:rPr>
        <w:t xml:space="preserve">, E. G., </w:t>
      </w:r>
      <w:proofErr w:type="spellStart"/>
      <w:r w:rsidRPr="00404AC7">
        <w:rPr>
          <w:rFonts w:ascii="Times New Roman" w:eastAsia="Times New Roman" w:hAnsi="Times New Roman" w:cs="Times New Roman"/>
          <w:sz w:val="24"/>
          <w:szCs w:val="24"/>
          <w:lang w:val="en-US"/>
        </w:rPr>
        <w:t>Kosmicki</w:t>
      </w:r>
      <w:proofErr w:type="spellEnd"/>
      <w:r w:rsidRPr="00404AC7">
        <w:rPr>
          <w:rFonts w:ascii="Times New Roman" w:eastAsia="Times New Roman" w:hAnsi="Times New Roman" w:cs="Times New Roman"/>
          <w:sz w:val="24"/>
          <w:szCs w:val="24"/>
          <w:lang w:val="en-US"/>
        </w:rPr>
        <w:t xml:space="preserve">, J. A., Walters, R. K., … MacArthur, D. G. (2020). The mutational constraint spectrum quantified from variation in 141,456 humans. </w:t>
      </w:r>
      <w:r w:rsidRPr="00404AC7">
        <w:rPr>
          <w:rFonts w:ascii="Times New Roman" w:eastAsia="Times New Roman" w:hAnsi="Times New Roman" w:cs="Times New Roman"/>
          <w:i/>
          <w:iCs/>
          <w:sz w:val="24"/>
          <w:szCs w:val="24"/>
          <w:lang w:val="en-US"/>
        </w:rPr>
        <w:t>Nature, 581</w:t>
      </w:r>
      <w:r w:rsidRPr="00404AC7">
        <w:rPr>
          <w:rFonts w:ascii="Times New Roman" w:eastAsia="Times New Roman" w:hAnsi="Times New Roman" w:cs="Times New Roman"/>
          <w:sz w:val="24"/>
          <w:szCs w:val="24"/>
          <w:lang w:val="en-US"/>
        </w:rPr>
        <w:t xml:space="preserve">(7809), 434–443. </w:t>
      </w:r>
      <w:hyperlink r:id="rId21" w:tgtFrame="_new" w:history="1">
        <w:r w:rsidRPr="00404AC7">
          <w:rPr>
            <w:rFonts w:ascii="Times New Roman" w:eastAsia="Times New Roman" w:hAnsi="Times New Roman" w:cs="Times New Roman"/>
            <w:color w:val="0000FF"/>
            <w:sz w:val="24"/>
            <w:szCs w:val="24"/>
            <w:u w:val="single"/>
            <w:lang w:val="en-US"/>
          </w:rPr>
          <w:t>https://doi.org/10.1038/s41586-020-2308-7</w:t>
        </w:r>
      </w:hyperlink>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Kelley, D. R., Snoek, J., &amp; </w:t>
      </w:r>
      <w:proofErr w:type="spellStart"/>
      <w:r w:rsidRPr="00404AC7">
        <w:rPr>
          <w:rFonts w:ascii="Times New Roman" w:eastAsia="Times New Roman" w:hAnsi="Times New Roman" w:cs="Times New Roman"/>
          <w:sz w:val="24"/>
          <w:szCs w:val="24"/>
          <w:lang w:val="en-US"/>
        </w:rPr>
        <w:t>Rinn</w:t>
      </w:r>
      <w:proofErr w:type="spellEnd"/>
      <w:r w:rsidRPr="00404AC7">
        <w:rPr>
          <w:rFonts w:ascii="Times New Roman" w:eastAsia="Times New Roman" w:hAnsi="Times New Roman" w:cs="Times New Roman"/>
          <w:sz w:val="24"/>
          <w:szCs w:val="24"/>
          <w:lang w:val="en-US"/>
        </w:rPr>
        <w:t xml:space="preserve">, J. L. (2016). Basset: Learning the regulatory code of the accessible genome with deep convolutional neural networks. </w:t>
      </w:r>
      <w:r w:rsidRPr="00404AC7">
        <w:rPr>
          <w:rFonts w:ascii="Times New Roman" w:eastAsia="Times New Roman" w:hAnsi="Times New Roman" w:cs="Times New Roman"/>
          <w:i/>
          <w:iCs/>
          <w:sz w:val="24"/>
          <w:szCs w:val="24"/>
          <w:lang w:val="en-US"/>
        </w:rPr>
        <w:t>Genome Research, 26</w:t>
      </w:r>
      <w:r w:rsidRPr="00404AC7">
        <w:rPr>
          <w:rFonts w:ascii="Times New Roman" w:eastAsia="Times New Roman" w:hAnsi="Times New Roman" w:cs="Times New Roman"/>
          <w:sz w:val="24"/>
          <w:szCs w:val="24"/>
          <w:lang w:val="en-US"/>
        </w:rPr>
        <w:t xml:space="preserve">(7), 990–999. </w:t>
      </w:r>
      <w:hyperlink r:id="rId22" w:tgtFrame="_new" w:history="1">
        <w:r w:rsidRPr="00404AC7">
          <w:rPr>
            <w:rFonts w:ascii="Times New Roman" w:eastAsia="Times New Roman" w:hAnsi="Times New Roman" w:cs="Times New Roman"/>
            <w:color w:val="0000FF"/>
            <w:sz w:val="24"/>
            <w:szCs w:val="24"/>
            <w:u w:val="single"/>
            <w:lang w:val="en-US"/>
          </w:rPr>
          <w:t>https://doi.org/10.1101/gr.200535.115</w:t>
        </w:r>
      </w:hyperlink>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Kircher, M., Witten, D. M., Jain, P., </w:t>
      </w:r>
      <w:proofErr w:type="spellStart"/>
      <w:r w:rsidRPr="00404AC7">
        <w:rPr>
          <w:rFonts w:ascii="Times New Roman" w:eastAsia="Times New Roman" w:hAnsi="Times New Roman" w:cs="Times New Roman"/>
          <w:sz w:val="24"/>
          <w:szCs w:val="24"/>
          <w:lang w:val="en-US"/>
        </w:rPr>
        <w:t>O’Roak</w:t>
      </w:r>
      <w:proofErr w:type="spellEnd"/>
      <w:r w:rsidRPr="00404AC7">
        <w:rPr>
          <w:rFonts w:ascii="Times New Roman" w:eastAsia="Times New Roman" w:hAnsi="Times New Roman" w:cs="Times New Roman"/>
          <w:sz w:val="24"/>
          <w:szCs w:val="24"/>
          <w:lang w:val="en-US"/>
        </w:rPr>
        <w:t xml:space="preserve">, B. J., Cooper, G. M., &amp; </w:t>
      </w:r>
      <w:proofErr w:type="spellStart"/>
      <w:r w:rsidRPr="00404AC7">
        <w:rPr>
          <w:rFonts w:ascii="Times New Roman" w:eastAsia="Times New Roman" w:hAnsi="Times New Roman" w:cs="Times New Roman"/>
          <w:sz w:val="24"/>
          <w:szCs w:val="24"/>
          <w:lang w:val="en-US"/>
        </w:rPr>
        <w:t>Shendure</w:t>
      </w:r>
      <w:proofErr w:type="spellEnd"/>
      <w:r w:rsidRPr="00404AC7">
        <w:rPr>
          <w:rFonts w:ascii="Times New Roman" w:eastAsia="Times New Roman" w:hAnsi="Times New Roman" w:cs="Times New Roman"/>
          <w:sz w:val="24"/>
          <w:szCs w:val="24"/>
          <w:lang w:val="en-US"/>
        </w:rPr>
        <w:t xml:space="preserve">, J. (2014). A general framework for estimating the relative pathogenicity of human genetic variants. </w:t>
      </w:r>
      <w:r w:rsidRPr="00404AC7">
        <w:rPr>
          <w:rFonts w:ascii="Times New Roman" w:eastAsia="Times New Roman" w:hAnsi="Times New Roman" w:cs="Times New Roman"/>
          <w:i/>
          <w:iCs/>
          <w:sz w:val="24"/>
          <w:szCs w:val="24"/>
          <w:lang w:val="en-US"/>
        </w:rPr>
        <w:t>Nature Genetics, 46</w:t>
      </w:r>
      <w:r w:rsidRPr="00404AC7">
        <w:rPr>
          <w:rFonts w:ascii="Times New Roman" w:eastAsia="Times New Roman" w:hAnsi="Times New Roman" w:cs="Times New Roman"/>
          <w:sz w:val="24"/>
          <w:szCs w:val="24"/>
          <w:lang w:val="en-US"/>
        </w:rPr>
        <w:t>(3), 310–315. https://doi.org/10.1038/ng.2892</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Landrum, M. J., Lee, J. M., Benson, M., Brown, G., Chao, C., </w:t>
      </w:r>
      <w:proofErr w:type="spellStart"/>
      <w:r w:rsidRPr="00404AC7">
        <w:rPr>
          <w:rFonts w:ascii="Times New Roman" w:eastAsia="Times New Roman" w:hAnsi="Times New Roman" w:cs="Times New Roman"/>
          <w:sz w:val="24"/>
          <w:szCs w:val="24"/>
          <w:lang w:val="en-US"/>
        </w:rPr>
        <w:t>Chitipiralla</w:t>
      </w:r>
      <w:proofErr w:type="spellEnd"/>
      <w:r w:rsidRPr="00404AC7">
        <w:rPr>
          <w:rFonts w:ascii="Times New Roman" w:eastAsia="Times New Roman" w:hAnsi="Times New Roman" w:cs="Times New Roman"/>
          <w:sz w:val="24"/>
          <w:szCs w:val="24"/>
          <w:lang w:val="en-US"/>
        </w:rPr>
        <w:t xml:space="preserve">, S., Gu, B., Hart, J., Hoffman, D., Jang, W., </w:t>
      </w:r>
      <w:proofErr w:type="spellStart"/>
      <w:r w:rsidRPr="00404AC7">
        <w:rPr>
          <w:rFonts w:ascii="Times New Roman" w:eastAsia="Times New Roman" w:hAnsi="Times New Roman" w:cs="Times New Roman"/>
          <w:sz w:val="24"/>
          <w:szCs w:val="24"/>
          <w:lang w:val="en-US"/>
        </w:rPr>
        <w:t>Karapetyan</w:t>
      </w:r>
      <w:proofErr w:type="spellEnd"/>
      <w:r w:rsidRPr="00404AC7">
        <w:rPr>
          <w:rFonts w:ascii="Times New Roman" w:eastAsia="Times New Roman" w:hAnsi="Times New Roman" w:cs="Times New Roman"/>
          <w:sz w:val="24"/>
          <w:szCs w:val="24"/>
          <w:lang w:val="en-US"/>
        </w:rPr>
        <w:t xml:space="preserve">, K., Katz, K., Liu, C., </w:t>
      </w:r>
      <w:proofErr w:type="spellStart"/>
      <w:r w:rsidRPr="00404AC7">
        <w:rPr>
          <w:rFonts w:ascii="Times New Roman" w:eastAsia="Times New Roman" w:hAnsi="Times New Roman" w:cs="Times New Roman"/>
          <w:sz w:val="24"/>
          <w:szCs w:val="24"/>
          <w:lang w:val="en-US"/>
        </w:rPr>
        <w:t>Maddipatla</w:t>
      </w:r>
      <w:proofErr w:type="spellEnd"/>
      <w:r w:rsidRPr="00404AC7">
        <w:rPr>
          <w:rFonts w:ascii="Times New Roman" w:eastAsia="Times New Roman" w:hAnsi="Times New Roman" w:cs="Times New Roman"/>
          <w:sz w:val="24"/>
          <w:szCs w:val="24"/>
          <w:lang w:val="en-US"/>
        </w:rPr>
        <w:t xml:space="preserve">, Z., </w:t>
      </w:r>
      <w:proofErr w:type="spellStart"/>
      <w:r w:rsidRPr="00404AC7">
        <w:rPr>
          <w:rFonts w:ascii="Times New Roman" w:eastAsia="Times New Roman" w:hAnsi="Times New Roman" w:cs="Times New Roman"/>
          <w:sz w:val="24"/>
          <w:szCs w:val="24"/>
          <w:lang w:val="en-US"/>
        </w:rPr>
        <w:t>Malheiro</w:t>
      </w:r>
      <w:proofErr w:type="spellEnd"/>
      <w:r w:rsidRPr="00404AC7">
        <w:rPr>
          <w:rFonts w:ascii="Times New Roman" w:eastAsia="Times New Roman" w:hAnsi="Times New Roman" w:cs="Times New Roman"/>
          <w:sz w:val="24"/>
          <w:szCs w:val="24"/>
          <w:lang w:val="en-US"/>
        </w:rPr>
        <w:t xml:space="preserve">, A., McDaniel, K., </w:t>
      </w:r>
      <w:proofErr w:type="spellStart"/>
      <w:r w:rsidRPr="00404AC7">
        <w:rPr>
          <w:rFonts w:ascii="Times New Roman" w:eastAsia="Times New Roman" w:hAnsi="Times New Roman" w:cs="Times New Roman"/>
          <w:sz w:val="24"/>
          <w:szCs w:val="24"/>
          <w:lang w:val="en-US"/>
        </w:rPr>
        <w:t>Ovetsky</w:t>
      </w:r>
      <w:proofErr w:type="spellEnd"/>
      <w:r w:rsidRPr="00404AC7">
        <w:rPr>
          <w:rFonts w:ascii="Times New Roman" w:eastAsia="Times New Roman" w:hAnsi="Times New Roman" w:cs="Times New Roman"/>
          <w:sz w:val="24"/>
          <w:szCs w:val="24"/>
          <w:lang w:val="en-US"/>
        </w:rPr>
        <w:t xml:space="preserve">, M., Riley, G., Zhou, G., … </w:t>
      </w:r>
      <w:proofErr w:type="spellStart"/>
      <w:r w:rsidRPr="00404AC7">
        <w:rPr>
          <w:rFonts w:ascii="Times New Roman" w:eastAsia="Times New Roman" w:hAnsi="Times New Roman" w:cs="Times New Roman"/>
          <w:sz w:val="24"/>
          <w:szCs w:val="24"/>
          <w:lang w:val="en-US"/>
        </w:rPr>
        <w:t>Maglott</w:t>
      </w:r>
      <w:proofErr w:type="spellEnd"/>
      <w:r w:rsidRPr="00404AC7">
        <w:rPr>
          <w:rFonts w:ascii="Times New Roman" w:eastAsia="Times New Roman" w:hAnsi="Times New Roman" w:cs="Times New Roman"/>
          <w:sz w:val="24"/>
          <w:szCs w:val="24"/>
          <w:lang w:val="en-US"/>
        </w:rPr>
        <w:t xml:space="preserve">, D. R. (2018). </w:t>
      </w:r>
      <w:proofErr w:type="spellStart"/>
      <w:r w:rsidRPr="00404AC7">
        <w:rPr>
          <w:rFonts w:ascii="Times New Roman" w:eastAsia="Times New Roman" w:hAnsi="Times New Roman" w:cs="Times New Roman"/>
          <w:sz w:val="24"/>
          <w:szCs w:val="24"/>
          <w:lang w:val="en-US"/>
        </w:rPr>
        <w:t>ClinVar</w:t>
      </w:r>
      <w:proofErr w:type="spellEnd"/>
      <w:r w:rsidRPr="00404AC7">
        <w:rPr>
          <w:rFonts w:ascii="Times New Roman" w:eastAsia="Times New Roman" w:hAnsi="Times New Roman" w:cs="Times New Roman"/>
          <w:sz w:val="24"/>
          <w:szCs w:val="24"/>
          <w:lang w:val="en-US"/>
        </w:rPr>
        <w:t xml:space="preserve">: Improving access to variant interpretations and supporting evidence. </w:t>
      </w:r>
      <w:r w:rsidRPr="00404AC7">
        <w:rPr>
          <w:rFonts w:ascii="Times New Roman" w:eastAsia="Times New Roman" w:hAnsi="Times New Roman" w:cs="Times New Roman"/>
          <w:i/>
          <w:iCs/>
          <w:sz w:val="24"/>
          <w:szCs w:val="24"/>
          <w:lang w:val="en-US"/>
        </w:rPr>
        <w:t>Nucleic Acids Research, 46</w:t>
      </w:r>
      <w:r w:rsidRPr="00404AC7">
        <w:rPr>
          <w:rFonts w:ascii="Times New Roman" w:eastAsia="Times New Roman" w:hAnsi="Times New Roman" w:cs="Times New Roman"/>
          <w:sz w:val="24"/>
          <w:szCs w:val="24"/>
          <w:lang w:val="en-US"/>
        </w:rPr>
        <w:t>(D1), D1062–D1067. https://doi.org/10.1093/nar/gkx1153</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Liao, W. W., </w:t>
      </w:r>
      <w:proofErr w:type="spellStart"/>
      <w:r w:rsidRPr="00404AC7">
        <w:rPr>
          <w:rFonts w:ascii="Times New Roman" w:eastAsia="Times New Roman" w:hAnsi="Times New Roman" w:cs="Times New Roman"/>
          <w:sz w:val="24"/>
          <w:szCs w:val="24"/>
          <w:lang w:val="en-US"/>
        </w:rPr>
        <w:t>Asri</w:t>
      </w:r>
      <w:proofErr w:type="spellEnd"/>
      <w:r w:rsidRPr="00404AC7">
        <w:rPr>
          <w:rFonts w:ascii="Times New Roman" w:eastAsia="Times New Roman" w:hAnsi="Times New Roman" w:cs="Times New Roman"/>
          <w:sz w:val="24"/>
          <w:szCs w:val="24"/>
          <w:lang w:val="en-US"/>
        </w:rPr>
        <w:t xml:space="preserve">, M., </w:t>
      </w:r>
      <w:proofErr w:type="spellStart"/>
      <w:r w:rsidRPr="00404AC7">
        <w:rPr>
          <w:rFonts w:ascii="Times New Roman" w:eastAsia="Times New Roman" w:hAnsi="Times New Roman" w:cs="Times New Roman"/>
          <w:sz w:val="24"/>
          <w:szCs w:val="24"/>
          <w:lang w:val="en-US"/>
        </w:rPr>
        <w:t>Ebler</w:t>
      </w:r>
      <w:proofErr w:type="spellEnd"/>
      <w:r w:rsidRPr="00404AC7">
        <w:rPr>
          <w:rFonts w:ascii="Times New Roman" w:eastAsia="Times New Roman" w:hAnsi="Times New Roman" w:cs="Times New Roman"/>
          <w:sz w:val="24"/>
          <w:szCs w:val="24"/>
          <w:lang w:val="en-US"/>
        </w:rPr>
        <w:t xml:space="preserve">, J., </w:t>
      </w:r>
      <w:proofErr w:type="spellStart"/>
      <w:r w:rsidRPr="00404AC7">
        <w:rPr>
          <w:rFonts w:ascii="Times New Roman" w:eastAsia="Times New Roman" w:hAnsi="Times New Roman" w:cs="Times New Roman"/>
          <w:sz w:val="24"/>
          <w:szCs w:val="24"/>
          <w:lang w:val="en-US"/>
        </w:rPr>
        <w:t>Doerr</w:t>
      </w:r>
      <w:proofErr w:type="spellEnd"/>
      <w:r w:rsidRPr="00404AC7">
        <w:rPr>
          <w:rFonts w:ascii="Times New Roman" w:eastAsia="Times New Roman" w:hAnsi="Times New Roman" w:cs="Times New Roman"/>
          <w:sz w:val="24"/>
          <w:szCs w:val="24"/>
          <w:lang w:val="en-US"/>
        </w:rPr>
        <w:t xml:space="preserve">, D., </w:t>
      </w:r>
      <w:proofErr w:type="spellStart"/>
      <w:r w:rsidRPr="00404AC7">
        <w:rPr>
          <w:rFonts w:ascii="Times New Roman" w:eastAsia="Times New Roman" w:hAnsi="Times New Roman" w:cs="Times New Roman"/>
          <w:sz w:val="24"/>
          <w:szCs w:val="24"/>
          <w:lang w:val="en-US"/>
        </w:rPr>
        <w:t>Haukness</w:t>
      </w:r>
      <w:proofErr w:type="spellEnd"/>
      <w:r w:rsidRPr="00404AC7">
        <w:rPr>
          <w:rFonts w:ascii="Times New Roman" w:eastAsia="Times New Roman" w:hAnsi="Times New Roman" w:cs="Times New Roman"/>
          <w:sz w:val="24"/>
          <w:szCs w:val="24"/>
          <w:lang w:val="en-US"/>
        </w:rPr>
        <w:t xml:space="preserve">, M., Hickey, G., Lu, S., Lucas, J. K., </w:t>
      </w:r>
      <w:proofErr w:type="spellStart"/>
      <w:r w:rsidRPr="00404AC7">
        <w:rPr>
          <w:rFonts w:ascii="Times New Roman" w:eastAsia="Times New Roman" w:hAnsi="Times New Roman" w:cs="Times New Roman"/>
          <w:sz w:val="24"/>
          <w:szCs w:val="24"/>
          <w:lang w:val="en-US"/>
        </w:rPr>
        <w:t>Monlong</w:t>
      </w:r>
      <w:proofErr w:type="spellEnd"/>
      <w:r w:rsidRPr="00404AC7">
        <w:rPr>
          <w:rFonts w:ascii="Times New Roman" w:eastAsia="Times New Roman" w:hAnsi="Times New Roman" w:cs="Times New Roman"/>
          <w:sz w:val="24"/>
          <w:szCs w:val="24"/>
          <w:lang w:val="en-US"/>
        </w:rPr>
        <w:t xml:space="preserve">, J., Abel, H. J., </w:t>
      </w:r>
      <w:proofErr w:type="spellStart"/>
      <w:r w:rsidRPr="00404AC7">
        <w:rPr>
          <w:rFonts w:ascii="Times New Roman" w:eastAsia="Times New Roman" w:hAnsi="Times New Roman" w:cs="Times New Roman"/>
          <w:sz w:val="24"/>
          <w:szCs w:val="24"/>
          <w:lang w:val="en-US"/>
        </w:rPr>
        <w:t>Buonaiuto</w:t>
      </w:r>
      <w:proofErr w:type="spellEnd"/>
      <w:r w:rsidRPr="00404AC7">
        <w:rPr>
          <w:rFonts w:ascii="Times New Roman" w:eastAsia="Times New Roman" w:hAnsi="Times New Roman" w:cs="Times New Roman"/>
          <w:sz w:val="24"/>
          <w:szCs w:val="24"/>
          <w:lang w:val="en-US"/>
        </w:rPr>
        <w:t xml:space="preserve">, S., Chang, X. H., Cheng, H., Chu, J., Colonna, V., </w:t>
      </w:r>
      <w:proofErr w:type="spellStart"/>
      <w:r w:rsidRPr="00404AC7">
        <w:rPr>
          <w:rFonts w:ascii="Times New Roman" w:eastAsia="Times New Roman" w:hAnsi="Times New Roman" w:cs="Times New Roman"/>
          <w:sz w:val="24"/>
          <w:szCs w:val="24"/>
          <w:lang w:val="en-US"/>
        </w:rPr>
        <w:t>Eizenga</w:t>
      </w:r>
      <w:proofErr w:type="spellEnd"/>
      <w:r w:rsidRPr="00404AC7">
        <w:rPr>
          <w:rFonts w:ascii="Times New Roman" w:eastAsia="Times New Roman" w:hAnsi="Times New Roman" w:cs="Times New Roman"/>
          <w:sz w:val="24"/>
          <w:szCs w:val="24"/>
          <w:lang w:val="en-US"/>
        </w:rPr>
        <w:t xml:space="preserve">, J. M., Feng, X., Fischer, C., Fulton, R. S., … Paten, B. (2023). A draft human pangenome reference. </w:t>
      </w:r>
      <w:r w:rsidRPr="00404AC7">
        <w:rPr>
          <w:rFonts w:ascii="Times New Roman" w:eastAsia="Times New Roman" w:hAnsi="Times New Roman" w:cs="Times New Roman"/>
          <w:i/>
          <w:iCs/>
          <w:sz w:val="24"/>
          <w:szCs w:val="24"/>
          <w:lang w:val="en-US"/>
        </w:rPr>
        <w:t>Nature, 617</w:t>
      </w:r>
      <w:r w:rsidRPr="00404AC7">
        <w:rPr>
          <w:rFonts w:ascii="Times New Roman" w:eastAsia="Times New Roman" w:hAnsi="Times New Roman" w:cs="Times New Roman"/>
          <w:sz w:val="24"/>
          <w:szCs w:val="24"/>
          <w:lang w:val="en-US"/>
        </w:rPr>
        <w:t xml:space="preserve">(7960), 312–324. </w:t>
      </w:r>
      <w:hyperlink r:id="rId23" w:tgtFrame="_new" w:history="1">
        <w:r w:rsidRPr="00404AC7">
          <w:rPr>
            <w:rFonts w:ascii="Times New Roman" w:eastAsia="Times New Roman" w:hAnsi="Times New Roman" w:cs="Times New Roman"/>
            <w:color w:val="0000FF"/>
            <w:sz w:val="24"/>
            <w:szCs w:val="24"/>
            <w:u w:val="single"/>
            <w:lang w:val="en-US"/>
          </w:rPr>
          <w:t>https://doi.org/10.1038/s41586-023-05896-x</w:t>
        </w:r>
      </w:hyperlink>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Libbrecht</w:t>
      </w:r>
      <w:proofErr w:type="spellEnd"/>
      <w:r w:rsidRPr="00404AC7">
        <w:rPr>
          <w:rFonts w:ascii="Times New Roman" w:eastAsia="Times New Roman" w:hAnsi="Times New Roman" w:cs="Times New Roman"/>
          <w:sz w:val="24"/>
          <w:szCs w:val="24"/>
          <w:lang w:val="en-US"/>
        </w:rPr>
        <w:t xml:space="preserve">, M. W., &amp; Noble, W. S. (2015). Machine learning applications in genetics and genomics. </w:t>
      </w:r>
      <w:r w:rsidRPr="00404AC7">
        <w:rPr>
          <w:rFonts w:ascii="Times New Roman" w:eastAsia="Times New Roman" w:hAnsi="Times New Roman" w:cs="Times New Roman"/>
          <w:i/>
          <w:iCs/>
          <w:sz w:val="24"/>
          <w:szCs w:val="24"/>
          <w:lang w:val="en-US"/>
        </w:rPr>
        <w:t>Nature Reviews Genetics, 16</w:t>
      </w:r>
      <w:r w:rsidRPr="00404AC7">
        <w:rPr>
          <w:rFonts w:ascii="Times New Roman" w:eastAsia="Times New Roman" w:hAnsi="Times New Roman" w:cs="Times New Roman"/>
          <w:sz w:val="24"/>
          <w:szCs w:val="24"/>
          <w:lang w:val="en-US"/>
        </w:rPr>
        <w:t>(6), 321–332. https://doi.org/10.1038/nrg3920</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Lopez, R., </w:t>
      </w:r>
      <w:proofErr w:type="spellStart"/>
      <w:r w:rsidRPr="00404AC7">
        <w:rPr>
          <w:rFonts w:ascii="Times New Roman" w:eastAsia="Times New Roman" w:hAnsi="Times New Roman" w:cs="Times New Roman"/>
          <w:sz w:val="24"/>
          <w:szCs w:val="24"/>
          <w:lang w:val="en-US"/>
        </w:rPr>
        <w:t>Regier</w:t>
      </w:r>
      <w:proofErr w:type="spellEnd"/>
      <w:r w:rsidRPr="00404AC7">
        <w:rPr>
          <w:rFonts w:ascii="Times New Roman" w:eastAsia="Times New Roman" w:hAnsi="Times New Roman" w:cs="Times New Roman"/>
          <w:sz w:val="24"/>
          <w:szCs w:val="24"/>
          <w:lang w:val="en-US"/>
        </w:rPr>
        <w:t xml:space="preserve">, J., Cole, M. B., Jordan, M. I., &amp; Yosef, N. (2018). Deep generative modeling for single-cell transcriptomics. </w:t>
      </w:r>
      <w:r w:rsidRPr="00404AC7">
        <w:rPr>
          <w:rFonts w:ascii="Times New Roman" w:eastAsia="Times New Roman" w:hAnsi="Times New Roman" w:cs="Times New Roman"/>
          <w:i/>
          <w:iCs/>
          <w:sz w:val="24"/>
          <w:szCs w:val="24"/>
          <w:lang w:val="en-US"/>
        </w:rPr>
        <w:t>Nature Methods, 15</w:t>
      </w:r>
      <w:r w:rsidRPr="00404AC7">
        <w:rPr>
          <w:rFonts w:ascii="Times New Roman" w:eastAsia="Times New Roman" w:hAnsi="Times New Roman" w:cs="Times New Roman"/>
          <w:sz w:val="24"/>
          <w:szCs w:val="24"/>
          <w:lang w:val="en-US"/>
        </w:rPr>
        <w:t xml:space="preserve">(12), 1053–1058. </w:t>
      </w:r>
      <w:hyperlink r:id="rId24" w:tgtFrame="_new" w:history="1">
        <w:r w:rsidRPr="00404AC7">
          <w:rPr>
            <w:rFonts w:ascii="Times New Roman" w:eastAsia="Times New Roman" w:hAnsi="Times New Roman" w:cs="Times New Roman"/>
            <w:color w:val="0000FF"/>
            <w:sz w:val="24"/>
            <w:szCs w:val="24"/>
            <w:u w:val="single"/>
            <w:lang w:val="en-US"/>
          </w:rPr>
          <w:t>https://doi.org/10.1038/s41592-018-0229-2</w:t>
        </w:r>
      </w:hyperlink>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Lotfollahi</w:t>
      </w:r>
      <w:proofErr w:type="spellEnd"/>
      <w:r w:rsidRPr="00404AC7">
        <w:rPr>
          <w:rFonts w:ascii="Times New Roman" w:eastAsia="Times New Roman" w:hAnsi="Times New Roman" w:cs="Times New Roman"/>
          <w:sz w:val="24"/>
          <w:szCs w:val="24"/>
          <w:lang w:val="en-US"/>
        </w:rPr>
        <w:t xml:space="preserve">, M., Wolf, F. A., &amp; </w:t>
      </w:r>
      <w:proofErr w:type="spellStart"/>
      <w:r w:rsidRPr="00404AC7">
        <w:rPr>
          <w:rFonts w:ascii="Times New Roman" w:eastAsia="Times New Roman" w:hAnsi="Times New Roman" w:cs="Times New Roman"/>
          <w:sz w:val="24"/>
          <w:szCs w:val="24"/>
          <w:lang w:val="en-US"/>
        </w:rPr>
        <w:t>Theis</w:t>
      </w:r>
      <w:proofErr w:type="spellEnd"/>
      <w:r w:rsidRPr="00404AC7">
        <w:rPr>
          <w:rFonts w:ascii="Times New Roman" w:eastAsia="Times New Roman" w:hAnsi="Times New Roman" w:cs="Times New Roman"/>
          <w:sz w:val="24"/>
          <w:szCs w:val="24"/>
          <w:lang w:val="en-US"/>
        </w:rPr>
        <w:t xml:space="preserve">, F. J. (2019). </w:t>
      </w:r>
      <w:proofErr w:type="spellStart"/>
      <w:r w:rsidRPr="00404AC7">
        <w:rPr>
          <w:rFonts w:ascii="Times New Roman" w:eastAsia="Times New Roman" w:hAnsi="Times New Roman" w:cs="Times New Roman"/>
          <w:sz w:val="24"/>
          <w:szCs w:val="24"/>
          <w:lang w:val="en-US"/>
        </w:rPr>
        <w:t>scGen</w:t>
      </w:r>
      <w:proofErr w:type="spellEnd"/>
      <w:r w:rsidRPr="00404AC7">
        <w:rPr>
          <w:rFonts w:ascii="Times New Roman" w:eastAsia="Times New Roman" w:hAnsi="Times New Roman" w:cs="Times New Roman"/>
          <w:sz w:val="24"/>
          <w:szCs w:val="24"/>
          <w:lang w:val="en-US"/>
        </w:rPr>
        <w:t xml:space="preserve"> predicts single-cell perturbation responses. </w:t>
      </w:r>
      <w:r w:rsidRPr="00404AC7">
        <w:rPr>
          <w:rFonts w:ascii="Times New Roman" w:eastAsia="Times New Roman" w:hAnsi="Times New Roman" w:cs="Times New Roman"/>
          <w:i/>
          <w:iCs/>
          <w:sz w:val="24"/>
          <w:szCs w:val="24"/>
          <w:lang w:val="en-US"/>
        </w:rPr>
        <w:t>Nature Methods, 16</w:t>
      </w:r>
      <w:r w:rsidRPr="00404AC7">
        <w:rPr>
          <w:rFonts w:ascii="Times New Roman" w:eastAsia="Times New Roman" w:hAnsi="Times New Roman" w:cs="Times New Roman"/>
          <w:sz w:val="24"/>
          <w:szCs w:val="24"/>
          <w:lang w:val="en-US"/>
        </w:rPr>
        <w:t>(8), 715–721. https://doi.org/10.1038/s41592-019-0494-8</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lastRenderedPageBreak/>
        <w:t xml:space="preserve">Martin, A. R., Kanai, M., </w:t>
      </w:r>
      <w:proofErr w:type="spellStart"/>
      <w:r w:rsidRPr="00404AC7">
        <w:rPr>
          <w:rFonts w:ascii="Times New Roman" w:eastAsia="Times New Roman" w:hAnsi="Times New Roman" w:cs="Times New Roman"/>
          <w:sz w:val="24"/>
          <w:szCs w:val="24"/>
          <w:lang w:val="en-US"/>
        </w:rPr>
        <w:t>Kamatani</w:t>
      </w:r>
      <w:proofErr w:type="spellEnd"/>
      <w:r w:rsidRPr="00404AC7">
        <w:rPr>
          <w:rFonts w:ascii="Times New Roman" w:eastAsia="Times New Roman" w:hAnsi="Times New Roman" w:cs="Times New Roman"/>
          <w:sz w:val="24"/>
          <w:szCs w:val="24"/>
          <w:lang w:val="en-US"/>
        </w:rPr>
        <w:t xml:space="preserve">, Y., Okada, Y., Neale, B. M., &amp; Daly, M. J. (2019). Clinical use of current polygenic risk scores may exacerbate health disparities. </w:t>
      </w:r>
      <w:r w:rsidRPr="00404AC7">
        <w:rPr>
          <w:rFonts w:ascii="Times New Roman" w:eastAsia="Times New Roman" w:hAnsi="Times New Roman" w:cs="Times New Roman"/>
          <w:i/>
          <w:iCs/>
          <w:sz w:val="24"/>
          <w:szCs w:val="24"/>
          <w:lang w:val="en-US"/>
        </w:rPr>
        <w:t>Nature Genetics, 51</w:t>
      </w:r>
      <w:r w:rsidRPr="00404AC7">
        <w:rPr>
          <w:rFonts w:ascii="Times New Roman" w:eastAsia="Times New Roman" w:hAnsi="Times New Roman" w:cs="Times New Roman"/>
          <w:sz w:val="24"/>
          <w:szCs w:val="24"/>
          <w:lang w:val="en-US"/>
        </w:rPr>
        <w:t>(4), 584–591. https://doi.org/10.1038/s41588-019-0379-x</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Nurk</w:t>
      </w:r>
      <w:proofErr w:type="spellEnd"/>
      <w:r w:rsidRPr="00404AC7">
        <w:rPr>
          <w:rFonts w:ascii="Times New Roman" w:eastAsia="Times New Roman" w:hAnsi="Times New Roman" w:cs="Times New Roman"/>
          <w:sz w:val="24"/>
          <w:szCs w:val="24"/>
          <w:lang w:val="en-US"/>
        </w:rPr>
        <w:t xml:space="preserve">, S., </w:t>
      </w:r>
      <w:proofErr w:type="spellStart"/>
      <w:r w:rsidRPr="00404AC7">
        <w:rPr>
          <w:rFonts w:ascii="Times New Roman" w:eastAsia="Times New Roman" w:hAnsi="Times New Roman" w:cs="Times New Roman"/>
          <w:sz w:val="24"/>
          <w:szCs w:val="24"/>
          <w:lang w:val="en-US"/>
        </w:rPr>
        <w:t>Koren</w:t>
      </w:r>
      <w:proofErr w:type="spellEnd"/>
      <w:r w:rsidRPr="00404AC7">
        <w:rPr>
          <w:rFonts w:ascii="Times New Roman" w:eastAsia="Times New Roman" w:hAnsi="Times New Roman" w:cs="Times New Roman"/>
          <w:sz w:val="24"/>
          <w:szCs w:val="24"/>
          <w:lang w:val="en-US"/>
        </w:rPr>
        <w:t xml:space="preserve">, S., </w:t>
      </w:r>
      <w:proofErr w:type="spellStart"/>
      <w:r w:rsidRPr="00404AC7">
        <w:rPr>
          <w:rFonts w:ascii="Times New Roman" w:eastAsia="Times New Roman" w:hAnsi="Times New Roman" w:cs="Times New Roman"/>
          <w:sz w:val="24"/>
          <w:szCs w:val="24"/>
          <w:lang w:val="en-US"/>
        </w:rPr>
        <w:t>Rhie</w:t>
      </w:r>
      <w:proofErr w:type="spellEnd"/>
      <w:r w:rsidRPr="00404AC7">
        <w:rPr>
          <w:rFonts w:ascii="Times New Roman" w:eastAsia="Times New Roman" w:hAnsi="Times New Roman" w:cs="Times New Roman"/>
          <w:sz w:val="24"/>
          <w:szCs w:val="24"/>
          <w:lang w:val="en-US"/>
        </w:rPr>
        <w:t xml:space="preserve">, A., </w:t>
      </w:r>
      <w:proofErr w:type="spellStart"/>
      <w:r w:rsidRPr="00404AC7">
        <w:rPr>
          <w:rFonts w:ascii="Times New Roman" w:eastAsia="Times New Roman" w:hAnsi="Times New Roman" w:cs="Times New Roman"/>
          <w:sz w:val="24"/>
          <w:szCs w:val="24"/>
          <w:lang w:val="en-US"/>
        </w:rPr>
        <w:t>Rautiainen</w:t>
      </w:r>
      <w:proofErr w:type="spellEnd"/>
      <w:r w:rsidRPr="00404AC7">
        <w:rPr>
          <w:rFonts w:ascii="Times New Roman" w:eastAsia="Times New Roman" w:hAnsi="Times New Roman" w:cs="Times New Roman"/>
          <w:sz w:val="24"/>
          <w:szCs w:val="24"/>
          <w:lang w:val="en-US"/>
        </w:rPr>
        <w:t xml:space="preserve">, M., </w:t>
      </w:r>
      <w:proofErr w:type="spellStart"/>
      <w:r w:rsidRPr="00404AC7">
        <w:rPr>
          <w:rFonts w:ascii="Times New Roman" w:eastAsia="Times New Roman" w:hAnsi="Times New Roman" w:cs="Times New Roman"/>
          <w:sz w:val="24"/>
          <w:szCs w:val="24"/>
          <w:lang w:val="en-US"/>
        </w:rPr>
        <w:t>Bzikadze</w:t>
      </w:r>
      <w:proofErr w:type="spellEnd"/>
      <w:r w:rsidRPr="00404AC7">
        <w:rPr>
          <w:rFonts w:ascii="Times New Roman" w:eastAsia="Times New Roman" w:hAnsi="Times New Roman" w:cs="Times New Roman"/>
          <w:sz w:val="24"/>
          <w:szCs w:val="24"/>
          <w:lang w:val="en-US"/>
        </w:rPr>
        <w:t xml:space="preserve">, A. V., </w:t>
      </w:r>
      <w:proofErr w:type="spellStart"/>
      <w:r w:rsidRPr="00404AC7">
        <w:rPr>
          <w:rFonts w:ascii="Times New Roman" w:eastAsia="Times New Roman" w:hAnsi="Times New Roman" w:cs="Times New Roman"/>
          <w:sz w:val="24"/>
          <w:szCs w:val="24"/>
          <w:lang w:val="en-US"/>
        </w:rPr>
        <w:t>Mikheenko</w:t>
      </w:r>
      <w:proofErr w:type="spellEnd"/>
      <w:r w:rsidRPr="00404AC7">
        <w:rPr>
          <w:rFonts w:ascii="Times New Roman" w:eastAsia="Times New Roman" w:hAnsi="Times New Roman" w:cs="Times New Roman"/>
          <w:sz w:val="24"/>
          <w:szCs w:val="24"/>
          <w:lang w:val="en-US"/>
        </w:rPr>
        <w:t xml:space="preserve">, A., </w:t>
      </w:r>
      <w:proofErr w:type="spellStart"/>
      <w:r w:rsidRPr="00404AC7">
        <w:rPr>
          <w:rFonts w:ascii="Times New Roman" w:eastAsia="Times New Roman" w:hAnsi="Times New Roman" w:cs="Times New Roman"/>
          <w:sz w:val="24"/>
          <w:szCs w:val="24"/>
          <w:lang w:val="en-US"/>
        </w:rPr>
        <w:t>Vollger</w:t>
      </w:r>
      <w:proofErr w:type="spellEnd"/>
      <w:r w:rsidRPr="00404AC7">
        <w:rPr>
          <w:rFonts w:ascii="Times New Roman" w:eastAsia="Times New Roman" w:hAnsi="Times New Roman" w:cs="Times New Roman"/>
          <w:sz w:val="24"/>
          <w:szCs w:val="24"/>
          <w:lang w:val="en-US"/>
        </w:rPr>
        <w:t xml:space="preserve">, M. R., </w:t>
      </w:r>
      <w:proofErr w:type="spellStart"/>
      <w:r w:rsidRPr="00404AC7">
        <w:rPr>
          <w:rFonts w:ascii="Times New Roman" w:eastAsia="Times New Roman" w:hAnsi="Times New Roman" w:cs="Times New Roman"/>
          <w:sz w:val="24"/>
          <w:szCs w:val="24"/>
          <w:lang w:val="en-US"/>
        </w:rPr>
        <w:t>Altemose</w:t>
      </w:r>
      <w:proofErr w:type="spellEnd"/>
      <w:r w:rsidRPr="00404AC7">
        <w:rPr>
          <w:rFonts w:ascii="Times New Roman" w:eastAsia="Times New Roman" w:hAnsi="Times New Roman" w:cs="Times New Roman"/>
          <w:sz w:val="24"/>
          <w:szCs w:val="24"/>
          <w:lang w:val="en-US"/>
        </w:rPr>
        <w:t xml:space="preserve">, N., </w:t>
      </w:r>
      <w:proofErr w:type="spellStart"/>
      <w:r w:rsidRPr="00404AC7">
        <w:rPr>
          <w:rFonts w:ascii="Times New Roman" w:eastAsia="Times New Roman" w:hAnsi="Times New Roman" w:cs="Times New Roman"/>
          <w:sz w:val="24"/>
          <w:szCs w:val="24"/>
          <w:lang w:val="en-US"/>
        </w:rPr>
        <w:t>Uralsky</w:t>
      </w:r>
      <w:proofErr w:type="spellEnd"/>
      <w:r w:rsidRPr="00404AC7">
        <w:rPr>
          <w:rFonts w:ascii="Times New Roman" w:eastAsia="Times New Roman" w:hAnsi="Times New Roman" w:cs="Times New Roman"/>
          <w:sz w:val="24"/>
          <w:szCs w:val="24"/>
          <w:lang w:val="en-US"/>
        </w:rPr>
        <w:t xml:space="preserve">, L., Gershman, A., </w:t>
      </w:r>
      <w:proofErr w:type="spellStart"/>
      <w:r w:rsidRPr="00404AC7">
        <w:rPr>
          <w:rFonts w:ascii="Times New Roman" w:eastAsia="Times New Roman" w:hAnsi="Times New Roman" w:cs="Times New Roman"/>
          <w:sz w:val="24"/>
          <w:szCs w:val="24"/>
          <w:lang w:val="en-US"/>
        </w:rPr>
        <w:t>Aganezov</w:t>
      </w:r>
      <w:proofErr w:type="spellEnd"/>
      <w:r w:rsidRPr="00404AC7">
        <w:rPr>
          <w:rFonts w:ascii="Times New Roman" w:eastAsia="Times New Roman" w:hAnsi="Times New Roman" w:cs="Times New Roman"/>
          <w:sz w:val="24"/>
          <w:szCs w:val="24"/>
          <w:lang w:val="en-US"/>
        </w:rPr>
        <w:t xml:space="preserve">, S., Hoyt, S. J., </w:t>
      </w:r>
      <w:proofErr w:type="spellStart"/>
      <w:r w:rsidRPr="00404AC7">
        <w:rPr>
          <w:rFonts w:ascii="Times New Roman" w:eastAsia="Times New Roman" w:hAnsi="Times New Roman" w:cs="Times New Roman"/>
          <w:sz w:val="24"/>
          <w:szCs w:val="24"/>
          <w:lang w:val="en-US"/>
        </w:rPr>
        <w:t>Diekhans</w:t>
      </w:r>
      <w:proofErr w:type="spellEnd"/>
      <w:r w:rsidRPr="00404AC7">
        <w:rPr>
          <w:rFonts w:ascii="Times New Roman" w:eastAsia="Times New Roman" w:hAnsi="Times New Roman" w:cs="Times New Roman"/>
          <w:sz w:val="24"/>
          <w:szCs w:val="24"/>
          <w:lang w:val="en-US"/>
        </w:rPr>
        <w:t xml:space="preserve">, M., Logsdon, G. A., </w:t>
      </w:r>
      <w:proofErr w:type="spellStart"/>
      <w:r w:rsidRPr="00404AC7">
        <w:rPr>
          <w:rFonts w:ascii="Times New Roman" w:eastAsia="Times New Roman" w:hAnsi="Times New Roman" w:cs="Times New Roman"/>
          <w:sz w:val="24"/>
          <w:szCs w:val="24"/>
          <w:lang w:val="en-US"/>
        </w:rPr>
        <w:t>Alonge</w:t>
      </w:r>
      <w:proofErr w:type="spellEnd"/>
      <w:r w:rsidRPr="00404AC7">
        <w:rPr>
          <w:rFonts w:ascii="Times New Roman" w:eastAsia="Times New Roman" w:hAnsi="Times New Roman" w:cs="Times New Roman"/>
          <w:sz w:val="24"/>
          <w:szCs w:val="24"/>
          <w:lang w:val="en-US"/>
        </w:rPr>
        <w:t xml:space="preserve">, M., </w:t>
      </w:r>
      <w:proofErr w:type="spellStart"/>
      <w:r w:rsidRPr="00404AC7">
        <w:rPr>
          <w:rFonts w:ascii="Times New Roman" w:eastAsia="Times New Roman" w:hAnsi="Times New Roman" w:cs="Times New Roman"/>
          <w:sz w:val="24"/>
          <w:szCs w:val="24"/>
          <w:lang w:val="en-US"/>
        </w:rPr>
        <w:t>Antonarakis</w:t>
      </w:r>
      <w:proofErr w:type="spellEnd"/>
      <w:r w:rsidRPr="00404AC7">
        <w:rPr>
          <w:rFonts w:ascii="Times New Roman" w:eastAsia="Times New Roman" w:hAnsi="Times New Roman" w:cs="Times New Roman"/>
          <w:sz w:val="24"/>
          <w:szCs w:val="24"/>
          <w:lang w:val="en-US"/>
        </w:rPr>
        <w:t xml:space="preserve">, S. E., Borchers, M., Bouffard, G. G., Brooks, S. Y., … </w:t>
      </w:r>
      <w:proofErr w:type="spellStart"/>
      <w:r w:rsidRPr="00404AC7">
        <w:rPr>
          <w:rFonts w:ascii="Times New Roman" w:eastAsia="Times New Roman" w:hAnsi="Times New Roman" w:cs="Times New Roman"/>
          <w:sz w:val="24"/>
          <w:szCs w:val="24"/>
          <w:lang w:val="en-US"/>
        </w:rPr>
        <w:t>Phillippy</w:t>
      </w:r>
      <w:proofErr w:type="spellEnd"/>
      <w:r w:rsidRPr="00404AC7">
        <w:rPr>
          <w:rFonts w:ascii="Times New Roman" w:eastAsia="Times New Roman" w:hAnsi="Times New Roman" w:cs="Times New Roman"/>
          <w:sz w:val="24"/>
          <w:szCs w:val="24"/>
          <w:lang w:val="en-US"/>
        </w:rPr>
        <w:t xml:space="preserve">, A. M. (2022). The complete sequence of a human genome. </w:t>
      </w:r>
      <w:r w:rsidRPr="00404AC7">
        <w:rPr>
          <w:rFonts w:ascii="Times New Roman" w:eastAsia="Times New Roman" w:hAnsi="Times New Roman" w:cs="Times New Roman"/>
          <w:i/>
          <w:iCs/>
          <w:sz w:val="24"/>
          <w:szCs w:val="24"/>
          <w:lang w:val="en-US"/>
        </w:rPr>
        <w:t>Science, 376</w:t>
      </w:r>
      <w:r w:rsidRPr="00404AC7">
        <w:rPr>
          <w:rFonts w:ascii="Times New Roman" w:eastAsia="Times New Roman" w:hAnsi="Times New Roman" w:cs="Times New Roman"/>
          <w:sz w:val="24"/>
          <w:szCs w:val="24"/>
          <w:lang w:val="en-US"/>
        </w:rPr>
        <w:t>(6588), 44–53. https://doi.org/10.1126/science.abj6987</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Popejoy</w:t>
      </w:r>
      <w:proofErr w:type="spellEnd"/>
      <w:r w:rsidRPr="00404AC7">
        <w:rPr>
          <w:rFonts w:ascii="Times New Roman" w:eastAsia="Times New Roman" w:hAnsi="Times New Roman" w:cs="Times New Roman"/>
          <w:sz w:val="24"/>
          <w:szCs w:val="24"/>
          <w:lang w:val="en-US"/>
        </w:rPr>
        <w:t xml:space="preserve">, A. B., &amp; Fullerton, S. M. (2016). Genomics is failing on diversity. </w:t>
      </w:r>
      <w:r w:rsidRPr="00404AC7">
        <w:rPr>
          <w:rFonts w:ascii="Times New Roman" w:eastAsia="Times New Roman" w:hAnsi="Times New Roman" w:cs="Times New Roman"/>
          <w:i/>
          <w:iCs/>
          <w:sz w:val="24"/>
          <w:szCs w:val="24"/>
          <w:lang w:val="en-US"/>
        </w:rPr>
        <w:t>Nature, 538</w:t>
      </w:r>
      <w:r w:rsidRPr="00404AC7">
        <w:rPr>
          <w:rFonts w:ascii="Times New Roman" w:eastAsia="Times New Roman" w:hAnsi="Times New Roman" w:cs="Times New Roman"/>
          <w:sz w:val="24"/>
          <w:szCs w:val="24"/>
          <w:lang w:val="en-US"/>
        </w:rPr>
        <w:t>(7624), 161–164. https://doi.org/10.1038/538161a</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Poplin, R., Chang, P. C., Alexander, D., Schwartz, S., Colthurst, T., Ku, A., </w:t>
      </w:r>
      <w:proofErr w:type="spellStart"/>
      <w:r w:rsidRPr="00404AC7">
        <w:rPr>
          <w:rFonts w:ascii="Times New Roman" w:eastAsia="Times New Roman" w:hAnsi="Times New Roman" w:cs="Times New Roman"/>
          <w:sz w:val="24"/>
          <w:szCs w:val="24"/>
          <w:lang w:val="en-US"/>
        </w:rPr>
        <w:t>Newburger</w:t>
      </w:r>
      <w:proofErr w:type="spellEnd"/>
      <w:r w:rsidRPr="00404AC7">
        <w:rPr>
          <w:rFonts w:ascii="Times New Roman" w:eastAsia="Times New Roman" w:hAnsi="Times New Roman" w:cs="Times New Roman"/>
          <w:sz w:val="24"/>
          <w:szCs w:val="24"/>
          <w:lang w:val="en-US"/>
        </w:rPr>
        <w:t xml:space="preserve">, D., </w:t>
      </w:r>
      <w:proofErr w:type="spellStart"/>
      <w:r w:rsidRPr="00404AC7">
        <w:rPr>
          <w:rFonts w:ascii="Times New Roman" w:eastAsia="Times New Roman" w:hAnsi="Times New Roman" w:cs="Times New Roman"/>
          <w:sz w:val="24"/>
          <w:szCs w:val="24"/>
          <w:lang w:val="en-US"/>
        </w:rPr>
        <w:t>Dijamco</w:t>
      </w:r>
      <w:proofErr w:type="spellEnd"/>
      <w:r w:rsidRPr="00404AC7">
        <w:rPr>
          <w:rFonts w:ascii="Times New Roman" w:eastAsia="Times New Roman" w:hAnsi="Times New Roman" w:cs="Times New Roman"/>
          <w:sz w:val="24"/>
          <w:szCs w:val="24"/>
          <w:lang w:val="en-US"/>
        </w:rPr>
        <w:t xml:space="preserve">, J., Nguyen, N., Afshar, P. T., Gross, S. S., Dorfman, L., McLean, C. Y., &amp; </w:t>
      </w:r>
      <w:proofErr w:type="spellStart"/>
      <w:r w:rsidRPr="00404AC7">
        <w:rPr>
          <w:rFonts w:ascii="Times New Roman" w:eastAsia="Times New Roman" w:hAnsi="Times New Roman" w:cs="Times New Roman"/>
          <w:sz w:val="24"/>
          <w:szCs w:val="24"/>
          <w:lang w:val="en-US"/>
        </w:rPr>
        <w:t>DePristo</w:t>
      </w:r>
      <w:proofErr w:type="spellEnd"/>
      <w:r w:rsidRPr="00404AC7">
        <w:rPr>
          <w:rFonts w:ascii="Times New Roman" w:eastAsia="Times New Roman" w:hAnsi="Times New Roman" w:cs="Times New Roman"/>
          <w:sz w:val="24"/>
          <w:szCs w:val="24"/>
          <w:lang w:val="en-US"/>
        </w:rPr>
        <w:t xml:space="preserve">, M. A. (2018). A universal SNP and small-indel variant caller using deep neural networks. </w:t>
      </w:r>
      <w:r w:rsidRPr="00404AC7">
        <w:rPr>
          <w:rFonts w:ascii="Times New Roman" w:eastAsia="Times New Roman" w:hAnsi="Times New Roman" w:cs="Times New Roman"/>
          <w:i/>
          <w:iCs/>
          <w:sz w:val="24"/>
          <w:szCs w:val="24"/>
          <w:lang w:val="en-US"/>
        </w:rPr>
        <w:t>Nature Biotechnology, 36</w:t>
      </w:r>
      <w:r w:rsidRPr="00404AC7">
        <w:rPr>
          <w:rFonts w:ascii="Times New Roman" w:eastAsia="Times New Roman" w:hAnsi="Times New Roman" w:cs="Times New Roman"/>
          <w:sz w:val="24"/>
          <w:szCs w:val="24"/>
          <w:lang w:val="en-US"/>
        </w:rPr>
        <w:t>(10), 983–987. https://doi.org/10.1038/nbt.4235</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Quang, D., &amp; </w:t>
      </w:r>
      <w:proofErr w:type="spellStart"/>
      <w:r w:rsidRPr="00404AC7">
        <w:rPr>
          <w:rFonts w:ascii="Times New Roman" w:eastAsia="Times New Roman" w:hAnsi="Times New Roman" w:cs="Times New Roman"/>
          <w:sz w:val="24"/>
          <w:szCs w:val="24"/>
          <w:lang w:val="en-US"/>
        </w:rPr>
        <w:t>Xie</w:t>
      </w:r>
      <w:proofErr w:type="spellEnd"/>
      <w:r w:rsidRPr="00404AC7">
        <w:rPr>
          <w:rFonts w:ascii="Times New Roman" w:eastAsia="Times New Roman" w:hAnsi="Times New Roman" w:cs="Times New Roman"/>
          <w:sz w:val="24"/>
          <w:szCs w:val="24"/>
          <w:lang w:val="en-US"/>
        </w:rPr>
        <w:t xml:space="preserve">, X. (2016). </w:t>
      </w:r>
      <w:proofErr w:type="spellStart"/>
      <w:r w:rsidRPr="00404AC7">
        <w:rPr>
          <w:rFonts w:ascii="Times New Roman" w:eastAsia="Times New Roman" w:hAnsi="Times New Roman" w:cs="Times New Roman"/>
          <w:sz w:val="24"/>
          <w:szCs w:val="24"/>
          <w:lang w:val="en-US"/>
        </w:rPr>
        <w:t>DanQ</w:t>
      </w:r>
      <w:proofErr w:type="spellEnd"/>
      <w:r w:rsidRPr="00404AC7">
        <w:rPr>
          <w:rFonts w:ascii="Times New Roman" w:eastAsia="Times New Roman" w:hAnsi="Times New Roman" w:cs="Times New Roman"/>
          <w:sz w:val="24"/>
          <w:szCs w:val="24"/>
          <w:lang w:val="en-US"/>
        </w:rPr>
        <w:t xml:space="preserve">: A hybrid convolutional and recurrent deep neural network for quantifying the function of DNA sequences. </w:t>
      </w:r>
      <w:r w:rsidRPr="00404AC7">
        <w:rPr>
          <w:rFonts w:ascii="Times New Roman" w:eastAsia="Times New Roman" w:hAnsi="Times New Roman" w:cs="Times New Roman"/>
          <w:i/>
          <w:iCs/>
          <w:sz w:val="24"/>
          <w:szCs w:val="24"/>
          <w:lang w:val="en-US"/>
        </w:rPr>
        <w:t>Nucleic Acids Research, 44</w:t>
      </w:r>
      <w:r w:rsidRPr="00404AC7">
        <w:rPr>
          <w:rFonts w:ascii="Times New Roman" w:eastAsia="Times New Roman" w:hAnsi="Times New Roman" w:cs="Times New Roman"/>
          <w:sz w:val="24"/>
          <w:szCs w:val="24"/>
          <w:lang w:val="en-US"/>
        </w:rPr>
        <w:t>(11), e107. https://doi.org/10.1093/nar/gkw226</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Richards, S., Aziz, N., Bale, S., Bick, D., Das, S., </w:t>
      </w:r>
      <w:proofErr w:type="spellStart"/>
      <w:r w:rsidRPr="00404AC7">
        <w:rPr>
          <w:rFonts w:ascii="Times New Roman" w:eastAsia="Times New Roman" w:hAnsi="Times New Roman" w:cs="Times New Roman"/>
          <w:sz w:val="24"/>
          <w:szCs w:val="24"/>
          <w:lang w:val="en-US"/>
        </w:rPr>
        <w:t>Gastier</w:t>
      </w:r>
      <w:proofErr w:type="spellEnd"/>
      <w:r w:rsidRPr="00404AC7">
        <w:rPr>
          <w:rFonts w:ascii="Times New Roman" w:eastAsia="Times New Roman" w:hAnsi="Times New Roman" w:cs="Times New Roman"/>
          <w:sz w:val="24"/>
          <w:szCs w:val="24"/>
          <w:lang w:val="en-US"/>
        </w:rPr>
        <w:t xml:space="preserve">-Foster, J., Grody, W. W., Hegde, M., Lyon, E., Spector, E., </w:t>
      </w:r>
      <w:proofErr w:type="spellStart"/>
      <w:r w:rsidRPr="00404AC7">
        <w:rPr>
          <w:rFonts w:ascii="Times New Roman" w:eastAsia="Times New Roman" w:hAnsi="Times New Roman" w:cs="Times New Roman"/>
          <w:sz w:val="24"/>
          <w:szCs w:val="24"/>
          <w:lang w:val="en-US"/>
        </w:rPr>
        <w:t>Voelkerding</w:t>
      </w:r>
      <w:proofErr w:type="spellEnd"/>
      <w:r w:rsidRPr="00404AC7">
        <w:rPr>
          <w:rFonts w:ascii="Times New Roman" w:eastAsia="Times New Roman" w:hAnsi="Times New Roman" w:cs="Times New Roman"/>
          <w:sz w:val="24"/>
          <w:szCs w:val="24"/>
          <w:lang w:val="en-US"/>
        </w:rPr>
        <w:t xml:space="preserve">, K., &amp; Rehm, H. L. (2015). Standards and guidelines for the interpretation of sequence variants: A joint consensus recommendation of the American College of Medical Genetics and Genomics and the Association for Molecular Pathology. </w:t>
      </w:r>
      <w:r w:rsidRPr="00404AC7">
        <w:rPr>
          <w:rFonts w:ascii="Times New Roman" w:eastAsia="Times New Roman" w:hAnsi="Times New Roman" w:cs="Times New Roman"/>
          <w:i/>
          <w:iCs/>
          <w:sz w:val="24"/>
          <w:szCs w:val="24"/>
          <w:lang w:val="en-US"/>
        </w:rPr>
        <w:t>Genetics in Medicine, 17</w:t>
      </w:r>
      <w:r w:rsidRPr="00404AC7">
        <w:rPr>
          <w:rFonts w:ascii="Times New Roman" w:eastAsia="Times New Roman" w:hAnsi="Times New Roman" w:cs="Times New Roman"/>
          <w:sz w:val="24"/>
          <w:szCs w:val="24"/>
          <w:lang w:val="en-US"/>
        </w:rPr>
        <w:t xml:space="preserve">(5), 405–424. </w:t>
      </w:r>
      <w:hyperlink r:id="rId25" w:tgtFrame="_new" w:history="1">
        <w:r w:rsidRPr="00404AC7">
          <w:rPr>
            <w:rFonts w:ascii="Times New Roman" w:eastAsia="Times New Roman" w:hAnsi="Times New Roman" w:cs="Times New Roman"/>
            <w:color w:val="0000FF"/>
            <w:sz w:val="24"/>
            <w:szCs w:val="24"/>
            <w:u w:val="single"/>
            <w:lang w:val="en-US"/>
          </w:rPr>
          <w:t>https://doi.org/10.1038/gim.2015.30</w:t>
        </w:r>
      </w:hyperlink>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Roadmap Epigenomics Consortium. (2015). Integrative analysis of 111 reference human epigenomes. </w:t>
      </w:r>
      <w:r w:rsidRPr="00404AC7">
        <w:rPr>
          <w:rFonts w:ascii="Times New Roman" w:eastAsia="Times New Roman" w:hAnsi="Times New Roman" w:cs="Times New Roman"/>
          <w:i/>
          <w:iCs/>
          <w:sz w:val="24"/>
          <w:szCs w:val="24"/>
          <w:lang w:val="en-US"/>
        </w:rPr>
        <w:t>Nature, 518</w:t>
      </w:r>
      <w:r w:rsidRPr="00404AC7">
        <w:rPr>
          <w:rFonts w:ascii="Times New Roman" w:eastAsia="Times New Roman" w:hAnsi="Times New Roman" w:cs="Times New Roman"/>
          <w:sz w:val="24"/>
          <w:szCs w:val="24"/>
          <w:lang w:val="en-US"/>
        </w:rPr>
        <w:t xml:space="preserve">(7539), 317–330. </w:t>
      </w:r>
      <w:hyperlink r:id="rId26" w:tgtFrame="_new" w:history="1">
        <w:r w:rsidRPr="00404AC7">
          <w:rPr>
            <w:rFonts w:ascii="Times New Roman" w:eastAsia="Times New Roman" w:hAnsi="Times New Roman" w:cs="Times New Roman"/>
            <w:color w:val="0000FF"/>
            <w:sz w:val="24"/>
            <w:szCs w:val="24"/>
            <w:u w:val="single"/>
            <w:lang w:val="en-US"/>
          </w:rPr>
          <w:t>https://doi.org/10.1038/nature14248</w:t>
        </w:r>
      </w:hyperlink>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Sirugo</w:t>
      </w:r>
      <w:proofErr w:type="spellEnd"/>
      <w:r w:rsidRPr="00404AC7">
        <w:rPr>
          <w:rFonts w:ascii="Times New Roman" w:eastAsia="Times New Roman" w:hAnsi="Times New Roman" w:cs="Times New Roman"/>
          <w:sz w:val="24"/>
          <w:szCs w:val="24"/>
          <w:lang w:val="en-US"/>
        </w:rPr>
        <w:t xml:space="preserve">, G., Williams, S. M., &amp; </w:t>
      </w:r>
      <w:proofErr w:type="spellStart"/>
      <w:r w:rsidRPr="00404AC7">
        <w:rPr>
          <w:rFonts w:ascii="Times New Roman" w:eastAsia="Times New Roman" w:hAnsi="Times New Roman" w:cs="Times New Roman"/>
          <w:sz w:val="24"/>
          <w:szCs w:val="24"/>
          <w:lang w:val="en-US"/>
        </w:rPr>
        <w:t>Tishkoff</w:t>
      </w:r>
      <w:proofErr w:type="spellEnd"/>
      <w:r w:rsidRPr="00404AC7">
        <w:rPr>
          <w:rFonts w:ascii="Times New Roman" w:eastAsia="Times New Roman" w:hAnsi="Times New Roman" w:cs="Times New Roman"/>
          <w:sz w:val="24"/>
          <w:szCs w:val="24"/>
          <w:lang w:val="en-US"/>
        </w:rPr>
        <w:t xml:space="preserve">, S. A. (2019). The missing diversity in human genetic studies. </w:t>
      </w:r>
      <w:r w:rsidRPr="00404AC7">
        <w:rPr>
          <w:rFonts w:ascii="Times New Roman" w:eastAsia="Times New Roman" w:hAnsi="Times New Roman" w:cs="Times New Roman"/>
          <w:i/>
          <w:iCs/>
          <w:sz w:val="24"/>
          <w:szCs w:val="24"/>
          <w:lang w:val="en-US"/>
        </w:rPr>
        <w:t>Cell, 177</w:t>
      </w:r>
      <w:r w:rsidRPr="00404AC7">
        <w:rPr>
          <w:rFonts w:ascii="Times New Roman" w:eastAsia="Times New Roman" w:hAnsi="Times New Roman" w:cs="Times New Roman"/>
          <w:sz w:val="24"/>
          <w:szCs w:val="24"/>
          <w:lang w:val="en-US"/>
        </w:rPr>
        <w:t>(1), 26–31. https://doi.org/10.1016/j.cell.2019.02.048</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Tejada-</w:t>
      </w:r>
      <w:proofErr w:type="spellStart"/>
      <w:r w:rsidRPr="00404AC7">
        <w:rPr>
          <w:rFonts w:ascii="Times New Roman" w:eastAsia="Times New Roman" w:hAnsi="Times New Roman" w:cs="Times New Roman"/>
          <w:sz w:val="24"/>
          <w:szCs w:val="24"/>
          <w:lang w:val="en-US"/>
        </w:rPr>
        <w:t>Lapuerta</w:t>
      </w:r>
      <w:proofErr w:type="spellEnd"/>
      <w:r w:rsidRPr="00404AC7">
        <w:rPr>
          <w:rFonts w:ascii="Times New Roman" w:eastAsia="Times New Roman" w:hAnsi="Times New Roman" w:cs="Times New Roman"/>
          <w:sz w:val="24"/>
          <w:szCs w:val="24"/>
          <w:lang w:val="en-US"/>
        </w:rPr>
        <w:t xml:space="preserve">, A., </w:t>
      </w:r>
      <w:proofErr w:type="spellStart"/>
      <w:r w:rsidRPr="00404AC7">
        <w:rPr>
          <w:rFonts w:ascii="Times New Roman" w:eastAsia="Times New Roman" w:hAnsi="Times New Roman" w:cs="Times New Roman"/>
          <w:sz w:val="24"/>
          <w:szCs w:val="24"/>
          <w:lang w:val="en-US"/>
        </w:rPr>
        <w:t>Bertin</w:t>
      </w:r>
      <w:proofErr w:type="spellEnd"/>
      <w:r w:rsidRPr="00404AC7">
        <w:rPr>
          <w:rFonts w:ascii="Times New Roman" w:eastAsia="Times New Roman" w:hAnsi="Times New Roman" w:cs="Times New Roman"/>
          <w:sz w:val="24"/>
          <w:szCs w:val="24"/>
          <w:lang w:val="en-US"/>
        </w:rPr>
        <w:t xml:space="preserve">, P., Bauer, S., </w:t>
      </w:r>
      <w:proofErr w:type="spellStart"/>
      <w:r w:rsidRPr="00404AC7">
        <w:rPr>
          <w:rFonts w:ascii="Times New Roman" w:eastAsia="Times New Roman" w:hAnsi="Times New Roman" w:cs="Times New Roman"/>
          <w:sz w:val="24"/>
          <w:szCs w:val="24"/>
          <w:lang w:val="en-US"/>
        </w:rPr>
        <w:t>Aliee</w:t>
      </w:r>
      <w:proofErr w:type="spellEnd"/>
      <w:r w:rsidRPr="00404AC7">
        <w:rPr>
          <w:rFonts w:ascii="Times New Roman" w:eastAsia="Times New Roman" w:hAnsi="Times New Roman" w:cs="Times New Roman"/>
          <w:sz w:val="24"/>
          <w:szCs w:val="24"/>
          <w:lang w:val="en-US"/>
        </w:rPr>
        <w:t xml:space="preserve">, H., </w:t>
      </w:r>
      <w:proofErr w:type="spellStart"/>
      <w:r w:rsidRPr="00404AC7">
        <w:rPr>
          <w:rFonts w:ascii="Times New Roman" w:eastAsia="Times New Roman" w:hAnsi="Times New Roman" w:cs="Times New Roman"/>
          <w:sz w:val="24"/>
          <w:szCs w:val="24"/>
          <w:lang w:val="en-US"/>
        </w:rPr>
        <w:t>Bengio</w:t>
      </w:r>
      <w:proofErr w:type="spellEnd"/>
      <w:r w:rsidRPr="00404AC7">
        <w:rPr>
          <w:rFonts w:ascii="Times New Roman" w:eastAsia="Times New Roman" w:hAnsi="Times New Roman" w:cs="Times New Roman"/>
          <w:sz w:val="24"/>
          <w:szCs w:val="24"/>
          <w:lang w:val="en-US"/>
        </w:rPr>
        <w:t xml:space="preserve">, Y., &amp; </w:t>
      </w:r>
      <w:proofErr w:type="spellStart"/>
      <w:r w:rsidRPr="00404AC7">
        <w:rPr>
          <w:rFonts w:ascii="Times New Roman" w:eastAsia="Times New Roman" w:hAnsi="Times New Roman" w:cs="Times New Roman"/>
          <w:sz w:val="24"/>
          <w:szCs w:val="24"/>
          <w:lang w:val="en-US"/>
        </w:rPr>
        <w:t>Theis</w:t>
      </w:r>
      <w:proofErr w:type="spellEnd"/>
      <w:r w:rsidRPr="00404AC7">
        <w:rPr>
          <w:rFonts w:ascii="Times New Roman" w:eastAsia="Times New Roman" w:hAnsi="Times New Roman" w:cs="Times New Roman"/>
          <w:sz w:val="24"/>
          <w:szCs w:val="24"/>
          <w:lang w:val="en-US"/>
        </w:rPr>
        <w:t xml:space="preserve">, F. J. (2025). Causal machine learning for single-cell genomics. </w:t>
      </w:r>
      <w:r w:rsidRPr="00404AC7">
        <w:rPr>
          <w:rFonts w:ascii="Times New Roman" w:eastAsia="Times New Roman" w:hAnsi="Times New Roman" w:cs="Times New Roman"/>
          <w:i/>
          <w:iCs/>
          <w:sz w:val="24"/>
          <w:szCs w:val="24"/>
          <w:lang w:val="en-US"/>
        </w:rPr>
        <w:t>Nature Genetics, 57</w:t>
      </w:r>
      <w:r w:rsidRPr="00404AC7">
        <w:rPr>
          <w:rFonts w:ascii="Times New Roman" w:eastAsia="Times New Roman" w:hAnsi="Times New Roman" w:cs="Times New Roman"/>
          <w:sz w:val="24"/>
          <w:szCs w:val="24"/>
          <w:lang w:val="en-US"/>
        </w:rPr>
        <w:t xml:space="preserve">, 797–808. </w:t>
      </w:r>
      <w:hyperlink r:id="rId27" w:history="1">
        <w:r w:rsidR="006F004F" w:rsidRPr="00021F58">
          <w:rPr>
            <w:rStyle w:val="Hyperlink"/>
            <w:rFonts w:ascii="Times New Roman" w:eastAsia="Times New Roman" w:hAnsi="Times New Roman" w:cs="Times New Roman"/>
            <w:sz w:val="24"/>
            <w:szCs w:val="24"/>
            <w:lang w:val="en-US"/>
          </w:rPr>
          <w:t>https://doi.org/10.1038/s41588-025-02124-2</w:t>
        </w:r>
      </w:hyperlink>
      <w:r w:rsidR="006F004F">
        <w:rPr>
          <w:rFonts w:ascii="Times New Roman" w:eastAsia="Times New Roman" w:hAnsi="Times New Roman" w:cs="Times New Roman"/>
          <w:sz w:val="24"/>
          <w:szCs w:val="24"/>
          <w:lang w:val="en-US"/>
        </w:rPr>
        <w:t xml:space="preserve"> </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Tunyasuvunakool</w:t>
      </w:r>
      <w:proofErr w:type="spellEnd"/>
      <w:r w:rsidRPr="00404AC7">
        <w:rPr>
          <w:rFonts w:ascii="Times New Roman" w:eastAsia="Times New Roman" w:hAnsi="Times New Roman" w:cs="Times New Roman"/>
          <w:sz w:val="24"/>
          <w:szCs w:val="24"/>
          <w:lang w:val="en-US"/>
        </w:rPr>
        <w:t xml:space="preserve">, K., Adler, J., Wu, Z., Green, T., Zielinski, M., </w:t>
      </w:r>
      <w:proofErr w:type="spellStart"/>
      <w:r w:rsidRPr="00404AC7">
        <w:rPr>
          <w:rFonts w:ascii="Times New Roman" w:eastAsia="Times New Roman" w:hAnsi="Times New Roman" w:cs="Times New Roman"/>
          <w:sz w:val="24"/>
          <w:szCs w:val="24"/>
          <w:lang w:val="en-US"/>
        </w:rPr>
        <w:t>Žídek</w:t>
      </w:r>
      <w:proofErr w:type="spellEnd"/>
      <w:r w:rsidRPr="00404AC7">
        <w:rPr>
          <w:rFonts w:ascii="Times New Roman" w:eastAsia="Times New Roman" w:hAnsi="Times New Roman" w:cs="Times New Roman"/>
          <w:sz w:val="24"/>
          <w:szCs w:val="24"/>
          <w:lang w:val="en-US"/>
        </w:rPr>
        <w:t xml:space="preserve">, A., </w:t>
      </w:r>
      <w:proofErr w:type="spellStart"/>
      <w:r w:rsidRPr="00404AC7">
        <w:rPr>
          <w:rFonts w:ascii="Times New Roman" w:eastAsia="Times New Roman" w:hAnsi="Times New Roman" w:cs="Times New Roman"/>
          <w:sz w:val="24"/>
          <w:szCs w:val="24"/>
          <w:lang w:val="en-US"/>
        </w:rPr>
        <w:t>Bridgland</w:t>
      </w:r>
      <w:proofErr w:type="spellEnd"/>
      <w:r w:rsidRPr="00404AC7">
        <w:rPr>
          <w:rFonts w:ascii="Times New Roman" w:eastAsia="Times New Roman" w:hAnsi="Times New Roman" w:cs="Times New Roman"/>
          <w:sz w:val="24"/>
          <w:szCs w:val="24"/>
          <w:lang w:val="en-US"/>
        </w:rPr>
        <w:t xml:space="preserve">, A., Cowie, A., Meyer, C., </w:t>
      </w:r>
      <w:proofErr w:type="spellStart"/>
      <w:r w:rsidRPr="00404AC7">
        <w:rPr>
          <w:rFonts w:ascii="Times New Roman" w:eastAsia="Times New Roman" w:hAnsi="Times New Roman" w:cs="Times New Roman"/>
          <w:sz w:val="24"/>
          <w:szCs w:val="24"/>
          <w:lang w:val="en-US"/>
        </w:rPr>
        <w:t>Laydon</w:t>
      </w:r>
      <w:proofErr w:type="spellEnd"/>
      <w:r w:rsidRPr="00404AC7">
        <w:rPr>
          <w:rFonts w:ascii="Times New Roman" w:eastAsia="Times New Roman" w:hAnsi="Times New Roman" w:cs="Times New Roman"/>
          <w:sz w:val="24"/>
          <w:szCs w:val="24"/>
          <w:lang w:val="en-US"/>
        </w:rPr>
        <w:t xml:space="preserve">, A., </w:t>
      </w:r>
      <w:proofErr w:type="spellStart"/>
      <w:r w:rsidRPr="00404AC7">
        <w:rPr>
          <w:rFonts w:ascii="Times New Roman" w:eastAsia="Times New Roman" w:hAnsi="Times New Roman" w:cs="Times New Roman"/>
          <w:sz w:val="24"/>
          <w:szCs w:val="24"/>
          <w:lang w:val="en-US"/>
        </w:rPr>
        <w:t>Velankar</w:t>
      </w:r>
      <w:proofErr w:type="spellEnd"/>
      <w:r w:rsidRPr="00404AC7">
        <w:rPr>
          <w:rFonts w:ascii="Times New Roman" w:eastAsia="Times New Roman" w:hAnsi="Times New Roman" w:cs="Times New Roman"/>
          <w:sz w:val="24"/>
          <w:szCs w:val="24"/>
          <w:lang w:val="en-US"/>
        </w:rPr>
        <w:t xml:space="preserve">, S., </w:t>
      </w:r>
      <w:proofErr w:type="spellStart"/>
      <w:r w:rsidRPr="00404AC7">
        <w:rPr>
          <w:rFonts w:ascii="Times New Roman" w:eastAsia="Times New Roman" w:hAnsi="Times New Roman" w:cs="Times New Roman"/>
          <w:sz w:val="24"/>
          <w:szCs w:val="24"/>
          <w:lang w:val="en-US"/>
        </w:rPr>
        <w:t>Kleywegt</w:t>
      </w:r>
      <w:proofErr w:type="spellEnd"/>
      <w:r w:rsidRPr="00404AC7">
        <w:rPr>
          <w:rFonts w:ascii="Times New Roman" w:eastAsia="Times New Roman" w:hAnsi="Times New Roman" w:cs="Times New Roman"/>
          <w:sz w:val="24"/>
          <w:szCs w:val="24"/>
          <w:lang w:val="en-US"/>
        </w:rPr>
        <w:t xml:space="preserve">, G. J., Bateman, A., Evans, R., </w:t>
      </w:r>
      <w:proofErr w:type="spellStart"/>
      <w:r w:rsidRPr="00404AC7">
        <w:rPr>
          <w:rFonts w:ascii="Times New Roman" w:eastAsia="Times New Roman" w:hAnsi="Times New Roman" w:cs="Times New Roman"/>
          <w:sz w:val="24"/>
          <w:szCs w:val="24"/>
          <w:lang w:val="en-US"/>
        </w:rPr>
        <w:t>Pritzel</w:t>
      </w:r>
      <w:proofErr w:type="spellEnd"/>
      <w:r w:rsidRPr="00404AC7">
        <w:rPr>
          <w:rFonts w:ascii="Times New Roman" w:eastAsia="Times New Roman" w:hAnsi="Times New Roman" w:cs="Times New Roman"/>
          <w:sz w:val="24"/>
          <w:szCs w:val="24"/>
          <w:lang w:val="en-US"/>
        </w:rPr>
        <w:t xml:space="preserve">, A., </w:t>
      </w:r>
      <w:proofErr w:type="spellStart"/>
      <w:r w:rsidRPr="00404AC7">
        <w:rPr>
          <w:rFonts w:ascii="Times New Roman" w:eastAsia="Times New Roman" w:hAnsi="Times New Roman" w:cs="Times New Roman"/>
          <w:sz w:val="24"/>
          <w:szCs w:val="24"/>
          <w:lang w:val="en-US"/>
        </w:rPr>
        <w:t>Figurnov</w:t>
      </w:r>
      <w:proofErr w:type="spellEnd"/>
      <w:r w:rsidRPr="00404AC7">
        <w:rPr>
          <w:rFonts w:ascii="Times New Roman" w:eastAsia="Times New Roman" w:hAnsi="Times New Roman" w:cs="Times New Roman"/>
          <w:sz w:val="24"/>
          <w:szCs w:val="24"/>
          <w:lang w:val="en-US"/>
        </w:rPr>
        <w:t xml:space="preserve">, M., </w:t>
      </w:r>
      <w:proofErr w:type="spellStart"/>
      <w:r w:rsidRPr="00404AC7">
        <w:rPr>
          <w:rFonts w:ascii="Times New Roman" w:eastAsia="Times New Roman" w:hAnsi="Times New Roman" w:cs="Times New Roman"/>
          <w:sz w:val="24"/>
          <w:szCs w:val="24"/>
          <w:lang w:val="en-US"/>
        </w:rPr>
        <w:t>Ronneberger</w:t>
      </w:r>
      <w:proofErr w:type="spellEnd"/>
      <w:r w:rsidRPr="00404AC7">
        <w:rPr>
          <w:rFonts w:ascii="Times New Roman" w:eastAsia="Times New Roman" w:hAnsi="Times New Roman" w:cs="Times New Roman"/>
          <w:sz w:val="24"/>
          <w:szCs w:val="24"/>
          <w:lang w:val="en-US"/>
        </w:rPr>
        <w:t xml:space="preserve">, O., Bates, R., Kohl, S. A. A., … Hassabis, D. (2021). Highly accurate protein structure prediction for the human proteome. </w:t>
      </w:r>
      <w:r w:rsidRPr="00404AC7">
        <w:rPr>
          <w:rFonts w:ascii="Times New Roman" w:eastAsia="Times New Roman" w:hAnsi="Times New Roman" w:cs="Times New Roman"/>
          <w:i/>
          <w:iCs/>
          <w:sz w:val="24"/>
          <w:szCs w:val="24"/>
          <w:lang w:val="en-US"/>
        </w:rPr>
        <w:t>Nature, 596</w:t>
      </w:r>
      <w:r w:rsidRPr="00404AC7">
        <w:rPr>
          <w:rFonts w:ascii="Times New Roman" w:eastAsia="Times New Roman" w:hAnsi="Times New Roman" w:cs="Times New Roman"/>
          <w:sz w:val="24"/>
          <w:szCs w:val="24"/>
          <w:lang w:val="en-US"/>
        </w:rPr>
        <w:t xml:space="preserve">(7873), 590–596. </w:t>
      </w:r>
      <w:hyperlink r:id="rId28" w:tgtFrame="_new" w:history="1">
        <w:r w:rsidRPr="00404AC7">
          <w:rPr>
            <w:rFonts w:ascii="Times New Roman" w:eastAsia="Times New Roman" w:hAnsi="Times New Roman" w:cs="Times New Roman"/>
            <w:color w:val="0000FF"/>
            <w:sz w:val="24"/>
            <w:szCs w:val="24"/>
            <w:u w:val="single"/>
            <w:lang w:val="en-US"/>
          </w:rPr>
          <w:t>https://doi.org/10.1038/s41586-021-03828-1</w:t>
        </w:r>
      </w:hyperlink>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Varadi</w:t>
      </w:r>
      <w:proofErr w:type="spellEnd"/>
      <w:r w:rsidRPr="00404AC7">
        <w:rPr>
          <w:rFonts w:ascii="Times New Roman" w:eastAsia="Times New Roman" w:hAnsi="Times New Roman" w:cs="Times New Roman"/>
          <w:sz w:val="24"/>
          <w:szCs w:val="24"/>
          <w:lang w:val="en-US"/>
        </w:rPr>
        <w:t xml:space="preserve">, M., </w:t>
      </w:r>
      <w:proofErr w:type="spellStart"/>
      <w:r w:rsidRPr="00404AC7">
        <w:rPr>
          <w:rFonts w:ascii="Times New Roman" w:eastAsia="Times New Roman" w:hAnsi="Times New Roman" w:cs="Times New Roman"/>
          <w:sz w:val="24"/>
          <w:szCs w:val="24"/>
          <w:lang w:val="en-US"/>
        </w:rPr>
        <w:t>Anyango</w:t>
      </w:r>
      <w:proofErr w:type="spellEnd"/>
      <w:r w:rsidRPr="00404AC7">
        <w:rPr>
          <w:rFonts w:ascii="Times New Roman" w:eastAsia="Times New Roman" w:hAnsi="Times New Roman" w:cs="Times New Roman"/>
          <w:sz w:val="24"/>
          <w:szCs w:val="24"/>
          <w:lang w:val="en-US"/>
        </w:rPr>
        <w:t xml:space="preserve">, S., Deshpande, M., Nair, S., </w:t>
      </w:r>
      <w:proofErr w:type="spellStart"/>
      <w:r w:rsidRPr="00404AC7">
        <w:rPr>
          <w:rFonts w:ascii="Times New Roman" w:eastAsia="Times New Roman" w:hAnsi="Times New Roman" w:cs="Times New Roman"/>
          <w:sz w:val="24"/>
          <w:szCs w:val="24"/>
          <w:lang w:val="en-US"/>
        </w:rPr>
        <w:t>Natassia</w:t>
      </w:r>
      <w:proofErr w:type="spellEnd"/>
      <w:r w:rsidRPr="00404AC7">
        <w:rPr>
          <w:rFonts w:ascii="Times New Roman" w:eastAsia="Times New Roman" w:hAnsi="Times New Roman" w:cs="Times New Roman"/>
          <w:sz w:val="24"/>
          <w:szCs w:val="24"/>
          <w:lang w:val="en-US"/>
        </w:rPr>
        <w:t xml:space="preserve">, C., </w:t>
      </w:r>
      <w:proofErr w:type="spellStart"/>
      <w:r w:rsidRPr="00404AC7">
        <w:rPr>
          <w:rFonts w:ascii="Times New Roman" w:eastAsia="Times New Roman" w:hAnsi="Times New Roman" w:cs="Times New Roman"/>
          <w:sz w:val="24"/>
          <w:szCs w:val="24"/>
          <w:lang w:val="en-US"/>
        </w:rPr>
        <w:t>Yordanova</w:t>
      </w:r>
      <w:proofErr w:type="spellEnd"/>
      <w:r w:rsidRPr="00404AC7">
        <w:rPr>
          <w:rFonts w:ascii="Times New Roman" w:eastAsia="Times New Roman" w:hAnsi="Times New Roman" w:cs="Times New Roman"/>
          <w:sz w:val="24"/>
          <w:szCs w:val="24"/>
          <w:lang w:val="en-US"/>
        </w:rPr>
        <w:t xml:space="preserve">, G., Yuan, D., </w:t>
      </w:r>
      <w:proofErr w:type="spellStart"/>
      <w:r w:rsidRPr="00404AC7">
        <w:rPr>
          <w:rFonts w:ascii="Times New Roman" w:eastAsia="Times New Roman" w:hAnsi="Times New Roman" w:cs="Times New Roman"/>
          <w:sz w:val="24"/>
          <w:szCs w:val="24"/>
          <w:lang w:val="en-US"/>
        </w:rPr>
        <w:t>Stroe</w:t>
      </w:r>
      <w:proofErr w:type="spellEnd"/>
      <w:r w:rsidRPr="00404AC7">
        <w:rPr>
          <w:rFonts w:ascii="Times New Roman" w:eastAsia="Times New Roman" w:hAnsi="Times New Roman" w:cs="Times New Roman"/>
          <w:sz w:val="24"/>
          <w:szCs w:val="24"/>
          <w:lang w:val="en-US"/>
        </w:rPr>
        <w:t xml:space="preserve">, O., Wood, G., </w:t>
      </w:r>
      <w:proofErr w:type="spellStart"/>
      <w:r w:rsidRPr="00404AC7">
        <w:rPr>
          <w:rFonts w:ascii="Times New Roman" w:eastAsia="Times New Roman" w:hAnsi="Times New Roman" w:cs="Times New Roman"/>
          <w:sz w:val="24"/>
          <w:szCs w:val="24"/>
          <w:lang w:val="en-US"/>
        </w:rPr>
        <w:t>Laydon</w:t>
      </w:r>
      <w:proofErr w:type="spellEnd"/>
      <w:r w:rsidRPr="00404AC7">
        <w:rPr>
          <w:rFonts w:ascii="Times New Roman" w:eastAsia="Times New Roman" w:hAnsi="Times New Roman" w:cs="Times New Roman"/>
          <w:sz w:val="24"/>
          <w:szCs w:val="24"/>
          <w:lang w:val="en-US"/>
        </w:rPr>
        <w:t xml:space="preserve">, A., </w:t>
      </w:r>
      <w:proofErr w:type="spellStart"/>
      <w:r w:rsidRPr="00404AC7">
        <w:rPr>
          <w:rFonts w:ascii="Times New Roman" w:eastAsia="Times New Roman" w:hAnsi="Times New Roman" w:cs="Times New Roman"/>
          <w:sz w:val="24"/>
          <w:szCs w:val="24"/>
          <w:lang w:val="en-US"/>
        </w:rPr>
        <w:t>Žídek</w:t>
      </w:r>
      <w:proofErr w:type="spellEnd"/>
      <w:r w:rsidRPr="00404AC7">
        <w:rPr>
          <w:rFonts w:ascii="Times New Roman" w:eastAsia="Times New Roman" w:hAnsi="Times New Roman" w:cs="Times New Roman"/>
          <w:sz w:val="24"/>
          <w:szCs w:val="24"/>
          <w:lang w:val="en-US"/>
        </w:rPr>
        <w:t xml:space="preserve">, A., Green, T., </w:t>
      </w:r>
      <w:proofErr w:type="spellStart"/>
      <w:r w:rsidRPr="00404AC7">
        <w:rPr>
          <w:rFonts w:ascii="Times New Roman" w:eastAsia="Times New Roman" w:hAnsi="Times New Roman" w:cs="Times New Roman"/>
          <w:sz w:val="24"/>
          <w:szCs w:val="24"/>
          <w:lang w:val="en-US"/>
        </w:rPr>
        <w:t>Tunyasuvunakool</w:t>
      </w:r>
      <w:proofErr w:type="spellEnd"/>
      <w:r w:rsidRPr="00404AC7">
        <w:rPr>
          <w:rFonts w:ascii="Times New Roman" w:eastAsia="Times New Roman" w:hAnsi="Times New Roman" w:cs="Times New Roman"/>
          <w:sz w:val="24"/>
          <w:szCs w:val="24"/>
          <w:lang w:val="en-US"/>
        </w:rPr>
        <w:t xml:space="preserve">, K., Petersen, S., Jumper, J., Clancy, E., Green, R., Vora, A., Lutfi, M., … </w:t>
      </w:r>
      <w:proofErr w:type="spellStart"/>
      <w:r w:rsidRPr="00404AC7">
        <w:rPr>
          <w:rFonts w:ascii="Times New Roman" w:eastAsia="Times New Roman" w:hAnsi="Times New Roman" w:cs="Times New Roman"/>
          <w:sz w:val="24"/>
          <w:szCs w:val="24"/>
          <w:lang w:val="en-US"/>
        </w:rPr>
        <w:t>Velankar</w:t>
      </w:r>
      <w:proofErr w:type="spellEnd"/>
      <w:r w:rsidRPr="00404AC7">
        <w:rPr>
          <w:rFonts w:ascii="Times New Roman" w:eastAsia="Times New Roman" w:hAnsi="Times New Roman" w:cs="Times New Roman"/>
          <w:sz w:val="24"/>
          <w:szCs w:val="24"/>
          <w:lang w:val="en-US"/>
        </w:rPr>
        <w:t xml:space="preserve">, S. (2022). </w:t>
      </w:r>
      <w:proofErr w:type="spellStart"/>
      <w:r w:rsidRPr="00404AC7">
        <w:rPr>
          <w:rFonts w:ascii="Times New Roman" w:eastAsia="Times New Roman" w:hAnsi="Times New Roman" w:cs="Times New Roman"/>
          <w:sz w:val="24"/>
          <w:szCs w:val="24"/>
          <w:lang w:val="en-US"/>
        </w:rPr>
        <w:t>AlphaFold</w:t>
      </w:r>
      <w:proofErr w:type="spellEnd"/>
      <w:r w:rsidRPr="00404AC7">
        <w:rPr>
          <w:rFonts w:ascii="Times New Roman" w:eastAsia="Times New Roman" w:hAnsi="Times New Roman" w:cs="Times New Roman"/>
          <w:sz w:val="24"/>
          <w:szCs w:val="24"/>
          <w:lang w:val="en-US"/>
        </w:rPr>
        <w:t xml:space="preserve"> Protein Structure Database: Massively expanding the structural coverage of protein-sequence space with high-accuracy models. </w:t>
      </w:r>
      <w:r w:rsidRPr="00404AC7">
        <w:rPr>
          <w:rFonts w:ascii="Times New Roman" w:eastAsia="Times New Roman" w:hAnsi="Times New Roman" w:cs="Times New Roman"/>
          <w:i/>
          <w:iCs/>
          <w:sz w:val="24"/>
          <w:szCs w:val="24"/>
          <w:lang w:val="en-US"/>
        </w:rPr>
        <w:t>Nucleic Acids Research, 50</w:t>
      </w:r>
      <w:r w:rsidRPr="00404AC7">
        <w:rPr>
          <w:rFonts w:ascii="Times New Roman" w:eastAsia="Times New Roman" w:hAnsi="Times New Roman" w:cs="Times New Roman"/>
          <w:sz w:val="24"/>
          <w:szCs w:val="24"/>
          <w:lang w:val="en-US"/>
        </w:rPr>
        <w:t xml:space="preserve">(D1), D439–D444. </w:t>
      </w:r>
      <w:hyperlink r:id="rId29" w:tgtFrame="_new" w:history="1">
        <w:r w:rsidRPr="00404AC7">
          <w:rPr>
            <w:rFonts w:ascii="Times New Roman" w:eastAsia="Times New Roman" w:hAnsi="Times New Roman" w:cs="Times New Roman"/>
            <w:color w:val="0000FF"/>
            <w:sz w:val="24"/>
            <w:szCs w:val="24"/>
            <w:u w:val="single"/>
            <w:lang w:val="en-US"/>
          </w:rPr>
          <w:t>https://doi.org/10.1093/nar/gkab1061</w:t>
        </w:r>
      </w:hyperlink>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lastRenderedPageBreak/>
        <w:t xml:space="preserve">Visscher, P. M., Wray, N. R., Zhang, Q., </w:t>
      </w:r>
      <w:proofErr w:type="spellStart"/>
      <w:r w:rsidRPr="00404AC7">
        <w:rPr>
          <w:rFonts w:ascii="Times New Roman" w:eastAsia="Times New Roman" w:hAnsi="Times New Roman" w:cs="Times New Roman"/>
          <w:sz w:val="24"/>
          <w:szCs w:val="24"/>
          <w:lang w:val="en-US"/>
        </w:rPr>
        <w:t>Sklar</w:t>
      </w:r>
      <w:proofErr w:type="spellEnd"/>
      <w:r w:rsidRPr="00404AC7">
        <w:rPr>
          <w:rFonts w:ascii="Times New Roman" w:eastAsia="Times New Roman" w:hAnsi="Times New Roman" w:cs="Times New Roman"/>
          <w:sz w:val="24"/>
          <w:szCs w:val="24"/>
          <w:lang w:val="en-US"/>
        </w:rPr>
        <w:t xml:space="preserve">, P., McCarthy, M. I., Brown, M. A., &amp; Yang, J. (2017). 10 years of GWAS discovery: Biology, function, and translation. </w:t>
      </w:r>
      <w:r w:rsidRPr="00404AC7">
        <w:rPr>
          <w:rFonts w:ascii="Times New Roman" w:eastAsia="Times New Roman" w:hAnsi="Times New Roman" w:cs="Times New Roman"/>
          <w:i/>
          <w:iCs/>
          <w:sz w:val="24"/>
          <w:szCs w:val="24"/>
          <w:lang w:val="en-US"/>
        </w:rPr>
        <w:t>The American Journal of Human Genetics, 101</w:t>
      </w:r>
      <w:r w:rsidRPr="00404AC7">
        <w:rPr>
          <w:rFonts w:ascii="Times New Roman" w:eastAsia="Times New Roman" w:hAnsi="Times New Roman" w:cs="Times New Roman"/>
          <w:sz w:val="24"/>
          <w:szCs w:val="24"/>
          <w:lang w:val="en-US"/>
        </w:rPr>
        <w:t xml:space="preserve">(1), 5–22. </w:t>
      </w:r>
      <w:hyperlink r:id="rId30" w:history="1">
        <w:r w:rsidR="006F004F" w:rsidRPr="00021F58">
          <w:rPr>
            <w:rStyle w:val="Hyperlink"/>
            <w:rFonts w:ascii="Times New Roman" w:eastAsia="Times New Roman" w:hAnsi="Times New Roman" w:cs="Times New Roman"/>
            <w:sz w:val="24"/>
            <w:szCs w:val="24"/>
            <w:lang w:val="en-US"/>
          </w:rPr>
          <w:t>https://doi.org/10.1016/j.ajhg.2017.06.005</w:t>
        </w:r>
      </w:hyperlink>
      <w:r w:rsidR="006F004F">
        <w:rPr>
          <w:rFonts w:ascii="Times New Roman" w:eastAsia="Times New Roman" w:hAnsi="Times New Roman" w:cs="Times New Roman"/>
          <w:sz w:val="24"/>
          <w:szCs w:val="24"/>
          <w:lang w:val="en-US"/>
        </w:rPr>
        <w:t xml:space="preserve"> </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Wainberg</w:t>
      </w:r>
      <w:proofErr w:type="spellEnd"/>
      <w:r w:rsidRPr="00404AC7">
        <w:rPr>
          <w:rFonts w:ascii="Times New Roman" w:eastAsia="Times New Roman" w:hAnsi="Times New Roman" w:cs="Times New Roman"/>
          <w:sz w:val="24"/>
          <w:szCs w:val="24"/>
          <w:lang w:val="en-US"/>
        </w:rPr>
        <w:t xml:space="preserve">, M., Merico, D., Delong, A., &amp; Frey, B. J. (2018). Deep learning in biomedicine. </w:t>
      </w:r>
      <w:r w:rsidRPr="00404AC7">
        <w:rPr>
          <w:rFonts w:ascii="Times New Roman" w:eastAsia="Times New Roman" w:hAnsi="Times New Roman" w:cs="Times New Roman"/>
          <w:i/>
          <w:iCs/>
          <w:sz w:val="24"/>
          <w:szCs w:val="24"/>
          <w:lang w:val="en-US"/>
        </w:rPr>
        <w:t>Nature Biotechnology, 36</w:t>
      </w:r>
      <w:r w:rsidRPr="00404AC7">
        <w:rPr>
          <w:rFonts w:ascii="Times New Roman" w:eastAsia="Times New Roman" w:hAnsi="Times New Roman" w:cs="Times New Roman"/>
          <w:sz w:val="24"/>
          <w:szCs w:val="24"/>
          <w:lang w:val="en-US"/>
        </w:rPr>
        <w:t xml:space="preserve">(9), 829–838. </w:t>
      </w:r>
      <w:hyperlink r:id="rId31" w:tgtFrame="_new" w:history="1">
        <w:r w:rsidRPr="00404AC7">
          <w:rPr>
            <w:rFonts w:ascii="Times New Roman" w:eastAsia="Times New Roman" w:hAnsi="Times New Roman" w:cs="Times New Roman"/>
            <w:color w:val="0000FF"/>
            <w:sz w:val="24"/>
            <w:szCs w:val="24"/>
            <w:u w:val="single"/>
            <w:lang w:val="en-US"/>
          </w:rPr>
          <w:t>https://doi.org/10.1038/nbt.4233</w:t>
        </w:r>
      </w:hyperlink>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404AC7">
        <w:rPr>
          <w:rFonts w:ascii="Times New Roman" w:eastAsia="Times New Roman" w:hAnsi="Times New Roman" w:cs="Times New Roman"/>
          <w:sz w:val="24"/>
          <w:szCs w:val="24"/>
          <w:lang w:val="en-US"/>
        </w:rPr>
        <w:t xml:space="preserve">Zhou, J., &amp; </w:t>
      </w:r>
      <w:proofErr w:type="spellStart"/>
      <w:r w:rsidRPr="00404AC7">
        <w:rPr>
          <w:rFonts w:ascii="Times New Roman" w:eastAsia="Times New Roman" w:hAnsi="Times New Roman" w:cs="Times New Roman"/>
          <w:sz w:val="24"/>
          <w:szCs w:val="24"/>
          <w:lang w:val="en-US"/>
        </w:rPr>
        <w:t>Troyanskaya</w:t>
      </w:r>
      <w:proofErr w:type="spellEnd"/>
      <w:r w:rsidRPr="00404AC7">
        <w:rPr>
          <w:rFonts w:ascii="Times New Roman" w:eastAsia="Times New Roman" w:hAnsi="Times New Roman" w:cs="Times New Roman"/>
          <w:sz w:val="24"/>
          <w:szCs w:val="24"/>
          <w:lang w:val="en-US"/>
        </w:rPr>
        <w:t xml:space="preserve">, O. G. (2015). Predicting effects of noncoding variants with deep learning-based sequence model. </w:t>
      </w:r>
      <w:r w:rsidRPr="00404AC7">
        <w:rPr>
          <w:rFonts w:ascii="Times New Roman" w:eastAsia="Times New Roman" w:hAnsi="Times New Roman" w:cs="Times New Roman"/>
          <w:i/>
          <w:iCs/>
          <w:sz w:val="24"/>
          <w:szCs w:val="24"/>
          <w:lang w:val="en-US"/>
        </w:rPr>
        <w:t>Nature Methods, 12</w:t>
      </w:r>
      <w:r w:rsidRPr="00404AC7">
        <w:rPr>
          <w:rFonts w:ascii="Times New Roman" w:eastAsia="Times New Roman" w:hAnsi="Times New Roman" w:cs="Times New Roman"/>
          <w:sz w:val="24"/>
          <w:szCs w:val="24"/>
          <w:lang w:val="en-US"/>
        </w:rPr>
        <w:t xml:space="preserve">(10), 931–934. </w:t>
      </w:r>
      <w:hyperlink r:id="rId32" w:history="1">
        <w:r w:rsidR="006F004F" w:rsidRPr="00021F58">
          <w:rPr>
            <w:rStyle w:val="Hyperlink"/>
            <w:rFonts w:ascii="Times New Roman" w:eastAsia="Times New Roman" w:hAnsi="Times New Roman" w:cs="Times New Roman"/>
            <w:sz w:val="24"/>
            <w:szCs w:val="24"/>
            <w:lang w:val="en-US"/>
          </w:rPr>
          <w:t>https://doi.org/10.1038/nmeth.3547</w:t>
        </w:r>
      </w:hyperlink>
      <w:r w:rsidR="006F004F">
        <w:rPr>
          <w:rFonts w:ascii="Times New Roman" w:eastAsia="Times New Roman" w:hAnsi="Times New Roman" w:cs="Times New Roman"/>
          <w:sz w:val="24"/>
          <w:szCs w:val="24"/>
          <w:lang w:val="en-US"/>
        </w:rPr>
        <w:t xml:space="preserve"> </w:t>
      </w:r>
    </w:p>
    <w:p w:rsidR="00404AC7" w:rsidRP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404AC7">
        <w:rPr>
          <w:rFonts w:ascii="Times New Roman" w:eastAsia="Times New Roman" w:hAnsi="Times New Roman" w:cs="Times New Roman"/>
          <w:sz w:val="24"/>
          <w:szCs w:val="24"/>
          <w:lang w:val="en-US"/>
        </w:rPr>
        <w:t>Zitnik</w:t>
      </w:r>
      <w:proofErr w:type="spellEnd"/>
      <w:r w:rsidRPr="00404AC7">
        <w:rPr>
          <w:rFonts w:ascii="Times New Roman" w:eastAsia="Times New Roman" w:hAnsi="Times New Roman" w:cs="Times New Roman"/>
          <w:sz w:val="24"/>
          <w:szCs w:val="24"/>
          <w:lang w:val="en-US"/>
        </w:rPr>
        <w:t xml:space="preserve">, M., Nguyen, F., Wang, B., </w:t>
      </w:r>
      <w:proofErr w:type="spellStart"/>
      <w:r w:rsidRPr="00404AC7">
        <w:rPr>
          <w:rFonts w:ascii="Times New Roman" w:eastAsia="Times New Roman" w:hAnsi="Times New Roman" w:cs="Times New Roman"/>
          <w:sz w:val="24"/>
          <w:szCs w:val="24"/>
          <w:lang w:val="en-US"/>
        </w:rPr>
        <w:t>Leskovec</w:t>
      </w:r>
      <w:proofErr w:type="spellEnd"/>
      <w:r w:rsidRPr="00404AC7">
        <w:rPr>
          <w:rFonts w:ascii="Times New Roman" w:eastAsia="Times New Roman" w:hAnsi="Times New Roman" w:cs="Times New Roman"/>
          <w:sz w:val="24"/>
          <w:szCs w:val="24"/>
          <w:lang w:val="en-US"/>
        </w:rPr>
        <w:t xml:space="preserve">, J., Goldenberg, A., &amp; Hoffman, M. M. (2019). Machine learning for integrating data in biology and medicine: Principles, practice, and opportunities. </w:t>
      </w:r>
      <w:r w:rsidRPr="00404AC7">
        <w:rPr>
          <w:rFonts w:ascii="Times New Roman" w:eastAsia="Times New Roman" w:hAnsi="Times New Roman" w:cs="Times New Roman"/>
          <w:i/>
          <w:iCs/>
          <w:sz w:val="24"/>
          <w:szCs w:val="24"/>
          <w:lang w:val="en-US"/>
        </w:rPr>
        <w:t>Information Fusion, 50</w:t>
      </w:r>
      <w:r w:rsidRPr="00404AC7">
        <w:rPr>
          <w:rFonts w:ascii="Times New Roman" w:eastAsia="Times New Roman" w:hAnsi="Times New Roman" w:cs="Times New Roman"/>
          <w:sz w:val="24"/>
          <w:szCs w:val="24"/>
          <w:lang w:val="en-US"/>
        </w:rPr>
        <w:t xml:space="preserve">, 71–91. </w:t>
      </w:r>
      <w:hyperlink r:id="rId33" w:history="1">
        <w:r w:rsidR="006F004F" w:rsidRPr="00021F58">
          <w:rPr>
            <w:rStyle w:val="Hyperlink"/>
            <w:rFonts w:ascii="Times New Roman" w:eastAsia="Times New Roman" w:hAnsi="Times New Roman" w:cs="Times New Roman"/>
            <w:sz w:val="24"/>
            <w:szCs w:val="24"/>
            <w:lang w:val="en-US"/>
          </w:rPr>
          <w:t>https://doi.org/10.1016/j.inffus.2018.09.012</w:t>
        </w:r>
      </w:hyperlink>
      <w:r w:rsidR="006F004F">
        <w:rPr>
          <w:rFonts w:ascii="Times New Roman" w:eastAsia="Times New Roman" w:hAnsi="Times New Roman" w:cs="Times New Roman"/>
          <w:sz w:val="24"/>
          <w:szCs w:val="24"/>
          <w:lang w:val="en-US"/>
        </w:rPr>
        <w:t xml:space="preserve"> </w:t>
      </w:r>
    </w:p>
    <w:p w:rsidR="00404AC7" w:rsidRPr="00404AC7" w:rsidRDefault="00404AC7" w:rsidP="00191F3E">
      <w:pPr>
        <w:spacing w:before="100" w:beforeAutospacing="1" w:after="100" w:afterAutospacing="1" w:line="240" w:lineRule="auto"/>
        <w:jc w:val="both"/>
        <w:rPr>
          <w:rFonts w:ascii="Arial" w:eastAsia="Times New Roman" w:hAnsi="Arial" w:cs="Arial"/>
          <w:vanish/>
          <w:sz w:val="16"/>
          <w:szCs w:val="16"/>
          <w:lang w:val="en-US"/>
        </w:rPr>
      </w:pPr>
      <w:r w:rsidRPr="00404AC7">
        <w:rPr>
          <w:rFonts w:ascii="Times New Roman" w:eastAsia="Times New Roman" w:hAnsi="Times New Roman" w:cs="Times New Roman"/>
          <w:sz w:val="24"/>
          <w:szCs w:val="24"/>
          <w:lang w:val="en-US"/>
        </w:rPr>
        <w:t xml:space="preserve">Zou, J., Huss, M., Abid, A., </w:t>
      </w:r>
      <w:proofErr w:type="spellStart"/>
      <w:r w:rsidRPr="00404AC7">
        <w:rPr>
          <w:rFonts w:ascii="Times New Roman" w:eastAsia="Times New Roman" w:hAnsi="Times New Roman" w:cs="Times New Roman"/>
          <w:sz w:val="24"/>
          <w:szCs w:val="24"/>
          <w:lang w:val="en-US"/>
        </w:rPr>
        <w:t>Mohammadi</w:t>
      </w:r>
      <w:proofErr w:type="spellEnd"/>
      <w:r w:rsidRPr="00404AC7">
        <w:rPr>
          <w:rFonts w:ascii="Times New Roman" w:eastAsia="Times New Roman" w:hAnsi="Times New Roman" w:cs="Times New Roman"/>
          <w:sz w:val="24"/>
          <w:szCs w:val="24"/>
          <w:lang w:val="en-US"/>
        </w:rPr>
        <w:t xml:space="preserve">, P., </w:t>
      </w:r>
      <w:proofErr w:type="spellStart"/>
      <w:r w:rsidRPr="00404AC7">
        <w:rPr>
          <w:rFonts w:ascii="Times New Roman" w:eastAsia="Times New Roman" w:hAnsi="Times New Roman" w:cs="Times New Roman"/>
          <w:sz w:val="24"/>
          <w:szCs w:val="24"/>
          <w:lang w:val="en-US"/>
        </w:rPr>
        <w:t>Torkamani</w:t>
      </w:r>
      <w:proofErr w:type="spellEnd"/>
      <w:r w:rsidRPr="00404AC7">
        <w:rPr>
          <w:rFonts w:ascii="Times New Roman" w:eastAsia="Times New Roman" w:hAnsi="Times New Roman" w:cs="Times New Roman"/>
          <w:sz w:val="24"/>
          <w:szCs w:val="24"/>
          <w:lang w:val="en-US"/>
        </w:rPr>
        <w:t xml:space="preserve">, A., &amp; </w:t>
      </w:r>
      <w:proofErr w:type="spellStart"/>
      <w:r w:rsidRPr="00404AC7">
        <w:rPr>
          <w:rFonts w:ascii="Times New Roman" w:eastAsia="Times New Roman" w:hAnsi="Times New Roman" w:cs="Times New Roman"/>
          <w:sz w:val="24"/>
          <w:szCs w:val="24"/>
          <w:lang w:val="en-US"/>
        </w:rPr>
        <w:t>Telenti</w:t>
      </w:r>
      <w:proofErr w:type="spellEnd"/>
      <w:r w:rsidRPr="00404AC7">
        <w:rPr>
          <w:rFonts w:ascii="Times New Roman" w:eastAsia="Times New Roman" w:hAnsi="Times New Roman" w:cs="Times New Roman"/>
          <w:sz w:val="24"/>
          <w:szCs w:val="24"/>
          <w:lang w:val="en-US"/>
        </w:rPr>
        <w:t xml:space="preserve">, A. (2019). A primer on deep learning in genomics. </w:t>
      </w:r>
      <w:r w:rsidRPr="00404AC7">
        <w:rPr>
          <w:rFonts w:ascii="Times New Roman" w:eastAsia="Times New Roman" w:hAnsi="Times New Roman" w:cs="Times New Roman"/>
          <w:i/>
          <w:iCs/>
          <w:sz w:val="24"/>
          <w:szCs w:val="24"/>
          <w:lang w:val="en-US"/>
        </w:rPr>
        <w:t>Nature Genetics, 51</w:t>
      </w:r>
      <w:r w:rsidRPr="00404AC7">
        <w:rPr>
          <w:rFonts w:ascii="Times New Roman" w:eastAsia="Times New Roman" w:hAnsi="Times New Roman" w:cs="Times New Roman"/>
          <w:sz w:val="24"/>
          <w:szCs w:val="24"/>
          <w:lang w:val="en-US"/>
        </w:rPr>
        <w:t xml:space="preserve">(1), 12–18. </w:t>
      </w:r>
      <w:hyperlink r:id="rId34" w:history="1">
        <w:r w:rsidR="006F004F" w:rsidRPr="00021F58">
          <w:rPr>
            <w:rStyle w:val="Hyperlink"/>
            <w:rFonts w:ascii="Times New Roman" w:eastAsia="Times New Roman" w:hAnsi="Times New Roman" w:cs="Times New Roman"/>
            <w:sz w:val="24"/>
            <w:szCs w:val="24"/>
            <w:lang w:val="en-US"/>
          </w:rPr>
          <w:t>https://doi.org/10.1038/s41588-018-0295-5</w:t>
        </w:r>
      </w:hyperlink>
      <w:r w:rsidR="006F004F">
        <w:rPr>
          <w:rFonts w:ascii="Times New Roman" w:eastAsia="Times New Roman" w:hAnsi="Times New Roman" w:cs="Times New Roman"/>
          <w:sz w:val="24"/>
          <w:szCs w:val="24"/>
          <w:lang w:val="en-US"/>
        </w:rPr>
        <w:t xml:space="preserve"> </w:t>
      </w:r>
      <w:r w:rsidRPr="00404AC7">
        <w:rPr>
          <w:rFonts w:ascii="Arial" w:eastAsia="Times New Roman" w:hAnsi="Arial" w:cs="Arial"/>
          <w:vanish/>
          <w:sz w:val="16"/>
          <w:szCs w:val="16"/>
          <w:lang w:val="en-US"/>
        </w:rPr>
        <w:t>Top of Form</w:t>
      </w:r>
    </w:p>
    <w:p w:rsidR="00404AC7" w:rsidRPr="00404AC7" w:rsidRDefault="00404AC7" w:rsidP="00191F3E">
      <w:pPr>
        <w:spacing w:after="0" w:line="240" w:lineRule="auto"/>
        <w:jc w:val="both"/>
        <w:rPr>
          <w:rFonts w:ascii="Times New Roman" w:eastAsia="Times New Roman" w:hAnsi="Times New Roman" w:cs="Times New Roman"/>
          <w:sz w:val="24"/>
          <w:szCs w:val="24"/>
          <w:lang w:val="en-US"/>
        </w:rPr>
      </w:pPr>
    </w:p>
    <w:p w:rsidR="00404AC7" w:rsidRDefault="00404AC7" w:rsidP="00191F3E">
      <w:pPr>
        <w:spacing w:before="100" w:beforeAutospacing="1" w:after="100" w:afterAutospacing="1" w:line="240" w:lineRule="auto"/>
        <w:jc w:val="both"/>
        <w:rPr>
          <w:rFonts w:ascii="Times New Roman" w:eastAsia="Times New Roman" w:hAnsi="Times New Roman" w:cs="Times New Roman"/>
          <w:sz w:val="24"/>
          <w:szCs w:val="24"/>
          <w:lang w:val="en-US"/>
        </w:rPr>
      </w:pPr>
    </w:p>
    <w:p w:rsidR="00191F3E" w:rsidRPr="00404AC7" w:rsidRDefault="00191F3E" w:rsidP="00191F3E">
      <w:pPr>
        <w:spacing w:before="100" w:beforeAutospacing="1" w:after="100" w:afterAutospacing="1" w:line="240" w:lineRule="auto"/>
        <w:jc w:val="both"/>
        <w:rPr>
          <w:rFonts w:ascii="Times New Roman" w:eastAsia="Times New Roman" w:hAnsi="Times New Roman" w:cs="Times New Roman"/>
          <w:sz w:val="24"/>
          <w:szCs w:val="24"/>
          <w:lang w:val="en-US"/>
        </w:rPr>
      </w:pPr>
      <w:r w:rsidRPr="00132996">
        <w:rPr>
          <w:rFonts w:ascii="Arial" w:hAnsi="Arial" w:cs="Arial"/>
          <w:color w:val="222222"/>
          <w:sz w:val="20"/>
          <w:szCs w:val="20"/>
          <w:highlight w:val="yellow"/>
          <w:shd w:val="clear" w:color="auto" w:fill="FFFFFF"/>
        </w:rPr>
        <w:t xml:space="preserve">Dara, M., </w:t>
      </w:r>
      <w:proofErr w:type="spellStart"/>
      <w:r w:rsidRPr="00132996">
        <w:rPr>
          <w:rFonts w:ascii="Arial" w:hAnsi="Arial" w:cs="Arial"/>
          <w:color w:val="222222"/>
          <w:sz w:val="20"/>
          <w:szCs w:val="20"/>
          <w:highlight w:val="yellow"/>
          <w:shd w:val="clear" w:color="auto" w:fill="FFFFFF"/>
        </w:rPr>
        <w:t>Dianatpour</w:t>
      </w:r>
      <w:proofErr w:type="spellEnd"/>
      <w:r w:rsidRPr="00132996">
        <w:rPr>
          <w:rFonts w:ascii="Arial" w:hAnsi="Arial" w:cs="Arial"/>
          <w:color w:val="222222"/>
          <w:sz w:val="20"/>
          <w:szCs w:val="20"/>
          <w:highlight w:val="yellow"/>
          <w:shd w:val="clear" w:color="auto" w:fill="FFFFFF"/>
        </w:rPr>
        <w:t xml:space="preserve">, M., </w:t>
      </w:r>
      <w:proofErr w:type="spellStart"/>
      <w:r w:rsidRPr="00132996">
        <w:rPr>
          <w:rFonts w:ascii="Arial" w:hAnsi="Arial" w:cs="Arial"/>
          <w:color w:val="222222"/>
          <w:sz w:val="20"/>
          <w:szCs w:val="20"/>
          <w:highlight w:val="yellow"/>
          <w:shd w:val="clear" w:color="auto" w:fill="FFFFFF"/>
        </w:rPr>
        <w:t>Azarpira</w:t>
      </w:r>
      <w:proofErr w:type="spellEnd"/>
      <w:r w:rsidRPr="00132996">
        <w:rPr>
          <w:rFonts w:ascii="Arial" w:hAnsi="Arial" w:cs="Arial"/>
          <w:color w:val="222222"/>
          <w:sz w:val="20"/>
          <w:szCs w:val="20"/>
          <w:highlight w:val="yellow"/>
          <w:shd w:val="clear" w:color="auto" w:fill="FFFFFF"/>
        </w:rPr>
        <w:t xml:space="preserve">, N., &amp; </w:t>
      </w:r>
      <w:proofErr w:type="spellStart"/>
      <w:r w:rsidRPr="00132996">
        <w:rPr>
          <w:rFonts w:ascii="Arial" w:hAnsi="Arial" w:cs="Arial"/>
          <w:color w:val="222222"/>
          <w:sz w:val="20"/>
          <w:szCs w:val="20"/>
          <w:highlight w:val="yellow"/>
          <w:shd w:val="clear" w:color="auto" w:fill="FFFFFF"/>
        </w:rPr>
        <w:t>Tanideh</w:t>
      </w:r>
      <w:proofErr w:type="spellEnd"/>
      <w:r w:rsidRPr="00132996">
        <w:rPr>
          <w:rFonts w:ascii="Arial" w:hAnsi="Arial" w:cs="Arial"/>
          <w:color w:val="222222"/>
          <w:sz w:val="20"/>
          <w:szCs w:val="20"/>
          <w:highlight w:val="yellow"/>
          <w:shd w:val="clear" w:color="auto" w:fill="FFFFFF"/>
        </w:rPr>
        <w:t>, N. (2025). The transformative role of artificial intelligence in genomics: opportunities and challenges. </w:t>
      </w:r>
      <w:r w:rsidRPr="00132996">
        <w:rPr>
          <w:rFonts w:ascii="Arial" w:hAnsi="Arial" w:cs="Arial"/>
          <w:i/>
          <w:iCs/>
          <w:color w:val="222222"/>
          <w:sz w:val="20"/>
          <w:szCs w:val="20"/>
          <w:highlight w:val="yellow"/>
          <w:shd w:val="clear" w:color="auto" w:fill="FFFFFF"/>
        </w:rPr>
        <w:t>Gene Reports</w:t>
      </w:r>
      <w:r w:rsidRPr="00132996">
        <w:rPr>
          <w:rFonts w:ascii="Arial" w:hAnsi="Arial" w:cs="Arial"/>
          <w:color w:val="222222"/>
          <w:sz w:val="20"/>
          <w:szCs w:val="20"/>
          <w:highlight w:val="yellow"/>
          <w:shd w:val="clear" w:color="auto" w:fill="FFFFFF"/>
        </w:rPr>
        <w:t>, 102314.</w:t>
      </w:r>
    </w:p>
    <w:p w:rsidR="00404AC7" w:rsidRPr="00404AC7" w:rsidRDefault="00404AC7" w:rsidP="00191F3E">
      <w:pPr>
        <w:pBdr>
          <w:top w:val="single" w:sz="6" w:space="1" w:color="auto"/>
        </w:pBdr>
        <w:spacing w:after="0" w:line="240" w:lineRule="auto"/>
        <w:jc w:val="both"/>
        <w:rPr>
          <w:rFonts w:ascii="Arial" w:eastAsia="Times New Roman" w:hAnsi="Arial" w:cs="Arial"/>
          <w:vanish/>
          <w:sz w:val="16"/>
          <w:szCs w:val="16"/>
          <w:lang w:val="en-US"/>
        </w:rPr>
      </w:pPr>
      <w:r w:rsidRPr="00404AC7">
        <w:rPr>
          <w:rFonts w:ascii="Arial" w:eastAsia="Times New Roman" w:hAnsi="Arial" w:cs="Arial"/>
          <w:vanish/>
          <w:sz w:val="16"/>
          <w:szCs w:val="16"/>
          <w:lang w:val="en-US"/>
        </w:rPr>
        <w:t>Bottom of Form</w:t>
      </w:r>
    </w:p>
    <w:p w:rsidR="00F53A0F" w:rsidRDefault="00F53A0F" w:rsidP="00F53A0F">
      <w:pPr>
        <w:pStyle w:val="c-bibliographic-informationcitation"/>
        <w:shd w:val="clear" w:color="auto" w:fill="FFFFFF"/>
        <w:spacing w:before="0" w:beforeAutospacing="0" w:after="240" w:afterAutospacing="0"/>
        <w:rPr>
          <w:rFonts w:ascii="Helvetica Neue" w:hAnsi="Helvetica Neue"/>
          <w:color w:val="222222"/>
        </w:rPr>
      </w:pPr>
      <w:r w:rsidRPr="00132996">
        <w:rPr>
          <w:rFonts w:ascii="Helvetica Neue" w:hAnsi="Helvetica Neue"/>
          <w:color w:val="222222"/>
          <w:highlight w:val="yellow"/>
        </w:rPr>
        <w:t xml:space="preserve">Maqsood, K., </w:t>
      </w:r>
      <w:proofErr w:type="spellStart"/>
      <w:r w:rsidRPr="00132996">
        <w:rPr>
          <w:rFonts w:ascii="Helvetica Neue" w:hAnsi="Helvetica Neue"/>
          <w:color w:val="222222"/>
          <w:highlight w:val="yellow"/>
        </w:rPr>
        <w:t>Hagras</w:t>
      </w:r>
      <w:proofErr w:type="spellEnd"/>
      <w:r w:rsidRPr="00132996">
        <w:rPr>
          <w:rFonts w:ascii="Helvetica Neue" w:hAnsi="Helvetica Neue"/>
          <w:color w:val="222222"/>
          <w:highlight w:val="yellow"/>
        </w:rPr>
        <w:t xml:space="preserve">, H. &amp; </w:t>
      </w:r>
      <w:proofErr w:type="spellStart"/>
      <w:r w:rsidRPr="00132996">
        <w:rPr>
          <w:rFonts w:ascii="Helvetica Neue" w:hAnsi="Helvetica Neue"/>
          <w:color w:val="222222"/>
          <w:highlight w:val="yellow"/>
        </w:rPr>
        <w:t>Zabet</w:t>
      </w:r>
      <w:proofErr w:type="spellEnd"/>
      <w:r w:rsidRPr="00132996">
        <w:rPr>
          <w:rFonts w:ascii="Helvetica Neue" w:hAnsi="Helvetica Neue"/>
          <w:color w:val="222222"/>
          <w:highlight w:val="yellow"/>
        </w:rPr>
        <w:t>, N.R. An overview of artificial intelligence in the field of genomics. </w:t>
      </w:r>
      <w:proofErr w:type="spellStart"/>
      <w:r w:rsidRPr="00132996">
        <w:rPr>
          <w:rFonts w:ascii="Helvetica Neue" w:hAnsi="Helvetica Neue"/>
          <w:i/>
          <w:iCs/>
          <w:color w:val="222222"/>
          <w:highlight w:val="yellow"/>
        </w:rPr>
        <w:t>Discov</w:t>
      </w:r>
      <w:proofErr w:type="spellEnd"/>
      <w:r w:rsidRPr="00132996">
        <w:rPr>
          <w:rFonts w:ascii="Helvetica Neue" w:hAnsi="Helvetica Neue"/>
          <w:i/>
          <w:iCs/>
          <w:color w:val="222222"/>
          <w:highlight w:val="yellow"/>
        </w:rPr>
        <w:t xml:space="preserve"> </w:t>
      </w:r>
      <w:proofErr w:type="spellStart"/>
      <w:r w:rsidRPr="00132996">
        <w:rPr>
          <w:rFonts w:ascii="Helvetica Neue" w:hAnsi="Helvetica Neue"/>
          <w:i/>
          <w:iCs/>
          <w:color w:val="222222"/>
          <w:highlight w:val="yellow"/>
        </w:rPr>
        <w:t>Artif</w:t>
      </w:r>
      <w:proofErr w:type="spellEnd"/>
      <w:r w:rsidRPr="00132996">
        <w:rPr>
          <w:rFonts w:ascii="Helvetica Neue" w:hAnsi="Helvetica Neue"/>
          <w:i/>
          <w:iCs/>
          <w:color w:val="222222"/>
          <w:highlight w:val="yellow"/>
        </w:rPr>
        <w:t xml:space="preserve"> </w:t>
      </w:r>
      <w:proofErr w:type="spellStart"/>
      <w:r w:rsidRPr="00132996">
        <w:rPr>
          <w:rFonts w:ascii="Helvetica Neue" w:hAnsi="Helvetica Neue"/>
          <w:i/>
          <w:iCs/>
          <w:color w:val="222222"/>
          <w:highlight w:val="yellow"/>
        </w:rPr>
        <w:t>Intell</w:t>
      </w:r>
      <w:proofErr w:type="spellEnd"/>
      <w:r w:rsidRPr="00132996">
        <w:rPr>
          <w:rFonts w:ascii="Helvetica Neue" w:hAnsi="Helvetica Neue"/>
          <w:color w:val="222222"/>
          <w:highlight w:val="yellow"/>
        </w:rPr>
        <w:t> </w:t>
      </w:r>
      <w:r w:rsidRPr="00132996">
        <w:rPr>
          <w:rFonts w:ascii="Helvetica Neue" w:hAnsi="Helvetica Neue"/>
          <w:b/>
          <w:bCs/>
          <w:color w:val="222222"/>
          <w:highlight w:val="yellow"/>
        </w:rPr>
        <w:t>4</w:t>
      </w:r>
      <w:r w:rsidRPr="00132996">
        <w:rPr>
          <w:rFonts w:ascii="Helvetica Neue" w:hAnsi="Helvetica Neue"/>
          <w:color w:val="222222"/>
          <w:highlight w:val="yellow"/>
        </w:rPr>
        <w:t>, 9 (2024). https://doi.org/10.1007/s44163-024-00103-w</w:t>
      </w:r>
    </w:p>
    <w:p w:rsidR="00D75C9D" w:rsidRPr="00404AC7" w:rsidRDefault="00D75C9D" w:rsidP="00191F3E">
      <w:pPr>
        <w:jc w:val="both"/>
      </w:pPr>
    </w:p>
    <w:sectPr w:rsidR="00D75C9D" w:rsidRPr="00404AC7" w:rsidSect="00CB6EB6">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5AF" w:rsidRDefault="00FB65AF" w:rsidP="00D065D5">
      <w:pPr>
        <w:spacing w:after="0" w:line="240" w:lineRule="auto"/>
      </w:pPr>
      <w:r>
        <w:separator/>
      </w:r>
    </w:p>
  </w:endnote>
  <w:endnote w:type="continuationSeparator" w:id="0">
    <w:p w:rsidR="00FB65AF" w:rsidRDefault="00FB65AF" w:rsidP="00D06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5D5" w:rsidRDefault="00D06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5D5" w:rsidRDefault="00D065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5D5" w:rsidRDefault="00D06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5AF" w:rsidRDefault="00FB65AF" w:rsidP="00D065D5">
      <w:pPr>
        <w:spacing w:after="0" w:line="240" w:lineRule="auto"/>
      </w:pPr>
      <w:r>
        <w:separator/>
      </w:r>
    </w:p>
  </w:footnote>
  <w:footnote w:type="continuationSeparator" w:id="0">
    <w:p w:rsidR="00FB65AF" w:rsidRDefault="00FB65AF" w:rsidP="00D06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5D5" w:rsidRDefault="00FB65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4555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5D5" w:rsidRDefault="00FB65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4555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5D5" w:rsidRDefault="00FB65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4555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IxNjEwM7MwM7e0MDZT0lEKTi0uzszPAykwrAUAUwwVrywAAAA="/>
  </w:docVars>
  <w:rsids>
    <w:rsidRoot w:val="00404AC7"/>
    <w:rsid w:val="000B4811"/>
    <w:rsid w:val="00132996"/>
    <w:rsid w:val="00191F3E"/>
    <w:rsid w:val="001E4551"/>
    <w:rsid w:val="00235947"/>
    <w:rsid w:val="003A104D"/>
    <w:rsid w:val="00404AC7"/>
    <w:rsid w:val="00633EEE"/>
    <w:rsid w:val="00682995"/>
    <w:rsid w:val="006F004F"/>
    <w:rsid w:val="007A0AB0"/>
    <w:rsid w:val="007A4D13"/>
    <w:rsid w:val="007D5FED"/>
    <w:rsid w:val="008B0D2E"/>
    <w:rsid w:val="00A2270F"/>
    <w:rsid w:val="00B73CBF"/>
    <w:rsid w:val="00C95CDD"/>
    <w:rsid w:val="00CB6EB6"/>
    <w:rsid w:val="00D065D5"/>
    <w:rsid w:val="00D75C9D"/>
    <w:rsid w:val="00EF6088"/>
    <w:rsid w:val="00F53A0F"/>
    <w:rsid w:val="00F6047F"/>
    <w:rsid w:val="00FB6475"/>
    <w:rsid w:val="00FB6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3D9B82"/>
  <w15:docId w15:val="{16CBA5D5-9F6A-4FA5-BD95-FC58FF11C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next w:val="Normal"/>
    <w:link w:val="Heading1Char"/>
    <w:autoRedefine/>
    <w:uiPriority w:val="9"/>
    <w:qFormat/>
    <w:rsid w:val="001E4551"/>
    <w:pPr>
      <w:keepNext/>
      <w:keepLines/>
      <w:spacing w:before="480" w:after="0"/>
      <w:outlineLvl w:val="0"/>
    </w:pPr>
    <w:rPr>
      <w:rFonts w:asciiTheme="majorHAnsi" w:eastAsiaTheme="majorEastAsia" w:hAnsiTheme="majorHAnsi" w:cstheme="majorBidi"/>
      <w:b/>
      <w:bCs/>
      <w:color w:val="000000" w:themeColor="text1"/>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551"/>
    <w:rPr>
      <w:rFonts w:asciiTheme="majorHAnsi" w:eastAsiaTheme="majorEastAsia" w:hAnsiTheme="majorHAnsi" w:cstheme="majorBidi"/>
      <w:b/>
      <w:bCs/>
      <w:color w:val="000000" w:themeColor="text1"/>
      <w:sz w:val="36"/>
      <w:szCs w:val="28"/>
    </w:rPr>
  </w:style>
  <w:style w:type="character" w:styleId="Hyperlink">
    <w:name w:val="Hyperlink"/>
    <w:basedOn w:val="DefaultParagraphFont"/>
    <w:uiPriority w:val="99"/>
    <w:unhideWhenUsed/>
    <w:rsid w:val="00B73CBF"/>
    <w:rPr>
      <w:color w:val="0563C1" w:themeColor="hyperlink"/>
      <w:u w:val="single"/>
    </w:rPr>
  </w:style>
  <w:style w:type="paragraph" w:styleId="Header">
    <w:name w:val="header"/>
    <w:basedOn w:val="Normal"/>
    <w:link w:val="HeaderChar"/>
    <w:uiPriority w:val="99"/>
    <w:unhideWhenUsed/>
    <w:rsid w:val="00D06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5D5"/>
  </w:style>
  <w:style w:type="paragraph" w:styleId="Footer">
    <w:name w:val="footer"/>
    <w:basedOn w:val="Normal"/>
    <w:link w:val="FooterChar"/>
    <w:uiPriority w:val="99"/>
    <w:unhideWhenUsed/>
    <w:rsid w:val="00D06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5D5"/>
  </w:style>
  <w:style w:type="paragraph" w:styleId="BalloonText">
    <w:name w:val="Balloon Text"/>
    <w:basedOn w:val="Normal"/>
    <w:link w:val="BalloonTextChar"/>
    <w:uiPriority w:val="99"/>
    <w:semiHidden/>
    <w:unhideWhenUsed/>
    <w:rsid w:val="00191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F3E"/>
    <w:rPr>
      <w:rFonts w:ascii="Segoe UI" w:hAnsi="Segoe UI" w:cs="Segoe UI"/>
      <w:sz w:val="18"/>
      <w:szCs w:val="18"/>
    </w:rPr>
  </w:style>
  <w:style w:type="paragraph" w:customStyle="1" w:styleId="c-bibliographic-informationcitation">
    <w:name w:val="c-bibliographic-information__citation"/>
    <w:basedOn w:val="Normal"/>
    <w:rsid w:val="00F53A0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43104">
      <w:bodyDiv w:val="1"/>
      <w:marLeft w:val="0"/>
      <w:marRight w:val="0"/>
      <w:marTop w:val="0"/>
      <w:marBottom w:val="0"/>
      <w:divBdr>
        <w:top w:val="none" w:sz="0" w:space="0" w:color="auto"/>
        <w:left w:val="none" w:sz="0" w:space="0" w:color="auto"/>
        <w:bottom w:val="none" w:sz="0" w:space="0" w:color="auto"/>
        <w:right w:val="none" w:sz="0" w:space="0" w:color="auto"/>
      </w:divBdr>
      <w:divsChild>
        <w:div w:id="745495592">
          <w:marLeft w:val="0"/>
          <w:marRight w:val="0"/>
          <w:marTop w:val="0"/>
          <w:marBottom w:val="0"/>
          <w:divBdr>
            <w:top w:val="none" w:sz="0" w:space="0" w:color="auto"/>
            <w:left w:val="none" w:sz="0" w:space="0" w:color="auto"/>
            <w:bottom w:val="none" w:sz="0" w:space="0" w:color="auto"/>
            <w:right w:val="none" w:sz="0" w:space="0" w:color="auto"/>
          </w:divBdr>
          <w:divsChild>
            <w:div w:id="142161481">
              <w:marLeft w:val="0"/>
              <w:marRight w:val="0"/>
              <w:marTop w:val="0"/>
              <w:marBottom w:val="0"/>
              <w:divBdr>
                <w:top w:val="none" w:sz="0" w:space="0" w:color="auto"/>
                <w:left w:val="none" w:sz="0" w:space="0" w:color="auto"/>
                <w:bottom w:val="none" w:sz="0" w:space="0" w:color="auto"/>
                <w:right w:val="none" w:sz="0" w:space="0" w:color="auto"/>
              </w:divBdr>
              <w:divsChild>
                <w:div w:id="1070738742">
                  <w:marLeft w:val="0"/>
                  <w:marRight w:val="0"/>
                  <w:marTop w:val="0"/>
                  <w:marBottom w:val="0"/>
                  <w:divBdr>
                    <w:top w:val="none" w:sz="0" w:space="0" w:color="auto"/>
                    <w:left w:val="none" w:sz="0" w:space="0" w:color="auto"/>
                    <w:bottom w:val="none" w:sz="0" w:space="0" w:color="auto"/>
                    <w:right w:val="none" w:sz="0" w:space="0" w:color="auto"/>
                  </w:divBdr>
                  <w:divsChild>
                    <w:div w:id="42523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921237">
      <w:bodyDiv w:val="1"/>
      <w:marLeft w:val="0"/>
      <w:marRight w:val="0"/>
      <w:marTop w:val="0"/>
      <w:marBottom w:val="0"/>
      <w:divBdr>
        <w:top w:val="none" w:sz="0" w:space="0" w:color="auto"/>
        <w:left w:val="none" w:sz="0" w:space="0" w:color="auto"/>
        <w:bottom w:val="none" w:sz="0" w:space="0" w:color="auto"/>
        <w:right w:val="none" w:sz="0" w:space="0" w:color="auto"/>
      </w:divBdr>
    </w:div>
    <w:div w:id="337851816">
      <w:bodyDiv w:val="1"/>
      <w:marLeft w:val="0"/>
      <w:marRight w:val="0"/>
      <w:marTop w:val="0"/>
      <w:marBottom w:val="0"/>
      <w:divBdr>
        <w:top w:val="none" w:sz="0" w:space="0" w:color="auto"/>
        <w:left w:val="none" w:sz="0" w:space="0" w:color="auto"/>
        <w:bottom w:val="none" w:sz="0" w:space="0" w:color="auto"/>
        <w:right w:val="none" w:sz="0" w:space="0" w:color="auto"/>
      </w:divBdr>
    </w:div>
    <w:div w:id="1428847459">
      <w:bodyDiv w:val="1"/>
      <w:marLeft w:val="0"/>
      <w:marRight w:val="0"/>
      <w:marTop w:val="0"/>
      <w:marBottom w:val="0"/>
      <w:divBdr>
        <w:top w:val="none" w:sz="0" w:space="0" w:color="auto"/>
        <w:left w:val="none" w:sz="0" w:space="0" w:color="auto"/>
        <w:bottom w:val="none" w:sz="0" w:space="0" w:color="auto"/>
        <w:right w:val="none" w:sz="0" w:space="0" w:color="auto"/>
      </w:divBdr>
      <w:divsChild>
        <w:div w:id="182138696">
          <w:marLeft w:val="0"/>
          <w:marRight w:val="0"/>
          <w:marTop w:val="0"/>
          <w:marBottom w:val="0"/>
          <w:divBdr>
            <w:top w:val="none" w:sz="0" w:space="0" w:color="auto"/>
            <w:left w:val="none" w:sz="0" w:space="0" w:color="auto"/>
            <w:bottom w:val="none" w:sz="0" w:space="0" w:color="auto"/>
            <w:right w:val="none" w:sz="0" w:space="0" w:color="auto"/>
          </w:divBdr>
          <w:divsChild>
            <w:div w:id="1218280183">
              <w:marLeft w:val="0"/>
              <w:marRight w:val="0"/>
              <w:marTop w:val="0"/>
              <w:marBottom w:val="0"/>
              <w:divBdr>
                <w:top w:val="none" w:sz="0" w:space="0" w:color="auto"/>
                <w:left w:val="none" w:sz="0" w:space="0" w:color="auto"/>
                <w:bottom w:val="none" w:sz="0" w:space="0" w:color="auto"/>
                <w:right w:val="none" w:sz="0" w:space="0" w:color="auto"/>
              </w:divBdr>
              <w:divsChild>
                <w:div w:id="274294816">
                  <w:marLeft w:val="0"/>
                  <w:marRight w:val="0"/>
                  <w:marTop w:val="0"/>
                  <w:marBottom w:val="0"/>
                  <w:divBdr>
                    <w:top w:val="none" w:sz="0" w:space="0" w:color="auto"/>
                    <w:left w:val="none" w:sz="0" w:space="0" w:color="auto"/>
                    <w:bottom w:val="none" w:sz="0" w:space="0" w:color="auto"/>
                    <w:right w:val="none" w:sz="0" w:space="0" w:color="auto"/>
                  </w:divBdr>
                  <w:divsChild>
                    <w:div w:id="852258631">
                      <w:marLeft w:val="0"/>
                      <w:marRight w:val="0"/>
                      <w:marTop w:val="0"/>
                      <w:marBottom w:val="0"/>
                      <w:divBdr>
                        <w:top w:val="none" w:sz="0" w:space="0" w:color="auto"/>
                        <w:left w:val="none" w:sz="0" w:space="0" w:color="auto"/>
                        <w:bottom w:val="none" w:sz="0" w:space="0" w:color="auto"/>
                        <w:right w:val="none" w:sz="0" w:space="0" w:color="auto"/>
                      </w:divBdr>
                      <w:divsChild>
                        <w:div w:id="1135873593">
                          <w:marLeft w:val="0"/>
                          <w:marRight w:val="0"/>
                          <w:marTop w:val="0"/>
                          <w:marBottom w:val="0"/>
                          <w:divBdr>
                            <w:top w:val="none" w:sz="0" w:space="0" w:color="auto"/>
                            <w:left w:val="none" w:sz="0" w:space="0" w:color="auto"/>
                            <w:bottom w:val="none" w:sz="0" w:space="0" w:color="auto"/>
                            <w:right w:val="none" w:sz="0" w:space="0" w:color="auto"/>
                          </w:divBdr>
                          <w:divsChild>
                            <w:div w:id="490948675">
                              <w:marLeft w:val="0"/>
                              <w:marRight w:val="0"/>
                              <w:marTop w:val="0"/>
                              <w:marBottom w:val="0"/>
                              <w:divBdr>
                                <w:top w:val="none" w:sz="0" w:space="0" w:color="auto"/>
                                <w:left w:val="none" w:sz="0" w:space="0" w:color="auto"/>
                                <w:bottom w:val="none" w:sz="0" w:space="0" w:color="auto"/>
                                <w:right w:val="none" w:sz="0" w:space="0" w:color="auto"/>
                              </w:divBdr>
                              <w:divsChild>
                                <w:div w:id="2041125267">
                                  <w:marLeft w:val="0"/>
                                  <w:marRight w:val="0"/>
                                  <w:marTop w:val="0"/>
                                  <w:marBottom w:val="0"/>
                                  <w:divBdr>
                                    <w:top w:val="none" w:sz="0" w:space="0" w:color="auto"/>
                                    <w:left w:val="none" w:sz="0" w:space="0" w:color="auto"/>
                                    <w:bottom w:val="none" w:sz="0" w:space="0" w:color="auto"/>
                                    <w:right w:val="none" w:sz="0" w:space="0" w:color="auto"/>
                                  </w:divBdr>
                                  <w:divsChild>
                                    <w:div w:id="14543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813867">
          <w:marLeft w:val="0"/>
          <w:marRight w:val="0"/>
          <w:marTop w:val="0"/>
          <w:marBottom w:val="0"/>
          <w:divBdr>
            <w:top w:val="none" w:sz="0" w:space="0" w:color="auto"/>
            <w:left w:val="none" w:sz="0" w:space="0" w:color="auto"/>
            <w:bottom w:val="none" w:sz="0" w:space="0" w:color="auto"/>
            <w:right w:val="none" w:sz="0" w:space="0" w:color="auto"/>
          </w:divBdr>
          <w:divsChild>
            <w:div w:id="731579797">
              <w:marLeft w:val="0"/>
              <w:marRight w:val="0"/>
              <w:marTop w:val="0"/>
              <w:marBottom w:val="0"/>
              <w:divBdr>
                <w:top w:val="none" w:sz="0" w:space="0" w:color="auto"/>
                <w:left w:val="none" w:sz="0" w:space="0" w:color="auto"/>
                <w:bottom w:val="none" w:sz="0" w:space="0" w:color="auto"/>
                <w:right w:val="none" w:sz="0" w:space="0" w:color="auto"/>
              </w:divBdr>
              <w:divsChild>
                <w:div w:id="1670869752">
                  <w:marLeft w:val="0"/>
                  <w:marRight w:val="0"/>
                  <w:marTop w:val="0"/>
                  <w:marBottom w:val="0"/>
                  <w:divBdr>
                    <w:top w:val="none" w:sz="0" w:space="0" w:color="auto"/>
                    <w:left w:val="none" w:sz="0" w:space="0" w:color="auto"/>
                    <w:bottom w:val="none" w:sz="0" w:space="0" w:color="auto"/>
                    <w:right w:val="none" w:sz="0" w:space="0" w:color="auto"/>
                  </w:divBdr>
                  <w:divsChild>
                    <w:div w:id="130828692">
                      <w:marLeft w:val="0"/>
                      <w:marRight w:val="0"/>
                      <w:marTop w:val="0"/>
                      <w:marBottom w:val="0"/>
                      <w:divBdr>
                        <w:top w:val="none" w:sz="0" w:space="0" w:color="auto"/>
                        <w:left w:val="none" w:sz="0" w:space="0" w:color="auto"/>
                        <w:bottom w:val="none" w:sz="0" w:space="0" w:color="auto"/>
                        <w:right w:val="none" w:sz="0" w:space="0" w:color="auto"/>
                      </w:divBdr>
                      <w:divsChild>
                        <w:div w:id="1208833951">
                          <w:marLeft w:val="0"/>
                          <w:marRight w:val="0"/>
                          <w:marTop w:val="0"/>
                          <w:marBottom w:val="0"/>
                          <w:divBdr>
                            <w:top w:val="none" w:sz="0" w:space="0" w:color="auto"/>
                            <w:left w:val="none" w:sz="0" w:space="0" w:color="auto"/>
                            <w:bottom w:val="none" w:sz="0" w:space="0" w:color="auto"/>
                            <w:right w:val="none" w:sz="0" w:space="0" w:color="auto"/>
                          </w:divBdr>
                          <w:divsChild>
                            <w:div w:id="1860660537">
                              <w:marLeft w:val="0"/>
                              <w:marRight w:val="0"/>
                              <w:marTop w:val="0"/>
                              <w:marBottom w:val="0"/>
                              <w:divBdr>
                                <w:top w:val="none" w:sz="0" w:space="0" w:color="auto"/>
                                <w:left w:val="none" w:sz="0" w:space="0" w:color="auto"/>
                                <w:bottom w:val="none" w:sz="0" w:space="0" w:color="auto"/>
                                <w:right w:val="none" w:sz="0" w:space="0" w:color="auto"/>
                              </w:divBdr>
                              <w:divsChild>
                                <w:div w:id="1032804071">
                                  <w:marLeft w:val="0"/>
                                  <w:marRight w:val="0"/>
                                  <w:marTop w:val="0"/>
                                  <w:marBottom w:val="0"/>
                                  <w:divBdr>
                                    <w:top w:val="none" w:sz="0" w:space="0" w:color="auto"/>
                                    <w:left w:val="none" w:sz="0" w:space="0" w:color="auto"/>
                                    <w:bottom w:val="none" w:sz="0" w:space="0" w:color="auto"/>
                                    <w:right w:val="none" w:sz="0" w:space="0" w:color="auto"/>
                                  </w:divBdr>
                                  <w:divsChild>
                                    <w:div w:id="1831093631">
                                      <w:marLeft w:val="0"/>
                                      <w:marRight w:val="0"/>
                                      <w:marTop w:val="0"/>
                                      <w:marBottom w:val="0"/>
                                      <w:divBdr>
                                        <w:top w:val="none" w:sz="0" w:space="0" w:color="auto"/>
                                        <w:left w:val="none" w:sz="0" w:space="0" w:color="auto"/>
                                        <w:bottom w:val="none" w:sz="0" w:space="0" w:color="auto"/>
                                        <w:right w:val="none" w:sz="0" w:space="0" w:color="auto"/>
                                      </w:divBdr>
                                      <w:divsChild>
                                        <w:div w:id="1551187391">
                                          <w:marLeft w:val="0"/>
                                          <w:marRight w:val="0"/>
                                          <w:marTop w:val="0"/>
                                          <w:marBottom w:val="0"/>
                                          <w:divBdr>
                                            <w:top w:val="none" w:sz="0" w:space="0" w:color="auto"/>
                                            <w:left w:val="none" w:sz="0" w:space="0" w:color="auto"/>
                                            <w:bottom w:val="none" w:sz="0" w:space="0" w:color="auto"/>
                                            <w:right w:val="none" w:sz="0" w:space="0" w:color="auto"/>
                                          </w:divBdr>
                                          <w:divsChild>
                                            <w:div w:id="995642783">
                                              <w:marLeft w:val="0"/>
                                              <w:marRight w:val="0"/>
                                              <w:marTop w:val="0"/>
                                              <w:marBottom w:val="0"/>
                                              <w:divBdr>
                                                <w:top w:val="none" w:sz="0" w:space="0" w:color="auto"/>
                                                <w:left w:val="none" w:sz="0" w:space="0" w:color="auto"/>
                                                <w:bottom w:val="none" w:sz="0" w:space="0" w:color="auto"/>
                                                <w:right w:val="none" w:sz="0" w:space="0" w:color="auto"/>
                                              </w:divBdr>
                                              <w:divsChild>
                                                <w:div w:id="110714047">
                                                  <w:marLeft w:val="0"/>
                                                  <w:marRight w:val="0"/>
                                                  <w:marTop w:val="0"/>
                                                  <w:marBottom w:val="0"/>
                                                  <w:divBdr>
                                                    <w:top w:val="none" w:sz="0" w:space="0" w:color="auto"/>
                                                    <w:left w:val="none" w:sz="0" w:space="0" w:color="auto"/>
                                                    <w:bottom w:val="none" w:sz="0" w:space="0" w:color="auto"/>
                                                    <w:right w:val="none" w:sz="0" w:space="0" w:color="auto"/>
                                                  </w:divBdr>
                                                  <w:divsChild>
                                                    <w:div w:id="186490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0075721">
      <w:bodyDiv w:val="1"/>
      <w:marLeft w:val="0"/>
      <w:marRight w:val="0"/>
      <w:marTop w:val="0"/>
      <w:marBottom w:val="0"/>
      <w:divBdr>
        <w:top w:val="none" w:sz="0" w:space="0" w:color="auto"/>
        <w:left w:val="none" w:sz="0" w:space="0" w:color="auto"/>
        <w:bottom w:val="none" w:sz="0" w:space="0" w:color="auto"/>
        <w:right w:val="none" w:sz="0" w:space="0" w:color="auto"/>
      </w:divBdr>
      <w:divsChild>
        <w:div w:id="2000648422">
          <w:marLeft w:val="0"/>
          <w:marRight w:val="0"/>
          <w:marTop w:val="0"/>
          <w:marBottom w:val="0"/>
          <w:divBdr>
            <w:top w:val="none" w:sz="0" w:space="0" w:color="auto"/>
            <w:left w:val="none" w:sz="0" w:space="0" w:color="auto"/>
            <w:bottom w:val="none" w:sz="0" w:space="0" w:color="auto"/>
            <w:right w:val="none" w:sz="0" w:space="0" w:color="auto"/>
          </w:divBdr>
          <w:divsChild>
            <w:div w:id="1447239231">
              <w:marLeft w:val="0"/>
              <w:marRight w:val="0"/>
              <w:marTop w:val="0"/>
              <w:marBottom w:val="0"/>
              <w:divBdr>
                <w:top w:val="none" w:sz="0" w:space="0" w:color="auto"/>
                <w:left w:val="none" w:sz="0" w:space="0" w:color="auto"/>
                <w:bottom w:val="none" w:sz="0" w:space="0" w:color="auto"/>
                <w:right w:val="none" w:sz="0" w:space="0" w:color="auto"/>
              </w:divBdr>
              <w:divsChild>
                <w:div w:id="1523586529">
                  <w:marLeft w:val="0"/>
                  <w:marRight w:val="0"/>
                  <w:marTop w:val="0"/>
                  <w:marBottom w:val="0"/>
                  <w:divBdr>
                    <w:top w:val="none" w:sz="0" w:space="0" w:color="auto"/>
                    <w:left w:val="none" w:sz="0" w:space="0" w:color="auto"/>
                    <w:bottom w:val="none" w:sz="0" w:space="0" w:color="auto"/>
                    <w:right w:val="none" w:sz="0" w:space="0" w:color="auto"/>
                  </w:divBdr>
                  <w:divsChild>
                    <w:div w:id="196509213">
                      <w:marLeft w:val="0"/>
                      <w:marRight w:val="0"/>
                      <w:marTop w:val="0"/>
                      <w:marBottom w:val="0"/>
                      <w:divBdr>
                        <w:top w:val="none" w:sz="0" w:space="0" w:color="auto"/>
                        <w:left w:val="none" w:sz="0" w:space="0" w:color="auto"/>
                        <w:bottom w:val="none" w:sz="0" w:space="0" w:color="auto"/>
                        <w:right w:val="none" w:sz="0" w:space="0" w:color="auto"/>
                      </w:divBdr>
                      <w:divsChild>
                        <w:div w:id="766266003">
                          <w:marLeft w:val="0"/>
                          <w:marRight w:val="0"/>
                          <w:marTop w:val="0"/>
                          <w:marBottom w:val="0"/>
                          <w:divBdr>
                            <w:top w:val="none" w:sz="0" w:space="0" w:color="auto"/>
                            <w:left w:val="none" w:sz="0" w:space="0" w:color="auto"/>
                            <w:bottom w:val="none" w:sz="0" w:space="0" w:color="auto"/>
                            <w:right w:val="none" w:sz="0" w:space="0" w:color="auto"/>
                          </w:divBdr>
                          <w:divsChild>
                            <w:div w:id="1253244982">
                              <w:marLeft w:val="0"/>
                              <w:marRight w:val="0"/>
                              <w:marTop w:val="0"/>
                              <w:marBottom w:val="0"/>
                              <w:divBdr>
                                <w:top w:val="none" w:sz="0" w:space="0" w:color="auto"/>
                                <w:left w:val="none" w:sz="0" w:space="0" w:color="auto"/>
                                <w:bottom w:val="none" w:sz="0" w:space="0" w:color="auto"/>
                                <w:right w:val="none" w:sz="0" w:space="0" w:color="auto"/>
                              </w:divBdr>
                              <w:divsChild>
                                <w:div w:id="1722745204">
                                  <w:marLeft w:val="0"/>
                                  <w:marRight w:val="0"/>
                                  <w:marTop w:val="0"/>
                                  <w:marBottom w:val="0"/>
                                  <w:divBdr>
                                    <w:top w:val="none" w:sz="0" w:space="0" w:color="auto"/>
                                    <w:left w:val="none" w:sz="0" w:space="0" w:color="auto"/>
                                    <w:bottom w:val="none" w:sz="0" w:space="0" w:color="auto"/>
                                    <w:right w:val="none" w:sz="0" w:space="0" w:color="auto"/>
                                  </w:divBdr>
                                  <w:divsChild>
                                    <w:div w:id="17759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642166">
          <w:marLeft w:val="0"/>
          <w:marRight w:val="0"/>
          <w:marTop w:val="0"/>
          <w:marBottom w:val="0"/>
          <w:divBdr>
            <w:top w:val="none" w:sz="0" w:space="0" w:color="auto"/>
            <w:left w:val="none" w:sz="0" w:space="0" w:color="auto"/>
            <w:bottom w:val="none" w:sz="0" w:space="0" w:color="auto"/>
            <w:right w:val="none" w:sz="0" w:space="0" w:color="auto"/>
          </w:divBdr>
          <w:divsChild>
            <w:div w:id="413622717">
              <w:marLeft w:val="0"/>
              <w:marRight w:val="0"/>
              <w:marTop w:val="0"/>
              <w:marBottom w:val="0"/>
              <w:divBdr>
                <w:top w:val="none" w:sz="0" w:space="0" w:color="auto"/>
                <w:left w:val="none" w:sz="0" w:space="0" w:color="auto"/>
                <w:bottom w:val="none" w:sz="0" w:space="0" w:color="auto"/>
                <w:right w:val="none" w:sz="0" w:space="0" w:color="auto"/>
              </w:divBdr>
              <w:divsChild>
                <w:div w:id="351805119">
                  <w:marLeft w:val="0"/>
                  <w:marRight w:val="0"/>
                  <w:marTop w:val="0"/>
                  <w:marBottom w:val="0"/>
                  <w:divBdr>
                    <w:top w:val="none" w:sz="0" w:space="0" w:color="auto"/>
                    <w:left w:val="none" w:sz="0" w:space="0" w:color="auto"/>
                    <w:bottom w:val="none" w:sz="0" w:space="0" w:color="auto"/>
                    <w:right w:val="none" w:sz="0" w:space="0" w:color="auto"/>
                  </w:divBdr>
                  <w:divsChild>
                    <w:div w:id="1032415790">
                      <w:marLeft w:val="0"/>
                      <w:marRight w:val="0"/>
                      <w:marTop w:val="0"/>
                      <w:marBottom w:val="0"/>
                      <w:divBdr>
                        <w:top w:val="none" w:sz="0" w:space="0" w:color="auto"/>
                        <w:left w:val="none" w:sz="0" w:space="0" w:color="auto"/>
                        <w:bottom w:val="none" w:sz="0" w:space="0" w:color="auto"/>
                        <w:right w:val="none" w:sz="0" w:space="0" w:color="auto"/>
                      </w:divBdr>
                      <w:divsChild>
                        <w:div w:id="1139959423">
                          <w:marLeft w:val="0"/>
                          <w:marRight w:val="0"/>
                          <w:marTop w:val="0"/>
                          <w:marBottom w:val="0"/>
                          <w:divBdr>
                            <w:top w:val="none" w:sz="0" w:space="0" w:color="auto"/>
                            <w:left w:val="none" w:sz="0" w:space="0" w:color="auto"/>
                            <w:bottom w:val="none" w:sz="0" w:space="0" w:color="auto"/>
                            <w:right w:val="none" w:sz="0" w:space="0" w:color="auto"/>
                          </w:divBdr>
                          <w:divsChild>
                            <w:div w:id="1655794957">
                              <w:marLeft w:val="0"/>
                              <w:marRight w:val="0"/>
                              <w:marTop w:val="0"/>
                              <w:marBottom w:val="0"/>
                              <w:divBdr>
                                <w:top w:val="none" w:sz="0" w:space="0" w:color="auto"/>
                                <w:left w:val="none" w:sz="0" w:space="0" w:color="auto"/>
                                <w:bottom w:val="none" w:sz="0" w:space="0" w:color="auto"/>
                                <w:right w:val="none" w:sz="0" w:space="0" w:color="auto"/>
                              </w:divBdr>
                              <w:divsChild>
                                <w:div w:id="1428422678">
                                  <w:marLeft w:val="0"/>
                                  <w:marRight w:val="0"/>
                                  <w:marTop w:val="0"/>
                                  <w:marBottom w:val="0"/>
                                  <w:divBdr>
                                    <w:top w:val="none" w:sz="0" w:space="0" w:color="auto"/>
                                    <w:left w:val="none" w:sz="0" w:space="0" w:color="auto"/>
                                    <w:bottom w:val="none" w:sz="0" w:space="0" w:color="auto"/>
                                    <w:right w:val="none" w:sz="0" w:space="0" w:color="auto"/>
                                  </w:divBdr>
                                  <w:divsChild>
                                    <w:div w:id="1645085945">
                                      <w:marLeft w:val="0"/>
                                      <w:marRight w:val="0"/>
                                      <w:marTop w:val="0"/>
                                      <w:marBottom w:val="0"/>
                                      <w:divBdr>
                                        <w:top w:val="none" w:sz="0" w:space="0" w:color="auto"/>
                                        <w:left w:val="none" w:sz="0" w:space="0" w:color="auto"/>
                                        <w:bottom w:val="none" w:sz="0" w:space="0" w:color="auto"/>
                                        <w:right w:val="none" w:sz="0" w:space="0" w:color="auto"/>
                                      </w:divBdr>
                                      <w:divsChild>
                                        <w:div w:id="1644382235">
                                          <w:marLeft w:val="0"/>
                                          <w:marRight w:val="0"/>
                                          <w:marTop w:val="0"/>
                                          <w:marBottom w:val="0"/>
                                          <w:divBdr>
                                            <w:top w:val="none" w:sz="0" w:space="0" w:color="auto"/>
                                            <w:left w:val="none" w:sz="0" w:space="0" w:color="auto"/>
                                            <w:bottom w:val="none" w:sz="0" w:space="0" w:color="auto"/>
                                            <w:right w:val="none" w:sz="0" w:space="0" w:color="auto"/>
                                          </w:divBdr>
                                          <w:divsChild>
                                            <w:div w:id="1604797594">
                                              <w:marLeft w:val="0"/>
                                              <w:marRight w:val="0"/>
                                              <w:marTop w:val="0"/>
                                              <w:marBottom w:val="0"/>
                                              <w:divBdr>
                                                <w:top w:val="none" w:sz="0" w:space="0" w:color="auto"/>
                                                <w:left w:val="none" w:sz="0" w:space="0" w:color="auto"/>
                                                <w:bottom w:val="none" w:sz="0" w:space="0" w:color="auto"/>
                                                <w:right w:val="none" w:sz="0" w:space="0" w:color="auto"/>
                                              </w:divBdr>
                                              <w:divsChild>
                                                <w:div w:id="1238132562">
                                                  <w:marLeft w:val="0"/>
                                                  <w:marRight w:val="0"/>
                                                  <w:marTop w:val="0"/>
                                                  <w:marBottom w:val="0"/>
                                                  <w:divBdr>
                                                    <w:top w:val="none" w:sz="0" w:space="0" w:color="auto"/>
                                                    <w:left w:val="none" w:sz="0" w:space="0" w:color="auto"/>
                                                    <w:bottom w:val="none" w:sz="0" w:space="0" w:color="auto"/>
                                                    <w:right w:val="none" w:sz="0" w:space="0" w:color="auto"/>
                                                  </w:divBdr>
                                                  <w:divsChild>
                                                    <w:div w:id="12697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446086">
      <w:bodyDiv w:val="1"/>
      <w:marLeft w:val="0"/>
      <w:marRight w:val="0"/>
      <w:marTop w:val="0"/>
      <w:marBottom w:val="0"/>
      <w:divBdr>
        <w:top w:val="none" w:sz="0" w:space="0" w:color="auto"/>
        <w:left w:val="none" w:sz="0" w:space="0" w:color="auto"/>
        <w:bottom w:val="none" w:sz="0" w:space="0" w:color="auto"/>
        <w:right w:val="none" w:sz="0" w:space="0" w:color="auto"/>
      </w:divBdr>
      <w:divsChild>
        <w:div w:id="223226715">
          <w:marLeft w:val="0"/>
          <w:marRight w:val="0"/>
          <w:marTop w:val="0"/>
          <w:marBottom w:val="0"/>
          <w:divBdr>
            <w:top w:val="none" w:sz="0" w:space="0" w:color="auto"/>
            <w:left w:val="none" w:sz="0" w:space="0" w:color="auto"/>
            <w:bottom w:val="none" w:sz="0" w:space="0" w:color="auto"/>
            <w:right w:val="none" w:sz="0" w:space="0" w:color="auto"/>
          </w:divBdr>
          <w:divsChild>
            <w:div w:id="1680355762">
              <w:marLeft w:val="0"/>
              <w:marRight w:val="0"/>
              <w:marTop w:val="0"/>
              <w:marBottom w:val="0"/>
              <w:divBdr>
                <w:top w:val="none" w:sz="0" w:space="0" w:color="auto"/>
                <w:left w:val="none" w:sz="0" w:space="0" w:color="auto"/>
                <w:bottom w:val="none" w:sz="0" w:space="0" w:color="auto"/>
                <w:right w:val="none" w:sz="0" w:space="0" w:color="auto"/>
              </w:divBdr>
              <w:divsChild>
                <w:div w:id="1211768883">
                  <w:marLeft w:val="0"/>
                  <w:marRight w:val="0"/>
                  <w:marTop w:val="0"/>
                  <w:marBottom w:val="0"/>
                  <w:divBdr>
                    <w:top w:val="none" w:sz="0" w:space="0" w:color="auto"/>
                    <w:left w:val="none" w:sz="0" w:space="0" w:color="auto"/>
                    <w:bottom w:val="none" w:sz="0" w:space="0" w:color="auto"/>
                    <w:right w:val="none" w:sz="0" w:space="0" w:color="auto"/>
                  </w:divBdr>
                  <w:divsChild>
                    <w:div w:id="101256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126/science.adg7492" TargetMode="External"/><Relationship Id="rId18" Type="http://schemas.openxmlformats.org/officeDocument/2006/relationships/hyperlink" Target="https://doi.org/10.1126/science.aaz1776" TargetMode="External"/><Relationship Id="rId26" Type="http://schemas.openxmlformats.org/officeDocument/2006/relationships/hyperlink" Target="https://doi.org/10.1038/nature14248" TargetMode="External"/><Relationship Id="rId39" Type="http://schemas.openxmlformats.org/officeDocument/2006/relationships/header" Target="header3.xml"/><Relationship Id="rId21" Type="http://schemas.openxmlformats.org/officeDocument/2006/relationships/hyperlink" Target="https://doi.org/10.1038/s41586-020-2308-7" TargetMode="External"/><Relationship Id="rId34" Type="http://schemas.openxmlformats.org/officeDocument/2006/relationships/hyperlink" Target="https://doi.org/10.1038/s41588-018-0295-5" TargetMode="External"/><Relationship Id="rId42" Type="http://schemas.openxmlformats.org/officeDocument/2006/relationships/theme" Target="theme/theme1.xml"/><Relationship Id="rId7" Type="http://schemas.openxmlformats.org/officeDocument/2006/relationships/hyperlink" Target="https://doi.org/10.1038/nature15393" TargetMode="External"/><Relationship Id="rId2" Type="http://schemas.openxmlformats.org/officeDocument/2006/relationships/styles" Target="styles.xml"/><Relationship Id="rId16" Type="http://schemas.openxmlformats.org/officeDocument/2006/relationships/hyperlink" Target="https://doi.org/10.1038/nbt.3437" TargetMode="External"/><Relationship Id="rId20" Type="http://schemas.openxmlformats.org/officeDocument/2006/relationships/hyperlink" Target="https://doi.org/10.1038/s41586-021-03819-2" TargetMode="External"/><Relationship Id="rId29" Type="http://schemas.openxmlformats.org/officeDocument/2006/relationships/hyperlink" Target="https://doi.org/10.1093/nar/gkab106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186/s41073-019-0064-8" TargetMode="External"/><Relationship Id="rId24" Type="http://schemas.openxmlformats.org/officeDocument/2006/relationships/hyperlink" Target="https://doi.org/10.1038/s41592-018-0229-2" TargetMode="External"/><Relationship Id="rId32" Type="http://schemas.openxmlformats.org/officeDocument/2006/relationships/hyperlink" Target="https://doi.org/10.1038/nmeth.3547"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86/s13073-019-0689-8" TargetMode="External"/><Relationship Id="rId23" Type="http://schemas.openxmlformats.org/officeDocument/2006/relationships/hyperlink" Target="https://doi.org/10.1038/s41586-023-05896-x" TargetMode="External"/><Relationship Id="rId28" Type="http://schemas.openxmlformats.org/officeDocument/2006/relationships/hyperlink" Target="https://doi.org/10.1038/s41586-021-03828-1" TargetMode="External"/><Relationship Id="rId36" Type="http://schemas.openxmlformats.org/officeDocument/2006/relationships/header" Target="header2.xml"/><Relationship Id="rId10" Type="http://schemas.openxmlformats.org/officeDocument/2006/relationships/hyperlink" Target="https://doi.org/10.1038/s41592-021-01252-x" TargetMode="External"/><Relationship Id="rId19" Type="http://schemas.openxmlformats.org/officeDocument/2006/relationships/hyperlink" Target="https://doi.org/10.1016/j.cell.2018.12.015" TargetMode="External"/><Relationship Id="rId31" Type="http://schemas.openxmlformats.org/officeDocument/2006/relationships/hyperlink" Target="https://doi.org/10.1038/nbt.4233" TargetMode="External"/><Relationship Id="rId4" Type="http://schemas.openxmlformats.org/officeDocument/2006/relationships/webSettings" Target="webSettings.xml"/><Relationship Id="rId9" Type="http://schemas.openxmlformats.org/officeDocument/2006/relationships/hyperlink" Target="https://doi.org/10.15252/msb.20156651" TargetMode="External"/><Relationship Id="rId14" Type="http://schemas.openxmlformats.org/officeDocument/2006/relationships/hyperlink" Target="https://doi.org/10.1038/s41592-024-02523-z" TargetMode="External"/><Relationship Id="rId22" Type="http://schemas.openxmlformats.org/officeDocument/2006/relationships/hyperlink" Target="https://doi.org/10.1101/gr.200535.115" TargetMode="External"/><Relationship Id="rId27" Type="http://schemas.openxmlformats.org/officeDocument/2006/relationships/hyperlink" Target="https://doi.org/10.1038/s41588-025-02124-2" TargetMode="External"/><Relationship Id="rId30" Type="http://schemas.openxmlformats.org/officeDocument/2006/relationships/hyperlink" Target="https://doi.org/10.1016/j.ajhg.2017.06.005" TargetMode="External"/><Relationship Id="rId35" Type="http://schemas.openxmlformats.org/officeDocument/2006/relationships/header" Target="header1.xml"/><Relationship Id="rId8" Type="http://schemas.openxmlformats.org/officeDocument/2006/relationships/hyperlink" Target="https://doi.org/10.1038/nbt.3300" TargetMode="External"/><Relationship Id="rId3" Type="http://schemas.openxmlformats.org/officeDocument/2006/relationships/settings" Target="settings.xml"/><Relationship Id="rId12" Type="http://schemas.openxmlformats.org/officeDocument/2006/relationships/hyperlink" Target="https://doi.org/10.1038/s41587-022-01435-7" TargetMode="External"/><Relationship Id="rId17" Type="http://schemas.openxmlformats.org/officeDocument/2006/relationships/hyperlink" Target="https://doi.org/10.1038/nature11247" TargetMode="External"/><Relationship Id="rId25" Type="http://schemas.openxmlformats.org/officeDocument/2006/relationships/hyperlink" Target="https://doi.org/10.1038/gim.2015.30" TargetMode="External"/><Relationship Id="rId33" Type="http://schemas.openxmlformats.org/officeDocument/2006/relationships/hyperlink" Target="https://doi.org/10.1016/j.inffus.2018.09.012"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0A96E-FADC-40B6-AC59-CA110C3D1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19</Pages>
  <Words>9699</Words>
  <Characters>55290</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8</cp:revision>
  <dcterms:created xsi:type="dcterms:W3CDTF">2026-05-01T17:42:00Z</dcterms:created>
  <dcterms:modified xsi:type="dcterms:W3CDTF">2026-05-05T06:38:00Z</dcterms:modified>
</cp:coreProperties>
</file>