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79984" w14:textId="149F7317" w:rsidR="00735090" w:rsidRPr="00735090" w:rsidRDefault="009A6887" w:rsidP="00EA37EA">
      <w:pPr>
        <w:spacing w:line="240" w:lineRule="auto"/>
        <w:jc w:val="center"/>
        <w:rPr>
          <w:rFonts w:ascii="Times New Roman" w:hAnsi="Times New Roman" w:cs="Times New Roman"/>
          <w:b/>
          <w:bCs/>
          <w:sz w:val="26"/>
          <w:szCs w:val="26"/>
        </w:rPr>
      </w:pPr>
      <w:r w:rsidRPr="00735090">
        <w:rPr>
          <w:rFonts w:ascii="Times New Roman" w:hAnsi="Times New Roman" w:cs="Times New Roman"/>
          <w:b/>
          <w:bCs/>
          <w:sz w:val="26"/>
          <w:szCs w:val="26"/>
          <w:highlight w:val="yellow"/>
          <w:lang w:val="en-GB"/>
        </w:rPr>
        <w:t xml:space="preserve">A Temporal Assessment </w:t>
      </w:r>
      <w:r>
        <w:rPr>
          <w:rFonts w:ascii="Times New Roman" w:hAnsi="Times New Roman" w:cs="Times New Roman"/>
          <w:b/>
          <w:bCs/>
          <w:sz w:val="26"/>
          <w:szCs w:val="26"/>
          <w:highlight w:val="yellow"/>
          <w:lang w:val="en-GB"/>
        </w:rPr>
        <w:t>o</w:t>
      </w:r>
      <w:r w:rsidRPr="00735090">
        <w:rPr>
          <w:rFonts w:ascii="Times New Roman" w:hAnsi="Times New Roman" w:cs="Times New Roman"/>
          <w:b/>
          <w:bCs/>
          <w:sz w:val="26"/>
          <w:szCs w:val="26"/>
          <w:highlight w:val="yellow"/>
          <w:lang w:val="en-GB"/>
        </w:rPr>
        <w:t xml:space="preserve">f The Effects </w:t>
      </w:r>
      <w:r>
        <w:rPr>
          <w:rFonts w:ascii="Times New Roman" w:hAnsi="Times New Roman" w:cs="Times New Roman"/>
          <w:b/>
          <w:bCs/>
          <w:sz w:val="26"/>
          <w:szCs w:val="26"/>
          <w:highlight w:val="yellow"/>
          <w:lang w:val="en-GB"/>
        </w:rPr>
        <w:t>o</w:t>
      </w:r>
      <w:r w:rsidRPr="00735090">
        <w:rPr>
          <w:rFonts w:ascii="Times New Roman" w:hAnsi="Times New Roman" w:cs="Times New Roman"/>
          <w:b/>
          <w:bCs/>
          <w:sz w:val="26"/>
          <w:szCs w:val="26"/>
          <w:highlight w:val="yellow"/>
          <w:lang w:val="en-GB"/>
        </w:rPr>
        <w:t xml:space="preserve">f Land Use </w:t>
      </w:r>
      <w:r>
        <w:rPr>
          <w:rFonts w:ascii="Times New Roman" w:hAnsi="Times New Roman" w:cs="Times New Roman"/>
          <w:b/>
          <w:bCs/>
          <w:sz w:val="26"/>
          <w:szCs w:val="26"/>
          <w:highlight w:val="yellow"/>
          <w:lang w:val="en-GB"/>
        </w:rPr>
        <w:t>o</w:t>
      </w:r>
      <w:r w:rsidRPr="00735090">
        <w:rPr>
          <w:rFonts w:ascii="Times New Roman" w:hAnsi="Times New Roman" w:cs="Times New Roman"/>
          <w:b/>
          <w:bCs/>
          <w:sz w:val="26"/>
          <w:szCs w:val="26"/>
          <w:highlight w:val="yellow"/>
          <w:lang w:val="en-GB"/>
        </w:rPr>
        <w:t xml:space="preserve">n Land Cover </w:t>
      </w:r>
      <w:r>
        <w:rPr>
          <w:rFonts w:ascii="Times New Roman" w:hAnsi="Times New Roman" w:cs="Times New Roman"/>
          <w:b/>
          <w:bCs/>
          <w:sz w:val="26"/>
          <w:szCs w:val="26"/>
          <w:highlight w:val="yellow"/>
          <w:lang w:val="en-GB"/>
        </w:rPr>
        <w:t>i</w:t>
      </w:r>
      <w:r w:rsidRPr="00735090">
        <w:rPr>
          <w:rFonts w:ascii="Times New Roman" w:hAnsi="Times New Roman" w:cs="Times New Roman"/>
          <w:b/>
          <w:bCs/>
          <w:sz w:val="26"/>
          <w:szCs w:val="26"/>
          <w:highlight w:val="yellow"/>
          <w:lang w:val="en-GB"/>
        </w:rPr>
        <w:t xml:space="preserve">n Ezza South Local Government Area </w:t>
      </w:r>
      <w:r>
        <w:rPr>
          <w:rFonts w:ascii="Times New Roman" w:hAnsi="Times New Roman" w:cs="Times New Roman"/>
          <w:b/>
          <w:bCs/>
          <w:sz w:val="26"/>
          <w:szCs w:val="26"/>
          <w:highlight w:val="yellow"/>
          <w:lang w:val="en-GB"/>
        </w:rPr>
        <w:t>o</w:t>
      </w:r>
      <w:r w:rsidRPr="00735090">
        <w:rPr>
          <w:rFonts w:ascii="Times New Roman" w:hAnsi="Times New Roman" w:cs="Times New Roman"/>
          <w:b/>
          <w:bCs/>
          <w:sz w:val="26"/>
          <w:szCs w:val="26"/>
          <w:highlight w:val="yellow"/>
          <w:lang w:val="en-GB"/>
        </w:rPr>
        <w:t>f Ebonyi State</w:t>
      </w:r>
    </w:p>
    <w:p w14:paraId="2EC93213" w14:textId="77777777" w:rsidR="002B2F4F" w:rsidRPr="002B2F4F" w:rsidRDefault="002B2F4F" w:rsidP="002B2F4F">
      <w:pPr>
        <w:spacing w:after="160" w:line="240" w:lineRule="auto"/>
        <w:rPr>
          <w:rFonts w:ascii="Times New Roman" w:hAnsi="Times New Roman" w:cs="Times New Roman"/>
          <w:sz w:val="24"/>
          <w:szCs w:val="24"/>
        </w:rPr>
      </w:pPr>
    </w:p>
    <w:p w14:paraId="7792C390" w14:textId="77777777" w:rsidR="002B2F4F" w:rsidRPr="001D13E9" w:rsidRDefault="002B2F4F" w:rsidP="001D13E9">
      <w:pPr>
        <w:spacing w:after="160" w:line="240" w:lineRule="auto"/>
        <w:rPr>
          <w:rFonts w:ascii="Times New Roman" w:eastAsia="Calibri" w:hAnsi="Times New Roman" w:cs="Times New Roman"/>
          <w:b/>
          <w:kern w:val="2"/>
        </w:rPr>
      </w:pPr>
      <w:r w:rsidRPr="001D13E9">
        <w:rPr>
          <w:rFonts w:ascii="Times New Roman" w:eastAsia="Calibri" w:hAnsi="Times New Roman" w:cs="Times New Roman"/>
          <w:b/>
          <w:kern w:val="2"/>
        </w:rPr>
        <w:t>ABSTRACT</w:t>
      </w:r>
    </w:p>
    <w:p w14:paraId="54656226" w14:textId="2897B78F" w:rsidR="001D13E9" w:rsidRDefault="009A6887" w:rsidP="009A6887">
      <w:pPr>
        <w:spacing w:line="240" w:lineRule="auto"/>
        <w:jc w:val="both"/>
        <w:rPr>
          <w:rFonts w:ascii="Times New Roman" w:hAnsi="Times New Roman" w:cs="Times New Roman"/>
        </w:rPr>
      </w:pPr>
      <w:r w:rsidRPr="009A6887">
        <w:rPr>
          <w:rFonts w:ascii="Times New Roman" w:hAnsi="Times New Roman" w:cs="Times New Roman"/>
        </w:rPr>
        <w:t>Land use and vegetation in Ezza South, Nigeria have changed significantly due to population growth, agricultural expansion, urbanization, and deforestation, leading to conversion of forests into farmland and settlements.</w:t>
      </w:r>
      <w:r>
        <w:rPr>
          <w:rFonts w:ascii="Times New Roman" w:hAnsi="Times New Roman" w:cs="Times New Roman"/>
        </w:rPr>
        <w:t xml:space="preserve"> </w:t>
      </w:r>
      <w:r w:rsidRPr="009A6887">
        <w:rPr>
          <w:rFonts w:ascii="Times New Roman" w:hAnsi="Times New Roman" w:cs="Times New Roman"/>
        </w:rPr>
        <w:t>These changes have caused biodiversity loss and environmental problems such as erosion, flooding, desertification, and reduced ecosystem stability.</w:t>
      </w:r>
      <w:r>
        <w:rPr>
          <w:rFonts w:ascii="Times New Roman" w:hAnsi="Times New Roman" w:cs="Times New Roman"/>
        </w:rPr>
        <w:t xml:space="preserve"> </w:t>
      </w:r>
      <w:r w:rsidR="002B2F4F" w:rsidRPr="001D13E9">
        <w:rPr>
          <w:rFonts w:ascii="Times New Roman" w:hAnsi="Times New Roman" w:cs="Times New Roman"/>
        </w:rPr>
        <w:t>This study examines the spatiotemporal dynamics of land use and vegetation change in Ezza South Local Government Area (LGA), Ebonyi State, Nigeria, between 2000 and 2024 using geospatial techniques. Multi-temporal satellite imagery from the Sentinel-2 (Google Dynamic World dataset) and Landsat archives was analyzed within the Google Earth Engine (GEE) platform to generate Land Use/Land Cover (LULC) maps and assess long-term vegetation health through the Normalized Difference Vegetation Index (NDVI). The results reveal significant landscape transformation characterized by extensive deforestation, rapid agricultural expansion, and increasing urbanization. Forest cover declined sharply, largely converted to farmland, while built-up areas expanded steadily in response to population growth and socio-economic pressures. NDVI trends showed strong seasonal variability but no long-term greening, underscoring the stress on vegetation health and ecological stability. The findings highlight the critical role of anthropogenic drivers such as agriculture, urbanization, and mining in shaping environmental change. This research contributes timely spatial evidence for policymakers, land managers, and environmental agencies, emphasizing the need for sustainable land management, reforestation, and integrated urban planning to mitigate further degradation and ensure ecological resilience in Ezza South.</w:t>
      </w:r>
    </w:p>
    <w:p w14:paraId="507328F1" w14:textId="77777777" w:rsidR="00847092" w:rsidRPr="001D13E9" w:rsidRDefault="002B2F4F" w:rsidP="001D13E9">
      <w:pPr>
        <w:spacing w:line="240" w:lineRule="auto"/>
        <w:jc w:val="both"/>
        <w:rPr>
          <w:rFonts w:ascii="Times New Roman" w:hAnsi="Times New Roman" w:cs="Times New Roman"/>
        </w:rPr>
      </w:pPr>
      <w:r w:rsidRPr="001D13E9">
        <w:rPr>
          <w:rFonts w:ascii="Times New Roman" w:hAnsi="Times New Roman" w:cs="Times New Roman"/>
          <w:b/>
        </w:rPr>
        <w:t>Key words</w:t>
      </w:r>
      <w:r w:rsidRPr="001D13E9">
        <w:rPr>
          <w:rFonts w:ascii="Times New Roman" w:hAnsi="Times New Roman" w:cs="Times New Roman"/>
        </w:rPr>
        <w:t>: Vegetation, Land use, Deforestation, Land cover, Ezza South</w:t>
      </w:r>
    </w:p>
    <w:p w14:paraId="6CF676EC" w14:textId="77777777" w:rsidR="00583FFB" w:rsidRDefault="00583FFB" w:rsidP="00847092">
      <w:pPr>
        <w:spacing w:line="240" w:lineRule="auto"/>
        <w:jc w:val="both"/>
        <w:rPr>
          <w:rFonts w:ascii="Times New Roman" w:hAnsi="Times New Roman" w:cs="Times New Roman"/>
          <w:b/>
          <w:sz w:val="24"/>
          <w:szCs w:val="24"/>
        </w:rPr>
      </w:pPr>
    </w:p>
    <w:p w14:paraId="463D1F9D" w14:textId="77777777" w:rsidR="00847092" w:rsidRPr="00847092" w:rsidRDefault="00DD04F2" w:rsidP="00847092">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00BB1D7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47092">
        <w:rPr>
          <w:rFonts w:ascii="Times New Roman" w:hAnsi="Times New Roman" w:cs="Times New Roman"/>
          <w:b/>
          <w:bCs/>
          <w:sz w:val="24"/>
          <w:szCs w:val="24"/>
        </w:rPr>
        <w:t>INTRODUCTION</w:t>
      </w:r>
    </w:p>
    <w:p w14:paraId="31F2A8D2" w14:textId="1AE5EF01" w:rsidR="00BB1D70"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847092" w:rsidRPr="00847092">
        <w:rPr>
          <w:rFonts w:ascii="Times New Roman" w:hAnsi="Times New Roman" w:cs="Times New Roman"/>
          <w:sz w:val="24"/>
          <w:szCs w:val="24"/>
        </w:rPr>
        <w:t>Land use and vegetation change are key indicators of the environmental and socio-economic health of a region. Land use refers to the ways in which land is employed for different purposes. Land is a ﬁnite natural resource that supports life on Earth, and its conservation and efﬁcient utilization is vital. Vegetation changes act as a driver for changing habitat and cause disturbance in ecosystem conditions and performance (Gebrehiwot, Tola, 2023). forest cover change is an inescapable occurrence worldwide (</w:t>
      </w:r>
      <w:proofErr w:type="spellStart"/>
      <w:r w:rsidR="00847092" w:rsidRPr="00847092">
        <w:rPr>
          <w:rFonts w:ascii="Times New Roman" w:hAnsi="Times New Roman" w:cs="Times New Roman"/>
          <w:sz w:val="24"/>
          <w:szCs w:val="24"/>
        </w:rPr>
        <w:t>Ig</w:t>
      </w:r>
      <w:r w:rsidR="00C96678">
        <w:rPr>
          <w:rFonts w:ascii="Times New Roman" w:hAnsi="Times New Roman" w:cs="Times New Roman"/>
          <w:sz w:val="24"/>
          <w:szCs w:val="24"/>
        </w:rPr>
        <w:t>u</w:t>
      </w:r>
      <w:proofErr w:type="spellEnd"/>
      <w:r w:rsidR="00C96678">
        <w:rPr>
          <w:rFonts w:ascii="Times New Roman" w:hAnsi="Times New Roman" w:cs="Times New Roman"/>
          <w:sz w:val="24"/>
          <w:szCs w:val="24"/>
        </w:rPr>
        <w:t xml:space="preserve"> et. al</w:t>
      </w:r>
      <w:r w:rsidR="00847092" w:rsidRPr="00847092">
        <w:rPr>
          <w:rFonts w:ascii="Times New Roman" w:hAnsi="Times New Roman" w:cs="Times New Roman"/>
          <w:sz w:val="24"/>
          <w:szCs w:val="24"/>
        </w:rPr>
        <w:t xml:space="preserve">, 2021). </w:t>
      </w:r>
      <w:r w:rsidR="00080EC6" w:rsidRPr="00080EC6">
        <w:rPr>
          <w:rFonts w:ascii="Times New Roman" w:hAnsi="Times New Roman" w:cs="Times New Roman"/>
          <w:sz w:val="24"/>
          <w:szCs w:val="24"/>
        </w:rPr>
        <w:t>However, rapid population growth and expanding global economic activities are significantly increasing the demand for land resources, thereby altering the dynamics of land use (Adepoju et al. 2025).</w:t>
      </w:r>
      <w:r w:rsidR="00080EC6">
        <w:rPr>
          <w:rFonts w:ascii="Times New Roman" w:hAnsi="Times New Roman" w:cs="Times New Roman"/>
          <w:sz w:val="24"/>
          <w:szCs w:val="24"/>
        </w:rPr>
        <w:t xml:space="preserve"> </w:t>
      </w:r>
      <w:proofErr w:type="gramStart"/>
      <w:r w:rsidR="00080EC6" w:rsidRPr="00080EC6">
        <w:rPr>
          <w:rFonts w:ascii="Times New Roman" w:hAnsi="Times New Roman" w:cs="Times New Roman"/>
          <w:sz w:val="24"/>
          <w:szCs w:val="24"/>
        </w:rPr>
        <w:t>As</w:t>
      </w:r>
      <w:proofErr w:type="gramEnd"/>
      <w:r w:rsidR="00080EC6" w:rsidRPr="00080EC6">
        <w:rPr>
          <w:rFonts w:ascii="Times New Roman" w:hAnsi="Times New Roman" w:cs="Times New Roman"/>
          <w:sz w:val="24"/>
          <w:szCs w:val="24"/>
        </w:rPr>
        <w:t xml:space="preserve"> a consequence of land-use change and habitat loss, global vegetation patterns have undergone substantial transformation over the past 18,000 years (Mottl et al. 2021; Li et al. 2022). In many developing countries, including Nigeria, vegetation cover is often treated as an open-access resource (Osemeobo 1991), thereby increasing the likelihood of overexploitation with limited consideration for the needs of future generations (Klee et al. 2000; Hula 2010; </w:t>
      </w:r>
      <w:proofErr w:type="spellStart"/>
      <w:r w:rsidR="00080EC6" w:rsidRPr="00080EC6">
        <w:rPr>
          <w:rFonts w:ascii="Times New Roman" w:hAnsi="Times New Roman" w:cs="Times New Roman"/>
          <w:sz w:val="24"/>
          <w:szCs w:val="24"/>
        </w:rPr>
        <w:t>Kankara</w:t>
      </w:r>
      <w:proofErr w:type="spellEnd"/>
      <w:r w:rsidR="00080EC6" w:rsidRPr="00080EC6">
        <w:rPr>
          <w:rFonts w:ascii="Times New Roman" w:hAnsi="Times New Roman" w:cs="Times New Roman"/>
          <w:sz w:val="24"/>
          <w:szCs w:val="24"/>
        </w:rPr>
        <w:t xml:space="preserve"> 2013). Furthermore, plant diversity within Nigeria’s dry forests has declined considerably. These forests constitute important sources of fruit, food, and medicinal resources, yet they remain increasingly vulnerable to the impacts of climate change (Abdulhakim et al. 2017).</w:t>
      </w:r>
      <w:r w:rsidR="00847092" w:rsidRPr="00847092">
        <w:rPr>
          <w:rFonts w:ascii="Times New Roman" w:hAnsi="Times New Roman" w:cs="Times New Roman"/>
          <w:sz w:val="24"/>
          <w:szCs w:val="24"/>
        </w:rPr>
        <w:t xml:space="preserve"> It involves human activities and practices that take place on a </w:t>
      </w:r>
      <w:r w:rsidR="00847092" w:rsidRPr="00847092">
        <w:rPr>
          <w:rFonts w:ascii="Times New Roman" w:hAnsi="Times New Roman" w:cs="Times New Roman"/>
          <w:sz w:val="24"/>
          <w:szCs w:val="24"/>
        </w:rPr>
        <w:lastRenderedPageBreak/>
        <w:t>particular area of land, encompassing various purposes such as residential, commercial, industrial, agricultural, recreational, or c</w:t>
      </w:r>
      <w:r w:rsidR="00C96678">
        <w:rPr>
          <w:rFonts w:ascii="Times New Roman" w:hAnsi="Times New Roman" w:cs="Times New Roman"/>
          <w:sz w:val="24"/>
          <w:szCs w:val="24"/>
        </w:rPr>
        <w:t>onservation activities (Duru et. al,</w:t>
      </w:r>
      <w:r w:rsidR="00847092" w:rsidRPr="00847092">
        <w:rPr>
          <w:rFonts w:ascii="Times New Roman" w:hAnsi="Times New Roman" w:cs="Times New Roman"/>
          <w:sz w:val="24"/>
          <w:szCs w:val="24"/>
        </w:rPr>
        <w:t xml:space="preserve"> 2024) In Ezza South Local Government Area (LGA) of Ebonyi State, Nigeria, these patterns have undergone significant changes over the years, driven by factors such as population growth, agricultural expansion, urbanization, and deforestation. Ezza South, which is predominantly rural, relies heavily on agriculture as the primary source of livelihood, with crops such as yam, cassava, and maize being cultivated. </w:t>
      </w:r>
    </w:p>
    <w:p w14:paraId="45435183" w14:textId="77777777" w:rsidR="00847092"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847092" w:rsidRPr="00847092">
        <w:rPr>
          <w:rFonts w:ascii="Times New Roman" w:hAnsi="Times New Roman" w:cs="Times New Roman"/>
          <w:sz w:val="24"/>
          <w:szCs w:val="24"/>
        </w:rPr>
        <w:t>Ezza South Local Government Area (LGA) in Ebonyi State, Nigeria, has experienced significant changes in land use and vegetation patterns over the years. These changes are primarily driven by human activities, such as agricultural expansion, urbanization, and deforestation as the population in the area grows, there is increasing pressure on the land for farming, settlement, and infrastructure development, which often leads to the conversion of forested areas into cultivated land or urban spaces.  Humans have been altering land for food and essential resources for millennia, the extent of land use has escalated significantly since the early 20th century (Mondal &amp; Zhang, 2018). These alterations have been extensive, resulting in an increase of agricultural land, human population, economic production, energy consumption, and an increase in carbon dioxi</w:t>
      </w:r>
      <w:r w:rsidR="00C97850">
        <w:rPr>
          <w:rFonts w:ascii="Times New Roman" w:hAnsi="Times New Roman" w:cs="Times New Roman"/>
          <w:sz w:val="24"/>
          <w:szCs w:val="24"/>
        </w:rPr>
        <w:t xml:space="preserve">de emissions (Olorunfemi et al. </w:t>
      </w:r>
      <w:r w:rsidR="00847092" w:rsidRPr="00847092">
        <w:rPr>
          <w:rFonts w:ascii="Times New Roman" w:hAnsi="Times New Roman" w:cs="Times New Roman"/>
          <w:sz w:val="24"/>
          <w:szCs w:val="24"/>
        </w:rPr>
        <w:t>2020).  The main course of vegetation changes in Ezza South of Ebonyi state is deforestation. As the population grows, there is a rising demand for agricultural land, leading to the clearing of forests for farming.  This practice, while economically beneficial in the short term, has long-term consequences such as biodiversity loss serious environmental concern such as pollution, desertification, erosion, drought and flooding etc, has been linked to deforestation and industrial activities (</w:t>
      </w:r>
      <w:proofErr w:type="spellStart"/>
      <w:r w:rsidR="00847092" w:rsidRPr="00847092">
        <w:rPr>
          <w:rFonts w:ascii="Times New Roman" w:hAnsi="Times New Roman" w:cs="Times New Roman"/>
          <w:sz w:val="24"/>
          <w:szCs w:val="24"/>
        </w:rPr>
        <w:t>Olowoyeye</w:t>
      </w:r>
      <w:proofErr w:type="spellEnd"/>
      <w:r w:rsidR="00847092" w:rsidRPr="00847092">
        <w:rPr>
          <w:rFonts w:ascii="Times New Roman" w:hAnsi="Times New Roman" w:cs="Times New Roman"/>
          <w:sz w:val="24"/>
          <w:szCs w:val="24"/>
        </w:rPr>
        <w:t xml:space="preserve">, 2021).  </w:t>
      </w:r>
    </w:p>
    <w:p w14:paraId="429AE488" w14:textId="77777777" w:rsidR="00F51FEB" w:rsidRPr="00862AC2" w:rsidRDefault="00BB1D70" w:rsidP="00623457">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Land use refers to the various ways in which human beings utilize the land and its resources, including agriculture, settlement, infrastructure, and industrial development. Vegetation, on the other hand, encompasses the plant life or flora found in a particular area. It plays a vital role in ecological balance by supporting biodiversity, regulating the water cycle, controlling erosion, and contributing to carbon sequestration (FA</w:t>
      </w:r>
      <w:r w:rsidR="00F51FEB">
        <w:rPr>
          <w:rFonts w:ascii="Times New Roman" w:hAnsi="Times New Roman" w:cs="Times New Roman"/>
          <w:sz w:val="24"/>
          <w:szCs w:val="24"/>
        </w:rPr>
        <w:t xml:space="preserve">O, 2010). When land use changes - </w:t>
      </w:r>
      <w:r w:rsidR="00F51FEB" w:rsidRPr="00862AC2">
        <w:rPr>
          <w:rFonts w:ascii="Times New Roman" w:hAnsi="Times New Roman" w:cs="Times New Roman"/>
          <w:sz w:val="24"/>
          <w:szCs w:val="24"/>
        </w:rPr>
        <w:t>through activities such as farming, constru</w:t>
      </w:r>
      <w:r w:rsidR="00F51FEB">
        <w:rPr>
          <w:rFonts w:ascii="Times New Roman" w:hAnsi="Times New Roman" w:cs="Times New Roman"/>
          <w:sz w:val="24"/>
          <w:szCs w:val="24"/>
        </w:rPr>
        <w:t>ction, deforestation, or mining,</w:t>
      </w:r>
      <w:r w:rsidR="00F51FEB" w:rsidRPr="00862AC2">
        <w:rPr>
          <w:rFonts w:ascii="Times New Roman" w:hAnsi="Times New Roman" w:cs="Times New Roman"/>
          <w:sz w:val="24"/>
          <w:szCs w:val="24"/>
        </w:rPr>
        <w:t xml:space="preserve"> it often leads to corresponding changes in vegetation patterns and coverage.</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Unlike land cover, which includes all physical features on the Earth's surface (such as water bodies, bare soil, and buildings), vegetation is a biological and ecological component that is directly influenced by how land is used. For instance, the expansion of farmlands or urban settlements often leads to the clearance of forested areas, grasslands, or other vegetated surfaces, resulting in vegetation loss or alteration. In areas like Ezza South, changes in land use practices over time whether due to population growth, agricultural pressure, or infrastructural development have likely led to noticeable shifts in the quantity and quality of vegetation.</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 xml:space="preserve">The study of land use and vegetation change is essential for understanding environmental degradation, habitat loss, and climate variability at the local level. Vegetation acts as a natural buffer against climate extremes and soil erosion, but when altered due to unsustainable </w:t>
      </w:r>
      <w:r w:rsidR="00F51FEB" w:rsidRPr="00862AC2">
        <w:rPr>
          <w:rFonts w:ascii="Times New Roman" w:hAnsi="Times New Roman" w:cs="Times New Roman"/>
          <w:sz w:val="24"/>
          <w:szCs w:val="24"/>
        </w:rPr>
        <w:lastRenderedPageBreak/>
        <w:t>land use practices, it can contribute to flooding, desertification, and loss of ecosystem services (Jimoh et al., 2012). Therefore, monitoring vegetation change is crucial for assessing the environmental impacts of human activities and guiding land management policies.</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Remote sensing has become a powerful tool for tracking land use and vegetation change over time. Through satellite imagery analysis, researchers are able to detect spatial and temporal changes in vegetation cover, assess the extent of human influence, and identify critical areas in need of conservation or restoration. This method is particularly useful in regions like Ezza South, where consistent field observation over extended periods may not be feasible. Remote sensing provides both a visual and quantitative basis for evaluating vegetation trends resulting from human land use decisions (Makinde &amp; Badejo, 2015).</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By focusing on vegetation rather than broader land cover categories, this study aligns more closely with ecological realities and management concerns. It emphasizes the importance of preserving natural vegetation amidst growing anthropogenic pressures and highlights the need for sustainable land use planning.</w:t>
      </w:r>
    </w:p>
    <w:p w14:paraId="4B3E1C5B" w14:textId="77777777" w:rsidR="00F51FEB" w:rsidRPr="00862AC2"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Vegetation is a fundamental component of terrestrial ecosystems, providing essential ecosystem services such as carbon sequestration, biodiversity support, climate regulation, and protection of soil and water resources (FAO, 2010; Van der Werf et al., 2009). Forests, wetlands, grasslands, and other vegetative ecosystems serve as buffers against natural hazards and contribute to environmental stability at global and regional levels. Vegetation also plays a crucial role in the hydrological cycle by enhancing water infiltration, reducing surface runoff, and maintaining groundwater recharge. It helps regulate microclimates by providing shade, reducing temperature fluctuations, and enhancing evapotranspiration (Jim</w:t>
      </w:r>
      <w:r w:rsidR="00C96678">
        <w:rPr>
          <w:rFonts w:ascii="Times New Roman" w:hAnsi="Times New Roman" w:cs="Times New Roman"/>
          <w:sz w:val="24"/>
          <w:szCs w:val="24"/>
        </w:rPr>
        <w:t>oh et. al</w:t>
      </w:r>
      <w:r w:rsidR="00F51FEB" w:rsidRPr="00862AC2">
        <w:rPr>
          <w:rFonts w:ascii="Times New Roman" w:hAnsi="Times New Roman" w:cs="Times New Roman"/>
          <w:sz w:val="24"/>
          <w:szCs w:val="24"/>
        </w:rPr>
        <w:t>, 2012). Moreover, vegetation provides vital habitats for various species, contributing to the preservation of biodiversity and ecological balance. However, in recent decades, there has been a dramatic decline in global vegetation cover, primarily due to human activities like agricultural expansion, deforestation, infrastructure development, and urbanization. Ellis (2011) noted that over 75% of the Earth's terrestrial biosphere has been altered by human actions, leading to the emergence of "anthropogenic biomes” landscapes dominated by human infrastructure and managed ecosystems. This transition has resulted in widespread ecological stress, habitat loss, and disruption of natural processes. The loss of vegetation, particularly through deforestation, significantly contributes to climate change by releasing stored carbon dioxide into the atmosphere. Van der Werf</w:t>
      </w:r>
      <w:r>
        <w:rPr>
          <w:rFonts w:ascii="Times New Roman" w:hAnsi="Times New Roman" w:cs="Times New Roman"/>
          <w:sz w:val="24"/>
          <w:szCs w:val="24"/>
        </w:rPr>
        <w:t xml:space="preserve"> et al. (2009) highlighted that </w:t>
      </w:r>
      <w:r w:rsidR="00F51FEB" w:rsidRPr="00862AC2">
        <w:rPr>
          <w:rFonts w:ascii="Times New Roman" w:hAnsi="Times New Roman" w:cs="Times New Roman"/>
          <w:sz w:val="24"/>
          <w:szCs w:val="24"/>
        </w:rPr>
        <w:t xml:space="preserve">emissions from vegetation loss account for a substantial portion of anthropogenic greenhouse gases. These emissions not only contribute to global warming but also reduce the Earth's capacity to regulate atmospheric carbon, complicating efforts to mitigate climate change. In Nigeria, the impact of vegetation change is particularly significant. Unsustainable practices like shifting cultivation, logging, bush burning, and land clearing for housing and roads have led to widespread degradation of vegetative resources. Makinde and Badejo (2015) reported that urban development in areas like Ikorodu, Lagos State, has caused the continuous decline of vegetation cover, contributing to issues like increased flooding, soil erosion, and rising local temperatures. Additionally, converting vegetated areas into impervious surfaces leads to poorer air quality, disrupted rainfall patterns, and </w:t>
      </w:r>
      <w:r w:rsidR="00F51FEB" w:rsidRPr="00862AC2">
        <w:rPr>
          <w:rFonts w:ascii="Times New Roman" w:hAnsi="Times New Roman" w:cs="Times New Roman"/>
          <w:sz w:val="24"/>
          <w:szCs w:val="24"/>
        </w:rPr>
        <w:lastRenderedPageBreak/>
        <w:t>increased vulnerability to natural disasters. Without effective environmental policies and reforestation efforts, the loss of vegetation in Nigeria may contribute to long-term ecological and socio-economic instability.</w:t>
      </w:r>
    </w:p>
    <w:p w14:paraId="28D2BEEE" w14:textId="77777777" w:rsidR="00F51FEB" w:rsidRPr="00F51FEB" w:rsidRDefault="00BB1D70" w:rsidP="00623457">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Human activities are the primary drivers of vegetation change globally. These changes stem from a combination of socio-economic, political, and demographic factors. For example, rapid population growth increases the demand for food, shelter, and infrastructure, which often results in the conversion of vegetated areas into agricultural lands, housing, and urban infrastructure (</w:t>
      </w:r>
      <w:proofErr w:type="spellStart"/>
      <w:r w:rsidR="00F51FEB" w:rsidRPr="00862AC2">
        <w:rPr>
          <w:rFonts w:ascii="Times New Roman" w:hAnsi="Times New Roman" w:cs="Times New Roman"/>
          <w:sz w:val="24"/>
          <w:szCs w:val="24"/>
        </w:rPr>
        <w:t>Madulu</w:t>
      </w:r>
      <w:proofErr w:type="spellEnd"/>
      <w:r w:rsidR="00F51FEB" w:rsidRPr="00862AC2">
        <w:rPr>
          <w:rFonts w:ascii="Times New Roman" w:hAnsi="Times New Roman" w:cs="Times New Roman"/>
          <w:sz w:val="24"/>
          <w:szCs w:val="24"/>
        </w:rPr>
        <w:t>, 2004; FAO, 2010).</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Urbanization is one of the dominant forces behind vegetation loss, particularly in developing countries like Nigeria.</w:t>
      </w:r>
      <w:r w:rsidR="00F51FEB">
        <w:rPr>
          <w:rFonts w:ascii="Times New Roman" w:hAnsi="Times New Roman" w:cs="Times New Roman"/>
          <w:sz w:val="24"/>
          <w:szCs w:val="24"/>
        </w:rPr>
        <w:t xml:space="preserve"> </w:t>
      </w:r>
      <w:r w:rsidR="00F51FEB" w:rsidRPr="008F2A7D">
        <w:rPr>
          <w:rFonts w:ascii="Times New Roman" w:hAnsi="Times New Roman" w:cs="Times New Roman"/>
          <w:sz w:val="24"/>
          <w:szCs w:val="24"/>
        </w:rPr>
        <w:t xml:space="preserve">Land-use models also serve various purposes. </w:t>
      </w:r>
      <w:r w:rsidR="00F51FEB">
        <w:rPr>
          <w:rFonts w:ascii="Times New Roman" w:hAnsi="Times New Roman" w:cs="Times New Roman"/>
          <w:sz w:val="24"/>
          <w:szCs w:val="24"/>
        </w:rPr>
        <w:t xml:space="preserve">They </w:t>
      </w:r>
      <w:r w:rsidR="00F51FEB" w:rsidRPr="008F2A7D">
        <w:rPr>
          <w:rFonts w:ascii="Times New Roman" w:hAnsi="Times New Roman" w:cs="Times New Roman"/>
          <w:sz w:val="24"/>
          <w:szCs w:val="24"/>
        </w:rPr>
        <w:t>help achieve a better understanding of the urban dynamic system</w:t>
      </w:r>
      <w:r w:rsidR="00F51FEB">
        <w:rPr>
          <w:rFonts w:ascii="Times New Roman" w:hAnsi="Times New Roman" w:cs="Times New Roman"/>
          <w:sz w:val="24"/>
          <w:szCs w:val="24"/>
        </w:rPr>
        <w:t xml:space="preserve"> and</w:t>
      </w:r>
      <w:r w:rsidR="00F51FEB" w:rsidRPr="008F2A7D">
        <w:rPr>
          <w:rFonts w:ascii="Times New Roman" w:hAnsi="Times New Roman" w:cs="Times New Roman"/>
          <w:sz w:val="24"/>
          <w:szCs w:val="24"/>
        </w:rPr>
        <w:t xml:space="preserve"> </w:t>
      </w:r>
      <w:r w:rsidR="00F51FEB">
        <w:rPr>
          <w:rFonts w:ascii="Times New Roman" w:hAnsi="Times New Roman" w:cs="Times New Roman"/>
          <w:sz w:val="24"/>
          <w:szCs w:val="24"/>
        </w:rPr>
        <w:t xml:space="preserve">also </w:t>
      </w:r>
      <w:r w:rsidR="00F51FEB" w:rsidRPr="008F2A7D">
        <w:rPr>
          <w:rFonts w:ascii="Times New Roman" w:hAnsi="Times New Roman" w:cs="Times New Roman"/>
          <w:sz w:val="24"/>
          <w:szCs w:val="24"/>
        </w:rPr>
        <w:t>enable virtual experimentation, allowing the possible impacts of new infrastructures, technologies, or policies to be determined</w:t>
      </w:r>
      <w:r w:rsidR="00F51FEB">
        <w:rPr>
          <w:rFonts w:ascii="Times New Roman" w:hAnsi="Times New Roman" w:cs="Times New Roman"/>
          <w:sz w:val="24"/>
          <w:szCs w:val="24"/>
        </w:rPr>
        <w:t xml:space="preserve"> (Berglund 2014).</w:t>
      </w:r>
      <w:r w:rsidR="00F51FEB" w:rsidRPr="00862AC2">
        <w:rPr>
          <w:rFonts w:ascii="Times New Roman" w:hAnsi="Times New Roman" w:cs="Times New Roman"/>
          <w:sz w:val="24"/>
          <w:szCs w:val="24"/>
        </w:rPr>
        <w:t xml:space="preserve"> As rural populations move to urban areas in search of better opportunities</w:t>
      </w:r>
      <w:r w:rsidR="00F51FEB">
        <w:rPr>
          <w:rFonts w:ascii="Times New Roman" w:hAnsi="Times New Roman" w:cs="Times New Roman"/>
          <w:sz w:val="24"/>
          <w:szCs w:val="24"/>
        </w:rPr>
        <w:t xml:space="preserve"> </w:t>
      </w:r>
      <w:r w:rsidR="00F51FEB" w:rsidRPr="00862AC2">
        <w:rPr>
          <w:rFonts w:ascii="Times New Roman" w:hAnsi="Times New Roman" w:cs="Times New Roman"/>
          <w:sz w:val="24"/>
          <w:szCs w:val="24"/>
        </w:rPr>
        <w:t>he demands for housing and services grows. This leads to the clearance of natural vegetation for construction projects. According to Orji and People (2015), land conversion due to urban sprawl in Nigeria often occurs without adequate consideration for environmental sustainability.</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Industrialization and infrastructural development also play a significant role in modifying vegetated landscapes. Projects like road construction, mining, and urban development lead to the widespread removal of vegetation. Often, these developments are carried out without comprehensive Environmental Impact Assessments (EIAs), increasing the risk of soil degradation, habitat destruction, and climate-related challenges (Makinde &amp; Badejo, 2015).</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Poverty also drives unsustainable land use practices, particularly in rural areas where economic survival depends on the land. People may resort to practices like shifting cultivation, charcoal production, and timber extraction, further exacerbating vegetation loss and land degradation (Adeola et al., 2004).</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While climate variability is not inherently anthropogenic, it interacts with human-induced drivers to accelerate vegetation loss. Prolonged droughts, erratic rainfall, and flooding can worsen vegetation degradation, especially when combined with unsustainable farming practices or overgrazing (Ellis, 2011).</w:t>
      </w:r>
      <w:r w:rsidR="00F51FEB">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Overall, vegetation change results from a complex interaction of economic pressures, policy failures, weak governance, and environmental factors. In places like Ezza South, the lack of effective land use management and enforcement mechanisms allows for indiscriminate land exploitation, which threatens vegetation cover and long-term ecological sustainability.</w:t>
      </w:r>
    </w:p>
    <w:p w14:paraId="37F36B35" w14:textId="77777777" w:rsidR="00847092" w:rsidRDefault="00BB1D70" w:rsidP="00623457">
      <w:pPr>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47092">
        <w:rPr>
          <w:rFonts w:ascii="Times New Roman" w:eastAsia="Google Sans Text" w:hAnsi="Times New Roman" w:cs="Times New Roman"/>
          <w:color w:val="1B1C1D"/>
          <w:sz w:val="24"/>
          <w:szCs w:val="24"/>
        </w:rPr>
        <w:t xml:space="preserve">The aim of this study is to conduct a geospatial assessment of the of land use/land cover and vegetation health/change in Ezza South LGA from 2014 to 2024, in order to identify the primary patterns of change </w:t>
      </w:r>
      <w:r w:rsidR="00847092" w:rsidRPr="00847092">
        <w:rPr>
          <w:rFonts w:ascii="Times New Roman" w:hAnsi="Times New Roman" w:cs="Times New Roman"/>
          <w:sz w:val="24"/>
          <w:szCs w:val="24"/>
        </w:rPr>
        <w:t xml:space="preserve">and providing recommendations for sustainable land management practices. </w:t>
      </w:r>
      <w:r w:rsidR="00847092" w:rsidRPr="00847092">
        <w:rPr>
          <w:rFonts w:ascii="Times New Roman" w:eastAsia="Google Sans Text" w:hAnsi="Times New Roman" w:cs="Times New Roman"/>
          <w:color w:val="1B1C1D"/>
          <w:sz w:val="24"/>
          <w:szCs w:val="24"/>
        </w:rPr>
        <w:t>To achieve this aim, the following objectives have been established:</w:t>
      </w:r>
    </w:p>
    <w:p w14:paraId="10649351" w14:textId="77777777" w:rsidR="00847092" w:rsidRPr="008805B8" w:rsidRDefault="00847092" w:rsidP="00623457">
      <w:pPr>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w:t>
      </w:r>
      <w:proofErr w:type="spellStart"/>
      <w:r>
        <w:rPr>
          <w:rFonts w:ascii="Times New Roman" w:eastAsia="Google Sans Text" w:hAnsi="Times New Roman" w:cs="Times New Roman"/>
          <w:color w:val="1B1C1D"/>
          <w:sz w:val="24"/>
          <w:szCs w:val="24"/>
        </w:rPr>
        <w:t>i</w:t>
      </w:r>
      <w:proofErr w:type="spellEnd"/>
      <w:r>
        <w:rPr>
          <w:rFonts w:ascii="Times New Roman" w:eastAsia="Google Sans Text" w:hAnsi="Times New Roman" w:cs="Times New Roman"/>
          <w:color w:val="1B1C1D"/>
          <w:sz w:val="24"/>
          <w:szCs w:val="24"/>
        </w:rPr>
        <w:t xml:space="preserve">) </w:t>
      </w:r>
      <w:r w:rsidRPr="00847092">
        <w:rPr>
          <w:rFonts w:ascii="Times New Roman" w:eastAsia="Google Sans Text" w:hAnsi="Times New Roman" w:cs="Times New Roman"/>
          <w:color w:val="1B1C1D"/>
          <w:sz w:val="24"/>
          <w:szCs w:val="24"/>
        </w:rPr>
        <w:t>To generate and validate annual Land Use/Land Cover (LULC) maps for Ezza South LGA for the period 2014–2024 using Sentinel-2 imagery and the Google Dynamic World dataset.</w:t>
      </w:r>
      <w:r w:rsidRPr="00847092">
        <w:rPr>
          <w:rFonts w:ascii="Times New Roman" w:eastAsia="Arial" w:hAnsi="Times New Roman" w:cs="Times New Roman"/>
          <w:sz w:val="24"/>
          <w:szCs w:val="24"/>
        </w:rPr>
        <w:t xml:space="preserve"> (ii). </w:t>
      </w:r>
      <w:r w:rsidRPr="00847092">
        <w:rPr>
          <w:rFonts w:ascii="Times New Roman" w:eastAsia="Google Sans Text" w:hAnsi="Times New Roman" w:cs="Times New Roman"/>
          <w:color w:val="1B1C1D"/>
          <w:sz w:val="24"/>
          <w:szCs w:val="24"/>
        </w:rPr>
        <w:t xml:space="preserve">To quantify the primary LULC transitions between 2014 and 2024, specifically focusing on the rates of </w:t>
      </w:r>
      <w:r w:rsidRPr="00847092">
        <w:rPr>
          <w:rFonts w:ascii="Times New Roman" w:eastAsia="Google Sans Text" w:hAnsi="Times New Roman" w:cs="Times New Roman"/>
          <w:color w:val="1B1C1D"/>
          <w:sz w:val="24"/>
          <w:szCs w:val="24"/>
        </w:rPr>
        <w:lastRenderedPageBreak/>
        <w:t>deforestation, agricultural expansion, and urbanization.</w:t>
      </w:r>
      <w:r w:rsidRPr="00847092">
        <w:rPr>
          <w:rFonts w:ascii="Times New Roman" w:hAnsi="Times New Roman" w:cs="Times New Roman"/>
          <w:sz w:val="24"/>
          <w:szCs w:val="24"/>
        </w:rPr>
        <w:t xml:space="preserve"> (iii). </w:t>
      </w:r>
      <w:r w:rsidRPr="00847092">
        <w:rPr>
          <w:rFonts w:ascii="Times New Roman" w:eastAsia="Google Sans Text" w:hAnsi="Times New Roman" w:cs="Times New Roman"/>
          <w:color w:val="1B1C1D"/>
          <w:sz w:val="24"/>
          <w:szCs w:val="24"/>
        </w:rPr>
        <w:t>To analyze the long-term trend in vegetation health and density from 2014 to 2024 by generating a Normalized Difference Vegetation Index (NDVI) time-series chart from the harmonized Landsat satellite archive.</w:t>
      </w:r>
      <w:r w:rsidRPr="00847092">
        <w:rPr>
          <w:rFonts w:ascii="Times New Roman" w:hAnsi="Times New Roman" w:cs="Times New Roman"/>
          <w:sz w:val="24"/>
          <w:szCs w:val="24"/>
        </w:rPr>
        <w:t xml:space="preserve"> (iv). </w:t>
      </w:r>
      <w:r w:rsidRPr="00847092">
        <w:rPr>
          <w:rFonts w:ascii="Times New Roman" w:eastAsia="Google Sans Text" w:hAnsi="Times New Roman" w:cs="Times New Roman"/>
          <w:color w:val="1B1C1D"/>
          <w:sz w:val="24"/>
          <w:szCs w:val="24"/>
        </w:rPr>
        <w:t>To synthesize the findings from the LULC and NDVI analyses to provide an integrated assessment of landscape change in the context of the region's known socio-economic and environmental pressures.</w:t>
      </w:r>
    </w:p>
    <w:p w14:paraId="7D7453B4" w14:textId="77777777" w:rsidR="00847092" w:rsidRPr="00847092" w:rsidRDefault="00BB1D70" w:rsidP="0023772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1.1 </w:t>
      </w:r>
      <w:r w:rsidR="00847092" w:rsidRPr="00847092">
        <w:rPr>
          <w:rFonts w:ascii="Times New Roman" w:hAnsi="Times New Roman" w:cs="Times New Roman"/>
          <w:b/>
          <w:sz w:val="24"/>
          <w:szCs w:val="24"/>
        </w:rPr>
        <w:t xml:space="preserve">Study Area.  </w:t>
      </w:r>
    </w:p>
    <w:p w14:paraId="72BC12F4" w14:textId="71D18708" w:rsidR="00F51FEB" w:rsidRDefault="00BB1D70" w:rsidP="00623457">
      <w:pPr>
        <w:pStyle w:val="NoSpacing"/>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80EC6" w:rsidRPr="00080EC6">
        <w:rPr>
          <w:rFonts w:ascii="Times New Roman" w:hAnsi="Times New Roman" w:cs="Times New Roman"/>
          <w:bCs/>
          <w:sz w:val="24"/>
          <w:szCs w:val="24"/>
        </w:rPr>
        <w:t xml:space="preserve">Ezza South is a Local Government Area situated in Ebonyi State in south-eastern Nigeria. Its administrative headquarters is located in </w:t>
      </w:r>
      <w:proofErr w:type="spellStart"/>
      <w:r w:rsidR="00080EC6" w:rsidRPr="00080EC6">
        <w:rPr>
          <w:rFonts w:ascii="Times New Roman" w:hAnsi="Times New Roman" w:cs="Times New Roman"/>
          <w:bCs/>
          <w:sz w:val="24"/>
          <w:szCs w:val="24"/>
        </w:rPr>
        <w:t>Onueke</w:t>
      </w:r>
      <w:proofErr w:type="spellEnd"/>
      <w:r w:rsidR="00080EC6" w:rsidRPr="00080EC6">
        <w:rPr>
          <w:rFonts w:ascii="Times New Roman" w:hAnsi="Times New Roman" w:cs="Times New Roman"/>
          <w:bCs/>
          <w:sz w:val="24"/>
          <w:szCs w:val="24"/>
        </w:rPr>
        <w:t xml:space="preserve">, which also functions as a central settlement for the Ezza people and as the administrative </w:t>
      </w:r>
      <w:proofErr w:type="spellStart"/>
      <w:r w:rsidR="00080EC6" w:rsidRPr="00080EC6">
        <w:rPr>
          <w:rFonts w:ascii="Times New Roman" w:hAnsi="Times New Roman" w:cs="Times New Roman"/>
          <w:bCs/>
          <w:sz w:val="24"/>
          <w:szCs w:val="24"/>
        </w:rPr>
        <w:t>centre</w:t>
      </w:r>
      <w:proofErr w:type="spellEnd"/>
      <w:r w:rsidR="00080EC6" w:rsidRPr="00080EC6">
        <w:rPr>
          <w:rFonts w:ascii="Times New Roman" w:hAnsi="Times New Roman" w:cs="Times New Roman"/>
          <w:bCs/>
          <w:sz w:val="24"/>
          <w:szCs w:val="24"/>
        </w:rPr>
        <w:t xml:space="preserve"> of the Ebonyi Central senatorial district. The LGA shares boundaries with </w:t>
      </w:r>
      <w:proofErr w:type="spellStart"/>
      <w:r w:rsidR="00080EC6" w:rsidRPr="00080EC6">
        <w:rPr>
          <w:rFonts w:ascii="Times New Roman" w:hAnsi="Times New Roman" w:cs="Times New Roman"/>
          <w:bCs/>
          <w:sz w:val="24"/>
          <w:szCs w:val="24"/>
        </w:rPr>
        <w:t>Abakaliki</w:t>
      </w:r>
      <w:proofErr w:type="spellEnd"/>
      <w:r w:rsidR="00080EC6" w:rsidRPr="00080EC6">
        <w:rPr>
          <w:rFonts w:ascii="Times New Roman" w:hAnsi="Times New Roman" w:cs="Times New Roman"/>
          <w:bCs/>
          <w:sz w:val="24"/>
          <w:szCs w:val="24"/>
        </w:rPr>
        <w:t xml:space="preserve"> to the north, </w:t>
      </w:r>
      <w:proofErr w:type="spellStart"/>
      <w:r w:rsidR="00080EC6" w:rsidRPr="00080EC6">
        <w:rPr>
          <w:rFonts w:ascii="Times New Roman" w:hAnsi="Times New Roman" w:cs="Times New Roman"/>
          <w:bCs/>
          <w:sz w:val="24"/>
          <w:szCs w:val="24"/>
        </w:rPr>
        <w:t>Onicha</w:t>
      </w:r>
      <w:proofErr w:type="spellEnd"/>
      <w:r w:rsidR="00080EC6" w:rsidRPr="00080EC6">
        <w:rPr>
          <w:rFonts w:ascii="Times New Roman" w:hAnsi="Times New Roman" w:cs="Times New Roman"/>
          <w:bCs/>
          <w:sz w:val="24"/>
          <w:szCs w:val="24"/>
        </w:rPr>
        <w:t xml:space="preserve"> to the south, Ezza North to the east, and </w:t>
      </w:r>
      <w:proofErr w:type="spellStart"/>
      <w:r w:rsidR="00080EC6" w:rsidRPr="00080EC6">
        <w:rPr>
          <w:rFonts w:ascii="Times New Roman" w:hAnsi="Times New Roman" w:cs="Times New Roman"/>
          <w:bCs/>
          <w:sz w:val="24"/>
          <w:szCs w:val="24"/>
        </w:rPr>
        <w:t>Ikwo</w:t>
      </w:r>
      <w:proofErr w:type="spellEnd"/>
      <w:r w:rsidR="00080EC6" w:rsidRPr="00080EC6">
        <w:rPr>
          <w:rFonts w:ascii="Times New Roman" w:hAnsi="Times New Roman" w:cs="Times New Roman"/>
          <w:bCs/>
          <w:sz w:val="24"/>
          <w:szCs w:val="24"/>
        </w:rPr>
        <w:t xml:space="preserve"> to the west.</w:t>
      </w:r>
      <w:r w:rsidR="00080EC6">
        <w:rPr>
          <w:rFonts w:ascii="Times New Roman" w:hAnsi="Times New Roman" w:cs="Times New Roman"/>
          <w:b/>
          <w:sz w:val="24"/>
          <w:szCs w:val="24"/>
        </w:rPr>
        <w:t xml:space="preserve"> </w:t>
      </w:r>
      <w:r w:rsidR="00847092" w:rsidRPr="008805B8">
        <w:rPr>
          <w:rFonts w:ascii="Times New Roman" w:hAnsi="Times New Roman" w:cs="Times New Roman"/>
          <w:sz w:val="24"/>
          <w:szCs w:val="24"/>
        </w:rPr>
        <w:t>The people are predominantly of Igbo stock. They speak Ezza dialect and the central Igbo language. South-eastern Nigeria is an area in tropical African that is well known for high population growth rate and crude density, high rate of urbanization and poor agricultural resource base (Okafor.2005). Their major occupations are farming and trading as well as emerging civil servant class. It has an area of 324 km</w:t>
      </w:r>
      <w:r w:rsidR="00847092" w:rsidRPr="008805B8">
        <w:rPr>
          <w:rFonts w:ascii="Times New Roman" w:hAnsi="Times New Roman" w:cs="Times New Roman"/>
          <w:sz w:val="24"/>
          <w:szCs w:val="24"/>
          <w:vertAlign w:val="superscript"/>
        </w:rPr>
        <w:t>2</w:t>
      </w:r>
      <w:r w:rsidR="00847092" w:rsidRPr="008805B8">
        <w:rPr>
          <w:rFonts w:ascii="Times New Roman" w:hAnsi="Times New Roman" w:cs="Times New Roman"/>
          <w:sz w:val="24"/>
          <w:szCs w:val="24"/>
        </w:rPr>
        <w:t xml:space="preserve"> and a population of 133,625 people based on 2006 census (National Population Census (NPC), (2006), (Brinkhoff 2013) and now estimated to be about 197,097 people using the national annual growth rate of 2.5 percent.  Coordinates for Ezza South LGA are: 6.1777°N 8.0403°E </w:t>
      </w:r>
      <w:r w:rsidR="00847092" w:rsidRPr="008805B8">
        <w:rPr>
          <w:rStyle w:val="Hyperlink"/>
          <w:rFonts w:ascii="Times New Roman" w:hAnsi="Times New Roman" w:cs="Times New Roman"/>
          <w:sz w:val="24"/>
          <w:szCs w:val="24"/>
          <w:shd w:val="clear" w:color="auto" w:fill="FFFFFF"/>
        </w:rPr>
        <w:t xml:space="preserve"> </w:t>
      </w:r>
      <w:r w:rsidR="00847092" w:rsidRPr="008805B8">
        <w:rPr>
          <w:rFonts w:ascii="Times New Roman" w:hAnsi="Times New Roman" w:cs="Times New Roman"/>
          <w:sz w:val="24"/>
          <w:szCs w:val="24"/>
        </w:rPr>
        <w:t xml:space="preserve"> </w:t>
      </w:r>
    </w:p>
    <w:p w14:paraId="34301081" w14:textId="77777777" w:rsidR="001D13E9" w:rsidRPr="001D13E9" w:rsidRDefault="00BB1D70" w:rsidP="001D13E9">
      <w:pPr>
        <w:pStyle w:val="NoSpacing"/>
        <w:rPr>
          <w:rFonts w:ascii="Times New Roman" w:hAnsi="Times New Roman" w:cs="Times New Roman"/>
          <w:b/>
          <w:sz w:val="16"/>
          <w:szCs w:val="16"/>
        </w:rPr>
      </w:pPr>
      <w:r>
        <w:rPr>
          <w:rFonts w:ascii="Times New Roman" w:hAnsi="Times New Roman" w:cs="Times New Roman"/>
          <w:noProof/>
          <w:sz w:val="24"/>
          <w:szCs w:val="24"/>
        </w:rPr>
        <w:drawing>
          <wp:anchor distT="0" distB="0" distL="114300" distR="114300" simplePos="0" relativeHeight="251667456" behindDoc="0" locked="0" layoutInCell="1" allowOverlap="1" wp14:anchorId="5135390E" wp14:editId="01DAAF46">
            <wp:simplePos x="0" y="0"/>
            <wp:positionH relativeFrom="column">
              <wp:posOffset>0</wp:posOffset>
            </wp:positionH>
            <wp:positionV relativeFrom="paragraph">
              <wp:posOffset>130810</wp:posOffset>
            </wp:positionV>
            <wp:extent cx="2743200" cy="237172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371725"/>
                    </a:xfrm>
                    <a:prstGeom prst="rect">
                      <a:avLst/>
                    </a:prstGeom>
                  </pic:spPr>
                </pic:pic>
              </a:graphicData>
            </a:graphic>
          </wp:anchor>
        </w:drawing>
      </w:r>
    </w:p>
    <w:p w14:paraId="32F5F410" w14:textId="77777777" w:rsidR="00623457" w:rsidRPr="00C97850" w:rsidRDefault="00BB1D70" w:rsidP="00C97850">
      <w:pPr>
        <w:spacing w:line="240" w:lineRule="auto"/>
        <w:rPr>
          <w:rFonts w:ascii="Times New Roman" w:hAnsi="Times New Roman" w:cs="Times New Roman"/>
          <w:b/>
          <w:sz w:val="16"/>
          <w:szCs w:val="16"/>
        </w:rPr>
      </w:pPr>
      <w:r>
        <w:rPr>
          <w:rFonts w:ascii="Times New Roman" w:hAnsi="Times New Roman" w:cs="Times New Roman"/>
          <w:b/>
          <w:bCs/>
          <w:noProof/>
          <w:sz w:val="16"/>
          <w:szCs w:val="16"/>
        </w:rPr>
        <w:drawing>
          <wp:anchor distT="0" distB="0" distL="114300" distR="114300" simplePos="0" relativeHeight="251669504" behindDoc="0" locked="0" layoutInCell="1" allowOverlap="1" wp14:anchorId="3D82B419" wp14:editId="5A43E83E">
            <wp:simplePos x="0" y="0"/>
            <wp:positionH relativeFrom="column">
              <wp:posOffset>180975</wp:posOffset>
            </wp:positionH>
            <wp:positionV relativeFrom="paragraph">
              <wp:posOffset>19050</wp:posOffset>
            </wp:positionV>
            <wp:extent cx="2733675" cy="2381250"/>
            <wp:effectExtent l="19050" t="0" r="9525" b="0"/>
            <wp:wrapThrough wrapText="bothSides">
              <wp:wrapPolygon edited="0">
                <wp:start x="-151" y="0"/>
                <wp:lineTo x="-151" y="21427"/>
                <wp:lineTo x="21675" y="21427"/>
                <wp:lineTo x="21675" y="0"/>
                <wp:lineTo x="-151" y="0"/>
              </wp:wrapPolygon>
            </wp:wrapThrough>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1_2025-03-09_17-1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675" cy="2381250"/>
                    </a:xfrm>
                    <a:prstGeom prst="rect">
                      <a:avLst/>
                    </a:prstGeom>
                  </pic:spPr>
                </pic:pic>
              </a:graphicData>
            </a:graphic>
          </wp:anchor>
        </w:drawing>
      </w:r>
      <w:r w:rsidR="00683E3C">
        <w:rPr>
          <w:rFonts w:ascii="Times New Roman" w:hAnsi="Times New Roman" w:cs="Times New Roman"/>
          <w:b/>
          <w:bCs/>
          <w:sz w:val="16"/>
          <w:szCs w:val="16"/>
        </w:rPr>
        <w:t xml:space="preserve">  Fig.</w:t>
      </w:r>
      <w:r w:rsidR="00683E3C" w:rsidRPr="001D13E9">
        <w:rPr>
          <w:rFonts w:ascii="Times New Roman" w:hAnsi="Times New Roman" w:cs="Times New Roman"/>
          <w:b/>
          <w:bCs/>
          <w:sz w:val="16"/>
          <w:szCs w:val="16"/>
        </w:rPr>
        <w:t>1</w:t>
      </w:r>
      <w:r w:rsidR="00683E3C" w:rsidRPr="001D13E9">
        <w:rPr>
          <w:rFonts w:ascii="Times New Roman" w:hAnsi="Times New Roman" w:cs="Times New Roman"/>
          <w:b/>
          <w:sz w:val="16"/>
          <w:szCs w:val="16"/>
        </w:rPr>
        <w:t xml:space="preserve">: </w:t>
      </w:r>
      <w:r w:rsidR="00683E3C" w:rsidRPr="001D13E9">
        <w:rPr>
          <w:rFonts w:ascii="Times New Roman" w:hAnsi="Times New Roman" w:cs="Times New Roman"/>
          <w:b/>
          <w:color w:val="202122"/>
          <w:sz w:val="16"/>
          <w:szCs w:val="16"/>
          <w:shd w:val="clear" w:color="auto" w:fill="FFFFFF"/>
        </w:rPr>
        <w:t>Map of Nigeria Showing Ebonyi State</w:t>
      </w:r>
      <w:r w:rsidR="00623457">
        <w:rPr>
          <w:rFonts w:ascii="Times New Roman" w:hAnsi="Times New Roman" w:cs="Times New Roman"/>
          <w:b/>
          <w:sz w:val="16"/>
          <w:szCs w:val="16"/>
        </w:rPr>
        <w:t xml:space="preserve">   </w:t>
      </w:r>
      <w:r w:rsidR="00623457">
        <w:rPr>
          <w:rFonts w:ascii="Times New Roman" w:hAnsi="Times New Roman" w:cs="Times New Roman"/>
          <w:b/>
          <w:sz w:val="16"/>
          <w:szCs w:val="16"/>
        </w:rPr>
        <w:tab/>
      </w:r>
      <w:r w:rsidR="00623457">
        <w:rPr>
          <w:rFonts w:ascii="Times New Roman" w:hAnsi="Times New Roman" w:cs="Times New Roman"/>
          <w:b/>
          <w:sz w:val="16"/>
          <w:szCs w:val="16"/>
        </w:rPr>
        <w:tab/>
      </w:r>
      <w:r w:rsidR="00623457">
        <w:rPr>
          <w:rFonts w:ascii="Times New Roman" w:hAnsi="Times New Roman" w:cs="Times New Roman"/>
          <w:b/>
          <w:sz w:val="16"/>
          <w:szCs w:val="16"/>
        </w:rPr>
        <w:tab/>
        <w:t xml:space="preserve">  </w:t>
      </w:r>
      <w:r w:rsidR="00683E3C">
        <w:rPr>
          <w:rFonts w:ascii="Times New Roman" w:hAnsi="Times New Roman" w:cs="Times New Roman"/>
          <w:b/>
          <w:sz w:val="16"/>
          <w:szCs w:val="16"/>
        </w:rPr>
        <w:t xml:space="preserve">Fig. </w:t>
      </w:r>
      <w:r w:rsidR="00623457">
        <w:rPr>
          <w:rFonts w:ascii="Times New Roman" w:hAnsi="Times New Roman" w:cs="Times New Roman"/>
          <w:b/>
          <w:sz w:val="16"/>
          <w:szCs w:val="16"/>
        </w:rPr>
        <w:t xml:space="preserve">2: </w:t>
      </w:r>
      <w:r w:rsidR="001D13E9" w:rsidRPr="001D13E9">
        <w:rPr>
          <w:rFonts w:ascii="Times New Roman" w:hAnsi="Times New Roman" w:cs="Times New Roman"/>
          <w:b/>
          <w:sz w:val="16"/>
          <w:szCs w:val="16"/>
        </w:rPr>
        <w:t>Map of Ebonyi showing Ezza South LGA</w:t>
      </w:r>
      <w:r w:rsidR="00683E3C">
        <w:rPr>
          <w:rFonts w:ascii="Times New Roman" w:hAnsi="Times New Roman" w:cs="Times New Roman"/>
          <w:b/>
          <w:sz w:val="16"/>
          <w:szCs w:val="16"/>
        </w:rPr>
        <w:t xml:space="preserve"> </w:t>
      </w:r>
    </w:p>
    <w:p w14:paraId="20A0E36E" w14:textId="77777777" w:rsidR="00623457" w:rsidRDefault="00623457" w:rsidP="00683E3C">
      <w:pPr>
        <w:pStyle w:val="NoSpacing"/>
        <w:rPr>
          <w:rFonts w:ascii="Times New Roman" w:hAnsi="Times New Roman" w:cs="Times New Roman"/>
          <w:b/>
          <w:bCs/>
          <w:sz w:val="24"/>
          <w:szCs w:val="24"/>
        </w:rPr>
      </w:pPr>
    </w:p>
    <w:p w14:paraId="5741AFBA" w14:textId="77777777" w:rsidR="00683E3C" w:rsidRDefault="00BB1D70" w:rsidP="00683E3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   </w:t>
      </w:r>
      <w:r w:rsidR="00683E3C">
        <w:rPr>
          <w:rFonts w:ascii="Times New Roman" w:hAnsi="Times New Roman" w:cs="Times New Roman"/>
          <w:b/>
          <w:bCs/>
          <w:sz w:val="24"/>
          <w:szCs w:val="24"/>
        </w:rPr>
        <w:t>MATERIALS</w:t>
      </w:r>
      <w:r w:rsidR="008805B8">
        <w:rPr>
          <w:rFonts w:ascii="Times New Roman" w:hAnsi="Times New Roman" w:cs="Times New Roman"/>
          <w:b/>
          <w:bCs/>
          <w:sz w:val="24"/>
          <w:szCs w:val="24"/>
        </w:rPr>
        <w:t xml:space="preserve"> AND METHOD</w:t>
      </w:r>
      <w:r w:rsidR="0023772C">
        <w:rPr>
          <w:rFonts w:ascii="Times New Roman" w:hAnsi="Times New Roman" w:cs="Times New Roman"/>
          <w:b/>
          <w:bCs/>
          <w:sz w:val="24"/>
          <w:szCs w:val="24"/>
        </w:rPr>
        <w:t>S</w:t>
      </w:r>
    </w:p>
    <w:p w14:paraId="0DFF5854" w14:textId="77777777" w:rsidR="00683E3C" w:rsidRPr="00683E3C" w:rsidRDefault="00683E3C" w:rsidP="00683E3C">
      <w:pPr>
        <w:pStyle w:val="NoSpacing"/>
        <w:rPr>
          <w:rFonts w:ascii="Times New Roman" w:hAnsi="Times New Roman" w:cs="Times New Roman"/>
          <w:b/>
          <w:bCs/>
        </w:rPr>
      </w:pPr>
    </w:p>
    <w:p w14:paraId="17EC3542" w14:textId="77777777" w:rsidR="00847092" w:rsidRPr="00683E3C" w:rsidRDefault="00BB1D70" w:rsidP="0053135B">
      <w:pPr>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847092" w:rsidRPr="00683E3C">
        <w:rPr>
          <w:rFonts w:ascii="Times New Roman" w:hAnsi="Times New Roman" w:cs="Times New Roman"/>
          <w:b/>
          <w:bCs/>
          <w:sz w:val="24"/>
          <w:szCs w:val="24"/>
        </w:rPr>
        <w:t xml:space="preserve">Research Design </w:t>
      </w:r>
    </w:p>
    <w:p w14:paraId="5BC3D4EE" w14:textId="77777777" w:rsidR="00847092" w:rsidRDefault="00847092" w:rsidP="0023772C">
      <w:pPr>
        <w:spacing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lastRenderedPageBreak/>
        <w:t>This study employs a descriptive and retrospective geospatial research design. It utilizes a quantitative analysis of multi-temporal satellite imagery to sys</w:t>
      </w:r>
      <w:r w:rsidR="005D14E9">
        <w:rPr>
          <w:rFonts w:ascii="Times New Roman" w:eastAsia="Google Sans Text" w:hAnsi="Times New Roman" w:cs="Times New Roman"/>
          <w:color w:val="1B1C1D"/>
          <w:sz w:val="24"/>
          <w:szCs w:val="24"/>
        </w:rPr>
        <w:t xml:space="preserve">tematically document, quantifies </w:t>
      </w:r>
      <w:r>
        <w:rPr>
          <w:rFonts w:ascii="Times New Roman" w:eastAsia="Google Sans Text" w:hAnsi="Times New Roman" w:cs="Times New Roman"/>
          <w:color w:val="1B1C1D"/>
          <w:sz w:val="24"/>
          <w:szCs w:val="24"/>
        </w:rPr>
        <w:t xml:space="preserve">and analyses historical changes in land use/land cover (LULC) and vegetation health within Ezza South LGA from 2014 to 2024. </w:t>
      </w:r>
    </w:p>
    <w:p w14:paraId="02CC91E5" w14:textId="77777777" w:rsidR="00847092" w:rsidRPr="00683E3C" w:rsidRDefault="00BB1D70" w:rsidP="0053135B">
      <w:pPr>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847092" w:rsidRPr="00683E3C">
        <w:rPr>
          <w:rFonts w:ascii="Times New Roman" w:hAnsi="Times New Roman" w:cs="Times New Roman"/>
          <w:b/>
          <w:bCs/>
          <w:sz w:val="24"/>
          <w:szCs w:val="24"/>
        </w:rPr>
        <w:t xml:space="preserve">Types of Data </w:t>
      </w:r>
    </w:p>
    <w:p w14:paraId="7D05B316" w14:textId="77777777" w:rsidR="00847092" w:rsidRDefault="00847092"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Primary and secondary data were used in this study. Primary data includes visits to the area, observations made, and interactions with farmers, and community leaders, stakeholders in the area during ground-truthing. Secondary data were collected from satellite (satellite image).</w:t>
      </w:r>
    </w:p>
    <w:p w14:paraId="5EB45C56" w14:textId="77777777" w:rsidR="00847092" w:rsidRPr="00683E3C" w:rsidRDefault="00847092" w:rsidP="0053135B">
      <w:pPr>
        <w:jc w:val="both"/>
        <w:rPr>
          <w:rFonts w:ascii="Times New Roman" w:hAnsi="Times New Roman" w:cs="Times New Roman"/>
          <w:b/>
          <w:sz w:val="24"/>
          <w:szCs w:val="24"/>
        </w:rPr>
      </w:pPr>
      <w:r w:rsidRPr="00683E3C">
        <w:rPr>
          <w:rFonts w:ascii="Times New Roman" w:hAnsi="Times New Roman" w:cs="Times New Roman"/>
          <w:b/>
          <w:bCs/>
          <w:sz w:val="24"/>
          <w:szCs w:val="24"/>
        </w:rPr>
        <w:t>Sources of Data</w:t>
      </w:r>
      <w:r w:rsidRPr="00683E3C">
        <w:rPr>
          <w:rFonts w:ascii="Times New Roman" w:hAnsi="Times New Roman" w:cs="Times New Roman"/>
          <w:b/>
          <w:sz w:val="24"/>
          <w:szCs w:val="24"/>
        </w:rPr>
        <w:t xml:space="preserve"> </w:t>
      </w:r>
    </w:p>
    <w:p w14:paraId="48473E10" w14:textId="77777777" w:rsidR="00847092" w:rsidRDefault="00847092" w:rsidP="0023772C">
      <w:pPr>
        <w:spacing w:line="360" w:lineRule="auto"/>
        <w:jc w:val="both"/>
        <w:rPr>
          <w:rFonts w:ascii="Times New Roman" w:hAnsi="Times New Roman" w:cs="Times New Roman"/>
          <w:sz w:val="24"/>
          <w:szCs w:val="24"/>
        </w:rPr>
      </w:pPr>
      <w:r>
        <w:rPr>
          <w:rFonts w:ascii="Times New Roman" w:eastAsia="Google Sans Text" w:hAnsi="Times New Roman" w:cs="Times New Roman"/>
          <w:color w:val="1B1C1D"/>
          <w:sz w:val="24"/>
          <w:szCs w:val="24"/>
        </w:rPr>
        <w:t>The primary and secondary data used for the analysis were derived from two key satellite programs: Sentinel-2 for high-resolution LULC mapping and the Landsat program for long-term vegetation trend analysis and interactions with people in the area as well as review of available literature on the area.</w:t>
      </w:r>
    </w:p>
    <w:p w14:paraId="7024B816" w14:textId="77777777" w:rsidR="00847092" w:rsidRPr="00683E3C" w:rsidRDefault="00847092" w:rsidP="0053135B">
      <w:pPr>
        <w:jc w:val="both"/>
        <w:rPr>
          <w:rFonts w:ascii="Times New Roman" w:hAnsi="Times New Roman" w:cs="Times New Roman"/>
          <w:b/>
          <w:bCs/>
          <w:sz w:val="24"/>
          <w:szCs w:val="24"/>
        </w:rPr>
      </w:pPr>
      <w:r w:rsidRPr="00683E3C">
        <w:rPr>
          <w:rFonts w:ascii="Times New Roman" w:eastAsia="SimSun" w:hAnsi="Times New Roman" w:cs="Times New Roman"/>
          <w:b/>
          <w:bCs/>
          <w:sz w:val="24"/>
          <w:szCs w:val="24"/>
          <w:lang w:eastAsia="zh-CN"/>
        </w:rPr>
        <w:t>Instrumentation</w:t>
      </w:r>
      <w:r w:rsidRPr="00683E3C">
        <w:rPr>
          <w:rFonts w:ascii="Times New Roman" w:hAnsi="Times New Roman" w:cs="Times New Roman"/>
          <w:b/>
          <w:bCs/>
          <w:sz w:val="24"/>
          <w:szCs w:val="24"/>
        </w:rPr>
        <w:t xml:space="preserve"> </w:t>
      </w:r>
    </w:p>
    <w:p w14:paraId="4BB720BF" w14:textId="77777777" w:rsidR="00847092" w:rsidRDefault="005D14E9"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The primary data for the analysis were derived from two key satellite programs:  Sentinel-2: Used for high-resolution LULC mapping. The Google Dynamic World dataset, which provides near real-time, 10-meter resolution classifications, leverages Sentinel-2 imagery.</w:t>
      </w:r>
      <w:r w:rsidR="00847092">
        <w:rPr>
          <w:rFonts w:ascii="Times New Roman" w:hAnsi="Times New Roman" w:cs="Times New Roman"/>
          <w:b/>
          <w:bCs/>
          <w:sz w:val="24"/>
          <w:szCs w:val="24"/>
        </w:rPr>
        <w:t xml:space="preserve"> </w:t>
      </w:r>
      <w:r w:rsidR="00847092">
        <w:rPr>
          <w:rFonts w:ascii="Times New Roman" w:hAnsi="Times New Roman" w:cs="Times New Roman"/>
          <w:bCs/>
          <w:sz w:val="24"/>
          <w:szCs w:val="24"/>
        </w:rPr>
        <w:t>Landsat Program: Utilized for long-term vegetation trend analysis. This included harmonized data from Landsat 5 TM, Landsat 7 ETM+, Landsat 8 OLI, and Landsat 9 OLI-2.</w:t>
      </w:r>
      <w:r w:rsidR="00847092">
        <w:rPr>
          <w:rFonts w:ascii="Times New Roman" w:hAnsi="Times New Roman" w:cs="Times New Roman"/>
          <w:b/>
          <w:bCs/>
          <w:sz w:val="24"/>
          <w:szCs w:val="24"/>
        </w:rPr>
        <w:t xml:space="preserve"> </w:t>
      </w:r>
      <w:r w:rsidR="00847092">
        <w:rPr>
          <w:rFonts w:ascii="Times New Roman" w:hAnsi="Times New Roman" w:cs="Times New Roman"/>
          <w:bCs/>
          <w:sz w:val="24"/>
          <w:szCs w:val="24"/>
        </w:rPr>
        <w:t>All data acquisition, preprocessing, and analysis were conducted within the Google Earth Engine (GEE) platform, a cloud-based computational platform designed for planetary-scale geospatial analysis.</w:t>
      </w:r>
      <w:r w:rsidR="00847092">
        <w:rPr>
          <w:rFonts w:ascii="Times New Roman" w:hAnsi="Times New Roman" w:cs="Times New Roman"/>
          <w:b/>
          <w:bCs/>
          <w:sz w:val="24"/>
          <w:szCs w:val="24"/>
        </w:rPr>
        <w:t xml:space="preserve"> </w:t>
      </w:r>
    </w:p>
    <w:p w14:paraId="4B7029DC" w14:textId="77777777" w:rsidR="00847092" w:rsidRPr="00683E3C" w:rsidRDefault="00847092" w:rsidP="0053135B">
      <w:pPr>
        <w:jc w:val="both"/>
        <w:rPr>
          <w:rFonts w:ascii="Times New Roman" w:eastAsia="SimSun" w:hAnsi="Times New Roman" w:cs="Times New Roman"/>
          <w:b/>
          <w:bCs/>
          <w:sz w:val="24"/>
          <w:szCs w:val="24"/>
          <w:lang w:eastAsia="zh-CN"/>
        </w:rPr>
      </w:pPr>
      <w:r w:rsidRPr="00683E3C">
        <w:rPr>
          <w:rFonts w:ascii="Times New Roman" w:eastAsia="SimSun" w:hAnsi="Times New Roman" w:cs="Times New Roman"/>
          <w:b/>
          <w:bCs/>
          <w:sz w:val="24"/>
          <w:szCs w:val="24"/>
          <w:lang w:eastAsia="zh-CN"/>
        </w:rPr>
        <w:t xml:space="preserve">Procedure for Data Collection </w:t>
      </w:r>
    </w:p>
    <w:p w14:paraId="2902BB09" w14:textId="77777777" w:rsidR="00847092" w:rsidRDefault="005D14E9"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The study followed a descriptive and retrospective geospatial research design, focusing on quantitative analysis of multi-temporal satellite imagery in carrying out this research. More so, necessary consultations with the leaderships of the area were made and required permission granted. Safety and security measures were taken in the course of data collection, ground-truthing, and visits.</w:t>
      </w:r>
    </w:p>
    <w:p w14:paraId="68CE0123" w14:textId="77777777" w:rsidR="00847092" w:rsidRPr="00683E3C" w:rsidRDefault="00847092" w:rsidP="0053135B">
      <w:pPr>
        <w:jc w:val="both"/>
        <w:rPr>
          <w:rFonts w:ascii="Times New Roman" w:hAnsi="Times New Roman" w:cs="Times New Roman"/>
          <w:b/>
          <w:bCs/>
          <w:sz w:val="24"/>
          <w:szCs w:val="24"/>
        </w:rPr>
      </w:pPr>
      <w:r w:rsidRPr="00683E3C">
        <w:rPr>
          <w:rFonts w:ascii="Times New Roman" w:hAnsi="Times New Roman" w:cs="Times New Roman"/>
          <w:b/>
          <w:bCs/>
          <w:sz w:val="24"/>
          <w:szCs w:val="24"/>
        </w:rPr>
        <w:lastRenderedPageBreak/>
        <w:t>Data Acquisition and Preprocessing:</w:t>
      </w:r>
      <w:r w:rsidRPr="00683E3C">
        <w:rPr>
          <w:rFonts w:ascii="Times New Roman" w:eastAsia="SimSun" w:hAnsi="Times New Roman" w:cs="Times New Roman"/>
          <w:b/>
          <w:bCs/>
          <w:sz w:val="24"/>
          <w:szCs w:val="24"/>
          <w:lang w:eastAsia="zh-CN"/>
        </w:rPr>
        <w:t xml:space="preserve"> </w:t>
      </w:r>
      <w:r w:rsidRPr="00683E3C">
        <w:rPr>
          <w:rFonts w:ascii="Times New Roman" w:hAnsi="Times New Roman" w:cs="Times New Roman"/>
          <w:b/>
          <w:bCs/>
          <w:sz w:val="24"/>
          <w:szCs w:val="24"/>
        </w:rPr>
        <w:t xml:space="preserve"> </w:t>
      </w:r>
    </w:p>
    <w:p w14:paraId="420E96BF" w14:textId="77777777" w:rsidR="00D54CD1" w:rsidRDefault="005D14E9" w:rsidP="002377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The administrative boundary of Ezza South LGA was imported into GEE as an Area of Interest (AOI) to filter and clip all satellite data for LULC analysis (2014–2024), the GOOGLE/DYNAMICWORLD/V1 Image Collection (from Sentinel-2) was filtered by date and spatially to the Ezza South AOI. A temporal aggregation technique, specifically the mode reducer, was applied to the time-series of the label band for each year to create a single, representative LULC map.</w:t>
      </w:r>
      <w:r w:rsidR="00847092">
        <w:rPr>
          <w:rFonts w:ascii="Times New Roman" w:eastAsia="SimSun" w:hAnsi="Times New Roman" w:cs="Times New Roman"/>
          <w:b/>
          <w:bCs/>
          <w:sz w:val="24"/>
          <w:szCs w:val="24"/>
          <w:lang w:eastAsia="zh-CN"/>
        </w:rPr>
        <w:t xml:space="preserve"> </w:t>
      </w:r>
      <w:r w:rsidR="00847092">
        <w:rPr>
          <w:rFonts w:ascii="Times New Roman" w:hAnsi="Times New Roman" w:cs="Times New Roman"/>
          <w:bCs/>
          <w:sz w:val="24"/>
          <w:szCs w:val="24"/>
        </w:rPr>
        <w:t>For long-term vegetation trend analysis (2014–2024), Tier 1 Surface Reflectance collections from Landsat 5, 7, 8, and 9 were merged into a single, harmonized Image Collection. A function was created for cloud masking using the QA_PIXEL band in each Landsat image.</w:t>
      </w:r>
    </w:p>
    <w:p w14:paraId="44BA00F7" w14:textId="77777777" w:rsidR="002256DF" w:rsidRDefault="004E22F0" w:rsidP="002256DF">
      <w:pPr>
        <w:spacing w:after="24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2256DF" w:rsidRPr="00862AC2">
        <w:rPr>
          <w:rFonts w:ascii="Times New Roman" w:eastAsia="Google Sans Text" w:hAnsi="Times New Roman" w:cs="Times New Roman"/>
          <w:color w:val="1B1C1D"/>
          <w:sz w:val="24"/>
          <w:szCs w:val="24"/>
        </w:rPr>
        <w:t>Here's a breakdown of the methodology used:</w:t>
      </w:r>
      <w:r w:rsidR="002256DF">
        <w:rPr>
          <w:rFonts w:ascii="Times New Roman" w:eastAsia="Google Sans Text" w:hAnsi="Times New Roman" w:cs="Times New Roman"/>
          <w:color w:val="1B1C1D"/>
          <w:sz w:val="24"/>
          <w:szCs w:val="24"/>
        </w:rPr>
        <w:t xml:space="preserve"> </w:t>
      </w:r>
      <w:r w:rsidR="002256DF" w:rsidRPr="00862AC2">
        <w:rPr>
          <w:rFonts w:ascii="Times New Roman" w:eastAsia="Google Sans Text" w:hAnsi="Times New Roman" w:cs="Times New Roman"/>
          <w:color w:val="1B1C1D"/>
          <w:sz w:val="24"/>
          <w:szCs w:val="24"/>
        </w:rPr>
        <w:t>Sampling Size and Sampling Technique</w:t>
      </w:r>
      <w:r w:rsidR="002256DF">
        <w:rPr>
          <w:rFonts w:ascii="Times New Roman" w:eastAsia="Google Sans Text" w:hAnsi="Times New Roman" w:cs="Times New Roman"/>
          <w:color w:val="1B1C1D"/>
          <w:sz w:val="24"/>
          <w:szCs w:val="24"/>
        </w:rPr>
        <w:t xml:space="preserve"> </w:t>
      </w:r>
      <w:r w:rsidR="002256DF" w:rsidRPr="00862AC2">
        <w:rPr>
          <w:rFonts w:ascii="Times New Roman" w:eastAsia="Google Sans Text" w:hAnsi="Times New Roman" w:cs="Times New Roman"/>
          <w:color w:val="1B1C1D"/>
          <w:sz w:val="24"/>
          <w:szCs w:val="24"/>
        </w:rPr>
        <w:t>For the validation and accuracy assessment of the Land Use/Land Cover (LULC) classification, a minimum of 300 validation points was generated across the study area using a stratified random sampling design. This method ensured that all LULC classes were adequately represented within the validation sample.</w:t>
      </w:r>
    </w:p>
    <w:p w14:paraId="2EC3ECEE" w14:textId="77777777" w:rsidR="004C42DE" w:rsidRPr="00C93337" w:rsidRDefault="004C42DE" w:rsidP="004C42DE">
      <w:pPr>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Data Analysis and Interpretation</w:t>
      </w:r>
    </w:p>
    <w:p w14:paraId="2D654133"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Five main methods of data analysis were adopted in the study.</w:t>
      </w:r>
    </w:p>
    <w:p w14:paraId="20831A18"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w:t>
      </w:r>
      <w:proofErr w:type="spellStart"/>
      <w:r w:rsidRPr="00C93337">
        <w:rPr>
          <w:rFonts w:ascii="Times New Roman" w:hAnsi="Times New Roman"/>
          <w:color w:val="000000" w:themeColor="text1"/>
          <w:highlight w:val="yellow"/>
        </w:rPr>
        <w:t>i</w:t>
      </w:r>
      <w:proofErr w:type="spellEnd"/>
      <w:r w:rsidRPr="00C93337">
        <w:rPr>
          <w:rFonts w:ascii="Times New Roman" w:hAnsi="Times New Roman"/>
          <w:color w:val="000000" w:themeColor="text1"/>
          <w:highlight w:val="yellow"/>
        </w:rPr>
        <w:t>). Cluster analysis</w:t>
      </w:r>
    </w:p>
    <w:p w14:paraId="608CD904"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(ii). Maximum Likelihood Classification</w:t>
      </w:r>
    </w:p>
    <w:p w14:paraId="166E678A"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(iii). Calculation of the Area in hectares of the resulting land cover types for each study year and subsequently comparing the results.</w:t>
      </w:r>
    </w:p>
    <w:p w14:paraId="2486E0FE"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(iv). Overlay Operations</w:t>
      </w:r>
    </w:p>
    <w:p w14:paraId="65722B2A" w14:textId="77777777" w:rsidR="004C42DE" w:rsidRPr="00C93337" w:rsidRDefault="004C42DE" w:rsidP="004C42DE">
      <w:pPr>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(v). Error matrix and a Kappa analysis</w:t>
      </w:r>
    </w:p>
    <w:p w14:paraId="67EEE19E" w14:textId="77777777" w:rsidR="004C42DE" w:rsidRDefault="004C42DE" w:rsidP="004C42DE">
      <w:pPr>
        <w:spacing w:after="0" w:line="360" w:lineRule="auto"/>
        <w:ind w:right="288"/>
        <w:jc w:val="both"/>
        <w:rPr>
          <w:rFonts w:ascii="Times New Roman" w:hAnsi="Times New Roman"/>
          <w:color w:val="000000" w:themeColor="text1"/>
        </w:rPr>
      </w:pPr>
      <w:r w:rsidRPr="00C93337">
        <w:rPr>
          <w:rFonts w:ascii="Times New Roman" w:hAnsi="Times New Roman"/>
          <w:color w:val="000000" w:themeColor="text1"/>
          <w:highlight w:val="yellow"/>
        </w:rPr>
        <w:t>The first two methods above were used for image classification to produce land cover map of the study are</w:t>
      </w:r>
      <w:r w:rsidR="00F616F6">
        <w:rPr>
          <w:rFonts w:ascii="Times New Roman" w:hAnsi="Times New Roman"/>
          <w:color w:val="000000" w:themeColor="text1"/>
          <w:highlight w:val="yellow"/>
        </w:rPr>
        <w:t>a. The data were imagery of 2014, 2016, 2018, 2020, 2022</w:t>
      </w:r>
      <w:r w:rsidRPr="00C93337">
        <w:rPr>
          <w:rFonts w:ascii="Times New Roman" w:hAnsi="Times New Roman"/>
          <w:color w:val="000000" w:themeColor="text1"/>
          <w:highlight w:val="yellow"/>
        </w:rPr>
        <w:t xml:space="preserve"> and 2024. Calculation of the Area in square kilometer assisted in identifying the percentage change, trend, and rate of change between the periods of investigation.</w:t>
      </w:r>
      <w:r>
        <w:rPr>
          <w:rFonts w:ascii="Times New Roman" w:hAnsi="Times New Roman"/>
          <w:color w:val="000000" w:themeColor="text1"/>
        </w:rPr>
        <w:t xml:space="preserve"> </w:t>
      </w:r>
    </w:p>
    <w:p w14:paraId="525251CC" w14:textId="77777777" w:rsidR="004C42DE" w:rsidRPr="00C93337" w:rsidRDefault="004C42DE" w:rsidP="004C42DE">
      <w:pPr>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 xml:space="preserve">Land Cover Classification System </w:t>
      </w:r>
    </w:p>
    <w:p w14:paraId="188080CE" w14:textId="77777777" w:rsidR="00080EC6" w:rsidRPr="00080EC6" w:rsidRDefault="00080EC6" w:rsidP="00080EC6">
      <w:p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sz w:val="24"/>
          <w:szCs w:val="24"/>
        </w:rPr>
        <w:t>In this study, the Food and Agriculture Organization (FAO) Land Cover Classification System (LCCS) was employed. Based on field data and ancillary information obtained during the investigation, the land cover types within the study area were delineated. These are outlined as follows:</w:t>
      </w:r>
    </w:p>
    <w:p w14:paraId="14DA0D38"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lastRenderedPageBreak/>
        <w:t>Cultivated and Managed Terrestrial Areas (Farm/Fallow Land):</w:t>
      </w:r>
      <w:r w:rsidRPr="00080EC6">
        <w:rPr>
          <w:rFonts w:ascii="Times New Roman" w:eastAsia="Times New Roman" w:hAnsi="Times New Roman" w:cs="Times New Roman"/>
          <w:sz w:val="24"/>
          <w:szCs w:val="24"/>
        </w:rPr>
        <w:t xml:space="preserve"> This category comprises areas where the natural vegetation cover has been substantially modified and replaced through anthropogenic activities. It includes all vegetated croplands established with the primary objective of agricultural production and subsequent harvesting.</w:t>
      </w:r>
    </w:p>
    <w:p w14:paraId="0C39E188"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t>Natural and Semi-Natural Vegetation:</w:t>
      </w:r>
      <w:r w:rsidRPr="00080EC6">
        <w:rPr>
          <w:rFonts w:ascii="Times New Roman" w:eastAsia="Times New Roman" w:hAnsi="Times New Roman" w:cs="Times New Roman"/>
          <w:sz w:val="24"/>
          <w:szCs w:val="24"/>
        </w:rPr>
        <w:t xml:space="preserve"> Natural vegetation refers to areas in which the vegetative cover exists in equilibrium with the biotic and abiotic components of the ecosystem. Semi-natural vegetation, by contrast, consists of vegetation not deliberately planted by humans but which has been indirectly influenced by anthropogenic activities.</w:t>
      </w:r>
    </w:p>
    <w:p w14:paraId="238DDD20"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t>Artificial Surfaces and Associated Areas:</w:t>
      </w:r>
      <w:r w:rsidRPr="00080EC6">
        <w:rPr>
          <w:rFonts w:ascii="Times New Roman" w:eastAsia="Times New Roman" w:hAnsi="Times New Roman" w:cs="Times New Roman"/>
          <w:sz w:val="24"/>
          <w:szCs w:val="24"/>
        </w:rPr>
        <w:t xml:space="preserve"> This class encompasses land surfaces that have been significantly altered by human activities, resulting in artificial land cover. It includes construction sites, extraction areas such as mining and quarrying locations, excavated lands, and waste disposal sites.</w:t>
      </w:r>
    </w:p>
    <w:p w14:paraId="1468C961"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t>Bare Areas:</w:t>
      </w:r>
      <w:r w:rsidRPr="00080EC6">
        <w:rPr>
          <w:rFonts w:ascii="Times New Roman" w:eastAsia="Times New Roman" w:hAnsi="Times New Roman" w:cs="Times New Roman"/>
          <w:sz w:val="24"/>
          <w:szCs w:val="24"/>
        </w:rPr>
        <w:t xml:space="preserve"> These are surfaces with minimal or no anthropogenic influence and very limited or absent vegetation cover. Typical examples include exposed rock formations, bare sand, and desert-like terrains.</w:t>
      </w:r>
    </w:p>
    <w:p w14:paraId="13023CEC"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t>Natural Water Bodies:</w:t>
      </w:r>
      <w:r w:rsidRPr="00080EC6">
        <w:rPr>
          <w:rFonts w:ascii="Times New Roman" w:eastAsia="Times New Roman" w:hAnsi="Times New Roman" w:cs="Times New Roman"/>
          <w:sz w:val="24"/>
          <w:szCs w:val="24"/>
        </w:rPr>
        <w:t xml:space="preserve"> This category includes areas that are naturally inundated or permanently covered by water, such as rivers, streams, lakes, and similar aquatic features.</w:t>
      </w:r>
    </w:p>
    <w:p w14:paraId="57E7E36E" w14:textId="77777777" w:rsidR="00080EC6" w:rsidRPr="00080EC6" w:rsidRDefault="00080EC6" w:rsidP="00080EC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80EC6">
        <w:rPr>
          <w:rFonts w:ascii="Times New Roman" w:eastAsia="Times New Roman" w:hAnsi="Times New Roman" w:cs="Times New Roman"/>
          <w:b/>
          <w:bCs/>
          <w:sz w:val="24"/>
          <w:szCs w:val="24"/>
        </w:rPr>
        <w:t>Built-up Areas:</w:t>
      </w:r>
      <w:r w:rsidRPr="00080EC6">
        <w:rPr>
          <w:rFonts w:ascii="Times New Roman" w:eastAsia="Times New Roman" w:hAnsi="Times New Roman" w:cs="Times New Roman"/>
          <w:sz w:val="24"/>
          <w:szCs w:val="24"/>
        </w:rPr>
        <w:t xml:space="preserve"> These refer to land occupied by human settlements, including towns, residential areas, commercial establishments, industrial facilities, and associated infrastructure.</w:t>
      </w:r>
    </w:p>
    <w:p w14:paraId="61850A15" w14:textId="77777777" w:rsidR="004C42DE" w:rsidRPr="00C93337" w:rsidRDefault="004C42DE" w:rsidP="004C42DE">
      <w:pPr>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Development of a Classification Scheme</w:t>
      </w:r>
    </w:p>
    <w:p w14:paraId="47E0C0CA" w14:textId="1725D5A0" w:rsidR="004C42DE" w:rsidRPr="00C93337" w:rsidRDefault="00080EC6" w:rsidP="004C42DE">
      <w:pPr>
        <w:spacing w:after="0" w:line="360" w:lineRule="auto"/>
        <w:ind w:right="288"/>
        <w:jc w:val="both"/>
        <w:rPr>
          <w:rFonts w:ascii="Times New Roman" w:hAnsi="Times New Roman"/>
          <w:color w:val="000000" w:themeColor="text1"/>
        </w:rPr>
      </w:pPr>
      <w:r w:rsidRPr="00080EC6">
        <w:rPr>
          <w:rFonts w:ascii="Times New Roman" w:hAnsi="Times New Roman"/>
          <w:color w:val="000000" w:themeColor="text1"/>
        </w:rPr>
        <w:t>The classification scheme was developed based on prior knowledge of the study area spanning over 14 years, complemented by a preliminary reconnaissance survey and supplementary information derived from existing studies conducted within the area. The scheme was formulated in accordance with the Food and Agriculture Organization (FAO) Land Cover Classification System (LCCS).</w:t>
      </w:r>
      <w:r>
        <w:rPr>
          <w:rFonts w:ascii="Times New Roman" w:hAnsi="Times New Roman"/>
          <w:color w:val="000000" w:themeColor="text1"/>
        </w:rPr>
        <w:t xml:space="preserve"> </w:t>
      </w:r>
      <w:r w:rsidR="00F616F6">
        <w:rPr>
          <w:rFonts w:ascii="Times New Roman" w:hAnsi="Times New Roman"/>
          <w:color w:val="000000" w:themeColor="text1"/>
          <w:highlight w:val="yellow"/>
        </w:rPr>
        <w:t>They include Built-up</w:t>
      </w:r>
      <w:r w:rsidR="004C42DE" w:rsidRPr="00C93337">
        <w:rPr>
          <w:rFonts w:ascii="Times New Roman" w:hAnsi="Times New Roman"/>
          <w:color w:val="000000" w:themeColor="text1"/>
          <w:highlight w:val="yellow"/>
        </w:rPr>
        <w:t xml:space="preserve"> (BU), Water body (WB</w:t>
      </w:r>
      <w:r w:rsidR="00F616F6">
        <w:rPr>
          <w:rFonts w:ascii="Times New Roman" w:hAnsi="Times New Roman"/>
          <w:color w:val="000000" w:themeColor="text1"/>
          <w:highlight w:val="yellow"/>
        </w:rPr>
        <w:t xml:space="preserve">), Swamp (SW), Farmland (FL), </w:t>
      </w:r>
      <w:r w:rsidR="004C42DE" w:rsidRPr="00C93337">
        <w:rPr>
          <w:rFonts w:ascii="Times New Roman" w:hAnsi="Times New Roman"/>
          <w:color w:val="000000" w:themeColor="text1"/>
          <w:highlight w:val="yellow"/>
        </w:rPr>
        <w:t xml:space="preserve">Forest (FT) </w:t>
      </w:r>
      <w:r w:rsidR="00F616F6">
        <w:rPr>
          <w:rFonts w:ascii="Times New Roman" w:hAnsi="Times New Roman"/>
          <w:color w:val="000000" w:themeColor="text1"/>
          <w:highlight w:val="yellow"/>
        </w:rPr>
        <w:t xml:space="preserve">and Bare surface (BS) </w:t>
      </w:r>
      <w:r w:rsidR="004C42DE" w:rsidRPr="00C93337">
        <w:rPr>
          <w:rFonts w:ascii="Times New Roman" w:hAnsi="Times New Roman"/>
          <w:color w:val="000000" w:themeColor="text1"/>
          <w:highlight w:val="yellow"/>
        </w:rPr>
        <w:t>as shown in Table 3.</w:t>
      </w:r>
    </w:p>
    <w:p w14:paraId="1450D436" w14:textId="77777777" w:rsidR="004C42DE" w:rsidRPr="00423709" w:rsidRDefault="00F616F6" w:rsidP="004C42DE">
      <w:pPr>
        <w:pStyle w:val="NoSpacing"/>
        <w:rPr>
          <w:rFonts w:ascii="Times New Roman" w:hAnsi="Times New Roman" w:cs="Times New Roman"/>
          <w:b/>
          <w:bCs/>
          <w:sz w:val="20"/>
          <w:szCs w:val="20"/>
        </w:rPr>
      </w:pPr>
      <w:r>
        <w:rPr>
          <w:rFonts w:ascii="Times New Roman" w:hAnsi="Times New Roman" w:cs="Times New Roman"/>
          <w:b/>
          <w:bCs/>
          <w:sz w:val="20"/>
          <w:szCs w:val="20"/>
          <w:highlight w:val="yellow"/>
        </w:rPr>
        <w:t>Table 1</w:t>
      </w:r>
      <w:r w:rsidR="004C42DE" w:rsidRPr="00C93337">
        <w:rPr>
          <w:rFonts w:ascii="Times New Roman" w:hAnsi="Times New Roman" w:cs="Times New Roman"/>
          <w:b/>
          <w:bCs/>
          <w:sz w:val="20"/>
          <w:szCs w:val="20"/>
          <w:highlight w:val="yellow"/>
        </w:rPr>
        <w:t>: Classification Scheme</w:t>
      </w:r>
    </w:p>
    <w:tbl>
      <w:tblPr>
        <w:tblStyle w:val="TableGrid"/>
        <w:tblW w:w="0" w:type="auto"/>
        <w:tblLook w:val="04A0" w:firstRow="1" w:lastRow="0" w:firstColumn="1" w:lastColumn="0" w:noHBand="0" w:noVBand="1"/>
      </w:tblPr>
      <w:tblGrid>
        <w:gridCol w:w="1278"/>
        <w:gridCol w:w="2250"/>
      </w:tblGrid>
      <w:tr w:rsidR="004C42DE" w:rsidRPr="00C93337" w14:paraId="2D4F120F" w14:textId="77777777" w:rsidTr="00216E01">
        <w:tc>
          <w:tcPr>
            <w:tcW w:w="1278" w:type="dxa"/>
          </w:tcPr>
          <w:p w14:paraId="7BE9D263" w14:textId="77777777" w:rsidR="004C42DE" w:rsidRPr="00C93337" w:rsidRDefault="004C42DE" w:rsidP="00216E01">
            <w:pPr>
              <w:pStyle w:val="NoSpacing"/>
              <w:spacing w:line="276" w:lineRule="auto"/>
              <w:rPr>
                <w:rFonts w:ascii="Times New Roman" w:hAnsi="Times New Roman" w:cs="Times New Roman"/>
                <w:b/>
                <w:bCs/>
                <w:i/>
                <w:iCs/>
                <w:sz w:val="20"/>
                <w:szCs w:val="20"/>
                <w:highlight w:val="yellow"/>
              </w:rPr>
            </w:pPr>
            <w:r w:rsidRPr="00C93337">
              <w:rPr>
                <w:rFonts w:ascii="Times New Roman" w:hAnsi="Times New Roman" w:cs="Times New Roman"/>
                <w:b/>
                <w:bCs/>
                <w:i/>
                <w:iCs/>
                <w:sz w:val="20"/>
                <w:szCs w:val="20"/>
                <w:highlight w:val="yellow"/>
              </w:rPr>
              <w:t>Code</w:t>
            </w:r>
          </w:p>
        </w:tc>
        <w:tc>
          <w:tcPr>
            <w:tcW w:w="2250" w:type="dxa"/>
          </w:tcPr>
          <w:p w14:paraId="543917B3" w14:textId="77777777" w:rsidR="004C42DE" w:rsidRPr="00C93337" w:rsidRDefault="004C42DE" w:rsidP="00216E01">
            <w:pPr>
              <w:pStyle w:val="NoSpacing"/>
              <w:spacing w:line="276" w:lineRule="auto"/>
              <w:rPr>
                <w:rFonts w:ascii="Times New Roman" w:hAnsi="Times New Roman" w:cs="Times New Roman"/>
                <w:b/>
                <w:bCs/>
                <w:i/>
                <w:iCs/>
                <w:sz w:val="20"/>
                <w:szCs w:val="20"/>
                <w:highlight w:val="yellow"/>
              </w:rPr>
            </w:pPr>
            <w:r w:rsidRPr="00C93337">
              <w:rPr>
                <w:rFonts w:ascii="Times New Roman" w:hAnsi="Times New Roman" w:cs="Times New Roman"/>
                <w:b/>
                <w:bCs/>
                <w:i/>
                <w:iCs/>
                <w:sz w:val="20"/>
                <w:szCs w:val="20"/>
                <w:highlight w:val="yellow"/>
              </w:rPr>
              <w:t>Land Cover Categories</w:t>
            </w:r>
          </w:p>
        </w:tc>
      </w:tr>
      <w:tr w:rsidR="004C42DE" w:rsidRPr="00C93337" w14:paraId="1B626E84" w14:textId="77777777" w:rsidTr="00216E01">
        <w:tc>
          <w:tcPr>
            <w:tcW w:w="1278" w:type="dxa"/>
          </w:tcPr>
          <w:p w14:paraId="4D748FBB"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WB</w:t>
            </w:r>
          </w:p>
        </w:tc>
        <w:tc>
          <w:tcPr>
            <w:tcW w:w="2250" w:type="dxa"/>
          </w:tcPr>
          <w:p w14:paraId="0BBAE150"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Water body</w:t>
            </w:r>
          </w:p>
        </w:tc>
      </w:tr>
      <w:tr w:rsidR="004C42DE" w:rsidRPr="00C93337" w14:paraId="304B41EF" w14:textId="77777777" w:rsidTr="00216E01">
        <w:tc>
          <w:tcPr>
            <w:tcW w:w="1278" w:type="dxa"/>
          </w:tcPr>
          <w:p w14:paraId="2A367720"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SW</w:t>
            </w:r>
          </w:p>
        </w:tc>
        <w:tc>
          <w:tcPr>
            <w:tcW w:w="2250" w:type="dxa"/>
          </w:tcPr>
          <w:p w14:paraId="0684D0CF"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Swamp</w:t>
            </w:r>
          </w:p>
        </w:tc>
      </w:tr>
      <w:tr w:rsidR="004C42DE" w:rsidRPr="00C93337" w14:paraId="722F9CBA" w14:textId="77777777" w:rsidTr="00216E01">
        <w:tc>
          <w:tcPr>
            <w:tcW w:w="1278" w:type="dxa"/>
          </w:tcPr>
          <w:p w14:paraId="522D3228"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sz w:val="20"/>
                <w:szCs w:val="20"/>
                <w:highlight w:val="yellow"/>
              </w:rPr>
              <w:t>BU</w:t>
            </w:r>
          </w:p>
        </w:tc>
        <w:tc>
          <w:tcPr>
            <w:tcW w:w="2250" w:type="dxa"/>
          </w:tcPr>
          <w:p w14:paraId="2AEA1B8C"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 xml:space="preserve">Built-up </w:t>
            </w:r>
          </w:p>
        </w:tc>
      </w:tr>
      <w:tr w:rsidR="004C42DE" w:rsidRPr="00C93337" w14:paraId="66D2031C" w14:textId="77777777" w:rsidTr="00216E01">
        <w:tc>
          <w:tcPr>
            <w:tcW w:w="1278" w:type="dxa"/>
          </w:tcPr>
          <w:p w14:paraId="279C87BA"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sz w:val="20"/>
                <w:szCs w:val="20"/>
                <w:highlight w:val="yellow"/>
              </w:rPr>
              <w:t>F</w:t>
            </w:r>
            <w:r>
              <w:rPr>
                <w:rFonts w:ascii="Times New Roman" w:hAnsi="Times New Roman"/>
                <w:sz w:val="20"/>
                <w:szCs w:val="20"/>
                <w:highlight w:val="yellow"/>
              </w:rPr>
              <w:t>L</w:t>
            </w:r>
          </w:p>
        </w:tc>
        <w:tc>
          <w:tcPr>
            <w:tcW w:w="2250" w:type="dxa"/>
          </w:tcPr>
          <w:p w14:paraId="3B0FC3A9"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sidRPr="00C93337">
              <w:rPr>
                <w:rFonts w:ascii="Times New Roman" w:hAnsi="Times New Roman" w:cs="Times New Roman"/>
                <w:sz w:val="20"/>
                <w:szCs w:val="20"/>
                <w:highlight w:val="yellow"/>
              </w:rPr>
              <w:t>F</w:t>
            </w:r>
            <w:r>
              <w:rPr>
                <w:rFonts w:ascii="Times New Roman" w:hAnsi="Times New Roman" w:cs="Times New Roman"/>
                <w:sz w:val="20"/>
                <w:szCs w:val="20"/>
                <w:highlight w:val="yellow"/>
              </w:rPr>
              <w:t>armland</w:t>
            </w:r>
          </w:p>
        </w:tc>
      </w:tr>
      <w:tr w:rsidR="004C42DE" w14:paraId="07917DBC" w14:textId="77777777" w:rsidTr="00216E01">
        <w:tc>
          <w:tcPr>
            <w:tcW w:w="1278" w:type="dxa"/>
          </w:tcPr>
          <w:p w14:paraId="21CE2569" w14:textId="77777777" w:rsidR="004C42DE" w:rsidRPr="00C93337" w:rsidRDefault="004C42DE" w:rsidP="00216E01">
            <w:pPr>
              <w:pStyle w:val="NoSpacing"/>
              <w:spacing w:line="276" w:lineRule="auto"/>
              <w:rPr>
                <w:rFonts w:ascii="Times New Roman" w:hAnsi="Times New Roman"/>
                <w:sz w:val="20"/>
                <w:szCs w:val="20"/>
                <w:highlight w:val="yellow"/>
              </w:rPr>
            </w:pPr>
            <w:r w:rsidRPr="00C93337">
              <w:rPr>
                <w:rFonts w:ascii="Times New Roman" w:hAnsi="Times New Roman"/>
                <w:sz w:val="20"/>
                <w:szCs w:val="20"/>
                <w:highlight w:val="yellow"/>
              </w:rPr>
              <w:t>F</w:t>
            </w:r>
            <w:r>
              <w:rPr>
                <w:rFonts w:ascii="Times New Roman" w:hAnsi="Times New Roman"/>
                <w:sz w:val="20"/>
                <w:szCs w:val="20"/>
                <w:highlight w:val="yellow"/>
              </w:rPr>
              <w:t>T</w:t>
            </w:r>
          </w:p>
        </w:tc>
        <w:tc>
          <w:tcPr>
            <w:tcW w:w="2250" w:type="dxa"/>
          </w:tcPr>
          <w:p w14:paraId="7C7DF79F" w14:textId="77777777" w:rsidR="004C42DE" w:rsidRDefault="004C42DE" w:rsidP="00216E01">
            <w:pPr>
              <w:pStyle w:val="NoSpacing"/>
              <w:spacing w:line="276" w:lineRule="auto"/>
              <w:rPr>
                <w:rFonts w:ascii="Times New Roman" w:hAnsi="Times New Roman" w:cs="Times New Roman"/>
                <w:sz w:val="20"/>
                <w:szCs w:val="20"/>
              </w:rPr>
            </w:pPr>
            <w:r w:rsidRPr="00C93337">
              <w:rPr>
                <w:rFonts w:ascii="Times New Roman" w:hAnsi="Times New Roman" w:cs="Times New Roman"/>
                <w:sz w:val="20"/>
                <w:szCs w:val="20"/>
                <w:highlight w:val="yellow"/>
              </w:rPr>
              <w:t>F</w:t>
            </w:r>
            <w:r w:rsidRPr="004C42DE">
              <w:rPr>
                <w:rFonts w:ascii="Times New Roman" w:hAnsi="Times New Roman" w:cs="Times New Roman"/>
                <w:sz w:val="20"/>
                <w:szCs w:val="20"/>
                <w:highlight w:val="yellow"/>
              </w:rPr>
              <w:t>orest</w:t>
            </w:r>
          </w:p>
        </w:tc>
      </w:tr>
      <w:tr w:rsidR="004C42DE" w14:paraId="150159AF" w14:textId="77777777" w:rsidTr="00216E01">
        <w:tc>
          <w:tcPr>
            <w:tcW w:w="1278" w:type="dxa"/>
          </w:tcPr>
          <w:p w14:paraId="73914938" w14:textId="77777777" w:rsidR="004C42DE" w:rsidRPr="00C93337" w:rsidRDefault="004C42DE" w:rsidP="00216E01">
            <w:pPr>
              <w:pStyle w:val="NoSpacing"/>
              <w:spacing w:line="276" w:lineRule="auto"/>
              <w:rPr>
                <w:rFonts w:ascii="Times New Roman" w:hAnsi="Times New Roman"/>
                <w:sz w:val="20"/>
                <w:szCs w:val="20"/>
                <w:highlight w:val="yellow"/>
              </w:rPr>
            </w:pPr>
            <w:r>
              <w:rPr>
                <w:rFonts w:ascii="Times New Roman" w:hAnsi="Times New Roman"/>
                <w:sz w:val="20"/>
                <w:szCs w:val="20"/>
                <w:highlight w:val="yellow"/>
              </w:rPr>
              <w:t xml:space="preserve">BS </w:t>
            </w:r>
          </w:p>
        </w:tc>
        <w:tc>
          <w:tcPr>
            <w:tcW w:w="2250" w:type="dxa"/>
          </w:tcPr>
          <w:p w14:paraId="27B2E4D4" w14:textId="77777777" w:rsidR="004C42DE" w:rsidRPr="00C93337" w:rsidRDefault="004C42DE" w:rsidP="00216E01">
            <w:pPr>
              <w:pStyle w:val="NoSpacing"/>
              <w:spacing w:line="276" w:lineRule="auto"/>
              <w:rPr>
                <w:rFonts w:ascii="Times New Roman" w:hAnsi="Times New Roman" w:cs="Times New Roman"/>
                <w:sz w:val="20"/>
                <w:szCs w:val="20"/>
                <w:highlight w:val="yellow"/>
              </w:rPr>
            </w:pPr>
            <w:r>
              <w:rPr>
                <w:rFonts w:ascii="Times New Roman" w:hAnsi="Times New Roman" w:cs="Times New Roman"/>
                <w:sz w:val="20"/>
                <w:szCs w:val="20"/>
                <w:highlight w:val="yellow"/>
              </w:rPr>
              <w:t>Bare surface</w:t>
            </w:r>
          </w:p>
        </w:tc>
      </w:tr>
    </w:tbl>
    <w:p w14:paraId="6FDA38AE" w14:textId="77777777" w:rsidR="004C42DE" w:rsidRDefault="004C42DE" w:rsidP="004C42DE">
      <w:pPr>
        <w:spacing w:after="0" w:line="240" w:lineRule="auto"/>
        <w:ind w:right="288"/>
        <w:jc w:val="both"/>
        <w:rPr>
          <w:rFonts w:ascii="Times New Roman" w:hAnsi="Times New Roman"/>
          <w:b/>
          <w:color w:val="000000" w:themeColor="text1"/>
        </w:rPr>
      </w:pPr>
    </w:p>
    <w:p w14:paraId="21BD6E90" w14:textId="77777777" w:rsidR="004C42DE" w:rsidRPr="00C93337" w:rsidRDefault="004C42DE" w:rsidP="004C42DE">
      <w:pPr>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Supervised classification</w:t>
      </w:r>
    </w:p>
    <w:p w14:paraId="7B474DD2" w14:textId="28DEE5B7" w:rsidR="004C42DE" w:rsidRDefault="004C42DE" w:rsidP="004C42DE">
      <w:pPr>
        <w:autoSpaceDE w:val="0"/>
        <w:autoSpaceDN w:val="0"/>
        <w:adjustRightInd w:val="0"/>
        <w:spacing w:after="0" w:line="360" w:lineRule="auto"/>
        <w:ind w:right="288"/>
        <w:jc w:val="both"/>
        <w:rPr>
          <w:rFonts w:ascii="Times New Roman" w:hAnsi="Times New Roman"/>
          <w:color w:val="000000" w:themeColor="text1"/>
        </w:rPr>
      </w:pPr>
      <w:r w:rsidRPr="00C93337">
        <w:rPr>
          <w:rFonts w:ascii="Times New Roman" w:hAnsi="Times New Roman"/>
          <w:color w:val="000000" w:themeColor="text1"/>
          <w:highlight w:val="yellow"/>
        </w:rPr>
        <w:t xml:space="preserve">The supervised classification is the essential tool used for extracting quantitative information from remotely sensed image data [Richards, 1993, p85]. </w:t>
      </w:r>
      <w:r w:rsidR="00080EC6" w:rsidRPr="00080EC6">
        <w:rPr>
          <w:rFonts w:ascii="Times New Roman" w:hAnsi="Times New Roman"/>
          <w:color w:val="000000" w:themeColor="text1"/>
        </w:rPr>
        <w:t xml:space="preserve">Using this approach, the analyst has access to a sufficient number of known pixels from which representative statistical parameters for each land cover </w:t>
      </w:r>
      <w:r w:rsidR="00080EC6" w:rsidRPr="00080EC6">
        <w:rPr>
          <w:rFonts w:ascii="Times New Roman" w:hAnsi="Times New Roman"/>
          <w:color w:val="000000" w:themeColor="text1"/>
        </w:rPr>
        <w:lastRenderedPageBreak/>
        <w:t xml:space="preserve">class can be derived. This process is referred to as training. Following the training stage, the classifier is applied to assign class labels to all image pixels based on the derived class signatures. The most widely used supervised classification technique is the Maximum Likelihood Classification (MLC), which assumes that each spectral class follows a multivariate normal distribution. In this study, five training sites were selected and subsequently </w:t>
      </w:r>
      <w:proofErr w:type="spellStart"/>
      <w:r w:rsidR="00080EC6" w:rsidRPr="00080EC6">
        <w:rPr>
          <w:rFonts w:ascii="Times New Roman" w:hAnsi="Times New Roman"/>
          <w:color w:val="000000" w:themeColor="text1"/>
        </w:rPr>
        <w:t>categorised</w:t>
      </w:r>
      <w:proofErr w:type="spellEnd"/>
      <w:r w:rsidR="00080EC6" w:rsidRPr="00080EC6">
        <w:rPr>
          <w:rFonts w:ascii="Times New Roman" w:hAnsi="Times New Roman"/>
          <w:color w:val="000000" w:themeColor="text1"/>
        </w:rPr>
        <w:t xml:space="preserve"> into the classes specified in the classification scheme.</w:t>
      </w:r>
    </w:p>
    <w:p w14:paraId="79816460" w14:textId="77777777" w:rsidR="004C42DE" w:rsidRPr="00C93337" w:rsidRDefault="004C42DE" w:rsidP="004C42DE">
      <w:pPr>
        <w:autoSpaceDE w:val="0"/>
        <w:autoSpaceDN w:val="0"/>
        <w:adjustRightInd w:val="0"/>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Change Detection</w:t>
      </w:r>
    </w:p>
    <w:p w14:paraId="73F4B713" w14:textId="697BDEED" w:rsidR="004C42DE" w:rsidRPr="00C93337" w:rsidRDefault="00080EC6" w:rsidP="004C42DE">
      <w:pPr>
        <w:autoSpaceDE w:val="0"/>
        <w:autoSpaceDN w:val="0"/>
        <w:adjustRightInd w:val="0"/>
        <w:spacing w:after="0" w:line="360" w:lineRule="auto"/>
        <w:ind w:right="288"/>
        <w:jc w:val="both"/>
        <w:rPr>
          <w:rFonts w:ascii="Times New Roman" w:hAnsi="Times New Roman"/>
          <w:color w:val="000000" w:themeColor="text1"/>
          <w:highlight w:val="yellow"/>
        </w:rPr>
      </w:pPr>
      <w:r w:rsidRPr="00080EC6">
        <w:rPr>
          <w:rFonts w:ascii="Times New Roman" w:hAnsi="Times New Roman"/>
          <w:color w:val="000000" w:themeColor="text1"/>
        </w:rPr>
        <w:t>One of the most widely used applications of change detection involves the identification of urban land-use change and the evaluation of urban sprawl. Such analyses support urban planners and policy-makers in formulating effective strategies for environmental management. Various approaches have been developed and employed in different studies to quantify the spatial extent of land-cover change. It has further been observed that differing change detection techniques yield varying change maps (Araya and Cabral, 2008). The methods employed in this study are outlined below</w:t>
      </w:r>
      <w:r w:rsidR="004C42DE" w:rsidRPr="00C93337">
        <w:rPr>
          <w:rFonts w:ascii="Times New Roman" w:hAnsi="Times New Roman"/>
          <w:color w:val="000000" w:themeColor="text1"/>
          <w:highlight w:val="yellow"/>
        </w:rPr>
        <w:t>.</w:t>
      </w:r>
    </w:p>
    <w:p w14:paraId="0E204C04" w14:textId="77777777" w:rsidR="004C42DE" w:rsidRPr="00C93337" w:rsidRDefault="004C42DE" w:rsidP="004C42DE">
      <w:pPr>
        <w:autoSpaceDE w:val="0"/>
        <w:autoSpaceDN w:val="0"/>
        <w:adjustRightInd w:val="0"/>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t>Image Differencing</w:t>
      </w:r>
    </w:p>
    <w:p w14:paraId="0810EF87" w14:textId="08D62CE1" w:rsidR="004C42DE" w:rsidRPr="00C93337" w:rsidRDefault="00080EC6" w:rsidP="004C42DE">
      <w:pPr>
        <w:autoSpaceDE w:val="0"/>
        <w:autoSpaceDN w:val="0"/>
        <w:adjustRightInd w:val="0"/>
        <w:spacing w:after="0" w:line="360" w:lineRule="auto"/>
        <w:ind w:right="288"/>
        <w:jc w:val="both"/>
        <w:rPr>
          <w:rFonts w:ascii="Times New Roman" w:hAnsi="Times New Roman"/>
          <w:color w:val="000000" w:themeColor="text1"/>
          <w:highlight w:val="yellow"/>
        </w:rPr>
      </w:pPr>
      <w:r w:rsidRPr="00080EC6">
        <w:rPr>
          <w:rFonts w:ascii="Times New Roman" w:hAnsi="Times New Roman"/>
          <w:color w:val="000000" w:themeColor="text1"/>
        </w:rPr>
        <w:t xml:space="preserve">Image differencing is a technique based on the subtraction of remotely sensed images acquired at two different time periods. This operation is carried out on a pixel-by-pixel or band-by-band basis to generate a difference image. In this process, the digital number (DN) value of a given pixel for a specific band at one date is subtracted from the corresponding DN value of the same band at another date (Singh, 1989; Tardie and </w:t>
      </w:r>
      <w:proofErr w:type="spellStart"/>
      <w:r w:rsidRPr="00080EC6">
        <w:rPr>
          <w:rFonts w:ascii="Times New Roman" w:hAnsi="Times New Roman"/>
          <w:color w:val="000000" w:themeColor="text1"/>
        </w:rPr>
        <w:t>Congalton</w:t>
      </w:r>
      <w:proofErr w:type="spellEnd"/>
      <w:r w:rsidRPr="00080EC6">
        <w:rPr>
          <w:rFonts w:ascii="Times New Roman" w:hAnsi="Times New Roman"/>
          <w:color w:val="000000" w:themeColor="text1"/>
        </w:rPr>
        <w:t>, 2004). As the procedure relies on pixel-level comparison, the use of unprocessed or raw input imagery may lead to suboptimal or unreliable results</w:t>
      </w:r>
      <w:r w:rsidR="004C42DE" w:rsidRPr="00C93337">
        <w:rPr>
          <w:rFonts w:ascii="Times New Roman" w:hAnsi="Times New Roman"/>
          <w:color w:val="000000" w:themeColor="text1"/>
          <w:highlight w:val="yellow"/>
        </w:rPr>
        <w:t>.</w:t>
      </w:r>
    </w:p>
    <w:p w14:paraId="0CC1B8C1" w14:textId="77777777" w:rsidR="004C42DE" w:rsidRPr="00C93337" w:rsidRDefault="004C42DE" w:rsidP="004C42DE">
      <w:pPr>
        <w:pStyle w:val="Normal1"/>
        <w:spacing w:line="360" w:lineRule="auto"/>
        <w:ind w:right="288"/>
        <w:jc w:val="both"/>
        <w:rPr>
          <w:rFonts w:ascii="Times New Roman" w:hAnsi="Times New Roman" w:cs="Times New Roman"/>
          <w:b/>
          <w:color w:val="000000" w:themeColor="text1"/>
          <w:highlight w:val="yellow"/>
        </w:rPr>
      </w:pPr>
      <w:r w:rsidRPr="00C93337">
        <w:rPr>
          <w:rFonts w:ascii="Times New Roman" w:hAnsi="Times New Roman" w:cs="Times New Roman"/>
          <w:b/>
          <w:color w:val="000000" w:themeColor="text1"/>
          <w:highlight w:val="yellow"/>
        </w:rPr>
        <w:t>Vegetation Index Differencing</w:t>
      </w:r>
    </w:p>
    <w:p w14:paraId="7ED98C1E" w14:textId="77777777" w:rsidR="004C42DE" w:rsidRDefault="004C42DE" w:rsidP="004C42DE">
      <w:pPr>
        <w:pStyle w:val="Normal1"/>
        <w:spacing w:line="360" w:lineRule="auto"/>
        <w:ind w:right="288"/>
        <w:jc w:val="both"/>
        <w:rPr>
          <w:rFonts w:ascii="Times New Roman" w:hAnsi="Times New Roman" w:cs="Times New Roman"/>
          <w:color w:val="000000" w:themeColor="text1"/>
        </w:rPr>
      </w:pPr>
      <w:r w:rsidRPr="00C93337">
        <w:rPr>
          <w:rFonts w:ascii="Times New Roman" w:hAnsi="Times New Roman" w:cs="Times New Roman"/>
          <w:color w:val="000000" w:themeColor="text1"/>
          <w:highlight w:val="yellow"/>
        </w:rPr>
        <w:t>This method is applied to analyze the amount of change in vegetation versus non vegetation by computing Normalized Deference Vegetation Index (NDVI). NDVI is one of the most common vegetation indexing method and is calculated by:</w:t>
      </w:r>
    </w:p>
    <w:p w14:paraId="7AE14A17" w14:textId="77777777" w:rsidR="004C42DE" w:rsidRPr="0083729E" w:rsidRDefault="004C42DE" w:rsidP="004C42DE">
      <w:pPr>
        <w:rPr>
          <w:sz w:val="2"/>
        </w:rPr>
      </w:pPr>
    </w:p>
    <w:p w14:paraId="2FE4437A" w14:textId="77777777" w:rsidR="004C42DE" w:rsidRDefault="004C42DE" w:rsidP="004C42DE">
      <w:pPr>
        <w:spacing w:after="0" w:line="240" w:lineRule="auto"/>
        <w:rPr>
          <w:sz w:val="2"/>
        </w:rPr>
      </w:pPr>
    </w:p>
    <w:p w14:paraId="62FD612E" w14:textId="77777777" w:rsidR="004C42DE" w:rsidRPr="00C93337" w:rsidRDefault="004C42DE" w:rsidP="004C42DE">
      <w:pPr>
        <w:pStyle w:val="Normal1"/>
        <w:jc w:val="both"/>
        <w:rPr>
          <w:rFonts w:ascii="Times New Roman" w:hAnsi="Times New Roman" w:cs="Times New Roman"/>
          <w:bCs/>
          <w:color w:val="000000" w:themeColor="text1"/>
          <w:highlight w:val="yellow"/>
        </w:rPr>
      </w:pPr>
      <w:r>
        <w:rPr>
          <w:rFonts w:ascii="Times New Roman" w:hAnsi="Times New Roman" w:cs="Times New Roman"/>
          <w:bCs/>
          <w:color w:val="000000" w:themeColor="text1"/>
        </w:rPr>
        <w:t xml:space="preserve">                               </w:t>
      </w:r>
      <w:r w:rsidRPr="00C93337">
        <w:rPr>
          <w:rFonts w:ascii="Times New Roman" w:hAnsi="Times New Roman" w:cs="Times New Roman"/>
          <w:bCs/>
          <w:color w:val="000000" w:themeColor="text1"/>
          <w:highlight w:val="yellow"/>
        </w:rPr>
        <w:t>NDVI= NIR-RED</w:t>
      </w:r>
    </w:p>
    <w:p w14:paraId="2D8614F4" w14:textId="77777777" w:rsidR="004C42DE" w:rsidRPr="00C93337" w:rsidRDefault="00000000" w:rsidP="004C42DE">
      <w:pPr>
        <w:pStyle w:val="Normal1"/>
        <w:jc w:val="both"/>
        <w:rPr>
          <w:rFonts w:ascii="Times New Roman" w:hAnsi="Times New Roman" w:cs="Times New Roman"/>
          <w:bCs/>
          <w:color w:val="000000" w:themeColor="text1"/>
          <w:highlight w:val="yellow"/>
        </w:rPr>
      </w:pPr>
      <w:r>
        <w:rPr>
          <w:noProof/>
          <w:highlight w:val="yellow"/>
        </w:rPr>
        <w:pict w14:anchorId="7A31761A">
          <v:shapetype id="_x0000_t32" coordsize="21600,21600" o:spt="32" o:oned="t" path="m,l21600,21600e" filled="f">
            <v:path arrowok="t" fillok="f" o:connecttype="none"/>
            <o:lock v:ext="edit" shapetype="t"/>
          </v:shapetype>
          <v:shape id="AutoShape 2" o:spid="_x0000_s2050" type="#_x0000_t32" style="position:absolute;left:0;text-align:left;margin-left:73.4pt;margin-top:6.7pt;width:112.6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"/>
        </w:pict>
      </w:r>
      <w:r w:rsidR="004C42DE" w:rsidRPr="00C93337">
        <w:rPr>
          <w:rFonts w:ascii="Times New Roman" w:hAnsi="Times New Roman" w:cs="Times New Roman"/>
          <w:bCs/>
          <w:color w:val="000000" w:themeColor="text1"/>
          <w:highlight w:val="yellow"/>
        </w:rPr>
        <w:t xml:space="preserve">                                                                 -1.0 ……………………… equation 1</w:t>
      </w:r>
    </w:p>
    <w:p w14:paraId="0BDE960E" w14:textId="77777777" w:rsidR="004C42DE" w:rsidRDefault="004C42DE" w:rsidP="004C42DE">
      <w:pPr>
        <w:pStyle w:val="Normal1"/>
        <w:jc w:val="both"/>
        <w:rPr>
          <w:rFonts w:ascii="Times New Roman" w:hAnsi="Times New Roman" w:cs="Times New Roman"/>
          <w:bCs/>
          <w:color w:val="000000" w:themeColor="text1"/>
        </w:rPr>
      </w:pPr>
      <w:r w:rsidRPr="00C93337">
        <w:rPr>
          <w:rFonts w:ascii="Times New Roman" w:hAnsi="Times New Roman" w:cs="Times New Roman"/>
          <w:bCs/>
          <w:color w:val="000000" w:themeColor="text1"/>
          <w:highlight w:val="yellow"/>
        </w:rPr>
        <w:t xml:space="preserve">                               NIR+RED</w:t>
      </w:r>
      <w:r>
        <w:rPr>
          <w:rFonts w:ascii="Times New Roman" w:hAnsi="Times New Roman" w:cs="Times New Roman"/>
          <w:bCs/>
          <w:color w:val="000000" w:themeColor="text1"/>
        </w:rPr>
        <w:t xml:space="preserve"> </w:t>
      </w:r>
    </w:p>
    <w:p w14:paraId="752F6083" w14:textId="77777777" w:rsidR="004C42DE" w:rsidRDefault="004C42DE" w:rsidP="004C42DE">
      <w:pPr>
        <w:autoSpaceDE w:val="0"/>
        <w:autoSpaceDN w:val="0"/>
        <w:adjustRightInd w:val="0"/>
        <w:spacing w:after="0" w:line="240" w:lineRule="auto"/>
        <w:jc w:val="both"/>
        <w:rPr>
          <w:rFonts w:ascii="Times New Roman" w:hAnsi="Times New Roman"/>
          <w:color w:val="000000" w:themeColor="text1"/>
        </w:rPr>
      </w:pPr>
    </w:p>
    <w:p w14:paraId="35968218" w14:textId="77777777" w:rsidR="004C42DE" w:rsidRPr="00C93337" w:rsidRDefault="004C42DE" w:rsidP="004C42DE">
      <w:pPr>
        <w:autoSpaceDE w:val="0"/>
        <w:autoSpaceDN w:val="0"/>
        <w:adjustRightInd w:val="0"/>
        <w:spacing w:after="0" w:line="360" w:lineRule="auto"/>
        <w:ind w:right="288"/>
        <w:jc w:val="both"/>
        <w:rPr>
          <w:rFonts w:ascii="Times New Roman" w:hAnsi="Times New Roman"/>
          <w:color w:val="000000" w:themeColor="text1"/>
          <w:highlight w:val="yellow"/>
        </w:rPr>
      </w:pPr>
      <w:r w:rsidRPr="00C93337">
        <w:rPr>
          <w:rFonts w:ascii="Times New Roman" w:hAnsi="Times New Roman"/>
          <w:color w:val="000000" w:themeColor="text1"/>
          <w:highlight w:val="yellow"/>
        </w:rPr>
        <w:t xml:space="preserve">Where NIR is the near infrared band response for a given pixel and RED is the red response </w:t>
      </w:r>
    </w:p>
    <w:p w14:paraId="6A0999F9" w14:textId="77777777" w:rsidR="004C42DE" w:rsidRPr="00C93337" w:rsidRDefault="004C42DE" w:rsidP="004C42DE">
      <w:pPr>
        <w:autoSpaceDE w:val="0"/>
        <w:autoSpaceDN w:val="0"/>
        <w:adjustRightInd w:val="0"/>
        <w:spacing w:after="0" w:line="360" w:lineRule="auto"/>
        <w:ind w:right="288"/>
        <w:jc w:val="both"/>
        <w:rPr>
          <w:rFonts w:ascii="Times New Roman" w:hAnsi="Times New Roman"/>
          <w:color w:val="000000" w:themeColor="text1"/>
          <w:highlight w:val="yellow"/>
        </w:rPr>
      </w:pPr>
      <w:r w:rsidRPr="00C93337">
        <w:rPr>
          <w:rFonts w:ascii="Times New Roman" w:hAnsi="Times New Roman"/>
          <w:b/>
          <w:color w:val="000000" w:themeColor="text1"/>
          <w:highlight w:val="yellow"/>
        </w:rPr>
        <w:t>Post Classification Comparison</w:t>
      </w:r>
      <w:r w:rsidRPr="00C93337">
        <w:rPr>
          <w:rFonts w:ascii="Times New Roman" w:hAnsi="Times New Roman"/>
          <w:color w:val="000000" w:themeColor="text1"/>
          <w:highlight w:val="yellow"/>
        </w:rPr>
        <w:t xml:space="preserve">: </w:t>
      </w:r>
    </w:p>
    <w:p w14:paraId="3B59B6A2" w14:textId="77777777" w:rsidR="00080EC6" w:rsidRDefault="00080EC6" w:rsidP="004C42DE">
      <w:pPr>
        <w:autoSpaceDE w:val="0"/>
        <w:autoSpaceDN w:val="0"/>
        <w:adjustRightInd w:val="0"/>
        <w:spacing w:after="0" w:line="360" w:lineRule="auto"/>
        <w:ind w:right="288"/>
        <w:jc w:val="both"/>
        <w:rPr>
          <w:rFonts w:ascii="Times New Roman" w:hAnsi="Times New Roman"/>
          <w:color w:val="000000" w:themeColor="text1"/>
        </w:rPr>
      </w:pPr>
      <w:r w:rsidRPr="00080EC6">
        <w:rPr>
          <w:rFonts w:ascii="Times New Roman" w:hAnsi="Times New Roman"/>
          <w:color w:val="000000" w:themeColor="text1"/>
        </w:rPr>
        <w:t>This approach is regarded as one of the most straightforward, widely applied, and appropriate techniques for land cover change detection. It involves the comparison of independently classified images from two time periods, T1 and T2. Through this procedure, the analyst is able to generate a change map that represents a complete change matrix (Singh, 1989).</w:t>
      </w:r>
    </w:p>
    <w:p w14:paraId="714D0744" w14:textId="46D6D943" w:rsidR="004C42DE" w:rsidRPr="00C93337" w:rsidRDefault="004C42DE" w:rsidP="004C42DE">
      <w:pPr>
        <w:autoSpaceDE w:val="0"/>
        <w:autoSpaceDN w:val="0"/>
        <w:adjustRightInd w:val="0"/>
        <w:spacing w:after="0" w:line="360" w:lineRule="auto"/>
        <w:ind w:right="288"/>
        <w:jc w:val="both"/>
        <w:rPr>
          <w:rFonts w:ascii="Times New Roman" w:hAnsi="Times New Roman"/>
          <w:b/>
          <w:color w:val="000000" w:themeColor="text1"/>
          <w:highlight w:val="yellow"/>
        </w:rPr>
      </w:pPr>
      <w:r w:rsidRPr="00C93337">
        <w:rPr>
          <w:rFonts w:ascii="Times New Roman" w:hAnsi="Times New Roman"/>
          <w:b/>
          <w:color w:val="000000" w:themeColor="text1"/>
          <w:highlight w:val="yellow"/>
        </w:rPr>
        <w:lastRenderedPageBreak/>
        <w:t xml:space="preserve">Post-Classification Detection Technique: </w:t>
      </w:r>
    </w:p>
    <w:p w14:paraId="6C3714EE" w14:textId="1FBD6191" w:rsidR="004C42DE" w:rsidRDefault="00080EC6" w:rsidP="004C42DE">
      <w:pPr>
        <w:autoSpaceDE w:val="0"/>
        <w:autoSpaceDN w:val="0"/>
        <w:adjustRightInd w:val="0"/>
        <w:spacing w:after="0" w:line="240" w:lineRule="auto"/>
        <w:jc w:val="both"/>
        <w:rPr>
          <w:rFonts w:ascii="Times New Roman" w:hAnsi="Times New Roman"/>
          <w:color w:val="000000" w:themeColor="text1"/>
        </w:rPr>
      </w:pPr>
      <w:r w:rsidRPr="00080EC6">
        <w:rPr>
          <w:rFonts w:ascii="Times New Roman" w:hAnsi="Times New Roman"/>
          <w:color w:val="000000" w:themeColor="text1"/>
        </w:rPr>
        <w:t xml:space="preserve">The post-classification comparison technique is one of the most frequently employed and conceptually straightforward approaches to change detection (Blaschke, 2004). In this study, post-classification comparison, </w:t>
      </w:r>
      <w:proofErr w:type="spellStart"/>
      <w:r w:rsidRPr="00080EC6">
        <w:rPr>
          <w:rFonts w:ascii="Times New Roman" w:hAnsi="Times New Roman"/>
          <w:color w:val="000000" w:themeColor="text1"/>
        </w:rPr>
        <w:t>recognised</w:t>
      </w:r>
      <w:proofErr w:type="spellEnd"/>
      <w:r w:rsidRPr="00080EC6">
        <w:rPr>
          <w:rFonts w:ascii="Times New Roman" w:hAnsi="Times New Roman"/>
          <w:color w:val="000000" w:themeColor="text1"/>
        </w:rPr>
        <w:t xml:space="preserve"> as the most direct method, was adopted. Land cover maps for the years 2014, 2016, 2018, 2020, 2022 and 2024 were first reclassified into six broad categories. Subsequently, post-classification comparison was undertaken by comparing the corresponding classified maps in order to produce change maps. The resulting change statistics were presented in tabular form and used to quantify both the frequency and magnitude of land cover transitions. It is important to note that the accuracy of change detection outputs is entirely dependent on the reliability of the individual classifications. Consequently, image classification and post-classification comparison are inherently iterative processes that require continual refinement to enhance the robustness and precision of change detection results (Fan et al., 2007; Eziamaka et al., 2025).</w:t>
      </w:r>
    </w:p>
    <w:p w14:paraId="789A5E9D" w14:textId="77777777" w:rsidR="00080EC6" w:rsidRDefault="00080EC6" w:rsidP="004C42DE">
      <w:pPr>
        <w:autoSpaceDE w:val="0"/>
        <w:autoSpaceDN w:val="0"/>
        <w:adjustRightInd w:val="0"/>
        <w:spacing w:after="0" w:line="240" w:lineRule="auto"/>
        <w:jc w:val="both"/>
        <w:rPr>
          <w:rFonts w:ascii="Times New Roman" w:hAnsi="Times New Roman"/>
          <w:bCs/>
          <w:color w:val="000000" w:themeColor="text1"/>
        </w:rPr>
      </w:pPr>
    </w:p>
    <w:p w14:paraId="182AE899" w14:textId="77777777" w:rsidR="004C42DE" w:rsidRPr="00270229" w:rsidRDefault="00F616F6" w:rsidP="004C42DE">
      <w:pPr>
        <w:autoSpaceDE w:val="0"/>
        <w:autoSpaceDN w:val="0"/>
        <w:adjustRightInd w:val="0"/>
        <w:spacing w:after="0" w:line="240" w:lineRule="auto"/>
        <w:jc w:val="both"/>
        <w:rPr>
          <w:rFonts w:ascii="Times New Roman" w:hAnsi="Times New Roman"/>
          <w:b/>
          <w:bCs/>
          <w:color w:val="000000" w:themeColor="text1"/>
          <w:sz w:val="20"/>
          <w:szCs w:val="20"/>
        </w:rPr>
      </w:pPr>
      <w:r>
        <w:rPr>
          <w:rFonts w:ascii="Times New Roman" w:hAnsi="Times New Roman"/>
          <w:b/>
          <w:bCs/>
          <w:color w:val="000000" w:themeColor="text1"/>
          <w:sz w:val="20"/>
          <w:szCs w:val="20"/>
          <w:highlight w:val="yellow"/>
        </w:rPr>
        <w:t>Table 2</w:t>
      </w:r>
      <w:r w:rsidR="004C42DE" w:rsidRPr="00C93337">
        <w:rPr>
          <w:rFonts w:ascii="Times New Roman" w:hAnsi="Times New Roman"/>
          <w:b/>
          <w:bCs/>
          <w:color w:val="000000" w:themeColor="text1"/>
          <w:sz w:val="20"/>
          <w:szCs w:val="20"/>
          <w:highlight w:val="yellow"/>
        </w:rPr>
        <w:t>: Error Matrix and Kappa Analysis</w:t>
      </w:r>
    </w:p>
    <w:tbl>
      <w:tblPr>
        <w:tblStyle w:val="TableGrid"/>
        <w:tblW w:w="0" w:type="auto"/>
        <w:tblInd w:w="108" w:type="dxa"/>
        <w:tblLook w:val="04A0" w:firstRow="1" w:lastRow="0" w:firstColumn="1" w:lastColumn="0" w:noHBand="0" w:noVBand="1"/>
      </w:tblPr>
      <w:tblGrid>
        <w:gridCol w:w="1440"/>
        <w:gridCol w:w="2070"/>
        <w:gridCol w:w="2070"/>
      </w:tblGrid>
      <w:tr w:rsidR="004C42DE" w:rsidRPr="00C93337" w14:paraId="295C0902" w14:textId="77777777" w:rsidTr="00216E01">
        <w:tc>
          <w:tcPr>
            <w:tcW w:w="1440" w:type="dxa"/>
          </w:tcPr>
          <w:p w14:paraId="4129EC0E" w14:textId="77777777" w:rsidR="004C42DE" w:rsidRPr="00C93337" w:rsidRDefault="004C42DE" w:rsidP="00216E01">
            <w:pPr>
              <w:spacing w:line="276" w:lineRule="auto"/>
              <w:rPr>
                <w:rFonts w:ascii="Times New Roman" w:hAnsi="Times New Roman"/>
                <w:b/>
                <w:bCs/>
                <w:i/>
                <w:iCs/>
                <w:color w:val="000000" w:themeColor="text1"/>
                <w:sz w:val="20"/>
                <w:szCs w:val="20"/>
                <w:highlight w:val="yellow"/>
              </w:rPr>
            </w:pPr>
            <w:r w:rsidRPr="00C93337">
              <w:rPr>
                <w:rFonts w:ascii="Times New Roman" w:hAnsi="Times New Roman"/>
                <w:b/>
                <w:bCs/>
                <w:i/>
                <w:iCs/>
                <w:color w:val="000000" w:themeColor="text1"/>
                <w:sz w:val="20"/>
                <w:szCs w:val="20"/>
                <w:highlight w:val="yellow"/>
              </w:rPr>
              <w:t>Year</w:t>
            </w:r>
          </w:p>
        </w:tc>
        <w:tc>
          <w:tcPr>
            <w:tcW w:w="2070" w:type="dxa"/>
          </w:tcPr>
          <w:p w14:paraId="0051B0F4" w14:textId="77777777" w:rsidR="004C42DE" w:rsidRPr="00C93337" w:rsidRDefault="004C42DE" w:rsidP="00216E01">
            <w:pPr>
              <w:spacing w:line="276" w:lineRule="auto"/>
              <w:rPr>
                <w:rFonts w:ascii="Times New Roman" w:hAnsi="Times New Roman"/>
                <w:b/>
                <w:bCs/>
                <w:i/>
                <w:iCs/>
                <w:color w:val="000000" w:themeColor="text1"/>
                <w:sz w:val="20"/>
                <w:szCs w:val="20"/>
                <w:highlight w:val="yellow"/>
              </w:rPr>
            </w:pPr>
            <w:r w:rsidRPr="00C93337">
              <w:rPr>
                <w:rFonts w:ascii="Times New Roman" w:hAnsi="Times New Roman"/>
                <w:b/>
                <w:bCs/>
                <w:i/>
                <w:iCs/>
                <w:color w:val="000000" w:themeColor="text1"/>
                <w:sz w:val="20"/>
                <w:szCs w:val="20"/>
                <w:highlight w:val="yellow"/>
              </w:rPr>
              <w:t>Kappa Coefficient</w:t>
            </w:r>
          </w:p>
        </w:tc>
        <w:tc>
          <w:tcPr>
            <w:tcW w:w="2070" w:type="dxa"/>
          </w:tcPr>
          <w:p w14:paraId="58FE2847" w14:textId="77777777" w:rsidR="004C42DE" w:rsidRPr="00C93337" w:rsidRDefault="004C42DE" w:rsidP="00216E01">
            <w:pPr>
              <w:spacing w:line="276" w:lineRule="auto"/>
              <w:rPr>
                <w:rFonts w:ascii="Times New Roman" w:hAnsi="Times New Roman"/>
                <w:b/>
                <w:bCs/>
                <w:i/>
                <w:iCs/>
                <w:color w:val="000000" w:themeColor="text1"/>
                <w:sz w:val="20"/>
                <w:szCs w:val="20"/>
                <w:highlight w:val="yellow"/>
              </w:rPr>
            </w:pPr>
            <w:r w:rsidRPr="00C93337">
              <w:rPr>
                <w:rFonts w:ascii="Times New Roman" w:hAnsi="Times New Roman"/>
                <w:b/>
                <w:bCs/>
                <w:i/>
                <w:iCs/>
                <w:color w:val="000000" w:themeColor="text1"/>
                <w:sz w:val="20"/>
                <w:szCs w:val="20"/>
                <w:highlight w:val="yellow"/>
              </w:rPr>
              <w:t>Overall Accuracy</w:t>
            </w:r>
          </w:p>
        </w:tc>
      </w:tr>
      <w:tr w:rsidR="004C42DE" w:rsidRPr="00C93337" w14:paraId="437B187E" w14:textId="77777777" w:rsidTr="00216E01">
        <w:tc>
          <w:tcPr>
            <w:tcW w:w="1440" w:type="dxa"/>
          </w:tcPr>
          <w:p w14:paraId="4AD25217"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201</w:t>
            </w:r>
            <w:r>
              <w:rPr>
                <w:rFonts w:ascii="Times New Roman" w:hAnsi="Times New Roman"/>
                <w:color w:val="000000" w:themeColor="text1"/>
                <w:sz w:val="20"/>
                <w:szCs w:val="20"/>
                <w:highlight w:val="yellow"/>
              </w:rPr>
              <w:t>4</w:t>
            </w:r>
          </w:p>
        </w:tc>
        <w:tc>
          <w:tcPr>
            <w:tcW w:w="2070" w:type="dxa"/>
          </w:tcPr>
          <w:p w14:paraId="01A41753"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w:t>
            </w:r>
          </w:p>
        </w:tc>
        <w:tc>
          <w:tcPr>
            <w:tcW w:w="2070" w:type="dxa"/>
          </w:tcPr>
          <w:p w14:paraId="0F1F6BE6"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100%</w:t>
            </w:r>
          </w:p>
        </w:tc>
      </w:tr>
      <w:tr w:rsidR="004C42DE" w:rsidRPr="00C93337" w14:paraId="2E786197" w14:textId="77777777" w:rsidTr="00216E01">
        <w:tc>
          <w:tcPr>
            <w:tcW w:w="1440" w:type="dxa"/>
          </w:tcPr>
          <w:p w14:paraId="6467791E"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201</w:t>
            </w:r>
            <w:r>
              <w:rPr>
                <w:rFonts w:ascii="Times New Roman" w:hAnsi="Times New Roman"/>
                <w:color w:val="000000" w:themeColor="text1"/>
                <w:sz w:val="20"/>
                <w:szCs w:val="20"/>
                <w:highlight w:val="yellow"/>
              </w:rPr>
              <w:t>6</w:t>
            </w:r>
          </w:p>
        </w:tc>
        <w:tc>
          <w:tcPr>
            <w:tcW w:w="2070" w:type="dxa"/>
          </w:tcPr>
          <w:p w14:paraId="709E663D"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w:t>
            </w:r>
          </w:p>
        </w:tc>
        <w:tc>
          <w:tcPr>
            <w:tcW w:w="2070" w:type="dxa"/>
          </w:tcPr>
          <w:p w14:paraId="07C5130C"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100%</w:t>
            </w:r>
          </w:p>
        </w:tc>
      </w:tr>
      <w:tr w:rsidR="004C42DE" w:rsidRPr="00C93337" w14:paraId="07C579BC" w14:textId="77777777" w:rsidTr="00216E01">
        <w:tc>
          <w:tcPr>
            <w:tcW w:w="1440" w:type="dxa"/>
          </w:tcPr>
          <w:p w14:paraId="5B44BA77" w14:textId="77777777" w:rsidR="004C42DE" w:rsidRPr="00C93337" w:rsidRDefault="004C42DE"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2018</w:t>
            </w:r>
          </w:p>
        </w:tc>
        <w:tc>
          <w:tcPr>
            <w:tcW w:w="2070" w:type="dxa"/>
          </w:tcPr>
          <w:p w14:paraId="76B2548C" w14:textId="77777777" w:rsidR="004C42DE" w:rsidRPr="00C93337" w:rsidRDefault="002D3B3C"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1.0</w:t>
            </w:r>
          </w:p>
        </w:tc>
        <w:tc>
          <w:tcPr>
            <w:tcW w:w="2070" w:type="dxa"/>
          </w:tcPr>
          <w:p w14:paraId="32627F96" w14:textId="77777777" w:rsidR="004C42DE" w:rsidRPr="00C93337" w:rsidRDefault="002D3B3C"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100</w:t>
            </w:r>
          </w:p>
        </w:tc>
      </w:tr>
      <w:tr w:rsidR="004C42DE" w:rsidRPr="00C93337" w14:paraId="4CC8D9E6" w14:textId="77777777" w:rsidTr="00216E01">
        <w:tc>
          <w:tcPr>
            <w:tcW w:w="1440" w:type="dxa"/>
          </w:tcPr>
          <w:p w14:paraId="3DDBC56A" w14:textId="77777777" w:rsidR="004C42DE" w:rsidRPr="00C93337" w:rsidRDefault="004C42DE" w:rsidP="004C42DE">
            <w:pPr>
              <w:spacing w:line="240"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2020</w:t>
            </w:r>
          </w:p>
        </w:tc>
        <w:tc>
          <w:tcPr>
            <w:tcW w:w="2070" w:type="dxa"/>
          </w:tcPr>
          <w:p w14:paraId="33313C1D" w14:textId="77777777" w:rsidR="004C42DE" w:rsidRPr="00C93337" w:rsidRDefault="004C42DE" w:rsidP="004C42DE">
            <w:pPr>
              <w:spacing w:line="240"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w:t>
            </w:r>
          </w:p>
        </w:tc>
        <w:tc>
          <w:tcPr>
            <w:tcW w:w="2070" w:type="dxa"/>
          </w:tcPr>
          <w:p w14:paraId="02DBFEC1" w14:textId="77777777" w:rsidR="004C42DE" w:rsidRPr="00C93337" w:rsidRDefault="004C42DE" w:rsidP="004C42DE">
            <w:pPr>
              <w:spacing w:line="240"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100%</w:t>
            </w:r>
          </w:p>
        </w:tc>
      </w:tr>
      <w:tr w:rsidR="004C42DE" w:rsidRPr="00C93337" w14:paraId="7F853EEB" w14:textId="77777777" w:rsidTr="00216E01">
        <w:tc>
          <w:tcPr>
            <w:tcW w:w="1440" w:type="dxa"/>
          </w:tcPr>
          <w:p w14:paraId="505C37B4" w14:textId="77777777" w:rsidR="004C42DE" w:rsidRPr="00C93337" w:rsidRDefault="004C42DE"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2022</w:t>
            </w:r>
          </w:p>
        </w:tc>
        <w:tc>
          <w:tcPr>
            <w:tcW w:w="2070" w:type="dxa"/>
          </w:tcPr>
          <w:p w14:paraId="7CD1DB7D" w14:textId="77777777" w:rsidR="004C42DE" w:rsidRPr="00C93337" w:rsidRDefault="004C42DE"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0.99</w:t>
            </w:r>
          </w:p>
        </w:tc>
        <w:tc>
          <w:tcPr>
            <w:tcW w:w="2070" w:type="dxa"/>
          </w:tcPr>
          <w:p w14:paraId="19DE4838" w14:textId="77777777" w:rsidR="004C42DE" w:rsidRPr="00C93337" w:rsidRDefault="002D3B3C" w:rsidP="004C42DE">
            <w:pPr>
              <w:spacing w:line="240"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99%</w:t>
            </w:r>
          </w:p>
        </w:tc>
      </w:tr>
      <w:tr w:rsidR="004C42DE" w:rsidRPr="00C93337" w14:paraId="790DA27E" w14:textId="77777777" w:rsidTr="00216E01">
        <w:tc>
          <w:tcPr>
            <w:tcW w:w="1440" w:type="dxa"/>
          </w:tcPr>
          <w:p w14:paraId="35CBAE84"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202</w:t>
            </w:r>
            <w:r>
              <w:rPr>
                <w:rFonts w:ascii="Times New Roman" w:hAnsi="Times New Roman"/>
                <w:color w:val="000000" w:themeColor="text1"/>
                <w:sz w:val="20"/>
                <w:szCs w:val="20"/>
                <w:highlight w:val="yellow"/>
              </w:rPr>
              <w:t>4</w:t>
            </w:r>
          </w:p>
        </w:tc>
        <w:tc>
          <w:tcPr>
            <w:tcW w:w="2070" w:type="dxa"/>
          </w:tcPr>
          <w:p w14:paraId="61F2BC37" w14:textId="77777777" w:rsidR="004C42DE" w:rsidRPr="00C93337" w:rsidRDefault="004C42DE" w:rsidP="00216E01">
            <w:pPr>
              <w:spacing w:line="276" w:lineRule="auto"/>
              <w:rPr>
                <w:rFonts w:ascii="Times New Roman" w:hAnsi="Times New Roman"/>
                <w:color w:val="000000" w:themeColor="text1"/>
                <w:sz w:val="20"/>
                <w:szCs w:val="20"/>
                <w:highlight w:val="yellow"/>
              </w:rPr>
            </w:pPr>
            <w:r w:rsidRPr="00C93337">
              <w:rPr>
                <w:rFonts w:ascii="Times New Roman" w:hAnsi="Times New Roman"/>
                <w:color w:val="000000" w:themeColor="text1"/>
                <w:sz w:val="20"/>
                <w:szCs w:val="20"/>
                <w:highlight w:val="yellow"/>
              </w:rPr>
              <w:t>0.</w:t>
            </w:r>
            <w:r w:rsidR="002D3B3C">
              <w:rPr>
                <w:rFonts w:ascii="Times New Roman" w:hAnsi="Times New Roman"/>
                <w:color w:val="000000" w:themeColor="text1"/>
                <w:sz w:val="20"/>
                <w:szCs w:val="20"/>
                <w:highlight w:val="yellow"/>
              </w:rPr>
              <w:t>98</w:t>
            </w:r>
          </w:p>
        </w:tc>
        <w:tc>
          <w:tcPr>
            <w:tcW w:w="2070" w:type="dxa"/>
          </w:tcPr>
          <w:p w14:paraId="382B8803" w14:textId="77777777" w:rsidR="004C42DE" w:rsidRPr="00C93337" w:rsidRDefault="002D3B3C" w:rsidP="00216E01">
            <w:pPr>
              <w:spacing w:line="276" w:lineRule="auto"/>
              <w:rPr>
                <w:rFonts w:ascii="Times New Roman" w:hAnsi="Times New Roman"/>
                <w:color w:val="000000" w:themeColor="text1"/>
                <w:sz w:val="20"/>
                <w:szCs w:val="20"/>
                <w:highlight w:val="yellow"/>
              </w:rPr>
            </w:pPr>
            <w:r>
              <w:rPr>
                <w:rFonts w:ascii="Times New Roman" w:hAnsi="Times New Roman"/>
                <w:color w:val="000000" w:themeColor="text1"/>
                <w:sz w:val="20"/>
                <w:szCs w:val="20"/>
                <w:highlight w:val="yellow"/>
              </w:rPr>
              <w:t>98</w:t>
            </w:r>
            <w:r w:rsidR="004C42DE" w:rsidRPr="00C93337">
              <w:rPr>
                <w:rFonts w:ascii="Times New Roman" w:hAnsi="Times New Roman"/>
                <w:color w:val="000000" w:themeColor="text1"/>
                <w:sz w:val="20"/>
                <w:szCs w:val="20"/>
                <w:highlight w:val="yellow"/>
              </w:rPr>
              <w:t>%</w:t>
            </w:r>
          </w:p>
        </w:tc>
      </w:tr>
      <w:tr w:rsidR="004C42DE" w:rsidRPr="00270229" w14:paraId="7E81D23A" w14:textId="77777777" w:rsidTr="00216E01">
        <w:tc>
          <w:tcPr>
            <w:tcW w:w="1440" w:type="dxa"/>
          </w:tcPr>
          <w:p w14:paraId="1B1FBFF3" w14:textId="77777777" w:rsidR="004C42DE" w:rsidRPr="00C93337" w:rsidRDefault="004C42DE" w:rsidP="00216E01">
            <w:pPr>
              <w:spacing w:line="276" w:lineRule="auto"/>
              <w:rPr>
                <w:rFonts w:ascii="Times New Roman" w:hAnsi="Times New Roman"/>
                <w:b/>
                <w:color w:val="000000" w:themeColor="text1"/>
                <w:sz w:val="20"/>
                <w:szCs w:val="20"/>
                <w:highlight w:val="yellow"/>
              </w:rPr>
            </w:pPr>
            <w:r w:rsidRPr="00C93337">
              <w:rPr>
                <w:rFonts w:ascii="Times New Roman" w:hAnsi="Times New Roman"/>
                <w:b/>
                <w:color w:val="000000" w:themeColor="text1"/>
                <w:sz w:val="20"/>
                <w:szCs w:val="20"/>
                <w:highlight w:val="yellow"/>
              </w:rPr>
              <w:t xml:space="preserve">Average </w:t>
            </w:r>
          </w:p>
        </w:tc>
        <w:tc>
          <w:tcPr>
            <w:tcW w:w="2070" w:type="dxa"/>
          </w:tcPr>
          <w:p w14:paraId="2C1390A4" w14:textId="77777777" w:rsidR="004C42DE" w:rsidRPr="00C93337" w:rsidRDefault="004C42DE" w:rsidP="00216E01">
            <w:pPr>
              <w:spacing w:line="276" w:lineRule="auto"/>
              <w:rPr>
                <w:rFonts w:ascii="Times New Roman" w:hAnsi="Times New Roman"/>
                <w:b/>
                <w:color w:val="000000" w:themeColor="text1"/>
                <w:sz w:val="20"/>
                <w:szCs w:val="20"/>
                <w:highlight w:val="yellow"/>
              </w:rPr>
            </w:pPr>
            <w:r w:rsidRPr="00C93337">
              <w:rPr>
                <w:rFonts w:ascii="Times New Roman" w:hAnsi="Times New Roman"/>
                <w:b/>
                <w:color w:val="000000" w:themeColor="text1"/>
                <w:sz w:val="20"/>
                <w:szCs w:val="20"/>
                <w:highlight w:val="yellow"/>
              </w:rPr>
              <w:t>0</w:t>
            </w:r>
            <w:r w:rsidR="002D3B3C">
              <w:rPr>
                <w:rFonts w:ascii="Times New Roman" w:hAnsi="Times New Roman"/>
                <w:b/>
                <w:color w:val="000000" w:themeColor="text1"/>
                <w:sz w:val="20"/>
                <w:szCs w:val="20"/>
                <w:highlight w:val="yellow"/>
              </w:rPr>
              <w:t>.99</w:t>
            </w:r>
          </w:p>
        </w:tc>
        <w:tc>
          <w:tcPr>
            <w:tcW w:w="2070" w:type="dxa"/>
          </w:tcPr>
          <w:p w14:paraId="05A0A25F" w14:textId="77777777" w:rsidR="004C42DE" w:rsidRPr="00270229" w:rsidRDefault="002D3B3C" w:rsidP="00216E01">
            <w:pPr>
              <w:spacing w:line="276" w:lineRule="auto"/>
              <w:rPr>
                <w:rFonts w:ascii="Times New Roman" w:hAnsi="Times New Roman"/>
                <w:b/>
                <w:color w:val="000000" w:themeColor="text1"/>
                <w:sz w:val="20"/>
                <w:szCs w:val="20"/>
              </w:rPr>
            </w:pPr>
            <w:r>
              <w:rPr>
                <w:rFonts w:ascii="Times New Roman" w:hAnsi="Times New Roman"/>
                <w:b/>
                <w:color w:val="000000" w:themeColor="text1"/>
                <w:sz w:val="20"/>
                <w:szCs w:val="20"/>
                <w:highlight w:val="yellow"/>
              </w:rPr>
              <w:t>98</w:t>
            </w:r>
            <w:r w:rsidR="004C42DE" w:rsidRPr="00C93337">
              <w:rPr>
                <w:rFonts w:ascii="Times New Roman" w:hAnsi="Times New Roman"/>
                <w:b/>
                <w:color w:val="000000" w:themeColor="text1"/>
                <w:sz w:val="20"/>
                <w:szCs w:val="20"/>
                <w:highlight w:val="yellow"/>
              </w:rPr>
              <w:t>.5%</w:t>
            </w:r>
          </w:p>
        </w:tc>
      </w:tr>
    </w:tbl>
    <w:p w14:paraId="556AF25B" w14:textId="77777777" w:rsidR="004C42DE" w:rsidRPr="00C93337" w:rsidRDefault="004C42DE" w:rsidP="004C42DE">
      <w:pPr>
        <w:tabs>
          <w:tab w:val="left" w:pos="2505"/>
        </w:tabs>
        <w:spacing w:line="360" w:lineRule="auto"/>
        <w:jc w:val="both"/>
        <w:rPr>
          <w:rFonts w:ascii="Times New Roman" w:hAnsi="Times New Roman" w:cs="Times New Roman"/>
          <w:b/>
          <w:bCs/>
          <w:sz w:val="2"/>
        </w:rPr>
      </w:pPr>
    </w:p>
    <w:p w14:paraId="02E06D7F" w14:textId="77777777" w:rsidR="004C42DE" w:rsidRPr="002256DF" w:rsidRDefault="004C42DE" w:rsidP="004C42DE">
      <w:pPr>
        <w:spacing w:after="240"/>
        <w:jc w:val="both"/>
        <w:rPr>
          <w:rFonts w:ascii="Times New Roman" w:eastAsia="Google Sans Text" w:hAnsi="Times New Roman" w:cs="Times New Roman"/>
          <w:color w:val="1B1C1D"/>
          <w:sz w:val="24"/>
          <w:szCs w:val="24"/>
        </w:rPr>
      </w:pPr>
      <w:r>
        <w:rPr>
          <w:rFonts w:ascii="Times New Roman" w:eastAsia="Calibri" w:hAnsi="Times New Roman" w:cs="Times New Roman"/>
        </w:rPr>
        <w:t xml:space="preserve">          </w:t>
      </w:r>
      <w:proofErr w:type="spellStart"/>
      <w:r w:rsidR="002D3B3C">
        <w:rPr>
          <w:rFonts w:ascii="Times New Roman" w:eastAsia="Calibri" w:hAnsi="Times New Roman" w:cs="Times New Roman"/>
        </w:rPr>
        <w:t>Ogoro</w:t>
      </w:r>
      <w:proofErr w:type="spellEnd"/>
      <w:r w:rsidR="002D3B3C">
        <w:rPr>
          <w:rFonts w:ascii="Times New Roman" w:eastAsia="Calibri" w:hAnsi="Times New Roman" w:cs="Times New Roman"/>
        </w:rPr>
        <w:t xml:space="preserve"> et al, (</w:t>
      </w:r>
      <w:r w:rsidRPr="00DB0A0F">
        <w:rPr>
          <w:rFonts w:ascii="Times New Roman" w:eastAsia="Calibri" w:hAnsi="Times New Roman" w:cs="Times New Roman"/>
        </w:rPr>
        <w:t>2020)</w:t>
      </w:r>
      <w:r>
        <w:rPr>
          <w:rFonts w:ascii="Times New Roman" w:eastAsia="Calibri" w:hAnsi="Times New Roman" w:cs="Times New Roman"/>
        </w:rPr>
        <w:t>,</w:t>
      </w:r>
      <w:r w:rsidRPr="00F7382B">
        <w:rPr>
          <w:rFonts w:ascii="Times New Roman" w:eastAsia="Calibri" w:hAnsi="Times New Roman" w:cs="Times New Roman"/>
        </w:rPr>
        <w:t xml:space="preserve"> postulates that </w:t>
      </w:r>
      <w:proofErr w:type="spellStart"/>
      <w:r w:rsidRPr="00F7382B">
        <w:rPr>
          <w:rFonts w:ascii="Times New Roman" w:eastAsia="Calibri" w:hAnsi="Times New Roman" w:cs="Times New Roman"/>
        </w:rPr>
        <w:t>Spatio</w:t>
      </w:r>
      <w:proofErr w:type="spellEnd"/>
      <w:r w:rsidRPr="00F7382B">
        <w:rPr>
          <w:rFonts w:ascii="Times New Roman" w:eastAsia="Calibri" w:hAnsi="Times New Roman" w:cs="Times New Roman"/>
        </w:rPr>
        <w:t xml:space="preserve">-temporal change analysis is one of the methodologies use in studying current and ongoing change in </w:t>
      </w:r>
      <w:proofErr w:type="spellStart"/>
      <w:r w:rsidRPr="00F7382B">
        <w:rPr>
          <w:rFonts w:ascii="Times New Roman" w:eastAsia="Calibri" w:hAnsi="Times New Roman" w:cs="Times New Roman"/>
        </w:rPr>
        <w:t>landuse</w:t>
      </w:r>
      <w:proofErr w:type="spellEnd"/>
      <w:r w:rsidRPr="00F7382B">
        <w:rPr>
          <w:rFonts w:ascii="Times New Roman" w:eastAsia="Calibri" w:hAnsi="Times New Roman" w:cs="Times New Roman"/>
        </w:rPr>
        <w:t xml:space="preserve"> in an area.</w:t>
      </w:r>
    </w:p>
    <w:p w14:paraId="76D54BD8" w14:textId="77777777" w:rsidR="008805B8" w:rsidRPr="00DB66A3" w:rsidRDefault="00BB1D70" w:rsidP="00DB66A3">
      <w:pPr>
        <w:pStyle w:val="NoSpacing"/>
        <w:rPr>
          <w:rFonts w:ascii="Times New Roman" w:hAnsi="Times New Roman" w:cs="Times New Roman"/>
          <w:b/>
          <w:sz w:val="24"/>
          <w:szCs w:val="24"/>
        </w:rPr>
      </w:pPr>
      <w:r>
        <w:rPr>
          <w:rFonts w:ascii="Times New Roman" w:hAnsi="Times New Roman" w:cs="Times New Roman"/>
          <w:b/>
          <w:sz w:val="24"/>
          <w:szCs w:val="24"/>
        </w:rPr>
        <w:t xml:space="preserve">3.0   </w:t>
      </w:r>
      <w:r w:rsidR="00DB66A3" w:rsidRPr="00DB66A3">
        <w:rPr>
          <w:rFonts w:ascii="Times New Roman" w:hAnsi="Times New Roman" w:cs="Times New Roman"/>
          <w:b/>
          <w:sz w:val="24"/>
          <w:szCs w:val="24"/>
        </w:rPr>
        <w:t>RESULTS AND DISCUSSION</w:t>
      </w:r>
    </w:p>
    <w:p w14:paraId="6FCB8BD6" w14:textId="77777777" w:rsidR="00DB66A3" w:rsidRDefault="00DB66A3" w:rsidP="00DB66A3">
      <w:pPr>
        <w:pStyle w:val="NoSpacing"/>
        <w:rPr>
          <w:rFonts w:ascii="Times New Roman" w:eastAsia="Arial" w:hAnsi="Times New Roman" w:cs="Times New Roman"/>
          <w:sz w:val="24"/>
          <w:szCs w:val="24"/>
        </w:rPr>
      </w:pPr>
    </w:p>
    <w:p w14:paraId="6EC096F0" w14:textId="77777777" w:rsidR="00847092" w:rsidRPr="00DD04F2" w:rsidRDefault="00BB1D70" w:rsidP="0023772C">
      <w:pPr>
        <w:pStyle w:val="NoSpacing"/>
        <w:spacing w:line="360" w:lineRule="auto"/>
        <w:rPr>
          <w:rFonts w:ascii="Times New Roman" w:hAnsi="Times New Roman" w:cs="Times New Roman"/>
          <w:b/>
          <w:sz w:val="24"/>
          <w:szCs w:val="24"/>
        </w:rPr>
      </w:pPr>
      <w:r>
        <w:rPr>
          <w:rFonts w:ascii="Times New Roman" w:eastAsia="Arial" w:hAnsi="Times New Roman" w:cs="Times New Roman"/>
          <w:b/>
          <w:sz w:val="24"/>
          <w:szCs w:val="24"/>
        </w:rPr>
        <w:t xml:space="preserve">3.1   </w:t>
      </w:r>
      <w:r w:rsidR="00DB66A3" w:rsidRPr="00DD04F2">
        <w:rPr>
          <w:rFonts w:ascii="Times New Roman" w:eastAsia="Arial" w:hAnsi="Times New Roman" w:cs="Times New Roman"/>
          <w:b/>
          <w:sz w:val="24"/>
          <w:szCs w:val="24"/>
        </w:rPr>
        <w:t>Land Use Land Cover 2014-2024</w:t>
      </w:r>
    </w:p>
    <w:p w14:paraId="6D6B5B50" w14:textId="77777777" w:rsidR="00847092" w:rsidRDefault="005D14E9" w:rsidP="0023772C">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LULC analysis for the period 201</w:t>
      </w:r>
      <w:r w:rsidR="00847092">
        <w:rPr>
          <w:rFonts w:ascii="Times New Roman" w:eastAsia="Google Sans Text" w:hAnsi="Times New Roman" w:cs="Times New Roman"/>
          <w:color w:val="1B1C1D"/>
          <w:sz w:val="24"/>
          <w:szCs w:val="24"/>
        </w:rPr>
        <w:t>4</w:t>
      </w:r>
      <w:r w:rsidR="00847092" w:rsidRPr="00862AC2">
        <w:rPr>
          <w:rFonts w:ascii="Times New Roman" w:eastAsia="Google Sans Text" w:hAnsi="Times New Roman" w:cs="Times New Roman"/>
          <w:color w:val="1B1C1D"/>
          <w:sz w:val="24"/>
          <w:szCs w:val="24"/>
        </w:rPr>
        <w:t xml:space="preserve"> to 2024 reveals a dynamic and rapidly transforming landscape in Ezza South. The classification results for the start and end years of the high-resolution analysis are summarized in Table </w:t>
      </w:r>
      <w:r w:rsidR="00847092">
        <w:rPr>
          <w:rFonts w:ascii="Times New Roman" w:eastAsia="Google Sans Text" w:hAnsi="Times New Roman" w:cs="Times New Roman"/>
          <w:color w:val="1B1C1D"/>
          <w:sz w:val="24"/>
          <w:szCs w:val="24"/>
        </w:rPr>
        <w:t>1</w:t>
      </w:r>
      <w:r w:rsidR="00847092" w:rsidRPr="00862AC2">
        <w:rPr>
          <w:rFonts w:ascii="Times New Roman" w:eastAsia="Google Sans Text" w:hAnsi="Times New Roman" w:cs="Times New Roman"/>
          <w:color w:val="1B1C1D"/>
          <w:sz w:val="24"/>
          <w:szCs w:val="24"/>
        </w:rPr>
        <w:t>, showing the area and percentage cover for each major LULC</w:t>
      </w:r>
      <w:bookmarkStart w:id="0" w:name="_Hlk201742966"/>
      <w:r w:rsidR="008805B8">
        <w:rPr>
          <w:rFonts w:ascii="Times New Roman" w:eastAsia="Google Sans Text" w:hAnsi="Times New Roman" w:cs="Times New Roman"/>
          <w:color w:val="1B1C1D"/>
          <w:sz w:val="24"/>
          <w:szCs w:val="24"/>
        </w:rPr>
        <w:t xml:space="preserve"> </w:t>
      </w:r>
      <w:bookmarkEnd w:id="0"/>
      <w:r w:rsidR="00DB66A3">
        <w:rPr>
          <w:rFonts w:ascii="Times New Roman" w:eastAsia="Google Sans Text" w:hAnsi="Times New Roman" w:cs="Times New Roman"/>
          <w:color w:val="1B1C1D"/>
          <w:sz w:val="24"/>
          <w:szCs w:val="24"/>
        </w:rPr>
        <w:t>class.</w:t>
      </w:r>
    </w:p>
    <w:p w14:paraId="4A9AFC14" w14:textId="77777777" w:rsidR="00683E3C" w:rsidRPr="00683E3C" w:rsidRDefault="00683E3C" w:rsidP="00683E3C">
      <w:pPr>
        <w:spacing w:after="240"/>
        <w:rPr>
          <w:rFonts w:ascii="Times New Roman" w:eastAsia="Arial" w:hAnsi="Times New Roman" w:cs="Times New Roman"/>
          <w:b/>
        </w:rPr>
      </w:pPr>
      <w:r w:rsidRPr="00683E3C">
        <w:rPr>
          <w:rFonts w:ascii="Times New Roman" w:eastAsia="Google Sans Text" w:hAnsi="Times New Roman" w:cs="Times New Roman"/>
          <w:noProof/>
          <w:color w:val="1B1C1D"/>
          <w:sz w:val="24"/>
          <w:szCs w:val="24"/>
        </w:rPr>
        <w:lastRenderedPageBreak/>
        <w:drawing>
          <wp:inline distT="0" distB="0" distL="0" distR="0" wp14:anchorId="568CACA5" wp14:editId="6DC810AD">
            <wp:extent cx="2695575" cy="2476500"/>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772" cy="2480356"/>
                    </a:xfrm>
                    <a:prstGeom prst="rect">
                      <a:avLst/>
                    </a:prstGeom>
                    <a:noFill/>
                    <a:ln>
                      <a:noFill/>
                    </a:ln>
                  </pic:spPr>
                </pic:pic>
              </a:graphicData>
            </a:graphic>
          </wp:inline>
        </w:drawing>
      </w:r>
      <w:r w:rsidR="00A122A2">
        <w:rPr>
          <w:rFonts w:ascii="Times New Roman" w:eastAsia="Arial" w:hAnsi="Times New Roman" w:cs="Times New Roman"/>
          <w:b/>
        </w:rPr>
        <w:t xml:space="preserve">            </w:t>
      </w:r>
      <w:r>
        <w:rPr>
          <w:rFonts w:ascii="Times New Roman" w:eastAsia="Arial" w:hAnsi="Times New Roman" w:cs="Times New Roman"/>
          <w:b/>
        </w:rPr>
        <w:t xml:space="preserve">   </w:t>
      </w:r>
      <w:r w:rsidRPr="00683E3C">
        <w:rPr>
          <w:rFonts w:ascii="Times New Roman" w:eastAsia="Arial" w:hAnsi="Times New Roman" w:cs="Times New Roman"/>
          <w:b/>
          <w:noProof/>
        </w:rPr>
        <w:drawing>
          <wp:inline distT="0" distB="0" distL="0" distR="0" wp14:anchorId="2F34BBC7" wp14:editId="15148FBF">
            <wp:extent cx="2686050" cy="248602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inline>
        </w:drawing>
      </w:r>
      <w:r w:rsidR="00A122A2">
        <w:rPr>
          <w:rFonts w:ascii="Times New Roman" w:eastAsia="Arial" w:hAnsi="Times New Roman" w:cs="Times New Roman"/>
          <w:b/>
          <w:sz w:val="16"/>
          <w:szCs w:val="16"/>
        </w:rPr>
        <w:t>Fig.</w:t>
      </w:r>
      <w:r>
        <w:rPr>
          <w:rFonts w:ascii="Times New Roman" w:eastAsia="Arial" w:hAnsi="Times New Roman" w:cs="Times New Roman"/>
          <w:b/>
          <w:sz w:val="16"/>
          <w:szCs w:val="16"/>
        </w:rPr>
        <w:t xml:space="preserve">3: LULC </w:t>
      </w:r>
      <w:r w:rsidRPr="00683E3C">
        <w:rPr>
          <w:rFonts w:ascii="Times New Roman" w:eastAsia="Arial" w:hAnsi="Times New Roman" w:cs="Times New Roman"/>
          <w:b/>
          <w:sz w:val="16"/>
          <w:szCs w:val="16"/>
        </w:rPr>
        <w:t xml:space="preserve">2014 image for Ezza South LGA based on </w:t>
      </w:r>
      <w:r w:rsidRPr="00683E3C">
        <w:rPr>
          <w:rFonts w:ascii="Times New Roman" w:hAnsi="Times New Roman" w:cs="Times New Roman"/>
          <w:b/>
          <w:bCs/>
          <w:sz w:val="16"/>
          <w:szCs w:val="16"/>
        </w:rPr>
        <w:t xml:space="preserve">Sentinel-2 </w:t>
      </w:r>
      <w:r w:rsidR="00A122A2">
        <w:rPr>
          <w:rFonts w:ascii="Times New Roman" w:hAnsi="Times New Roman" w:cs="Times New Roman"/>
          <w:b/>
          <w:bCs/>
          <w:sz w:val="16"/>
          <w:szCs w:val="16"/>
        </w:rPr>
        <w:tab/>
      </w:r>
      <w:r w:rsidR="00A122A2">
        <w:rPr>
          <w:rFonts w:ascii="Times New Roman" w:eastAsia="Arial" w:hAnsi="Times New Roman" w:cs="Times New Roman"/>
          <w:b/>
          <w:sz w:val="16"/>
          <w:szCs w:val="16"/>
        </w:rPr>
        <w:t xml:space="preserve">Fig. 4: LULC </w:t>
      </w:r>
      <w:r w:rsidR="00A122A2" w:rsidRPr="00A122A2">
        <w:rPr>
          <w:rFonts w:ascii="Times New Roman" w:eastAsia="Arial" w:hAnsi="Times New Roman" w:cs="Times New Roman"/>
          <w:b/>
          <w:sz w:val="16"/>
          <w:szCs w:val="16"/>
        </w:rPr>
        <w:t xml:space="preserve"> 2016 image for Ezza South LGA based on </w:t>
      </w:r>
      <w:r w:rsidR="00A122A2">
        <w:rPr>
          <w:rFonts w:ascii="Times New Roman" w:hAnsi="Times New Roman" w:cs="Times New Roman"/>
          <w:b/>
          <w:bCs/>
          <w:sz w:val="16"/>
          <w:szCs w:val="16"/>
        </w:rPr>
        <w:t>Sentinel-2</w:t>
      </w:r>
    </w:p>
    <w:p w14:paraId="36C57A63" w14:textId="77777777" w:rsidR="00DD04F2" w:rsidRDefault="00A122A2" w:rsidP="0023772C">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Figure 3</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2014.</w:t>
      </w:r>
      <w:r w:rsidR="00DD04F2">
        <w:rPr>
          <w:rFonts w:ascii="Times New Roman" w:eastAsia="Arial" w:hAnsi="Times New Roman" w:cs="Times New Roman"/>
          <w:sz w:val="24"/>
          <w:szCs w:val="24"/>
        </w:rPr>
        <w:t xml:space="preserve"> </w:t>
      </w:r>
      <w:r w:rsidR="00DB66A3">
        <w:rPr>
          <w:rFonts w:ascii="Times New Roman" w:eastAsia="Arial" w:hAnsi="Times New Roman" w:cs="Times New Roman"/>
          <w:sz w:val="24"/>
          <w:szCs w:val="24"/>
        </w:rPr>
        <w:t xml:space="preserve">As shown in Table </w:t>
      </w:r>
      <w:r w:rsidR="00847092">
        <w:rPr>
          <w:rFonts w:ascii="Times New Roman" w:eastAsia="Arial" w:hAnsi="Times New Roman" w:cs="Times New Roman"/>
          <w:sz w:val="24"/>
          <w:szCs w:val="24"/>
        </w:rPr>
        <w:t>1. Water bodies occupied 2.17km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while forest is 101.94km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145.66km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17.51km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50F4E9C0" w14:textId="77777777" w:rsidR="00847092" w:rsidRPr="00013F5B"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A122A2">
        <w:rPr>
          <w:rFonts w:ascii="Times New Roman" w:eastAsia="Arial" w:hAnsi="Times New Roman" w:cs="Times New Roman"/>
          <w:sz w:val="24"/>
          <w:szCs w:val="24"/>
        </w:rPr>
        <w:t>4</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2016. The magnitude of the different classes as shown in table 1 are water bodies  2.12km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85.49km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158.36km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21.32km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5EB85705" w14:textId="77777777" w:rsidR="00215376" w:rsidRPr="00215376" w:rsidRDefault="00847092" w:rsidP="00215376">
      <w:pPr>
        <w:pStyle w:val="NoSpacing"/>
        <w:rPr>
          <w:rFonts w:ascii="Times New Roman" w:hAnsi="Times New Roman" w:cs="Times New Roman"/>
        </w:rPr>
      </w:pPr>
      <w:r w:rsidRPr="00A122A2">
        <w:rPr>
          <w:rFonts w:ascii="Times New Roman" w:hAnsi="Times New Roman" w:cs="Times New Roman"/>
          <w:noProof/>
        </w:rPr>
        <w:drawing>
          <wp:inline distT="0" distB="0" distL="0" distR="0" wp14:anchorId="50DB4CAE" wp14:editId="08199531">
            <wp:extent cx="2743200" cy="2800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776" cy="2800938"/>
                    </a:xfrm>
                    <a:prstGeom prst="rect">
                      <a:avLst/>
                    </a:prstGeom>
                    <a:noFill/>
                    <a:ln>
                      <a:noFill/>
                    </a:ln>
                  </pic:spPr>
                </pic:pic>
              </a:graphicData>
            </a:graphic>
          </wp:inline>
        </w:drawing>
      </w:r>
      <w:r w:rsidR="00215376">
        <w:rPr>
          <w:rFonts w:ascii="Times New Roman" w:hAnsi="Times New Roman" w:cs="Times New Roman"/>
        </w:rPr>
        <w:t xml:space="preserve">     </w:t>
      </w:r>
      <w:r w:rsidR="00215376" w:rsidRPr="00215376">
        <w:rPr>
          <w:rFonts w:ascii="Times New Roman" w:hAnsi="Times New Roman" w:cs="Times New Roman"/>
          <w:noProof/>
        </w:rPr>
        <w:drawing>
          <wp:inline distT="0" distB="0" distL="0" distR="0" wp14:anchorId="587D3471" wp14:editId="5651C35E">
            <wp:extent cx="2790825" cy="2800350"/>
            <wp:effectExtent l="1905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012" cy="2807562"/>
                    </a:xfrm>
                    <a:prstGeom prst="rect">
                      <a:avLst/>
                    </a:prstGeom>
                    <a:noFill/>
                    <a:ln>
                      <a:noFill/>
                    </a:ln>
                  </pic:spPr>
                </pic:pic>
              </a:graphicData>
            </a:graphic>
          </wp:inline>
        </w:drawing>
      </w:r>
    </w:p>
    <w:p w14:paraId="60EF46B6" w14:textId="77777777" w:rsidR="00215376" w:rsidRPr="00215376" w:rsidRDefault="00215376" w:rsidP="00215376">
      <w:pPr>
        <w:pStyle w:val="NoSpacing"/>
        <w:rPr>
          <w:rFonts w:ascii="Times New Roman" w:eastAsia="Arial" w:hAnsi="Times New Roman" w:cs="Times New Roman"/>
          <w:b/>
          <w:sz w:val="16"/>
          <w:szCs w:val="16"/>
        </w:rPr>
      </w:pPr>
      <w:r w:rsidRPr="00A122A2">
        <w:rPr>
          <w:rFonts w:ascii="Times New Roman" w:eastAsia="Arial" w:hAnsi="Times New Roman" w:cs="Times New Roman"/>
          <w:b/>
          <w:sz w:val="16"/>
          <w:szCs w:val="16"/>
        </w:rPr>
        <w:t xml:space="preserve">Fig.5: LULC 2018 Image for Ezza South LGA based on </w:t>
      </w:r>
      <w:r w:rsidRPr="00A122A2">
        <w:rPr>
          <w:rFonts w:ascii="Times New Roman" w:hAnsi="Times New Roman" w:cs="Times New Roman"/>
          <w:b/>
          <w:bCs/>
          <w:sz w:val="16"/>
          <w:szCs w:val="16"/>
        </w:rPr>
        <w:t xml:space="preserve">Sentinel-2 </w:t>
      </w:r>
      <w:r>
        <w:rPr>
          <w:rFonts w:ascii="Times New Roman" w:eastAsia="Arial" w:hAnsi="Times New Roman" w:cs="Times New Roman"/>
          <w:b/>
          <w:sz w:val="16"/>
          <w:szCs w:val="16"/>
        </w:rPr>
        <w:t xml:space="preserve">    </w:t>
      </w:r>
      <w:r w:rsidRPr="00215376">
        <w:rPr>
          <w:rFonts w:ascii="Times New Roman" w:eastAsia="Arial" w:hAnsi="Times New Roman" w:cs="Times New Roman"/>
          <w:b/>
          <w:sz w:val="16"/>
          <w:szCs w:val="16"/>
        </w:rPr>
        <w:t>Fig.6</w:t>
      </w:r>
      <w:r w:rsidRPr="00215376">
        <w:rPr>
          <w:rFonts w:ascii="Times New Roman" w:eastAsia="Arial" w:hAnsi="Times New Roman" w:cs="Times New Roman"/>
          <w:sz w:val="16"/>
          <w:szCs w:val="16"/>
        </w:rPr>
        <w:t>: LULC 2020 Image for Ezza South LGA</w:t>
      </w:r>
      <w:r w:rsidRPr="00215376">
        <w:rPr>
          <w:rFonts w:ascii="Times New Roman" w:eastAsia="Arial" w:hAnsi="Times New Roman" w:cs="Times New Roman"/>
          <w:b/>
          <w:sz w:val="16"/>
          <w:szCs w:val="16"/>
        </w:rPr>
        <w:t xml:space="preserve"> </w:t>
      </w:r>
      <w:r w:rsidRPr="00215376">
        <w:rPr>
          <w:rFonts w:ascii="Times New Roman" w:eastAsia="Arial" w:hAnsi="Times New Roman" w:cs="Times New Roman"/>
          <w:sz w:val="16"/>
          <w:szCs w:val="16"/>
        </w:rPr>
        <w:t xml:space="preserve">based on </w:t>
      </w:r>
      <w:r w:rsidRPr="00215376">
        <w:rPr>
          <w:rFonts w:ascii="Times New Roman" w:hAnsi="Times New Roman" w:cs="Times New Roman"/>
          <w:bCs/>
          <w:sz w:val="16"/>
          <w:szCs w:val="16"/>
        </w:rPr>
        <w:t xml:space="preserve">Sentinel-2 </w:t>
      </w:r>
    </w:p>
    <w:p w14:paraId="5678A389" w14:textId="77777777" w:rsidR="00847092" w:rsidRPr="00A122A2" w:rsidRDefault="00847092" w:rsidP="00A122A2">
      <w:pPr>
        <w:pStyle w:val="NoSpacing"/>
        <w:rPr>
          <w:rFonts w:ascii="Times New Roman" w:hAnsi="Times New Roman" w:cs="Times New Roman"/>
        </w:rPr>
      </w:pPr>
    </w:p>
    <w:p w14:paraId="6D269C6D" w14:textId="77777777" w:rsidR="00847092" w:rsidRPr="00013F5B"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A122A2">
        <w:rPr>
          <w:rFonts w:ascii="Times New Roman" w:eastAsia="Arial" w:hAnsi="Times New Roman" w:cs="Times New Roman"/>
          <w:sz w:val="24"/>
          <w:szCs w:val="24"/>
        </w:rPr>
        <w:t>5</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2018. The magnitude of the different classes as shown in table 1 are water bodies  2.04km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82.23km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155.89km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27.13km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7D4C03BF" w14:textId="77777777" w:rsidR="00847092" w:rsidRPr="00D641DA"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215376">
        <w:rPr>
          <w:rFonts w:ascii="Times New Roman" w:eastAsia="Arial" w:hAnsi="Times New Roman" w:cs="Times New Roman"/>
          <w:sz w:val="24"/>
          <w:szCs w:val="24"/>
        </w:rPr>
        <w:t>6</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2020. The magnitude of the different classes as shown in table 1 are water bodies  2.02km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forest is </w:t>
      </w:r>
      <w:r w:rsidR="00847092">
        <w:rPr>
          <w:rFonts w:ascii="Times New Roman" w:eastAsia="Arial" w:hAnsi="Times New Roman" w:cs="Times New Roman"/>
          <w:sz w:val="24"/>
          <w:szCs w:val="24"/>
        </w:rPr>
        <w:lastRenderedPageBreak/>
        <w:t>79.48km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158.48km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27.35km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6838A3DB" w14:textId="77777777" w:rsidR="00DD04F2" w:rsidRDefault="00847092" w:rsidP="00DD04F2">
      <w:pPr>
        <w:pStyle w:val="NoSpacing"/>
        <w:rPr>
          <w:rFonts w:ascii="Times New Roman" w:hAnsi="Times New Roman" w:cs="Times New Roman"/>
          <w:sz w:val="24"/>
          <w:szCs w:val="24"/>
        </w:rPr>
      </w:pPr>
      <w:r w:rsidRPr="00862AC2">
        <w:rPr>
          <w:rFonts w:ascii="Times New Roman" w:hAnsi="Times New Roman" w:cs="Times New Roman"/>
          <w:noProof/>
          <w:sz w:val="24"/>
          <w:szCs w:val="24"/>
        </w:rPr>
        <w:drawing>
          <wp:inline distT="0" distB="0" distL="0" distR="0" wp14:anchorId="19C0D1B4" wp14:editId="1539B717">
            <wp:extent cx="2924175" cy="32956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7" cy="3297805"/>
                    </a:xfrm>
                    <a:prstGeom prst="rect">
                      <a:avLst/>
                    </a:prstGeom>
                    <a:noFill/>
                    <a:ln>
                      <a:noFill/>
                    </a:ln>
                  </pic:spPr>
                </pic:pic>
              </a:graphicData>
            </a:graphic>
          </wp:inline>
        </w:drawing>
      </w:r>
      <w:r w:rsidR="00DD04F2">
        <w:rPr>
          <w:rFonts w:ascii="Times New Roman" w:hAnsi="Times New Roman" w:cs="Times New Roman"/>
          <w:sz w:val="24"/>
          <w:szCs w:val="24"/>
        </w:rPr>
        <w:t xml:space="preserve">   </w:t>
      </w:r>
      <w:r w:rsidR="00D3065C">
        <w:rPr>
          <w:rFonts w:ascii="Times New Roman" w:hAnsi="Times New Roman" w:cs="Times New Roman"/>
          <w:sz w:val="24"/>
          <w:szCs w:val="24"/>
        </w:rPr>
        <w:t xml:space="preserve">     </w:t>
      </w:r>
      <w:r w:rsidR="00DD04F2" w:rsidRPr="00DD04F2">
        <w:rPr>
          <w:rFonts w:ascii="Times New Roman" w:hAnsi="Times New Roman" w:cs="Times New Roman"/>
          <w:noProof/>
        </w:rPr>
        <w:drawing>
          <wp:inline distT="0" distB="0" distL="0" distR="0" wp14:anchorId="6231B8E2" wp14:editId="288E938A">
            <wp:extent cx="2781300" cy="329564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595" cy="3311403"/>
                    </a:xfrm>
                    <a:prstGeom prst="rect">
                      <a:avLst/>
                    </a:prstGeom>
                    <a:noFill/>
                    <a:ln>
                      <a:noFill/>
                    </a:ln>
                  </pic:spPr>
                </pic:pic>
              </a:graphicData>
            </a:graphic>
          </wp:inline>
        </w:drawing>
      </w:r>
    </w:p>
    <w:p w14:paraId="5FF2F0EF" w14:textId="77777777" w:rsidR="00BB1D70" w:rsidRDefault="00D3065C" w:rsidP="00BB1D70">
      <w:pPr>
        <w:pStyle w:val="NoSpacing"/>
        <w:rPr>
          <w:rFonts w:ascii="Times New Roman" w:hAnsi="Times New Roman" w:cs="Times New Roman"/>
          <w:bCs/>
          <w:sz w:val="16"/>
          <w:szCs w:val="16"/>
        </w:rPr>
      </w:pPr>
      <w:r>
        <w:rPr>
          <w:rFonts w:ascii="Times New Roman" w:eastAsia="Arial" w:hAnsi="Times New Roman" w:cs="Times New Roman"/>
          <w:b/>
          <w:sz w:val="16"/>
          <w:szCs w:val="16"/>
        </w:rPr>
        <w:t xml:space="preserve">  </w:t>
      </w:r>
      <w:r w:rsidR="00DD04F2">
        <w:rPr>
          <w:rFonts w:ascii="Times New Roman" w:eastAsia="Arial" w:hAnsi="Times New Roman" w:cs="Times New Roman"/>
          <w:b/>
          <w:sz w:val="16"/>
          <w:szCs w:val="16"/>
        </w:rPr>
        <w:t>Fig.</w:t>
      </w:r>
      <w:r w:rsidR="00DD04F2" w:rsidRPr="00DD04F2">
        <w:rPr>
          <w:rFonts w:ascii="Times New Roman" w:eastAsia="Arial" w:hAnsi="Times New Roman" w:cs="Times New Roman"/>
          <w:b/>
          <w:sz w:val="16"/>
          <w:szCs w:val="16"/>
        </w:rPr>
        <w:t xml:space="preserve"> 7</w:t>
      </w:r>
      <w:r w:rsidR="00DD04F2">
        <w:rPr>
          <w:rFonts w:ascii="Times New Roman" w:eastAsia="Arial" w:hAnsi="Times New Roman" w:cs="Times New Roman"/>
          <w:sz w:val="16"/>
          <w:szCs w:val="16"/>
        </w:rPr>
        <w:t>: LULC</w:t>
      </w:r>
      <w:r w:rsidR="00DD04F2" w:rsidRPr="00DD04F2">
        <w:rPr>
          <w:rFonts w:ascii="Times New Roman" w:eastAsia="Arial" w:hAnsi="Times New Roman" w:cs="Times New Roman"/>
          <w:sz w:val="16"/>
          <w:szCs w:val="16"/>
        </w:rPr>
        <w:t xml:space="preserve"> 2022 Image for Ezza South LGA</w:t>
      </w:r>
      <w:r w:rsidR="00DD04F2" w:rsidRPr="00DD04F2">
        <w:rPr>
          <w:rFonts w:ascii="Times New Roman" w:eastAsia="Arial" w:hAnsi="Times New Roman" w:cs="Times New Roman"/>
          <w:b/>
          <w:sz w:val="16"/>
          <w:szCs w:val="16"/>
        </w:rPr>
        <w:t xml:space="preserve"> </w:t>
      </w:r>
      <w:r w:rsidR="00DD04F2" w:rsidRPr="00DD04F2">
        <w:rPr>
          <w:rFonts w:ascii="Times New Roman" w:eastAsia="Arial" w:hAnsi="Times New Roman" w:cs="Times New Roman"/>
          <w:sz w:val="16"/>
          <w:szCs w:val="16"/>
        </w:rPr>
        <w:t xml:space="preserve">based on </w:t>
      </w:r>
      <w:r w:rsidR="00DD04F2" w:rsidRPr="00DD04F2">
        <w:rPr>
          <w:rFonts w:ascii="Times New Roman" w:hAnsi="Times New Roman" w:cs="Times New Roman"/>
          <w:bCs/>
          <w:sz w:val="16"/>
          <w:szCs w:val="16"/>
        </w:rPr>
        <w:t xml:space="preserve">Sentinel-2 </w:t>
      </w:r>
      <w:r w:rsidR="00DD04F2">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          </w:t>
      </w:r>
      <w:r w:rsidR="00DD04F2" w:rsidRPr="00D3065C">
        <w:rPr>
          <w:rFonts w:ascii="Times New Roman" w:eastAsia="Arial" w:hAnsi="Times New Roman" w:cs="Times New Roman"/>
          <w:b/>
          <w:sz w:val="16"/>
          <w:szCs w:val="16"/>
        </w:rPr>
        <w:t>Fig. 8</w:t>
      </w:r>
      <w:r w:rsidR="00DD04F2" w:rsidRPr="00DD04F2">
        <w:rPr>
          <w:rFonts w:ascii="Times New Roman" w:eastAsia="Arial" w:hAnsi="Times New Roman" w:cs="Times New Roman"/>
          <w:sz w:val="16"/>
          <w:szCs w:val="16"/>
        </w:rPr>
        <w:t xml:space="preserve">: LULC 2024 Image for Ezza South LGA based on </w:t>
      </w:r>
      <w:r w:rsidR="00DD04F2" w:rsidRPr="00DD04F2">
        <w:rPr>
          <w:rFonts w:ascii="Times New Roman" w:hAnsi="Times New Roman" w:cs="Times New Roman"/>
          <w:bCs/>
          <w:sz w:val="16"/>
          <w:szCs w:val="16"/>
        </w:rPr>
        <w:t xml:space="preserve">Sentinel-2 </w:t>
      </w:r>
    </w:p>
    <w:p w14:paraId="0611DBA4" w14:textId="77777777" w:rsidR="00BB1D70" w:rsidRDefault="00BB1D70" w:rsidP="00BB1D70">
      <w:pPr>
        <w:pStyle w:val="NoSpacing"/>
        <w:rPr>
          <w:rFonts w:ascii="Times New Roman" w:hAnsi="Times New Roman" w:cs="Times New Roman"/>
          <w:bCs/>
          <w:sz w:val="16"/>
          <w:szCs w:val="16"/>
        </w:rPr>
      </w:pPr>
    </w:p>
    <w:p w14:paraId="7623DBBF" w14:textId="77777777" w:rsidR="00DD04F2" w:rsidRPr="00BB1D70" w:rsidRDefault="00BB1D70" w:rsidP="00BB1D70">
      <w:pPr>
        <w:pStyle w:val="NoSpacing"/>
        <w:spacing w:line="276" w:lineRule="auto"/>
        <w:jc w:val="both"/>
        <w:rPr>
          <w:rFonts w:ascii="Times New Roman" w:eastAsia="Arial" w:hAnsi="Times New Roman" w:cs="Times New Roman"/>
          <w:sz w:val="20"/>
          <w:szCs w:val="20"/>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DD04F2">
        <w:rPr>
          <w:rFonts w:ascii="Times New Roman" w:eastAsia="Arial" w:hAnsi="Times New Roman" w:cs="Times New Roman"/>
          <w:sz w:val="24"/>
          <w:szCs w:val="24"/>
        </w:rPr>
        <w:t>7</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2022. The magnitude of the different classes as shown in table 1 are water bodies  2.16km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103.91km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132.65km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28.41km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0.16km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58B21EEE" w14:textId="77777777" w:rsidR="00BB1D70" w:rsidRPr="00C80E7D" w:rsidRDefault="00BB1D70" w:rsidP="00BB1D70">
      <w:pPr>
        <w:keepNext/>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DD04F2">
        <w:rPr>
          <w:rFonts w:ascii="Times New Roman" w:eastAsia="Arial" w:hAnsi="Times New Roman" w:cs="Times New Roman"/>
          <w:sz w:val="24"/>
          <w:szCs w:val="24"/>
        </w:rPr>
        <w:t>8</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2024. The magnitude of the different classes as shown in table 1 are water bodies  1.94km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52.7km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182.97km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28.41km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0.33km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445963B5" w14:textId="77777777" w:rsidR="00847092" w:rsidRPr="00DD04F2" w:rsidRDefault="00847092" w:rsidP="00847092">
      <w:pPr>
        <w:spacing w:line="240" w:lineRule="auto"/>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 xml:space="preserve">     </w:t>
      </w:r>
      <w:r w:rsidR="00DD04F2">
        <w:rPr>
          <w:rFonts w:ascii="Times New Roman" w:eastAsia="Google Sans Text" w:hAnsi="Times New Roman" w:cs="Times New Roman"/>
          <w:b/>
          <w:sz w:val="20"/>
          <w:szCs w:val="20"/>
        </w:rPr>
        <w:t xml:space="preserve">    </w:t>
      </w:r>
      <w:r w:rsidR="00F616F6">
        <w:rPr>
          <w:rFonts w:ascii="Times New Roman" w:eastAsia="Google Sans Text" w:hAnsi="Times New Roman" w:cs="Times New Roman"/>
          <w:b/>
          <w:sz w:val="20"/>
          <w:szCs w:val="20"/>
        </w:rPr>
        <w:t xml:space="preserve">  Table 3</w:t>
      </w:r>
      <w:r w:rsidRPr="00DD04F2">
        <w:rPr>
          <w:rFonts w:ascii="Times New Roman" w:eastAsia="Google Sans Text" w:hAnsi="Times New Roman" w:cs="Times New Roman"/>
          <w:b/>
          <w:sz w:val="20"/>
          <w:szCs w:val="20"/>
        </w:rPr>
        <w:t>: LULC Distribution in Ezza South for 2014 to 2024</w:t>
      </w:r>
    </w:p>
    <w:tbl>
      <w:tblPr>
        <w:tblStyle w:val="TableGrid1"/>
        <w:tblW w:w="8582" w:type="dxa"/>
        <w:jc w:val="center"/>
        <w:tblLook w:val="04A0" w:firstRow="1" w:lastRow="0" w:firstColumn="1" w:lastColumn="0" w:noHBand="0" w:noVBand="1"/>
      </w:tblPr>
      <w:tblGrid>
        <w:gridCol w:w="574"/>
        <w:gridCol w:w="1516"/>
        <w:gridCol w:w="1080"/>
        <w:gridCol w:w="990"/>
        <w:gridCol w:w="1080"/>
        <w:gridCol w:w="1170"/>
        <w:gridCol w:w="1080"/>
        <w:gridCol w:w="1092"/>
      </w:tblGrid>
      <w:tr w:rsidR="00847092" w:rsidRPr="00DD04F2" w14:paraId="47EF0A17"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3452E907" w14:textId="77777777" w:rsidR="00847092" w:rsidRPr="00DD04F2" w:rsidRDefault="00847092" w:rsidP="000200CA">
            <w:pPr>
              <w:spacing w:line="360" w:lineRule="auto"/>
              <w:rPr>
                <w:rFonts w:ascii="Times New Roman" w:hAnsi="Times New Roman" w:cs="Times New Roman"/>
                <w:sz w:val="20"/>
                <w:szCs w:val="20"/>
              </w:rPr>
            </w:pPr>
          </w:p>
        </w:tc>
        <w:tc>
          <w:tcPr>
            <w:tcW w:w="1516" w:type="dxa"/>
            <w:tcBorders>
              <w:top w:val="single" w:sz="4" w:space="0" w:color="auto"/>
              <w:left w:val="single" w:sz="4" w:space="0" w:color="auto"/>
              <w:bottom w:val="single" w:sz="4" w:space="0" w:color="auto"/>
              <w:right w:val="single" w:sz="4" w:space="0" w:color="auto"/>
            </w:tcBorders>
            <w:noWrap/>
            <w:hideMark/>
          </w:tcPr>
          <w:p w14:paraId="6BC275F3" w14:textId="77777777" w:rsidR="00847092" w:rsidRPr="00DD04F2" w:rsidRDefault="00847092" w:rsidP="000200CA">
            <w:pPr>
              <w:spacing w:line="360" w:lineRule="auto"/>
              <w:rPr>
                <w:rFonts w:ascii="Times New Roman" w:eastAsiaTheme="minorEastAsia" w:hAnsi="Times New Roman" w:cs="Times New Roman"/>
                <w:kern w:val="0"/>
                <w:sz w:val="20"/>
                <w:szCs w:val="20"/>
              </w:rPr>
            </w:pPr>
          </w:p>
        </w:tc>
        <w:tc>
          <w:tcPr>
            <w:tcW w:w="6492" w:type="dxa"/>
            <w:gridSpan w:val="6"/>
            <w:tcBorders>
              <w:top w:val="single" w:sz="4" w:space="0" w:color="auto"/>
              <w:left w:val="single" w:sz="4" w:space="0" w:color="auto"/>
              <w:bottom w:val="single" w:sz="4" w:space="0" w:color="auto"/>
              <w:right w:val="single" w:sz="4" w:space="0" w:color="auto"/>
            </w:tcBorders>
            <w:noWrap/>
            <w:hideMark/>
          </w:tcPr>
          <w:p w14:paraId="1E33E543" w14:textId="77777777" w:rsidR="00847092" w:rsidRPr="00DD04F2" w:rsidRDefault="00847092" w:rsidP="000200CA">
            <w:pPr>
              <w:spacing w:line="360" w:lineRule="auto"/>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Land Use/Land Cover Class Area (km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tc>
      </w:tr>
      <w:tr w:rsidR="00847092" w:rsidRPr="00DD04F2" w14:paraId="22510023"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3862EA86" w14:textId="77777777" w:rsidR="00847092" w:rsidRPr="00DD04F2" w:rsidRDefault="00847092" w:rsidP="000200CA">
            <w:pPr>
              <w:spacing w:line="360" w:lineRule="auto"/>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S/N</w:t>
            </w:r>
          </w:p>
        </w:tc>
        <w:tc>
          <w:tcPr>
            <w:tcW w:w="1516" w:type="dxa"/>
            <w:tcBorders>
              <w:top w:val="single" w:sz="4" w:space="0" w:color="auto"/>
              <w:left w:val="single" w:sz="4" w:space="0" w:color="auto"/>
              <w:bottom w:val="single" w:sz="4" w:space="0" w:color="auto"/>
              <w:right w:val="single" w:sz="4" w:space="0" w:color="auto"/>
            </w:tcBorders>
            <w:noWrap/>
            <w:hideMark/>
          </w:tcPr>
          <w:p w14:paraId="45CBEC2C" w14:textId="77777777" w:rsidR="00847092" w:rsidRPr="00DD04F2" w:rsidRDefault="00847092" w:rsidP="000200CA">
            <w:pPr>
              <w:spacing w:line="360" w:lineRule="auto"/>
              <w:jc w:val="left"/>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Class/Category</w:t>
            </w:r>
          </w:p>
        </w:tc>
        <w:tc>
          <w:tcPr>
            <w:tcW w:w="1080" w:type="dxa"/>
            <w:tcBorders>
              <w:top w:val="single" w:sz="4" w:space="0" w:color="auto"/>
              <w:left w:val="single" w:sz="4" w:space="0" w:color="auto"/>
              <w:bottom w:val="single" w:sz="4" w:space="0" w:color="auto"/>
              <w:right w:val="single" w:sz="4" w:space="0" w:color="auto"/>
            </w:tcBorders>
            <w:noWrap/>
            <w:hideMark/>
          </w:tcPr>
          <w:p w14:paraId="3B30377D"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43CD98A4"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2014</w:t>
            </w:r>
          </w:p>
        </w:tc>
        <w:tc>
          <w:tcPr>
            <w:tcW w:w="990" w:type="dxa"/>
            <w:tcBorders>
              <w:top w:val="single" w:sz="4" w:space="0" w:color="auto"/>
              <w:left w:val="single" w:sz="4" w:space="0" w:color="auto"/>
              <w:bottom w:val="single" w:sz="4" w:space="0" w:color="auto"/>
              <w:right w:val="single" w:sz="4" w:space="0" w:color="auto"/>
            </w:tcBorders>
            <w:noWrap/>
            <w:hideMark/>
          </w:tcPr>
          <w:p w14:paraId="4165AA70"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744862E0"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2016</w:t>
            </w:r>
          </w:p>
        </w:tc>
        <w:tc>
          <w:tcPr>
            <w:tcW w:w="1080" w:type="dxa"/>
            <w:tcBorders>
              <w:top w:val="single" w:sz="4" w:space="0" w:color="auto"/>
              <w:left w:val="single" w:sz="4" w:space="0" w:color="auto"/>
              <w:bottom w:val="single" w:sz="4" w:space="0" w:color="auto"/>
              <w:right w:val="single" w:sz="4" w:space="0" w:color="auto"/>
            </w:tcBorders>
            <w:noWrap/>
            <w:hideMark/>
          </w:tcPr>
          <w:p w14:paraId="18062390"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3E8F0C47"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2018</w:t>
            </w:r>
          </w:p>
        </w:tc>
        <w:tc>
          <w:tcPr>
            <w:tcW w:w="1170" w:type="dxa"/>
            <w:tcBorders>
              <w:top w:val="single" w:sz="4" w:space="0" w:color="auto"/>
              <w:left w:val="single" w:sz="4" w:space="0" w:color="auto"/>
              <w:bottom w:val="single" w:sz="4" w:space="0" w:color="auto"/>
              <w:right w:val="single" w:sz="4" w:space="0" w:color="auto"/>
            </w:tcBorders>
            <w:noWrap/>
            <w:hideMark/>
          </w:tcPr>
          <w:p w14:paraId="10D6C5C7"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1A6E2FCC"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2020</w:t>
            </w:r>
          </w:p>
        </w:tc>
        <w:tc>
          <w:tcPr>
            <w:tcW w:w="1080" w:type="dxa"/>
            <w:tcBorders>
              <w:top w:val="single" w:sz="4" w:space="0" w:color="auto"/>
              <w:left w:val="single" w:sz="4" w:space="0" w:color="auto"/>
              <w:bottom w:val="single" w:sz="4" w:space="0" w:color="auto"/>
              <w:right w:val="single" w:sz="4" w:space="0" w:color="auto"/>
            </w:tcBorders>
            <w:noWrap/>
            <w:hideMark/>
          </w:tcPr>
          <w:p w14:paraId="102C6A0C"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12ED0609"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2022</w:t>
            </w:r>
          </w:p>
        </w:tc>
        <w:tc>
          <w:tcPr>
            <w:tcW w:w="1092" w:type="dxa"/>
            <w:tcBorders>
              <w:top w:val="single" w:sz="4" w:space="0" w:color="auto"/>
              <w:left w:val="single" w:sz="4" w:space="0" w:color="auto"/>
              <w:bottom w:val="single" w:sz="4" w:space="0" w:color="auto"/>
              <w:right w:val="single" w:sz="4" w:space="0" w:color="auto"/>
            </w:tcBorders>
            <w:hideMark/>
          </w:tcPr>
          <w:p w14:paraId="2A0D392C"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(km</w:t>
            </w:r>
            <w:r w:rsidRPr="00583FFB">
              <w:rPr>
                <w:rFonts w:ascii="Times New Roman" w:eastAsia="Google Sans Text" w:hAnsi="Times New Roman" w:cs="Times New Roman"/>
                <w:b/>
                <w:bCs/>
                <w:sz w:val="20"/>
                <w:szCs w:val="20"/>
                <w:vertAlign w:val="superscript"/>
              </w:rPr>
              <w:t>2</w:t>
            </w:r>
            <w:r w:rsidRPr="00583FFB">
              <w:rPr>
                <w:rFonts w:ascii="Times New Roman" w:eastAsia="Google Sans Text" w:hAnsi="Times New Roman" w:cs="Times New Roman"/>
                <w:b/>
                <w:bCs/>
                <w:sz w:val="20"/>
                <w:szCs w:val="20"/>
              </w:rPr>
              <w:t>)</w:t>
            </w:r>
          </w:p>
          <w:p w14:paraId="585725C6" w14:textId="77777777" w:rsidR="00847092" w:rsidRPr="00583FFB" w:rsidRDefault="00847092" w:rsidP="000200CA">
            <w:pPr>
              <w:spacing w:line="360" w:lineRule="auto"/>
              <w:jc w:val="center"/>
              <w:rPr>
                <w:rFonts w:ascii="Times New Roman" w:eastAsia="Google Sans Text" w:hAnsi="Times New Roman" w:cs="Times New Roman"/>
                <w:b/>
                <w:bCs/>
                <w:sz w:val="20"/>
                <w:szCs w:val="20"/>
              </w:rPr>
            </w:pPr>
            <w:r w:rsidRPr="00583FFB">
              <w:rPr>
                <w:rFonts w:ascii="Times New Roman" w:eastAsia="Google Sans Text" w:hAnsi="Times New Roman" w:cs="Times New Roman"/>
                <w:b/>
                <w:bCs/>
                <w:sz w:val="20"/>
                <w:szCs w:val="20"/>
              </w:rPr>
              <w:t>2024</w:t>
            </w:r>
          </w:p>
        </w:tc>
      </w:tr>
      <w:tr w:rsidR="00847092" w:rsidRPr="00DD04F2" w14:paraId="0FB5A24C"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187F0513"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w:t>
            </w:r>
          </w:p>
        </w:tc>
        <w:tc>
          <w:tcPr>
            <w:tcW w:w="1516" w:type="dxa"/>
            <w:tcBorders>
              <w:top w:val="single" w:sz="4" w:space="0" w:color="auto"/>
              <w:left w:val="single" w:sz="4" w:space="0" w:color="auto"/>
              <w:bottom w:val="single" w:sz="4" w:space="0" w:color="auto"/>
              <w:right w:val="single" w:sz="4" w:space="0" w:color="auto"/>
            </w:tcBorders>
            <w:noWrap/>
            <w:hideMark/>
          </w:tcPr>
          <w:p w14:paraId="5BF272E2"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Water</w:t>
            </w:r>
            <w:r w:rsidR="004E22F0">
              <w:rPr>
                <w:rFonts w:ascii="Times New Roman" w:eastAsia="Google Sans Text" w:hAnsi="Times New Roman" w:cs="Times New Roman"/>
                <w:b/>
                <w:sz w:val="20"/>
                <w:szCs w:val="20"/>
              </w:rPr>
              <w:t xml:space="preserve"> body</w:t>
            </w:r>
          </w:p>
        </w:tc>
        <w:tc>
          <w:tcPr>
            <w:tcW w:w="1080" w:type="dxa"/>
            <w:tcBorders>
              <w:top w:val="single" w:sz="4" w:space="0" w:color="auto"/>
              <w:left w:val="single" w:sz="4" w:space="0" w:color="auto"/>
              <w:bottom w:val="single" w:sz="4" w:space="0" w:color="auto"/>
              <w:right w:val="single" w:sz="4" w:space="0" w:color="auto"/>
            </w:tcBorders>
            <w:noWrap/>
            <w:hideMark/>
          </w:tcPr>
          <w:p w14:paraId="7F2E1ECA"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2.17</w:t>
            </w:r>
          </w:p>
        </w:tc>
        <w:tc>
          <w:tcPr>
            <w:tcW w:w="990" w:type="dxa"/>
            <w:tcBorders>
              <w:top w:val="single" w:sz="4" w:space="0" w:color="auto"/>
              <w:left w:val="single" w:sz="4" w:space="0" w:color="auto"/>
              <w:bottom w:val="single" w:sz="4" w:space="0" w:color="auto"/>
              <w:right w:val="single" w:sz="4" w:space="0" w:color="auto"/>
            </w:tcBorders>
            <w:noWrap/>
            <w:hideMark/>
          </w:tcPr>
          <w:p w14:paraId="276031A8"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2.12</w:t>
            </w:r>
          </w:p>
        </w:tc>
        <w:tc>
          <w:tcPr>
            <w:tcW w:w="1080" w:type="dxa"/>
            <w:tcBorders>
              <w:top w:val="single" w:sz="4" w:space="0" w:color="auto"/>
              <w:left w:val="single" w:sz="4" w:space="0" w:color="auto"/>
              <w:bottom w:val="single" w:sz="4" w:space="0" w:color="auto"/>
              <w:right w:val="single" w:sz="4" w:space="0" w:color="auto"/>
            </w:tcBorders>
            <w:noWrap/>
            <w:hideMark/>
          </w:tcPr>
          <w:p w14:paraId="305DC0B1"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2.04</w:t>
            </w:r>
          </w:p>
        </w:tc>
        <w:tc>
          <w:tcPr>
            <w:tcW w:w="1170" w:type="dxa"/>
            <w:tcBorders>
              <w:top w:val="single" w:sz="4" w:space="0" w:color="auto"/>
              <w:left w:val="single" w:sz="4" w:space="0" w:color="auto"/>
              <w:bottom w:val="single" w:sz="4" w:space="0" w:color="auto"/>
              <w:right w:val="single" w:sz="4" w:space="0" w:color="auto"/>
            </w:tcBorders>
            <w:noWrap/>
            <w:hideMark/>
          </w:tcPr>
          <w:p w14:paraId="17B604C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2.02</w:t>
            </w:r>
          </w:p>
        </w:tc>
        <w:tc>
          <w:tcPr>
            <w:tcW w:w="1080" w:type="dxa"/>
            <w:tcBorders>
              <w:top w:val="single" w:sz="4" w:space="0" w:color="auto"/>
              <w:left w:val="single" w:sz="4" w:space="0" w:color="auto"/>
              <w:bottom w:val="single" w:sz="4" w:space="0" w:color="auto"/>
              <w:right w:val="single" w:sz="4" w:space="0" w:color="auto"/>
            </w:tcBorders>
            <w:noWrap/>
            <w:hideMark/>
          </w:tcPr>
          <w:p w14:paraId="3CE2A5F4"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2.16</w:t>
            </w:r>
          </w:p>
        </w:tc>
        <w:tc>
          <w:tcPr>
            <w:tcW w:w="1092" w:type="dxa"/>
            <w:tcBorders>
              <w:top w:val="single" w:sz="4" w:space="0" w:color="auto"/>
              <w:left w:val="single" w:sz="4" w:space="0" w:color="auto"/>
              <w:bottom w:val="single" w:sz="4" w:space="0" w:color="auto"/>
              <w:right w:val="single" w:sz="4" w:space="0" w:color="auto"/>
            </w:tcBorders>
            <w:hideMark/>
          </w:tcPr>
          <w:p w14:paraId="5E05630C"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1.94</w:t>
            </w:r>
          </w:p>
        </w:tc>
      </w:tr>
      <w:tr w:rsidR="00847092" w:rsidRPr="00DD04F2" w14:paraId="37F5AEE8"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461FF668"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w:t>
            </w:r>
          </w:p>
        </w:tc>
        <w:tc>
          <w:tcPr>
            <w:tcW w:w="1516" w:type="dxa"/>
            <w:tcBorders>
              <w:top w:val="single" w:sz="4" w:space="0" w:color="auto"/>
              <w:left w:val="single" w:sz="4" w:space="0" w:color="auto"/>
              <w:bottom w:val="single" w:sz="4" w:space="0" w:color="auto"/>
              <w:right w:val="single" w:sz="4" w:space="0" w:color="auto"/>
            </w:tcBorders>
            <w:noWrap/>
            <w:hideMark/>
          </w:tcPr>
          <w:p w14:paraId="533CC17B"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Forest</w:t>
            </w:r>
          </w:p>
        </w:tc>
        <w:tc>
          <w:tcPr>
            <w:tcW w:w="1080" w:type="dxa"/>
            <w:tcBorders>
              <w:top w:val="single" w:sz="4" w:space="0" w:color="auto"/>
              <w:left w:val="single" w:sz="4" w:space="0" w:color="auto"/>
              <w:bottom w:val="single" w:sz="4" w:space="0" w:color="auto"/>
              <w:right w:val="single" w:sz="4" w:space="0" w:color="auto"/>
            </w:tcBorders>
            <w:noWrap/>
            <w:hideMark/>
          </w:tcPr>
          <w:p w14:paraId="5CD7736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101.94</w:t>
            </w:r>
          </w:p>
        </w:tc>
        <w:tc>
          <w:tcPr>
            <w:tcW w:w="990" w:type="dxa"/>
            <w:tcBorders>
              <w:top w:val="single" w:sz="4" w:space="0" w:color="auto"/>
              <w:left w:val="single" w:sz="4" w:space="0" w:color="auto"/>
              <w:bottom w:val="single" w:sz="4" w:space="0" w:color="auto"/>
              <w:right w:val="single" w:sz="4" w:space="0" w:color="auto"/>
            </w:tcBorders>
            <w:noWrap/>
            <w:hideMark/>
          </w:tcPr>
          <w:p w14:paraId="50725F6D"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85.49</w:t>
            </w:r>
          </w:p>
        </w:tc>
        <w:tc>
          <w:tcPr>
            <w:tcW w:w="1080" w:type="dxa"/>
            <w:tcBorders>
              <w:top w:val="single" w:sz="4" w:space="0" w:color="auto"/>
              <w:left w:val="single" w:sz="4" w:space="0" w:color="auto"/>
              <w:bottom w:val="single" w:sz="4" w:space="0" w:color="auto"/>
              <w:right w:val="single" w:sz="4" w:space="0" w:color="auto"/>
            </w:tcBorders>
            <w:noWrap/>
            <w:hideMark/>
          </w:tcPr>
          <w:p w14:paraId="4EC3B6D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82.23</w:t>
            </w:r>
          </w:p>
        </w:tc>
        <w:tc>
          <w:tcPr>
            <w:tcW w:w="1170" w:type="dxa"/>
            <w:tcBorders>
              <w:top w:val="single" w:sz="4" w:space="0" w:color="auto"/>
              <w:left w:val="single" w:sz="4" w:space="0" w:color="auto"/>
              <w:bottom w:val="single" w:sz="4" w:space="0" w:color="auto"/>
              <w:right w:val="single" w:sz="4" w:space="0" w:color="auto"/>
            </w:tcBorders>
            <w:noWrap/>
            <w:hideMark/>
          </w:tcPr>
          <w:p w14:paraId="454ADCB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79.48</w:t>
            </w:r>
          </w:p>
        </w:tc>
        <w:tc>
          <w:tcPr>
            <w:tcW w:w="1080" w:type="dxa"/>
            <w:tcBorders>
              <w:top w:val="single" w:sz="4" w:space="0" w:color="auto"/>
              <w:left w:val="single" w:sz="4" w:space="0" w:color="auto"/>
              <w:bottom w:val="single" w:sz="4" w:space="0" w:color="auto"/>
              <w:right w:val="single" w:sz="4" w:space="0" w:color="auto"/>
            </w:tcBorders>
            <w:noWrap/>
            <w:hideMark/>
          </w:tcPr>
          <w:p w14:paraId="6402BE5C"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103.91</w:t>
            </w:r>
          </w:p>
        </w:tc>
        <w:tc>
          <w:tcPr>
            <w:tcW w:w="1092" w:type="dxa"/>
            <w:tcBorders>
              <w:top w:val="single" w:sz="4" w:space="0" w:color="auto"/>
              <w:left w:val="single" w:sz="4" w:space="0" w:color="auto"/>
              <w:bottom w:val="single" w:sz="4" w:space="0" w:color="auto"/>
              <w:right w:val="single" w:sz="4" w:space="0" w:color="auto"/>
            </w:tcBorders>
            <w:hideMark/>
          </w:tcPr>
          <w:p w14:paraId="584DB3C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52.7</w:t>
            </w:r>
          </w:p>
        </w:tc>
      </w:tr>
      <w:tr w:rsidR="00847092" w:rsidRPr="00DD04F2" w14:paraId="2107DD0D"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6743D22C"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3</w:t>
            </w:r>
          </w:p>
        </w:tc>
        <w:tc>
          <w:tcPr>
            <w:tcW w:w="1516" w:type="dxa"/>
            <w:tcBorders>
              <w:top w:val="single" w:sz="4" w:space="0" w:color="auto"/>
              <w:left w:val="single" w:sz="4" w:space="0" w:color="auto"/>
              <w:bottom w:val="single" w:sz="4" w:space="0" w:color="auto"/>
              <w:right w:val="single" w:sz="4" w:space="0" w:color="auto"/>
            </w:tcBorders>
            <w:noWrap/>
            <w:hideMark/>
          </w:tcPr>
          <w:p w14:paraId="2FE2BE4C"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Swamp</w:t>
            </w:r>
          </w:p>
        </w:tc>
        <w:tc>
          <w:tcPr>
            <w:tcW w:w="1080" w:type="dxa"/>
            <w:tcBorders>
              <w:top w:val="single" w:sz="4" w:space="0" w:color="auto"/>
              <w:left w:val="single" w:sz="4" w:space="0" w:color="auto"/>
              <w:bottom w:val="single" w:sz="4" w:space="0" w:color="auto"/>
              <w:right w:val="single" w:sz="4" w:space="0" w:color="auto"/>
            </w:tcBorders>
            <w:noWrap/>
            <w:hideMark/>
          </w:tcPr>
          <w:p w14:paraId="28AB3B0F"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990" w:type="dxa"/>
            <w:tcBorders>
              <w:top w:val="single" w:sz="4" w:space="0" w:color="auto"/>
              <w:left w:val="single" w:sz="4" w:space="0" w:color="auto"/>
              <w:bottom w:val="single" w:sz="4" w:space="0" w:color="auto"/>
              <w:right w:val="single" w:sz="4" w:space="0" w:color="auto"/>
            </w:tcBorders>
            <w:noWrap/>
            <w:hideMark/>
          </w:tcPr>
          <w:p w14:paraId="4C0572EF"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0.03</w:t>
            </w:r>
          </w:p>
        </w:tc>
        <w:tc>
          <w:tcPr>
            <w:tcW w:w="1080" w:type="dxa"/>
            <w:tcBorders>
              <w:top w:val="single" w:sz="4" w:space="0" w:color="auto"/>
              <w:left w:val="single" w:sz="4" w:space="0" w:color="auto"/>
              <w:bottom w:val="single" w:sz="4" w:space="0" w:color="auto"/>
              <w:right w:val="single" w:sz="4" w:space="0" w:color="auto"/>
            </w:tcBorders>
            <w:noWrap/>
            <w:hideMark/>
          </w:tcPr>
          <w:p w14:paraId="0817156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0.03</w:t>
            </w:r>
          </w:p>
        </w:tc>
        <w:tc>
          <w:tcPr>
            <w:tcW w:w="1170" w:type="dxa"/>
            <w:tcBorders>
              <w:top w:val="single" w:sz="4" w:space="0" w:color="auto"/>
              <w:left w:val="single" w:sz="4" w:space="0" w:color="auto"/>
              <w:bottom w:val="single" w:sz="4" w:space="0" w:color="auto"/>
              <w:right w:val="single" w:sz="4" w:space="0" w:color="auto"/>
            </w:tcBorders>
            <w:noWrap/>
            <w:hideMark/>
          </w:tcPr>
          <w:p w14:paraId="789D4E2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080" w:type="dxa"/>
            <w:tcBorders>
              <w:top w:val="single" w:sz="4" w:space="0" w:color="auto"/>
              <w:left w:val="single" w:sz="4" w:space="0" w:color="auto"/>
              <w:bottom w:val="single" w:sz="4" w:space="0" w:color="auto"/>
              <w:right w:val="single" w:sz="4" w:space="0" w:color="auto"/>
            </w:tcBorders>
            <w:noWrap/>
            <w:hideMark/>
          </w:tcPr>
          <w:p w14:paraId="45CB6B4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0.08</w:t>
            </w:r>
          </w:p>
        </w:tc>
        <w:tc>
          <w:tcPr>
            <w:tcW w:w="1092" w:type="dxa"/>
            <w:tcBorders>
              <w:top w:val="single" w:sz="4" w:space="0" w:color="auto"/>
              <w:left w:val="single" w:sz="4" w:space="0" w:color="auto"/>
              <w:bottom w:val="single" w:sz="4" w:space="0" w:color="auto"/>
              <w:right w:val="single" w:sz="4" w:space="0" w:color="auto"/>
            </w:tcBorders>
            <w:hideMark/>
          </w:tcPr>
          <w:p w14:paraId="27DE9506"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0.01</w:t>
            </w:r>
          </w:p>
        </w:tc>
      </w:tr>
      <w:tr w:rsidR="00847092" w:rsidRPr="00DD04F2" w14:paraId="0D9A9104"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45B7F558"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4</w:t>
            </w:r>
          </w:p>
        </w:tc>
        <w:tc>
          <w:tcPr>
            <w:tcW w:w="1516" w:type="dxa"/>
            <w:tcBorders>
              <w:top w:val="single" w:sz="4" w:space="0" w:color="auto"/>
              <w:left w:val="single" w:sz="4" w:space="0" w:color="auto"/>
              <w:bottom w:val="single" w:sz="4" w:space="0" w:color="auto"/>
              <w:right w:val="single" w:sz="4" w:space="0" w:color="auto"/>
            </w:tcBorders>
            <w:noWrap/>
            <w:hideMark/>
          </w:tcPr>
          <w:p w14:paraId="3D4BFE98"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Farm Land</w:t>
            </w:r>
          </w:p>
        </w:tc>
        <w:tc>
          <w:tcPr>
            <w:tcW w:w="1080" w:type="dxa"/>
            <w:tcBorders>
              <w:top w:val="single" w:sz="4" w:space="0" w:color="auto"/>
              <w:left w:val="single" w:sz="4" w:space="0" w:color="auto"/>
              <w:bottom w:val="single" w:sz="4" w:space="0" w:color="auto"/>
              <w:right w:val="single" w:sz="4" w:space="0" w:color="auto"/>
            </w:tcBorders>
            <w:noWrap/>
            <w:hideMark/>
          </w:tcPr>
          <w:p w14:paraId="2772EDF4"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145.66</w:t>
            </w:r>
          </w:p>
        </w:tc>
        <w:tc>
          <w:tcPr>
            <w:tcW w:w="990" w:type="dxa"/>
            <w:tcBorders>
              <w:top w:val="single" w:sz="4" w:space="0" w:color="auto"/>
              <w:left w:val="single" w:sz="4" w:space="0" w:color="auto"/>
              <w:bottom w:val="single" w:sz="4" w:space="0" w:color="auto"/>
              <w:right w:val="single" w:sz="4" w:space="0" w:color="auto"/>
            </w:tcBorders>
            <w:noWrap/>
            <w:hideMark/>
          </w:tcPr>
          <w:p w14:paraId="7F1F7038"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158.36</w:t>
            </w:r>
          </w:p>
        </w:tc>
        <w:tc>
          <w:tcPr>
            <w:tcW w:w="1080" w:type="dxa"/>
            <w:tcBorders>
              <w:top w:val="single" w:sz="4" w:space="0" w:color="auto"/>
              <w:left w:val="single" w:sz="4" w:space="0" w:color="auto"/>
              <w:bottom w:val="single" w:sz="4" w:space="0" w:color="auto"/>
              <w:right w:val="single" w:sz="4" w:space="0" w:color="auto"/>
            </w:tcBorders>
            <w:noWrap/>
            <w:hideMark/>
          </w:tcPr>
          <w:p w14:paraId="7421189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155.89</w:t>
            </w:r>
          </w:p>
        </w:tc>
        <w:tc>
          <w:tcPr>
            <w:tcW w:w="1170" w:type="dxa"/>
            <w:tcBorders>
              <w:top w:val="single" w:sz="4" w:space="0" w:color="auto"/>
              <w:left w:val="single" w:sz="4" w:space="0" w:color="auto"/>
              <w:bottom w:val="single" w:sz="4" w:space="0" w:color="auto"/>
              <w:right w:val="single" w:sz="4" w:space="0" w:color="auto"/>
            </w:tcBorders>
            <w:noWrap/>
            <w:hideMark/>
          </w:tcPr>
          <w:p w14:paraId="34B949A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158.48</w:t>
            </w:r>
          </w:p>
        </w:tc>
        <w:tc>
          <w:tcPr>
            <w:tcW w:w="1080" w:type="dxa"/>
            <w:tcBorders>
              <w:top w:val="single" w:sz="4" w:space="0" w:color="auto"/>
              <w:left w:val="single" w:sz="4" w:space="0" w:color="auto"/>
              <w:bottom w:val="single" w:sz="4" w:space="0" w:color="auto"/>
              <w:right w:val="single" w:sz="4" w:space="0" w:color="auto"/>
            </w:tcBorders>
            <w:noWrap/>
            <w:hideMark/>
          </w:tcPr>
          <w:p w14:paraId="434A40D6"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132.65</w:t>
            </w:r>
          </w:p>
        </w:tc>
        <w:tc>
          <w:tcPr>
            <w:tcW w:w="1092" w:type="dxa"/>
            <w:tcBorders>
              <w:top w:val="single" w:sz="4" w:space="0" w:color="auto"/>
              <w:left w:val="single" w:sz="4" w:space="0" w:color="auto"/>
              <w:bottom w:val="single" w:sz="4" w:space="0" w:color="auto"/>
              <w:right w:val="single" w:sz="4" w:space="0" w:color="auto"/>
            </w:tcBorders>
            <w:hideMark/>
          </w:tcPr>
          <w:p w14:paraId="12A6370C"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182.97</w:t>
            </w:r>
          </w:p>
        </w:tc>
      </w:tr>
      <w:tr w:rsidR="00847092" w:rsidRPr="00DD04F2" w14:paraId="0A668C0C"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7DBA0F21"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lastRenderedPageBreak/>
              <w:t>5</w:t>
            </w:r>
          </w:p>
        </w:tc>
        <w:tc>
          <w:tcPr>
            <w:tcW w:w="1516" w:type="dxa"/>
            <w:tcBorders>
              <w:top w:val="single" w:sz="4" w:space="0" w:color="auto"/>
              <w:left w:val="single" w:sz="4" w:space="0" w:color="auto"/>
              <w:bottom w:val="single" w:sz="4" w:space="0" w:color="auto"/>
              <w:right w:val="single" w:sz="4" w:space="0" w:color="auto"/>
            </w:tcBorders>
            <w:noWrap/>
            <w:hideMark/>
          </w:tcPr>
          <w:p w14:paraId="65E36C88"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Built-up</w:t>
            </w:r>
          </w:p>
        </w:tc>
        <w:tc>
          <w:tcPr>
            <w:tcW w:w="1080" w:type="dxa"/>
            <w:tcBorders>
              <w:top w:val="single" w:sz="4" w:space="0" w:color="auto"/>
              <w:left w:val="single" w:sz="4" w:space="0" w:color="auto"/>
              <w:bottom w:val="single" w:sz="4" w:space="0" w:color="auto"/>
              <w:right w:val="single" w:sz="4" w:space="0" w:color="auto"/>
            </w:tcBorders>
            <w:noWrap/>
            <w:hideMark/>
          </w:tcPr>
          <w:p w14:paraId="60C78DDF"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17.51</w:t>
            </w:r>
          </w:p>
        </w:tc>
        <w:tc>
          <w:tcPr>
            <w:tcW w:w="990" w:type="dxa"/>
            <w:tcBorders>
              <w:top w:val="single" w:sz="4" w:space="0" w:color="auto"/>
              <w:left w:val="single" w:sz="4" w:space="0" w:color="auto"/>
              <w:bottom w:val="single" w:sz="4" w:space="0" w:color="auto"/>
              <w:right w:val="single" w:sz="4" w:space="0" w:color="auto"/>
            </w:tcBorders>
            <w:noWrap/>
            <w:hideMark/>
          </w:tcPr>
          <w:p w14:paraId="629A968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21.32</w:t>
            </w:r>
          </w:p>
        </w:tc>
        <w:tc>
          <w:tcPr>
            <w:tcW w:w="1080" w:type="dxa"/>
            <w:tcBorders>
              <w:top w:val="single" w:sz="4" w:space="0" w:color="auto"/>
              <w:left w:val="single" w:sz="4" w:space="0" w:color="auto"/>
              <w:bottom w:val="single" w:sz="4" w:space="0" w:color="auto"/>
              <w:right w:val="single" w:sz="4" w:space="0" w:color="auto"/>
            </w:tcBorders>
            <w:noWrap/>
            <w:hideMark/>
          </w:tcPr>
          <w:p w14:paraId="5F8C9B51"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27.13</w:t>
            </w:r>
          </w:p>
        </w:tc>
        <w:tc>
          <w:tcPr>
            <w:tcW w:w="1170" w:type="dxa"/>
            <w:tcBorders>
              <w:top w:val="single" w:sz="4" w:space="0" w:color="auto"/>
              <w:left w:val="single" w:sz="4" w:space="0" w:color="auto"/>
              <w:bottom w:val="single" w:sz="4" w:space="0" w:color="auto"/>
              <w:right w:val="single" w:sz="4" w:space="0" w:color="auto"/>
            </w:tcBorders>
            <w:noWrap/>
            <w:hideMark/>
          </w:tcPr>
          <w:p w14:paraId="302F6511"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27.35</w:t>
            </w:r>
          </w:p>
        </w:tc>
        <w:tc>
          <w:tcPr>
            <w:tcW w:w="1080" w:type="dxa"/>
            <w:tcBorders>
              <w:top w:val="single" w:sz="4" w:space="0" w:color="auto"/>
              <w:left w:val="single" w:sz="4" w:space="0" w:color="auto"/>
              <w:bottom w:val="single" w:sz="4" w:space="0" w:color="auto"/>
              <w:right w:val="single" w:sz="4" w:space="0" w:color="auto"/>
            </w:tcBorders>
            <w:noWrap/>
            <w:hideMark/>
          </w:tcPr>
          <w:p w14:paraId="2545139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28.41</w:t>
            </w:r>
          </w:p>
        </w:tc>
        <w:tc>
          <w:tcPr>
            <w:tcW w:w="1092" w:type="dxa"/>
            <w:tcBorders>
              <w:top w:val="single" w:sz="4" w:space="0" w:color="auto"/>
              <w:left w:val="single" w:sz="4" w:space="0" w:color="auto"/>
              <w:bottom w:val="single" w:sz="4" w:space="0" w:color="auto"/>
              <w:right w:val="single" w:sz="4" w:space="0" w:color="auto"/>
            </w:tcBorders>
            <w:hideMark/>
          </w:tcPr>
          <w:p w14:paraId="660C8C1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29.43</w:t>
            </w:r>
          </w:p>
        </w:tc>
      </w:tr>
      <w:tr w:rsidR="00847092" w:rsidRPr="00DD04F2" w14:paraId="214CB6BE"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1B17655B"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6</w:t>
            </w:r>
          </w:p>
        </w:tc>
        <w:tc>
          <w:tcPr>
            <w:tcW w:w="1516" w:type="dxa"/>
            <w:tcBorders>
              <w:top w:val="single" w:sz="4" w:space="0" w:color="auto"/>
              <w:left w:val="single" w:sz="4" w:space="0" w:color="auto"/>
              <w:bottom w:val="single" w:sz="4" w:space="0" w:color="auto"/>
              <w:right w:val="single" w:sz="4" w:space="0" w:color="auto"/>
            </w:tcBorders>
            <w:noWrap/>
            <w:hideMark/>
          </w:tcPr>
          <w:p w14:paraId="6B9801FD"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Bare Surface</w:t>
            </w:r>
          </w:p>
        </w:tc>
        <w:tc>
          <w:tcPr>
            <w:tcW w:w="1080" w:type="dxa"/>
            <w:tcBorders>
              <w:top w:val="single" w:sz="4" w:space="0" w:color="auto"/>
              <w:left w:val="single" w:sz="4" w:space="0" w:color="auto"/>
              <w:bottom w:val="single" w:sz="4" w:space="0" w:color="auto"/>
              <w:right w:val="single" w:sz="4" w:space="0" w:color="auto"/>
            </w:tcBorders>
            <w:noWrap/>
            <w:hideMark/>
          </w:tcPr>
          <w:p w14:paraId="41912E03"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0.07</w:t>
            </w:r>
          </w:p>
        </w:tc>
        <w:tc>
          <w:tcPr>
            <w:tcW w:w="990" w:type="dxa"/>
            <w:tcBorders>
              <w:top w:val="single" w:sz="4" w:space="0" w:color="auto"/>
              <w:left w:val="single" w:sz="4" w:space="0" w:color="auto"/>
              <w:bottom w:val="single" w:sz="4" w:space="0" w:color="auto"/>
              <w:right w:val="single" w:sz="4" w:space="0" w:color="auto"/>
            </w:tcBorders>
            <w:noWrap/>
            <w:hideMark/>
          </w:tcPr>
          <w:p w14:paraId="799F008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0.04</w:t>
            </w:r>
          </w:p>
        </w:tc>
        <w:tc>
          <w:tcPr>
            <w:tcW w:w="1080" w:type="dxa"/>
            <w:tcBorders>
              <w:top w:val="single" w:sz="4" w:space="0" w:color="auto"/>
              <w:left w:val="single" w:sz="4" w:space="0" w:color="auto"/>
              <w:bottom w:val="single" w:sz="4" w:space="0" w:color="auto"/>
              <w:right w:val="single" w:sz="4" w:space="0" w:color="auto"/>
            </w:tcBorders>
            <w:noWrap/>
            <w:hideMark/>
          </w:tcPr>
          <w:p w14:paraId="63E43A45"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170" w:type="dxa"/>
            <w:tcBorders>
              <w:top w:val="single" w:sz="4" w:space="0" w:color="auto"/>
              <w:left w:val="single" w:sz="4" w:space="0" w:color="auto"/>
              <w:bottom w:val="single" w:sz="4" w:space="0" w:color="auto"/>
              <w:right w:val="single" w:sz="4" w:space="0" w:color="auto"/>
            </w:tcBorders>
            <w:noWrap/>
            <w:hideMark/>
          </w:tcPr>
          <w:p w14:paraId="459C5364"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080" w:type="dxa"/>
            <w:tcBorders>
              <w:top w:val="single" w:sz="4" w:space="0" w:color="auto"/>
              <w:left w:val="single" w:sz="4" w:space="0" w:color="auto"/>
              <w:bottom w:val="single" w:sz="4" w:space="0" w:color="auto"/>
              <w:right w:val="single" w:sz="4" w:space="0" w:color="auto"/>
            </w:tcBorders>
            <w:noWrap/>
            <w:hideMark/>
          </w:tcPr>
          <w:p w14:paraId="1937F381"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0.16</w:t>
            </w:r>
          </w:p>
        </w:tc>
        <w:tc>
          <w:tcPr>
            <w:tcW w:w="1092" w:type="dxa"/>
            <w:tcBorders>
              <w:top w:val="single" w:sz="4" w:space="0" w:color="auto"/>
              <w:left w:val="single" w:sz="4" w:space="0" w:color="auto"/>
              <w:bottom w:val="single" w:sz="4" w:space="0" w:color="auto"/>
              <w:right w:val="single" w:sz="4" w:space="0" w:color="auto"/>
            </w:tcBorders>
            <w:hideMark/>
          </w:tcPr>
          <w:p w14:paraId="12855CF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0.33</w:t>
            </w:r>
          </w:p>
        </w:tc>
      </w:tr>
    </w:tbl>
    <w:p w14:paraId="170B5B49" w14:textId="77777777" w:rsidR="00847092" w:rsidRDefault="00847092" w:rsidP="00847092">
      <w:pPr>
        <w:spacing w:after="240"/>
        <w:rPr>
          <w:rFonts w:ascii="Times New Roman" w:eastAsia="Google Sans Text" w:hAnsi="Times New Roman" w:cs="Times New Roman"/>
          <w:color w:val="1B1C1D"/>
          <w:sz w:val="24"/>
          <w:szCs w:val="24"/>
        </w:rPr>
      </w:pPr>
    </w:p>
    <w:p w14:paraId="29B9C534" w14:textId="77777777"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most striking trend observed between 201</w:t>
      </w:r>
      <w:r w:rsidR="00847092">
        <w:rPr>
          <w:rFonts w:ascii="Times New Roman" w:eastAsia="Google Sans Text" w:hAnsi="Times New Roman" w:cs="Times New Roman"/>
          <w:color w:val="1B1C1D"/>
          <w:sz w:val="24"/>
          <w:szCs w:val="24"/>
        </w:rPr>
        <w:t>4</w:t>
      </w:r>
      <w:r w:rsidR="00847092" w:rsidRPr="00862AC2">
        <w:rPr>
          <w:rFonts w:ascii="Times New Roman" w:eastAsia="Google Sans Text" w:hAnsi="Times New Roman" w:cs="Times New Roman"/>
          <w:color w:val="1B1C1D"/>
          <w:sz w:val="24"/>
          <w:szCs w:val="24"/>
        </w:rPr>
        <w:t xml:space="preserve"> and 2024 is the dr</w:t>
      </w:r>
      <w:r w:rsidR="00847092">
        <w:rPr>
          <w:rFonts w:ascii="Times New Roman" w:eastAsia="Google Sans Text" w:hAnsi="Times New Roman" w:cs="Times New Roman"/>
          <w:color w:val="1B1C1D"/>
          <w:sz w:val="24"/>
          <w:szCs w:val="24"/>
        </w:rPr>
        <w:t>amatic shift or changes that occur among the following variables: forest, farmland, built-up area and water bodies.</w:t>
      </w:r>
      <w:r w:rsidR="00847092" w:rsidRPr="00862AC2">
        <w:rPr>
          <w:rFonts w:ascii="Times New Roman" w:eastAsia="Google Sans Text" w:hAnsi="Times New Roman" w:cs="Times New Roman"/>
          <w:color w:val="1B1C1D"/>
          <w:sz w:val="24"/>
          <w:szCs w:val="24"/>
        </w:rPr>
        <w:t xml:space="preserve"> Table </w:t>
      </w:r>
      <w:r w:rsidR="00F616F6">
        <w:rPr>
          <w:rFonts w:ascii="Times New Roman" w:eastAsia="Google Sans Text" w:hAnsi="Times New Roman" w:cs="Times New Roman"/>
          <w:color w:val="1B1C1D"/>
          <w:sz w:val="24"/>
          <w:szCs w:val="24"/>
        </w:rPr>
        <w:t>4</w:t>
      </w:r>
      <w:r w:rsidR="00847092" w:rsidRPr="00862AC2">
        <w:rPr>
          <w:rFonts w:ascii="Times New Roman" w:eastAsia="Google Sans Text" w:hAnsi="Times New Roman" w:cs="Times New Roman"/>
          <w:color w:val="1B1C1D"/>
          <w:sz w:val="24"/>
          <w:szCs w:val="24"/>
        </w:rPr>
        <w:t xml:space="preserve"> quantifies the net changes over this eight-year period</w:t>
      </w:r>
      <w:r w:rsidR="00847092">
        <w:rPr>
          <w:rFonts w:ascii="Times New Roman" w:eastAsia="Google Sans Text" w:hAnsi="Times New Roman" w:cs="Times New Roman"/>
          <w:color w:val="1B1C1D"/>
          <w:sz w:val="24"/>
          <w:szCs w:val="24"/>
        </w:rPr>
        <w:t xml:space="preserve"> by clearly showing the magnitude of change and the percentage of change that occur among the variables</w:t>
      </w:r>
      <w:r w:rsidR="00847092" w:rsidRPr="00862AC2">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 xml:space="preserve">and equally </w:t>
      </w:r>
      <w:r w:rsidR="00847092" w:rsidRPr="00862AC2">
        <w:rPr>
          <w:rFonts w:ascii="Times New Roman" w:eastAsia="Google Sans Text" w:hAnsi="Times New Roman" w:cs="Times New Roman"/>
          <w:color w:val="1B1C1D"/>
          <w:sz w:val="24"/>
          <w:szCs w:val="24"/>
        </w:rPr>
        <w:t>highlighting the primary trajectories of landscape transformation.</w:t>
      </w:r>
      <w:r w:rsidR="00F616F6">
        <w:rPr>
          <w:rFonts w:ascii="Times New Roman" w:eastAsia="Google Sans Text" w:hAnsi="Times New Roman" w:cs="Times New Roman"/>
          <w:color w:val="1B1C1D"/>
          <w:sz w:val="24"/>
          <w:szCs w:val="24"/>
        </w:rPr>
        <w:t xml:space="preserve"> Thus as seen in Table 4</w:t>
      </w:r>
      <w:r w:rsidR="00847092">
        <w:rPr>
          <w:rFonts w:ascii="Times New Roman" w:eastAsia="Google Sans Text" w:hAnsi="Times New Roman" w:cs="Times New Roman"/>
          <w:color w:val="1B1C1D"/>
          <w:sz w:val="24"/>
          <w:szCs w:val="24"/>
        </w:rPr>
        <w:t xml:space="preserve"> below, water bodies decreased from 2.17km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2014 to 1.94km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(-0.016)  representing 0.81 % change. Forest decreased from 101.94km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to 52.7km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49.24km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representing 48.3% change. Swamp experienced no significant change in magnitude. Farmland increased from 145.66km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2014 to 182.97km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37.31km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representing 25.6%  overall change during the period. </w:t>
      </w:r>
    </w:p>
    <w:p w14:paraId="56CF32E2" w14:textId="77777777"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AA0E77">
        <w:rPr>
          <w:rFonts w:ascii="Times New Roman" w:eastAsia="Google Sans Text" w:hAnsi="Times New Roman" w:cs="Times New Roman"/>
          <w:color w:val="1B1C1D"/>
          <w:sz w:val="24"/>
          <w:szCs w:val="24"/>
        </w:rPr>
        <w:t xml:space="preserve">From Table </w:t>
      </w:r>
      <w:r w:rsidR="00F616F6">
        <w:rPr>
          <w:rFonts w:ascii="Times New Roman" w:eastAsia="Google Sans Text" w:hAnsi="Times New Roman" w:cs="Times New Roman"/>
          <w:color w:val="1B1C1D"/>
          <w:sz w:val="24"/>
          <w:szCs w:val="24"/>
        </w:rPr>
        <w:t>4</w:t>
      </w:r>
      <w:r w:rsidR="00847092">
        <w:rPr>
          <w:rFonts w:ascii="Times New Roman" w:eastAsia="Google Sans Text" w:hAnsi="Times New Roman" w:cs="Times New Roman"/>
          <w:color w:val="1B1C1D"/>
          <w:sz w:val="24"/>
          <w:szCs w:val="24"/>
        </w:rPr>
        <w:t xml:space="preserve"> below it is clearly evident that farmland recorded the highest increase of 68.43% change in 2024 followed by forest with 19.71% and built-up area with 11%.  This indicates that the vegetation change in Ezza South is driven by population growth as increase in farmland cultivation is geared towards food production for the growing number of people while forest is being rapidly transformed into farmland and built-up area with a view to catering for the increasing population of Ezza South which has grown by over 68% between 2006 and 2024.</w:t>
      </w:r>
    </w:p>
    <w:p w14:paraId="65DFDD85" w14:textId="77777777"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Thus the impact or effect of land use change on vegetation change in Ezza South is significant, substantial ad portends serious threat to the ecosystems and livelihoods in the area if left unchecked. Efforts should be made deliberately to reduce the number of people in Ezza South that depend on forests and forest resources for livelihoods in order to reduce the pressure on forest resources and the overall land use in the area. Better agricultural practices that will enhance yields per unit of land cultivated should be encouraged, as well as public enlightenment on public health concerns particularly family planning. Women should be empowered and made to have choices regarding reproduction health.</w:t>
      </w:r>
    </w:p>
    <w:p w14:paraId="584213DA" w14:textId="77777777" w:rsidR="00E005DD" w:rsidRDefault="00E005DD" w:rsidP="000200CA">
      <w:pPr>
        <w:spacing w:after="240" w:line="360" w:lineRule="auto"/>
        <w:jc w:val="both"/>
        <w:rPr>
          <w:rFonts w:ascii="Times New Roman" w:eastAsia="Google Sans Text" w:hAnsi="Times New Roman" w:cs="Times New Roman"/>
          <w:color w:val="1B1C1D"/>
          <w:sz w:val="24"/>
          <w:szCs w:val="24"/>
        </w:rPr>
      </w:pPr>
    </w:p>
    <w:p w14:paraId="7A00788B" w14:textId="77777777" w:rsidR="00BB1D70" w:rsidRPr="00F22618" w:rsidRDefault="00BB1D70" w:rsidP="000200CA">
      <w:pPr>
        <w:spacing w:after="240" w:line="360" w:lineRule="auto"/>
        <w:jc w:val="both"/>
        <w:rPr>
          <w:rFonts w:ascii="Times New Roman" w:eastAsia="Google Sans Text" w:hAnsi="Times New Roman" w:cs="Times New Roman"/>
          <w:color w:val="1B1C1D"/>
          <w:sz w:val="24"/>
          <w:szCs w:val="24"/>
        </w:rPr>
      </w:pPr>
    </w:p>
    <w:p w14:paraId="7F1D7157" w14:textId="77777777" w:rsidR="00847092" w:rsidRPr="00BB1D70" w:rsidRDefault="00875466" w:rsidP="00847092">
      <w:pPr>
        <w:pStyle w:val="NoSpacing"/>
        <w:rPr>
          <w:rFonts w:ascii="Times New Roman" w:hAnsi="Times New Roman" w:cs="Times New Roman"/>
          <w:b/>
        </w:rPr>
      </w:pPr>
      <w:r>
        <w:rPr>
          <w:rFonts w:ascii="Times New Roman" w:hAnsi="Times New Roman" w:cs="Times New Roman"/>
          <w:b/>
        </w:rPr>
        <w:lastRenderedPageBreak/>
        <w:t>Table 4</w:t>
      </w:r>
      <w:r w:rsidR="00847092" w:rsidRPr="00BB1D70">
        <w:rPr>
          <w:rFonts w:ascii="Times New Roman" w:hAnsi="Times New Roman" w:cs="Times New Roman"/>
          <w:b/>
        </w:rPr>
        <w:t>: Magnitude of Change Between 2014 – 2024</w:t>
      </w:r>
    </w:p>
    <w:tbl>
      <w:tblPr>
        <w:tblW w:w="94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20"/>
        <w:gridCol w:w="990"/>
        <w:gridCol w:w="810"/>
        <w:gridCol w:w="1350"/>
        <w:gridCol w:w="1260"/>
        <w:gridCol w:w="1440"/>
        <w:gridCol w:w="1440"/>
      </w:tblGrid>
      <w:tr w:rsidR="00847092" w:rsidRPr="00D3065C" w14:paraId="1610C4B6" w14:textId="77777777" w:rsidTr="00D3065C">
        <w:trPr>
          <w:trHeight w:val="970"/>
        </w:trPr>
        <w:tc>
          <w:tcPr>
            <w:tcW w:w="568" w:type="dxa"/>
            <w:vAlign w:val="center"/>
            <w:hideMark/>
          </w:tcPr>
          <w:p w14:paraId="279218C2"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S/N</w:t>
            </w:r>
          </w:p>
        </w:tc>
        <w:tc>
          <w:tcPr>
            <w:tcW w:w="1620" w:type="dxa"/>
            <w:vAlign w:val="center"/>
            <w:hideMark/>
          </w:tcPr>
          <w:p w14:paraId="2ACC9196"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Class/Category</w:t>
            </w:r>
          </w:p>
        </w:tc>
        <w:tc>
          <w:tcPr>
            <w:tcW w:w="990" w:type="dxa"/>
            <w:vAlign w:val="center"/>
            <w:hideMark/>
          </w:tcPr>
          <w:p w14:paraId="04F9E96F"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2014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810" w:type="dxa"/>
            <w:vAlign w:val="center"/>
            <w:hideMark/>
          </w:tcPr>
          <w:p w14:paraId="027CF4CF"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2024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1350" w:type="dxa"/>
            <w:vAlign w:val="center"/>
            <w:hideMark/>
          </w:tcPr>
          <w:p w14:paraId="0EC8667E"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Magnitude of Change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1260" w:type="dxa"/>
            <w:vAlign w:val="center"/>
            <w:hideMark/>
          </w:tcPr>
          <w:p w14:paraId="3910B995"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2014     (%)</w:t>
            </w:r>
          </w:p>
        </w:tc>
        <w:tc>
          <w:tcPr>
            <w:tcW w:w="1440" w:type="dxa"/>
            <w:vAlign w:val="center"/>
            <w:hideMark/>
          </w:tcPr>
          <w:p w14:paraId="51AC5063"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2024     (%)</w:t>
            </w:r>
          </w:p>
        </w:tc>
        <w:tc>
          <w:tcPr>
            <w:tcW w:w="1440" w:type="dxa"/>
            <w:vAlign w:val="center"/>
            <w:hideMark/>
          </w:tcPr>
          <w:p w14:paraId="5A94B5D6"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w:t>
            </w:r>
          </w:p>
        </w:tc>
      </w:tr>
      <w:tr w:rsidR="00847092" w:rsidRPr="00D3065C" w14:paraId="7C594282" w14:textId="77777777" w:rsidTr="00D3065C">
        <w:trPr>
          <w:trHeight w:val="320"/>
        </w:trPr>
        <w:tc>
          <w:tcPr>
            <w:tcW w:w="568" w:type="dxa"/>
            <w:vAlign w:val="center"/>
            <w:hideMark/>
          </w:tcPr>
          <w:p w14:paraId="1C57382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w:t>
            </w:r>
          </w:p>
        </w:tc>
        <w:tc>
          <w:tcPr>
            <w:tcW w:w="1620" w:type="dxa"/>
            <w:vAlign w:val="center"/>
            <w:hideMark/>
          </w:tcPr>
          <w:p w14:paraId="59123FA8"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Water</w:t>
            </w:r>
          </w:p>
        </w:tc>
        <w:tc>
          <w:tcPr>
            <w:tcW w:w="990" w:type="dxa"/>
            <w:vAlign w:val="center"/>
            <w:hideMark/>
          </w:tcPr>
          <w:p w14:paraId="2C20E3CD"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2.17</w:t>
            </w:r>
          </w:p>
        </w:tc>
        <w:tc>
          <w:tcPr>
            <w:tcW w:w="810" w:type="dxa"/>
            <w:vAlign w:val="center"/>
            <w:hideMark/>
          </w:tcPr>
          <w:p w14:paraId="04D00C2A"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1.94</w:t>
            </w:r>
          </w:p>
        </w:tc>
        <w:tc>
          <w:tcPr>
            <w:tcW w:w="1350" w:type="dxa"/>
            <w:vAlign w:val="center"/>
            <w:hideMark/>
          </w:tcPr>
          <w:p w14:paraId="3C6F4ED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-0.106</w:t>
            </w:r>
          </w:p>
        </w:tc>
        <w:tc>
          <w:tcPr>
            <w:tcW w:w="1260" w:type="dxa"/>
            <w:vAlign w:val="center"/>
            <w:hideMark/>
          </w:tcPr>
          <w:p w14:paraId="152FA48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0.81</w:t>
            </w:r>
          </w:p>
        </w:tc>
        <w:tc>
          <w:tcPr>
            <w:tcW w:w="1440" w:type="dxa"/>
            <w:vAlign w:val="center"/>
            <w:hideMark/>
          </w:tcPr>
          <w:p w14:paraId="5FC7D1D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0.73</w:t>
            </w:r>
          </w:p>
        </w:tc>
        <w:tc>
          <w:tcPr>
            <w:tcW w:w="1440" w:type="dxa"/>
            <w:vAlign w:val="center"/>
            <w:hideMark/>
          </w:tcPr>
          <w:p w14:paraId="0FCB110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0.098</w:t>
            </w:r>
          </w:p>
        </w:tc>
      </w:tr>
      <w:tr w:rsidR="00847092" w:rsidRPr="00D3065C" w14:paraId="480758C1" w14:textId="77777777" w:rsidTr="00D3065C">
        <w:trPr>
          <w:trHeight w:val="320"/>
        </w:trPr>
        <w:tc>
          <w:tcPr>
            <w:tcW w:w="568" w:type="dxa"/>
            <w:vAlign w:val="center"/>
            <w:hideMark/>
          </w:tcPr>
          <w:p w14:paraId="075976E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w:t>
            </w:r>
          </w:p>
        </w:tc>
        <w:tc>
          <w:tcPr>
            <w:tcW w:w="1620" w:type="dxa"/>
            <w:vAlign w:val="center"/>
            <w:hideMark/>
          </w:tcPr>
          <w:p w14:paraId="0E344C20"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Forest</w:t>
            </w:r>
          </w:p>
        </w:tc>
        <w:tc>
          <w:tcPr>
            <w:tcW w:w="990" w:type="dxa"/>
            <w:vAlign w:val="center"/>
            <w:hideMark/>
          </w:tcPr>
          <w:p w14:paraId="07591BE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101.94</w:t>
            </w:r>
          </w:p>
        </w:tc>
        <w:tc>
          <w:tcPr>
            <w:tcW w:w="810" w:type="dxa"/>
            <w:vAlign w:val="center"/>
            <w:hideMark/>
          </w:tcPr>
          <w:p w14:paraId="009124B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52.7</w:t>
            </w:r>
          </w:p>
        </w:tc>
        <w:tc>
          <w:tcPr>
            <w:tcW w:w="1350" w:type="dxa"/>
            <w:vAlign w:val="center"/>
            <w:hideMark/>
          </w:tcPr>
          <w:p w14:paraId="5B39931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49.24</w:t>
            </w:r>
          </w:p>
        </w:tc>
        <w:tc>
          <w:tcPr>
            <w:tcW w:w="1260" w:type="dxa"/>
            <w:vAlign w:val="center"/>
            <w:hideMark/>
          </w:tcPr>
          <w:p w14:paraId="4ACC855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38.13</w:t>
            </w:r>
          </w:p>
        </w:tc>
        <w:tc>
          <w:tcPr>
            <w:tcW w:w="1440" w:type="dxa"/>
            <w:vAlign w:val="center"/>
            <w:hideMark/>
          </w:tcPr>
          <w:p w14:paraId="2324317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19.71</w:t>
            </w:r>
          </w:p>
        </w:tc>
        <w:tc>
          <w:tcPr>
            <w:tcW w:w="1440" w:type="dxa"/>
            <w:vAlign w:val="center"/>
            <w:hideMark/>
          </w:tcPr>
          <w:p w14:paraId="3E89D04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0.483</w:t>
            </w:r>
          </w:p>
        </w:tc>
      </w:tr>
      <w:tr w:rsidR="00847092" w:rsidRPr="00D3065C" w14:paraId="60F90923" w14:textId="77777777" w:rsidTr="00D3065C">
        <w:trPr>
          <w:trHeight w:val="320"/>
        </w:trPr>
        <w:tc>
          <w:tcPr>
            <w:tcW w:w="568" w:type="dxa"/>
            <w:vAlign w:val="center"/>
            <w:hideMark/>
          </w:tcPr>
          <w:p w14:paraId="5CE4C9B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w:t>
            </w:r>
          </w:p>
        </w:tc>
        <w:tc>
          <w:tcPr>
            <w:tcW w:w="1620" w:type="dxa"/>
            <w:vAlign w:val="center"/>
            <w:hideMark/>
          </w:tcPr>
          <w:p w14:paraId="501B570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Swamp</w:t>
            </w:r>
          </w:p>
        </w:tc>
        <w:tc>
          <w:tcPr>
            <w:tcW w:w="990" w:type="dxa"/>
            <w:vAlign w:val="center"/>
            <w:hideMark/>
          </w:tcPr>
          <w:p w14:paraId="43E5C64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0.02</w:t>
            </w:r>
          </w:p>
        </w:tc>
        <w:tc>
          <w:tcPr>
            <w:tcW w:w="810" w:type="dxa"/>
            <w:vAlign w:val="center"/>
            <w:hideMark/>
          </w:tcPr>
          <w:p w14:paraId="60F4C13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w:t>
            </w:r>
          </w:p>
        </w:tc>
        <w:tc>
          <w:tcPr>
            <w:tcW w:w="1350" w:type="dxa"/>
            <w:vAlign w:val="center"/>
            <w:hideMark/>
          </w:tcPr>
          <w:p w14:paraId="28A4A3D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0.02</w:t>
            </w:r>
          </w:p>
        </w:tc>
        <w:tc>
          <w:tcPr>
            <w:tcW w:w="1260" w:type="dxa"/>
            <w:vAlign w:val="center"/>
            <w:hideMark/>
          </w:tcPr>
          <w:p w14:paraId="4F2E083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0.01</w:t>
            </w:r>
          </w:p>
        </w:tc>
        <w:tc>
          <w:tcPr>
            <w:tcW w:w="1440" w:type="dxa"/>
            <w:vAlign w:val="center"/>
            <w:hideMark/>
          </w:tcPr>
          <w:p w14:paraId="33FDAD5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0.01</w:t>
            </w:r>
          </w:p>
        </w:tc>
        <w:tc>
          <w:tcPr>
            <w:tcW w:w="1440" w:type="dxa"/>
            <w:vAlign w:val="center"/>
            <w:hideMark/>
          </w:tcPr>
          <w:p w14:paraId="25EF1B5A"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w:t>
            </w:r>
          </w:p>
        </w:tc>
      </w:tr>
      <w:tr w:rsidR="00847092" w:rsidRPr="00D3065C" w14:paraId="244A4864" w14:textId="77777777" w:rsidTr="00D3065C">
        <w:trPr>
          <w:trHeight w:val="630"/>
        </w:trPr>
        <w:tc>
          <w:tcPr>
            <w:tcW w:w="568" w:type="dxa"/>
            <w:vAlign w:val="center"/>
            <w:hideMark/>
          </w:tcPr>
          <w:p w14:paraId="4CE05B7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4</w:t>
            </w:r>
          </w:p>
        </w:tc>
        <w:tc>
          <w:tcPr>
            <w:tcW w:w="1620" w:type="dxa"/>
            <w:vAlign w:val="center"/>
            <w:hideMark/>
          </w:tcPr>
          <w:p w14:paraId="562165E1"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Farmland</w:t>
            </w:r>
          </w:p>
        </w:tc>
        <w:tc>
          <w:tcPr>
            <w:tcW w:w="990" w:type="dxa"/>
            <w:vAlign w:val="center"/>
            <w:hideMark/>
          </w:tcPr>
          <w:p w14:paraId="5A4E426D"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145.66</w:t>
            </w:r>
          </w:p>
        </w:tc>
        <w:tc>
          <w:tcPr>
            <w:tcW w:w="810" w:type="dxa"/>
            <w:vAlign w:val="center"/>
            <w:hideMark/>
          </w:tcPr>
          <w:p w14:paraId="075739B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182.97</w:t>
            </w:r>
          </w:p>
        </w:tc>
        <w:tc>
          <w:tcPr>
            <w:tcW w:w="1350" w:type="dxa"/>
            <w:vAlign w:val="center"/>
            <w:hideMark/>
          </w:tcPr>
          <w:p w14:paraId="384D434C"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37.31</w:t>
            </w:r>
          </w:p>
        </w:tc>
        <w:tc>
          <w:tcPr>
            <w:tcW w:w="1260" w:type="dxa"/>
            <w:vAlign w:val="center"/>
            <w:hideMark/>
          </w:tcPr>
          <w:p w14:paraId="071B881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54.48</w:t>
            </w:r>
          </w:p>
        </w:tc>
        <w:tc>
          <w:tcPr>
            <w:tcW w:w="1440" w:type="dxa"/>
            <w:vAlign w:val="center"/>
            <w:hideMark/>
          </w:tcPr>
          <w:p w14:paraId="464086CA"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68.43</w:t>
            </w:r>
          </w:p>
        </w:tc>
        <w:tc>
          <w:tcPr>
            <w:tcW w:w="1440" w:type="dxa"/>
            <w:vAlign w:val="center"/>
            <w:hideMark/>
          </w:tcPr>
          <w:p w14:paraId="347FC23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0.256</w:t>
            </w:r>
          </w:p>
        </w:tc>
      </w:tr>
      <w:tr w:rsidR="00847092" w:rsidRPr="00D3065C" w14:paraId="4CEF4286" w14:textId="77777777" w:rsidTr="00D3065C">
        <w:trPr>
          <w:trHeight w:val="320"/>
        </w:trPr>
        <w:tc>
          <w:tcPr>
            <w:tcW w:w="568" w:type="dxa"/>
            <w:vAlign w:val="center"/>
            <w:hideMark/>
          </w:tcPr>
          <w:p w14:paraId="50C7F5B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w:t>
            </w:r>
          </w:p>
        </w:tc>
        <w:tc>
          <w:tcPr>
            <w:tcW w:w="1620" w:type="dxa"/>
            <w:vAlign w:val="center"/>
            <w:hideMark/>
          </w:tcPr>
          <w:p w14:paraId="2229B7E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 xml:space="preserve">Built-up </w:t>
            </w:r>
          </w:p>
        </w:tc>
        <w:tc>
          <w:tcPr>
            <w:tcW w:w="990" w:type="dxa"/>
            <w:vAlign w:val="center"/>
            <w:hideMark/>
          </w:tcPr>
          <w:p w14:paraId="35811DF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17.51</w:t>
            </w:r>
          </w:p>
        </w:tc>
        <w:tc>
          <w:tcPr>
            <w:tcW w:w="810" w:type="dxa"/>
            <w:vAlign w:val="center"/>
            <w:hideMark/>
          </w:tcPr>
          <w:p w14:paraId="3568638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29.43</w:t>
            </w:r>
          </w:p>
        </w:tc>
        <w:tc>
          <w:tcPr>
            <w:tcW w:w="1350" w:type="dxa"/>
            <w:vAlign w:val="center"/>
            <w:hideMark/>
          </w:tcPr>
          <w:p w14:paraId="00BF0C1C"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11.92</w:t>
            </w:r>
          </w:p>
        </w:tc>
        <w:tc>
          <w:tcPr>
            <w:tcW w:w="1260" w:type="dxa"/>
            <w:vAlign w:val="center"/>
            <w:hideMark/>
          </w:tcPr>
          <w:p w14:paraId="3C404E6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6.55</w:t>
            </w:r>
          </w:p>
        </w:tc>
        <w:tc>
          <w:tcPr>
            <w:tcW w:w="1440" w:type="dxa"/>
            <w:vAlign w:val="center"/>
            <w:hideMark/>
          </w:tcPr>
          <w:p w14:paraId="0A0BF8FF"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11</w:t>
            </w:r>
          </w:p>
        </w:tc>
        <w:tc>
          <w:tcPr>
            <w:tcW w:w="1440" w:type="dxa"/>
            <w:vAlign w:val="center"/>
            <w:hideMark/>
          </w:tcPr>
          <w:p w14:paraId="085C031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0.679</w:t>
            </w:r>
          </w:p>
        </w:tc>
      </w:tr>
      <w:tr w:rsidR="00847092" w:rsidRPr="00D3065C" w14:paraId="1A3534D0" w14:textId="77777777" w:rsidTr="00D3065C">
        <w:trPr>
          <w:trHeight w:val="630"/>
        </w:trPr>
        <w:tc>
          <w:tcPr>
            <w:tcW w:w="568" w:type="dxa"/>
            <w:vAlign w:val="center"/>
            <w:hideMark/>
          </w:tcPr>
          <w:p w14:paraId="11D7FF3A"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w:t>
            </w:r>
          </w:p>
        </w:tc>
        <w:tc>
          <w:tcPr>
            <w:tcW w:w="1620" w:type="dxa"/>
            <w:vAlign w:val="center"/>
            <w:hideMark/>
          </w:tcPr>
          <w:p w14:paraId="266700C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Bare Surface</w:t>
            </w:r>
          </w:p>
        </w:tc>
        <w:tc>
          <w:tcPr>
            <w:tcW w:w="990" w:type="dxa"/>
            <w:vAlign w:val="center"/>
            <w:hideMark/>
          </w:tcPr>
          <w:p w14:paraId="5896A32B"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0.07</w:t>
            </w:r>
          </w:p>
        </w:tc>
        <w:tc>
          <w:tcPr>
            <w:tcW w:w="810" w:type="dxa"/>
            <w:vAlign w:val="center"/>
            <w:hideMark/>
          </w:tcPr>
          <w:p w14:paraId="25FE9BA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0.33</w:t>
            </w:r>
          </w:p>
        </w:tc>
        <w:tc>
          <w:tcPr>
            <w:tcW w:w="1350" w:type="dxa"/>
            <w:vAlign w:val="center"/>
            <w:hideMark/>
          </w:tcPr>
          <w:p w14:paraId="33A58F1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0.26</w:t>
            </w:r>
          </w:p>
        </w:tc>
        <w:tc>
          <w:tcPr>
            <w:tcW w:w="1260" w:type="dxa"/>
            <w:vAlign w:val="center"/>
            <w:hideMark/>
          </w:tcPr>
          <w:p w14:paraId="716F14C8"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0.03</w:t>
            </w:r>
          </w:p>
        </w:tc>
        <w:tc>
          <w:tcPr>
            <w:tcW w:w="1440" w:type="dxa"/>
            <w:vAlign w:val="center"/>
            <w:hideMark/>
          </w:tcPr>
          <w:p w14:paraId="4D7D3C0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0.12</w:t>
            </w:r>
          </w:p>
        </w:tc>
        <w:tc>
          <w:tcPr>
            <w:tcW w:w="1440" w:type="dxa"/>
            <w:vAlign w:val="center"/>
            <w:hideMark/>
          </w:tcPr>
          <w:p w14:paraId="5874F70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w:t>
            </w:r>
          </w:p>
        </w:tc>
      </w:tr>
    </w:tbl>
    <w:p w14:paraId="0637D9AC" w14:textId="77777777" w:rsidR="00847092" w:rsidRDefault="00847092" w:rsidP="00847092">
      <w:pPr>
        <w:spacing w:after="120"/>
        <w:rPr>
          <w:rFonts w:ascii="Times New Roman" w:eastAsia="Google Sans Text" w:hAnsi="Times New Roman" w:cs="Times New Roman"/>
          <w:sz w:val="8"/>
          <w:szCs w:val="24"/>
          <w:lang w:val="en-GB"/>
        </w:rPr>
      </w:pPr>
    </w:p>
    <w:p w14:paraId="27A64140" w14:textId="77777777" w:rsidR="00AA0E77" w:rsidRDefault="00AA0E77" w:rsidP="00847092">
      <w:pPr>
        <w:spacing w:after="120"/>
        <w:rPr>
          <w:rFonts w:ascii="Times New Roman" w:eastAsia="Google Sans Text" w:hAnsi="Times New Roman" w:cs="Times New Roman"/>
          <w:sz w:val="8"/>
          <w:szCs w:val="24"/>
          <w:lang w:val="en-GB"/>
        </w:rPr>
      </w:pPr>
    </w:p>
    <w:p w14:paraId="3021FCB5" w14:textId="77777777" w:rsidR="00AA0E77" w:rsidRPr="00F95282" w:rsidRDefault="00AA0E77" w:rsidP="00847092">
      <w:pPr>
        <w:spacing w:after="120"/>
        <w:rPr>
          <w:rFonts w:ascii="Times New Roman" w:eastAsia="Google Sans Text" w:hAnsi="Times New Roman" w:cs="Times New Roman"/>
          <w:sz w:val="8"/>
          <w:szCs w:val="24"/>
          <w:lang w:val="en-GB"/>
        </w:rPr>
      </w:pPr>
    </w:p>
    <w:p w14:paraId="22E87808" w14:textId="77777777" w:rsidR="00AC0F0A" w:rsidRDefault="00847092" w:rsidP="00AC0F0A">
      <w:pPr>
        <w:spacing w:after="120" w:line="240" w:lineRule="auto"/>
        <w:rPr>
          <w:rFonts w:ascii="Times New Roman" w:eastAsia="Google Sans Text" w:hAnsi="Times New Roman" w:cs="Times New Roman"/>
          <w:sz w:val="24"/>
          <w:szCs w:val="24"/>
          <w:lang w:val="en-GB"/>
        </w:rPr>
      </w:pPr>
      <w:r>
        <w:rPr>
          <w:noProof/>
        </w:rPr>
        <w:drawing>
          <wp:inline distT="0" distB="0" distL="0" distR="0" wp14:anchorId="00BEDC05" wp14:editId="350B58D9">
            <wp:extent cx="2609850" cy="2790825"/>
            <wp:effectExtent l="19050" t="0" r="19050" b="0"/>
            <wp:docPr id="12" name="Chart 12">
              <a:extLst xmlns:a="http://schemas.openxmlformats.org/drawingml/2006/main">
                <a:ext uri="{FF2B5EF4-FFF2-40B4-BE49-F238E27FC236}">
                  <a16:creationId xmlns:a16="http://schemas.microsoft.com/office/drawing/2014/main" id="{78E2A09E-A32C-41B8-9C44-584A41C42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C0F0A">
        <w:rPr>
          <w:noProof/>
        </w:rPr>
        <w:t xml:space="preserve">                 </w:t>
      </w:r>
      <w:r w:rsidR="00AC0F0A">
        <w:rPr>
          <w:noProof/>
        </w:rPr>
        <w:drawing>
          <wp:inline distT="0" distB="0" distL="0" distR="0" wp14:anchorId="0F5C5D0B" wp14:editId="656A36AA">
            <wp:extent cx="2695575" cy="2790825"/>
            <wp:effectExtent l="19050" t="0" r="9525" b="0"/>
            <wp:docPr id="5" name="Chart 14">
              <a:extLst xmlns:a="http://schemas.openxmlformats.org/drawingml/2006/main">
                <a:ext uri="{FF2B5EF4-FFF2-40B4-BE49-F238E27FC236}">
                  <a16:creationId xmlns:a16="http://schemas.microsoft.com/office/drawing/2014/main" id="{A1A8F86E-C94F-4A6B-B672-FBD6152BA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51A14C" w14:textId="77777777" w:rsidR="00D3065C" w:rsidRPr="00AC0F0A" w:rsidRDefault="00AC0F0A" w:rsidP="00AC0F0A">
      <w:pPr>
        <w:spacing w:after="120" w:line="240" w:lineRule="auto"/>
        <w:rPr>
          <w:rFonts w:ascii="Times New Roman" w:eastAsia="Google Sans Text" w:hAnsi="Times New Roman" w:cs="Times New Roman"/>
          <w:bCs/>
          <w:sz w:val="16"/>
          <w:szCs w:val="16"/>
        </w:rPr>
      </w:pPr>
      <w:r>
        <w:rPr>
          <w:rFonts w:ascii="Times New Roman" w:eastAsia="Google Sans Text" w:hAnsi="Times New Roman" w:cs="Times New Roman"/>
          <w:bCs/>
          <w:sz w:val="16"/>
          <w:szCs w:val="16"/>
        </w:rPr>
        <w:t>Fig. 9</w:t>
      </w:r>
      <w:r w:rsidRPr="00D3065C">
        <w:rPr>
          <w:rFonts w:ascii="Times New Roman" w:eastAsia="Google Sans Text" w:hAnsi="Times New Roman" w:cs="Times New Roman"/>
          <w:bCs/>
          <w:sz w:val="16"/>
          <w:szCs w:val="16"/>
        </w:rPr>
        <w:t>: Percentage of change in 2014 Category based on Table 1 and 2</w:t>
      </w:r>
      <w:r>
        <w:rPr>
          <w:rFonts w:ascii="Times New Roman" w:eastAsia="Google Sans Text" w:hAnsi="Times New Roman" w:cs="Times New Roman"/>
          <w:bCs/>
          <w:sz w:val="16"/>
          <w:szCs w:val="16"/>
        </w:rPr>
        <w:t xml:space="preserve">        </w:t>
      </w:r>
      <w:r w:rsidRPr="00AC0F0A">
        <w:rPr>
          <w:rFonts w:ascii="Times New Roman" w:eastAsia="Google Sans Text" w:hAnsi="Times New Roman" w:cs="Times New Roman"/>
          <w:bCs/>
          <w:sz w:val="16"/>
          <w:szCs w:val="16"/>
        </w:rPr>
        <w:t>Fig.10: Percentage of change in 2024 Category based on Table 1 and 2</w:t>
      </w:r>
    </w:p>
    <w:p w14:paraId="15A5CB03" w14:textId="77777777" w:rsidR="00AC0F0A" w:rsidRDefault="00AC0F0A" w:rsidP="00AC0F0A">
      <w:pPr>
        <w:spacing w:after="120"/>
        <w:jc w:val="both"/>
        <w:rPr>
          <w:rFonts w:ascii="Times New Roman" w:eastAsia="Google Sans Text" w:hAnsi="Times New Roman" w:cs="Times New Roman"/>
          <w:color w:val="1B1C1D"/>
          <w:sz w:val="24"/>
          <w:szCs w:val="24"/>
        </w:rPr>
      </w:pPr>
    </w:p>
    <w:p w14:paraId="1469E2DF" w14:textId="77777777" w:rsidR="00847092" w:rsidRPr="00AA0E77" w:rsidRDefault="00847092" w:rsidP="00AC0F0A">
      <w:pPr>
        <w:spacing w:after="120"/>
        <w:jc w:val="both"/>
        <w:rPr>
          <w:rFonts w:ascii="Times New Roman" w:eastAsia="Google Sans Text" w:hAnsi="Times New Roman" w:cs="Times New Roman"/>
          <w:sz w:val="24"/>
          <w:szCs w:val="24"/>
        </w:rPr>
      </w:pPr>
      <w:r>
        <w:rPr>
          <w:rFonts w:ascii="Times New Roman" w:eastAsia="Google Sans Text" w:hAnsi="Times New Roman" w:cs="Times New Roman"/>
          <w:color w:val="1B1C1D"/>
          <w:sz w:val="24"/>
          <w:szCs w:val="24"/>
        </w:rPr>
        <w:t xml:space="preserve">The results clearly indicate three dominant processes shaping the Ezza South landscape: </w:t>
      </w:r>
    </w:p>
    <w:p w14:paraId="3D314201" w14:textId="77777777" w:rsidR="00847092" w:rsidRDefault="00847092" w:rsidP="00AC0F0A">
      <w:pPr>
        <w:mirrorIndents/>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The most significant change was a drastic reduction in forest cover, with a net loss of 32.79 km</w:t>
      </w:r>
      <w:r w:rsidRPr="00BF0120">
        <w:rPr>
          <w:rFonts w:ascii="Times New Roman" w:eastAsia="Google Sans Text" w:hAnsi="Times New Roman" w:cs="Times New Roman"/>
          <w:color w:val="1B1C1D"/>
          <w:sz w:val="24"/>
          <w:szCs w:val="24"/>
          <w:vertAlign w:val="superscript"/>
        </w:rPr>
        <w:t>2</w:t>
      </w:r>
      <w:r>
        <w:rPr>
          <w:rFonts w:ascii="Times New Roman" w:eastAsia="Google Sans Text" w:hAnsi="Times New Roman" w:cs="Times New Roman"/>
          <w:color w:val="1B1C1D"/>
          <w:sz w:val="24"/>
          <w:szCs w:val="24"/>
        </w:rPr>
        <w:t>. This represents a loss of over 38 percent of the forest area that existed in 2014.</w:t>
      </w:r>
    </w:p>
    <w:p w14:paraId="25BDF4A9" w14:textId="77777777" w:rsidR="00847092" w:rsidRDefault="00AC0F0A" w:rsidP="00AC0F0A">
      <w:pPr>
        <w:mirrorIndents/>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Farmland emerged as the most rapidly expanding land use, gaining 24.61 km</w:t>
      </w:r>
      <w:r w:rsidR="00847092" w:rsidRPr="00BF0120">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This gain corresponds closely with the area of forest lost, suggesting a direct conversion of forested land to agricultural use. By 2024, farmland constituted over 68 percent of the entire LGA.</w:t>
      </w:r>
      <w:r w:rsidR="00847092">
        <w:rPr>
          <w:rFonts w:ascii="Times New Roman" w:hAnsi="Times New Roman" w:cs="Times New Roman"/>
          <w:sz w:val="24"/>
          <w:szCs w:val="24"/>
        </w:rPr>
        <w:t xml:space="preserve"> </w:t>
      </w:r>
    </w:p>
    <w:p w14:paraId="035FB823" w14:textId="77777777" w:rsidR="00847092" w:rsidRDefault="00AC0F0A" w:rsidP="00AC0F0A">
      <w:pPr>
        <w:mirrorIndents/>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lastRenderedPageBreak/>
        <w:t xml:space="preserve">      </w:t>
      </w:r>
      <w:r w:rsidR="00847092">
        <w:rPr>
          <w:rFonts w:ascii="Times New Roman" w:eastAsia="Google Sans Text" w:hAnsi="Times New Roman" w:cs="Times New Roman"/>
          <w:color w:val="1B1C1D"/>
          <w:sz w:val="24"/>
          <w:szCs w:val="24"/>
        </w:rPr>
        <w:t>Built-up areas also showed significant growth, expanding by 8.11 km</w:t>
      </w:r>
      <w:r w:rsidR="00847092" w:rsidRPr="00BF0120">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an increase of approximately 38% from its 2016 extent. This points to a steady pace of urban and infrastructural development.</w:t>
      </w:r>
      <w:r w:rsidR="00847092">
        <w:rPr>
          <w:rFonts w:ascii="Times New Roman" w:hAnsi="Times New Roman" w:cs="Times New Roman"/>
          <w:sz w:val="24"/>
          <w:szCs w:val="24"/>
        </w:rPr>
        <w:t xml:space="preserve"> </w:t>
      </w:r>
      <w:r w:rsidR="00847092">
        <w:rPr>
          <w:rFonts w:ascii="Times New Roman" w:eastAsia="Google Sans Text" w:hAnsi="Times New Roman" w:cs="Times New Roman"/>
          <w:color w:val="1B1C1D"/>
          <w:sz w:val="24"/>
          <w:szCs w:val="24"/>
        </w:rPr>
        <w:t xml:space="preserve">Other changes were minor in comparison. Water bodies showed a slight decrease, and bare surfaces increased marginally, which could be linked to construction, erosion, or mining activities. The complete disappearance of the 'Swamp' class suggests it was either too small to be consistently classified or was converted to other uses.  </w:t>
      </w:r>
    </w:p>
    <w:p w14:paraId="0A27C7CC" w14:textId="77777777" w:rsidR="00847092" w:rsidRPr="00D3065C" w:rsidRDefault="00AC0F0A" w:rsidP="00AC0F0A">
      <w:pPr>
        <w:mirrorIndents/>
        <w:jc w:val="both"/>
        <w:rPr>
          <w:rFonts w:ascii="Times New Roman" w:eastAsia="Google Sans" w:hAnsi="Times New Roman" w:cs="Times New Roman"/>
          <w:b/>
          <w:color w:val="1B1C1D"/>
          <w:sz w:val="24"/>
          <w:szCs w:val="24"/>
        </w:rPr>
      </w:pPr>
      <w:r>
        <w:rPr>
          <w:rFonts w:ascii="Times New Roman" w:eastAsia="Google Sans" w:hAnsi="Times New Roman" w:cs="Times New Roman"/>
          <w:b/>
          <w:color w:val="1B1C1D"/>
          <w:sz w:val="24"/>
          <w:szCs w:val="24"/>
        </w:rPr>
        <w:t xml:space="preserve">3.2 </w:t>
      </w:r>
      <w:r w:rsidR="00847092" w:rsidRPr="00D3065C">
        <w:rPr>
          <w:rFonts w:ascii="Times New Roman" w:eastAsia="Google Sans" w:hAnsi="Times New Roman" w:cs="Times New Roman"/>
          <w:b/>
          <w:color w:val="1B1C1D"/>
          <w:sz w:val="24"/>
          <w:szCs w:val="24"/>
        </w:rPr>
        <w:t xml:space="preserve">Long-Term Vegetation Health Trend (2000–2024)  </w:t>
      </w:r>
    </w:p>
    <w:p w14:paraId="33288F9D" w14:textId="77777777" w:rsidR="00847092" w:rsidRDefault="00AC0F0A" w:rsidP="00AC0F0A">
      <w:pPr>
        <w:mirrorIndents/>
        <w:jc w:val="both"/>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The long-term vegetation dynamics were assessed using a time-series of the Normalized Difference Vegetation Index (NDVI) from 2000 to 2024. The resulting line chart (Figure 13) plots the mean NDVI value for the entire Ezza South LGA for each available Landsat image over the 24-year period.</w:t>
      </w:r>
      <w:r w:rsidR="00847092">
        <w:t xml:space="preserve">  </w:t>
      </w:r>
    </w:p>
    <w:p w14:paraId="361A3DD9" w14:textId="77777777" w:rsidR="00847092" w:rsidRPr="00D3065C" w:rsidRDefault="00AC0F0A" w:rsidP="00AC0F0A">
      <w:pPr>
        <w:pStyle w:val="NoSpacing"/>
        <w:rPr>
          <w:rFonts w:ascii="Times New Roman" w:hAnsi="Times New Roman" w:cs="Times New Roman"/>
          <w:b/>
          <w:sz w:val="16"/>
          <w:szCs w:val="16"/>
        </w:rPr>
      </w:pPr>
      <w:r>
        <w:rPr>
          <w:rFonts w:ascii="Times New Roman" w:hAnsi="Times New Roman" w:cs="Times New Roman"/>
          <w:b/>
          <w:sz w:val="16"/>
          <w:szCs w:val="16"/>
        </w:rPr>
        <w:t xml:space="preserve"> </w:t>
      </w:r>
      <w:r w:rsidR="00847092" w:rsidRPr="00862AC2">
        <w:rPr>
          <w:noProof/>
        </w:rPr>
        <w:drawing>
          <wp:inline distT="0" distB="0" distL="0" distR="0" wp14:anchorId="36BFFAC7" wp14:editId="7E046C5F">
            <wp:extent cx="6124575" cy="2990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342" cy="2988295"/>
                    </a:xfrm>
                    <a:prstGeom prst="rect">
                      <a:avLst/>
                    </a:prstGeom>
                    <a:noFill/>
                    <a:ln>
                      <a:noFill/>
                    </a:ln>
                  </pic:spPr>
                </pic:pic>
              </a:graphicData>
            </a:graphic>
          </wp:inline>
        </w:drawing>
      </w:r>
      <w:r>
        <w:rPr>
          <w:rFonts w:ascii="Times New Roman" w:hAnsi="Times New Roman" w:cs="Times New Roman"/>
          <w:b/>
          <w:sz w:val="16"/>
          <w:szCs w:val="16"/>
        </w:rPr>
        <w:t xml:space="preserve">               </w:t>
      </w:r>
      <w:r w:rsidR="00D3065C" w:rsidRPr="00D3065C">
        <w:rPr>
          <w:rFonts w:ascii="Times New Roman" w:hAnsi="Times New Roman" w:cs="Times New Roman"/>
          <w:b/>
          <w:sz w:val="16"/>
          <w:szCs w:val="16"/>
        </w:rPr>
        <w:t>Fig. 11</w:t>
      </w:r>
      <w:r w:rsidR="00847092" w:rsidRPr="00D3065C">
        <w:rPr>
          <w:rFonts w:ascii="Times New Roman" w:hAnsi="Times New Roman" w:cs="Times New Roman"/>
          <w:b/>
          <w:sz w:val="16"/>
          <w:szCs w:val="16"/>
        </w:rPr>
        <w:t>: Mean NDVI Trend in Ezza South</w:t>
      </w:r>
      <w:r w:rsidR="00AA0E77" w:rsidRPr="00D3065C">
        <w:rPr>
          <w:rFonts w:ascii="Times New Roman" w:hAnsi="Times New Roman" w:cs="Times New Roman"/>
          <w:b/>
          <w:sz w:val="16"/>
          <w:szCs w:val="16"/>
        </w:rPr>
        <w:t xml:space="preserve"> based on</w:t>
      </w:r>
      <w:r w:rsidR="00847092" w:rsidRPr="00D3065C">
        <w:rPr>
          <w:rFonts w:ascii="Times New Roman" w:hAnsi="Times New Roman" w:cs="Times New Roman"/>
          <w:b/>
          <w:sz w:val="16"/>
          <w:szCs w:val="16"/>
        </w:rPr>
        <w:t xml:space="preserve"> earth </w:t>
      </w:r>
      <w:proofErr w:type="spellStart"/>
      <w:r w:rsidR="00847092" w:rsidRPr="00D3065C">
        <w:rPr>
          <w:rFonts w:ascii="Times New Roman" w:hAnsi="Times New Roman" w:cs="Times New Roman"/>
          <w:b/>
          <w:sz w:val="16"/>
          <w:szCs w:val="16"/>
        </w:rPr>
        <w:t>blox</w:t>
      </w:r>
      <w:proofErr w:type="spellEnd"/>
    </w:p>
    <w:p w14:paraId="27C37012" w14:textId="77777777" w:rsidR="00D3065C" w:rsidRDefault="00D3065C" w:rsidP="00AA0E77">
      <w:pPr>
        <w:spacing w:after="120"/>
        <w:jc w:val="both"/>
        <w:rPr>
          <w:rFonts w:ascii="Times New Roman" w:eastAsia="Google Sans Text" w:hAnsi="Times New Roman" w:cs="Times New Roman"/>
          <w:color w:val="1B1C1D"/>
          <w:sz w:val="24"/>
          <w:szCs w:val="24"/>
        </w:rPr>
      </w:pPr>
    </w:p>
    <w:p w14:paraId="0FAF2BE6" w14:textId="77777777" w:rsidR="00847092" w:rsidRPr="00D3065C" w:rsidRDefault="00AC0F0A" w:rsidP="00AC0F0A">
      <w:pPr>
        <w:spacing w:after="120"/>
        <w:jc w:val="both"/>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 xml:space="preserve">3.3   </w:t>
      </w:r>
      <w:r w:rsidR="00847092" w:rsidRPr="00D3065C">
        <w:rPr>
          <w:rFonts w:ascii="Times New Roman" w:eastAsia="Google Sans Text" w:hAnsi="Times New Roman" w:cs="Times New Roman"/>
          <w:b/>
          <w:color w:val="1B1C1D"/>
          <w:sz w:val="24"/>
          <w:szCs w:val="24"/>
        </w:rPr>
        <w:t>The NDVI time-series exhibits several key characteristics:</w:t>
      </w:r>
    </w:p>
    <w:p w14:paraId="4E33C35C"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t>Strong Seasonality:</w:t>
      </w:r>
      <w:r w:rsidRPr="00862AC2">
        <w:rPr>
          <w:rFonts w:ascii="Times New Roman" w:eastAsia="Google Sans Text" w:hAnsi="Times New Roman" w:cs="Times New Roman"/>
          <w:color w:val="1B1C1D"/>
          <w:sz w:val="24"/>
          <w:szCs w:val="24"/>
        </w:rPr>
        <w:t xml:space="preserve"> </w:t>
      </w:r>
    </w:p>
    <w:p w14:paraId="32DA9217" w14:textId="77777777" w:rsidR="00847092" w:rsidRPr="00862AC2" w:rsidRDefault="00AC0F0A" w:rsidP="00AC0F0A">
      <w:pPr>
        <w:widowControl w:val="0"/>
        <w:jc w:val="both"/>
        <w:rPr>
          <w:rFonts w:ascii="Times New Roman" w:eastAsia="Arial"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chart displays a distinct and repeating cyclical pattern, with NDVI values typically peaking during the wet season (roughly April-October) and reaching a trough during the dry season (November-March). This reflects the natural phenological cycle of the derived savannah ecosystem, where vegetation flourishes with the onset of rains and senesces or becomes dormant during the dry, Harmattan-influenced months.</w:t>
      </w:r>
    </w:p>
    <w:p w14:paraId="062344E4"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lastRenderedPageBreak/>
        <w:t>High Variability:</w:t>
      </w:r>
      <w:r w:rsidRPr="00862AC2">
        <w:rPr>
          <w:rFonts w:ascii="Times New Roman" w:eastAsia="Google Sans Text" w:hAnsi="Times New Roman" w:cs="Times New Roman"/>
          <w:color w:val="1B1C1D"/>
          <w:sz w:val="24"/>
          <w:szCs w:val="24"/>
        </w:rPr>
        <w:t xml:space="preserve"> </w:t>
      </w:r>
    </w:p>
    <w:p w14:paraId="12168BB7" w14:textId="77777777" w:rsidR="00847092" w:rsidRDefault="00AC0F0A" w:rsidP="00AC0F0A">
      <w:pPr>
        <w:widowControl w:val="0"/>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mean NDVI values show considerable fluctuation, ranging from highs of approximately 0.27 to lows dipping into negative values.</w:t>
      </w:r>
      <w:r w:rsidR="00847092" w:rsidRPr="00862AC2">
        <w:rPr>
          <w:rFonts w:ascii="Times New Roman" w:eastAsia="Google Sans Text" w:hAnsi="Times New Roman" w:cs="Times New Roman"/>
          <w:color w:val="575B5F"/>
          <w:sz w:val="24"/>
          <w:szCs w:val="24"/>
          <w:vertAlign w:val="superscript"/>
        </w:rPr>
        <w:t>1</w:t>
      </w:r>
      <w:r w:rsidR="00847092" w:rsidRPr="00862AC2">
        <w:rPr>
          <w:rFonts w:ascii="Times New Roman" w:eastAsia="Google Sans Text" w:hAnsi="Times New Roman" w:cs="Times New Roman"/>
          <w:color w:val="1B1C1D"/>
          <w:sz w:val="24"/>
          <w:szCs w:val="24"/>
        </w:rPr>
        <w:t xml:space="preserve"> While the positive values indicate periods of healthy, dense vegetation, the sharp negative spikes are likely attributable to atmospheric contamination (e.g., clouds, haze) that were not fully removed by the cloud-masking algorithm, or the presence of water bodies and bare surfaces within the pixels used to calculate the mean.</w:t>
      </w:r>
    </w:p>
    <w:p w14:paraId="05FA9764"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t>No Clear Long-Term Greening Trend:</w:t>
      </w:r>
      <w:r w:rsidRPr="00862AC2">
        <w:rPr>
          <w:rFonts w:ascii="Times New Roman" w:eastAsia="Google Sans Text" w:hAnsi="Times New Roman" w:cs="Times New Roman"/>
          <w:color w:val="1B1C1D"/>
          <w:sz w:val="24"/>
          <w:szCs w:val="24"/>
        </w:rPr>
        <w:t xml:space="preserve"> </w:t>
      </w:r>
    </w:p>
    <w:p w14:paraId="798E9BBC" w14:textId="77777777" w:rsidR="00847092" w:rsidRPr="00507B08" w:rsidRDefault="00AC0F0A" w:rsidP="00AC0F0A">
      <w:pPr>
        <w:widowControl w:val="0"/>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Despite the seasonal peaks, the time-series does not show a consistent, long-term increasing trend (or "greening") over the 24-year period. The mean NDVI values appear to oscillate around a relatively stable, albeit highly variable, baseline. The absence of a positive trend, especially in the face of significant deforestation revealed by the LULC analysis, suggests that the expansion of seasonal croplands has not compensated for the loss of permanent, year-round forest cover in terms of overall vegetation density and health.</w:t>
      </w:r>
    </w:p>
    <w:p w14:paraId="6EF97547" w14:textId="77777777" w:rsidR="002256DF" w:rsidRDefault="00AC0F0A" w:rsidP="00AC0F0A">
      <w:pPr>
        <w:spacing w:after="24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results from both the LULC change analysis and the NDVI time-series provide a clear, data-driven narrative of landscape transformation in Ezza South, driven by powerful anthropogenic pressures. The findings are consistent with the research problem and align with established trends across Southeastern Nigeria.</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most significant finding is the rapid conversion of forest to far</w:t>
      </w:r>
      <w:r w:rsidR="00847092">
        <w:rPr>
          <w:rFonts w:ascii="Times New Roman" w:eastAsia="Google Sans Text" w:hAnsi="Times New Roman" w:cs="Times New Roman"/>
          <w:color w:val="1B1C1D"/>
          <w:sz w:val="24"/>
          <w:szCs w:val="24"/>
        </w:rPr>
        <w:t xml:space="preserve">mland. The loss of nearly 33 </w:t>
      </w:r>
      <w:r w:rsidR="00847092" w:rsidRPr="00862AC2">
        <w:rPr>
          <w:rFonts w:ascii="Times New Roman" w:eastAsia="Google Sans Text" w:hAnsi="Times New Roman" w:cs="Times New Roman"/>
          <w:color w:val="1B1C1D"/>
          <w:sz w:val="24"/>
          <w:szCs w:val="24"/>
        </w:rPr>
        <w:t>km</w:t>
      </w:r>
      <w:r w:rsidR="00847092" w:rsidRPr="00821F0D">
        <w:rPr>
          <w:rFonts w:ascii="Times New Roman" w:eastAsia="Google Sans Text" w:hAnsi="Times New Roman" w:cs="Times New Roman"/>
          <w:color w:val="1B1C1D"/>
          <w:sz w:val="24"/>
          <w:szCs w:val="24"/>
          <w:vertAlign w:val="superscript"/>
        </w:rPr>
        <w:t>2</w:t>
      </w:r>
      <w:r w:rsidR="00847092" w:rsidRPr="00862AC2">
        <w:rPr>
          <w:rFonts w:ascii="Times New Roman" w:eastAsia="Google Sans Text" w:hAnsi="Times New Roman" w:cs="Times New Roman"/>
          <w:color w:val="1B1C1D"/>
          <w:sz w:val="24"/>
          <w:szCs w:val="24"/>
        </w:rPr>
        <w:t xml:space="preserve"> of forest in just eight years is a stark indicator of the immense pressure on land resources. This directly supports the hypothesis that agricultural expansion is a primary driver of environmental change in the region. This expansion is fuelled by the socio-economic reality of Ezza South: a growing population with a heavy dependence on subsistence agriculture. As the population increases, the demand for food and cultivable land rises, leading to the clearing of natural vegetation to create new farms.</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steady growth</w:t>
      </w:r>
      <w:r w:rsidR="00847092">
        <w:rPr>
          <w:rFonts w:ascii="Times New Roman" w:eastAsia="Google Sans Text" w:hAnsi="Times New Roman" w:cs="Times New Roman"/>
          <w:color w:val="1B1C1D"/>
          <w:sz w:val="24"/>
          <w:szCs w:val="24"/>
        </w:rPr>
        <w:t xml:space="preserve"> of built-up areas by over 8 </w:t>
      </w:r>
      <w:r w:rsidR="00847092" w:rsidRPr="00862AC2">
        <w:rPr>
          <w:rFonts w:ascii="Times New Roman" w:eastAsia="Google Sans Text" w:hAnsi="Times New Roman" w:cs="Times New Roman"/>
          <w:color w:val="1B1C1D"/>
          <w:sz w:val="24"/>
          <w:szCs w:val="24"/>
        </w:rPr>
        <w:t>km</w:t>
      </w:r>
      <w:r w:rsidR="00847092" w:rsidRPr="00821F0D">
        <w:rPr>
          <w:rFonts w:ascii="Times New Roman" w:eastAsia="Google Sans Text" w:hAnsi="Times New Roman" w:cs="Times New Roman"/>
          <w:color w:val="1B1C1D"/>
          <w:sz w:val="24"/>
          <w:szCs w:val="24"/>
          <w:vertAlign w:val="superscript"/>
        </w:rPr>
        <w:t>2</w:t>
      </w:r>
      <w:r w:rsidR="00847092" w:rsidRPr="00862AC2">
        <w:rPr>
          <w:rFonts w:ascii="Times New Roman" w:eastAsia="Google Sans Text" w:hAnsi="Times New Roman" w:cs="Times New Roman"/>
          <w:color w:val="1B1C1D"/>
          <w:sz w:val="24"/>
          <w:szCs w:val="24"/>
        </w:rPr>
        <w:t xml:space="preserve"> further corroborates the impact of population growth and urbanization. This trend is a hallmark of developing regions in Nigeria, where administrative centers like </w:t>
      </w:r>
      <w:proofErr w:type="spellStart"/>
      <w:r w:rsidR="00847092" w:rsidRPr="00862AC2">
        <w:rPr>
          <w:rFonts w:ascii="Times New Roman" w:eastAsia="Google Sans Text" w:hAnsi="Times New Roman" w:cs="Times New Roman"/>
          <w:color w:val="1B1C1D"/>
          <w:sz w:val="24"/>
          <w:szCs w:val="24"/>
        </w:rPr>
        <w:t>Onueke</w:t>
      </w:r>
      <w:proofErr w:type="spellEnd"/>
      <w:r w:rsidR="00847092" w:rsidRPr="00862AC2">
        <w:rPr>
          <w:rFonts w:ascii="Times New Roman" w:eastAsia="Google Sans Text" w:hAnsi="Times New Roman" w:cs="Times New Roman"/>
          <w:color w:val="1B1C1D"/>
          <w:sz w:val="24"/>
          <w:szCs w:val="24"/>
        </w:rPr>
        <w:t xml:space="preserve"> expand, consuming surrounding agricultural and natural lands for housing and infrastructure. This process fragments the landscape, reduces green spaces, and intensifies the pressure on the remaining agricultural land.</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role of mining as an indirect driver, as proposed in the research problem, provides a crucial layer of context to these findings. While the LULC analysis primarily captures the direct conversion of forest to farm, the underlying reasons for this expansion may be more complex. Extensive lead-zinc mining in areas like Ameka is known to cause severe soil and water contamination with heavy metals, reducing soil fertility and crop yields. Farmers facing declining productivity on contaminated lands are likely forced to abandon them and seek new, fertile ground, which often means clearing virgin forest. Therefore, the observed deforestation is likely a combined result of population-driven demand and a desperate search for uncontaminated land, a cycle where one form of environmental degradation (mining pollution) catalyses another (deforestation).</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 xml:space="preserve">The NDVI analysis complements this narrative. The lack of a long-term greening trend, coupled with high </w:t>
      </w:r>
      <w:r w:rsidR="00847092" w:rsidRPr="00862AC2">
        <w:rPr>
          <w:rFonts w:ascii="Times New Roman" w:eastAsia="Google Sans Text" w:hAnsi="Times New Roman" w:cs="Times New Roman"/>
          <w:color w:val="1B1C1D"/>
          <w:sz w:val="24"/>
          <w:szCs w:val="24"/>
        </w:rPr>
        <w:lastRenderedPageBreak/>
        <w:t>variability, suggests an ecosystem under stress. While the expansion of agriculture adds seasonal greenness, the loss of permanent forest cover represents a net loss in year-round biomass, carbon storage, and ecological stability. The forest provides consistent, high NDVI values throughout the year, whereas cropland values are high only during the growing season and drop significantly after harvest, contributing to the high amplitude of the NDVI signal. The overall trend suggests that the landscape's ecological resilience is being eroded, not enhanced.</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In conclusion, the results paint a picture of a landscape caught between the competing demands of a growing population for food and settlement, and the degrading legacy of resource extraction. The conversion of forest to farmland is the dominant spatial process, driven by a combination of direct population pressure and indirect pressures from environmental degradation caused by mining. This transformation, confirmed by both high-resolution LULC mapping and long-term vegetation health analysis, underscores the urgent need for integrated land use planning and sustainable resource management to mitigate further environmental decline in Ezza South.</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s</w:t>
      </w:r>
      <w:r w:rsidR="00847092">
        <w:rPr>
          <w:rFonts w:ascii="Times New Roman" w:eastAsia="Google Sans Text" w:hAnsi="Times New Roman" w:cs="Times New Roman"/>
          <w:color w:val="1B1C1D"/>
          <w:sz w:val="24"/>
          <w:szCs w:val="24"/>
        </w:rPr>
        <w:t>tudy, "Land Use and Vegetation Change</w:t>
      </w:r>
      <w:r w:rsidR="00847092" w:rsidRPr="00862AC2">
        <w:rPr>
          <w:rFonts w:ascii="Times New Roman" w:eastAsia="Google Sans Text" w:hAnsi="Times New Roman" w:cs="Times New Roman"/>
          <w:color w:val="1B1C1D"/>
          <w:sz w:val="24"/>
          <w:szCs w:val="24"/>
        </w:rPr>
        <w:t xml:space="preserve"> in Ezza South, </w:t>
      </w:r>
      <w:r w:rsidR="00847092">
        <w:rPr>
          <w:rFonts w:ascii="Times New Roman" w:eastAsia="Google Sans Text" w:hAnsi="Times New Roman" w:cs="Times New Roman"/>
          <w:color w:val="1B1C1D"/>
          <w:sz w:val="24"/>
          <w:szCs w:val="24"/>
        </w:rPr>
        <w:t xml:space="preserve">Ebonyi State, </w:t>
      </w:r>
      <w:r w:rsidR="00847092" w:rsidRPr="00862AC2">
        <w:rPr>
          <w:rFonts w:ascii="Times New Roman" w:eastAsia="Google Sans Text" w:hAnsi="Times New Roman" w:cs="Times New Roman"/>
          <w:color w:val="1B1C1D"/>
          <w:sz w:val="24"/>
          <w:szCs w:val="24"/>
        </w:rPr>
        <w:t>Nigeria (20</w:t>
      </w:r>
      <w:r w:rsidR="00847092">
        <w:rPr>
          <w:rFonts w:ascii="Times New Roman" w:eastAsia="Google Sans Text" w:hAnsi="Times New Roman" w:cs="Times New Roman"/>
          <w:color w:val="1B1C1D"/>
          <w:sz w:val="24"/>
          <w:szCs w:val="24"/>
        </w:rPr>
        <w:t>14</w:t>
      </w:r>
      <w:r w:rsidR="00847092" w:rsidRPr="00862AC2">
        <w:rPr>
          <w:rFonts w:ascii="Times New Roman" w:eastAsia="Google Sans Text" w:hAnsi="Times New Roman" w:cs="Times New Roman"/>
          <w:color w:val="1B1C1D"/>
          <w:sz w:val="24"/>
          <w:szCs w:val="24"/>
        </w:rPr>
        <w:t>–2024),</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 xml:space="preserve">employed geospatial techniques to analyze </w:t>
      </w:r>
      <w:r w:rsidR="002256DF">
        <w:rPr>
          <w:rFonts w:ascii="Times New Roman" w:eastAsia="Google Sans Text" w:hAnsi="Times New Roman" w:cs="Times New Roman"/>
          <w:color w:val="1B1C1D"/>
          <w:sz w:val="24"/>
          <w:szCs w:val="24"/>
        </w:rPr>
        <w:t xml:space="preserve">land use and vegetation changes and its findings  are consistent with similar findings that used means techniques in assessing the effects of land use and vegetation change. </w:t>
      </w:r>
    </w:p>
    <w:p w14:paraId="731519E7" w14:textId="77777777" w:rsidR="002256DF" w:rsidRPr="00655BD6" w:rsidRDefault="00875466" w:rsidP="002256DF">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roofErr w:type="spellStart"/>
      <w:r w:rsidR="002256DF" w:rsidRPr="00655BD6">
        <w:rPr>
          <w:rFonts w:ascii="Times New Roman" w:hAnsi="Times New Roman" w:cs="Times New Roman"/>
          <w:sz w:val="24"/>
          <w:szCs w:val="24"/>
          <w:highlight w:val="yellow"/>
        </w:rPr>
        <w:t>Agumagu</w:t>
      </w:r>
      <w:proofErr w:type="spellEnd"/>
      <w:r w:rsidR="002256DF" w:rsidRPr="00655BD6">
        <w:rPr>
          <w:rFonts w:ascii="Times New Roman" w:hAnsi="Times New Roman" w:cs="Times New Roman"/>
          <w:sz w:val="24"/>
          <w:szCs w:val="24"/>
          <w:highlight w:val="yellow"/>
        </w:rPr>
        <w:t xml:space="preserve"> et al, (2025) in their study which aimed to understand the changing distribution of various land cover types and their potential influence, considering that the Niger Delta Region is one of the rapidly growing regions in Nigeria, found that between 1986 and 2024, built-up and agriculture areas substantially increased by about 561% and 79%, respectively, with a concomitant decrease in mangrove and rainforest areas of about 54% and 42%, respectively. Rainforest and mangrove areas have decreased substantially over the study period, largely being replaced with built-up and agricultural land classes across the Niger Delta. Changes across the states were not consistent, with Delta, Bayelsa, Cross River, and Rivers States experiencing the highest decrease in rainforest, with losses of 64%, 55%, 45%, and 44%, respectively. The decrease in the mangrove, forest areas, and water bodies in the Niger Delta Region is anticipated to intensify runoff in the region, enhancing flood risk and impacts on livelihoods across the study region. As a result, mangrove restoration is becoming more extensively recognized as a significant approach for mitigating and adapting to the effects of climate hazards (</w:t>
      </w:r>
      <w:proofErr w:type="spellStart"/>
      <w:r w:rsidR="002256DF" w:rsidRPr="00655BD6">
        <w:rPr>
          <w:rFonts w:ascii="Times New Roman" w:hAnsi="Times New Roman" w:cs="Times New Roman"/>
          <w:sz w:val="24"/>
          <w:szCs w:val="24"/>
          <w:highlight w:val="yellow"/>
        </w:rPr>
        <w:t>Obenade</w:t>
      </w:r>
      <w:proofErr w:type="spellEnd"/>
      <w:r w:rsidR="002256DF" w:rsidRPr="00655BD6">
        <w:rPr>
          <w:rFonts w:ascii="Times New Roman" w:hAnsi="Times New Roman" w:cs="Times New Roman"/>
          <w:sz w:val="24"/>
          <w:szCs w:val="24"/>
          <w:highlight w:val="yellow"/>
        </w:rPr>
        <w:t xml:space="preserve"> et.al, 2025; </w:t>
      </w:r>
      <w:proofErr w:type="spellStart"/>
      <w:r w:rsidR="002256DF" w:rsidRPr="00655BD6">
        <w:rPr>
          <w:rFonts w:ascii="Times New Roman" w:hAnsi="Times New Roman" w:cs="Times New Roman"/>
          <w:sz w:val="24"/>
          <w:szCs w:val="24"/>
          <w:highlight w:val="yellow"/>
        </w:rPr>
        <w:t>Agumagu</w:t>
      </w:r>
      <w:proofErr w:type="spellEnd"/>
      <w:r w:rsidR="002256DF" w:rsidRPr="00655BD6">
        <w:rPr>
          <w:rFonts w:ascii="Times New Roman" w:hAnsi="Times New Roman" w:cs="Times New Roman"/>
          <w:sz w:val="24"/>
          <w:szCs w:val="24"/>
          <w:highlight w:val="yellow"/>
        </w:rPr>
        <w:t xml:space="preserve"> et. al, 2025. </w:t>
      </w:r>
    </w:p>
    <w:p w14:paraId="0B8FAF87" w14:textId="77777777" w:rsidR="002256DF" w:rsidRDefault="00875466" w:rsidP="002256DF">
      <w:pPr>
        <w:jc w:val="both"/>
        <w:rPr>
          <w:rFonts w:ascii="Times New Roman" w:hAnsi="Times New Roman" w:cs="Times New Roman"/>
          <w:sz w:val="24"/>
          <w:szCs w:val="24"/>
        </w:rPr>
      </w:pPr>
      <w:r>
        <w:rPr>
          <w:rFonts w:ascii="Times New Roman" w:hAnsi="Times New Roman" w:cs="Times New Roman"/>
          <w:sz w:val="24"/>
          <w:szCs w:val="24"/>
          <w:highlight w:val="yellow"/>
        </w:rPr>
        <w:t xml:space="preserve">      </w:t>
      </w:r>
      <w:r w:rsidR="002256DF" w:rsidRPr="00655BD6">
        <w:rPr>
          <w:rFonts w:ascii="Times New Roman" w:hAnsi="Times New Roman" w:cs="Times New Roman"/>
          <w:sz w:val="24"/>
          <w:szCs w:val="24"/>
          <w:highlight w:val="yellow"/>
        </w:rPr>
        <w:t xml:space="preserve">Also, Odoh et al (2024) concluded that the analysis of LULC changes and slope dynamics between 2017 and 2023 in Enugu North, Enugu South, Nkanu East, and Nkanu West LGAs reveals significant trends with profound environmental and socio-economic implications. The most notable change is the substantial reduction in tree cover from 565.99 km² to 432.48 km², indicating extensive deforestation driven by urban expansion and agricultural land conversion. This reduction in forested areas threatens biodiversity, disrupts carbon sequestration processes, and alters local climate and hydrological cycles, underscoring the urgent need for effective forest conservation strategies </w:t>
      </w:r>
      <w:proofErr w:type="spellStart"/>
      <w:r w:rsidR="002256DF" w:rsidRPr="00655BD6">
        <w:rPr>
          <w:rFonts w:ascii="Times New Roman" w:hAnsi="Times New Roman" w:cs="Times New Roman"/>
          <w:sz w:val="24"/>
          <w:szCs w:val="24"/>
          <w:highlight w:val="yellow"/>
        </w:rPr>
        <w:t>Obenade</w:t>
      </w:r>
      <w:proofErr w:type="spellEnd"/>
      <w:r w:rsidR="002256DF" w:rsidRPr="00655BD6">
        <w:rPr>
          <w:rFonts w:ascii="Times New Roman" w:hAnsi="Times New Roman" w:cs="Times New Roman"/>
          <w:sz w:val="24"/>
          <w:szCs w:val="24"/>
          <w:highlight w:val="yellow"/>
        </w:rPr>
        <w:t xml:space="preserve"> et al, 2025; Odoh et al, 2024).</w:t>
      </w:r>
    </w:p>
    <w:p w14:paraId="224D8438" w14:textId="77777777" w:rsidR="00EA0602" w:rsidRPr="005A6A33" w:rsidRDefault="00EA0602" w:rsidP="002256DF">
      <w:pPr>
        <w:jc w:val="both"/>
        <w:rPr>
          <w:rFonts w:ascii="Times New Roman" w:hAnsi="Times New Roman" w:cs="Times New Roman"/>
          <w:sz w:val="24"/>
          <w:szCs w:val="24"/>
        </w:rPr>
      </w:pPr>
      <w:r w:rsidRPr="00EA0602">
        <w:rPr>
          <w:rFonts w:ascii="Times New Roman" w:hAnsi="Times New Roman" w:cs="Times New Roman"/>
          <w:sz w:val="24"/>
          <w:szCs w:val="24"/>
          <w:highlight w:val="yellow"/>
        </w:rPr>
        <w:lastRenderedPageBreak/>
        <w:t xml:space="preserve">The findings of our earlier study on the environmental and agricultural implications of land use land cover change for Ebonyi state as quoted in </w:t>
      </w:r>
      <w:proofErr w:type="spellStart"/>
      <w:r w:rsidRPr="00EA0602">
        <w:rPr>
          <w:rFonts w:ascii="Times New Roman" w:hAnsi="Times New Roman" w:cs="Times New Roman"/>
          <w:sz w:val="24"/>
          <w:szCs w:val="24"/>
          <w:highlight w:val="yellow"/>
        </w:rPr>
        <w:t>Obenade</w:t>
      </w:r>
      <w:proofErr w:type="spellEnd"/>
      <w:r w:rsidRPr="00EA0602">
        <w:rPr>
          <w:rFonts w:ascii="Times New Roman" w:hAnsi="Times New Roman" w:cs="Times New Roman"/>
          <w:sz w:val="24"/>
          <w:szCs w:val="24"/>
          <w:highlight w:val="yellow"/>
        </w:rPr>
        <w:t xml:space="preserve"> et al, (2025) reveal that </w:t>
      </w:r>
      <w:proofErr w:type="spellStart"/>
      <w:r w:rsidRPr="00EA0602">
        <w:rPr>
          <w:rFonts w:ascii="Times New Roman" w:hAnsi="Times New Roman" w:cs="Times New Roman"/>
          <w:sz w:val="24"/>
          <w:szCs w:val="24"/>
          <w:highlight w:val="yellow"/>
        </w:rPr>
        <w:t>Bareland</w:t>
      </w:r>
      <w:proofErr w:type="spellEnd"/>
      <w:r w:rsidRPr="00EA0602">
        <w:rPr>
          <w:rFonts w:ascii="Times New Roman" w:hAnsi="Times New Roman" w:cs="Times New Roman"/>
          <w:sz w:val="24"/>
          <w:szCs w:val="24"/>
          <w:highlight w:val="yellow"/>
        </w:rPr>
        <w:t xml:space="preserve"> increased from 1.16 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11.76km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2025 representing an increase of +630%. Water bodies increased from14.25km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18.91km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2025 representing an increase of +33%. Built-up area increased from 27.90km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46.66km2 in 2025 representing an increase of +67%. Forest decreased from 933.54km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618.69km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2025 representing a decrease of -34% while cultivated area increased from 1364.69km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3990.67km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2025 representing an increase of +192%, and Shrubland decreased from 4,083.26km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1986 to 1,738.56km</w:t>
      </w:r>
      <w:r w:rsidRPr="00EA0602">
        <w:rPr>
          <w:rFonts w:ascii="Times New Roman" w:hAnsi="Times New Roman" w:cs="Times New Roman"/>
          <w:sz w:val="24"/>
          <w:szCs w:val="24"/>
          <w:highlight w:val="yellow"/>
          <w:vertAlign w:val="superscript"/>
        </w:rPr>
        <w:t>2</w:t>
      </w:r>
      <w:r w:rsidRPr="00EA0602">
        <w:rPr>
          <w:rFonts w:ascii="Times New Roman" w:hAnsi="Times New Roman" w:cs="Times New Roman"/>
          <w:sz w:val="24"/>
          <w:szCs w:val="24"/>
          <w:highlight w:val="yellow"/>
        </w:rPr>
        <w:t xml:space="preserve"> in 2025 representing a decrease of 57%. The trends of change in Ezza South agree completely with the change in the state as a whole</w:t>
      </w:r>
      <w:r>
        <w:rPr>
          <w:rFonts w:ascii="Times New Roman" w:hAnsi="Times New Roman" w:cs="Times New Roman"/>
          <w:sz w:val="24"/>
          <w:szCs w:val="24"/>
        </w:rPr>
        <w:t xml:space="preserve"> </w:t>
      </w:r>
      <w:r w:rsidRPr="00EA0602">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Moses </w:t>
      </w:r>
      <w:proofErr w:type="spellStart"/>
      <w:r w:rsidRPr="00EA0602">
        <w:rPr>
          <w:rFonts w:ascii="Times New Roman" w:hAnsi="Times New Roman" w:cs="Times New Roman"/>
          <w:sz w:val="24"/>
          <w:szCs w:val="24"/>
          <w:highlight w:val="yellow"/>
        </w:rPr>
        <w:t>Obenade</w:t>
      </w:r>
      <w:proofErr w:type="spellEnd"/>
      <w:r w:rsidRPr="00EA0602">
        <w:rPr>
          <w:rFonts w:ascii="Times New Roman" w:hAnsi="Times New Roman" w:cs="Times New Roman"/>
          <w:sz w:val="24"/>
          <w:szCs w:val="24"/>
          <w:highlight w:val="yellow"/>
        </w:rPr>
        <w:t xml:space="preserve"> et al, 2025).</w:t>
      </w:r>
    </w:p>
    <w:p w14:paraId="12D61856" w14:textId="77777777" w:rsidR="00847092" w:rsidRPr="0053135B" w:rsidRDefault="00AC0F0A" w:rsidP="00AA0E77">
      <w:pPr>
        <w:spacing w:after="240"/>
        <w:jc w:val="both"/>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 xml:space="preserve">4.0   </w:t>
      </w:r>
      <w:r w:rsidR="00AA0E77" w:rsidRPr="0053135B">
        <w:rPr>
          <w:rFonts w:ascii="Times New Roman" w:eastAsia="Google Sans Text" w:hAnsi="Times New Roman" w:cs="Times New Roman"/>
          <w:b/>
          <w:color w:val="1B1C1D"/>
          <w:sz w:val="24"/>
          <w:szCs w:val="24"/>
        </w:rPr>
        <w:t>CONCLUSION</w:t>
      </w:r>
      <w:r w:rsidR="00D3065C">
        <w:rPr>
          <w:rFonts w:ascii="Times New Roman" w:eastAsia="Google Sans Text" w:hAnsi="Times New Roman" w:cs="Times New Roman"/>
          <w:b/>
          <w:color w:val="1B1C1D"/>
          <w:sz w:val="24"/>
          <w:szCs w:val="24"/>
        </w:rPr>
        <w:t>S</w:t>
      </w:r>
    </w:p>
    <w:p w14:paraId="3A70535D" w14:textId="77777777" w:rsidR="00A80AD8" w:rsidRDefault="00AC0F0A" w:rsidP="00AC0F0A">
      <w:pPr>
        <w:spacing w:after="24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geospatial analysis reveals that Ezza South LGA has undergone substantial land use and vegetation dynamics between 20</w:t>
      </w:r>
      <w:r w:rsidR="00847092">
        <w:rPr>
          <w:rFonts w:ascii="Times New Roman" w:eastAsia="Google Sans Text" w:hAnsi="Times New Roman" w:cs="Times New Roman"/>
          <w:color w:val="1B1C1D"/>
          <w:sz w:val="24"/>
          <w:szCs w:val="24"/>
        </w:rPr>
        <w:t>14</w:t>
      </w:r>
      <w:r w:rsidR="00847092" w:rsidRPr="00862AC2">
        <w:rPr>
          <w:rFonts w:ascii="Times New Roman" w:eastAsia="Google Sans Text" w:hAnsi="Times New Roman" w:cs="Times New Roman"/>
          <w:color w:val="1B1C1D"/>
          <w:sz w:val="24"/>
          <w:szCs w:val="24"/>
        </w:rPr>
        <w:t xml:space="preserve"> and 2024. The observed changes, particularly the expansion of built-up areas, agricultural lands, and a corresponding decrease in natural vegetation covers such as forests and grasslands, underscore the environmental pressures faced by the region. These transformations have significant implications for the local ecosystem, including potential impacts on biodiversity, soil erosion, water resources, and overall ecological balance. The continuous monitoring of these changes using remote sensing technologies is crucial for understanding the drivers of land degradation and for informing sustainable land management practices. The reliance on the Google Earth Engine platform proved effective in handling and processing large volumes of satellite data, enabling comprehensive and timely asse</w:t>
      </w:r>
      <w:r w:rsidR="00623457">
        <w:rPr>
          <w:rFonts w:ascii="Times New Roman" w:eastAsia="Google Sans Text" w:hAnsi="Times New Roman" w:cs="Times New Roman"/>
          <w:color w:val="1B1C1D"/>
          <w:sz w:val="24"/>
          <w:szCs w:val="24"/>
        </w:rPr>
        <w:t>ssments of environmental change</w:t>
      </w:r>
      <w:r w:rsidR="00072A40">
        <w:rPr>
          <w:rFonts w:ascii="Times New Roman" w:eastAsia="Google Sans Text" w:hAnsi="Times New Roman" w:cs="Times New Roman"/>
          <w:color w:val="1B1C1D"/>
          <w:sz w:val="24"/>
          <w:szCs w:val="24"/>
        </w:rPr>
        <w:t xml:space="preserve"> </w:t>
      </w:r>
      <w:r w:rsidR="00072A40" w:rsidRPr="00B3589D">
        <w:rPr>
          <w:rFonts w:ascii="Times New Roman" w:eastAsia="Google Sans Text" w:hAnsi="Times New Roman" w:cs="Times New Roman"/>
          <w:color w:val="1B1C1D"/>
          <w:sz w:val="24"/>
          <w:szCs w:val="24"/>
          <w:highlight w:val="yellow"/>
        </w:rPr>
        <w:t xml:space="preserve">though the main limitation of this study was not being able to </w:t>
      </w:r>
      <w:r w:rsidR="00B3589D" w:rsidRPr="00B3589D">
        <w:rPr>
          <w:rFonts w:ascii="Times New Roman" w:eastAsia="Google Sans Text" w:hAnsi="Times New Roman" w:cs="Times New Roman"/>
          <w:color w:val="1B1C1D"/>
          <w:sz w:val="24"/>
          <w:szCs w:val="24"/>
          <w:highlight w:val="yellow"/>
        </w:rPr>
        <w:t xml:space="preserve">do a </w:t>
      </w:r>
      <w:r w:rsidR="00072A40" w:rsidRPr="00B3589D">
        <w:rPr>
          <w:rFonts w:ascii="Times New Roman" w:eastAsia="Google Sans Text" w:hAnsi="Times New Roman" w:cs="Times New Roman"/>
          <w:color w:val="1B1C1D"/>
          <w:sz w:val="24"/>
          <w:szCs w:val="24"/>
          <w:highlight w:val="yellow"/>
        </w:rPr>
        <w:t xml:space="preserve">complete ground-truthing </w:t>
      </w:r>
      <w:r w:rsidR="00B3589D" w:rsidRPr="00B3589D">
        <w:rPr>
          <w:rFonts w:ascii="Times New Roman" w:eastAsia="Google Sans Text" w:hAnsi="Times New Roman" w:cs="Times New Roman"/>
          <w:color w:val="1B1C1D"/>
          <w:sz w:val="24"/>
          <w:szCs w:val="24"/>
          <w:highlight w:val="yellow"/>
        </w:rPr>
        <w:t>of the entire Local Government.</w:t>
      </w:r>
    </w:p>
    <w:p w14:paraId="023AF280" w14:textId="77777777" w:rsidR="00A80AD8" w:rsidRPr="009A6887" w:rsidRDefault="00A80AD8" w:rsidP="00A80AD8">
      <w:pPr>
        <w:spacing w:after="0" w:line="240" w:lineRule="auto"/>
        <w:rPr>
          <w:rFonts w:ascii="Arial" w:eastAsia="Calibri" w:hAnsi="Arial" w:cs="Arial"/>
          <w:b/>
          <w:bCs/>
          <w:kern w:val="2"/>
          <w:highlight w:val="yellow"/>
        </w:rPr>
      </w:pPr>
      <w:bookmarkStart w:id="1" w:name="_Hlk198031404"/>
      <w:r w:rsidRPr="009A6887">
        <w:rPr>
          <w:rFonts w:ascii="Arial" w:eastAsia="Calibri" w:hAnsi="Arial" w:cs="Arial"/>
          <w:b/>
          <w:bCs/>
          <w:kern w:val="2"/>
          <w:highlight w:val="yellow"/>
        </w:rPr>
        <w:t>Disclaimer (Artificial intelligence)</w:t>
      </w:r>
    </w:p>
    <w:p w14:paraId="2A75D891" w14:textId="77777777" w:rsidR="00A80AD8" w:rsidRPr="00A80AD8" w:rsidRDefault="00A80AD8" w:rsidP="00A80AD8">
      <w:pPr>
        <w:spacing w:after="0" w:line="240" w:lineRule="auto"/>
        <w:rPr>
          <w:rFonts w:ascii="Arial" w:eastAsia="Calibri" w:hAnsi="Arial" w:cs="Arial"/>
          <w:kern w:val="2"/>
          <w:highlight w:val="yellow"/>
        </w:rPr>
      </w:pPr>
    </w:p>
    <w:p w14:paraId="0601F1C6" w14:textId="77777777" w:rsidR="00A80AD8" w:rsidRPr="00A80AD8" w:rsidRDefault="00A80AD8" w:rsidP="00A80AD8">
      <w:pPr>
        <w:spacing w:after="0" w:line="240" w:lineRule="auto"/>
        <w:rPr>
          <w:rFonts w:ascii="Arial" w:eastAsia="Calibri" w:hAnsi="Arial" w:cs="Arial"/>
          <w:kern w:val="2"/>
          <w:highlight w:val="yellow"/>
        </w:rPr>
      </w:pPr>
      <w:r w:rsidRPr="00A80AD8">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1"/>
    </w:p>
    <w:p w14:paraId="13A4DACD" w14:textId="77777777" w:rsidR="00A80AD8" w:rsidRDefault="00A80AD8" w:rsidP="00AC0F0A">
      <w:pPr>
        <w:spacing w:after="240"/>
        <w:jc w:val="both"/>
        <w:rPr>
          <w:rFonts w:ascii="Times New Roman" w:eastAsia="Google Sans Text" w:hAnsi="Times New Roman" w:cs="Times New Roman"/>
          <w:color w:val="1B1C1D"/>
          <w:sz w:val="24"/>
          <w:szCs w:val="24"/>
        </w:rPr>
      </w:pPr>
    </w:p>
    <w:p w14:paraId="366AA1D8" w14:textId="77777777" w:rsidR="00847092" w:rsidRPr="00AA0E77" w:rsidRDefault="00D3065C" w:rsidP="00AA0E77">
      <w:pPr>
        <w:spacing w:line="240" w:lineRule="auto"/>
        <w:mirrorIndents/>
        <w:rPr>
          <w:rFonts w:ascii="Times New Roman" w:hAnsi="Times New Roman" w:cs="Times New Roman"/>
          <w:b/>
          <w:sz w:val="24"/>
          <w:szCs w:val="24"/>
        </w:rPr>
      </w:pPr>
      <w:r w:rsidRPr="00AA0E77">
        <w:rPr>
          <w:rFonts w:ascii="Times New Roman" w:hAnsi="Times New Roman" w:cs="Times New Roman"/>
          <w:b/>
          <w:sz w:val="24"/>
          <w:szCs w:val="24"/>
        </w:rPr>
        <w:t>REFERENCES</w:t>
      </w:r>
    </w:p>
    <w:p w14:paraId="33CFBE3A" w14:textId="77777777" w:rsidR="00AC0F0A" w:rsidRPr="008C330D" w:rsidRDefault="00AC0F0A" w:rsidP="00EA37EA">
      <w:pPr>
        <w:pStyle w:val="NoSpacing"/>
        <w:ind w:left="360" w:hanging="360"/>
        <w:jc w:val="both"/>
        <w:rPr>
          <w:rFonts w:ascii="Times New Roman" w:hAnsi="Times New Roman" w:cs="Times New Roman"/>
          <w:b/>
          <w:sz w:val="24"/>
          <w:szCs w:val="24"/>
        </w:rPr>
      </w:pPr>
      <w:proofErr w:type="spellStart"/>
      <w:r w:rsidRPr="008C330D">
        <w:rPr>
          <w:rFonts w:ascii="Times New Roman" w:hAnsi="Times New Roman" w:cs="Times New Roman"/>
          <w:sz w:val="24"/>
          <w:szCs w:val="24"/>
        </w:rPr>
        <w:t>AbdulHakim</w:t>
      </w:r>
      <w:proofErr w:type="spellEnd"/>
      <w:r w:rsidRPr="008C330D">
        <w:rPr>
          <w:rFonts w:ascii="Times New Roman" w:hAnsi="Times New Roman" w:cs="Times New Roman"/>
          <w:sz w:val="24"/>
          <w:szCs w:val="24"/>
        </w:rPr>
        <w:t>, M., Bello, N. J., &amp; Gambo, A. (2017). Decline of pla</w:t>
      </w:r>
      <w:r w:rsidR="005D14E9" w:rsidRPr="008C330D">
        <w:rPr>
          <w:rFonts w:ascii="Times New Roman" w:hAnsi="Times New Roman" w:cs="Times New Roman"/>
          <w:sz w:val="24"/>
          <w:szCs w:val="24"/>
        </w:rPr>
        <w:t xml:space="preserve">nt diversity in dry forests of </w:t>
      </w:r>
      <w:r w:rsidRPr="008C330D">
        <w:rPr>
          <w:rFonts w:ascii="Times New Roman" w:hAnsi="Times New Roman" w:cs="Times New Roman"/>
          <w:sz w:val="24"/>
          <w:szCs w:val="24"/>
        </w:rPr>
        <w:t xml:space="preserve">Nigeria. </w:t>
      </w:r>
      <w:proofErr w:type="spellStart"/>
      <w:r w:rsidRPr="008C330D">
        <w:rPr>
          <w:rFonts w:ascii="Times New Roman" w:hAnsi="Times New Roman" w:cs="Times New Roman"/>
          <w:sz w:val="24"/>
          <w:szCs w:val="24"/>
        </w:rPr>
        <w:t>Dutse</w:t>
      </w:r>
      <w:proofErr w:type="spellEnd"/>
      <w:r w:rsidRPr="008C330D">
        <w:rPr>
          <w:rFonts w:ascii="Times New Roman" w:hAnsi="Times New Roman" w:cs="Times New Roman"/>
          <w:sz w:val="24"/>
          <w:szCs w:val="24"/>
        </w:rPr>
        <w:t xml:space="preserve"> Journal of Pure and Applied Sciences (</w:t>
      </w:r>
      <w:r w:rsidR="005D14E9" w:rsidRPr="008C330D">
        <w:rPr>
          <w:rFonts w:ascii="Times New Roman" w:hAnsi="Times New Roman" w:cs="Times New Roman"/>
          <w:sz w:val="24"/>
          <w:szCs w:val="24"/>
        </w:rPr>
        <w:t xml:space="preserve">DUJOPAS) Vol. 3 No. 2 December </w:t>
      </w:r>
      <w:r w:rsidRPr="008C330D">
        <w:rPr>
          <w:rFonts w:ascii="Times New Roman" w:hAnsi="Times New Roman" w:cs="Times New Roman"/>
          <w:sz w:val="24"/>
          <w:szCs w:val="24"/>
        </w:rPr>
        <w:t>2017</w:t>
      </w:r>
    </w:p>
    <w:p w14:paraId="43C179FB" w14:textId="77777777" w:rsidR="00AC0F0A" w:rsidRPr="008C330D" w:rsidRDefault="00AC0F0A" w:rsidP="00EA37EA">
      <w:pPr>
        <w:pStyle w:val="NoSpacing"/>
        <w:ind w:left="360" w:hanging="360"/>
        <w:jc w:val="both"/>
        <w:rPr>
          <w:rFonts w:ascii="Times New Roman" w:hAnsi="Times New Roman" w:cs="Times New Roman"/>
          <w:b/>
          <w:sz w:val="24"/>
          <w:szCs w:val="24"/>
        </w:rPr>
      </w:pPr>
      <w:proofErr w:type="spellStart"/>
      <w:r w:rsidRPr="008C330D">
        <w:rPr>
          <w:rFonts w:ascii="Times New Roman" w:hAnsi="Times New Roman" w:cs="Times New Roman"/>
          <w:sz w:val="24"/>
          <w:szCs w:val="24"/>
        </w:rPr>
        <w:t>Adeol</w:t>
      </w:r>
      <w:proofErr w:type="spellEnd"/>
      <w:r w:rsidRPr="008C330D">
        <w:rPr>
          <w:rFonts w:ascii="Times New Roman" w:hAnsi="Times New Roman" w:cs="Times New Roman"/>
          <w:sz w:val="24"/>
          <w:szCs w:val="24"/>
        </w:rPr>
        <w:t xml:space="preserve">, A. O., </w:t>
      </w:r>
      <w:proofErr w:type="spellStart"/>
      <w:r w:rsidRPr="008C330D">
        <w:rPr>
          <w:rFonts w:ascii="Times New Roman" w:hAnsi="Times New Roman" w:cs="Times New Roman"/>
          <w:sz w:val="24"/>
          <w:szCs w:val="24"/>
        </w:rPr>
        <w:t>Ogunwale</w:t>
      </w:r>
      <w:proofErr w:type="spellEnd"/>
      <w:r w:rsidRPr="008C330D">
        <w:rPr>
          <w:rFonts w:ascii="Times New Roman" w:hAnsi="Times New Roman" w:cs="Times New Roman"/>
          <w:sz w:val="24"/>
          <w:szCs w:val="24"/>
        </w:rPr>
        <w:t xml:space="preserve">, A. B., &amp; Ibrahim, K. (2004). Land use and rural livelihoods in </w:t>
      </w:r>
      <w:r w:rsidRPr="008C330D">
        <w:rPr>
          <w:rFonts w:ascii="Times New Roman" w:hAnsi="Times New Roman" w:cs="Times New Roman"/>
          <w:sz w:val="24"/>
          <w:szCs w:val="24"/>
        </w:rPr>
        <w:tab/>
        <w:t>Nigeria.</w:t>
      </w:r>
    </w:p>
    <w:p w14:paraId="707173E3"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Adepoju, A. A., Adelabu, A. A., &amp; Ojo, O. O. (2025). Geospatial</w:t>
      </w:r>
      <w:r w:rsidR="005D14E9" w:rsidRPr="008C330D">
        <w:rPr>
          <w:rFonts w:ascii="Times New Roman" w:hAnsi="Times New Roman" w:cs="Times New Roman"/>
          <w:sz w:val="24"/>
          <w:szCs w:val="24"/>
        </w:rPr>
        <w:t xml:space="preserve"> analysis of land use and land </w:t>
      </w:r>
      <w:r w:rsidRPr="008C330D">
        <w:rPr>
          <w:rFonts w:ascii="Times New Roman" w:hAnsi="Times New Roman" w:cs="Times New Roman"/>
          <w:sz w:val="24"/>
          <w:szCs w:val="24"/>
        </w:rPr>
        <w:t>cover changes in Ado-Odo Ota, Nigeria. Land, 14(2), 389.</w:t>
      </w:r>
    </w:p>
    <w:p w14:paraId="4B77C646" w14:textId="77777777" w:rsidR="00EA0602" w:rsidRPr="008C330D" w:rsidRDefault="00EA0602" w:rsidP="00EA0602">
      <w:pPr>
        <w:ind w:left="360" w:hanging="360"/>
        <w:jc w:val="both"/>
        <w:rPr>
          <w:rFonts w:ascii="Times New Roman" w:hAnsi="Times New Roman" w:cs="Times New Roman"/>
          <w:sz w:val="24"/>
          <w:szCs w:val="24"/>
          <w:highlight w:val="yellow"/>
        </w:rPr>
      </w:pPr>
      <w:proofErr w:type="spellStart"/>
      <w:r w:rsidRPr="008C330D">
        <w:rPr>
          <w:rFonts w:ascii="Times New Roman" w:hAnsi="Times New Roman" w:cs="Times New Roman"/>
          <w:sz w:val="24"/>
          <w:szCs w:val="24"/>
          <w:highlight w:val="yellow"/>
        </w:rPr>
        <w:t>Agumagu</w:t>
      </w:r>
      <w:proofErr w:type="spellEnd"/>
      <w:r w:rsidRPr="008C330D">
        <w:rPr>
          <w:rFonts w:ascii="Times New Roman" w:hAnsi="Times New Roman" w:cs="Times New Roman"/>
          <w:sz w:val="24"/>
          <w:szCs w:val="24"/>
          <w:highlight w:val="yellow"/>
        </w:rPr>
        <w:t xml:space="preserve">, O.O., Marchant, R. and Stringer, L.C. (2025). Land Use and Land Cover Change Dynamics in the Niger Delta Region of Nigeria from 1986 to 2024. Land, 14: 765. DOI: </w:t>
      </w:r>
      <w:hyperlink r:id="rId18" w:history="1">
        <w:r w:rsidRPr="008C330D">
          <w:rPr>
            <w:rStyle w:val="Hyperlink"/>
            <w:rFonts w:ascii="Times New Roman" w:hAnsi="Times New Roman" w:cs="Times New Roman"/>
            <w:sz w:val="24"/>
            <w:szCs w:val="24"/>
            <w:highlight w:val="yellow"/>
          </w:rPr>
          <w:t>https://doi.org/10.3390/land14040765</w:t>
        </w:r>
      </w:hyperlink>
      <w:r w:rsidRPr="008C330D">
        <w:rPr>
          <w:rFonts w:ascii="Times New Roman" w:hAnsi="Times New Roman" w:cs="Times New Roman"/>
          <w:sz w:val="24"/>
          <w:szCs w:val="24"/>
          <w:highlight w:val="yellow"/>
        </w:rPr>
        <w:t xml:space="preserve">. </w:t>
      </w:r>
    </w:p>
    <w:p w14:paraId="4CFE3A2E" w14:textId="77777777" w:rsidR="00EA0602" w:rsidRPr="008C330D" w:rsidRDefault="00875466" w:rsidP="0038269D">
      <w:pPr>
        <w:spacing w:after="0" w:line="240" w:lineRule="auto"/>
        <w:ind w:left="360" w:hanging="360"/>
        <w:jc w:val="both"/>
        <w:rPr>
          <w:rFonts w:ascii="Times New Roman" w:eastAsia="Calibri" w:hAnsi="Times New Roman" w:cs="Times New Roman"/>
          <w:sz w:val="24"/>
          <w:szCs w:val="24"/>
        </w:rPr>
      </w:pPr>
      <w:r w:rsidRPr="008C330D">
        <w:rPr>
          <w:rFonts w:ascii="Times New Roman" w:eastAsia="Calibri" w:hAnsi="Times New Roman" w:cs="Times New Roman"/>
          <w:sz w:val="24"/>
          <w:szCs w:val="24"/>
          <w:highlight w:val="yellow"/>
        </w:rPr>
        <w:lastRenderedPageBreak/>
        <w:t xml:space="preserve">Araya, Y. and Cabral, P. (2008). Urban Land Cover Change Detection Analysis Using GIS and Remote Sensing: A Case Study of Asamara, Eritrea (Peer-reviewed paper). </w:t>
      </w:r>
      <w:r w:rsidRPr="008C330D">
        <w:rPr>
          <w:rFonts w:ascii="Times New Roman" w:eastAsia="Calibri" w:hAnsi="Times New Roman" w:cs="Times New Roman"/>
          <w:i/>
          <w:iCs/>
          <w:sz w:val="24"/>
          <w:szCs w:val="24"/>
          <w:highlight w:val="yellow"/>
        </w:rPr>
        <w:t>Assessment</w:t>
      </w:r>
      <w:r w:rsidRPr="008C330D">
        <w:rPr>
          <w:rFonts w:ascii="Times New Roman" w:eastAsia="Calibri" w:hAnsi="Times New Roman" w:cs="Times New Roman"/>
          <w:sz w:val="24"/>
          <w:szCs w:val="24"/>
          <w:highlight w:val="yellow"/>
        </w:rPr>
        <w:t>, ed. H Mooney, A Cropper, W Reid. Washing</w:t>
      </w:r>
      <w:r w:rsidRPr="008C330D">
        <w:rPr>
          <w:rFonts w:ascii="Times New Roman" w:eastAsia="Calibri" w:hAnsi="Times New Roman" w:cs="Times New Roman"/>
          <w:sz w:val="24"/>
          <w:szCs w:val="24"/>
          <w:highlight w:val="yellow"/>
        </w:rPr>
        <w:softHyphen/>
        <w:t>ton, DC: Island. In press</w:t>
      </w:r>
    </w:p>
    <w:p w14:paraId="500ACCE1" w14:textId="77777777" w:rsidR="00AC0F0A" w:rsidRPr="008C330D" w:rsidRDefault="00AC0F0A" w:rsidP="00875466">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 xml:space="preserve">Berglund, L. (2015). Review of Land-Use Models. WSP, </w:t>
      </w:r>
      <w:proofErr w:type="spellStart"/>
      <w:r w:rsidRPr="008C330D">
        <w:rPr>
          <w:rFonts w:ascii="Times New Roman" w:hAnsi="Times New Roman" w:cs="Times New Roman"/>
          <w:sz w:val="24"/>
          <w:szCs w:val="24"/>
        </w:rPr>
        <w:t>Nordregio</w:t>
      </w:r>
      <w:proofErr w:type="spellEnd"/>
      <w:r w:rsidRPr="008C330D">
        <w:rPr>
          <w:rFonts w:ascii="Times New Roman" w:hAnsi="Times New Roman" w:cs="Times New Roman"/>
          <w:sz w:val="24"/>
          <w:szCs w:val="24"/>
        </w:rPr>
        <w:t>.</w:t>
      </w:r>
      <w:r w:rsidR="00875466" w:rsidRPr="008C330D">
        <w:rPr>
          <w:rFonts w:ascii="Times New Roman" w:hAnsi="Times New Roman" w:cs="Times New Roman"/>
          <w:sz w:val="24"/>
          <w:szCs w:val="24"/>
        </w:rPr>
        <w:t xml:space="preserve"> </w:t>
      </w:r>
      <w:r w:rsidRPr="008C330D">
        <w:rPr>
          <w:rFonts w:ascii="Times New Roman" w:hAnsi="Times New Roman" w:cs="Times New Roman"/>
          <w:sz w:val="24"/>
          <w:szCs w:val="24"/>
        </w:rPr>
        <w:t>Brinkhoff, T. (2013). City populat</w:t>
      </w:r>
      <w:r w:rsidR="005D14E9" w:rsidRPr="008C330D">
        <w:rPr>
          <w:rFonts w:ascii="Times New Roman" w:hAnsi="Times New Roman" w:cs="Times New Roman"/>
          <w:sz w:val="24"/>
          <w:szCs w:val="24"/>
        </w:rPr>
        <w:t xml:space="preserve">ion of Nigeria. Retrieved from </w:t>
      </w:r>
      <w:hyperlink r:id="rId19" w:history="1">
        <w:r w:rsidR="00875466" w:rsidRPr="008C330D">
          <w:rPr>
            <w:rStyle w:val="Hyperlink"/>
            <w:rFonts w:ascii="Times New Roman" w:hAnsi="Times New Roman" w:cs="Times New Roman"/>
            <w:sz w:val="24"/>
            <w:szCs w:val="24"/>
          </w:rPr>
          <w:t>http://www.citypopulation.de/php/nigeria-admin.php?adm2id=NGA011006</w:t>
        </w:r>
      </w:hyperlink>
    </w:p>
    <w:p w14:paraId="4962A93B" w14:textId="77777777" w:rsidR="00875466" w:rsidRPr="008C330D" w:rsidRDefault="00875466" w:rsidP="0038269D">
      <w:pPr>
        <w:spacing w:after="0" w:line="240" w:lineRule="auto"/>
        <w:ind w:left="360" w:hanging="360"/>
        <w:jc w:val="both"/>
        <w:rPr>
          <w:rFonts w:ascii="Times New Roman" w:hAnsi="Times New Roman" w:cs="Times New Roman"/>
          <w:sz w:val="24"/>
          <w:szCs w:val="24"/>
          <w:highlight w:val="yellow"/>
        </w:rPr>
      </w:pPr>
      <w:r w:rsidRPr="008C330D">
        <w:rPr>
          <w:rFonts w:ascii="Times New Roman" w:eastAsia="Calibri" w:hAnsi="Times New Roman" w:cs="Times New Roman"/>
          <w:sz w:val="24"/>
          <w:szCs w:val="24"/>
          <w:highlight w:val="yellow"/>
        </w:rPr>
        <w:t xml:space="preserve">Blaschke, T. (2004). “Towards a Framework for Change Detection based on image object”. </w:t>
      </w:r>
      <w:proofErr w:type="spellStart"/>
      <w:r w:rsidRPr="008C330D">
        <w:rPr>
          <w:rFonts w:ascii="Times New Roman" w:eastAsia="Calibri" w:hAnsi="Times New Roman" w:cs="Times New Roman"/>
          <w:sz w:val="24"/>
          <w:szCs w:val="24"/>
          <w:highlight w:val="yellow"/>
        </w:rPr>
        <w:t>Erasmi</w:t>
      </w:r>
      <w:proofErr w:type="spellEnd"/>
      <w:r w:rsidRPr="008C330D">
        <w:rPr>
          <w:rFonts w:ascii="Times New Roman" w:eastAsia="Calibri" w:hAnsi="Times New Roman" w:cs="Times New Roman"/>
          <w:sz w:val="24"/>
          <w:szCs w:val="24"/>
          <w:highlight w:val="yellow"/>
        </w:rPr>
        <w:t xml:space="preserve">, S., Cyffka, B. and M. Kappas (eds): </w:t>
      </w:r>
      <w:proofErr w:type="spellStart"/>
      <w:r w:rsidRPr="008C330D">
        <w:rPr>
          <w:rFonts w:ascii="Times New Roman" w:eastAsia="Calibri" w:hAnsi="Times New Roman" w:cs="Times New Roman"/>
          <w:sz w:val="24"/>
          <w:szCs w:val="24"/>
          <w:highlight w:val="yellow"/>
        </w:rPr>
        <w:t>Gottinger</w:t>
      </w:r>
      <w:proofErr w:type="spellEnd"/>
      <w:r w:rsidRPr="008C330D">
        <w:rPr>
          <w:rFonts w:ascii="Times New Roman" w:eastAsia="Calibri" w:hAnsi="Times New Roman" w:cs="Times New Roman"/>
          <w:sz w:val="24"/>
          <w:szCs w:val="24"/>
          <w:highlight w:val="yellow"/>
        </w:rPr>
        <w:t xml:space="preserve"> </w:t>
      </w:r>
      <w:proofErr w:type="spellStart"/>
      <w:r w:rsidRPr="008C330D">
        <w:rPr>
          <w:rFonts w:ascii="Times New Roman" w:eastAsia="Calibri" w:hAnsi="Times New Roman" w:cs="Times New Roman"/>
          <w:sz w:val="24"/>
          <w:szCs w:val="24"/>
          <w:highlight w:val="yellow"/>
        </w:rPr>
        <w:t>Geographische</w:t>
      </w:r>
      <w:proofErr w:type="spellEnd"/>
      <w:r w:rsidRPr="008C330D">
        <w:rPr>
          <w:rFonts w:ascii="Times New Roman" w:eastAsia="Calibri" w:hAnsi="Times New Roman" w:cs="Times New Roman"/>
          <w:sz w:val="24"/>
          <w:szCs w:val="24"/>
          <w:highlight w:val="yellow"/>
        </w:rPr>
        <w:t xml:space="preserve"> </w:t>
      </w:r>
      <w:r w:rsidRPr="008C330D">
        <w:rPr>
          <w:rFonts w:ascii="Times New Roman" w:eastAsia="Calibri" w:hAnsi="Times New Roman" w:cs="Times New Roman"/>
          <w:sz w:val="24"/>
          <w:szCs w:val="24"/>
          <w:highlight w:val="yellow"/>
        </w:rPr>
        <w:tab/>
      </w:r>
      <w:proofErr w:type="spellStart"/>
      <w:r w:rsidRPr="008C330D">
        <w:rPr>
          <w:rFonts w:ascii="Times New Roman" w:eastAsia="Calibri" w:hAnsi="Times New Roman" w:cs="Times New Roman"/>
          <w:sz w:val="24"/>
          <w:szCs w:val="24"/>
          <w:highlight w:val="yellow"/>
        </w:rPr>
        <w:t>Abhandlungen</w:t>
      </w:r>
      <w:proofErr w:type="spellEnd"/>
      <w:r w:rsidRPr="008C330D">
        <w:rPr>
          <w:rFonts w:ascii="Times New Roman" w:eastAsia="Calibri" w:hAnsi="Times New Roman" w:cs="Times New Roman"/>
          <w:sz w:val="24"/>
          <w:szCs w:val="24"/>
          <w:highlight w:val="yellow"/>
        </w:rPr>
        <w:t xml:space="preserve"> 113: 1-</w:t>
      </w:r>
      <w:proofErr w:type="gramStart"/>
      <w:r w:rsidRPr="008C330D">
        <w:rPr>
          <w:rFonts w:ascii="Times New Roman" w:eastAsia="Calibri" w:hAnsi="Times New Roman" w:cs="Times New Roman"/>
          <w:sz w:val="24"/>
          <w:szCs w:val="24"/>
          <w:highlight w:val="yellow"/>
        </w:rPr>
        <w:t>9..</w:t>
      </w:r>
      <w:proofErr w:type="gramEnd"/>
      <w:r w:rsidRPr="008C330D">
        <w:rPr>
          <w:rFonts w:ascii="Times New Roman" w:eastAsia="Calibri" w:hAnsi="Times New Roman" w:cs="Times New Roman"/>
          <w:sz w:val="24"/>
          <w:szCs w:val="24"/>
          <w:highlight w:val="yellow"/>
        </w:rPr>
        <w:t xml:space="preserve"> </w:t>
      </w:r>
      <w:hyperlink r:id="rId20" w:tgtFrame="_blank" w:tooltip="Persistent link using digital object identifier" w:history="1">
        <w:r w:rsidRPr="008C330D">
          <w:rPr>
            <w:rFonts w:ascii="Times New Roman" w:eastAsia="Calibri" w:hAnsi="Times New Roman" w:cs="Times New Roman"/>
            <w:color w:val="0563C1"/>
            <w:sz w:val="24"/>
            <w:szCs w:val="24"/>
            <w:highlight w:val="yellow"/>
            <w:u w:val="single"/>
          </w:rPr>
          <w:t>https://doi.org/10.1016/j.isprsjprs.2009.06.004</w:t>
        </w:r>
      </w:hyperlink>
    </w:p>
    <w:p w14:paraId="69031FF0"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City Population. (2024). Ezza Sou</w:t>
      </w:r>
      <w:r w:rsidR="005D14E9" w:rsidRPr="008C330D">
        <w:rPr>
          <w:rFonts w:ascii="Times New Roman" w:hAnsi="Times New Roman" w:cs="Times New Roman"/>
          <w:sz w:val="24"/>
          <w:szCs w:val="24"/>
        </w:rPr>
        <w:t xml:space="preserve">th. Retrieved April 2024, from </w:t>
      </w:r>
      <w:r w:rsidRPr="008C330D">
        <w:rPr>
          <w:rFonts w:ascii="Times New Roman" w:hAnsi="Times New Roman" w:cs="Times New Roman"/>
          <w:sz w:val="24"/>
          <w:szCs w:val="24"/>
        </w:rPr>
        <w:t>https://www.citypopulation.de/en/nigeria/admin/ebonyi/NGA011006__ezza_south/</w:t>
      </w:r>
    </w:p>
    <w:p w14:paraId="37ED1C6B"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Duru, C. I., Chima, U. D., &amp; Fredrick, C. (2024). Land u</w:t>
      </w:r>
      <w:r w:rsidR="005D14E9" w:rsidRPr="008C330D">
        <w:rPr>
          <w:rFonts w:ascii="Times New Roman" w:hAnsi="Times New Roman" w:cs="Times New Roman"/>
          <w:sz w:val="24"/>
          <w:szCs w:val="24"/>
        </w:rPr>
        <w:t xml:space="preserve">se practices and environmental </w:t>
      </w:r>
      <w:r w:rsidRPr="008C330D">
        <w:rPr>
          <w:rFonts w:ascii="Times New Roman" w:hAnsi="Times New Roman" w:cs="Times New Roman"/>
          <w:sz w:val="24"/>
          <w:szCs w:val="24"/>
        </w:rPr>
        <w:t>consequences in Nigeria.</w:t>
      </w:r>
    </w:p>
    <w:p w14:paraId="1E6813BC"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Dynamic World, Dynamic World App. (202</w:t>
      </w:r>
      <w:r w:rsidR="005D14E9" w:rsidRPr="008C330D">
        <w:rPr>
          <w:rFonts w:ascii="Times New Roman" w:hAnsi="Times New Roman" w:cs="Times New Roman"/>
          <w:sz w:val="24"/>
          <w:szCs w:val="24"/>
        </w:rPr>
        <w:t xml:space="preserve">4). Retrieved April 2024, from </w:t>
      </w:r>
      <w:r w:rsidRPr="008C330D">
        <w:rPr>
          <w:rFonts w:ascii="Times New Roman" w:hAnsi="Times New Roman" w:cs="Times New Roman"/>
          <w:sz w:val="24"/>
          <w:szCs w:val="24"/>
        </w:rPr>
        <w:t>https://dynamicworld.app/</w:t>
      </w:r>
    </w:p>
    <w:p w14:paraId="19C9C520"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 xml:space="preserve">Earth </w:t>
      </w:r>
      <w:proofErr w:type="spellStart"/>
      <w:r w:rsidRPr="008C330D">
        <w:rPr>
          <w:rFonts w:ascii="Times New Roman" w:hAnsi="Times New Roman" w:cs="Times New Roman"/>
          <w:sz w:val="24"/>
          <w:szCs w:val="24"/>
        </w:rPr>
        <w:t>Blox</w:t>
      </w:r>
      <w:proofErr w:type="spellEnd"/>
      <w:r w:rsidRPr="008C330D">
        <w:rPr>
          <w:rFonts w:ascii="Times New Roman" w:hAnsi="Times New Roman" w:cs="Times New Roman"/>
          <w:sz w:val="24"/>
          <w:szCs w:val="24"/>
        </w:rPr>
        <w:t xml:space="preserve"> Dataset Review: Dynamic World Landcover @ 10m.</w:t>
      </w:r>
      <w:r w:rsidR="005D14E9" w:rsidRPr="008C330D">
        <w:rPr>
          <w:rFonts w:ascii="Times New Roman" w:hAnsi="Times New Roman" w:cs="Times New Roman"/>
          <w:sz w:val="24"/>
          <w:szCs w:val="24"/>
        </w:rPr>
        <w:t xml:space="preserve"> Earth </w:t>
      </w:r>
      <w:proofErr w:type="spellStart"/>
      <w:r w:rsidR="005D14E9" w:rsidRPr="008C330D">
        <w:rPr>
          <w:rFonts w:ascii="Times New Roman" w:hAnsi="Times New Roman" w:cs="Times New Roman"/>
          <w:sz w:val="24"/>
          <w:szCs w:val="24"/>
        </w:rPr>
        <w:t>Blox</w:t>
      </w:r>
      <w:proofErr w:type="spellEnd"/>
      <w:r w:rsidR="005D14E9" w:rsidRPr="008C330D">
        <w:rPr>
          <w:rFonts w:ascii="Times New Roman" w:hAnsi="Times New Roman" w:cs="Times New Roman"/>
          <w:sz w:val="24"/>
          <w:szCs w:val="24"/>
        </w:rPr>
        <w:t xml:space="preserve">. (2024). Retrieved </w:t>
      </w:r>
      <w:r w:rsidRPr="008C330D">
        <w:rPr>
          <w:rFonts w:ascii="Times New Roman" w:hAnsi="Times New Roman" w:cs="Times New Roman"/>
          <w:sz w:val="24"/>
          <w:szCs w:val="24"/>
        </w:rPr>
        <w:t xml:space="preserve">April 2024, from </w:t>
      </w:r>
      <w:hyperlink r:id="rId21" w:history="1">
        <w:r w:rsidRPr="008C330D">
          <w:rPr>
            <w:rStyle w:val="Hyperlink"/>
            <w:rFonts w:ascii="Times New Roman" w:hAnsi="Times New Roman" w:cs="Times New Roman"/>
            <w:sz w:val="24"/>
            <w:szCs w:val="24"/>
          </w:rPr>
          <w:t>https://www.earthblox.io/resources/earth-blox-dataset-review-dynamic-</w:t>
        </w:r>
      </w:hyperlink>
      <w:r w:rsidRPr="008C330D">
        <w:rPr>
          <w:rFonts w:ascii="Times New Roman" w:hAnsi="Times New Roman" w:cs="Times New Roman"/>
          <w:sz w:val="24"/>
          <w:szCs w:val="24"/>
        </w:rPr>
        <w:t>worldlandcover--10m</w:t>
      </w:r>
    </w:p>
    <w:p w14:paraId="6C9C2E72"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Ebonyi State Government. (2024). Ebonyi State Profi</w:t>
      </w:r>
      <w:r w:rsidR="005D14E9" w:rsidRPr="008C330D">
        <w:rPr>
          <w:rFonts w:ascii="Times New Roman" w:hAnsi="Times New Roman" w:cs="Times New Roman"/>
          <w:sz w:val="24"/>
          <w:szCs w:val="24"/>
        </w:rPr>
        <w:t xml:space="preserve">le. Retrieved April 2024, from </w:t>
      </w:r>
      <w:r w:rsidRPr="008C330D">
        <w:rPr>
          <w:rFonts w:ascii="Times New Roman" w:hAnsi="Times New Roman" w:cs="Times New Roman"/>
          <w:sz w:val="24"/>
          <w:szCs w:val="24"/>
        </w:rPr>
        <w:t>https://ebonyistate.gov.ng/page/ebonyi-state-profile</w:t>
      </w:r>
    </w:p>
    <w:p w14:paraId="3EAEB2BE"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rPr>
        <w:t>Ejati</w:t>
      </w:r>
      <w:proofErr w:type="spellEnd"/>
      <w:r w:rsidRPr="008C330D">
        <w:rPr>
          <w:rFonts w:ascii="Times New Roman" w:hAnsi="Times New Roman" w:cs="Times New Roman"/>
          <w:sz w:val="24"/>
          <w:szCs w:val="24"/>
        </w:rPr>
        <w:t xml:space="preserve">, E. A., Goro, S. A., &amp; </w:t>
      </w:r>
      <w:proofErr w:type="spellStart"/>
      <w:r w:rsidRPr="008C330D">
        <w:rPr>
          <w:rFonts w:ascii="Times New Roman" w:hAnsi="Times New Roman" w:cs="Times New Roman"/>
          <w:sz w:val="24"/>
          <w:szCs w:val="24"/>
        </w:rPr>
        <w:t>Nabegu</w:t>
      </w:r>
      <w:proofErr w:type="spellEnd"/>
      <w:r w:rsidRPr="008C330D">
        <w:rPr>
          <w:rFonts w:ascii="Times New Roman" w:hAnsi="Times New Roman" w:cs="Times New Roman"/>
          <w:sz w:val="24"/>
          <w:szCs w:val="24"/>
        </w:rPr>
        <w:t xml:space="preserve">, A. B. (2024). Assessment of the socio-demographic drivers </w:t>
      </w:r>
      <w:r w:rsidRPr="008C330D">
        <w:rPr>
          <w:rFonts w:ascii="Times New Roman" w:hAnsi="Times New Roman" w:cs="Times New Roman"/>
          <w:sz w:val="24"/>
          <w:szCs w:val="24"/>
        </w:rPr>
        <w:tab/>
        <w:t xml:space="preserve">of </w:t>
      </w:r>
      <w:r w:rsidR="005D14E9" w:rsidRPr="008C330D">
        <w:rPr>
          <w:rFonts w:ascii="Times New Roman" w:hAnsi="Times New Roman" w:cs="Times New Roman"/>
          <w:sz w:val="24"/>
          <w:szCs w:val="24"/>
        </w:rPr>
        <w:t xml:space="preserve">       </w:t>
      </w:r>
      <w:r w:rsidRPr="008C330D">
        <w:rPr>
          <w:rFonts w:ascii="Times New Roman" w:hAnsi="Times New Roman" w:cs="Times New Roman"/>
          <w:sz w:val="24"/>
          <w:szCs w:val="24"/>
        </w:rPr>
        <w:t xml:space="preserve">land use and land cover transformation in Central Taraba State, Nigeria. Journal of </w:t>
      </w:r>
      <w:r w:rsidRPr="008C330D">
        <w:rPr>
          <w:rFonts w:ascii="Times New Roman" w:hAnsi="Times New Roman" w:cs="Times New Roman"/>
          <w:sz w:val="24"/>
          <w:szCs w:val="24"/>
        </w:rPr>
        <w:tab/>
        <w:t>Ecology and Natural Resources, 8(1), 1-10.</w:t>
      </w:r>
    </w:p>
    <w:p w14:paraId="4F0BE915" w14:textId="77777777" w:rsidR="00AC0F0A" w:rsidRPr="008C330D" w:rsidRDefault="00AC0F0A" w:rsidP="00EA37EA">
      <w:pPr>
        <w:pStyle w:val="NoSpacing"/>
        <w:ind w:left="360" w:hanging="360"/>
        <w:jc w:val="both"/>
        <w:rPr>
          <w:rFonts w:ascii="Times New Roman" w:hAnsi="Times New Roman" w:cs="Times New Roman"/>
          <w:color w:val="212121"/>
          <w:sz w:val="24"/>
          <w:szCs w:val="24"/>
          <w:shd w:val="clear" w:color="auto" w:fill="FFFFFF"/>
        </w:rPr>
      </w:pPr>
      <w:r w:rsidRPr="008C330D">
        <w:rPr>
          <w:rFonts w:ascii="Times New Roman" w:hAnsi="Times New Roman" w:cs="Times New Roman"/>
          <w:color w:val="212121"/>
          <w:sz w:val="24"/>
          <w:szCs w:val="24"/>
          <w:shd w:val="clear" w:color="auto" w:fill="FFFFFF"/>
        </w:rPr>
        <w:t xml:space="preserve">Ellis EC (2011). Anthropogenic transformation of the terrestrial </w:t>
      </w:r>
      <w:r w:rsidR="005D14E9" w:rsidRPr="008C330D">
        <w:rPr>
          <w:rFonts w:ascii="Times New Roman" w:hAnsi="Times New Roman" w:cs="Times New Roman"/>
          <w:color w:val="212121"/>
          <w:sz w:val="24"/>
          <w:szCs w:val="24"/>
          <w:shd w:val="clear" w:color="auto" w:fill="FFFFFF"/>
        </w:rPr>
        <w:t xml:space="preserve">biosphere. </w:t>
      </w:r>
      <w:proofErr w:type="spellStart"/>
      <w:r w:rsidR="005D14E9" w:rsidRPr="008C330D">
        <w:rPr>
          <w:rFonts w:ascii="Times New Roman" w:hAnsi="Times New Roman" w:cs="Times New Roman"/>
          <w:color w:val="212121"/>
          <w:sz w:val="24"/>
          <w:szCs w:val="24"/>
          <w:shd w:val="clear" w:color="auto" w:fill="FFFFFF"/>
        </w:rPr>
        <w:t>Philos</w:t>
      </w:r>
      <w:proofErr w:type="spellEnd"/>
      <w:r w:rsidR="005D14E9" w:rsidRPr="008C330D">
        <w:rPr>
          <w:rFonts w:ascii="Times New Roman" w:hAnsi="Times New Roman" w:cs="Times New Roman"/>
          <w:color w:val="212121"/>
          <w:sz w:val="24"/>
          <w:szCs w:val="24"/>
          <w:shd w:val="clear" w:color="auto" w:fill="FFFFFF"/>
        </w:rPr>
        <w:t xml:space="preserve"> Trans A Math </w:t>
      </w:r>
      <w:r w:rsidRPr="008C330D">
        <w:rPr>
          <w:rFonts w:ascii="Times New Roman" w:hAnsi="Times New Roman" w:cs="Times New Roman"/>
          <w:color w:val="212121"/>
          <w:sz w:val="24"/>
          <w:szCs w:val="24"/>
          <w:shd w:val="clear" w:color="auto" w:fill="FFFFFF"/>
        </w:rPr>
        <w:t xml:space="preserve">Phys Eng Sci. 2011 Mar 13;369(1938):1010-35. </w:t>
      </w:r>
      <w:proofErr w:type="spellStart"/>
      <w:r w:rsidRPr="008C330D">
        <w:rPr>
          <w:rFonts w:ascii="Times New Roman" w:hAnsi="Times New Roman" w:cs="Times New Roman"/>
          <w:color w:val="212121"/>
          <w:sz w:val="24"/>
          <w:szCs w:val="24"/>
          <w:shd w:val="clear" w:color="auto" w:fill="FFFFFF"/>
        </w:rPr>
        <w:t>doi</w:t>
      </w:r>
      <w:proofErr w:type="spellEnd"/>
      <w:r w:rsidRPr="008C330D">
        <w:rPr>
          <w:rFonts w:ascii="Times New Roman" w:hAnsi="Times New Roman" w:cs="Times New Roman"/>
          <w:color w:val="212121"/>
          <w:sz w:val="24"/>
          <w:szCs w:val="24"/>
          <w:shd w:val="clear" w:color="auto" w:fill="FFFFFF"/>
        </w:rPr>
        <w:t>:</w:t>
      </w:r>
      <w:r w:rsidR="005D14E9" w:rsidRPr="008C330D">
        <w:rPr>
          <w:rFonts w:ascii="Times New Roman" w:hAnsi="Times New Roman" w:cs="Times New Roman"/>
          <w:color w:val="212121"/>
          <w:sz w:val="24"/>
          <w:szCs w:val="24"/>
          <w:shd w:val="clear" w:color="auto" w:fill="FFFFFF"/>
        </w:rPr>
        <w:t xml:space="preserve"> 10.1098/rsta.2010.0331. PMID: </w:t>
      </w:r>
      <w:r w:rsidRPr="008C330D">
        <w:rPr>
          <w:rFonts w:ascii="Times New Roman" w:hAnsi="Times New Roman" w:cs="Times New Roman"/>
          <w:color w:val="212121"/>
          <w:sz w:val="24"/>
          <w:szCs w:val="24"/>
          <w:shd w:val="clear" w:color="auto" w:fill="FFFFFF"/>
        </w:rPr>
        <w:t>21282158.</w:t>
      </w:r>
    </w:p>
    <w:p w14:paraId="16F99E1A" w14:textId="77777777" w:rsidR="0038269D" w:rsidRPr="008C330D" w:rsidRDefault="0038269D" w:rsidP="0038269D">
      <w:pPr>
        <w:spacing w:after="0" w:line="240" w:lineRule="auto"/>
        <w:ind w:left="360" w:hanging="360"/>
        <w:jc w:val="both"/>
        <w:rPr>
          <w:rFonts w:ascii="Times New Roman" w:eastAsia="Calibri" w:hAnsi="Times New Roman" w:cs="Times New Roman"/>
          <w:sz w:val="24"/>
          <w:szCs w:val="24"/>
          <w:highlight w:val="yellow"/>
        </w:rPr>
      </w:pPr>
      <w:r w:rsidRPr="008C330D">
        <w:rPr>
          <w:rFonts w:ascii="Times New Roman" w:eastAsia="Calibri" w:hAnsi="Times New Roman" w:cs="Times New Roman"/>
          <w:sz w:val="24"/>
          <w:szCs w:val="24"/>
          <w:highlight w:val="yellow"/>
        </w:rPr>
        <w:t xml:space="preserve">Eziamaka, O.G., </w:t>
      </w:r>
      <w:proofErr w:type="spellStart"/>
      <w:r w:rsidRPr="008C330D">
        <w:rPr>
          <w:rFonts w:ascii="Times New Roman" w:eastAsia="Calibri" w:hAnsi="Times New Roman" w:cs="Times New Roman"/>
          <w:sz w:val="24"/>
          <w:szCs w:val="24"/>
          <w:highlight w:val="yellow"/>
        </w:rPr>
        <w:t>Obenade</w:t>
      </w:r>
      <w:proofErr w:type="spellEnd"/>
      <w:r w:rsidRPr="008C330D">
        <w:rPr>
          <w:rFonts w:ascii="Times New Roman" w:eastAsia="Calibri" w:hAnsi="Times New Roman" w:cs="Times New Roman"/>
          <w:sz w:val="24"/>
          <w:szCs w:val="24"/>
          <w:highlight w:val="yellow"/>
        </w:rPr>
        <w:t xml:space="preserve">, M., Samuel, E.O., Franca, I.N., Owere, O.G., </w:t>
      </w:r>
      <w:proofErr w:type="spellStart"/>
      <w:r w:rsidRPr="008C330D">
        <w:rPr>
          <w:rFonts w:ascii="Times New Roman" w:eastAsia="Calibri" w:hAnsi="Times New Roman" w:cs="Times New Roman"/>
          <w:sz w:val="24"/>
          <w:szCs w:val="24"/>
          <w:highlight w:val="yellow"/>
        </w:rPr>
        <w:t>Chukwuedo</w:t>
      </w:r>
      <w:proofErr w:type="spellEnd"/>
      <w:r w:rsidRPr="008C330D">
        <w:rPr>
          <w:rFonts w:ascii="Times New Roman" w:eastAsia="Calibri" w:hAnsi="Times New Roman" w:cs="Times New Roman"/>
          <w:sz w:val="24"/>
          <w:szCs w:val="24"/>
          <w:highlight w:val="yellow"/>
        </w:rPr>
        <w:t xml:space="preserve">, O.S., </w:t>
      </w:r>
      <w:proofErr w:type="spellStart"/>
      <w:r w:rsidRPr="008C330D">
        <w:rPr>
          <w:rFonts w:ascii="Times New Roman" w:eastAsia="Calibri" w:hAnsi="Times New Roman" w:cs="Times New Roman"/>
          <w:sz w:val="24"/>
          <w:szCs w:val="24"/>
          <w:highlight w:val="yellow"/>
        </w:rPr>
        <w:t>Nwachi</w:t>
      </w:r>
      <w:proofErr w:type="spellEnd"/>
      <w:r w:rsidRPr="008C330D">
        <w:rPr>
          <w:rFonts w:ascii="Times New Roman" w:eastAsia="Calibri" w:hAnsi="Times New Roman" w:cs="Times New Roman"/>
          <w:sz w:val="24"/>
          <w:szCs w:val="24"/>
          <w:highlight w:val="yellow"/>
        </w:rPr>
        <w:t xml:space="preserve">, O.K., Agwu, J.P., </w:t>
      </w:r>
      <w:proofErr w:type="spellStart"/>
      <w:r w:rsidRPr="008C330D">
        <w:rPr>
          <w:rFonts w:ascii="Times New Roman" w:eastAsia="Calibri" w:hAnsi="Times New Roman" w:cs="Times New Roman"/>
          <w:sz w:val="24"/>
          <w:szCs w:val="24"/>
          <w:highlight w:val="yellow"/>
        </w:rPr>
        <w:t>Ibeneme</w:t>
      </w:r>
      <w:proofErr w:type="spellEnd"/>
      <w:r w:rsidRPr="008C330D">
        <w:rPr>
          <w:rFonts w:ascii="Times New Roman" w:eastAsia="Calibri" w:hAnsi="Times New Roman" w:cs="Times New Roman"/>
          <w:sz w:val="24"/>
          <w:szCs w:val="24"/>
          <w:highlight w:val="yellow"/>
        </w:rPr>
        <w:t xml:space="preserve">, P.A. and </w:t>
      </w:r>
      <w:proofErr w:type="spellStart"/>
      <w:r w:rsidRPr="008C330D">
        <w:rPr>
          <w:rFonts w:ascii="Times New Roman" w:eastAsia="Calibri" w:hAnsi="Times New Roman" w:cs="Times New Roman"/>
          <w:sz w:val="24"/>
          <w:szCs w:val="24"/>
          <w:highlight w:val="yellow"/>
        </w:rPr>
        <w:t>Ibeneme</w:t>
      </w:r>
      <w:proofErr w:type="spellEnd"/>
      <w:r w:rsidRPr="008C330D">
        <w:rPr>
          <w:rFonts w:ascii="Times New Roman" w:eastAsia="Calibri" w:hAnsi="Times New Roman" w:cs="Times New Roman"/>
          <w:sz w:val="24"/>
          <w:szCs w:val="24"/>
          <w:highlight w:val="yellow"/>
        </w:rPr>
        <w:t>, S.U. (2025). Environmental and Agricultural Impacts of Deforestation in Uzo-</w:t>
      </w:r>
      <w:proofErr w:type="spellStart"/>
      <w:r w:rsidRPr="008C330D">
        <w:rPr>
          <w:rFonts w:ascii="Times New Roman" w:eastAsia="Calibri" w:hAnsi="Times New Roman" w:cs="Times New Roman"/>
          <w:sz w:val="24"/>
          <w:szCs w:val="24"/>
          <w:highlight w:val="yellow"/>
        </w:rPr>
        <w:t>Uwani</w:t>
      </w:r>
      <w:proofErr w:type="spellEnd"/>
      <w:r w:rsidRPr="008C330D">
        <w:rPr>
          <w:rFonts w:ascii="Times New Roman" w:eastAsia="Calibri" w:hAnsi="Times New Roman" w:cs="Times New Roman"/>
          <w:sz w:val="24"/>
          <w:szCs w:val="24"/>
          <w:highlight w:val="yellow"/>
        </w:rPr>
        <w:t xml:space="preserve"> Local Government Area of Enugu State, Nigeria. Grassroots Journal of Natural Resources, 8(3): 420-444. Doi: </w:t>
      </w:r>
      <w:hyperlink r:id="rId22" w:history="1">
        <w:r w:rsidRPr="008C330D">
          <w:rPr>
            <w:rFonts w:ascii="Times New Roman" w:eastAsia="Calibri" w:hAnsi="Times New Roman" w:cs="Times New Roman"/>
            <w:color w:val="0563C1"/>
            <w:sz w:val="24"/>
            <w:szCs w:val="24"/>
            <w:highlight w:val="yellow"/>
            <w:u w:val="single"/>
          </w:rPr>
          <w:t>https://doi.org/10.33002/nr2581.6853.080317</w:t>
        </w:r>
      </w:hyperlink>
      <w:r w:rsidRPr="008C330D">
        <w:rPr>
          <w:rFonts w:ascii="Times New Roman" w:eastAsia="Calibri" w:hAnsi="Times New Roman" w:cs="Times New Roman"/>
          <w:sz w:val="24"/>
          <w:szCs w:val="24"/>
          <w:highlight w:val="yellow"/>
        </w:rPr>
        <w:t xml:space="preserve">  </w:t>
      </w:r>
    </w:p>
    <w:p w14:paraId="01330C43" w14:textId="77777777" w:rsidR="0038269D" w:rsidRPr="008C330D" w:rsidRDefault="0038269D" w:rsidP="0038269D">
      <w:pPr>
        <w:spacing w:after="0" w:line="240" w:lineRule="auto"/>
        <w:ind w:left="360" w:hanging="360"/>
        <w:jc w:val="both"/>
        <w:rPr>
          <w:rFonts w:ascii="Times New Roman" w:eastAsia="Calibri" w:hAnsi="Times New Roman" w:cs="Times New Roman"/>
          <w:sz w:val="24"/>
          <w:szCs w:val="24"/>
          <w:highlight w:val="yellow"/>
        </w:rPr>
      </w:pPr>
      <w:r w:rsidRPr="008C330D">
        <w:rPr>
          <w:rFonts w:ascii="Times New Roman" w:eastAsia="Calibri" w:hAnsi="Times New Roman" w:cs="Times New Roman"/>
          <w:sz w:val="24"/>
          <w:szCs w:val="24"/>
          <w:highlight w:val="yellow"/>
        </w:rPr>
        <w:t xml:space="preserve">Fan, F., Weng, Q. and Wang, Y. (2007). Land use Land cover change in Guangzhou, China, from 1998 to 2003, based on </w:t>
      </w:r>
      <w:proofErr w:type="spellStart"/>
      <w:r w:rsidRPr="008C330D">
        <w:rPr>
          <w:rFonts w:ascii="Times New Roman" w:eastAsia="Calibri" w:hAnsi="Times New Roman" w:cs="Times New Roman"/>
          <w:sz w:val="24"/>
          <w:szCs w:val="24"/>
          <w:highlight w:val="yellow"/>
        </w:rPr>
        <w:t>LandSat</w:t>
      </w:r>
      <w:proofErr w:type="spellEnd"/>
      <w:r w:rsidRPr="008C330D">
        <w:rPr>
          <w:rFonts w:ascii="Times New Roman" w:eastAsia="Calibri" w:hAnsi="Times New Roman" w:cs="Times New Roman"/>
          <w:sz w:val="24"/>
          <w:szCs w:val="24"/>
          <w:highlight w:val="yellow"/>
        </w:rPr>
        <w:t xml:space="preserve"> TM/ETM + Imagery. Sensors 7: 1323-1342.</w:t>
      </w:r>
      <w:r w:rsidRPr="008C330D">
        <w:rPr>
          <w:rFonts w:ascii="Times New Roman" w:eastAsia="Calibri" w:hAnsi="Times New Roman" w:cs="Times New Roman"/>
          <w:sz w:val="24"/>
          <w:szCs w:val="24"/>
          <w:highlight w:val="yellow"/>
        </w:rPr>
        <w:br/>
      </w:r>
      <w:hyperlink r:id="rId23" w:history="1">
        <w:r w:rsidRPr="008C330D">
          <w:rPr>
            <w:rFonts w:ascii="Times New Roman" w:eastAsia="Calibri" w:hAnsi="Times New Roman" w:cs="Times New Roman"/>
            <w:color w:val="0563C1"/>
            <w:sz w:val="24"/>
            <w:szCs w:val="24"/>
            <w:highlight w:val="yellow"/>
            <w:u w:val="single"/>
          </w:rPr>
          <w:t>https://doi.org/10.3390/s7071323</w:t>
        </w:r>
      </w:hyperlink>
    </w:p>
    <w:p w14:paraId="1E6A1E63"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FAO. (2010). Global forest resources assessment. Food and A</w:t>
      </w:r>
      <w:r w:rsidR="005D14E9" w:rsidRPr="008C330D">
        <w:rPr>
          <w:rFonts w:ascii="Times New Roman" w:hAnsi="Times New Roman" w:cs="Times New Roman"/>
          <w:sz w:val="24"/>
          <w:szCs w:val="24"/>
        </w:rPr>
        <w:t xml:space="preserve">griculture Organization of the </w:t>
      </w:r>
      <w:r w:rsidRPr="008C330D">
        <w:rPr>
          <w:rFonts w:ascii="Times New Roman" w:hAnsi="Times New Roman" w:cs="Times New Roman"/>
          <w:sz w:val="24"/>
          <w:szCs w:val="24"/>
        </w:rPr>
        <w:t>United Nations.</w:t>
      </w:r>
    </w:p>
    <w:p w14:paraId="681C90B5"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Gebrehiwot, M. A., &amp; Tola, H. M. (2023). Analysis of vegetation dynamics and their resp</w:t>
      </w:r>
      <w:r w:rsidR="005D14E9" w:rsidRPr="008C330D">
        <w:rPr>
          <w:rFonts w:ascii="Times New Roman" w:hAnsi="Times New Roman" w:cs="Times New Roman"/>
          <w:sz w:val="24"/>
          <w:szCs w:val="24"/>
        </w:rPr>
        <w:t xml:space="preserve">onse to </w:t>
      </w:r>
      <w:r w:rsidRPr="008C330D">
        <w:rPr>
          <w:rFonts w:ascii="Times New Roman" w:hAnsi="Times New Roman" w:cs="Times New Roman"/>
          <w:sz w:val="24"/>
          <w:szCs w:val="24"/>
        </w:rPr>
        <w:t xml:space="preserve">climate change in the Central Rift Valley of Ethiopia using time-series satellite data. </w:t>
      </w:r>
      <w:r w:rsidRPr="008C330D">
        <w:rPr>
          <w:rFonts w:ascii="Times New Roman" w:hAnsi="Times New Roman" w:cs="Times New Roman"/>
          <w:sz w:val="24"/>
          <w:szCs w:val="24"/>
        </w:rPr>
        <w:tab/>
        <w:t>Remote Sensing, 15(20), 5032.</w:t>
      </w:r>
    </w:p>
    <w:p w14:paraId="2AE865CE"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Google Earth Engine and Dynamic World. GeoVisualization.net.</w:t>
      </w:r>
      <w:r w:rsidR="005D14E9" w:rsidRPr="008C330D">
        <w:rPr>
          <w:rFonts w:ascii="Times New Roman" w:hAnsi="Times New Roman" w:cs="Times New Roman"/>
          <w:sz w:val="24"/>
          <w:szCs w:val="24"/>
        </w:rPr>
        <w:t xml:space="preserve"> (2024). Retrieved April 2024, </w:t>
      </w:r>
      <w:r w:rsidRPr="008C330D">
        <w:rPr>
          <w:rFonts w:ascii="Times New Roman" w:hAnsi="Times New Roman" w:cs="Times New Roman"/>
          <w:sz w:val="24"/>
          <w:szCs w:val="24"/>
        </w:rPr>
        <w:t>from https://geovisualization.net/2022/09/09/google-earth-engine-and-dynamic-world/</w:t>
      </w:r>
    </w:p>
    <w:p w14:paraId="30965D2A"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 xml:space="preserve">Hula, M. A. (2010). Population Dynamics </w:t>
      </w:r>
      <w:proofErr w:type="gramStart"/>
      <w:r w:rsidRPr="008C330D">
        <w:rPr>
          <w:rFonts w:ascii="Times New Roman" w:hAnsi="Times New Roman" w:cs="Times New Roman"/>
          <w:sz w:val="24"/>
          <w:szCs w:val="24"/>
        </w:rPr>
        <w:t>And</w:t>
      </w:r>
      <w:proofErr w:type="gramEnd"/>
      <w:r w:rsidRPr="008C330D">
        <w:rPr>
          <w:rFonts w:ascii="Times New Roman" w:hAnsi="Times New Roman" w:cs="Times New Roman"/>
          <w:sz w:val="24"/>
          <w:szCs w:val="24"/>
        </w:rPr>
        <w:t xml:space="preserve"> Vegetation C</w:t>
      </w:r>
      <w:r w:rsidR="005D14E9" w:rsidRPr="008C330D">
        <w:rPr>
          <w:rFonts w:ascii="Times New Roman" w:hAnsi="Times New Roman" w:cs="Times New Roman"/>
          <w:sz w:val="24"/>
          <w:szCs w:val="24"/>
        </w:rPr>
        <w:t xml:space="preserve">hange </w:t>
      </w:r>
      <w:proofErr w:type="gramStart"/>
      <w:r w:rsidR="005D14E9" w:rsidRPr="008C330D">
        <w:rPr>
          <w:rFonts w:ascii="Times New Roman" w:hAnsi="Times New Roman" w:cs="Times New Roman"/>
          <w:sz w:val="24"/>
          <w:szCs w:val="24"/>
        </w:rPr>
        <w:t>In</w:t>
      </w:r>
      <w:proofErr w:type="gramEnd"/>
      <w:r w:rsidR="005D14E9" w:rsidRPr="008C330D">
        <w:rPr>
          <w:rFonts w:ascii="Times New Roman" w:hAnsi="Times New Roman" w:cs="Times New Roman"/>
          <w:sz w:val="24"/>
          <w:szCs w:val="24"/>
        </w:rPr>
        <w:t xml:space="preserve"> Benue State, Nigeria. </w:t>
      </w:r>
      <w:r w:rsidRPr="008C330D">
        <w:rPr>
          <w:rFonts w:ascii="Times New Roman" w:hAnsi="Times New Roman" w:cs="Times New Roman"/>
          <w:sz w:val="24"/>
          <w:szCs w:val="24"/>
        </w:rPr>
        <w:t xml:space="preserve">Journal of </w:t>
      </w:r>
      <w:r w:rsidRPr="008C330D">
        <w:rPr>
          <w:rFonts w:ascii="Times New Roman" w:hAnsi="Times New Roman" w:cs="Times New Roman"/>
          <w:sz w:val="24"/>
          <w:szCs w:val="24"/>
        </w:rPr>
        <w:tab/>
        <w:t>Environmental Issues and Agriculture in Developing Countries, 2(1).</w:t>
      </w:r>
    </w:p>
    <w:p w14:paraId="1380D91F"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rPr>
        <w:t>Igu</w:t>
      </w:r>
      <w:proofErr w:type="spellEnd"/>
      <w:r w:rsidRPr="008C330D">
        <w:rPr>
          <w:rFonts w:ascii="Times New Roman" w:hAnsi="Times New Roman" w:cs="Times New Roman"/>
          <w:sz w:val="24"/>
          <w:szCs w:val="24"/>
        </w:rPr>
        <w:t xml:space="preserve">, C., </w:t>
      </w:r>
      <w:proofErr w:type="spellStart"/>
      <w:r w:rsidRPr="008C330D">
        <w:rPr>
          <w:rFonts w:ascii="Times New Roman" w:hAnsi="Times New Roman" w:cs="Times New Roman"/>
          <w:sz w:val="24"/>
          <w:szCs w:val="24"/>
        </w:rPr>
        <w:t>Unigwe</w:t>
      </w:r>
      <w:proofErr w:type="spellEnd"/>
      <w:r w:rsidRPr="008C330D">
        <w:rPr>
          <w:rFonts w:ascii="Times New Roman" w:hAnsi="Times New Roman" w:cs="Times New Roman"/>
          <w:sz w:val="24"/>
          <w:szCs w:val="24"/>
        </w:rPr>
        <w:t>, C., &amp; Anyanwu, S. O. (2021). Analysis of forest c</w:t>
      </w:r>
      <w:r w:rsidR="005D14E9" w:rsidRPr="008C330D">
        <w:rPr>
          <w:rFonts w:ascii="Times New Roman" w:hAnsi="Times New Roman" w:cs="Times New Roman"/>
          <w:sz w:val="24"/>
          <w:szCs w:val="24"/>
        </w:rPr>
        <w:t xml:space="preserve">over change and its drivers in </w:t>
      </w:r>
      <w:proofErr w:type="spellStart"/>
      <w:r w:rsidRPr="008C330D">
        <w:rPr>
          <w:rFonts w:ascii="Times New Roman" w:hAnsi="Times New Roman" w:cs="Times New Roman"/>
          <w:sz w:val="24"/>
          <w:szCs w:val="24"/>
        </w:rPr>
        <w:t>Awka</w:t>
      </w:r>
      <w:proofErr w:type="spellEnd"/>
      <w:r w:rsidRPr="008C330D">
        <w:rPr>
          <w:rFonts w:ascii="Times New Roman" w:hAnsi="Times New Roman" w:cs="Times New Roman"/>
          <w:sz w:val="24"/>
          <w:szCs w:val="24"/>
        </w:rPr>
        <w:t>-South, South-East Nigeria. African Journa</w:t>
      </w:r>
      <w:r w:rsidR="005D14E9" w:rsidRPr="008C330D">
        <w:rPr>
          <w:rFonts w:ascii="Times New Roman" w:hAnsi="Times New Roman" w:cs="Times New Roman"/>
          <w:sz w:val="24"/>
          <w:szCs w:val="24"/>
        </w:rPr>
        <w:t xml:space="preserve">l of Environmental Science and </w:t>
      </w:r>
      <w:r w:rsidRPr="008C330D">
        <w:rPr>
          <w:rFonts w:ascii="Times New Roman" w:hAnsi="Times New Roman" w:cs="Times New Roman"/>
          <w:sz w:val="24"/>
          <w:szCs w:val="24"/>
        </w:rPr>
        <w:t>Technology, 15(1), 13-26.</w:t>
      </w:r>
    </w:p>
    <w:p w14:paraId="51162AF7"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lastRenderedPageBreak/>
        <w:t>Introduction to Dynamic World - Part 1. Google Earth Engin</w:t>
      </w:r>
      <w:r w:rsidR="005D14E9" w:rsidRPr="008C330D">
        <w:rPr>
          <w:rFonts w:ascii="Times New Roman" w:hAnsi="Times New Roman" w:cs="Times New Roman"/>
          <w:sz w:val="24"/>
          <w:szCs w:val="24"/>
        </w:rPr>
        <w:t xml:space="preserve">e Community Tutorials. (2024). </w:t>
      </w:r>
      <w:r w:rsidRPr="008C330D">
        <w:rPr>
          <w:rFonts w:ascii="Times New Roman" w:hAnsi="Times New Roman" w:cs="Times New Roman"/>
          <w:sz w:val="24"/>
          <w:szCs w:val="24"/>
        </w:rPr>
        <w:t xml:space="preserve">Retrieved April 2024, from </w:t>
      </w:r>
      <w:hyperlink r:id="rId24" w:history="1">
        <w:r w:rsidR="008C330D" w:rsidRPr="008C330D">
          <w:rPr>
            <w:rStyle w:val="Hyperlink"/>
            <w:rFonts w:ascii="Times New Roman" w:hAnsi="Times New Roman" w:cs="Times New Roman"/>
            <w:sz w:val="24"/>
            <w:szCs w:val="24"/>
          </w:rPr>
          <w:t>https://developers.google.com/earth-engine/tutorials/community/introduction-to-dynamic-world-pt-1</w:t>
        </w:r>
      </w:hyperlink>
    </w:p>
    <w:p w14:paraId="5A7B221E" w14:textId="77777777" w:rsidR="008C330D" w:rsidRPr="008C330D" w:rsidRDefault="008C330D"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color w:val="232323"/>
          <w:sz w:val="24"/>
          <w:szCs w:val="24"/>
          <w:shd w:val="clear" w:color="auto" w:fill="FFFFFF"/>
        </w:rPr>
        <w:t xml:space="preserve">Jimoh, O. S., </w:t>
      </w:r>
      <w:proofErr w:type="spellStart"/>
      <w:r w:rsidRPr="008C330D">
        <w:rPr>
          <w:rFonts w:ascii="Times New Roman" w:hAnsi="Times New Roman" w:cs="Times New Roman"/>
          <w:color w:val="232323"/>
          <w:sz w:val="24"/>
          <w:szCs w:val="24"/>
          <w:shd w:val="clear" w:color="auto" w:fill="FFFFFF"/>
        </w:rPr>
        <w:t>Adesoye</w:t>
      </w:r>
      <w:proofErr w:type="spellEnd"/>
      <w:r w:rsidRPr="008C330D">
        <w:rPr>
          <w:rFonts w:ascii="Times New Roman" w:hAnsi="Times New Roman" w:cs="Times New Roman"/>
          <w:color w:val="232323"/>
          <w:sz w:val="24"/>
          <w:szCs w:val="24"/>
          <w:shd w:val="clear" w:color="auto" w:fill="FFFFFF"/>
        </w:rPr>
        <w:t xml:space="preserve">, P., Adeyemi, A. A., &amp; </w:t>
      </w:r>
      <w:proofErr w:type="spellStart"/>
      <w:r w:rsidRPr="008C330D">
        <w:rPr>
          <w:rFonts w:ascii="Times New Roman" w:hAnsi="Times New Roman" w:cs="Times New Roman"/>
          <w:color w:val="232323"/>
          <w:sz w:val="24"/>
          <w:szCs w:val="24"/>
          <w:shd w:val="clear" w:color="auto" w:fill="FFFFFF"/>
        </w:rPr>
        <w:t>Ikyaagba</w:t>
      </w:r>
      <w:proofErr w:type="spellEnd"/>
      <w:r w:rsidRPr="008C330D">
        <w:rPr>
          <w:rFonts w:ascii="Times New Roman" w:hAnsi="Times New Roman" w:cs="Times New Roman"/>
          <w:color w:val="232323"/>
          <w:sz w:val="24"/>
          <w:szCs w:val="24"/>
          <w:shd w:val="clear" w:color="auto" w:fill="FFFFFF"/>
        </w:rPr>
        <w:t>, E. T. (2012). Forest Structure Analysis in the Oban Division of Cross River National Park, Nigeria. Journal of Agricultural Science and Technology, 2, 510-518.</w:t>
      </w:r>
    </w:p>
    <w:p w14:paraId="40D8B150"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rPr>
        <w:t>Kankara</w:t>
      </w:r>
      <w:proofErr w:type="spellEnd"/>
      <w:r w:rsidRPr="008C330D">
        <w:rPr>
          <w:rFonts w:ascii="Times New Roman" w:hAnsi="Times New Roman" w:cs="Times New Roman"/>
          <w:sz w:val="24"/>
          <w:szCs w:val="24"/>
        </w:rPr>
        <w:t>, I. A. (2013). Deforestation and vegetation dynamics in Nigeria.</w:t>
      </w:r>
    </w:p>
    <w:p w14:paraId="541730CA"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Klee, G. A., Joy, D. C., &amp; Olowu, A. (2000). Resource deplet</w:t>
      </w:r>
      <w:r w:rsidR="005D14E9" w:rsidRPr="008C330D">
        <w:rPr>
          <w:rFonts w:ascii="Times New Roman" w:hAnsi="Times New Roman" w:cs="Times New Roman"/>
          <w:sz w:val="24"/>
          <w:szCs w:val="24"/>
        </w:rPr>
        <w:t>ion and land use policy in sub-</w:t>
      </w:r>
      <w:r w:rsidRPr="008C330D">
        <w:rPr>
          <w:rFonts w:ascii="Times New Roman" w:hAnsi="Times New Roman" w:cs="Times New Roman"/>
          <w:sz w:val="24"/>
          <w:szCs w:val="24"/>
        </w:rPr>
        <w:t xml:space="preserve">Saharan </w:t>
      </w:r>
      <w:proofErr w:type="spellStart"/>
      <w:r w:rsidRPr="008C330D">
        <w:rPr>
          <w:rFonts w:ascii="Times New Roman" w:hAnsi="Times New Roman" w:cs="Times New Roman"/>
          <w:sz w:val="24"/>
          <w:szCs w:val="24"/>
        </w:rPr>
        <w:t>Africa.Liu</w:t>
      </w:r>
      <w:proofErr w:type="spellEnd"/>
      <w:r w:rsidRPr="008C330D">
        <w:rPr>
          <w:rFonts w:ascii="Times New Roman" w:hAnsi="Times New Roman" w:cs="Times New Roman"/>
          <w:sz w:val="24"/>
          <w:szCs w:val="24"/>
        </w:rPr>
        <w:t>, Y., Zhang, X., &amp; Mondal, P. (2025). A</w:t>
      </w:r>
      <w:r w:rsidR="005D14E9" w:rsidRPr="008C330D">
        <w:rPr>
          <w:rFonts w:ascii="Times New Roman" w:hAnsi="Times New Roman" w:cs="Times New Roman"/>
          <w:sz w:val="24"/>
          <w:szCs w:val="24"/>
        </w:rPr>
        <w:t xml:space="preserve"> bibliometric analysis of land </w:t>
      </w:r>
      <w:r w:rsidRPr="008C330D">
        <w:rPr>
          <w:rFonts w:ascii="Times New Roman" w:hAnsi="Times New Roman" w:cs="Times New Roman"/>
          <w:sz w:val="24"/>
          <w:szCs w:val="24"/>
        </w:rPr>
        <w:t>use change modeling:</w:t>
      </w:r>
      <w:r w:rsidRPr="008C330D">
        <w:rPr>
          <w:rFonts w:ascii="Times New Roman" w:hAnsi="Times New Roman" w:cs="Times New Roman"/>
          <w:sz w:val="24"/>
          <w:szCs w:val="24"/>
        </w:rPr>
        <w:tab/>
      </w:r>
      <w:r w:rsidRPr="008C330D">
        <w:rPr>
          <w:rFonts w:ascii="Times New Roman" w:hAnsi="Times New Roman" w:cs="Times New Roman"/>
          <w:sz w:val="24"/>
          <w:szCs w:val="24"/>
        </w:rPr>
        <w:tab/>
        <w:t xml:space="preserve"> Research trends, thematic evol</w:t>
      </w:r>
      <w:r w:rsidR="005D14E9" w:rsidRPr="008C330D">
        <w:rPr>
          <w:rFonts w:ascii="Times New Roman" w:hAnsi="Times New Roman" w:cs="Times New Roman"/>
          <w:sz w:val="24"/>
          <w:szCs w:val="24"/>
        </w:rPr>
        <w:t xml:space="preserve">utions, and future directions. </w:t>
      </w:r>
      <w:r w:rsidRPr="008C330D">
        <w:rPr>
          <w:rFonts w:ascii="Times New Roman" w:hAnsi="Times New Roman" w:cs="Times New Roman"/>
          <w:sz w:val="24"/>
          <w:szCs w:val="24"/>
        </w:rPr>
        <w:t xml:space="preserve">Frontiers in Sustainable </w:t>
      </w:r>
      <w:r w:rsidRPr="008C330D">
        <w:rPr>
          <w:rFonts w:ascii="Times New Roman" w:hAnsi="Times New Roman" w:cs="Times New Roman"/>
          <w:sz w:val="24"/>
          <w:szCs w:val="24"/>
        </w:rPr>
        <w:tab/>
        <w:t>Food Systems, 9.</w:t>
      </w:r>
    </w:p>
    <w:p w14:paraId="18B79059"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Madu, I. A. (2008). Population pressure and environmental resourc</w:t>
      </w:r>
      <w:r w:rsidR="005D14E9" w:rsidRPr="008C330D">
        <w:rPr>
          <w:rFonts w:ascii="Times New Roman" w:hAnsi="Times New Roman" w:cs="Times New Roman"/>
          <w:sz w:val="24"/>
          <w:szCs w:val="24"/>
        </w:rPr>
        <w:t xml:space="preserve">e degradation in southeastern </w:t>
      </w:r>
      <w:r w:rsidRPr="008C330D">
        <w:rPr>
          <w:rFonts w:ascii="Times New Roman" w:hAnsi="Times New Roman" w:cs="Times New Roman"/>
          <w:sz w:val="24"/>
          <w:szCs w:val="24"/>
        </w:rPr>
        <w:t xml:space="preserve">Nigeria. </w:t>
      </w:r>
      <w:proofErr w:type="spellStart"/>
      <w:r w:rsidRPr="008C330D">
        <w:rPr>
          <w:rFonts w:ascii="Times New Roman" w:hAnsi="Times New Roman" w:cs="Times New Roman"/>
          <w:sz w:val="24"/>
          <w:szCs w:val="24"/>
        </w:rPr>
        <w:t>GeoJournal</w:t>
      </w:r>
      <w:proofErr w:type="spellEnd"/>
      <w:r w:rsidRPr="008C330D">
        <w:rPr>
          <w:rFonts w:ascii="Times New Roman" w:hAnsi="Times New Roman" w:cs="Times New Roman"/>
          <w:sz w:val="24"/>
          <w:szCs w:val="24"/>
        </w:rPr>
        <w:t>, 71(4), 209-218.</w:t>
      </w:r>
    </w:p>
    <w:p w14:paraId="55296D70"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color w:val="222222"/>
          <w:sz w:val="24"/>
          <w:szCs w:val="24"/>
          <w:shd w:val="clear" w:color="auto" w:fill="FFFFFF"/>
        </w:rPr>
        <w:t>Madulu</w:t>
      </w:r>
      <w:proofErr w:type="spellEnd"/>
      <w:r w:rsidRPr="008C330D">
        <w:rPr>
          <w:rFonts w:ascii="Times New Roman" w:hAnsi="Times New Roman" w:cs="Times New Roman"/>
          <w:color w:val="222222"/>
          <w:sz w:val="24"/>
          <w:szCs w:val="24"/>
          <w:shd w:val="clear" w:color="auto" w:fill="FFFFFF"/>
        </w:rPr>
        <w:t>, N. F. (2005). Impacts of population pressure and poverty alleviation st</w:t>
      </w:r>
      <w:r w:rsidR="005D14E9" w:rsidRPr="008C330D">
        <w:rPr>
          <w:rFonts w:ascii="Times New Roman" w:hAnsi="Times New Roman" w:cs="Times New Roman"/>
          <w:color w:val="222222"/>
          <w:sz w:val="24"/>
          <w:szCs w:val="24"/>
          <w:shd w:val="clear" w:color="auto" w:fill="FFFFFF"/>
        </w:rPr>
        <w:t xml:space="preserve">rategies on </w:t>
      </w:r>
      <w:r w:rsidRPr="008C330D">
        <w:rPr>
          <w:rFonts w:ascii="Times New Roman" w:hAnsi="Times New Roman" w:cs="Times New Roman"/>
          <w:color w:val="222222"/>
          <w:sz w:val="24"/>
          <w:szCs w:val="24"/>
          <w:shd w:val="clear" w:color="auto" w:fill="FFFFFF"/>
        </w:rPr>
        <w:t>common property resource availability in rural Tanzania. </w:t>
      </w:r>
      <w:r w:rsidRPr="008C330D">
        <w:rPr>
          <w:rFonts w:ascii="Times New Roman" w:hAnsi="Times New Roman" w:cs="Times New Roman"/>
          <w:i/>
          <w:iCs/>
          <w:color w:val="222222"/>
          <w:sz w:val="24"/>
          <w:szCs w:val="24"/>
          <w:shd w:val="clear" w:color="auto" w:fill="FFFFFF"/>
        </w:rPr>
        <w:t>AJEAMRAGEE, 10</w:t>
      </w:r>
      <w:r w:rsidRPr="008C330D">
        <w:rPr>
          <w:rFonts w:ascii="Times New Roman" w:hAnsi="Times New Roman" w:cs="Times New Roman"/>
          <w:color w:val="222222"/>
          <w:sz w:val="24"/>
          <w:szCs w:val="24"/>
          <w:shd w:val="clear" w:color="auto" w:fill="FFFFFF"/>
        </w:rPr>
        <w:t>, 26–49.</w:t>
      </w:r>
    </w:p>
    <w:p w14:paraId="315849FD"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bdr w:val="single" w:sz="2" w:space="0" w:color="D1D1D2" w:frame="1"/>
          <w:shd w:val="clear" w:color="auto" w:fill="FFFFFF"/>
        </w:rPr>
        <w:t>Makinde, E. 0 and Badejo O.T (2015). Investigating Vegetation C</w:t>
      </w:r>
      <w:r w:rsidR="005D14E9" w:rsidRPr="008C330D">
        <w:rPr>
          <w:rFonts w:ascii="Times New Roman" w:hAnsi="Times New Roman" w:cs="Times New Roman"/>
          <w:sz w:val="24"/>
          <w:szCs w:val="24"/>
          <w:bdr w:val="single" w:sz="2" w:space="0" w:color="D1D1D2" w:frame="1"/>
          <w:shd w:val="clear" w:color="auto" w:fill="FFFFFF"/>
        </w:rPr>
        <w:t xml:space="preserve">hanges in Ikorodu, Lagos State </w:t>
      </w:r>
      <w:r w:rsidRPr="008C330D">
        <w:rPr>
          <w:rFonts w:ascii="Times New Roman" w:hAnsi="Times New Roman" w:cs="Times New Roman"/>
          <w:sz w:val="24"/>
          <w:szCs w:val="24"/>
          <w:bdr w:val="single" w:sz="2" w:space="0" w:color="D1D1D2" w:frame="1"/>
          <w:shd w:val="clear" w:color="auto" w:fill="FFFFFF"/>
        </w:rPr>
        <w:t>Using Multitemporal Satellite Images. International Journal of Institute of</w:t>
      </w:r>
      <w:r w:rsidRPr="008C330D">
        <w:rPr>
          <w:rFonts w:ascii="Times New Roman" w:hAnsi="Times New Roman" w:cs="Times New Roman"/>
          <w:sz w:val="24"/>
          <w:szCs w:val="24"/>
          <w:bdr w:val="single" w:sz="2" w:space="0" w:color="D1D1D2" w:frame="1"/>
          <w:shd w:val="clear" w:color="auto" w:fill="FFFFFF"/>
        </w:rPr>
        <w:tab/>
      </w:r>
      <w:r w:rsidRPr="008C330D">
        <w:rPr>
          <w:rFonts w:ascii="Times New Roman" w:hAnsi="Times New Roman" w:cs="Times New Roman"/>
          <w:sz w:val="24"/>
          <w:szCs w:val="24"/>
          <w:bdr w:val="single" w:sz="2" w:space="0" w:color="D1D1D2" w:frame="1"/>
          <w:shd w:val="clear" w:color="auto" w:fill="FFFFFF"/>
        </w:rPr>
        <w:tab/>
      </w:r>
      <w:r w:rsidRPr="008C330D">
        <w:rPr>
          <w:rFonts w:ascii="Times New Roman" w:hAnsi="Times New Roman" w:cs="Times New Roman"/>
          <w:sz w:val="24"/>
          <w:szCs w:val="24"/>
        </w:rPr>
        <w:br/>
      </w:r>
      <w:r w:rsidRPr="008C330D">
        <w:rPr>
          <w:rFonts w:ascii="Times New Roman" w:hAnsi="Times New Roman" w:cs="Times New Roman"/>
          <w:sz w:val="24"/>
          <w:szCs w:val="24"/>
          <w:bdr w:val="single" w:sz="2" w:space="0" w:color="D1D1D2" w:frame="1"/>
          <w:shd w:val="clear" w:color="auto" w:fill="FFFFFF"/>
        </w:rPr>
        <w:t>Ecology and Environmental Studies. 3.2:100-117</w:t>
      </w:r>
    </w:p>
    <w:p w14:paraId="231B42C2"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rPr>
        <w:t>Meteoblue</w:t>
      </w:r>
      <w:proofErr w:type="spellEnd"/>
      <w:r w:rsidRPr="008C330D">
        <w:rPr>
          <w:rFonts w:ascii="Times New Roman" w:hAnsi="Times New Roman" w:cs="Times New Roman"/>
          <w:sz w:val="24"/>
          <w:szCs w:val="24"/>
        </w:rPr>
        <w:t xml:space="preserve">. (2024). Climate (modelled). Retrieved April 2024, from </w:t>
      </w:r>
      <w:hyperlink r:id="rId25" w:history="1">
        <w:r w:rsidRPr="008C330D">
          <w:rPr>
            <w:rStyle w:val="Hyperlink"/>
            <w:rFonts w:ascii="Times New Roman" w:hAnsi="Times New Roman" w:cs="Times New Roman"/>
            <w:sz w:val="24"/>
            <w:szCs w:val="24"/>
          </w:rPr>
          <w:t>https://www.meteoblue.com/en/weather/historyclimate/climatemodelled/ebonyistate_nige</w:t>
        </w:r>
      </w:hyperlink>
      <w:r w:rsidRPr="008C330D">
        <w:rPr>
          <w:rFonts w:ascii="Times New Roman" w:hAnsi="Times New Roman" w:cs="Times New Roman"/>
          <w:sz w:val="24"/>
          <w:szCs w:val="24"/>
        </w:rPr>
        <w:t>ria_2595345</w:t>
      </w:r>
    </w:p>
    <w:p w14:paraId="67DCC9C4"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color w:val="222222"/>
          <w:sz w:val="24"/>
          <w:szCs w:val="24"/>
          <w:shd w:val="clear" w:color="auto" w:fill="FFFFFF"/>
        </w:rPr>
        <w:t>Mondal, P. P., &amp; Zhang, Y. (2018). Research progress on changes</w:t>
      </w:r>
      <w:r w:rsidR="005D14E9" w:rsidRPr="008C330D">
        <w:rPr>
          <w:rFonts w:ascii="Times New Roman" w:hAnsi="Times New Roman" w:cs="Times New Roman"/>
          <w:color w:val="222222"/>
          <w:sz w:val="24"/>
          <w:szCs w:val="24"/>
          <w:shd w:val="clear" w:color="auto" w:fill="FFFFFF"/>
        </w:rPr>
        <w:t xml:space="preserve"> in land use and land cover in </w:t>
      </w:r>
      <w:r w:rsidRPr="008C330D">
        <w:rPr>
          <w:rFonts w:ascii="Times New Roman" w:hAnsi="Times New Roman" w:cs="Times New Roman"/>
          <w:color w:val="222222"/>
          <w:sz w:val="24"/>
          <w:szCs w:val="24"/>
          <w:shd w:val="clear" w:color="auto" w:fill="FFFFFF"/>
        </w:rPr>
        <w:t>the western Himalayas (India) and effects on ecosystem services. </w:t>
      </w:r>
      <w:r w:rsidRPr="008C330D">
        <w:rPr>
          <w:rFonts w:ascii="Times New Roman" w:hAnsi="Times New Roman" w:cs="Times New Roman"/>
          <w:i/>
          <w:iCs/>
          <w:color w:val="222222"/>
          <w:sz w:val="24"/>
          <w:szCs w:val="24"/>
          <w:shd w:val="clear" w:color="auto" w:fill="FFFFFF"/>
        </w:rPr>
        <w:t>Sustainability</w:t>
      </w:r>
      <w:r w:rsidRPr="008C330D">
        <w:rPr>
          <w:rFonts w:ascii="Times New Roman" w:hAnsi="Times New Roman" w:cs="Times New Roman"/>
          <w:color w:val="222222"/>
          <w:sz w:val="24"/>
          <w:szCs w:val="24"/>
          <w:shd w:val="clear" w:color="auto" w:fill="FFFFFF"/>
        </w:rPr>
        <w:t>, </w:t>
      </w:r>
      <w:r w:rsidRPr="008C330D">
        <w:rPr>
          <w:rFonts w:ascii="Times New Roman" w:hAnsi="Times New Roman" w:cs="Times New Roman"/>
          <w:i/>
          <w:iCs/>
          <w:color w:val="222222"/>
          <w:sz w:val="24"/>
          <w:szCs w:val="24"/>
          <w:shd w:val="clear" w:color="auto" w:fill="FFFFFF"/>
        </w:rPr>
        <w:t>10</w:t>
      </w:r>
      <w:r w:rsidRPr="008C330D">
        <w:rPr>
          <w:rFonts w:ascii="Times New Roman" w:hAnsi="Times New Roman" w:cs="Times New Roman"/>
          <w:color w:val="222222"/>
          <w:sz w:val="24"/>
          <w:szCs w:val="24"/>
          <w:shd w:val="clear" w:color="auto" w:fill="FFFFFF"/>
        </w:rPr>
        <w:t xml:space="preserve">(12), </w:t>
      </w:r>
      <w:r w:rsidRPr="008C330D">
        <w:rPr>
          <w:rFonts w:ascii="Times New Roman" w:hAnsi="Times New Roman" w:cs="Times New Roman"/>
          <w:color w:val="222222"/>
          <w:sz w:val="24"/>
          <w:szCs w:val="24"/>
          <w:shd w:val="clear" w:color="auto" w:fill="FFFFFF"/>
        </w:rPr>
        <w:tab/>
        <w:t>4504.</w:t>
      </w:r>
    </w:p>
    <w:p w14:paraId="1C355460"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 xml:space="preserve">Moses, M. A., Ekpo, O. M., &amp; Nwankwo, P. U. (2020). Hydrology and drainage in mining areas </w:t>
      </w:r>
      <w:r w:rsidRPr="008C330D">
        <w:rPr>
          <w:rFonts w:ascii="Times New Roman" w:hAnsi="Times New Roman" w:cs="Times New Roman"/>
          <w:sz w:val="24"/>
          <w:szCs w:val="24"/>
        </w:rPr>
        <w:tab/>
        <w:t>of Ebonyi State.</w:t>
      </w:r>
    </w:p>
    <w:p w14:paraId="44F29721" w14:textId="77777777" w:rsidR="00EA0602" w:rsidRPr="008C330D" w:rsidRDefault="00EA0602" w:rsidP="00EA0602">
      <w:pPr>
        <w:ind w:left="360" w:hanging="360"/>
        <w:jc w:val="both"/>
        <w:rPr>
          <w:rFonts w:ascii="Times New Roman" w:hAnsi="Times New Roman" w:cs="Times New Roman"/>
          <w:sz w:val="24"/>
          <w:szCs w:val="24"/>
        </w:rPr>
      </w:pPr>
      <w:r w:rsidRPr="008C330D">
        <w:rPr>
          <w:rFonts w:ascii="Times New Roman" w:hAnsi="Times New Roman" w:cs="Times New Roman"/>
          <w:sz w:val="24"/>
          <w:szCs w:val="24"/>
          <w:highlight w:val="yellow"/>
        </w:rPr>
        <w:t xml:space="preserve">Moses Obenade, Jacob P. Agwu, Eziamaka G. </w:t>
      </w:r>
      <w:proofErr w:type="spellStart"/>
      <w:r w:rsidRPr="008C330D">
        <w:rPr>
          <w:rFonts w:ascii="Times New Roman" w:hAnsi="Times New Roman" w:cs="Times New Roman"/>
          <w:sz w:val="24"/>
          <w:szCs w:val="24"/>
          <w:highlight w:val="yellow"/>
        </w:rPr>
        <w:t>Ogbobe</w:t>
      </w:r>
      <w:proofErr w:type="spellEnd"/>
      <w:r w:rsidRPr="008C330D">
        <w:rPr>
          <w:rFonts w:ascii="Times New Roman" w:hAnsi="Times New Roman" w:cs="Times New Roman"/>
          <w:sz w:val="24"/>
          <w:szCs w:val="24"/>
          <w:highlight w:val="yellow"/>
        </w:rPr>
        <w:t xml:space="preserve">, Patience A. </w:t>
      </w:r>
      <w:proofErr w:type="spellStart"/>
      <w:r w:rsidRPr="008C330D">
        <w:rPr>
          <w:rFonts w:ascii="Times New Roman" w:hAnsi="Times New Roman" w:cs="Times New Roman"/>
          <w:sz w:val="24"/>
          <w:szCs w:val="24"/>
          <w:highlight w:val="yellow"/>
        </w:rPr>
        <w:t>Ibeneme</w:t>
      </w:r>
      <w:proofErr w:type="spellEnd"/>
      <w:r w:rsidRPr="008C330D">
        <w:rPr>
          <w:rFonts w:ascii="Times New Roman" w:hAnsi="Times New Roman" w:cs="Times New Roman"/>
          <w:sz w:val="24"/>
          <w:szCs w:val="24"/>
          <w:highlight w:val="yellow"/>
        </w:rPr>
        <w:t xml:space="preserve">, </w:t>
      </w:r>
      <w:proofErr w:type="spellStart"/>
      <w:r w:rsidRPr="008C330D">
        <w:rPr>
          <w:rFonts w:ascii="Times New Roman" w:hAnsi="Times New Roman" w:cs="Times New Roman"/>
          <w:sz w:val="24"/>
          <w:szCs w:val="24"/>
          <w:highlight w:val="yellow"/>
        </w:rPr>
        <w:t>Owhornuogwu</w:t>
      </w:r>
      <w:proofErr w:type="spellEnd"/>
      <w:r w:rsidRPr="008C330D">
        <w:rPr>
          <w:rFonts w:ascii="Times New Roman" w:hAnsi="Times New Roman" w:cs="Times New Roman"/>
          <w:sz w:val="24"/>
          <w:szCs w:val="24"/>
          <w:highlight w:val="yellow"/>
        </w:rPr>
        <w:t xml:space="preserve"> Joseph Owhornuogwu (2025). Environmental and Agricultural Impacts of Temporal Changes In Land Use Land Cover in Ebonyi State Southeastern Nigeria. International Journal of Ecosystems and Ecology Science (IJEES) </w:t>
      </w:r>
      <w:hyperlink r:id="rId26" w:history="1">
        <w:r w:rsidRPr="008C330D">
          <w:rPr>
            <w:rStyle w:val="Hyperlink"/>
            <w:rFonts w:ascii="Times New Roman" w:hAnsi="Times New Roman" w:cs="Times New Roman"/>
            <w:sz w:val="24"/>
            <w:szCs w:val="24"/>
            <w:highlight w:val="yellow"/>
          </w:rPr>
          <w:t>https://doi.org/10.31407/ijees</w:t>
        </w:r>
      </w:hyperlink>
      <w:r w:rsidRPr="008C330D">
        <w:rPr>
          <w:rFonts w:ascii="Times New Roman" w:hAnsi="Times New Roman" w:cs="Times New Roman"/>
          <w:sz w:val="24"/>
          <w:szCs w:val="24"/>
          <w:highlight w:val="yellow"/>
        </w:rPr>
        <w:t xml:space="preserve">  Vol. 15 (6): 21-30)  </w:t>
      </w:r>
      <w:hyperlink r:id="rId27" w:history="1">
        <w:r w:rsidRPr="008C330D">
          <w:rPr>
            <w:rStyle w:val="Hyperlink"/>
            <w:rFonts w:ascii="Times New Roman" w:hAnsi="Times New Roman" w:cs="Times New Roman"/>
            <w:sz w:val="24"/>
            <w:szCs w:val="24"/>
            <w:highlight w:val="yellow"/>
          </w:rPr>
          <w:t>https://doi.org/10.31407/ijees15.6</w:t>
        </w:r>
      </w:hyperlink>
      <w:r w:rsidRPr="008C330D">
        <w:rPr>
          <w:rFonts w:ascii="Times New Roman" w:hAnsi="Times New Roman" w:cs="Times New Roman"/>
          <w:sz w:val="24"/>
          <w:szCs w:val="24"/>
        </w:rPr>
        <w:t xml:space="preserve"> </w:t>
      </w:r>
    </w:p>
    <w:p w14:paraId="299CA5EE"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color w:val="222222"/>
          <w:sz w:val="24"/>
          <w:szCs w:val="24"/>
          <w:shd w:val="clear" w:color="auto" w:fill="FFFFFF"/>
        </w:rPr>
        <w:t xml:space="preserve">Mottl, O., </w:t>
      </w:r>
      <w:proofErr w:type="spellStart"/>
      <w:r w:rsidRPr="008C330D">
        <w:rPr>
          <w:rFonts w:ascii="Times New Roman" w:hAnsi="Times New Roman" w:cs="Times New Roman"/>
          <w:color w:val="222222"/>
          <w:sz w:val="24"/>
          <w:szCs w:val="24"/>
          <w:shd w:val="clear" w:color="auto" w:fill="FFFFFF"/>
        </w:rPr>
        <w:t>Flantua</w:t>
      </w:r>
      <w:proofErr w:type="spellEnd"/>
      <w:r w:rsidRPr="008C330D">
        <w:rPr>
          <w:rFonts w:ascii="Times New Roman" w:hAnsi="Times New Roman" w:cs="Times New Roman"/>
          <w:color w:val="222222"/>
          <w:sz w:val="24"/>
          <w:szCs w:val="24"/>
          <w:shd w:val="clear" w:color="auto" w:fill="FFFFFF"/>
        </w:rPr>
        <w:t xml:space="preserve">, S. G., Bhatta, K. P., Felde, V. A., Giesecke, T., </w:t>
      </w:r>
      <w:r w:rsidR="005D14E9" w:rsidRPr="008C330D">
        <w:rPr>
          <w:rFonts w:ascii="Times New Roman" w:hAnsi="Times New Roman" w:cs="Times New Roman"/>
          <w:color w:val="222222"/>
          <w:sz w:val="24"/>
          <w:szCs w:val="24"/>
          <w:shd w:val="clear" w:color="auto" w:fill="FFFFFF"/>
        </w:rPr>
        <w:t xml:space="preserve">Goring, S., ... &amp; Williams, J. </w:t>
      </w:r>
      <w:r w:rsidRPr="008C330D">
        <w:rPr>
          <w:rFonts w:ascii="Times New Roman" w:hAnsi="Times New Roman" w:cs="Times New Roman"/>
          <w:color w:val="222222"/>
          <w:sz w:val="24"/>
          <w:szCs w:val="24"/>
          <w:shd w:val="clear" w:color="auto" w:fill="FFFFFF"/>
        </w:rPr>
        <w:t>W. (2021). Global acceleration in rates of vegetati</w:t>
      </w:r>
      <w:r w:rsidR="005D14E9" w:rsidRPr="008C330D">
        <w:rPr>
          <w:rFonts w:ascii="Times New Roman" w:hAnsi="Times New Roman" w:cs="Times New Roman"/>
          <w:color w:val="222222"/>
          <w:sz w:val="24"/>
          <w:szCs w:val="24"/>
          <w:shd w:val="clear" w:color="auto" w:fill="FFFFFF"/>
        </w:rPr>
        <w:t xml:space="preserve">on change over the past 18,000 </w:t>
      </w:r>
      <w:r w:rsidRPr="008C330D">
        <w:rPr>
          <w:rFonts w:ascii="Times New Roman" w:hAnsi="Times New Roman" w:cs="Times New Roman"/>
          <w:color w:val="222222"/>
          <w:sz w:val="24"/>
          <w:szCs w:val="24"/>
          <w:shd w:val="clear" w:color="auto" w:fill="FFFFFF"/>
        </w:rPr>
        <w:t>years. </w:t>
      </w:r>
      <w:r w:rsidRPr="008C330D">
        <w:rPr>
          <w:rFonts w:ascii="Times New Roman" w:hAnsi="Times New Roman" w:cs="Times New Roman"/>
          <w:i/>
          <w:iCs/>
          <w:color w:val="222222"/>
          <w:sz w:val="24"/>
          <w:szCs w:val="24"/>
          <w:shd w:val="clear" w:color="auto" w:fill="FFFFFF"/>
        </w:rPr>
        <w:t>science</w:t>
      </w:r>
      <w:r w:rsidRPr="008C330D">
        <w:rPr>
          <w:rFonts w:ascii="Times New Roman" w:hAnsi="Times New Roman" w:cs="Times New Roman"/>
          <w:color w:val="222222"/>
          <w:sz w:val="24"/>
          <w:szCs w:val="24"/>
          <w:shd w:val="clear" w:color="auto" w:fill="FFFFFF"/>
        </w:rPr>
        <w:t>, </w:t>
      </w:r>
      <w:r w:rsidRPr="008C330D">
        <w:rPr>
          <w:rFonts w:ascii="Times New Roman" w:hAnsi="Times New Roman" w:cs="Times New Roman"/>
          <w:i/>
          <w:iCs/>
          <w:color w:val="222222"/>
          <w:sz w:val="24"/>
          <w:szCs w:val="24"/>
          <w:shd w:val="clear" w:color="auto" w:fill="FFFFFF"/>
        </w:rPr>
        <w:t>372</w:t>
      </w:r>
      <w:r w:rsidRPr="008C330D">
        <w:rPr>
          <w:rFonts w:ascii="Times New Roman" w:hAnsi="Times New Roman" w:cs="Times New Roman"/>
          <w:color w:val="222222"/>
          <w:sz w:val="24"/>
          <w:szCs w:val="24"/>
          <w:shd w:val="clear" w:color="auto" w:fill="FFFFFF"/>
        </w:rPr>
        <w:t>(6544), 860-864.</w:t>
      </w:r>
    </w:p>
    <w:p w14:paraId="7996663C"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rPr>
        <w:t>NaijaDetails</w:t>
      </w:r>
      <w:proofErr w:type="spellEnd"/>
      <w:r w:rsidRPr="008C330D">
        <w:rPr>
          <w:rFonts w:ascii="Times New Roman" w:hAnsi="Times New Roman" w:cs="Times New Roman"/>
          <w:sz w:val="24"/>
          <w:szCs w:val="24"/>
        </w:rPr>
        <w:t>. (2024). Facts about Ebonyi State population in 20</w:t>
      </w:r>
      <w:r w:rsidR="005D14E9" w:rsidRPr="008C330D">
        <w:rPr>
          <w:rFonts w:ascii="Times New Roman" w:hAnsi="Times New Roman" w:cs="Times New Roman"/>
          <w:sz w:val="24"/>
          <w:szCs w:val="24"/>
        </w:rPr>
        <w:t xml:space="preserve">25. Retrieved April 2024, from </w:t>
      </w:r>
      <w:r w:rsidRPr="008C330D">
        <w:rPr>
          <w:rFonts w:ascii="Times New Roman" w:hAnsi="Times New Roman" w:cs="Times New Roman"/>
          <w:sz w:val="24"/>
          <w:szCs w:val="24"/>
        </w:rPr>
        <w:t>https://naijadetails.com/ebonyi-state-population/</w:t>
      </w:r>
    </w:p>
    <w:p w14:paraId="19DD16A4"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National Population Census (NPC). (2006). 2006 Population and</w:t>
      </w:r>
      <w:r w:rsidR="005D14E9" w:rsidRPr="008C330D">
        <w:rPr>
          <w:rFonts w:ascii="Times New Roman" w:hAnsi="Times New Roman" w:cs="Times New Roman"/>
          <w:sz w:val="24"/>
          <w:szCs w:val="24"/>
        </w:rPr>
        <w:t xml:space="preserve"> Housing Census of the Federal </w:t>
      </w:r>
      <w:r w:rsidRPr="008C330D">
        <w:rPr>
          <w:rFonts w:ascii="Times New Roman" w:hAnsi="Times New Roman" w:cs="Times New Roman"/>
          <w:sz w:val="24"/>
          <w:szCs w:val="24"/>
        </w:rPr>
        <w:t>Republic of Nigeria. Abuja: National Population Commission.</w:t>
      </w:r>
    </w:p>
    <w:p w14:paraId="51BA5B62"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Nweke, O. O., Okonkwo, E. I., &amp; Ude, C. C. (2024). Distribut</w:t>
      </w:r>
      <w:r w:rsidR="005D14E9" w:rsidRPr="008C330D">
        <w:rPr>
          <w:rFonts w:ascii="Times New Roman" w:hAnsi="Times New Roman" w:cs="Times New Roman"/>
          <w:sz w:val="24"/>
          <w:szCs w:val="24"/>
        </w:rPr>
        <w:t xml:space="preserve">ion and antibiotic </w:t>
      </w:r>
      <w:proofErr w:type="spellStart"/>
      <w:r w:rsidR="005D14E9" w:rsidRPr="008C330D">
        <w:rPr>
          <w:rFonts w:ascii="Times New Roman" w:hAnsi="Times New Roman" w:cs="Times New Roman"/>
          <w:sz w:val="24"/>
          <w:szCs w:val="24"/>
        </w:rPr>
        <w:t>resistance</w:t>
      </w:r>
      <w:r w:rsidRPr="008C330D">
        <w:rPr>
          <w:rFonts w:ascii="Times New Roman" w:hAnsi="Times New Roman" w:cs="Times New Roman"/>
          <w:sz w:val="24"/>
          <w:szCs w:val="24"/>
        </w:rPr>
        <w:t>profile</w:t>
      </w:r>
      <w:proofErr w:type="spellEnd"/>
      <w:r w:rsidRPr="008C330D">
        <w:rPr>
          <w:rFonts w:ascii="Times New Roman" w:hAnsi="Times New Roman" w:cs="Times New Roman"/>
          <w:sz w:val="24"/>
          <w:szCs w:val="24"/>
        </w:rPr>
        <w:t xml:space="preserve"> of Enterobacteriaceae isolates from well-drinking water in the rural communities </w:t>
      </w:r>
      <w:r w:rsidRPr="008C330D">
        <w:rPr>
          <w:rFonts w:ascii="Times New Roman" w:hAnsi="Times New Roman" w:cs="Times New Roman"/>
          <w:sz w:val="24"/>
          <w:szCs w:val="24"/>
        </w:rPr>
        <w:tab/>
        <w:t xml:space="preserve">of Ezza South Local Government Area of Ebonyi State. International Journal of </w:t>
      </w:r>
      <w:r w:rsidRPr="008C330D">
        <w:rPr>
          <w:rFonts w:ascii="Times New Roman" w:hAnsi="Times New Roman" w:cs="Times New Roman"/>
          <w:sz w:val="24"/>
          <w:szCs w:val="24"/>
        </w:rPr>
        <w:tab/>
        <w:t>Preclinical and Pharmaceutical Research, 15(3), 1-8.</w:t>
      </w:r>
    </w:p>
    <w:p w14:paraId="75509537"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Nwibo, S. U., Mbam, B. N., &amp; Ugwuanyi, C. A. (2018). Environmental impacts of mi</w:t>
      </w:r>
      <w:r w:rsidR="005D14E9" w:rsidRPr="008C330D">
        <w:rPr>
          <w:rFonts w:ascii="Times New Roman" w:hAnsi="Times New Roman" w:cs="Times New Roman"/>
          <w:sz w:val="24"/>
          <w:szCs w:val="24"/>
        </w:rPr>
        <w:t xml:space="preserve">ning in </w:t>
      </w:r>
      <w:r w:rsidRPr="008C330D">
        <w:rPr>
          <w:rFonts w:ascii="Times New Roman" w:hAnsi="Times New Roman" w:cs="Times New Roman"/>
          <w:sz w:val="24"/>
          <w:szCs w:val="24"/>
        </w:rPr>
        <w:t>Ebonyi State.</w:t>
      </w:r>
    </w:p>
    <w:p w14:paraId="2F795E49" w14:textId="77777777" w:rsidR="004E22F0" w:rsidRPr="008C330D" w:rsidRDefault="004E22F0" w:rsidP="004E22F0">
      <w:pPr>
        <w:ind w:left="360" w:hanging="360"/>
        <w:jc w:val="both"/>
        <w:rPr>
          <w:rFonts w:ascii="Times New Roman" w:hAnsi="Times New Roman" w:cs="Times New Roman"/>
          <w:sz w:val="24"/>
          <w:szCs w:val="24"/>
        </w:rPr>
      </w:pPr>
      <w:proofErr w:type="spellStart"/>
      <w:r w:rsidRPr="008C330D">
        <w:rPr>
          <w:rFonts w:ascii="Times New Roman" w:hAnsi="Times New Roman" w:cs="Times New Roman"/>
          <w:sz w:val="24"/>
          <w:szCs w:val="24"/>
          <w:highlight w:val="yellow"/>
        </w:rPr>
        <w:lastRenderedPageBreak/>
        <w:t>Obenade</w:t>
      </w:r>
      <w:proofErr w:type="spellEnd"/>
      <w:r w:rsidRPr="008C330D">
        <w:rPr>
          <w:rFonts w:ascii="Times New Roman" w:hAnsi="Times New Roman" w:cs="Times New Roman"/>
          <w:sz w:val="24"/>
          <w:szCs w:val="24"/>
          <w:highlight w:val="yellow"/>
        </w:rPr>
        <w:t xml:space="preserve">, M., Samuel, E.O., Franca, I.N., Owere, O.G., </w:t>
      </w:r>
      <w:proofErr w:type="spellStart"/>
      <w:r w:rsidRPr="008C330D">
        <w:rPr>
          <w:rFonts w:ascii="Times New Roman" w:hAnsi="Times New Roman" w:cs="Times New Roman"/>
          <w:sz w:val="24"/>
          <w:szCs w:val="24"/>
          <w:highlight w:val="yellow"/>
        </w:rPr>
        <w:t>Chukwuedo</w:t>
      </w:r>
      <w:proofErr w:type="spellEnd"/>
      <w:r w:rsidRPr="008C330D">
        <w:rPr>
          <w:rFonts w:ascii="Times New Roman" w:hAnsi="Times New Roman" w:cs="Times New Roman"/>
          <w:sz w:val="24"/>
          <w:szCs w:val="24"/>
          <w:highlight w:val="yellow"/>
        </w:rPr>
        <w:t xml:space="preserve">, O.S., </w:t>
      </w:r>
      <w:proofErr w:type="spellStart"/>
      <w:r w:rsidRPr="008C330D">
        <w:rPr>
          <w:rFonts w:ascii="Times New Roman" w:hAnsi="Times New Roman" w:cs="Times New Roman"/>
          <w:sz w:val="24"/>
          <w:szCs w:val="24"/>
          <w:highlight w:val="yellow"/>
        </w:rPr>
        <w:t>Nwachi</w:t>
      </w:r>
      <w:proofErr w:type="spellEnd"/>
      <w:r w:rsidRPr="008C330D">
        <w:rPr>
          <w:rFonts w:ascii="Times New Roman" w:hAnsi="Times New Roman" w:cs="Times New Roman"/>
          <w:sz w:val="24"/>
          <w:szCs w:val="24"/>
          <w:highlight w:val="yellow"/>
        </w:rPr>
        <w:t xml:space="preserve">, O.K., </w:t>
      </w:r>
      <w:proofErr w:type="spellStart"/>
      <w:r w:rsidRPr="008C330D">
        <w:rPr>
          <w:rFonts w:ascii="Times New Roman" w:hAnsi="Times New Roman" w:cs="Times New Roman"/>
          <w:sz w:val="24"/>
          <w:szCs w:val="24"/>
          <w:highlight w:val="yellow"/>
        </w:rPr>
        <w:t>Achilike</w:t>
      </w:r>
      <w:proofErr w:type="spellEnd"/>
      <w:r w:rsidRPr="008C330D">
        <w:rPr>
          <w:rFonts w:ascii="Times New Roman" w:hAnsi="Times New Roman" w:cs="Times New Roman"/>
          <w:sz w:val="24"/>
          <w:szCs w:val="24"/>
          <w:highlight w:val="yellow"/>
        </w:rPr>
        <w:t xml:space="preserve">, N.I., Agwu, J.P. and </w:t>
      </w:r>
      <w:proofErr w:type="spellStart"/>
      <w:r w:rsidRPr="008C330D">
        <w:rPr>
          <w:rFonts w:ascii="Times New Roman" w:hAnsi="Times New Roman" w:cs="Times New Roman"/>
          <w:sz w:val="24"/>
          <w:szCs w:val="24"/>
          <w:highlight w:val="yellow"/>
        </w:rPr>
        <w:t>Ibeneme</w:t>
      </w:r>
      <w:proofErr w:type="spellEnd"/>
      <w:r w:rsidRPr="008C330D">
        <w:rPr>
          <w:rFonts w:ascii="Times New Roman" w:hAnsi="Times New Roman" w:cs="Times New Roman"/>
          <w:sz w:val="24"/>
          <w:szCs w:val="24"/>
          <w:highlight w:val="yellow"/>
        </w:rPr>
        <w:t xml:space="preserve">, P.A. (2025). Environmental and Economic Impacts of Rapid Population Growth on Natural Resources in Eleme. Grassroots Journal of Natural Resources, 8(3): 394-419. Doi: </w:t>
      </w:r>
      <w:hyperlink r:id="rId28" w:history="1">
        <w:r w:rsidRPr="008C330D">
          <w:rPr>
            <w:rStyle w:val="Hyperlink"/>
            <w:rFonts w:ascii="Times New Roman" w:hAnsi="Times New Roman" w:cs="Times New Roman"/>
            <w:sz w:val="24"/>
            <w:szCs w:val="24"/>
            <w:highlight w:val="yellow"/>
          </w:rPr>
          <w:t>https://doi.org/10.33002/nr2581.6853.080316</w:t>
        </w:r>
      </w:hyperlink>
      <w:r w:rsidRPr="008C330D">
        <w:rPr>
          <w:rFonts w:ascii="Times New Roman" w:hAnsi="Times New Roman" w:cs="Times New Roman"/>
          <w:sz w:val="24"/>
          <w:szCs w:val="24"/>
        </w:rPr>
        <w:t xml:space="preserve"> </w:t>
      </w:r>
    </w:p>
    <w:p w14:paraId="5E22E15F" w14:textId="77777777" w:rsidR="00EA0602" w:rsidRPr="008C330D" w:rsidRDefault="00EA0602" w:rsidP="00EA0602">
      <w:pPr>
        <w:ind w:left="360" w:hanging="360"/>
        <w:jc w:val="both"/>
        <w:rPr>
          <w:rFonts w:ascii="Times New Roman" w:hAnsi="Times New Roman" w:cs="Times New Roman"/>
          <w:sz w:val="24"/>
          <w:szCs w:val="24"/>
          <w:highlight w:val="yellow"/>
        </w:rPr>
      </w:pPr>
      <w:r w:rsidRPr="008C330D">
        <w:rPr>
          <w:rFonts w:ascii="Times New Roman" w:hAnsi="Times New Roman" w:cs="Times New Roman"/>
          <w:sz w:val="24"/>
          <w:szCs w:val="24"/>
          <w:highlight w:val="yellow"/>
        </w:rPr>
        <w:t xml:space="preserve">Odoh, B.I., </w:t>
      </w:r>
      <w:proofErr w:type="spellStart"/>
      <w:r w:rsidRPr="008C330D">
        <w:rPr>
          <w:rFonts w:ascii="Times New Roman" w:hAnsi="Times New Roman" w:cs="Times New Roman"/>
          <w:sz w:val="24"/>
          <w:szCs w:val="24"/>
          <w:highlight w:val="yellow"/>
        </w:rPr>
        <w:t>Nwokeabia</w:t>
      </w:r>
      <w:proofErr w:type="spellEnd"/>
      <w:r w:rsidRPr="008C330D">
        <w:rPr>
          <w:rFonts w:ascii="Times New Roman" w:hAnsi="Times New Roman" w:cs="Times New Roman"/>
          <w:sz w:val="24"/>
          <w:szCs w:val="24"/>
          <w:highlight w:val="yellow"/>
        </w:rPr>
        <w:t xml:space="preserve">, C.N. and Callista, N.I. (2024). Urbanization and Deforestation Impacts on Geomorphology and Land Use Patterns in Enugu State, Southeastern Nigeria. World Journal of Innovation and Modern Technology, 8(3). DOI: </w:t>
      </w:r>
      <w:hyperlink r:id="rId29" w:history="1">
        <w:r w:rsidRPr="008C330D">
          <w:rPr>
            <w:rStyle w:val="Hyperlink"/>
            <w:rFonts w:ascii="Times New Roman" w:hAnsi="Times New Roman" w:cs="Times New Roman"/>
            <w:sz w:val="24"/>
            <w:szCs w:val="24"/>
            <w:highlight w:val="yellow"/>
          </w:rPr>
          <w:t>https://doi.org/10.56201/wjimt.v8.no3.2024.pg14.32</w:t>
        </w:r>
      </w:hyperlink>
      <w:r w:rsidRPr="008C330D">
        <w:rPr>
          <w:rFonts w:ascii="Times New Roman" w:hAnsi="Times New Roman" w:cs="Times New Roman"/>
          <w:sz w:val="24"/>
          <w:szCs w:val="24"/>
          <w:highlight w:val="yellow"/>
        </w:rPr>
        <w:t xml:space="preserve">. </w:t>
      </w:r>
    </w:p>
    <w:p w14:paraId="7B2CE4F5" w14:textId="77777777" w:rsidR="0038269D" w:rsidRPr="008C330D" w:rsidRDefault="0038269D" w:rsidP="0038269D">
      <w:pPr>
        <w:spacing w:after="0" w:line="240" w:lineRule="auto"/>
        <w:ind w:left="360" w:hanging="360"/>
        <w:jc w:val="both"/>
        <w:rPr>
          <w:rFonts w:ascii="Times New Roman" w:eastAsia="Calibri" w:hAnsi="Times New Roman" w:cs="Times New Roman"/>
          <w:sz w:val="24"/>
          <w:szCs w:val="24"/>
          <w:highlight w:val="yellow"/>
        </w:rPr>
      </w:pPr>
      <w:proofErr w:type="spellStart"/>
      <w:r w:rsidRPr="008C330D">
        <w:rPr>
          <w:rFonts w:ascii="Times New Roman" w:eastAsia="Calibri" w:hAnsi="Times New Roman" w:cs="Times New Roman"/>
          <w:sz w:val="24"/>
          <w:szCs w:val="24"/>
          <w:highlight w:val="yellow"/>
        </w:rPr>
        <w:t>Ogoro</w:t>
      </w:r>
      <w:proofErr w:type="spellEnd"/>
      <w:r w:rsidRPr="008C330D">
        <w:rPr>
          <w:rFonts w:ascii="Times New Roman" w:eastAsia="Calibri" w:hAnsi="Times New Roman" w:cs="Times New Roman"/>
          <w:sz w:val="24"/>
          <w:szCs w:val="24"/>
          <w:highlight w:val="yellow"/>
        </w:rPr>
        <w:t>, M., Uche, E. A., &amp; Chukwudi, D. O. (2020). Urban growth influence on land cover dynamics across Obio/Akpor Port Harcourt, Nigeria. Asian Journal of Advanced Research and Reports, 13(4), 1–11. DOI: 10.9734/AJARR/2020/v13i430312</w:t>
      </w:r>
    </w:p>
    <w:p w14:paraId="045876FB"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Okafor, F. C. (2005). Rural land use change in sout</w:t>
      </w:r>
      <w:r w:rsidR="005D14E9" w:rsidRPr="008C330D">
        <w:rPr>
          <w:rFonts w:ascii="Times New Roman" w:hAnsi="Times New Roman" w:cs="Times New Roman"/>
          <w:sz w:val="24"/>
          <w:szCs w:val="24"/>
        </w:rPr>
        <w:t xml:space="preserve">heastern Nigeria: Evidence and </w:t>
      </w:r>
      <w:r w:rsidRPr="008C330D">
        <w:rPr>
          <w:rFonts w:ascii="Times New Roman" w:hAnsi="Times New Roman" w:cs="Times New Roman"/>
          <w:sz w:val="24"/>
          <w:szCs w:val="24"/>
        </w:rPr>
        <w:t>environmental consequences. Global Journal of Social Sciences, 4(1).</w:t>
      </w:r>
    </w:p>
    <w:p w14:paraId="50D924EB"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Okechukwu, E. C. (2025). Land use and vegetation change in Ezza South. Unpublishe</w:t>
      </w:r>
      <w:r w:rsidR="005D14E9" w:rsidRPr="008C330D">
        <w:rPr>
          <w:rFonts w:ascii="Times New Roman" w:hAnsi="Times New Roman" w:cs="Times New Roman"/>
          <w:sz w:val="24"/>
          <w:szCs w:val="24"/>
        </w:rPr>
        <w:t xml:space="preserve">d </w:t>
      </w:r>
      <w:r w:rsidRPr="008C330D">
        <w:rPr>
          <w:rFonts w:ascii="Times New Roman" w:hAnsi="Times New Roman" w:cs="Times New Roman"/>
          <w:sz w:val="24"/>
          <w:szCs w:val="24"/>
        </w:rPr>
        <w:t xml:space="preserve">manuscript, Department of Geography, Alex Ekwueme Federal University </w:t>
      </w:r>
      <w:proofErr w:type="spellStart"/>
      <w:r w:rsidRPr="008C330D">
        <w:rPr>
          <w:rFonts w:ascii="Times New Roman" w:hAnsi="Times New Roman" w:cs="Times New Roman"/>
          <w:sz w:val="24"/>
          <w:szCs w:val="24"/>
        </w:rPr>
        <w:t>Ndufu-Aleke</w:t>
      </w:r>
      <w:proofErr w:type="spellEnd"/>
      <w:r w:rsidRPr="008C330D">
        <w:rPr>
          <w:rFonts w:ascii="Times New Roman" w:hAnsi="Times New Roman" w:cs="Times New Roman"/>
          <w:sz w:val="24"/>
          <w:szCs w:val="24"/>
        </w:rPr>
        <w:t>.</w:t>
      </w:r>
    </w:p>
    <w:p w14:paraId="356A2BE1"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Okoro, C. I., Ugwuanyi, A. E., &amp; Eze, F. C. (2016). Socio-</w:t>
      </w:r>
      <w:r w:rsidR="005D14E9" w:rsidRPr="008C330D">
        <w:rPr>
          <w:rFonts w:ascii="Times New Roman" w:hAnsi="Times New Roman" w:cs="Times New Roman"/>
          <w:sz w:val="24"/>
          <w:szCs w:val="24"/>
        </w:rPr>
        <w:t xml:space="preserve">economic determinants of sweet </w:t>
      </w:r>
      <w:r w:rsidRPr="008C330D">
        <w:rPr>
          <w:rFonts w:ascii="Times New Roman" w:hAnsi="Times New Roman" w:cs="Times New Roman"/>
          <w:sz w:val="24"/>
          <w:szCs w:val="24"/>
        </w:rPr>
        <w:t xml:space="preserve">potato production among small holder women farmers in Ezza South Local Government </w:t>
      </w:r>
      <w:r w:rsidRPr="008C330D">
        <w:rPr>
          <w:rFonts w:ascii="Times New Roman" w:hAnsi="Times New Roman" w:cs="Times New Roman"/>
          <w:sz w:val="24"/>
          <w:szCs w:val="24"/>
        </w:rPr>
        <w:tab/>
        <w:t>Area of Ebonyi State, Nigeria. Global Journal of Agricultural Research, 4(9), 871-879.</w:t>
      </w:r>
    </w:p>
    <w:p w14:paraId="45222EC7"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Okoro, D., &amp; Ugwuanyi, C. (2023). Agricultural develo</w:t>
      </w:r>
      <w:r w:rsidR="005D14E9" w:rsidRPr="008C330D">
        <w:rPr>
          <w:rFonts w:ascii="Times New Roman" w:hAnsi="Times New Roman" w:cs="Times New Roman"/>
          <w:sz w:val="24"/>
          <w:szCs w:val="24"/>
        </w:rPr>
        <w:t>pment and land degradation in</w:t>
      </w:r>
      <w:r w:rsidR="005D14E9" w:rsidRPr="008C330D">
        <w:rPr>
          <w:rFonts w:ascii="Times New Roman" w:hAnsi="Times New Roman" w:cs="Times New Roman"/>
          <w:sz w:val="24"/>
          <w:szCs w:val="24"/>
        </w:rPr>
        <w:tab/>
      </w:r>
      <w:r w:rsidR="005D14E9" w:rsidRPr="008C330D">
        <w:rPr>
          <w:rFonts w:ascii="Times New Roman" w:hAnsi="Times New Roman" w:cs="Times New Roman"/>
          <w:sz w:val="24"/>
          <w:szCs w:val="24"/>
        </w:rPr>
        <w:tab/>
      </w:r>
      <w:r w:rsidRPr="008C330D">
        <w:rPr>
          <w:rFonts w:ascii="Times New Roman" w:hAnsi="Times New Roman" w:cs="Times New Roman"/>
          <w:sz w:val="24"/>
          <w:szCs w:val="24"/>
        </w:rPr>
        <w:t xml:space="preserve"> southeastern Nigeria.</w:t>
      </w:r>
    </w:p>
    <w:p w14:paraId="4B69728A"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Okoro, D., Nwankwo, U. E., &amp; Eze, J. C. (2017). Rice produc</w:t>
      </w:r>
      <w:r w:rsidR="005D14E9" w:rsidRPr="008C330D">
        <w:rPr>
          <w:rFonts w:ascii="Times New Roman" w:hAnsi="Times New Roman" w:cs="Times New Roman"/>
          <w:sz w:val="24"/>
          <w:szCs w:val="24"/>
        </w:rPr>
        <w:t xml:space="preserve">tion and environmental </w:t>
      </w:r>
      <w:r w:rsidRPr="008C330D">
        <w:rPr>
          <w:rFonts w:ascii="Times New Roman" w:hAnsi="Times New Roman" w:cs="Times New Roman"/>
          <w:sz w:val="24"/>
          <w:szCs w:val="24"/>
        </w:rPr>
        <w:t>sustainability in Ebonyi State.</w:t>
      </w:r>
    </w:p>
    <w:p w14:paraId="275C07B4"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Olorunfemi, S. O., Adeoti, J. S., &amp; Fagbemi, T. (2020). Carbon</w:t>
      </w:r>
      <w:r w:rsidR="005D14E9" w:rsidRPr="008C330D">
        <w:rPr>
          <w:rFonts w:ascii="Times New Roman" w:hAnsi="Times New Roman" w:cs="Times New Roman"/>
          <w:sz w:val="24"/>
          <w:szCs w:val="24"/>
        </w:rPr>
        <w:t xml:space="preserve"> emissions and land use in sub-</w:t>
      </w:r>
      <w:r w:rsidRPr="008C330D">
        <w:rPr>
          <w:rFonts w:ascii="Times New Roman" w:hAnsi="Times New Roman" w:cs="Times New Roman"/>
          <w:sz w:val="24"/>
          <w:szCs w:val="24"/>
        </w:rPr>
        <w:t>Saharan Africa.</w:t>
      </w:r>
    </w:p>
    <w:p w14:paraId="10A049A1" w14:textId="77777777" w:rsidR="00AC0F0A" w:rsidRPr="008C330D" w:rsidRDefault="00AC0F0A" w:rsidP="00EA37EA">
      <w:pPr>
        <w:pStyle w:val="NoSpacing"/>
        <w:ind w:left="360" w:hanging="360"/>
        <w:jc w:val="both"/>
        <w:rPr>
          <w:rFonts w:ascii="Times New Roman" w:hAnsi="Times New Roman" w:cs="Times New Roman"/>
          <w:sz w:val="24"/>
          <w:szCs w:val="24"/>
        </w:rPr>
      </w:pPr>
      <w:proofErr w:type="spellStart"/>
      <w:r w:rsidRPr="008C330D">
        <w:rPr>
          <w:rFonts w:ascii="Times New Roman" w:hAnsi="Times New Roman" w:cs="Times New Roman"/>
          <w:color w:val="222222"/>
          <w:sz w:val="24"/>
          <w:szCs w:val="24"/>
          <w:shd w:val="clear" w:color="auto" w:fill="FFFFFF"/>
        </w:rPr>
        <w:t>Olowoyeye</w:t>
      </w:r>
      <w:proofErr w:type="spellEnd"/>
      <w:r w:rsidRPr="008C330D">
        <w:rPr>
          <w:rFonts w:ascii="Times New Roman" w:hAnsi="Times New Roman" w:cs="Times New Roman"/>
          <w:color w:val="222222"/>
          <w:sz w:val="24"/>
          <w:szCs w:val="24"/>
          <w:shd w:val="clear" w:color="auto" w:fill="FFFFFF"/>
        </w:rPr>
        <w:t>, T. (2021). A review of the environmental impact of deforestation and industrial</w:t>
      </w:r>
      <w:r w:rsidR="005D14E9" w:rsidRPr="008C330D">
        <w:rPr>
          <w:rFonts w:ascii="Times New Roman" w:hAnsi="Times New Roman" w:cs="Times New Roman"/>
          <w:color w:val="222222"/>
          <w:sz w:val="24"/>
          <w:szCs w:val="24"/>
          <w:shd w:val="clear" w:color="auto" w:fill="FFFFFF"/>
        </w:rPr>
        <w:t xml:space="preserve"> </w:t>
      </w:r>
      <w:r w:rsidRPr="008C330D">
        <w:rPr>
          <w:rFonts w:ascii="Times New Roman" w:hAnsi="Times New Roman" w:cs="Times New Roman"/>
          <w:color w:val="222222"/>
          <w:sz w:val="24"/>
          <w:szCs w:val="24"/>
          <w:shd w:val="clear" w:color="auto" w:fill="FFFFFF"/>
        </w:rPr>
        <w:t>activities in Nigeria. </w:t>
      </w:r>
      <w:r w:rsidRPr="008C330D">
        <w:rPr>
          <w:rFonts w:ascii="Times New Roman" w:hAnsi="Times New Roman" w:cs="Times New Roman"/>
          <w:i/>
          <w:iCs/>
          <w:color w:val="222222"/>
          <w:sz w:val="24"/>
          <w:szCs w:val="24"/>
          <w:shd w:val="clear" w:color="auto" w:fill="FFFFFF"/>
        </w:rPr>
        <w:t>Preprint, no. January</w:t>
      </w:r>
      <w:r w:rsidRPr="008C330D">
        <w:rPr>
          <w:rFonts w:ascii="Times New Roman" w:hAnsi="Times New Roman" w:cs="Times New Roman"/>
          <w:color w:val="222222"/>
          <w:sz w:val="24"/>
          <w:szCs w:val="24"/>
          <w:shd w:val="clear" w:color="auto" w:fill="FFFFFF"/>
        </w:rPr>
        <w:t>.</w:t>
      </w:r>
    </w:p>
    <w:p w14:paraId="703552AB"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Orji, K. E., &amp; Pepple, G. (2015). Urban sprawl and environmental sustainability in Nigeria.</w:t>
      </w:r>
    </w:p>
    <w:p w14:paraId="48B15844" w14:textId="77777777" w:rsidR="00AC0F0A" w:rsidRPr="008C330D" w:rsidRDefault="00AC0F0A" w:rsidP="00EA37EA">
      <w:pPr>
        <w:pStyle w:val="NoSpacing"/>
        <w:ind w:left="360" w:hanging="360"/>
        <w:jc w:val="both"/>
        <w:rPr>
          <w:rFonts w:ascii="Times New Roman" w:hAnsi="Times New Roman" w:cs="Times New Roman"/>
          <w:color w:val="222222"/>
          <w:sz w:val="24"/>
          <w:szCs w:val="24"/>
          <w:shd w:val="clear" w:color="auto" w:fill="FFFFFF"/>
        </w:rPr>
      </w:pPr>
      <w:r w:rsidRPr="008C330D">
        <w:rPr>
          <w:rFonts w:ascii="Times New Roman" w:hAnsi="Times New Roman" w:cs="Times New Roman"/>
          <w:color w:val="222222"/>
          <w:sz w:val="24"/>
          <w:szCs w:val="24"/>
          <w:shd w:val="clear" w:color="auto" w:fill="FFFFFF"/>
        </w:rPr>
        <w:t>Osemeobo, G.J. Effects of common property resource utilizati</w:t>
      </w:r>
      <w:r w:rsidR="005D14E9" w:rsidRPr="008C330D">
        <w:rPr>
          <w:rFonts w:ascii="Times New Roman" w:hAnsi="Times New Roman" w:cs="Times New Roman"/>
          <w:color w:val="222222"/>
          <w:sz w:val="24"/>
          <w:szCs w:val="24"/>
          <w:shd w:val="clear" w:color="auto" w:fill="FFFFFF"/>
        </w:rPr>
        <w:t xml:space="preserve">on on wildlife conservation in </w:t>
      </w:r>
      <w:r w:rsidRPr="008C330D">
        <w:rPr>
          <w:rFonts w:ascii="Times New Roman" w:hAnsi="Times New Roman" w:cs="Times New Roman"/>
          <w:color w:val="222222"/>
          <w:sz w:val="24"/>
          <w:szCs w:val="24"/>
          <w:shd w:val="clear" w:color="auto" w:fill="FFFFFF"/>
        </w:rPr>
        <w:t>Nigeria. </w:t>
      </w:r>
      <w:proofErr w:type="spellStart"/>
      <w:r w:rsidRPr="008C330D">
        <w:rPr>
          <w:rFonts w:ascii="Times New Roman" w:hAnsi="Times New Roman" w:cs="Times New Roman"/>
          <w:i/>
          <w:iCs/>
          <w:color w:val="222222"/>
          <w:sz w:val="24"/>
          <w:szCs w:val="24"/>
          <w:shd w:val="clear" w:color="auto" w:fill="FFFFFF"/>
        </w:rPr>
        <w:t>GeoJournal</w:t>
      </w:r>
      <w:proofErr w:type="spellEnd"/>
      <w:r w:rsidRPr="008C330D">
        <w:rPr>
          <w:rFonts w:ascii="Times New Roman" w:hAnsi="Times New Roman" w:cs="Times New Roman"/>
          <w:color w:val="222222"/>
          <w:sz w:val="24"/>
          <w:szCs w:val="24"/>
          <w:shd w:val="clear" w:color="auto" w:fill="FFFFFF"/>
        </w:rPr>
        <w:t> </w:t>
      </w:r>
      <w:r w:rsidRPr="008C330D">
        <w:rPr>
          <w:rFonts w:ascii="Times New Roman" w:hAnsi="Times New Roman" w:cs="Times New Roman"/>
          <w:b/>
          <w:bCs/>
          <w:color w:val="222222"/>
          <w:sz w:val="24"/>
          <w:szCs w:val="24"/>
          <w:shd w:val="clear" w:color="auto" w:fill="FFFFFF"/>
        </w:rPr>
        <w:t>23</w:t>
      </w:r>
      <w:r w:rsidRPr="008C330D">
        <w:rPr>
          <w:rFonts w:ascii="Times New Roman" w:hAnsi="Times New Roman" w:cs="Times New Roman"/>
          <w:color w:val="222222"/>
          <w:sz w:val="24"/>
          <w:szCs w:val="24"/>
          <w:shd w:val="clear" w:color="auto" w:fill="FFFFFF"/>
        </w:rPr>
        <w:t xml:space="preserve">, 241–248 (1991). </w:t>
      </w:r>
      <w:hyperlink r:id="rId30" w:history="1">
        <w:r w:rsidR="0038269D" w:rsidRPr="008C330D">
          <w:rPr>
            <w:rStyle w:val="Hyperlink"/>
            <w:rFonts w:ascii="Times New Roman" w:hAnsi="Times New Roman" w:cs="Times New Roman"/>
            <w:sz w:val="24"/>
            <w:szCs w:val="24"/>
            <w:shd w:val="clear" w:color="auto" w:fill="FFFFFF"/>
          </w:rPr>
          <w:t>https://doi.org/10.1007/BF00204841</w:t>
        </w:r>
      </w:hyperlink>
    </w:p>
    <w:p w14:paraId="56940324" w14:textId="77777777" w:rsidR="0038269D" w:rsidRPr="008C330D" w:rsidRDefault="0038269D" w:rsidP="0038269D">
      <w:pPr>
        <w:spacing w:after="0" w:line="240" w:lineRule="auto"/>
        <w:ind w:left="360" w:hanging="360"/>
        <w:jc w:val="both"/>
        <w:rPr>
          <w:rFonts w:ascii="Times New Roman" w:hAnsi="Times New Roman" w:cs="Times New Roman"/>
          <w:sz w:val="24"/>
          <w:szCs w:val="24"/>
          <w:highlight w:val="yellow"/>
        </w:rPr>
      </w:pPr>
      <w:r w:rsidRPr="008C330D">
        <w:rPr>
          <w:rFonts w:ascii="Times New Roman" w:eastAsia="Calibri" w:hAnsi="Times New Roman" w:cs="Times New Roman"/>
          <w:sz w:val="24"/>
          <w:szCs w:val="24"/>
          <w:highlight w:val="yellow"/>
        </w:rPr>
        <w:t xml:space="preserve">Singh, A. (1989). Digital Change Detection Technique Using Remotely-Sensed Data. International Journal of Remote Sensing 10: 989-1003. </w:t>
      </w:r>
      <w:hyperlink r:id="rId31" w:history="1">
        <w:r w:rsidRPr="008C330D">
          <w:rPr>
            <w:rFonts w:ascii="Times New Roman" w:eastAsia="Calibri" w:hAnsi="Times New Roman" w:cs="Times New Roman"/>
            <w:color w:val="0563C1"/>
            <w:sz w:val="24"/>
            <w:szCs w:val="24"/>
            <w:highlight w:val="yellow"/>
            <w:u w:val="single"/>
          </w:rPr>
          <w:t>http://dx.doi.org/10.1080/01431168908903939</w:t>
        </w:r>
      </w:hyperlink>
    </w:p>
    <w:p w14:paraId="07495F23" w14:textId="77777777" w:rsidR="0038269D" w:rsidRPr="008C330D" w:rsidRDefault="0038269D" w:rsidP="0038269D">
      <w:pPr>
        <w:spacing w:after="0" w:line="240" w:lineRule="auto"/>
        <w:ind w:left="360" w:hanging="360"/>
        <w:jc w:val="both"/>
        <w:rPr>
          <w:rFonts w:ascii="Times New Roman" w:eastAsia="Calibri" w:hAnsi="Times New Roman" w:cs="Times New Roman"/>
          <w:sz w:val="24"/>
          <w:szCs w:val="24"/>
        </w:rPr>
      </w:pPr>
      <w:r w:rsidRPr="008C330D">
        <w:rPr>
          <w:rFonts w:ascii="Times New Roman" w:eastAsia="Calibri" w:hAnsi="Times New Roman" w:cs="Times New Roman"/>
          <w:sz w:val="24"/>
          <w:szCs w:val="24"/>
          <w:highlight w:val="yellow"/>
        </w:rPr>
        <w:t xml:space="preserve">Tardie PS, </w:t>
      </w:r>
      <w:proofErr w:type="spellStart"/>
      <w:r w:rsidRPr="008C330D">
        <w:rPr>
          <w:rFonts w:ascii="Times New Roman" w:eastAsia="Calibri" w:hAnsi="Times New Roman" w:cs="Times New Roman"/>
          <w:sz w:val="24"/>
          <w:szCs w:val="24"/>
          <w:highlight w:val="yellow"/>
        </w:rPr>
        <w:t>Congalton</w:t>
      </w:r>
      <w:proofErr w:type="spellEnd"/>
      <w:r w:rsidRPr="008C330D">
        <w:rPr>
          <w:rFonts w:ascii="Times New Roman" w:eastAsia="Calibri" w:hAnsi="Times New Roman" w:cs="Times New Roman"/>
          <w:sz w:val="24"/>
          <w:szCs w:val="24"/>
          <w:highlight w:val="yellow"/>
        </w:rPr>
        <w:t xml:space="preserve"> RG (2004). A Change-detection Analysis: Using Remotely Sensed Data to Assess the Progression of Development in Essex County, Massachusetts from 1990 to 2001. </w:t>
      </w:r>
      <w:hyperlink r:id="rId32" w:history="1">
        <w:r w:rsidRPr="008C330D">
          <w:rPr>
            <w:rFonts w:ascii="Times New Roman" w:eastAsia="Calibri" w:hAnsi="Times New Roman" w:cs="Times New Roman"/>
            <w:color w:val="0563C1"/>
            <w:sz w:val="24"/>
            <w:szCs w:val="24"/>
            <w:highlight w:val="yellow"/>
            <w:u w:val="single"/>
          </w:rPr>
          <w:t>http://www.aarsacrs.org/acrs/proceeding/ACRS2008/Papers/PS%203.21.pdf</w:t>
        </w:r>
      </w:hyperlink>
    </w:p>
    <w:p w14:paraId="24D37A23"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Ume, S. U., Ucha, S. C., &amp; Nnaji, J. O. (2020). Socioeco</w:t>
      </w:r>
      <w:r w:rsidR="005D14E9" w:rsidRPr="008C330D">
        <w:rPr>
          <w:rFonts w:ascii="Times New Roman" w:hAnsi="Times New Roman" w:cs="Times New Roman"/>
          <w:sz w:val="24"/>
          <w:szCs w:val="24"/>
        </w:rPr>
        <w:t xml:space="preserve">nomic determinants of farmers' </w:t>
      </w:r>
      <w:r w:rsidRPr="008C330D">
        <w:rPr>
          <w:rFonts w:ascii="Times New Roman" w:hAnsi="Times New Roman" w:cs="Times New Roman"/>
          <w:sz w:val="24"/>
          <w:szCs w:val="24"/>
        </w:rPr>
        <w:t xml:space="preserve">participation in off-farm income employment in Ezza </w:t>
      </w:r>
      <w:r w:rsidR="005D14E9" w:rsidRPr="008C330D">
        <w:rPr>
          <w:rFonts w:ascii="Times New Roman" w:hAnsi="Times New Roman" w:cs="Times New Roman"/>
          <w:sz w:val="24"/>
          <w:szCs w:val="24"/>
        </w:rPr>
        <w:t xml:space="preserve">South Local Government Area of </w:t>
      </w:r>
      <w:r w:rsidRPr="008C330D">
        <w:rPr>
          <w:rFonts w:ascii="Times New Roman" w:hAnsi="Times New Roman" w:cs="Times New Roman"/>
          <w:sz w:val="24"/>
          <w:szCs w:val="24"/>
        </w:rPr>
        <w:t>Ebonyi State, Nigeria. ResearchGate Publication 342101617.</w:t>
      </w:r>
    </w:p>
    <w:p w14:paraId="600161EF"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color w:val="222222"/>
          <w:sz w:val="24"/>
          <w:szCs w:val="24"/>
          <w:shd w:val="clear" w:color="auto" w:fill="FFFFFF"/>
        </w:rPr>
        <w:t>van der Werf, G., Morton, D., DeFries, R. </w:t>
      </w:r>
      <w:r w:rsidRPr="008C330D">
        <w:rPr>
          <w:rFonts w:ascii="Times New Roman" w:hAnsi="Times New Roman" w:cs="Times New Roman"/>
          <w:i/>
          <w:iCs/>
          <w:color w:val="222222"/>
          <w:sz w:val="24"/>
          <w:szCs w:val="24"/>
          <w:shd w:val="clear" w:color="auto" w:fill="FFFFFF"/>
        </w:rPr>
        <w:t>et al.</w:t>
      </w:r>
      <w:r w:rsidRPr="008C330D">
        <w:rPr>
          <w:rFonts w:ascii="Times New Roman" w:hAnsi="Times New Roman" w:cs="Times New Roman"/>
          <w:color w:val="222222"/>
          <w:sz w:val="24"/>
          <w:szCs w:val="24"/>
          <w:shd w:val="clear" w:color="auto" w:fill="FFFFFF"/>
        </w:rPr>
        <w:t> CO</w:t>
      </w:r>
      <w:r w:rsidRPr="008C330D">
        <w:rPr>
          <w:rFonts w:ascii="Times New Roman" w:hAnsi="Times New Roman" w:cs="Times New Roman"/>
          <w:color w:val="222222"/>
          <w:sz w:val="24"/>
          <w:szCs w:val="24"/>
          <w:shd w:val="clear" w:color="auto" w:fill="FFFFFF"/>
          <w:vertAlign w:val="subscript"/>
        </w:rPr>
        <w:t>2</w:t>
      </w:r>
      <w:r w:rsidRPr="008C330D">
        <w:rPr>
          <w:rFonts w:ascii="Times New Roman" w:hAnsi="Times New Roman" w:cs="Times New Roman"/>
          <w:color w:val="222222"/>
          <w:sz w:val="24"/>
          <w:szCs w:val="24"/>
          <w:shd w:val="clear" w:color="auto" w:fill="FFFFFF"/>
        </w:rPr>
        <w:t> emissions from forest loss. </w:t>
      </w:r>
      <w:r w:rsidRPr="008C330D">
        <w:rPr>
          <w:rFonts w:ascii="Times New Roman" w:hAnsi="Times New Roman" w:cs="Times New Roman"/>
          <w:i/>
          <w:iCs/>
          <w:color w:val="222222"/>
          <w:sz w:val="24"/>
          <w:szCs w:val="24"/>
          <w:shd w:val="clear" w:color="auto" w:fill="FFFFFF"/>
        </w:rPr>
        <w:t xml:space="preserve">Nature </w:t>
      </w:r>
      <w:r w:rsidRPr="008C330D">
        <w:rPr>
          <w:rFonts w:ascii="Times New Roman" w:hAnsi="Times New Roman" w:cs="Times New Roman"/>
          <w:i/>
          <w:iCs/>
          <w:color w:val="222222"/>
          <w:sz w:val="24"/>
          <w:szCs w:val="24"/>
          <w:shd w:val="clear" w:color="auto" w:fill="FFFFFF"/>
        </w:rPr>
        <w:tab/>
      </w:r>
      <w:proofErr w:type="spellStart"/>
      <w:r w:rsidRPr="008C330D">
        <w:rPr>
          <w:rFonts w:ascii="Times New Roman" w:hAnsi="Times New Roman" w:cs="Times New Roman"/>
          <w:i/>
          <w:iCs/>
          <w:color w:val="222222"/>
          <w:sz w:val="24"/>
          <w:szCs w:val="24"/>
          <w:shd w:val="clear" w:color="auto" w:fill="FFFFFF"/>
        </w:rPr>
        <w:t>Geosci</w:t>
      </w:r>
      <w:proofErr w:type="spellEnd"/>
      <w:r w:rsidRPr="008C330D">
        <w:rPr>
          <w:rFonts w:ascii="Times New Roman" w:hAnsi="Times New Roman" w:cs="Times New Roman"/>
          <w:color w:val="222222"/>
          <w:sz w:val="24"/>
          <w:szCs w:val="24"/>
          <w:shd w:val="clear" w:color="auto" w:fill="FFFFFF"/>
        </w:rPr>
        <w:t> </w:t>
      </w:r>
      <w:r w:rsidRPr="008C330D">
        <w:rPr>
          <w:rFonts w:ascii="Times New Roman" w:hAnsi="Times New Roman" w:cs="Times New Roman"/>
          <w:b/>
          <w:bCs/>
          <w:color w:val="222222"/>
          <w:sz w:val="24"/>
          <w:szCs w:val="24"/>
          <w:shd w:val="clear" w:color="auto" w:fill="FFFFFF"/>
        </w:rPr>
        <w:t>2</w:t>
      </w:r>
      <w:r w:rsidRPr="008C330D">
        <w:rPr>
          <w:rFonts w:ascii="Times New Roman" w:hAnsi="Times New Roman" w:cs="Times New Roman"/>
          <w:color w:val="222222"/>
          <w:sz w:val="24"/>
          <w:szCs w:val="24"/>
          <w:shd w:val="clear" w:color="auto" w:fill="FFFFFF"/>
        </w:rPr>
        <w:t>, 737–738 (2009). https://doi.org/10.1038/ngeo671</w:t>
      </w:r>
    </w:p>
    <w:p w14:paraId="30170A22"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Wikipedia contributors. (2024). Ebonyi State. Wikipedia. Retrieved April 2024, from</w:t>
      </w:r>
      <w:r w:rsidR="005D14E9" w:rsidRPr="008C330D">
        <w:rPr>
          <w:rFonts w:ascii="Times New Roman" w:hAnsi="Times New Roman" w:cs="Times New Roman"/>
          <w:sz w:val="24"/>
          <w:szCs w:val="24"/>
        </w:rPr>
        <w:t xml:space="preserve"> </w:t>
      </w:r>
      <w:r w:rsidRPr="008C330D">
        <w:rPr>
          <w:rFonts w:ascii="Times New Roman" w:hAnsi="Times New Roman" w:cs="Times New Roman"/>
          <w:sz w:val="24"/>
          <w:szCs w:val="24"/>
        </w:rPr>
        <w:t>https://en.wikipedia.org/wiki/Ebonyi_State</w:t>
      </w:r>
    </w:p>
    <w:p w14:paraId="7EEC7AF0" w14:textId="77777777" w:rsidR="00AC0F0A" w:rsidRPr="008C330D" w:rsidRDefault="00AC0F0A" w:rsidP="00EA37EA">
      <w:pPr>
        <w:pStyle w:val="NoSpacing"/>
        <w:ind w:left="360" w:hanging="360"/>
        <w:jc w:val="both"/>
        <w:rPr>
          <w:rFonts w:ascii="Times New Roman" w:hAnsi="Times New Roman" w:cs="Times New Roman"/>
          <w:sz w:val="24"/>
          <w:szCs w:val="24"/>
        </w:rPr>
      </w:pPr>
      <w:r w:rsidRPr="008C330D">
        <w:rPr>
          <w:rFonts w:ascii="Times New Roman" w:hAnsi="Times New Roman" w:cs="Times New Roman"/>
          <w:sz w:val="24"/>
          <w:szCs w:val="24"/>
        </w:rPr>
        <w:t>Wikipedia contributors. (2024). Ezza South. Wikipedia. Retrieved April 2024, from https:// https://en.wikipedia.org/wiki/Ezza_South</w:t>
      </w:r>
    </w:p>
    <w:sectPr w:rsidR="00AC0F0A" w:rsidRPr="008C330D" w:rsidSect="00683E3C">
      <w:headerReference w:type="even" r:id="rId33"/>
      <w:headerReference w:type="default" r:id="rId34"/>
      <w:footerReference w:type="even" r:id="rId35"/>
      <w:footerReference w:type="default" r:id="rId36"/>
      <w:headerReference w:type="first" r:id="rId37"/>
      <w:footerReference w:type="first" r:id="rId38"/>
      <w:pgSz w:w="12240" w:h="15840"/>
      <w:pgMar w:top="1440" w:right="117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BFBC0" w14:textId="77777777" w:rsidR="00C40992" w:rsidRDefault="00C40992" w:rsidP="008805B8">
      <w:pPr>
        <w:spacing w:after="0" w:line="240" w:lineRule="auto"/>
      </w:pPr>
      <w:r>
        <w:separator/>
      </w:r>
    </w:p>
  </w:endnote>
  <w:endnote w:type="continuationSeparator" w:id="0">
    <w:p w14:paraId="4479DBAB" w14:textId="77777777" w:rsidR="00C40992" w:rsidRDefault="00C40992" w:rsidP="0088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ogle Sans Text">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oogle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5A4E" w14:textId="77777777" w:rsidR="00B3589D" w:rsidRDefault="00B358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943766"/>
      <w:docPartObj>
        <w:docPartGallery w:val="Page Numbers (Bottom of Page)"/>
        <w:docPartUnique/>
      </w:docPartObj>
    </w:sdtPr>
    <w:sdtContent>
      <w:p w14:paraId="36844331" w14:textId="77777777" w:rsidR="00B3589D" w:rsidRDefault="008C330D">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B127037" w14:textId="77777777" w:rsidR="00B3589D" w:rsidRDefault="00B358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9671" w14:textId="77777777" w:rsidR="00B3589D" w:rsidRDefault="00B35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E6913" w14:textId="77777777" w:rsidR="00C40992" w:rsidRDefault="00C40992" w:rsidP="008805B8">
      <w:pPr>
        <w:spacing w:after="0" w:line="240" w:lineRule="auto"/>
      </w:pPr>
      <w:r>
        <w:separator/>
      </w:r>
    </w:p>
  </w:footnote>
  <w:footnote w:type="continuationSeparator" w:id="0">
    <w:p w14:paraId="0EABAB30" w14:textId="77777777" w:rsidR="00C40992" w:rsidRDefault="00C40992" w:rsidP="00880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B34B" w14:textId="77777777" w:rsidR="00B3589D" w:rsidRDefault="00000000">
    <w:pPr>
      <w:pStyle w:val="Header"/>
    </w:pPr>
    <w:r>
      <w:rPr>
        <w:noProof/>
      </w:rPr>
      <w:pict w14:anchorId="01482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1" o:spid="_x0000_s1026" type="#_x0000_t136" style="position:absolute;left:0;text-align:left;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B2CB" w14:textId="77777777" w:rsidR="00B3589D" w:rsidRDefault="00000000">
    <w:pPr>
      <w:pStyle w:val="Header"/>
    </w:pPr>
    <w:r>
      <w:rPr>
        <w:noProof/>
      </w:rPr>
      <w:pict w14:anchorId="4882F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2" o:spid="_x0000_s1027" type="#_x0000_t136" style="position:absolute;left:0;text-align:left;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41148" w14:textId="77777777" w:rsidR="00B3589D" w:rsidRDefault="00000000">
    <w:pPr>
      <w:pStyle w:val="Header"/>
    </w:pPr>
    <w:r>
      <w:rPr>
        <w:noProof/>
      </w:rPr>
      <w:pict w14:anchorId="62D72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0" o:spid="_x0000_s1025" type="#_x0000_t136" style="position:absolute;left:0;text-align:left;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F75"/>
    <w:multiLevelType w:val="multilevel"/>
    <w:tmpl w:val="7BD2A886"/>
    <w:lvl w:ilvl="0">
      <w:start w:val="1"/>
      <w:numFmt w:val="decimal"/>
      <w:lvlText w:val="%1."/>
      <w:lvlJc w:val="left"/>
      <w:pPr>
        <w:ind w:left="48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 w15:restartNumberingAfterBreak="0">
    <w:nsid w:val="05111C5A"/>
    <w:multiLevelType w:val="multilevel"/>
    <w:tmpl w:val="3B92D874"/>
    <w:lvl w:ilvl="0">
      <w:start w:val="1"/>
      <w:numFmt w:val="decimal"/>
      <w:lvlText w:val="%1."/>
      <w:lvlJc w:val="left"/>
      <w:pPr>
        <w:ind w:left="60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2" w15:restartNumberingAfterBreak="0">
    <w:nsid w:val="114707BE"/>
    <w:multiLevelType w:val="multilevel"/>
    <w:tmpl w:val="4A841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C3EE3"/>
    <w:multiLevelType w:val="multilevel"/>
    <w:tmpl w:val="AA24CB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F135F4F"/>
    <w:multiLevelType w:val="hybridMultilevel"/>
    <w:tmpl w:val="2E223B0E"/>
    <w:lvl w:ilvl="0" w:tplc="C93A29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E1895"/>
    <w:multiLevelType w:val="multilevel"/>
    <w:tmpl w:val="65BC3B20"/>
    <w:lvl w:ilvl="0">
      <w:start w:val="1"/>
      <w:numFmt w:val="bullet"/>
      <w:lvlText w:val="●"/>
      <w:lvlJc w:val="left"/>
      <w:pPr>
        <w:ind w:left="465"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6" w15:restartNumberingAfterBreak="0">
    <w:nsid w:val="313878C4"/>
    <w:multiLevelType w:val="multilevel"/>
    <w:tmpl w:val="B54A4972"/>
    <w:lvl w:ilvl="0">
      <w:start w:val="1"/>
      <w:numFmt w:val="decimal"/>
      <w:lvlText w:val="%1."/>
      <w:lvlJc w:val="left"/>
      <w:pPr>
        <w:ind w:left="48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7" w15:restartNumberingAfterBreak="0">
    <w:nsid w:val="3F2B210B"/>
    <w:multiLevelType w:val="hybridMultilevel"/>
    <w:tmpl w:val="2E608AEA"/>
    <w:lvl w:ilvl="0" w:tplc="C25A6C2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2864E94"/>
    <w:multiLevelType w:val="multilevel"/>
    <w:tmpl w:val="8780BA9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5AB75A05"/>
    <w:multiLevelType w:val="multilevel"/>
    <w:tmpl w:val="67EC388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63EF171B"/>
    <w:multiLevelType w:val="multilevel"/>
    <w:tmpl w:val="3B92D874"/>
    <w:lvl w:ilvl="0">
      <w:start w:val="1"/>
      <w:numFmt w:val="decimal"/>
      <w:lvlText w:val="%1."/>
      <w:lvlJc w:val="left"/>
      <w:pPr>
        <w:ind w:left="60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1" w15:restartNumberingAfterBreak="0">
    <w:nsid w:val="66CA17B8"/>
    <w:multiLevelType w:val="multilevel"/>
    <w:tmpl w:val="66CA17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8C080E"/>
    <w:multiLevelType w:val="hybridMultilevel"/>
    <w:tmpl w:val="BE4AA7B2"/>
    <w:lvl w:ilvl="0" w:tplc="0B7CDEE0">
      <w:start w:val="1"/>
      <w:numFmt w:val="decimal"/>
      <w:lvlText w:val="%1."/>
      <w:lvlJc w:val="left"/>
      <w:pPr>
        <w:ind w:left="3479" w:hanging="360"/>
      </w:pPr>
      <w:rPr>
        <w:rFonts w:cs="Times New Roman"/>
      </w:rPr>
    </w:lvl>
    <w:lvl w:ilvl="1" w:tplc="04090019">
      <w:start w:val="1"/>
      <w:numFmt w:val="decimal"/>
      <w:lvlText w:val="%2."/>
      <w:lvlJc w:val="left"/>
      <w:pPr>
        <w:tabs>
          <w:tab w:val="num" w:pos="4502"/>
        </w:tabs>
        <w:ind w:left="4502" w:hanging="360"/>
      </w:pPr>
      <w:rPr>
        <w:rFonts w:cs="Times New Roman"/>
      </w:rPr>
    </w:lvl>
    <w:lvl w:ilvl="2" w:tplc="0409001B">
      <w:start w:val="1"/>
      <w:numFmt w:val="decimal"/>
      <w:lvlText w:val="%3."/>
      <w:lvlJc w:val="left"/>
      <w:pPr>
        <w:tabs>
          <w:tab w:val="num" w:pos="5222"/>
        </w:tabs>
        <w:ind w:left="5222" w:hanging="360"/>
      </w:pPr>
      <w:rPr>
        <w:rFonts w:cs="Times New Roman"/>
      </w:rPr>
    </w:lvl>
    <w:lvl w:ilvl="3" w:tplc="0409000F">
      <w:start w:val="1"/>
      <w:numFmt w:val="decimal"/>
      <w:lvlText w:val="%4."/>
      <w:lvlJc w:val="left"/>
      <w:pPr>
        <w:tabs>
          <w:tab w:val="num" w:pos="5942"/>
        </w:tabs>
        <w:ind w:left="5942" w:hanging="360"/>
      </w:pPr>
      <w:rPr>
        <w:rFonts w:cs="Times New Roman"/>
      </w:rPr>
    </w:lvl>
    <w:lvl w:ilvl="4" w:tplc="04090019">
      <w:start w:val="1"/>
      <w:numFmt w:val="decimal"/>
      <w:lvlText w:val="%5."/>
      <w:lvlJc w:val="left"/>
      <w:pPr>
        <w:tabs>
          <w:tab w:val="num" w:pos="6662"/>
        </w:tabs>
        <w:ind w:left="6662" w:hanging="360"/>
      </w:pPr>
      <w:rPr>
        <w:rFonts w:cs="Times New Roman"/>
      </w:rPr>
    </w:lvl>
    <w:lvl w:ilvl="5" w:tplc="0409001B">
      <w:start w:val="1"/>
      <w:numFmt w:val="decimal"/>
      <w:lvlText w:val="%6."/>
      <w:lvlJc w:val="left"/>
      <w:pPr>
        <w:tabs>
          <w:tab w:val="num" w:pos="7382"/>
        </w:tabs>
        <w:ind w:left="7382" w:hanging="360"/>
      </w:pPr>
      <w:rPr>
        <w:rFonts w:cs="Times New Roman"/>
      </w:rPr>
    </w:lvl>
    <w:lvl w:ilvl="6" w:tplc="0409000F">
      <w:start w:val="1"/>
      <w:numFmt w:val="decimal"/>
      <w:lvlText w:val="%7."/>
      <w:lvlJc w:val="left"/>
      <w:pPr>
        <w:tabs>
          <w:tab w:val="num" w:pos="8102"/>
        </w:tabs>
        <w:ind w:left="8102" w:hanging="360"/>
      </w:pPr>
      <w:rPr>
        <w:rFonts w:cs="Times New Roman"/>
      </w:rPr>
    </w:lvl>
    <w:lvl w:ilvl="7" w:tplc="04090019">
      <w:start w:val="1"/>
      <w:numFmt w:val="decimal"/>
      <w:lvlText w:val="%8."/>
      <w:lvlJc w:val="left"/>
      <w:pPr>
        <w:tabs>
          <w:tab w:val="num" w:pos="8822"/>
        </w:tabs>
        <w:ind w:left="8822" w:hanging="360"/>
      </w:pPr>
      <w:rPr>
        <w:rFonts w:cs="Times New Roman"/>
      </w:rPr>
    </w:lvl>
    <w:lvl w:ilvl="8" w:tplc="0409001B">
      <w:start w:val="1"/>
      <w:numFmt w:val="decimal"/>
      <w:lvlText w:val="%9."/>
      <w:lvlJc w:val="left"/>
      <w:pPr>
        <w:tabs>
          <w:tab w:val="num" w:pos="9542"/>
        </w:tabs>
        <w:ind w:left="9542" w:hanging="360"/>
      </w:pPr>
      <w:rPr>
        <w:rFonts w:cs="Times New Roman"/>
      </w:rPr>
    </w:lvl>
  </w:abstractNum>
  <w:abstractNum w:abstractNumId="13" w15:restartNumberingAfterBreak="0">
    <w:nsid w:val="7EBF3D99"/>
    <w:multiLevelType w:val="multilevel"/>
    <w:tmpl w:val="AD1EF132"/>
    <w:lvl w:ilvl="0">
      <w:start w:val="3"/>
      <w:numFmt w:val="decimal"/>
      <w:lvlText w:val="%1"/>
      <w:lvlJc w:val="left"/>
      <w:pPr>
        <w:ind w:left="360" w:hanging="360"/>
      </w:pPr>
      <w:rPr>
        <w:rFonts w:cs="Times New Roman" w:hint="default"/>
        <w:b/>
      </w:rPr>
    </w:lvl>
    <w:lvl w:ilvl="1">
      <w:start w:val="2"/>
      <w:numFmt w:val="decimal"/>
      <w:lvlText w:val="%1.%2"/>
      <w:lvlJc w:val="left"/>
      <w:pPr>
        <w:ind w:left="780" w:hanging="360"/>
      </w:pPr>
      <w:rPr>
        <w:rFonts w:cs="Times New Roman" w:hint="default"/>
        <w:b/>
      </w:rPr>
    </w:lvl>
    <w:lvl w:ilvl="2">
      <w:start w:val="1"/>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num w:numId="1" w16cid:durableId="1757050334">
    <w:abstractNumId w:val="11"/>
  </w:num>
  <w:num w:numId="2" w16cid:durableId="966546051">
    <w:abstractNumId w:val="9"/>
  </w:num>
  <w:num w:numId="3" w16cid:durableId="2083873434">
    <w:abstractNumId w:val="6"/>
    <w:lvlOverride w:ilvl="0">
      <w:startOverride w:val="1"/>
    </w:lvlOverride>
    <w:lvlOverride w:ilvl="1"/>
    <w:lvlOverride w:ilvl="2"/>
    <w:lvlOverride w:ilvl="3"/>
    <w:lvlOverride w:ilvl="4"/>
    <w:lvlOverride w:ilvl="5"/>
    <w:lvlOverride w:ilvl="6"/>
    <w:lvlOverride w:ilvl="7"/>
    <w:lvlOverride w:ilvl="8"/>
  </w:num>
  <w:num w:numId="4" w16cid:durableId="825165266">
    <w:abstractNumId w:val="5"/>
  </w:num>
  <w:num w:numId="5" w16cid:durableId="110563665">
    <w:abstractNumId w:val="10"/>
    <w:lvlOverride w:ilvl="0">
      <w:startOverride w:val="1"/>
    </w:lvlOverride>
    <w:lvlOverride w:ilvl="1"/>
    <w:lvlOverride w:ilvl="2"/>
    <w:lvlOverride w:ilvl="3"/>
    <w:lvlOverride w:ilvl="4"/>
    <w:lvlOverride w:ilvl="5"/>
    <w:lvlOverride w:ilvl="6"/>
    <w:lvlOverride w:ilvl="7"/>
    <w:lvlOverride w:ilvl="8"/>
  </w:num>
  <w:num w:numId="6" w16cid:durableId="666321532">
    <w:abstractNumId w:val="13"/>
  </w:num>
  <w:num w:numId="7" w16cid:durableId="754590593">
    <w:abstractNumId w:val="0"/>
    <w:lvlOverride w:ilvl="0">
      <w:startOverride w:val="1"/>
    </w:lvlOverride>
    <w:lvlOverride w:ilvl="1"/>
    <w:lvlOverride w:ilvl="2"/>
    <w:lvlOverride w:ilvl="3"/>
    <w:lvlOverride w:ilvl="4"/>
    <w:lvlOverride w:ilvl="5"/>
    <w:lvlOverride w:ilvl="6"/>
    <w:lvlOverride w:ilvl="7"/>
    <w:lvlOverride w:ilvl="8"/>
  </w:num>
  <w:num w:numId="8" w16cid:durableId="56324345">
    <w:abstractNumId w:val="3"/>
  </w:num>
  <w:num w:numId="9" w16cid:durableId="296840985">
    <w:abstractNumId w:val="8"/>
  </w:num>
  <w:num w:numId="10" w16cid:durableId="2039625554">
    <w:abstractNumId w:val="1"/>
    <w:lvlOverride w:ilvl="0">
      <w:startOverride w:val="1"/>
    </w:lvlOverride>
    <w:lvlOverride w:ilvl="1"/>
    <w:lvlOverride w:ilvl="2"/>
    <w:lvlOverride w:ilvl="3"/>
    <w:lvlOverride w:ilvl="4"/>
    <w:lvlOverride w:ilvl="5"/>
    <w:lvlOverride w:ilvl="6"/>
    <w:lvlOverride w:ilvl="7"/>
    <w:lvlOverride w:ilvl="8"/>
  </w:num>
  <w:num w:numId="11" w16cid:durableId="911232607">
    <w:abstractNumId w:val="7"/>
  </w:num>
  <w:num w:numId="12" w16cid:durableId="353774424">
    <w:abstractNumId w:val="4"/>
  </w:num>
  <w:num w:numId="13" w16cid:durableId="1641156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9056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2F4F"/>
    <w:rsid w:val="000035F3"/>
    <w:rsid w:val="00005017"/>
    <w:rsid w:val="00006F4C"/>
    <w:rsid w:val="0001575C"/>
    <w:rsid w:val="000200CA"/>
    <w:rsid w:val="00030C64"/>
    <w:rsid w:val="00055437"/>
    <w:rsid w:val="00072A40"/>
    <w:rsid w:val="00080EC6"/>
    <w:rsid w:val="000F13EA"/>
    <w:rsid w:val="000F76B9"/>
    <w:rsid w:val="00107F27"/>
    <w:rsid w:val="001479F3"/>
    <w:rsid w:val="001A3734"/>
    <w:rsid w:val="001A7847"/>
    <w:rsid w:val="001D13E9"/>
    <w:rsid w:val="00215376"/>
    <w:rsid w:val="0022269F"/>
    <w:rsid w:val="002256DF"/>
    <w:rsid w:val="0023772C"/>
    <w:rsid w:val="0025101A"/>
    <w:rsid w:val="002B2F4F"/>
    <w:rsid w:val="002C2BAE"/>
    <w:rsid w:val="002D3B3C"/>
    <w:rsid w:val="002D5C5A"/>
    <w:rsid w:val="0030770A"/>
    <w:rsid w:val="00310A98"/>
    <w:rsid w:val="0032558F"/>
    <w:rsid w:val="00327B4E"/>
    <w:rsid w:val="0038269D"/>
    <w:rsid w:val="003C1EEF"/>
    <w:rsid w:val="00416701"/>
    <w:rsid w:val="0041799A"/>
    <w:rsid w:val="004621AC"/>
    <w:rsid w:val="004C42DE"/>
    <w:rsid w:val="004E22F0"/>
    <w:rsid w:val="005073A5"/>
    <w:rsid w:val="0051221B"/>
    <w:rsid w:val="00516C13"/>
    <w:rsid w:val="0053135B"/>
    <w:rsid w:val="0055303A"/>
    <w:rsid w:val="00583FFB"/>
    <w:rsid w:val="005B7D9E"/>
    <w:rsid w:val="005D14E9"/>
    <w:rsid w:val="00623457"/>
    <w:rsid w:val="00633B6B"/>
    <w:rsid w:val="00655BD6"/>
    <w:rsid w:val="00683E3C"/>
    <w:rsid w:val="00691F04"/>
    <w:rsid w:val="00694F93"/>
    <w:rsid w:val="006A67CA"/>
    <w:rsid w:val="00732A51"/>
    <w:rsid w:val="00735090"/>
    <w:rsid w:val="00754E76"/>
    <w:rsid w:val="007657D2"/>
    <w:rsid w:val="00775B57"/>
    <w:rsid w:val="00791C4B"/>
    <w:rsid w:val="007C0237"/>
    <w:rsid w:val="00847092"/>
    <w:rsid w:val="00875466"/>
    <w:rsid w:val="0087702E"/>
    <w:rsid w:val="008805B8"/>
    <w:rsid w:val="008C330D"/>
    <w:rsid w:val="00904455"/>
    <w:rsid w:val="009964F0"/>
    <w:rsid w:val="009A6887"/>
    <w:rsid w:val="009C1124"/>
    <w:rsid w:val="00A03961"/>
    <w:rsid w:val="00A122A2"/>
    <w:rsid w:val="00A80AD8"/>
    <w:rsid w:val="00AA0E77"/>
    <w:rsid w:val="00AB34A0"/>
    <w:rsid w:val="00AC0F0A"/>
    <w:rsid w:val="00AC38C4"/>
    <w:rsid w:val="00B23EC6"/>
    <w:rsid w:val="00B3589D"/>
    <w:rsid w:val="00B7491B"/>
    <w:rsid w:val="00B94A57"/>
    <w:rsid w:val="00BB10C4"/>
    <w:rsid w:val="00BB1D70"/>
    <w:rsid w:val="00BB53E2"/>
    <w:rsid w:val="00C40992"/>
    <w:rsid w:val="00C62DD5"/>
    <w:rsid w:val="00C96678"/>
    <w:rsid w:val="00C97850"/>
    <w:rsid w:val="00CC78D1"/>
    <w:rsid w:val="00D02142"/>
    <w:rsid w:val="00D3065C"/>
    <w:rsid w:val="00D53BD3"/>
    <w:rsid w:val="00D54CD1"/>
    <w:rsid w:val="00D85E6A"/>
    <w:rsid w:val="00D9520C"/>
    <w:rsid w:val="00DA3824"/>
    <w:rsid w:val="00DB66A3"/>
    <w:rsid w:val="00DD04F2"/>
    <w:rsid w:val="00E005DD"/>
    <w:rsid w:val="00E35792"/>
    <w:rsid w:val="00E37821"/>
    <w:rsid w:val="00E6138C"/>
    <w:rsid w:val="00EA0602"/>
    <w:rsid w:val="00EA37EA"/>
    <w:rsid w:val="00F51FEB"/>
    <w:rsid w:val="00F54F51"/>
    <w:rsid w:val="00F616F6"/>
    <w:rsid w:val="00F96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AutoShape 2"/>
      </o:rules>
    </o:shapelayout>
  </w:shapeDefaults>
  <w:decimalSymbol w:val="."/>
  <w:listSeparator w:val=","/>
  <w14:docId w14:val="661842BB"/>
  <w15:docId w15:val="{656FAEE8-BE1E-473C-93AD-27BFC2AF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F4F"/>
  </w:style>
  <w:style w:type="paragraph" w:styleId="Heading1">
    <w:name w:val="heading 1"/>
    <w:basedOn w:val="Normal"/>
    <w:next w:val="Normal"/>
    <w:link w:val="Heading1Char"/>
    <w:uiPriority w:val="9"/>
    <w:qFormat/>
    <w:rsid w:val="00847092"/>
    <w:pPr>
      <w:keepNext/>
      <w:keepLines/>
      <w:spacing w:before="400" w:after="40" w:line="480" w:lineRule="auto"/>
      <w:jc w:val="both"/>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47092"/>
    <w:pPr>
      <w:keepNext/>
      <w:keepLines/>
      <w:spacing w:before="120" w:after="0" w:line="480" w:lineRule="auto"/>
      <w:jc w:val="both"/>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847092"/>
    <w:pPr>
      <w:keepNext/>
      <w:keepLines/>
      <w:spacing w:before="120" w:after="0" w:line="480" w:lineRule="auto"/>
      <w:jc w:val="both"/>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47092"/>
    <w:pPr>
      <w:keepNext/>
      <w:keepLines/>
      <w:spacing w:before="120" w:after="0" w:line="480" w:lineRule="auto"/>
      <w:jc w:val="both"/>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47092"/>
    <w:pPr>
      <w:keepNext/>
      <w:keepLines/>
      <w:spacing w:before="120" w:after="0" w:line="480" w:lineRule="auto"/>
      <w:jc w:val="both"/>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47092"/>
    <w:pPr>
      <w:keepNext/>
      <w:keepLines/>
      <w:spacing w:before="120" w:after="0" w:line="480" w:lineRule="auto"/>
      <w:jc w:val="both"/>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47092"/>
    <w:pPr>
      <w:keepNext/>
      <w:keepLines/>
      <w:spacing w:before="120" w:after="0" w:line="480" w:lineRule="auto"/>
      <w:jc w:val="both"/>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47092"/>
    <w:pPr>
      <w:keepNext/>
      <w:keepLines/>
      <w:spacing w:before="120" w:after="0" w:line="480" w:lineRule="auto"/>
      <w:jc w:val="both"/>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47092"/>
    <w:pPr>
      <w:keepNext/>
      <w:keepLines/>
      <w:spacing w:before="120" w:after="0" w:line="480" w:lineRule="auto"/>
      <w:jc w:val="both"/>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B2F4F"/>
    <w:rPr>
      <w:color w:val="0000FF" w:themeColor="hyperlink"/>
      <w:u w:val="single"/>
    </w:rPr>
  </w:style>
  <w:style w:type="paragraph" w:styleId="NoSpacing">
    <w:name w:val="No Spacing"/>
    <w:uiPriority w:val="1"/>
    <w:qFormat/>
    <w:rsid w:val="002B2F4F"/>
    <w:pPr>
      <w:spacing w:after="0" w:line="240" w:lineRule="auto"/>
    </w:pPr>
  </w:style>
  <w:style w:type="character" w:customStyle="1" w:styleId="Heading1Char">
    <w:name w:val="Heading 1 Char"/>
    <w:basedOn w:val="DefaultParagraphFont"/>
    <w:link w:val="Heading1"/>
    <w:uiPriority w:val="9"/>
    <w:qFormat/>
    <w:rsid w:val="0084709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qFormat/>
    <w:rsid w:val="0084709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qFormat/>
    <w:rsid w:val="0084709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qFormat/>
    <w:rsid w:val="0084709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qFormat/>
    <w:rsid w:val="0084709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qFormat/>
    <w:rsid w:val="0084709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qFormat/>
    <w:rsid w:val="0084709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qFormat/>
    <w:rsid w:val="0084709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qFormat/>
    <w:rsid w:val="0084709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847092"/>
    <w:pPr>
      <w:spacing w:after="0" w:line="480" w:lineRule="auto"/>
      <w:jc w:val="both"/>
    </w:pPr>
    <w:rPr>
      <w:rFonts w:eastAsiaTheme="minorEastAsia"/>
      <w:b/>
      <w:bCs/>
      <w:smallCaps/>
      <w:color w:val="595959" w:themeColor="text1" w:themeTint="A6"/>
    </w:rPr>
  </w:style>
  <w:style w:type="character" w:styleId="Emphasis">
    <w:name w:val="Emphasis"/>
    <w:basedOn w:val="DefaultParagraphFont"/>
    <w:uiPriority w:val="20"/>
    <w:qFormat/>
    <w:rsid w:val="00847092"/>
    <w:rPr>
      <w:i/>
      <w:iCs/>
    </w:rPr>
  </w:style>
  <w:style w:type="paragraph" w:styleId="Footer">
    <w:name w:val="footer"/>
    <w:basedOn w:val="Normal"/>
    <w:link w:val="FooterChar"/>
    <w:uiPriority w:val="99"/>
    <w:unhideWhenUsed/>
    <w:rsid w:val="00847092"/>
    <w:pPr>
      <w:tabs>
        <w:tab w:val="center" w:pos="4680"/>
        <w:tab w:val="right" w:pos="9360"/>
      </w:tabs>
      <w:spacing w:after="0" w:line="480" w:lineRule="auto"/>
      <w:jc w:val="both"/>
    </w:pPr>
    <w:rPr>
      <w:rFonts w:eastAsiaTheme="minorEastAsia"/>
    </w:rPr>
  </w:style>
  <w:style w:type="character" w:customStyle="1" w:styleId="FooterChar">
    <w:name w:val="Footer Char"/>
    <w:basedOn w:val="DefaultParagraphFont"/>
    <w:link w:val="Footer"/>
    <w:uiPriority w:val="99"/>
    <w:rsid w:val="00847092"/>
    <w:rPr>
      <w:rFonts w:eastAsiaTheme="minorEastAsia"/>
    </w:rPr>
  </w:style>
  <w:style w:type="paragraph" w:styleId="Header">
    <w:name w:val="header"/>
    <w:basedOn w:val="Normal"/>
    <w:link w:val="HeaderChar"/>
    <w:uiPriority w:val="99"/>
    <w:unhideWhenUsed/>
    <w:rsid w:val="00847092"/>
    <w:pPr>
      <w:tabs>
        <w:tab w:val="center" w:pos="4680"/>
        <w:tab w:val="right" w:pos="9360"/>
      </w:tabs>
      <w:spacing w:after="0" w:line="480" w:lineRule="auto"/>
      <w:jc w:val="both"/>
    </w:pPr>
    <w:rPr>
      <w:rFonts w:eastAsiaTheme="minorEastAsia"/>
    </w:rPr>
  </w:style>
  <w:style w:type="character" w:customStyle="1" w:styleId="HeaderChar">
    <w:name w:val="Header Char"/>
    <w:basedOn w:val="DefaultParagraphFont"/>
    <w:link w:val="Header"/>
    <w:uiPriority w:val="99"/>
    <w:rsid w:val="00847092"/>
    <w:rPr>
      <w:rFonts w:eastAsiaTheme="minorEastAsia"/>
    </w:rPr>
  </w:style>
  <w:style w:type="character" w:styleId="Strong">
    <w:name w:val="Strong"/>
    <w:basedOn w:val="DefaultParagraphFont"/>
    <w:uiPriority w:val="22"/>
    <w:qFormat/>
    <w:rsid w:val="00847092"/>
    <w:rPr>
      <w:b/>
      <w:bCs/>
    </w:rPr>
  </w:style>
  <w:style w:type="paragraph" w:styleId="Subtitle">
    <w:name w:val="Subtitle"/>
    <w:basedOn w:val="Normal"/>
    <w:next w:val="Normal"/>
    <w:link w:val="SubtitleChar"/>
    <w:uiPriority w:val="11"/>
    <w:qFormat/>
    <w:rsid w:val="00847092"/>
    <w:pPr>
      <w:spacing w:after="0" w:line="480" w:lineRule="auto"/>
      <w:jc w:val="both"/>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qFormat/>
    <w:rsid w:val="00847092"/>
    <w:rPr>
      <w:rFonts w:asciiTheme="majorHAnsi" w:eastAsiaTheme="majorEastAsia" w:hAnsiTheme="majorHAnsi" w:cstheme="majorBidi"/>
      <w:smallCaps/>
      <w:color w:val="595959" w:themeColor="text1" w:themeTint="A6"/>
      <w:sz w:val="28"/>
      <w:szCs w:val="28"/>
    </w:rPr>
  </w:style>
  <w:style w:type="paragraph" w:styleId="Title">
    <w:name w:val="Title"/>
    <w:basedOn w:val="Normal"/>
    <w:next w:val="Normal"/>
    <w:link w:val="TitleChar"/>
    <w:uiPriority w:val="10"/>
    <w:qFormat/>
    <w:rsid w:val="00847092"/>
    <w:pPr>
      <w:spacing w:after="0" w:line="480" w:lineRule="auto"/>
      <w:contextualSpacing/>
      <w:jc w:val="both"/>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qFormat/>
    <w:rsid w:val="00847092"/>
    <w:rPr>
      <w:rFonts w:asciiTheme="majorHAnsi" w:eastAsiaTheme="majorEastAsia" w:hAnsiTheme="majorHAnsi" w:cstheme="majorBidi"/>
      <w:caps/>
      <w:color w:val="404040" w:themeColor="text1" w:themeTint="BF"/>
      <w:spacing w:val="-10"/>
      <w:sz w:val="72"/>
      <w:szCs w:val="72"/>
    </w:rPr>
  </w:style>
  <w:style w:type="paragraph" w:styleId="ListParagraph">
    <w:name w:val="List Paragraph"/>
    <w:basedOn w:val="Normal"/>
    <w:uiPriority w:val="34"/>
    <w:qFormat/>
    <w:rsid w:val="00847092"/>
    <w:pPr>
      <w:spacing w:after="0" w:line="480" w:lineRule="auto"/>
      <w:ind w:left="720"/>
      <w:contextualSpacing/>
      <w:jc w:val="both"/>
    </w:pPr>
    <w:rPr>
      <w:rFonts w:eastAsiaTheme="minorEastAsia"/>
    </w:rPr>
  </w:style>
  <w:style w:type="paragraph" w:styleId="Quote">
    <w:name w:val="Quote"/>
    <w:basedOn w:val="Normal"/>
    <w:next w:val="Normal"/>
    <w:link w:val="QuoteChar"/>
    <w:uiPriority w:val="29"/>
    <w:qFormat/>
    <w:rsid w:val="00847092"/>
    <w:pPr>
      <w:spacing w:before="160" w:after="0" w:line="480" w:lineRule="auto"/>
      <w:ind w:left="720" w:right="720"/>
      <w:jc w:val="both"/>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qFormat/>
    <w:rsid w:val="0084709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7092"/>
    <w:pPr>
      <w:spacing w:before="280" w:after="280" w:line="48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qFormat/>
    <w:rsid w:val="00847092"/>
    <w:rPr>
      <w:rFonts w:eastAsiaTheme="minorEastAsia"/>
      <w:color w:val="404040" w:themeColor="text1" w:themeTint="BF"/>
      <w:sz w:val="32"/>
      <w:szCs w:val="32"/>
    </w:rPr>
  </w:style>
  <w:style w:type="character" w:customStyle="1" w:styleId="SubtleEmphasis1">
    <w:name w:val="Subtle Emphasis1"/>
    <w:basedOn w:val="DefaultParagraphFont"/>
    <w:uiPriority w:val="19"/>
    <w:qFormat/>
    <w:rsid w:val="00847092"/>
    <w:rPr>
      <w:i/>
      <w:iCs/>
      <w:color w:val="595959" w:themeColor="text1" w:themeTint="A6"/>
    </w:rPr>
  </w:style>
  <w:style w:type="character" w:customStyle="1" w:styleId="IntenseEmphasis1">
    <w:name w:val="Intense Emphasis1"/>
    <w:basedOn w:val="DefaultParagraphFont"/>
    <w:uiPriority w:val="21"/>
    <w:qFormat/>
    <w:rsid w:val="00847092"/>
    <w:rPr>
      <w:b/>
      <w:bCs/>
      <w:i/>
      <w:iCs/>
    </w:rPr>
  </w:style>
  <w:style w:type="character" w:customStyle="1" w:styleId="SubtleReference1">
    <w:name w:val="Subtle Reference1"/>
    <w:basedOn w:val="DefaultParagraphFont"/>
    <w:uiPriority w:val="31"/>
    <w:qFormat/>
    <w:rsid w:val="00847092"/>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sid w:val="00847092"/>
    <w:rPr>
      <w:b/>
      <w:bCs/>
      <w:smallCaps/>
      <w:color w:val="auto"/>
      <w:spacing w:val="3"/>
      <w:u w:val="single"/>
    </w:rPr>
  </w:style>
  <w:style w:type="character" w:customStyle="1" w:styleId="BookTitle1">
    <w:name w:val="Book Title1"/>
    <w:basedOn w:val="DefaultParagraphFont"/>
    <w:uiPriority w:val="33"/>
    <w:qFormat/>
    <w:rsid w:val="00847092"/>
    <w:rPr>
      <w:b/>
      <w:bCs/>
      <w:smallCaps/>
      <w:spacing w:val="7"/>
    </w:rPr>
  </w:style>
  <w:style w:type="paragraph" w:customStyle="1" w:styleId="TOCHeading1">
    <w:name w:val="TOC Heading1"/>
    <w:basedOn w:val="Heading1"/>
    <w:next w:val="Normal"/>
    <w:uiPriority w:val="39"/>
    <w:semiHidden/>
    <w:unhideWhenUsed/>
    <w:qFormat/>
    <w:rsid w:val="00847092"/>
    <w:pPr>
      <w:outlineLvl w:val="9"/>
    </w:pPr>
  </w:style>
  <w:style w:type="character" w:customStyle="1" w:styleId="UnresolvedMention1">
    <w:name w:val="Unresolved Mention1"/>
    <w:basedOn w:val="DefaultParagraphFont"/>
    <w:uiPriority w:val="99"/>
    <w:semiHidden/>
    <w:unhideWhenUsed/>
    <w:rsid w:val="00847092"/>
    <w:rPr>
      <w:color w:val="605E5C"/>
      <w:shd w:val="clear" w:color="auto" w:fill="E1DFDD"/>
    </w:rPr>
  </w:style>
  <w:style w:type="character" w:customStyle="1" w:styleId="plainlinks">
    <w:name w:val="plainlinks"/>
    <w:basedOn w:val="DefaultParagraphFont"/>
    <w:rsid w:val="00847092"/>
  </w:style>
  <w:style w:type="character" w:customStyle="1" w:styleId="geo-dec">
    <w:name w:val="geo-dec"/>
    <w:basedOn w:val="DefaultParagraphFont"/>
    <w:rsid w:val="00847092"/>
  </w:style>
  <w:style w:type="character" w:customStyle="1" w:styleId="fc1">
    <w:name w:val="fc1"/>
    <w:basedOn w:val="DefaultParagraphFont"/>
    <w:rsid w:val="00847092"/>
  </w:style>
  <w:style w:type="paragraph" w:styleId="NormalWeb">
    <w:name w:val="Normal (Web)"/>
    <w:basedOn w:val="Normal"/>
    <w:uiPriority w:val="99"/>
    <w:unhideWhenUsed/>
    <w:rsid w:val="00847092"/>
    <w:pPr>
      <w:spacing w:before="100" w:beforeAutospacing="1" w:after="100" w:afterAutospacing="1" w:line="480" w:lineRule="auto"/>
      <w:jc w:val="both"/>
    </w:pPr>
    <w:rPr>
      <w:rFonts w:ascii="Times New Roman" w:eastAsia="Times New Roman" w:hAnsi="Times New Roman" w:cs="Times New Roman"/>
      <w:sz w:val="24"/>
      <w:szCs w:val="24"/>
    </w:rPr>
  </w:style>
  <w:style w:type="table" w:styleId="TableGrid">
    <w:name w:val="Table Grid"/>
    <w:basedOn w:val="TableNormal"/>
    <w:uiPriority w:val="59"/>
    <w:rsid w:val="00847092"/>
    <w:pPr>
      <w:spacing w:after="0" w:line="480" w:lineRule="auto"/>
      <w:jc w:val="both"/>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47092"/>
    <w:pPr>
      <w:spacing w:after="0" w:line="480" w:lineRule="auto"/>
      <w:jc w:val="both"/>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47092"/>
    <w:rPr>
      <w:color w:val="605E5C"/>
      <w:shd w:val="clear" w:color="auto" w:fill="E1DFDD"/>
    </w:rPr>
  </w:style>
  <w:style w:type="paragraph" w:styleId="BalloonText">
    <w:name w:val="Balloon Text"/>
    <w:basedOn w:val="Normal"/>
    <w:link w:val="BalloonTextChar"/>
    <w:uiPriority w:val="99"/>
    <w:semiHidden/>
    <w:unhideWhenUsed/>
    <w:rsid w:val="00847092"/>
    <w:pPr>
      <w:spacing w:after="0" w:line="240" w:lineRule="auto"/>
      <w:jc w:val="both"/>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47092"/>
    <w:rPr>
      <w:rFonts w:ascii="Tahoma" w:eastAsiaTheme="minorEastAsia" w:hAnsi="Tahoma" w:cs="Tahoma"/>
      <w:sz w:val="16"/>
      <w:szCs w:val="16"/>
    </w:rPr>
  </w:style>
  <w:style w:type="character" w:customStyle="1" w:styleId="UnresolvedMention3">
    <w:name w:val="Unresolved Mention3"/>
    <w:basedOn w:val="DefaultParagraphFont"/>
    <w:uiPriority w:val="99"/>
    <w:semiHidden/>
    <w:unhideWhenUsed/>
    <w:rsid w:val="000F76B9"/>
    <w:rPr>
      <w:color w:val="605E5C"/>
      <w:shd w:val="clear" w:color="auto" w:fill="E1DFDD"/>
    </w:rPr>
  </w:style>
  <w:style w:type="paragraph" w:customStyle="1" w:styleId="Normal1">
    <w:name w:val="Normal+1"/>
    <w:basedOn w:val="Normal"/>
    <w:next w:val="Normal"/>
    <w:uiPriority w:val="99"/>
    <w:rsid w:val="004C42DE"/>
    <w:pPr>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3390/land14040765" TargetMode="External"/><Relationship Id="rId26" Type="http://schemas.openxmlformats.org/officeDocument/2006/relationships/hyperlink" Target="https://doi.org/10.31407/ijees" TargetMode="External"/><Relationship Id="rId39" Type="http://schemas.openxmlformats.org/officeDocument/2006/relationships/fontTable" Target="fontTable.xml"/><Relationship Id="rId21" Type="http://schemas.openxmlformats.org/officeDocument/2006/relationships/hyperlink" Target="https://www.earthblox.io/resources/earth-blox-dataset-review-dynamic-"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www.meteoblue.com/en/weather/historyclimate/climatemodelled/ebonyistate_nige"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doi.org/10.1016/j.isprsjprs.2009.06.004" TargetMode="External"/><Relationship Id="rId29" Type="http://schemas.openxmlformats.org/officeDocument/2006/relationships/hyperlink" Target="https://doi.org/10.56201/wjimt.v8.no3.2024.pg14.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evelopers.google.com/earth-engine/tutorials/community/introduction-to-dynamic-world-pt-1" TargetMode="External"/><Relationship Id="rId32" Type="http://schemas.openxmlformats.org/officeDocument/2006/relationships/hyperlink" Target="http://www.aarsacrs.org/acrs/proceeding/ACRS2008/Papers/PS%203.21.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i.org/10.3390/s7071323" TargetMode="External"/><Relationship Id="rId28" Type="http://schemas.openxmlformats.org/officeDocument/2006/relationships/hyperlink" Target="https://doi.org/10.33002/nr2581.6853.080316"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citypopulation.de/php/nigeria-admin.php?adm2id=NGA011006" TargetMode="External"/><Relationship Id="rId31" Type="http://schemas.openxmlformats.org/officeDocument/2006/relationships/hyperlink" Target="http://dx.doi.org/10.1080/0143116890890393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33002/nr2581.6853.080317" TargetMode="External"/><Relationship Id="rId27" Type="http://schemas.openxmlformats.org/officeDocument/2006/relationships/hyperlink" Target="https://doi.org/10.31407/ijees15.6" TargetMode="External"/><Relationship Id="rId30" Type="http://schemas.openxmlformats.org/officeDocument/2006/relationships/hyperlink" Target="https://doi.org/10.1007/BF00204841"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36482939633107E-2"/>
          <c:y val="0.31921296296296858"/>
          <c:w val="0.93888888888889355"/>
          <c:h val="0.59653579760863251"/>
        </c:manualLayout>
      </c:layout>
      <c:barChart>
        <c:barDir val="col"/>
        <c:grouping val="clustered"/>
        <c:varyColors val="0"/>
        <c:ser>
          <c:idx val="0"/>
          <c:order val="0"/>
          <c:tx>
            <c:strRef>
              <c:f>Sheet1!$D$13:$D$14</c:f>
              <c:strCache>
                <c:ptCount val="2"/>
                <c:pt idx="0">
                  <c:v>Percentage of change in 2014</c:v>
                </c:pt>
                <c:pt idx="1">
                  <c:v>Category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Sheet1!$C$15:$C$20</c:f>
              <c:strCache>
                <c:ptCount val="6"/>
                <c:pt idx="0">
                  <c:v>Water</c:v>
                </c:pt>
                <c:pt idx="1">
                  <c:v>Forest</c:v>
                </c:pt>
                <c:pt idx="2">
                  <c:v>Swamp</c:v>
                </c:pt>
                <c:pt idx="3">
                  <c:v>Farmland</c:v>
                </c:pt>
                <c:pt idx="4">
                  <c:v>Bult-up</c:v>
                </c:pt>
                <c:pt idx="5">
                  <c:v>Bare surface</c:v>
                </c:pt>
              </c:strCache>
            </c:strRef>
          </c:cat>
          <c:val>
            <c:numRef>
              <c:f>Sheet1!$D$15:$D$20</c:f>
              <c:numCache>
                <c:formatCode>General</c:formatCode>
                <c:ptCount val="6"/>
                <c:pt idx="0">
                  <c:v>0.81</c:v>
                </c:pt>
                <c:pt idx="1">
                  <c:v>38.130000000000003</c:v>
                </c:pt>
                <c:pt idx="2">
                  <c:v>0</c:v>
                </c:pt>
                <c:pt idx="3">
                  <c:v>54.48</c:v>
                </c:pt>
                <c:pt idx="4">
                  <c:v>6.55</c:v>
                </c:pt>
                <c:pt idx="5">
                  <c:v>3.0000000000000096E-2</c:v>
                </c:pt>
              </c:numCache>
            </c:numRef>
          </c:val>
          <c:extLst>
            <c:ext xmlns:c16="http://schemas.microsoft.com/office/drawing/2014/chart" uri="{C3380CC4-5D6E-409C-BE32-E72D297353CC}">
              <c16:uniqueId val="{00000000-EA3C-4499-BAB5-87DF3F206AE7}"/>
            </c:ext>
          </c:extLst>
        </c:ser>
        <c:dLbls>
          <c:showLegendKey val="0"/>
          <c:showVal val="1"/>
          <c:showCatName val="0"/>
          <c:showSerName val="0"/>
          <c:showPercent val="0"/>
          <c:showBubbleSize val="0"/>
        </c:dLbls>
        <c:gapWidth val="65"/>
        <c:axId val="111684224"/>
        <c:axId val="112982272"/>
      </c:barChart>
      <c:catAx>
        <c:axId val="111684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2982272"/>
        <c:crosses val="autoZero"/>
        <c:auto val="1"/>
        <c:lblAlgn val="ctr"/>
        <c:lblOffset val="100"/>
        <c:noMultiLvlLbl val="0"/>
      </c:catAx>
      <c:valAx>
        <c:axId val="112982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16842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Sheet1!$D$30:$D$31</c:f>
              <c:strCache>
                <c:ptCount val="2"/>
                <c:pt idx="0">
                  <c:v>Percentage of change 2024</c:v>
                </c:pt>
                <c:pt idx="1">
                  <c:v>Category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Sheet1!$C$32:$C$37</c:f>
              <c:strCache>
                <c:ptCount val="6"/>
                <c:pt idx="0">
                  <c:v>Water</c:v>
                </c:pt>
                <c:pt idx="1">
                  <c:v>Forest</c:v>
                </c:pt>
                <c:pt idx="2">
                  <c:v>Swamp</c:v>
                </c:pt>
                <c:pt idx="3">
                  <c:v>Farmland</c:v>
                </c:pt>
                <c:pt idx="4">
                  <c:v>Bult-up</c:v>
                </c:pt>
                <c:pt idx="5">
                  <c:v>Bare surface</c:v>
                </c:pt>
              </c:strCache>
            </c:strRef>
          </c:cat>
          <c:val>
            <c:numRef>
              <c:f>Sheet1!$D$32:$D$37</c:f>
              <c:numCache>
                <c:formatCode>General</c:formatCode>
                <c:ptCount val="6"/>
                <c:pt idx="0">
                  <c:v>0.73000000000000065</c:v>
                </c:pt>
                <c:pt idx="1">
                  <c:v>19.71</c:v>
                </c:pt>
                <c:pt idx="2">
                  <c:v>1.0000000000000005E-2</c:v>
                </c:pt>
                <c:pt idx="3">
                  <c:v>68.430000000000007</c:v>
                </c:pt>
                <c:pt idx="4">
                  <c:v>11</c:v>
                </c:pt>
                <c:pt idx="5">
                  <c:v>0.12000000000000002</c:v>
                </c:pt>
              </c:numCache>
            </c:numRef>
          </c:val>
          <c:extLst>
            <c:ext xmlns:c16="http://schemas.microsoft.com/office/drawing/2014/chart" uri="{C3380CC4-5D6E-409C-BE32-E72D297353CC}">
              <c16:uniqueId val="{00000000-BA8E-491E-9CF0-358ACE53EA1B}"/>
            </c:ext>
          </c:extLst>
        </c:ser>
        <c:dLbls>
          <c:showLegendKey val="0"/>
          <c:showVal val="1"/>
          <c:showCatName val="0"/>
          <c:showSerName val="0"/>
          <c:showPercent val="0"/>
          <c:showBubbleSize val="0"/>
        </c:dLbls>
        <c:gapWidth val="41"/>
        <c:axId val="149588608"/>
        <c:axId val="188592896"/>
      </c:barChart>
      <c:catAx>
        <c:axId val="14958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88592896"/>
        <c:crosses val="autoZero"/>
        <c:auto val="1"/>
        <c:lblAlgn val="ctr"/>
        <c:lblOffset val="100"/>
        <c:noMultiLvlLbl val="0"/>
      </c:catAx>
      <c:valAx>
        <c:axId val="188592896"/>
        <c:scaling>
          <c:orientation val="minMax"/>
        </c:scaling>
        <c:delete val="1"/>
        <c:axPos val="l"/>
        <c:numFmt formatCode="General" sourceLinked="1"/>
        <c:majorTickMark val="none"/>
        <c:minorTickMark val="none"/>
        <c:tickLblPos val="none"/>
        <c:crossAx val="1495886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22</Pages>
  <Words>8310</Words>
  <Characters>47367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Editor-1183</cp:lastModifiedBy>
  <cp:revision>6</cp:revision>
  <dcterms:created xsi:type="dcterms:W3CDTF">2026-05-21T15:41:00Z</dcterms:created>
  <dcterms:modified xsi:type="dcterms:W3CDTF">2026-05-23T11:15:00Z</dcterms:modified>
</cp:coreProperties>
</file>