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D0BB01" w14:textId="77777777" w:rsidR="000E2B60" w:rsidRDefault="000E2B60" w:rsidP="000E19B2">
      <w:pPr>
        <w:pStyle w:val="MDPI22heading2"/>
        <w:spacing w:before="240"/>
        <w:ind w:left="0"/>
        <w:jc w:val="both"/>
        <w:rPr>
          <w:rFonts w:ascii="Times New Roman" w:hAnsi="Times New Roman"/>
          <w:b/>
          <w:i w:val="0"/>
          <w:sz w:val="28"/>
          <w:szCs w:val="28"/>
        </w:rPr>
      </w:pPr>
      <w:r w:rsidRPr="000E2B60">
        <w:rPr>
          <w:rFonts w:ascii="Times New Roman" w:hAnsi="Times New Roman"/>
          <w:b/>
          <w:i w:val="0"/>
          <w:sz w:val="28"/>
          <w:szCs w:val="28"/>
        </w:rPr>
        <w:t>Original Research Article</w:t>
      </w:r>
    </w:p>
    <w:p w14:paraId="138FAD07" w14:textId="1CFDDB3F" w:rsidR="00064339" w:rsidRDefault="00CE64BB" w:rsidP="000E19B2">
      <w:pPr>
        <w:pStyle w:val="MDPI22heading2"/>
        <w:spacing w:before="240"/>
        <w:ind w:left="0"/>
        <w:jc w:val="both"/>
        <w:rPr>
          <w:rFonts w:ascii="Times New Roman" w:hAnsi="Times New Roman"/>
          <w:b/>
          <w:i w:val="0"/>
          <w:sz w:val="28"/>
          <w:szCs w:val="28"/>
        </w:rPr>
      </w:pPr>
      <w:r>
        <w:rPr>
          <w:rFonts w:ascii="Times New Roman" w:hAnsi="Times New Roman"/>
          <w:b/>
          <w:i w:val="0"/>
          <w:sz w:val="28"/>
          <w:szCs w:val="28"/>
        </w:rPr>
        <w:t>Climate change and h</w:t>
      </w:r>
      <w:r w:rsidR="00064339">
        <w:rPr>
          <w:rFonts w:ascii="Times New Roman" w:hAnsi="Times New Roman"/>
          <w:b/>
          <w:i w:val="0"/>
          <w:sz w:val="28"/>
          <w:szCs w:val="28"/>
        </w:rPr>
        <w:t>uman d</w:t>
      </w:r>
      <w:r w:rsidR="00715495" w:rsidRPr="00715495">
        <w:rPr>
          <w:rFonts w:ascii="Times New Roman" w:hAnsi="Times New Roman"/>
          <w:b/>
          <w:i w:val="0"/>
          <w:sz w:val="28"/>
          <w:szCs w:val="28"/>
        </w:rPr>
        <w:t>isplacem</w:t>
      </w:r>
      <w:r w:rsidR="00D747A4">
        <w:rPr>
          <w:rFonts w:ascii="Times New Roman" w:hAnsi="Times New Roman"/>
          <w:b/>
          <w:i w:val="0"/>
          <w:sz w:val="28"/>
          <w:szCs w:val="28"/>
        </w:rPr>
        <w:t>ent:</w:t>
      </w:r>
      <w:r w:rsidR="001529B6">
        <w:rPr>
          <w:rFonts w:ascii="Times New Roman" w:hAnsi="Times New Roman"/>
          <w:b/>
          <w:i w:val="0"/>
          <w:sz w:val="28"/>
          <w:szCs w:val="28"/>
        </w:rPr>
        <w:t xml:space="preserve"> emerging global t</w:t>
      </w:r>
      <w:r w:rsidR="001529B6" w:rsidRPr="0007477D">
        <w:rPr>
          <w:rFonts w:ascii="Times New Roman" w:hAnsi="Times New Roman"/>
          <w:b/>
          <w:i w:val="0"/>
          <w:sz w:val="28"/>
          <w:szCs w:val="28"/>
        </w:rPr>
        <w:t>rends</w:t>
      </w:r>
      <w:r w:rsidR="001529B6">
        <w:rPr>
          <w:rFonts w:ascii="Times New Roman" w:hAnsi="Times New Roman"/>
          <w:b/>
          <w:i w:val="0"/>
          <w:sz w:val="28"/>
          <w:szCs w:val="28"/>
        </w:rPr>
        <w:t xml:space="preserve"> </w:t>
      </w:r>
    </w:p>
    <w:p w14:paraId="6BD0BFF3" w14:textId="77777777" w:rsidR="000E2B60" w:rsidRDefault="000E2B60" w:rsidP="000E19B2">
      <w:pPr>
        <w:pStyle w:val="MDPI22heading2"/>
        <w:spacing w:before="240"/>
        <w:ind w:left="0"/>
        <w:jc w:val="both"/>
        <w:rPr>
          <w:rFonts w:ascii="Times New Roman" w:hAnsi="Times New Roman"/>
          <w:b/>
          <w:i w:val="0"/>
          <w:sz w:val="28"/>
          <w:szCs w:val="28"/>
        </w:rPr>
      </w:pPr>
    </w:p>
    <w:p w14:paraId="140EE904" w14:textId="77777777" w:rsidR="00E725ED" w:rsidRPr="008804D8" w:rsidRDefault="00E725ED" w:rsidP="00E725ED">
      <w:pPr>
        <w:rPr>
          <w:rFonts w:ascii="Times New Roman" w:hAnsi="Times New Roman" w:cs="Times New Roman"/>
          <w:b/>
          <w:sz w:val="24"/>
          <w:szCs w:val="24"/>
        </w:rPr>
      </w:pPr>
    </w:p>
    <w:p w14:paraId="1B0E07BC" w14:textId="77777777" w:rsidR="00E725ED" w:rsidRPr="00635143" w:rsidRDefault="00E725ED" w:rsidP="00E725ED">
      <w:pPr>
        <w:rPr>
          <w:rFonts w:ascii="Times New Roman" w:hAnsi="Times New Roman" w:cs="Times New Roman"/>
          <w:b/>
          <w:sz w:val="24"/>
          <w:szCs w:val="24"/>
        </w:rPr>
      </w:pPr>
      <w:r w:rsidRPr="00635143">
        <w:rPr>
          <w:rFonts w:ascii="Times New Roman" w:hAnsi="Times New Roman" w:cs="Times New Roman"/>
          <w:b/>
          <w:sz w:val="24"/>
          <w:szCs w:val="24"/>
        </w:rPr>
        <w:t>Abstract</w:t>
      </w:r>
    </w:p>
    <w:p w14:paraId="06BE3198" w14:textId="77777777" w:rsidR="008804D8" w:rsidRPr="008804D8" w:rsidRDefault="008804D8" w:rsidP="008804D8">
      <w:pPr>
        <w:spacing w:before="100" w:beforeAutospacing="1" w:after="100" w:afterAutospacing="1" w:line="240" w:lineRule="auto"/>
        <w:jc w:val="both"/>
        <w:rPr>
          <w:rFonts w:ascii="Times New Roman" w:eastAsia="Times New Roman" w:hAnsi="Times New Roman" w:cs="Times New Roman"/>
          <w:color w:val="0070C0"/>
          <w:sz w:val="24"/>
          <w:szCs w:val="24"/>
          <w:lang w:eastAsia="en-GB"/>
        </w:rPr>
      </w:pPr>
      <w:r w:rsidRPr="008804D8">
        <w:rPr>
          <w:rFonts w:ascii="Times New Roman" w:eastAsia="Times New Roman" w:hAnsi="Times New Roman" w:cs="Times New Roman"/>
          <w:color w:val="0070C0"/>
          <w:sz w:val="24"/>
          <w:szCs w:val="24"/>
          <w:lang w:eastAsia="en-GB"/>
        </w:rPr>
        <w:t>This manuscript examines the impacts of climate change on human displacement caused by natural hazards and environmental processes, including floods, droughts, and global temperature variations.</w:t>
      </w:r>
    </w:p>
    <w:p w14:paraId="49814333" w14:textId="5B04738A" w:rsidR="008804D8" w:rsidRPr="008804D8" w:rsidRDefault="008804D8" w:rsidP="008804D8">
      <w:pPr>
        <w:spacing w:before="100" w:beforeAutospacing="1" w:after="100" w:afterAutospacing="1" w:line="240" w:lineRule="auto"/>
        <w:jc w:val="both"/>
        <w:rPr>
          <w:rFonts w:ascii="Times New Roman" w:eastAsia="Times New Roman" w:hAnsi="Times New Roman" w:cs="Times New Roman"/>
          <w:color w:val="0070C0"/>
          <w:sz w:val="24"/>
          <w:szCs w:val="24"/>
          <w:lang w:eastAsia="en-GB"/>
        </w:rPr>
      </w:pPr>
      <w:r w:rsidRPr="008804D8">
        <w:rPr>
          <w:rFonts w:ascii="Times New Roman" w:eastAsia="Times New Roman" w:hAnsi="Times New Roman" w:cs="Times New Roman"/>
          <w:color w:val="0070C0"/>
          <w:sz w:val="24"/>
          <w:szCs w:val="24"/>
          <w:lang w:eastAsia="en-GB"/>
        </w:rPr>
        <w:t>The study employs a mixed-methods approach that combines quantitative data analysis with qualitative research techniques. Statistical analyses based on official datasets and scientific literat</w:t>
      </w:r>
      <w:r w:rsidR="001833AD">
        <w:rPr>
          <w:rFonts w:ascii="Times New Roman" w:eastAsia="Times New Roman" w:hAnsi="Times New Roman" w:cs="Times New Roman"/>
          <w:color w:val="0070C0"/>
          <w:sz w:val="24"/>
          <w:szCs w:val="24"/>
          <w:lang w:eastAsia="en-GB"/>
        </w:rPr>
        <w:t>ure are integrated with</w:t>
      </w:r>
      <w:r w:rsidRPr="008804D8">
        <w:rPr>
          <w:rFonts w:ascii="Times New Roman" w:eastAsia="Times New Roman" w:hAnsi="Times New Roman" w:cs="Times New Roman"/>
          <w:color w:val="0070C0"/>
          <w:sz w:val="24"/>
          <w:szCs w:val="24"/>
          <w:lang w:eastAsia="en-GB"/>
        </w:rPr>
        <w:t xml:space="preserve"> simulations and fieldwork data coll</w:t>
      </w:r>
      <w:r w:rsidR="003F711A">
        <w:rPr>
          <w:rFonts w:ascii="Times New Roman" w:eastAsia="Times New Roman" w:hAnsi="Times New Roman" w:cs="Times New Roman"/>
          <w:color w:val="0070C0"/>
          <w:sz w:val="24"/>
          <w:szCs w:val="24"/>
          <w:lang w:eastAsia="en-GB"/>
        </w:rPr>
        <w:t>ected in Spain.</w:t>
      </w:r>
    </w:p>
    <w:p w14:paraId="7EFBD118" w14:textId="53C7C19D" w:rsidR="008804D8" w:rsidRPr="008804D8" w:rsidRDefault="008804D8" w:rsidP="008804D8">
      <w:pPr>
        <w:spacing w:before="100" w:beforeAutospacing="1" w:after="100" w:afterAutospacing="1" w:line="240" w:lineRule="auto"/>
        <w:jc w:val="both"/>
        <w:rPr>
          <w:rFonts w:ascii="Times New Roman" w:eastAsia="Times New Roman" w:hAnsi="Times New Roman" w:cs="Times New Roman"/>
          <w:color w:val="0070C0"/>
          <w:sz w:val="24"/>
          <w:szCs w:val="24"/>
          <w:lang w:eastAsia="en-GB"/>
        </w:rPr>
      </w:pPr>
      <w:r w:rsidRPr="008804D8">
        <w:rPr>
          <w:rFonts w:ascii="Times New Roman" w:eastAsia="Times New Roman" w:hAnsi="Times New Roman" w:cs="Times New Roman"/>
          <w:color w:val="0070C0"/>
          <w:sz w:val="24"/>
          <w:szCs w:val="24"/>
          <w:lang w:eastAsia="en-GB"/>
        </w:rPr>
        <w:t>The results provide future projections of the effects of climate change on global populations and migration patterns driven by its economic consequences. The spatial and temporal distributions of natural disasters reveal significant geographical inequalities, highlighting the heightened vulnerability of regions in Africa and Asia. A case study of climate-induced migration in southern Spain is also presented. In addition, the manuscript addresses the issue of energy poverty in Europe</w:t>
      </w:r>
      <w:r w:rsidR="003F711A">
        <w:rPr>
          <w:rFonts w:ascii="Times New Roman" w:eastAsia="Times New Roman" w:hAnsi="Times New Roman" w:cs="Times New Roman"/>
          <w:color w:val="0070C0"/>
          <w:sz w:val="24"/>
          <w:szCs w:val="24"/>
          <w:lang w:eastAsia="en-GB"/>
        </w:rPr>
        <w:t xml:space="preserve"> and especially Bulgaria</w:t>
      </w:r>
      <w:r w:rsidRPr="008804D8">
        <w:rPr>
          <w:rFonts w:ascii="Times New Roman" w:eastAsia="Times New Roman" w:hAnsi="Times New Roman" w:cs="Times New Roman"/>
          <w:color w:val="0070C0"/>
          <w:sz w:val="24"/>
          <w:szCs w:val="24"/>
          <w:lang w:eastAsia="en-GB"/>
        </w:rPr>
        <w:t>, offering a comprehensive perspective on both the physical impacts of climate change and their broader societal consequences, particularly for vulnerable populations.</w:t>
      </w:r>
    </w:p>
    <w:p w14:paraId="1D917032" w14:textId="77777777" w:rsidR="008804D8" w:rsidRPr="008804D8" w:rsidRDefault="008804D8" w:rsidP="008804D8">
      <w:pPr>
        <w:spacing w:before="100" w:beforeAutospacing="1" w:after="100" w:afterAutospacing="1" w:line="240" w:lineRule="auto"/>
        <w:jc w:val="both"/>
        <w:rPr>
          <w:rFonts w:ascii="Times New Roman" w:eastAsia="Times New Roman" w:hAnsi="Times New Roman" w:cs="Times New Roman"/>
          <w:color w:val="0070C0"/>
          <w:sz w:val="24"/>
          <w:szCs w:val="24"/>
          <w:lang w:eastAsia="en-GB"/>
        </w:rPr>
      </w:pPr>
      <w:r w:rsidRPr="008804D8">
        <w:rPr>
          <w:rFonts w:ascii="Times New Roman" w:eastAsia="Times New Roman" w:hAnsi="Times New Roman" w:cs="Times New Roman"/>
          <w:color w:val="0070C0"/>
          <w:sz w:val="24"/>
          <w:szCs w:val="24"/>
          <w:lang w:eastAsia="en-GB"/>
        </w:rPr>
        <w:t>The study concludes that climate-driven mobility is a large-scale, complex, and interconnected process that requires more integrated and coordinated policy responses. In particular, it emphasizes the need to align humanitarian assistance, climate adaptation, and sustainable development strategies, while placing greater emphasis on prevention and anticipatory action.</w:t>
      </w:r>
    </w:p>
    <w:p w14:paraId="600094EC" w14:textId="77777777" w:rsidR="005D24AB" w:rsidRDefault="00E725ED" w:rsidP="005D24AB">
      <w:pPr>
        <w:rPr>
          <w:rFonts w:ascii="Times New Roman" w:hAnsi="Times New Roman" w:cs="Times New Roman"/>
          <w:sz w:val="24"/>
          <w:szCs w:val="24"/>
        </w:rPr>
      </w:pPr>
      <w:r w:rsidRPr="005D24AB">
        <w:rPr>
          <w:rFonts w:ascii="Times New Roman" w:hAnsi="Times New Roman" w:cs="Times New Roman"/>
          <w:b/>
          <w:sz w:val="24"/>
          <w:szCs w:val="24"/>
        </w:rPr>
        <w:t xml:space="preserve">Keywords: </w:t>
      </w:r>
      <w:r w:rsidRPr="005D24AB">
        <w:rPr>
          <w:rFonts w:ascii="Times New Roman" w:hAnsi="Times New Roman" w:cs="Times New Roman"/>
          <w:sz w:val="24"/>
          <w:szCs w:val="24"/>
        </w:rPr>
        <w:t>Climate change, Clima</w:t>
      </w:r>
      <w:r w:rsidR="006D4A11">
        <w:rPr>
          <w:rFonts w:ascii="Times New Roman" w:hAnsi="Times New Roman" w:cs="Times New Roman"/>
          <w:sz w:val="24"/>
          <w:szCs w:val="24"/>
        </w:rPr>
        <w:t xml:space="preserve">te migrations, Adaptation, </w:t>
      </w:r>
      <w:r w:rsidR="00C11EBD">
        <w:rPr>
          <w:rFonts w:ascii="Times New Roman" w:hAnsi="Times New Roman" w:cs="Times New Roman"/>
          <w:sz w:val="24"/>
          <w:szCs w:val="24"/>
        </w:rPr>
        <w:t xml:space="preserve">Energy poverty, </w:t>
      </w:r>
      <w:r w:rsidR="005D24AB" w:rsidRPr="005D24AB">
        <w:rPr>
          <w:rFonts w:ascii="Times New Roman" w:hAnsi="Times New Roman" w:cs="Times New Roman"/>
          <w:sz w:val="24"/>
          <w:szCs w:val="24"/>
        </w:rPr>
        <w:t>Spain</w:t>
      </w:r>
      <w:r w:rsidR="009B558F">
        <w:rPr>
          <w:rFonts w:ascii="Times New Roman" w:hAnsi="Times New Roman" w:cs="Times New Roman"/>
          <w:sz w:val="24"/>
          <w:szCs w:val="24"/>
        </w:rPr>
        <w:t>, Bulgaria</w:t>
      </w:r>
    </w:p>
    <w:p w14:paraId="115E1042" w14:textId="77777777" w:rsidR="00635143" w:rsidRPr="005D24AB" w:rsidRDefault="00635143" w:rsidP="005D24AB">
      <w:pPr>
        <w:rPr>
          <w:rFonts w:ascii="Times New Roman" w:hAnsi="Times New Roman" w:cs="Times New Roman"/>
          <w:sz w:val="24"/>
          <w:szCs w:val="24"/>
        </w:rPr>
      </w:pPr>
    </w:p>
    <w:p w14:paraId="60A26461" w14:textId="77777777" w:rsidR="00765A37" w:rsidRPr="0005692B" w:rsidRDefault="00765A37" w:rsidP="0005692B">
      <w:pPr>
        <w:pStyle w:val="Prrafodelista"/>
        <w:numPr>
          <w:ilvl w:val="0"/>
          <w:numId w:val="22"/>
        </w:numPr>
        <w:rPr>
          <w:rFonts w:ascii="Times New Roman" w:hAnsi="Times New Roman"/>
          <w:b/>
          <w:i/>
          <w:sz w:val="24"/>
          <w:szCs w:val="24"/>
        </w:rPr>
      </w:pPr>
      <w:r w:rsidRPr="0005692B">
        <w:rPr>
          <w:rFonts w:ascii="Times New Roman" w:hAnsi="Times New Roman"/>
          <w:b/>
          <w:sz w:val="24"/>
          <w:szCs w:val="24"/>
        </w:rPr>
        <w:t>Introduction</w:t>
      </w:r>
    </w:p>
    <w:p w14:paraId="50F1C41D" w14:textId="77777777" w:rsidR="00263B5D" w:rsidRDefault="00263B5D" w:rsidP="00F22D66">
      <w:pPr>
        <w:spacing w:before="100" w:beforeAutospacing="1" w:after="100" w:afterAutospacing="1" w:line="480" w:lineRule="auto"/>
        <w:jc w:val="both"/>
        <w:rPr>
          <w:rFonts w:ascii="Times New Roman" w:hAnsi="Times New Roman"/>
          <w:sz w:val="24"/>
          <w:szCs w:val="24"/>
        </w:rPr>
      </w:pPr>
      <w:r>
        <w:rPr>
          <w:rFonts w:ascii="Times New Roman" w:eastAsia="Times New Roman" w:hAnsi="Times New Roman" w:cs="Times New Roman"/>
          <w:sz w:val="24"/>
          <w:szCs w:val="24"/>
          <w:lang w:val="en-US" w:eastAsia="en-GB"/>
        </w:rPr>
        <w:t>C</w:t>
      </w:r>
      <w:proofErr w:type="spellStart"/>
      <w:r w:rsidRPr="00263B5D">
        <w:rPr>
          <w:rFonts w:ascii="Times New Roman" w:eastAsia="Times New Roman" w:hAnsi="Times New Roman" w:cs="Times New Roman"/>
          <w:sz w:val="24"/>
          <w:szCs w:val="24"/>
          <w:lang w:eastAsia="en-GB"/>
        </w:rPr>
        <w:t>limate</w:t>
      </w:r>
      <w:proofErr w:type="spellEnd"/>
      <w:r w:rsidRPr="00263B5D">
        <w:rPr>
          <w:rFonts w:ascii="Times New Roman" w:eastAsia="Times New Roman" w:hAnsi="Times New Roman" w:cs="Times New Roman"/>
          <w:sz w:val="24"/>
          <w:szCs w:val="24"/>
          <w:lang w:eastAsia="en-GB"/>
        </w:rPr>
        <w:t xml:space="preserve"> change is int</w:t>
      </w:r>
      <w:r>
        <w:rPr>
          <w:rFonts w:ascii="Times New Roman" w:eastAsia="Times New Roman" w:hAnsi="Times New Roman" w:cs="Times New Roman"/>
          <w:sz w:val="24"/>
          <w:szCs w:val="24"/>
          <w:lang w:eastAsia="en-GB"/>
        </w:rPr>
        <w:t xml:space="preserve">ensifying environmental hazards </w:t>
      </w:r>
      <w:r w:rsidRPr="00263B5D">
        <w:rPr>
          <w:rFonts w:ascii="Times New Roman" w:eastAsia="Times New Roman" w:hAnsi="Times New Roman" w:cs="Times New Roman"/>
          <w:sz w:val="24"/>
          <w:szCs w:val="24"/>
          <w:lang w:eastAsia="en-GB"/>
        </w:rPr>
        <w:t>including heatwaves, deterior</w:t>
      </w:r>
      <w:r>
        <w:rPr>
          <w:rFonts w:ascii="Times New Roman" w:eastAsia="Times New Roman" w:hAnsi="Times New Roman" w:cs="Times New Roman"/>
          <w:sz w:val="24"/>
          <w:szCs w:val="24"/>
          <w:lang w:eastAsia="en-GB"/>
        </w:rPr>
        <w:t xml:space="preserve">ating air quality, and flooding. </w:t>
      </w:r>
      <w:r w:rsidRPr="00263B5D">
        <w:rPr>
          <w:rFonts w:ascii="Times New Roman" w:eastAsia="Times New Roman" w:hAnsi="Times New Roman" w:cs="Times New Roman"/>
          <w:sz w:val="24"/>
          <w:szCs w:val="24"/>
          <w:lang w:eastAsia="en-GB"/>
        </w:rPr>
        <w:t xml:space="preserve">Across many regions, the frequency and intensity of </w:t>
      </w:r>
      <w:r>
        <w:rPr>
          <w:rFonts w:ascii="Times New Roman" w:eastAsia="Times New Roman" w:hAnsi="Times New Roman" w:cs="Times New Roman"/>
          <w:sz w:val="24"/>
          <w:szCs w:val="24"/>
          <w:lang w:eastAsia="en-GB"/>
        </w:rPr>
        <w:t xml:space="preserve">extreme weather events </w:t>
      </w:r>
      <w:r w:rsidR="007C2359">
        <w:rPr>
          <w:rFonts w:ascii="Times New Roman" w:eastAsia="Times New Roman" w:hAnsi="Times New Roman" w:cs="Times New Roman"/>
          <w:sz w:val="24"/>
          <w:szCs w:val="24"/>
          <w:lang w:eastAsia="en-GB"/>
        </w:rPr>
        <w:t>have risen</w:t>
      </w:r>
      <w:r w:rsidRPr="00263B5D">
        <w:rPr>
          <w:rFonts w:ascii="Times New Roman" w:eastAsia="Times New Roman" w:hAnsi="Times New Roman" w:cs="Times New Roman"/>
          <w:sz w:val="24"/>
          <w:szCs w:val="24"/>
          <w:lang w:eastAsia="en-GB"/>
        </w:rPr>
        <w:t xml:space="preserve">. </w:t>
      </w:r>
      <w:r w:rsidR="00765A37" w:rsidRPr="00765A37">
        <w:rPr>
          <w:rFonts w:ascii="Times New Roman" w:hAnsi="Times New Roman"/>
          <w:sz w:val="24"/>
          <w:szCs w:val="24"/>
        </w:rPr>
        <w:t xml:space="preserve">In a recent </w:t>
      </w:r>
      <w:r w:rsidR="00A26EEC">
        <w:rPr>
          <w:rFonts w:ascii="Times New Roman" w:hAnsi="Times New Roman"/>
          <w:sz w:val="24"/>
          <w:szCs w:val="24"/>
        </w:rPr>
        <w:t xml:space="preserve">publication, </w:t>
      </w:r>
      <w:r w:rsidR="00765A37" w:rsidRPr="00CE64BB">
        <w:rPr>
          <w:rFonts w:ascii="Times New Roman" w:hAnsi="Times New Roman"/>
          <w:sz w:val="24"/>
          <w:szCs w:val="24"/>
        </w:rPr>
        <w:t xml:space="preserve">Ripple et al. (2024) </w:t>
      </w:r>
      <w:r w:rsidRPr="00CE64BB">
        <w:rPr>
          <w:rFonts w:ascii="Times New Roman" w:hAnsi="Times New Roman"/>
          <w:sz w:val="24"/>
          <w:szCs w:val="24"/>
        </w:rPr>
        <w:t xml:space="preserve">highlighted </w:t>
      </w:r>
      <w:r w:rsidR="00765A37" w:rsidRPr="00765A37">
        <w:rPr>
          <w:rFonts w:ascii="Times New Roman" w:hAnsi="Times New Roman"/>
          <w:sz w:val="24"/>
          <w:szCs w:val="24"/>
        </w:rPr>
        <w:t>the escalating severity of the global climate emergency, warning that the Earth system may be approaching irreversible tipping points. The authors argue</w:t>
      </w:r>
      <w:r>
        <w:rPr>
          <w:rFonts w:ascii="Times New Roman" w:hAnsi="Times New Roman"/>
          <w:sz w:val="24"/>
          <w:szCs w:val="24"/>
        </w:rPr>
        <w:t>d</w:t>
      </w:r>
      <w:r w:rsidR="00765A37" w:rsidRPr="00765A37">
        <w:rPr>
          <w:rFonts w:ascii="Times New Roman" w:hAnsi="Times New Roman"/>
          <w:sz w:val="24"/>
          <w:szCs w:val="24"/>
        </w:rPr>
        <w:t xml:space="preserve"> that the fundamental conditions sustaining life are increasingly at risk as the climate system enters a critical and highly uncertain phase. </w:t>
      </w:r>
    </w:p>
    <w:p w14:paraId="65FD756F" w14:textId="77777777" w:rsidR="00765A37" w:rsidRPr="00263B5D" w:rsidRDefault="007C2359" w:rsidP="00F22D66">
      <w:pPr>
        <w:spacing w:before="100" w:beforeAutospacing="1" w:after="100" w:afterAutospacing="1" w:line="480" w:lineRule="auto"/>
        <w:jc w:val="both"/>
        <w:rPr>
          <w:rFonts w:ascii="Times New Roman" w:hAnsi="Times New Roman"/>
          <w:i/>
          <w:color w:val="FF0000"/>
          <w:sz w:val="24"/>
          <w:szCs w:val="24"/>
        </w:rPr>
      </w:pPr>
      <w:r>
        <w:rPr>
          <w:rFonts w:ascii="Times New Roman" w:hAnsi="Times New Roman"/>
          <w:sz w:val="24"/>
          <w:szCs w:val="24"/>
        </w:rPr>
        <w:lastRenderedPageBreak/>
        <w:t>Recent</w:t>
      </w:r>
      <w:r w:rsidR="00263B5D">
        <w:rPr>
          <w:rFonts w:ascii="Times New Roman" w:hAnsi="Times New Roman"/>
          <w:sz w:val="24"/>
          <w:szCs w:val="24"/>
        </w:rPr>
        <w:t xml:space="preserve"> studies have </w:t>
      </w:r>
      <w:r w:rsidR="00263B5D" w:rsidRPr="00263B5D">
        <w:rPr>
          <w:rFonts w:ascii="Times New Roman" w:hAnsi="Times New Roman"/>
          <w:sz w:val="24"/>
          <w:szCs w:val="24"/>
        </w:rPr>
        <w:t>revealed</w:t>
      </w:r>
      <w:r w:rsidR="00CA5F7B" w:rsidRPr="00263B5D">
        <w:rPr>
          <w:rFonts w:ascii="Times New Roman" w:hAnsi="Times New Roman"/>
          <w:sz w:val="24"/>
          <w:szCs w:val="24"/>
        </w:rPr>
        <w:t xml:space="preserve"> that</w:t>
      </w:r>
      <w:r w:rsidR="00CA5F7B">
        <w:rPr>
          <w:rFonts w:ascii="Times New Roman" w:hAnsi="Times New Roman"/>
          <w:i/>
          <w:sz w:val="24"/>
          <w:szCs w:val="24"/>
        </w:rPr>
        <w:t xml:space="preserve"> </w:t>
      </w:r>
      <w:r w:rsidR="00765A37" w:rsidRPr="00765A37">
        <w:rPr>
          <w:rFonts w:ascii="Times New Roman" w:hAnsi="Times New Roman"/>
          <w:sz w:val="24"/>
          <w:szCs w:val="24"/>
        </w:rPr>
        <w:t>fossil fuel emissions have reached unpre</w:t>
      </w:r>
      <w:r w:rsidR="00765A37">
        <w:rPr>
          <w:rFonts w:ascii="Times New Roman" w:hAnsi="Times New Roman"/>
          <w:sz w:val="24"/>
          <w:szCs w:val="24"/>
        </w:rPr>
        <w:t xml:space="preserve">cedented levels </w:t>
      </w:r>
      <w:r w:rsidR="00765A37" w:rsidRPr="00765A37">
        <w:rPr>
          <w:rFonts w:ascii="Times New Roman" w:hAnsi="Times New Roman"/>
          <w:sz w:val="24"/>
          <w:szCs w:val="24"/>
        </w:rPr>
        <w:t xml:space="preserve">and current policy trajectories are projected to result in approximately 2.7°C of warming by 2100 </w:t>
      </w:r>
      <w:r w:rsidR="00765A37" w:rsidRPr="00CE64BB">
        <w:rPr>
          <w:rFonts w:ascii="Times New Roman" w:hAnsi="Times New Roman"/>
          <w:sz w:val="24"/>
          <w:szCs w:val="24"/>
        </w:rPr>
        <w:t xml:space="preserve">(UNEP, 2023). As emphasized by Ripple et al. (2024), the impacts of climate change are no longer theoretical; rather, they are already manifesting in the </w:t>
      </w:r>
      <w:r w:rsidR="00765A37" w:rsidRPr="00765A37">
        <w:rPr>
          <w:rFonts w:ascii="Times New Roman" w:hAnsi="Times New Roman"/>
          <w:sz w:val="24"/>
          <w:szCs w:val="24"/>
        </w:rPr>
        <w:t>form of increasingly frequent and severe disruptions with global consequences.</w:t>
      </w:r>
    </w:p>
    <w:p w14:paraId="478F088D" w14:textId="77777777" w:rsidR="00D97AAB" w:rsidRPr="00E928E2" w:rsidRDefault="00D97AAB" w:rsidP="00F22D66">
      <w:pPr>
        <w:spacing w:before="100" w:beforeAutospacing="1" w:after="100" w:afterAutospacing="1" w:line="480" w:lineRule="auto"/>
        <w:jc w:val="both"/>
        <w:rPr>
          <w:rFonts w:ascii="Times New Roman" w:eastAsia="Times New Roman" w:hAnsi="Times New Roman" w:cs="Times New Roman"/>
          <w:sz w:val="24"/>
          <w:szCs w:val="24"/>
          <w:lang w:eastAsia="en-GB"/>
        </w:rPr>
      </w:pPr>
      <w:r w:rsidRPr="00D97AAB">
        <w:rPr>
          <w:rFonts w:ascii="Times New Roman" w:eastAsia="Times New Roman" w:hAnsi="Times New Roman" w:cs="Times New Roman"/>
          <w:sz w:val="24"/>
          <w:szCs w:val="24"/>
          <w:lang w:eastAsia="en-GB"/>
        </w:rPr>
        <w:t>During the period 2011–2020, global mean surface temperature was approximately 1.09°C above the 18</w:t>
      </w:r>
      <w:r w:rsidR="007C2359">
        <w:rPr>
          <w:rFonts w:ascii="Times New Roman" w:eastAsia="Times New Roman" w:hAnsi="Times New Roman" w:cs="Times New Roman"/>
          <w:sz w:val="24"/>
          <w:szCs w:val="24"/>
          <w:lang w:eastAsia="en-GB"/>
        </w:rPr>
        <w:t>50–1900 baseline (</w:t>
      </w:r>
      <w:r w:rsidRPr="00D97AAB">
        <w:rPr>
          <w:rFonts w:ascii="Times New Roman" w:eastAsia="Times New Roman" w:hAnsi="Times New Roman" w:cs="Times New Roman"/>
          <w:sz w:val="24"/>
          <w:szCs w:val="24"/>
          <w:lang w:eastAsia="en-GB"/>
        </w:rPr>
        <w:t>0.95–1.20°C). Warming has been spatially heterogeneous, with greater increa</w:t>
      </w:r>
      <w:r w:rsidR="007C2359">
        <w:rPr>
          <w:rFonts w:ascii="Times New Roman" w:eastAsia="Times New Roman" w:hAnsi="Times New Roman" w:cs="Times New Roman"/>
          <w:sz w:val="24"/>
          <w:szCs w:val="24"/>
          <w:lang w:eastAsia="en-GB"/>
        </w:rPr>
        <w:t>ses observed over land (</w:t>
      </w:r>
      <w:r w:rsidRPr="00D97AAB">
        <w:rPr>
          <w:rFonts w:ascii="Times New Roman" w:eastAsia="Times New Roman" w:hAnsi="Times New Roman" w:cs="Times New Roman"/>
          <w:sz w:val="24"/>
          <w:szCs w:val="24"/>
          <w:lang w:eastAsia="en-GB"/>
        </w:rPr>
        <w:t>1.34–1.83°</w:t>
      </w:r>
      <w:r w:rsidR="007C2359">
        <w:rPr>
          <w:rFonts w:ascii="Times New Roman" w:eastAsia="Times New Roman" w:hAnsi="Times New Roman" w:cs="Times New Roman"/>
          <w:sz w:val="24"/>
          <w:szCs w:val="24"/>
          <w:lang w:eastAsia="en-GB"/>
        </w:rPr>
        <w:t>C) than over the ocean (</w:t>
      </w:r>
      <w:r w:rsidRPr="00D97AAB">
        <w:rPr>
          <w:rFonts w:ascii="Times New Roman" w:eastAsia="Times New Roman" w:hAnsi="Times New Roman" w:cs="Times New Roman"/>
          <w:sz w:val="24"/>
          <w:szCs w:val="24"/>
          <w:lang w:eastAsia="en-GB"/>
        </w:rPr>
        <w:t>0.68–1.01°C). The observed rise in temperature is attributable primarily to anthropogenic influences, notably emissions of we</w:t>
      </w:r>
      <w:r w:rsidR="00CA5F7B">
        <w:rPr>
          <w:rFonts w:ascii="Times New Roman" w:eastAsia="Times New Roman" w:hAnsi="Times New Roman" w:cs="Times New Roman"/>
          <w:sz w:val="24"/>
          <w:szCs w:val="24"/>
          <w:lang w:eastAsia="en-GB"/>
        </w:rPr>
        <w:t>ll-mixed greenhouse gases</w:t>
      </w:r>
      <w:r w:rsidRPr="00D97AAB">
        <w:rPr>
          <w:rFonts w:ascii="Times New Roman" w:eastAsia="Times New Roman" w:hAnsi="Times New Roman" w:cs="Times New Roman"/>
          <w:sz w:val="24"/>
          <w:szCs w:val="24"/>
          <w:lang w:eastAsia="en-GB"/>
        </w:rPr>
        <w:t>, dominated by carb</w:t>
      </w:r>
      <w:r w:rsidR="00CA5F7B">
        <w:rPr>
          <w:rFonts w:ascii="Times New Roman" w:eastAsia="Times New Roman" w:hAnsi="Times New Roman" w:cs="Times New Roman"/>
          <w:sz w:val="24"/>
          <w:szCs w:val="24"/>
          <w:lang w:eastAsia="en-GB"/>
        </w:rPr>
        <w:t>on dioxide and methane</w:t>
      </w:r>
      <w:r w:rsidR="007C2359">
        <w:rPr>
          <w:rFonts w:ascii="Times New Roman" w:eastAsia="Times New Roman" w:hAnsi="Times New Roman" w:cs="Times New Roman"/>
          <w:sz w:val="24"/>
          <w:szCs w:val="24"/>
          <w:lang w:eastAsia="en-GB"/>
        </w:rPr>
        <w:t xml:space="preserve"> </w:t>
      </w:r>
      <w:r w:rsidR="00E928E2">
        <w:rPr>
          <w:rFonts w:ascii="Times New Roman" w:eastAsia="Times New Roman" w:hAnsi="Times New Roman" w:cs="Times New Roman"/>
          <w:sz w:val="24"/>
          <w:szCs w:val="24"/>
          <w:lang w:eastAsia="en-GB"/>
        </w:rPr>
        <w:t xml:space="preserve">(IPCC, 2023; </w:t>
      </w:r>
      <w:r w:rsidR="00E928E2" w:rsidRPr="00E928E2">
        <w:rPr>
          <w:rFonts w:ascii="Times New Roman" w:eastAsia="Times New Roman" w:hAnsi="Times New Roman" w:cs="Times New Roman"/>
          <w:sz w:val="24"/>
          <w:szCs w:val="24"/>
          <w:lang w:eastAsia="en-GB"/>
        </w:rPr>
        <w:t>UK Met Office</w:t>
      </w:r>
      <w:r w:rsidR="00E928E2">
        <w:rPr>
          <w:rFonts w:ascii="Times New Roman" w:eastAsia="Times New Roman" w:hAnsi="Times New Roman" w:cs="Times New Roman"/>
          <w:sz w:val="24"/>
          <w:szCs w:val="24"/>
          <w:lang w:eastAsia="en-GB"/>
        </w:rPr>
        <w:t>, 2026).</w:t>
      </w:r>
    </w:p>
    <w:p w14:paraId="5547F245" w14:textId="77777777" w:rsidR="00487B5F" w:rsidRDefault="00765A37" w:rsidP="00F22D66">
      <w:pPr>
        <w:pStyle w:val="NormalWeb"/>
        <w:spacing w:line="480" w:lineRule="auto"/>
        <w:jc w:val="both"/>
      </w:pPr>
      <w:r>
        <w:t>Recent observational data further support these trends. Daily sea surface temperature records from the Climate Change Institute at the University of Maine indicate a clear upward trajectory over the past decade</w:t>
      </w:r>
      <w:r w:rsidR="00F16A9D">
        <w:t>, with a pronounced peak in 2025 (Fig. 1</w:t>
      </w:r>
      <w:r>
        <w:t xml:space="preserve">) </w:t>
      </w:r>
      <w:r w:rsidRPr="00CE64BB">
        <w:t xml:space="preserve">(ClimateAnalyzer1, </w:t>
      </w:r>
      <w:r w:rsidR="00F16A9D" w:rsidRPr="00CE64BB">
        <w:t>2025</w:t>
      </w:r>
      <w:r w:rsidRPr="00CE64BB">
        <w:t>). A similar pattern is evident in global daily surface air t</w:t>
      </w:r>
      <w:r w:rsidR="00F16A9D" w:rsidRPr="00CE64BB">
        <w:t>emperatures (Fig. 2) (ClimateAnalyzer2, 2025</w:t>
      </w:r>
      <w:r w:rsidRPr="00CE64BB">
        <w:t>). These changes are accompanied by a marked decline</w:t>
      </w:r>
      <w:r w:rsidR="00CC6D56" w:rsidRPr="00CE64BB">
        <w:t xml:space="preserve"> in daily sea ice extent (Fig. 3</w:t>
      </w:r>
      <w:r w:rsidR="00E725ED" w:rsidRPr="00CE64BB">
        <w:t>) (ClimateAnalyzer3, 2025</w:t>
      </w:r>
      <w:r w:rsidRPr="00CE64BB">
        <w:t>)</w:t>
      </w:r>
      <w:r w:rsidR="00E928E2">
        <w:t xml:space="preserve">, (Lindsey et al., </w:t>
      </w:r>
      <w:r w:rsidR="00E928E2" w:rsidRPr="00E928E2">
        <w:t>2023)</w:t>
      </w:r>
      <w:r w:rsidR="00E928E2">
        <w:t>.</w:t>
      </w:r>
    </w:p>
    <w:p w14:paraId="4426343B" w14:textId="77777777" w:rsidR="00582BB9" w:rsidRPr="00582BB9" w:rsidRDefault="00582BB9" w:rsidP="00CA5F7B">
      <w:pPr>
        <w:pStyle w:val="NormalWeb"/>
        <w:jc w:val="both"/>
      </w:pPr>
    </w:p>
    <w:p w14:paraId="08AE9C3F" w14:textId="77777777" w:rsidR="00591525" w:rsidRPr="00591525" w:rsidRDefault="00591525" w:rsidP="00F16A9D">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591525">
        <w:rPr>
          <w:rFonts w:ascii="Times New Roman" w:eastAsia="Times New Roman" w:hAnsi="Times New Roman" w:cs="Times New Roman"/>
          <w:noProof/>
          <w:sz w:val="24"/>
          <w:szCs w:val="24"/>
          <w:lang w:eastAsia="en-GB"/>
        </w:rPr>
        <w:lastRenderedPageBreak/>
        <w:drawing>
          <wp:inline distT="0" distB="0" distL="0" distR="0" wp14:anchorId="594F46A9" wp14:editId="51569B4F">
            <wp:extent cx="5458920" cy="2895600"/>
            <wp:effectExtent l="0" t="0" r="8890" b="0"/>
            <wp:docPr id="14" name="Imagen 14" descr="C:\Users\elka\Downloads\oisst2.1_world2_sst_day(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ka\Downloads\oisst2.1_world2_sst_day(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07575" cy="2974452"/>
                    </a:xfrm>
                    <a:prstGeom prst="rect">
                      <a:avLst/>
                    </a:prstGeom>
                    <a:noFill/>
                    <a:ln>
                      <a:noFill/>
                    </a:ln>
                  </pic:spPr>
                </pic:pic>
              </a:graphicData>
            </a:graphic>
          </wp:inline>
        </w:drawing>
      </w:r>
    </w:p>
    <w:p w14:paraId="2DACC413" w14:textId="77777777" w:rsidR="006C0F1F" w:rsidRDefault="00F16A9D" w:rsidP="00064339">
      <w:pPr>
        <w:pStyle w:val="NormalWeb"/>
        <w:jc w:val="center"/>
      </w:pPr>
      <w:r w:rsidRPr="006C0F1F">
        <w:t>Fig</w:t>
      </w:r>
      <w:r w:rsidR="00DD45CF" w:rsidRPr="006C0F1F">
        <w:t>ure</w:t>
      </w:r>
      <w:r w:rsidRPr="006C0F1F">
        <w:t>. 1</w:t>
      </w:r>
      <w:r w:rsidR="006C0F1F" w:rsidRPr="006C0F1F">
        <w:t>. Daily see surface temperature. Source: ClimateAnalyzer1</w:t>
      </w:r>
      <w:r w:rsidR="006C0F1F" w:rsidRPr="00CE64BB">
        <w:t xml:space="preserve">, </w:t>
      </w:r>
      <w:r w:rsidR="006C0F1F">
        <w:t>(</w:t>
      </w:r>
      <w:r w:rsidR="006C0F1F" w:rsidRPr="00CE64BB">
        <w:t>2025</w:t>
      </w:r>
      <w:r w:rsidR="006C0F1F">
        <w:t>)</w:t>
      </w:r>
      <w:r w:rsidR="00582BB9">
        <w:t>.</w:t>
      </w:r>
    </w:p>
    <w:p w14:paraId="57EAE6AA" w14:textId="77777777" w:rsidR="00582BB9" w:rsidRPr="00064339" w:rsidRDefault="00582BB9" w:rsidP="00064339">
      <w:pPr>
        <w:pStyle w:val="NormalWeb"/>
        <w:jc w:val="center"/>
      </w:pPr>
    </w:p>
    <w:p w14:paraId="699FF8D3" w14:textId="77777777" w:rsidR="00D46CF1" w:rsidRDefault="00D46CF1" w:rsidP="00E95F6F">
      <w:pPr>
        <w:pStyle w:val="NormalWeb"/>
        <w:jc w:val="center"/>
      </w:pPr>
      <w:r>
        <w:rPr>
          <w:noProof/>
        </w:rPr>
        <w:drawing>
          <wp:inline distT="0" distB="0" distL="0" distR="0" wp14:anchorId="0290FE58" wp14:editId="0F7A24E1">
            <wp:extent cx="5494832" cy="2914650"/>
            <wp:effectExtent l="0" t="0" r="0" b="0"/>
            <wp:docPr id="5" name="Imagen 5" descr="C:\Users\elka\Downloads\era5_world_t2_day.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elka\Downloads\era5_world_t2_day.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89732" cy="3071075"/>
                    </a:xfrm>
                    <a:prstGeom prst="rect">
                      <a:avLst/>
                    </a:prstGeom>
                    <a:noFill/>
                    <a:ln>
                      <a:noFill/>
                    </a:ln>
                  </pic:spPr>
                </pic:pic>
              </a:graphicData>
            </a:graphic>
          </wp:inline>
        </w:drawing>
      </w:r>
    </w:p>
    <w:p w14:paraId="3919942A" w14:textId="77777777" w:rsidR="00591525" w:rsidRPr="00CC6D56" w:rsidRDefault="00F16A9D" w:rsidP="00CC6D56">
      <w:pPr>
        <w:pStyle w:val="NormalWeb"/>
        <w:jc w:val="center"/>
        <w:rPr>
          <w:color w:val="FF0000"/>
        </w:rPr>
      </w:pPr>
      <w:r w:rsidRPr="006C0F1F">
        <w:t>Fig</w:t>
      </w:r>
      <w:r w:rsidR="00DD45CF" w:rsidRPr="006C0F1F">
        <w:t>ure</w:t>
      </w:r>
      <w:r w:rsidRPr="006C0F1F">
        <w:t>. 2</w:t>
      </w:r>
      <w:r w:rsidR="006C0F1F" w:rsidRPr="006C0F1F">
        <w:t xml:space="preserve">. Daily surface temperature. Source </w:t>
      </w:r>
      <w:r w:rsidR="006C0F1F">
        <w:t>ClimateAnalyzer2</w:t>
      </w:r>
      <w:r w:rsidR="006C0F1F" w:rsidRPr="00CE64BB">
        <w:t xml:space="preserve">, </w:t>
      </w:r>
      <w:r w:rsidR="006C0F1F">
        <w:t>(</w:t>
      </w:r>
      <w:r w:rsidR="006C0F1F" w:rsidRPr="00CE64BB">
        <w:t>2025</w:t>
      </w:r>
      <w:r w:rsidR="006C0F1F">
        <w:t>)</w:t>
      </w:r>
    </w:p>
    <w:p w14:paraId="2555DD1C" w14:textId="77777777" w:rsidR="00E95F6F" w:rsidRPr="00E95F6F" w:rsidRDefault="00E95F6F" w:rsidP="00E95F6F">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E95F6F">
        <w:rPr>
          <w:rFonts w:ascii="Times New Roman" w:eastAsia="Times New Roman" w:hAnsi="Times New Roman" w:cs="Times New Roman"/>
          <w:noProof/>
          <w:sz w:val="24"/>
          <w:szCs w:val="24"/>
          <w:lang w:eastAsia="en-GB"/>
        </w:rPr>
        <w:lastRenderedPageBreak/>
        <w:drawing>
          <wp:inline distT="0" distB="0" distL="0" distR="0" wp14:anchorId="5BE573FA" wp14:editId="0C9F1D0F">
            <wp:extent cx="5104043" cy="3248025"/>
            <wp:effectExtent l="0" t="0" r="1905" b="0"/>
            <wp:docPr id="15" name="Imagen 15" descr="C:\Users\elka\Downloads\seaice_exten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lka\Downloads\seaice_extent(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97835" cy="3371347"/>
                    </a:xfrm>
                    <a:prstGeom prst="rect">
                      <a:avLst/>
                    </a:prstGeom>
                    <a:noFill/>
                    <a:ln>
                      <a:noFill/>
                    </a:ln>
                  </pic:spPr>
                </pic:pic>
              </a:graphicData>
            </a:graphic>
          </wp:inline>
        </w:drawing>
      </w:r>
    </w:p>
    <w:p w14:paraId="6A104A72" w14:textId="77777777" w:rsidR="00E2066E" w:rsidRPr="00CC6D56" w:rsidRDefault="00F16A9D" w:rsidP="00CC6D56">
      <w:pPr>
        <w:pStyle w:val="NormalWeb"/>
        <w:jc w:val="center"/>
        <w:rPr>
          <w:color w:val="FF0000"/>
        </w:rPr>
      </w:pPr>
      <w:r w:rsidRPr="006C0F1F">
        <w:t>Fig</w:t>
      </w:r>
      <w:r w:rsidR="00DD45CF" w:rsidRPr="006C0F1F">
        <w:t>ure</w:t>
      </w:r>
      <w:r w:rsidRPr="006C0F1F">
        <w:t>. 3</w:t>
      </w:r>
      <w:r w:rsidR="006C0F1F" w:rsidRPr="006C0F1F">
        <w:t>. Northern hemisphere sea ice extent. Source Cli</w:t>
      </w:r>
      <w:r w:rsidR="006C0F1F">
        <w:t>mateAnalyzer3</w:t>
      </w:r>
      <w:r w:rsidR="006C0F1F" w:rsidRPr="00CE64BB">
        <w:t xml:space="preserve">, </w:t>
      </w:r>
      <w:r w:rsidR="006C0F1F">
        <w:t>(</w:t>
      </w:r>
      <w:r w:rsidR="006C0F1F" w:rsidRPr="00CE64BB">
        <w:t>2025</w:t>
      </w:r>
      <w:r w:rsidR="006C0F1F">
        <w:t>)</w:t>
      </w:r>
    </w:p>
    <w:p w14:paraId="0E04D800" w14:textId="77777777" w:rsidR="00F16A9D" w:rsidRPr="00F16A9D" w:rsidRDefault="00F16A9D" w:rsidP="00F22D66">
      <w:pPr>
        <w:spacing w:before="100" w:beforeAutospacing="1" w:after="100" w:afterAutospacing="1" w:line="480" w:lineRule="auto"/>
        <w:jc w:val="both"/>
        <w:rPr>
          <w:rFonts w:ascii="Times New Roman" w:eastAsia="Times New Roman" w:hAnsi="Times New Roman" w:cs="Times New Roman"/>
          <w:sz w:val="24"/>
          <w:szCs w:val="24"/>
          <w:lang w:eastAsia="en-GB"/>
        </w:rPr>
      </w:pPr>
      <w:r w:rsidRPr="00F16A9D">
        <w:rPr>
          <w:rFonts w:ascii="Times New Roman" w:eastAsia="Times New Roman" w:hAnsi="Times New Roman" w:cs="Times New Roman"/>
          <w:sz w:val="24"/>
          <w:szCs w:val="24"/>
          <w:lang w:eastAsia="en-GB"/>
        </w:rPr>
        <w:t>Climate change intensifies displacement risks and exacerbates existing vulnerabilities among affected populations. It contributes to food and water insecurity, loss of livelihoods, territorial degradation, and broader environmental decline. These impacts can generate competition over scarce resources, strain social and cultural systems, and deepen economic hardship, ultimately forcing populations to migrate. In certain contexts, such displacement may also contribute to social instability and undermine governance structures. These risks are particularly acute in regions where climate hazards intersect with conflict, resulting in compounded and mutually reinforcing vulnerabilities.</w:t>
      </w:r>
    </w:p>
    <w:p w14:paraId="6ADF30A5" w14:textId="258386B5" w:rsidR="00F16A9D" w:rsidRPr="00F16A9D" w:rsidRDefault="00F16A9D" w:rsidP="00F22D66">
      <w:pPr>
        <w:spacing w:before="100" w:beforeAutospacing="1" w:after="100" w:afterAutospacing="1" w:line="480" w:lineRule="auto"/>
        <w:jc w:val="both"/>
        <w:rPr>
          <w:rFonts w:ascii="Times New Roman" w:eastAsia="Times New Roman" w:hAnsi="Times New Roman" w:cs="Times New Roman"/>
          <w:sz w:val="24"/>
          <w:szCs w:val="24"/>
          <w:lang w:eastAsia="en-GB"/>
        </w:rPr>
      </w:pPr>
      <w:r w:rsidRPr="00F16A9D">
        <w:rPr>
          <w:rFonts w:ascii="Times New Roman" w:eastAsia="Times New Roman" w:hAnsi="Times New Roman" w:cs="Times New Roman"/>
          <w:sz w:val="24"/>
          <w:szCs w:val="24"/>
          <w:lang w:eastAsia="en-GB"/>
        </w:rPr>
        <w:t>Displacement itself constitutes a critical driver of loss and damage, as it both creates and perpetuates vulnerability beyond directly affected populations. Disruption of livel</w:t>
      </w:r>
      <w:r w:rsidR="001833AD">
        <w:rPr>
          <w:rFonts w:ascii="Times New Roman" w:eastAsia="Times New Roman" w:hAnsi="Times New Roman" w:cs="Times New Roman"/>
          <w:sz w:val="24"/>
          <w:szCs w:val="24"/>
          <w:lang w:eastAsia="en-GB"/>
        </w:rPr>
        <w:t>ihoods reduces the capacity of Internally Displaced P</w:t>
      </w:r>
      <w:r w:rsidRPr="00F16A9D">
        <w:rPr>
          <w:rFonts w:ascii="Times New Roman" w:eastAsia="Times New Roman" w:hAnsi="Times New Roman" w:cs="Times New Roman"/>
          <w:sz w:val="24"/>
          <w:szCs w:val="24"/>
          <w:lang w:eastAsia="en-GB"/>
        </w:rPr>
        <w:t xml:space="preserve">ersons (IDPs) to generate income, meet basic expenses, and contribute economically. At the same time, displacement increases pressure on housing, healthcare, education, and protection systems, thereby straining already limited resources and public </w:t>
      </w:r>
      <w:r w:rsidRPr="00CE64BB">
        <w:rPr>
          <w:rFonts w:ascii="Times New Roman" w:eastAsia="Times New Roman" w:hAnsi="Times New Roman" w:cs="Times New Roman"/>
          <w:sz w:val="24"/>
          <w:szCs w:val="24"/>
          <w:lang w:eastAsia="en-GB"/>
        </w:rPr>
        <w:t>services (WB, 2023; IDMC, 2024).</w:t>
      </w:r>
    </w:p>
    <w:p w14:paraId="0F5A1012" w14:textId="77777777" w:rsidR="00F16A9D" w:rsidRDefault="00F16A9D" w:rsidP="00F22D66">
      <w:pPr>
        <w:spacing w:before="100" w:beforeAutospacing="1" w:after="100" w:afterAutospacing="1" w:line="480" w:lineRule="auto"/>
        <w:jc w:val="both"/>
        <w:rPr>
          <w:rFonts w:ascii="Times New Roman" w:eastAsia="Times New Roman" w:hAnsi="Times New Roman" w:cs="Times New Roman"/>
          <w:sz w:val="24"/>
          <w:szCs w:val="24"/>
          <w:lang w:eastAsia="en-GB"/>
        </w:rPr>
      </w:pPr>
      <w:r w:rsidRPr="00F16A9D">
        <w:rPr>
          <w:rFonts w:ascii="Times New Roman" w:eastAsia="Times New Roman" w:hAnsi="Times New Roman" w:cs="Times New Roman"/>
          <w:sz w:val="24"/>
          <w:szCs w:val="24"/>
          <w:lang w:eastAsia="en-GB"/>
        </w:rPr>
        <w:lastRenderedPageBreak/>
        <w:t>Looking ahead, climate change is expected to significantly affect access to essential resources, including freshwater, food, and energy. Concurrently, global adaptation and mitigation efforts will increasingly shape development pathways. The interlinkages between climate change and sustainable development are therefore prof</w:t>
      </w:r>
      <w:r w:rsidR="00540B0A">
        <w:rPr>
          <w:rFonts w:ascii="Times New Roman" w:eastAsia="Times New Roman" w:hAnsi="Times New Roman" w:cs="Times New Roman"/>
          <w:sz w:val="24"/>
          <w:szCs w:val="24"/>
          <w:lang w:eastAsia="en-GB"/>
        </w:rPr>
        <w:t xml:space="preserve">ound, with developing countries, </w:t>
      </w:r>
      <w:r w:rsidRPr="00F16A9D">
        <w:rPr>
          <w:rFonts w:ascii="Times New Roman" w:eastAsia="Times New Roman" w:hAnsi="Times New Roman" w:cs="Times New Roman"/>
          <w:sz w:val="24"/>
          <w:szCs w:val="24"/>
          <w:lang w:eastAsia="en-GB"/>
        </w:rPr>
        <w:t>p</w:t>
      </w:r>
      <w:r w:rsidR="00540B0A">
        <w:rPr>
          <w:rFonts w:ascii="Times New Roman" w:eastAsia="Times New Roman" w:hAnsi="Times New Roman" w:cs="Times New Roman"/>
          <w:sz w:val="24"/>
          <w:szCs w:val="24"/>
          <w:lang w:eastAsia="en-GB"/>
        </w:rPr>
        <w:t xml:space="preserve">articularly the least developed, </w:t>
      </w:r>
      <w:r w:rsidRPr="00F16A9D">
        <w:rPr>
          <w:rFonts w:ascii="Times New Roman" w:eastAsia="Times New Roman" w:hAnsi="Times New Roman" w:cs="Times New Roman"/>
          <w:sz w:val="24"/>
          <w:szCs w:val="24"/>
          <w:lang w:eastAsia="en-GB"/>
        </w:rPr>
        <w:t>bearing a disproportionate share of the associated economic, social, and environmental burdens.</w:t>
      </w:r>
    </w:p>
    <w:p w14:paraId="0D274C32" w14:textId="77777777" w:rsidR="001E7973" w:rsidRDefault="00540B0A" w:rsidP="00F22D66">
      <w:pPr>
        <w:pStyle w:val="NormalWeb"/>
        <w:spacing w:line="480" w:lineRule="auto"/>
        <w:jc w:val="both"/>
      </w:pPr>
      <w:r>
        <w:t xml:space="preserve">As a step acting towards a mitigation of the climate change, in 2005 the EU designed the so called </w:t>
      </w:r>
      <w:r w:rsidRPr="00540B0A">
        <w:rPr>
          <w:rStyle w:val="Textoennegrita"/>
          <w:b w:val="0"/>
        </w:rPr>
        <w:t>European Union Emissions Trading System (EU ETS), which</w:t>
      </w:r>
      <w:r>
        <w:t xml:space="preserve"> is widely regarded as the central instrument of the EU’s climate strategy and a leading example of a large-scale carbon pricing mechanism. It is based on a cap-and-trade framework in which a progressively tightening emissions ceiling is imposed on regulated sectors, while tradable permits grant firms the right to emit a specified quantity of greenhouse gases. By requiring regulated installations to match their verified emissions with allowances, the system embeds a carbon cost into production decisions and promotes cost-effective emission reductions across firms and sectors (Ellerman et al., 2016). Empirical analyses indicate that the EU ETS has delivered measurable emission abatement, largely driven by changes in the energy mix and incremental technological improvements, even during periods of relatively low carbon prices (Bayer and </w:t>
      </w:r>
      <w:proofErr w:type="spellStart"/>
      <w:r>
        <w:t>Aklin</w:t>
      </w:r>
      <w:proofErr w:type="spellEnd"/>
      <w:r>
        <w:t xml:space="preserve">, 2020). </w:t>
      </w:r>
      <w:r w:rsidR="001E7973">
        <w:t xml:space="preserve">Recent policy developments under the </w:t>
      </w:r>
      <w:r w:rsidR="001E7973">
        <w:rPr>
          <w:rStyle w:val="whitespace-normal"/>
        </w:rPr>
        <w:t>European Green Deal</w:t>
      </w:r>
      <w:r w:rsidR="001E7973">
        <w:t xml:space="preserve"> and associated legislative packages further reinforce the system by tightening the emissions cap and broadening its scope. </w:t>
      </w:r>
      <w:r w:rsidR="00A42482">
        <w:rPr>
          <w:color w:val="000000"/>
          <w:lang w:eastAsia="de-DE" w:bidi="en-US"/>
        </w:rPr>
        <w:t>From the other side, the</w:t>
      </w:r>
      <w:r w:rsidR="00A42482" w:rsidRPr="00540B0A">
        <w:rPr>
          <w:color w:val="000000"/>
          <w:lang w:val="en-US" w:eastAsia="de-DE" w:bidi="en-US"/>
        </w:rPr>
        <w:t xml:space="preserve"> expansion of the EU Emissions Trading System to </w:t>
      </w:r>
      <w:r w:rsidR="00A42482">
        <w:rPr>
          <w:color w:val="000000"/>
          <w:lang w:val="en-US" w:eastAsia="de-DE" w:bidi="en-US"/>
        </w:rPr>
        <w:t>buildings and road transport</w:t>
      </w:r>
      <w:r w:rsidR="00A42482" w:rsidRPr="00540B0A">
        <w:rPr>
          <w:color w:val="000000"/>
          <w:lang w:val="en-US" w:eastAsia="de-DE" w:bidi="en-US"/>
        </w:rPr>
        <w:t xml:space="preserve"> is expected to significantly increase household energy and mobility costs, with disproportionate effects on vulnerable population groups.</w:t>
      </w:r>
      <w:r w:rsidR="00A42482">
        <w:rPr>
          <w:color w:val="000000"/>
          <w:lang w:val="en-US" w:eastAsia="de-DE" w:bidi="en-US"/>
        </w:rPr>
        <w:t xml:space="preserve"> </w:t>
      </w:r>
      <w:r w:rsidR="00A42482">
        <w:t xml:space="preserve">To mitigate these distributional consequences, Regulation (EU) 2023/955 establishing the Social Climate Fund obliges Member States to systematically identify and prioritize populations experiencing energy and </w:t>
      </w:r>
      <w:r w:rsidR="00A42482">
        <w:lastRenderedPageBreak/>
        <w:t>transport pov</w:t>
      </w:r>
      <w:r w:rsidR="007C2359">
        <w:t>erty, with the aim of mitigate</w:t>
      </w:r>
      <w:r w:rsidR="00A42482">
        <w:t xml:space="preserve"> the social impact</w:t>
      </w:r>
      <w:r w:rsidR="00D555C6">
        <w:t xml:space="preserve">s of the low-carbon transition </w:t>
      </w:r>
      <w:r w:rsidR="0049544A">
        <w:t>(</w:t>
      </w:r>
      <w:proofErr w:type="spellStart"/>
      <w:r w:rsidR="0049544A">
        <w:t>Peneva</w:t>
      </w:r>
      <w:proofErr w:type="spellEnd"/>
      <w:r w:rsidR="00A42482">
        <w:t>, 2025).</w:t>
      </w:r>
    </w:p>
    <w:p w14:paraId="5CA26C5B" w14:textId="7047C038" w:rsidR="008804D8" w:rsidRPr="00CD3E5D" w:rsidRDefault="008804D8" w:rsidP="00F22D66">
      <w:pPr>
        <w:pStyle w:val="NormalWeb"/>
        <w:spacing w:line="480" w:lineRule="auto"/>
        <w:jc w:val="both"/>
        <w:rPr>
          <w:color w:val="0070C0"/>
        </w:rPr>
      </w:pPr>
      <w:r w:rsidRPr="00CD3E5D">
        <w:rPr>
          <w:color w:val="0070C0"/>
        </w:rPr>
        <w:t>The research objective of the study can be formulated in the following way:</w:t>
      </w:r>
    </w:p>
    <w:p w14:paraId="66A6EB03" w14:textId="5FC25576" w:rsidR="008804D8" w:rsidRPr="00CD3E5D" w:rsidRDefault="00CD3E5D" w:rsidP="00CD3E5D">
      <w:pPr>
        <w:pStyle w:val="NormalWeb"/>
        <w:numPr>
          <w:ilvl w:val="0"/>
          <w:numId w:val="37"/>
        </w:numPr>
        <w:spacing w:line="480" w:lineRule="auto"/>
        <w:jc w:val="both"/>
        <w:rPr>
          <w:color w:val="0070C0"/>
        </w:rPr>
      </w:pPr>
      <w:r w:rsidRPr="00CD3E5D">
        <w:rPr>
          <w:color w:val="0070C0"/>
        </w:rPr>
        <w:t>E</w:t>
      </w:r>
      <w:r w:rsidR="008804D8" w:rsidRPr="00CD3E5D">
        <w:rPr>
          <w:color w:val="0070C0"/>
        </w:rPr>
        <w:t>xamine the impacts of climate change on human displacement and migration driven by natural hazards and environmental processes such as floods, droughts, and rising global temperatures.</w:t>
      </w:r>
    </w:p>
    <w:p w14:paraId="2C92B526" w14:textId="375DE9BE" w:rsidR="008804D8" w:rsidRPr="00CD3E5D" w:rsidRDefault="00CD3E5D" w:rsidP="00CD3E5D">
      <w:pPr>
        <w:pStyle w:val="NormalWeb"/>
        <w:numPr>
          <w:ilvl w:val="0"/>
          <w:numId w:val="37"/>
        </w:numPr>
        <w:spacing w:line="480" w:lineRule="auto"/>
        <w:jc w:val="both"/>
        <w:rPr>
          <w:color w:val="0070C0"/>
        </w:rPr>
      </w:pPr>
      <w:r w:rsidRPr="00CD3E5D">
        <w:rPr>
          <w:color w:val="0070C0"/>
        </w:rPr>
        <w:t>Analys</w:t>
      </w:r>
      <w:r w:rsidR="008804D8" w:rsidRPr="00CD3E5D">
        <w:rPr>
          <w:color w:val="0070C0"/>
        </w:rPr>
        <w:t>e the spatial and temporal distribution of climate-related natural disasters and identify the regions and populations mo</w:t>
      </w:r>
      <w:r w:rsidR="00E548BD">
        <w:rPr>
          <w:color w:val="0070C0"/>
        </w:rPr>
        <w:t>st vulnerable to their effects</w:t>
      </w:r>
      <w:proofErr w:type="gramStart"/>
      <w:r w:rsidR="00E548BD">
        <w:rPr>
          <w:color w:val="0070C0"/>
        </w:rPr>
        <w:t>,.</w:t>
      </w:r>
      <w:proofErr w:type="gramEnd"/>
    </w:p>
    <w:p w14:paraId="133C2B3B" w14:textId="6475862D" w:rsidR="008804D8" w:rsidRPr="00CD3E5D" w:rsidRDefault="00CD3E5D" w:rsidP="00CD3E5D">
      <w:pPr>
        <w:pStyle w:val="NormalWeb"/>
        <w:numPr>
          <w:ilvl w:val="0"/>
          <w:numId w:val="37"/>
        </w:numPr>
        <w:spacing w:line="480" w:lineRule="auto"/>
        <w:jc w:val="both"/>
        <w:rPr>
          <w:color w:val="0070C0"/>
        </w:rPr>
      </w:pPr>
      <w:r w:rsidRPr="00CD3E5D">
        <w:rPr>
          <w:color w:val="0070C0"/>
        </w:rPr>
        <w:t>I</w:t>
      </w:r>
      <w:r w:rsidR="008804D8" w:rsidRPr="00CD3E5D">
        <w:rPr>
          <w:color w:val="0070C0"/>
        </w:rPr>
        <w:t>nvestigate the socioeconomic consequences of climate change, including climate-induced migration and energy poverty in Europe.</w:t>
      </w:r>
    </w:p>
    <w:p w14:paraId="0653214C" w14:textId="7A9790D6" w:rsidR="008804D8" w:rsidRPr="00CD3E5D" w:rsidRDefault="00CD3E5D" w:rsidP="00CD3E5D">
      <w:pPr>
        <w:pStyle w:val="NormalWeb"/>
        <w:numPr>
          <w:ilvl w:val="0"/>
          <w:numId w:val="37"/>
        </w:numPr>
        <w:spacing w:line="480" w:lineRule="auto"/>
        <w:jc w:val="both"/>
        <w:rPr>
          <w:color w:val="0070C0"/>
        </w:rPr>
      </w:pPr>
      <w:r w:rsidRPr="00CD3E5D">
        <w:rPr>
          <w:color w:val="0070C0"/>
        </w:rPr>
        <w:t>I</w:t>
      </w:r>
      <w:r w:rsidR="008804D8" w:rsidRPr="00CD3E5D">
        <w:rPr>
          <w:color w:val="0070C0"/>
        </w:rPr>
        <w:t>ntegrate quantitative an</w:t>
      </w:r>
      <w:r w:rsidRPr="00CD3E5D">
        <w:rPr>
          <w:color w:val="0070C0"/>
        </w:rPr>
        <w:t xml:space="preserve">d qualitative research methods </w:t>
      </w:r>
      <w:r w:rsidR="008804D8" w:rsidRPr="00CD3E5D">
        <w:rPr>
          <w:color w:val="0070C0"/>
        </w:rPr>
        <w:t>and fieldwork data collected in Spain, in order to provide a comprehensive assessment of climate-related mobility.</w:t>
      </w:r>
    </w:p>
    <w:p w14:paraId="0151417B" w14:textId="28DCE7E8" w:rsidR="00CD3E5D" w:rsidRPr="00CD3E5D" w:rsidRDefault="00CD3E5D" w:rsidP="00CD3E5D">
      <w:pPr>
        <w:pStyle w:val="NormalWeb"/>
        <w:numPr>
          <w:ilvl w:val="0"/>
          <w:numId w:val="37"/>
        </w:numPr>
        <w:spacing w:line="480" w:lineRule="auto"/>
        <w:jc w:val="both"/>
        <w:rPr>
          <w:color w:val="0070C0"/>
        </w:rPr>
      </w:pPr>
      <w:r w:rsidRPr="00CD3E5D">
        <w:rPr>
          <w:color w:val="0070C0"/>
        </w:rPr>
        <w:t>E</w:t>
      </w:r>
      <w:r w:rsidR="008804D8" w:rsidRPr="00CD3E5D">
        <w:rPr>
          <w:color w:val="0070C0"/>
        </w:rPr>
        <w:t>valuate current cha</w:t>
      </w:r>
      <w:r w:rsidRPr="00CD3E5D">
        <w:rPr>
          <w:color w:val="0070C0"/>
        </w:rPr>
        <w:t>llenges associated with climate change and the energy poverty an</w:t>
      </w:r>
      <w:r w:rsidR="00E548BD">
        <w:rPr>
          <w:color w:val="0070C0"/>
        </w:rPr>
        <w:t>d</w:t>
      </w:r>
      <w:r w:rsidRPr="00CD3E5D">
        <w:rPr>
          <w:color w:val="0070C0"/>
        </w:rPr>
        <w:t xml:space="preserve"> its quantification based on real data </w:t>
      </w:r>
      <w:r>
        <w:rPr>
          <w:color w:val="0070C0"/>
        </w:rPr>
        <w:t xml:space="preserve">from Europe and from </w:t>
      </w:r>
      <w:r w:rsidRPr="00CD3E5D">
        <w:rPr>
          <w:color w:val="0070C0"/>
        </w:rPr>
        <w:t>a give</w:t>
      </w:r>
      <w:r>
        <w:rPr>
          <w:color w:val="0070C0"/>
        </w:rPr>
        <w:t>n country (Bulgaria).</w:t>
      </w:r>
    </w:p>
    <w:p w14:paraId="37A2E2D8" w14:textId="46F77F3F" w:rsidR="00635143" w:rsidRPr="00BE2BDC" w:rsidRDefault="00A26EEC" w:rsidP="00CD3E5D">
      <w:pPr>
        <w:pStyle w:val="NormalWeb"/>
        <w:spacing w:line="480" w:lineRule="auto"/>
        <w:jc w:val="both"/>
        <w:rPr>
          <w:color w:val="0070C0"/>
        </w:rPr>
      </w:pPr>
      <w:r w:rsidRPr="004C20EC">
        <w:t>The</w:t>
      </w:r>
      <w:r w:rsidR="00D555C6">
        <w:t xml:space="preserve"> study</w:t>
      </w:r>
      <w:r w:rsidRPr="004C20EC">
        <w:t xml:space="preserve"> is organised as follows: In Section 2 the Methodology used in this paper is explained. Section 3</w:t>
      </w:r>
      <w:r w:rsidR="00D555C6">
        <w:t xml:space="preserve"> (Results)</w:t>
      </w:r>
      <w:r w:rsidRPr="004C20EC">
        <w:t xml:space="preserve"> is devoted to the</w:t>
      </w:r>
      <w:r w:rsidR="004C20EC" w:rsidRPr="004C20EC">
        <w:t xml:space="preserve"> climate migration in general (3.1 and 3.2), geographic distribution of the natural hazards (3.3)</w:t>
      </w:r>
      <w:r w:rsidR="00C11EBD">
        <w:t xml:space="preserve">, </w:t>
      </w:r>
      <w:r w:rsidR="00582BB9">
        <w:t xml:space="preserve">a </w:t>
      </w:r>
      <w:r w:rsidR="00C11EBD">
        <w:t xml:space="preserve">particular Spanish case of displaced </w:t>
      </w:r>
      <w:r w:rsidR="00582BB9">
        <w:t>people from climate hazards (3.4</w:t>
      </w:r>
      <w:r w:rsidR="004C20EC" w:rsidRPr="004C20EC">
        <w:t>)</w:t>
      </w:r>
      <w:r w:rsidR="00CC2094">
        <w:t xml:space="preserve"> and the problem of energy poverty in Europe (3.5)</w:t>
      </w:r>
      <w:r w:rsidR="004C20EC" w:rsidRPr="004C20EC">
        <w:t xml:space="preserve">. </w:t>
      </w:r>
      <w:r w:rsidR="00E548BD">
        <w:rPr>
          <w:color w:val="0070C0"/>
        </w:rPr>
        <w:t>Finally Section 4</w:t>
      </w:r>
      <w:r w:rsidR="00BE2BDC" w:rsidRPr="00BE2BDC">
        <w:rPr>
          <w:color w:val="0070C0"/>
        </w:rPr>
        <w:t xml:space="preserve"> </w:t>
      </w:r>
      <w:r w:rsidR="00E548BD">
        <w:rPr>
          <w:color w:val="0070C0"/>
        </w:rPr>
        <w:t>is devoted</w:t>
      </w:r>
      <w:r w:rsidR="00064339" w:rsidRPr="00BE2BDC">
        <w:rPr>
          <w:color w:val="0070C0"/>
        </w:rPr>
        <w:t xml:space="preserve"> to the discussion concerning </w:t>
      </w:r>
      <w:r w:rsidR="00E548BD">
        <w:rPr>
          <w:color w:val="0070C0"/>
        </w:rPr>
        <w:t xml:space="preserve">the results </w:t>
      </w:r>
      <w:r w:rsidR="00064339" w:rsidRPr="00BE2BDC">
        <w:rPr>
          <w:color w:val="0070C0"/>
        </w:rPr>
        <w:t xml:space="preserve">and </w:t>
      </w:r>
      <w:r w:rsidR="00E548BD">
        <w:rPr>
          <w:color w:val="0070C0"/>
        </w:rPr>
        <w:t>Section 5 presents the conclusion of the study.</w:t>
      </w:r>
    </w:p>
    <w:p w14:paraId="2B941A1C" w14:textId="77777777" w:rsidR="00CD3E5D" w:rsidRDefault="00CD3E5D" w:rsidP="00CD3E5D">
      <w:pPr>
        <w:pStyle w:val="NormalWeb"/>
        <w:spacing w:line="480" w:lineRule="auto"/>
        <w:jc w:val="both"/>
      </w:pPr>
    </w:p>
    <w:p w14:paraId="6BBA6F9F" w14:textId="77777777" w:rsidR="00CD3E5D" w:rsidRPr="00C11EBD" w:rsidRDefault="00CD3E5D" w:rsidP="00CD3E5D">
      <w:pPr>
        <w:pStyle w:val="NormalWeb"/>
        <w:spacing w:line="480" w:lineRule="auto"/>
        <w:jc w:val="both"/>
      </w:pPr>
    </w:p>
    <w:p w14:paraId="7EE559A6" w14:textId="77777777" w:rsidR="00F16A9D" w:rsidRPr="0005692B" w:rsidRDefault="00F16A9D" w:rsidP="0005692B">
      <w:pPr>
        <w:pStyle w:val="Prrafodelista"/>
        <w:numPr>
          <w:ilvl w:val="0"/>
          <w:numId w:val="22"/>
        </w:numPr>
        <w:spacing w:before="100" w:beforeAutospacing="1" w:after="100" w:afterAutospacing="1" w:line="240" w:lineRule="auto"/>
        <w:jc w:val="both"/>
        <w:rPr>
          <w:rFonts w:ascii="Times New Roman" w:eastAsia="Times New Roman" w:hAnsi="Times New Roman" w:cs="Times New Roman"/>
          <w:b/>
          <w:sz w:val="24"/>
          <w:szCs w:val="24"/>
          <w:lang w:eastAsia="en-GB"/>
        </w:rPr>
      </w:pPr>
      <w:r w:rsidRPr="0005692B">
        <w:rPr>
          <w:rFonts w:ascii="Times New Roman" w:eastAsia="Times New Roman" w:hAnsi="Times New Roman" w:cs="Times New Roman"/>
          <w:b/>
          <w:sz w:val="24"/>
          <w:szCs w:val="24"/>
          <w:lang w:eastAsia="en-GB"/>
        </w:rPr>
        <w:lastRenderedPageBreak/>
        <w:t>Methodology</w:t>
      </w:r>
    </w:p>
    <w:p w14:paraId="3FAD25B3" w14:textId="4221ED1F" w:rsidR="00A26EEC" w:rsidRDefault="00A26EEC" w:rsidP="00F22D66">
      <w:pPr>
        <w:pStyle w:val="NormalWeb"/>
        <w:spacing w:line="480" w:lineRule="auto"/>
        <w:jc w:val="both"/>
      </w:pPr>
      <w:r>
        <w:t>This study adopts a comprehensive methodological framework that integrates quantitative and qualitative techniques. It brings together statistical analyses derived from a range of official datasets and scie</w:t>
      </w:r>
      <w:r w:rsidR="00E548BD">
        <w:t xml:space="preserve">ntific literature with </w:t>
      </w:r>
      <w:r>
        <w:t>simulat</w:t>
      </w:r>
      <w:r w:rsidR="00E548BD">
        <w:t>ions as well as a real situation</w:t>
      </w:r>
      <w:r>
        <w:t xml:space="preserve"> in Spain.</w:t>
      </w:r>
    </w:p>
    <w:p w14:paraId="708C092F" w14:textId="534401BD" w:rsidR="00A26EEC" w:rsidRDefault="00A26EEC" w:rsidP="00F22D66">
      <w:pPr>
        <w:pStyle w:val="NormalWeb"/>
        <w:spacing w:line="480" w:lineRule="auto"/>
        <w:jc w:val="both"/>
      </w:pPr>
      <w:r>
        <w:t>The analysis of the physical foundations of climate change is grounded in meteorological and oceanographic observations, particularly long-term records of sea surface temperature and sea ice extent. These datasets are sourced from the Climate Change Institute at the University of Maine.</w:t>
      </w:r>
      <w:r w:rsidR="00DD45CF">
        <w:t xml:space="preserve"> </w:t>
      </w:r>
      <w:r>
        <w:t>The assessment of climate-related migration relies on a mixed-methods approach, combining statistical evaluation of multiple data sources. Primary data are drawn from national authorities responsible for tracking disaster-related displacement and ev</w:t>
      </w:r>
      <w:r w:rsidR="00E548BD">
        <w:t>acuations at national, regional</w:t>
      </w:r>
      <w:r>
        <w:t xml:space="preserve"> and local scales.</w:t>
      </w:r>
      <w:r w:rsidR="00DD45CF">
        <w:t xml:space="preserve"> </w:t>
      </w:r>
      <w:r>
        <w:t>In addition, international organiz</w:t>
      </w:r>
      <w:r w:rsidR="00B43E55">
        <w:t>ations, non-governmental actors</w:t>
      </w:r>
      <w:r>
        <w:t xml:space="preserve"> and United Nations agencies involved in humanitarian response contribu</w:t>
      </w:r>
      <w:r w:rsidR="00B43E55">
        <w:t>te with</w:t>
      </w:r>
      <w:r>
        <w:t xml:space="preserve"> context-specific data on affected populations. A key example is the International Organization for Migration’s Displacement Tracking Matrix. </w:t>
      </w:r>
    </w:p>
    <w:p w14:paraId="3AA76A2B" w14:textId="77777777" w:rsidR="00E548BD" w:rsidRDefault="00A26EEC" w:rsidP="00F22D66">
      <w:pPr>
        <w:pStyle w:val="NormalWeb"/>
        <w:spacing w:line="480" w:lineRule="auto"/>
        <w:jc w:val="both"/>
      </w:pPr>
      <w:r>
        <w:t>The study incorporates a broad set of forward-looking global projections addressing climate hazards with implications for human mobility, including extreme heat, drought, wildfires, and riverine flooding. These projections are generated through an ensemble of climate impact models, each designed to simulate distinct physical processes associated with weather and climate extremes.</w:t>
      </w:r>
      <w:r w:rsidR="00E548BD">
        <w:t xml:space="preserve"> They incorporate </w:t>
      </w:r>
      <w:r w:rsidR="00DD45CF">
        <w:t>as well</w:t>
      </w:r>
      <w:r w:rsidR="00801A31">
        <w:t xml:space="preserve"> some tools focused on climate change dynamics</w:t>
      </w:r>
      <w:r w:rsidR="005D24AB">
        <w:t xml:space="preserve"> and related human mobility</w:t>
      </w:r>
      <w:r w:rsidR="00801A31">
        <w:t>. These include the En-ROADS simulator</w:t>
      </w:r>
      <w:r w:rsidR="005D24AB">
        <w:t xml:space="preserve"> and the internal displacement platform</w:t>
      </w:r>
      <w:r w:rsidR="00801A31">
        <w:t xml:space="preserve">. </w:t>
      </w:r>
    </w:p>
    <w:p w14:paraId="2ECBD017" w14:textId="45CFED18" w:rsidR="002F54E0" w:rsidRPr="00E6678B" w:rsidRDefault="00C11EBD" w:rsidP="00F22D66">
      <w:pPr>
        <w:pStyle w:val="NormalWeb"/>
        <w:spacing w:line="480" w:lineRule="auto"/>
        <w:jc w:val="both"/>
        <w:rPr>
          <w:color w:val="00B050"/>
        </w:rPr>
      </w:pPr>
      <w:r>
        <w:t>A special atten</w:t>
      </w:r>
      <w:r w:rsidR="00B43E55">
        <w:t>tion is paid to the problem of e</w:t>
      </w:r>
      <w:r>
        <w:t>nergy po</w:t>
      </w:r>
      <w:r w:rsidR="00B43E55">
        <w:t>verty i</w:t>
      </w:r>
      <w:r>
        <w:t>n Europe by usi</w:t>
      </w:r>
      <w:r w:rsidR="00153401">
        <w:t xml:space="preserve">ng data from Eurostat, </w:t>
      </w:r>
      <w:r>
        <w:t>national statistical agencies</w:t>
      </w:r>
      <w:r w:rsidR="00153401">
        <w:t xml:space="preserve"> and data collections</w:t>
      </w:r>
      <w:r>
        <w:t xml:space="preserve">. </w:t>
      </w:r>
      <w:r w:rsidR="002F54E0" w:rsidRPr="002F54E0">
        <w:rPr>
          <w:color w:val="0070C0"/>
        </w:rPr>
        <w:t xml:space="preserve">The methodology </w:t>
      </w:r>
      <w:r w:rsidR="002F54E0">
        <w:rPr>
          <w:color w:val="0070C0"/>
        </w:rPr>
        <w:t>concerning th</w:t>
      </w:r>
      <w:r w:rsidR="002F54E0" w:rsidRPr="002F54E0">
        <w:rPr>
          <w:color w:val="0070C0"/>
        </w:rPr>
        <w:t xml:space="preserve">e energy poverty in Bulgaria </w:t>
      </w:r>
      <w:r w:rsidR="002F54E0">
        <w:rPr>
          <w:color w:val="0070C0"/>
        </w:rPr>
        <w:t>has been previ</w:t>
      </w:r>
      <w:r w:rsidR="00E548BD">
        <w:rPr>
          <w:color w:val="0070C0"/>
        </w:rPr>
        <w:t xml:space="preserve">ously introduced by </w:t>
      </w:r>
      <w:proofErr w:type="spellStart"/>
      <w:r w:rsidR="00E548BD">
        <w:rPr>
          <w:color w:val="0070C0"/>
        </w:rPr>
        <w:t>Peneva</w:t>
      </w:r>
      <w:proofErr w:type="spellEnd"/>
      <w:r w:rsidR="00E548BD">
        <w:rPr>
          <w:color w:val="0070C0"/>
        </w:rPr>
        <w:t xml:space="preserve"> (</w:t>
      </w:r>
      <w:r w:rsidR="00E6678B">
        <w:rPr>
          <w:color w:val="0070C0"/>
        </w:rPr>
        <w:t>2025</w:t>
      </w:r>
      <w:r w:rsidR="00E548BD">
        <w:rPr>
          <w:color w:val="0070C0"/>
        </w:rPr>
        <w:t>). It is</w:t>
      </w:r>
      <w:r w:rsidR="002F54E0">
        <w:rPr>
          <w:color w:val="0070C0"/>
        </w:rPr>
        <w:t xml:space="preserve"> based on the </w:t>
      </w:r>
      <w:r w:rsidR="002F54E0">
        <w:rPr>
          <w:color w:val="0070C0"/>
        </w:rPr>
        <w:lastRenderedPageBreak/>
        <w:t>definition of</w:t>
      </w:r>
      <w:r w:rsidR="002F54E0" w:rsidRPr="002F54E0">
        <w:rPr>
          <w:color w:val="0070C0"/>
        </w:rPr>
        <w:t xml:space="preserve"> an en</w:t>
      </w:r>
      <w:r w:rsidR="002F54E0">
        <w:rPr>
          <w:color w:val="0070C0"/>
        </w:rPr>
        <w:t>ergy-adjusted poverty line obtained</w:t>
      </w:r>
      <w:r w:rsidR="00E548BD">
        <w:rPr>
          <w:color w:val="0070C0"/>
        </w:rPr>
        <w:t xml:space="preserve"> from</w:t>
      </w:r>
      <w:r w:rsidR="002F54E0" w:rsidRPr="002F54E0">
        <w:rPr>
          <w:color w:val="0070C0"/>
        </w:rPr>
        <w:t xml:space="preserve"> official </w:t>
      </w:r>
      <w:r w:rsidR="00E548BD">
        <w:rPr>
          <w:color w:val="0070C0"/>
        </w:rPr>
        <w:t xml:space="preserve">data corresponding to 2023. </w:t>
      </w:r>
      <w:r w:rsidR="002F54E0" w:rsidRPr="002F54E0">
        <w:rPr>
          <w:color w:val="0070C0"/>
        </w:rPr>
        <w:t xml:space="preserve">The calculations incorporate </w:t>
      </w:r>
      <w:r w:rsidR="00E548BD">
        <w:rPr>
          <w:color w:val="0070C0"/>
        </w:rPr>
        <w:t xml:space="preserve">different </w:t>
      </w:r>
      <w:r w:rsidR="002F54E0" w:rsidRPr="002F54E0">
        <w:rPr>
          <w:color w:val="0070C0"/>
        </w:rPr>
        <w:t>indicato</w:t>
      </w:r>
      <w:r w:rsidR="00E548BD">
        <w:rPr>
          <w:color w:val="0070C0"/>
        </w:rPr>
        <w:t>rs related to the householders</w:t>
      </w:r>
      <w:r w:rsidR="002F54E0" w:rsidRPr="002F54E0">
        <w:rPr>
          <w:color w:val="0070C0"/>
        </w:rPr>
        <w:t xml:space="preserve"> in Bulgaria</w:t>
      </w:r>
      <w:r w:rsidR="00E6678B" w:rsidRPr="007C3161">
        <w:rPr>
          <w:color w:val="0070C0"/>
        </w:rPr>
        <w:t xml:space="preserve">, </w:t>
      </w:r>
      <w:r w:rsidR="00E548BD">
        <w:rPr>
          <w:color w:val="0070C0"/>
        </w:rPr>
        <w:t>although they do</w:t>
      </w:r>
      <w:r w:rsidR="00E6678B" w:rsidRPr="007C3161">
        <w:rPr>
          <w:color w:val="0070C0"/>
        </w:rPr>
        <w:t xml:space="preserve"> not provide information on the </w:t>
      </w:r>
      <w:r w:rsidR="008170A7">
        <w:rPr>
          <w:color w:val="0070C0"/>
        </w:rPr>
        <w:t xml:space="preserve">specific </w:t>
      </w:r>
      <w:r w:rsidR="00E6678B" w:rsidRPr="007C3161">
        <w:rPr>
          <w:color w:val="0070C0"/>
        </w:rPr>
        <w:t xml:space="preserve">regional distribution </w:t>
      </w:r>
      <w:r w:rsidR="008170A7">
        <w:rPr>
          <w:color w:val="0070C0"/>
        </w:rPr>
        <w:t xml:space="preserve">by district, neither </w:t>
      </w:r>
      <w:r w:rsidR="00E6678B" w:rsidRPr="007C3161">
        <w:rPr>
          <w:color w:val="0070C0"/>
        </w:rPr>
        <w:t>accoun</w:t>
      </w:r>
      <w:r w:rsidR="008170A7">
        <w:rPr>
          <w:color w:val="0070C0"/>
        </w:rPr>
        <w:t xml:space="preserve">t for </w:t>
      </w:r>
      <w:r w:rsidR="00E6678B" w:rsidRPr="007C3161">
        <w:rPr>
          <w:color w:val="0070C0"/>
        </w:rPr>
        <w:t>energy sources, or household composition.</w:t>
      </w:r>
      <w:r w:rsidR="00E6678B">
        <w:rPr>
          <w:color w:val="00B050"/>
        </w:rPr>
        <w:t xml:space="preserve"> </w:t>
      </w:r>
    </w:p>
    <w:p w14:paraId="47494304" w14:textId="1667B1AD" w:rsidR="001E7973" w:rsidRPr="00F27F69" w:rsidRDefault="00801A31" w:rsidP="00F27F69">
      <w:pPr>
        <w:spacing w:before="100" w:beforeAutospacing="1" w:after="100" w:afterAutospacing="1" w:line="480" w:lineRule="auto"/>
        <w:jc w:val="both"/>
        <w:rPr>
          <w:rFonts w:ascii="Times New Roman" w:eastAsia="Times New Roman" w:hAnsi="Times New Roman" w:cs="Times New Roman"/>
          <w:color w:val="0070C0"/>
          <w:sz w:val="24"/>
          <w:szCs w:val="24"/>
          <w:lang w:eastAsia="en-GB"/>
        </w:rPr>
      </w:pPr>
      <w:r w:rsidRPr="00F27F69">
        <w:rPr>
          <w:rFonts w:ascii="Times New Roman" w:hAnsi="Times New Roman" w:cs="Times New Roman"/>
          <w:sz w:val="24"/>
          <w:szCs w:val="24"/>
        </w:rPr>
        <w:t>In parallel, the analysis draws on interview</w:t>
      </w:r>
      <w:r w:rsidR="00B43E55" w:rsidRPr="00F27F69">
        <w:rPr>
          <w:rFonts w:ascii="Times New Roman" w:hAnsi="Times New Roman" w:cs="Times New Roman"/>
          <w:sz w:val="24"/>
          <w:szCs w:val="24"/>
        </w:rPr>
        <w:t>s</w:t>
      </w:r>
      <w:r w:rsidR="00153401" w:rsidRPr="00F27F69">
        <w:rPr>
          <w:rFonts w:ascii="Times New Roman" w:hAnsi="Times New Roman" w:cs="Times New Roman"/>
          <w:sz w:val="24"/>
          <w:szCs w:val="24"/>
        </w:rPr>
        <w:t>, during a field work in the area,</w:t>
      </w:r>
      <w:r w:rsidRPr="00F27F69">
        <w:rPr>
          <w:rFonts w:ascii="Times New Roman" w:hAnsi="Times New Roman" w:cs="Times New Roman"/>
          <w:sz w:val="24"/>
          <w:szCs w:val="24"/>
        </w:rPr>
        <w:t xml:space="preserve"> with </w:t>
      </w:r>
      <w:r w:rsidR="00B43E55" w:rsidRPr="00F27F69">
        <w:rPr>
          <w:rFonts w:ascii="Times New Roman" w:hAnsi="Times New Roman" w:cs="Times New Roman"/>
          <w:sz w:val="24"/>
          <w:szCs w:val="24"/>
        </w:rPr>
        <w:t xml:space="preserve">local people from </w:t>
      </w:r>
      <w:proofErr w:type="spellStart"/>
      <w:r w:rsidR="00B43E55" w:rsidRPr="00F27F69">
        <w:rPr>
          <w:rFonts w:ascii="Times New Roman" w:hAnsi="Times New Roman" w:cs="Times New Roman"/>
          <w:sz w:val="24"/>
          <w:szCs w:val="24"/>
        </w:rPr>
        <w:t>Grazalema</w:t>
      </w:r>
      <w:proofErr w:type="spellEnd"/>
      <w:r w:rsidR="00B43E55" w:rsidRPr="00F27F69">
        <w:rPr>
          <w:rFonts w:ascii="Times New Roman" w:hAnsi="Times New Roman" w:cs="Times New Roman"/>
          <w:sz w:val="24"/>
          <w:szCs w:val="24"/>
        </w:rPr>
        <w:t xml:space="preserve"> (</w:t>
      </w:r>
      <w:r w:rsidRPr="00F27F69">
        <w:rPr>
          <w:rFonts w:ascii="Times New Roman" w:hAnsi="Times New Roman" w:cs="Times New Roman"/>
          <w:sz w:val="24"/>
          <w:szCs w:val="24"/>
        </w:rPr>
        <w:t>Spain</w:t>
      </w:r>
      <w:r w:rsidR="00B43E55" w:rsidRPr="00F27F69">
        <w:rPr>
          <w:rFonts w:ascii="Times New Roman" w:hAnsi="Times New Roman" w:cs="Times New Roman"/>
          <w:sz w:val="24"/>
          <w:szCs w:val="24"/>
        </w:rPr>
        <w:t>)</w:t>
      </w:r>
      <w:r w:rsidRPr="00F27F69">
        <w:rPr>
          <w:rFonts w:ascii="Times New Roman" w:hAnsi="Times New Roman" w:cs="Times New Roman"/>
          <w:sz w:val="24"/>
          <w:szCs w:val="24"/>
        </w:rPr>
        <w:t>, who have suffered severe floods at the beginning of 2026.</w:t>
      </w:r>
      <w:r w:rsidR="00551E5E" w:rsidRPr="00F27F69">
        <w:rPr>
          <w:rFonts w:ascii="Times New Roman" w:hAnsi="Times New Roman" w:cs="Times New Roman"/>
          <w:sz w:val="24"/>
          <w:szCs w:val="24"/>
        </w:rPr>
        <w:t xml:space="preserve"> </w:t>
      </w:r>
      <w:r w:rsidR="00551E5E" w:rsidRPr="00F27F69">
        <w:rPr>
          <w:rFonts w:ascii="Times New Roman" w:hAnsi="Times New Roman" w:cs="Times New Roman"/>
          <w:color w:val="0070C0"/>
          <w:sz w:val="24"/>
          <w:szCs w:val="24"/>
        </w:rPr>
        <w:t xml:space="preserve">The interviews have been collected </w:t>
      </w:r>
      <w:r w:rsidR="00536F02">
        <w:rPr>
          <w:rFonts w:ascii="Times New Roman" w:hAnsi="Times New Roman" w:cs="Times New Roman"/>
          <w:color w:val="0070C0"/>
          <w:sz w:val="24"/>
          <w:szCs w:val="24"/>
        </w:rPr>
        <w:t>from 10 participants (5 women and 5</w:t>
      </w:r>
      <w:r w:rsidR="00C71B5F" w:rsidRPr="00F27F69">
        <w:rPr>
          <w:rFonts w:ascii="Times New Roman" w:hAnsi="Times New Roman" w:cs="Times New Roman"/>
          <w:color w:val="0070C0"/>
          <w:sz w:val="24"/>
          <w:szCs w:val="24"/>
        </w:rPr>
        <w:t xml:space="preserve"> men), whose names have been replaced with fictitious ones to ensure anonymity and confidentiality. </w:t>
      </w:r>
      <w:r w:rsidR="00F27F69" w:rsidRPr="00F27F69">
        <w:rPr>
          <w:rFonts w:ascii="Times New Roman" w:eastAsia="Times New Roman" w:hAnsi="Times New Roman" w:cs="Times New Roman"/>
          <w:color w:val="0070C0"/>
          <w:sz w:val="24"/>
          <w:szCs w:val="24"/>
          <w:lang w:eastAsia="en-GB"/>
        </w:rPr>
        <w:t>Participants were recruited through snowball sampling, relying on social connections established during initial contacts.</w:t>
      </w:r>
      <w:r w:rsidR="00F27F69">
        <w:rPr>
          <w:rFonts w:ascii="Times New Roman" w:eastAsia="Times New Roman" w:hAnsi="Times New Roman" w:cs="Times New Roman"/>
          <w:color w:val="0070C0"/>
          <w:sz w:val="24"/>
          <w:szCs w:val="24"/>
          <w:lang w:eastAsia="en-GB"/>
        </w:rPr>
        <w:t xml:space="preserve"> </w:t>
      </w:r>
      <w:r w:rsidR="00F27F69" w:rsidRPr="00F27F69">
        <w:rPr>
          <w:rFonts w:ascii="Times New Roman" w:eastAsia="Times New Roman" w:hAnsi="Times New Roman" w:cs="Times New Roman"/>
          <w:color w:val="0070C0"/>
          <w:sz w:val="24"/>
          <w:szCs w:val="24"/>
          <w:lang w:eastAsia="en-GB"/>
        </w:rPr>
        <w:t>The interviews explored demographic characteristics and impressions of the solution of the crisis.</w:t>
      </w:r>
    </w:p>
    <w:p w14:paraId="6A5A8636" w14:textId="18CA0A03" w:rsidR="002A23F7" w:rsidRPr="002A23F7" w:rsidRDefault="002A23F7" w:rsidP="00F22D66">
      <w:pPr>
        <w:pStyle w:val="NormalWeb"/>
        <w:spacing w:line="480" w:lineRule="auto"/>
        <w:jc w:val="both"/>
        <w:rPr>
          <w:color w:val="0070C0"/>
        </w:rPr>
      </w:pPr>
      <w:r w:rsidRPr="002A23F7">
        <w:rPr>
          <w:color w:val="0070C0"/>
        </w:rPr>
        <w:t xml:space="preserve">The maps were produced using </w:t>
      </w:r>
      <w:hyperlink r:id="rId10" w:tgtFrame="_new" w:history="1">
        <w:proofErr w:type="spellStart"/>
        <w:r w:rsidRPr="002A23F7">
          <w:rPr>
            <w:rStyle w:val="Hipervnculo"/>
            <w:color w:val="0070C0"/>
          </w:rPr>
          <w:t>Datawrapper</w:t>
        </w:r>
        <w:proofErr w:type="spellEnd"/>
      </w:hyperlink>
      <w:r w:rsidRPr="002A23F7">
        <w:rPr>
          <w:color w:val="0070C0"/>
        </w:rPr>
        <w:t xml:space="preserve"> software and display the values associated with</w:t>
      </w:r>
      <w:r>
        <w:rPr>
          <w:color w:val="0070C0"/>
        </w:rPr>
        <w:t xml:space="preserve"> the different indicators analys</w:t>
      </w:r>
      <w:r w:rsidRPr="002A23F7">
        <w:rPr>
          <w:color w:val="0070C0"/>
        </w:rPr>
        <w:t>ed in the study. The corresponding links have been included in the figure captions.</w:t>
      </w:r>
    </w:p>
    <w:p w14:paraId="609CBC81" w14:textId="77777777" w:rsidR="00011B53" w:rsidRDefault="0005692B" w:rsidP="00F16A9D">
      <w:pPr>
        <w:pStyle w:val="NormalWeb"/>
        <w:rPr>
          <w:b/>
        </w:rPr>
      </w:pPr>
      <w:r>
        <w:rPr>
          <w:b/>
        </w:rPr>
        <w:t xml:space="preserve">3.  </w:t>
      </w:r>
      <w:r w:rsidR="00011B53">
        <w:rPr>
          <w:b/>
        </w:rPr>
        <w:t>Results.</w:t>
      </w:r>
    </w:p>
    <w:p w14:paraId="77F888B6" w14:textId="77777777" w:rsidR="00F16A9D" w:rsidRPr="00F16A9D" w:rsidRDefault="00011B53" w:rsidP="00F16A9D">
      <w:pPr>
        <w:pStyle w:val="NormalWeb"/>
        <w:rPr>
          <w:b/>
        </w:rPr>
      </w:pPr>
      <w:r>
        <w:rPr>
          <w:b/>
        </w:rPr>
        <w:t xml:space="preserve">    3.</w:t>
      </w:r>
      <w:r w:rsidR="0005692B">
        <w:rPr>
          <w:b/>
        </w:rPr>
        <w:t>1. Effect of the c</w:t>
      </w:r>
      <w:r>
        <w:rPr>
          <w:b/>
        </w:rPr>
        <w:t>limate change</w:t>
      </w:r>
      <w:r w:rsidR="0005692B">
        <w:rPr>
          <w:b/>
        </w:rPr>
        <w:t xml:space="preserve"> on the population</w:t>
      </w:r>
    </w:p>
    <w:p w14:paraId="14A1A4E2" w14:textId="57B2CB36" w:rsidR="00D97AAB" w:rsidRPr="006E745D" w:rsidRDefault="00D97AAB" w:rsidP="00F22D66">
      <w:pPr>
        <w:pStyle w:val="NormalWeb"/>
        <w:spacing w:line="480" w:lineRule="auto"/>
        <w:jc w:val="both"/>
      </w:pPr>
      <w:r>
        <w:t xml:space="preserve">As early as 1990, the </w:t>
      </w:r>
      <w:r>
        <w:rPr>
          <w:rStyle w:val="whitespace-normal"/>
        </w:rPr>
        <w:t>Intergovernmental Panel on Climate Change</w:t>
      </w:r>
      <w:r>
        <w:t xml:space="preserve"> (IPCC</w:t>
      </w:r>
      <w:r w:rsidR="00CE64BB">
        <w:t>, 2023</w:t>
      </w:r>
      <w:r>
        <w:t xml:space="preserve">) identified human mobility as one of the potential major consequences of climate change. </w:t>
      </w:r>
      <w:r w:rsidR="00C363AE">
        <w:t>According to</w:t>
      </w:r>
      <w:r w:rsidR="00CE64BB">
        <w:t xml:space="preserve"> </w:t>
      </w:r>
      <w:r w:rsidR="00F22D66">
        <w:t xml:space="preserve">the analysis, </w:t>
      </w:r>
      <w:r>
        <w:t xml:space="preserve">global mean temperature is projected to increase by approximately 1.8°C to 4.0°C by 2099. Large areas are expected to become progressively drier, with the proportion of land experiencing persistent drought rising from about 2% to 10% by 2050. By the end of the century, the extent of regions affected by extreme drought could expand to as much as 30%. At the same time, an intensified hydrological cycle is expected to alter precipitation patterns, increasing the frequency of heavy rainfall events in some regions. Such changes may accelerate </w:t>
      </w:r>
      <w:r>
        <w:lastRenderedPageBreak/>
        <w:t>soil erosion, heighten flood risks, and contribute to more frequent and severe extreme weather events, including droughts, storms, and flo</w:t>
      </w:r>
      <w:r w:rsidR="006E745D">
        <w:t>ods (</w:t>
      </w:r>
      <w:r w:rsidR="00CF5910" w:rsidRPr="006C0F1F">
        <w:t>Beyer and Milan, 2022</w:t>
      </w:r>
      <w:r w:rsidR="00CF5910" w:rsidRPr="00CF5910">
        <w:t xml:space="preserve">; </w:t>
      </w:r>
      <w:r w:rsidR="006E745D">
        <w:t xml:space="preserve">MDP, </w:t>
      </w:r>
      <w:r w:rsidR="006E745D" w:rsidRPr="006E745D">
        <w:t>2024)</w:t>
      </w:r>
      <w:r w:rsidR="006E745D">
        <w:t>.</w:t>
      </w:r>
    </w:p>
    <w:p w14:paraId="4901B6E7" w14:textId="1C4F6495" w:rsidR="001E7973" w:rsidRPr="00F22D66" w:rsidRDefault="00C363AE" w:rsidP="00F22D66">
      <w:pPr>
        <w:pStyle w:val="Pa2"/>
        <w:spacing w:line="480" w:lineRule="auto"/>
        <w:jc w:val="both"/>
        <w:rPr>
          <w:rFonts w:ascii="Times New Roman" w:hAnsi="Times New Roman" w:cs="Times New Roman"/>
        </w:rPr>
      </w:pPr>
      <w:r w:rsidRPr="006C0F1F">
        <w:rPr>
          <w:rFonts w:ascii="Times New Roman" w:hAnsi="Times New Roman" w:cs="Times New Roman"/>
        </w:rPr>
        <w:t xml:space="preserve">Climate change is expected to intensify environmental pressures in vulnerable regions, with projections suggesting that up to 143 million people in the Global South could be affected by 2050, potentially reshaping patterns of human mobility. </w:t>
      </w:r>
      <w:r w:rsidR="00E66109" w:rsidRPr="006C0F1F">
        <w:rPr>
          <w:rFonts w:ascii="Times New Roman" w:hAnsi="Times New Roman" w:cs="Times New Roman"/>
        </w:rPr>
        <w:t>A</w:t>
      </w:r>
      <w:r w:rsidRPr="006C0F1F">
        <w:rPr>
          <w:rFonts w:ascii="Times New Roman" w:hAnsi="Times New Roman" w:cs="Times New Roman"/>
        </w:rPr>
        <w:t xml:space="preserve"> systematic review examining how rising temperatures, water scarcity and drought, and flooding and sea-level rise influence mobility outcomes across the Global South</w:t>
      </w:r>
      <w:r w:rsidR="004427D6" w:rsidRPr="006C0F1F">
        <w:rPr>
          <w:rFonts w:ascii="Times New Roman" w:hAnsi="Times New Roman" w:cs="Times New Roman"/>
        </w:rPr>
        <w:t xml:space="preserve"> has been recently published (Almulhim</w:t>
      </w:r>
      <w:r w:rsidRPr="006C0F1F">
        <w:rPr>
          <w:rFonts w:ascii="Times New Roman" w:hAnsi="Times New Roman" w:cs="Times New Roman"/>
        </w:rPr>
        <w:t>.</w:t>
      </w:r>
      <w:r w:rsidR="004427D6" w:rsidRPr="006C0F1F">
        <w:rPr>
          <w:rFonts w:ascii="Times New Roman" w:hAnsi="Times New Roman" w:cs="Times New Roman"/>
        </w:rPr>
        <w:t>et al. 2024).</w:t>
      </w:r>
      <w:r w:rsidR="00975480">
        <w:rPr>
          <w:rFonts w:ascii="Times New Roman" w:hAnsi="Times New Roman" w:cs="Times New Roman"/>
        </w:rPr>
        <w:t xml:space="preserve"> Other</w:t>
      </w:r>
      <w:r w:rsidRPr="006C0F1F">
        <w:rPr>
          <w:rFonts w:ascii="Times New Roman" w:hAnsi="Times New Roman" w:cs="Times New Roman"/>
        </w:rPr>
        <w:t xml:space="preserve"> analysis showed that these climate-related stressors have already displaced and affected millions of people, contributing to both internal and cross-border migration</w:t>
      </w:r>
      <w:r w:rsidR="006E745D" w:rsidRPr="006C0F1F">
        <w:rPr>
          <w:rFonts w:ascii="Times New Roman" w:hAnsi="Times New Roman" w:cs="Times New Roman"/>
          <w:color w:val="FF0000"/>
        </w:rPr>
        <w:t xml:space="preserve"> </w:t>
      </w:r>
      <w:r w:rsidR="00975480">
        <w:rPr>
          <w:rFonts w:ascii="Times New Roman" w:hAnsi="Times New Roman" w:cs="Times New Roman"/>
        </w:rPr>
        <w:t>(</w:t>
      </w:r>
      <w:r w:rsidR="006C0F1F" w:rsidRPr="006C0F1F">
        <w:rPr>
          <w:rFonts w:ascii="Times New Roman" w:hAnsi="Times New Roman" w:cs="Times New Roman"/>
        </w:rPr>
        <w:t>Beyer and Milan, 2022; IDMC, 2024; MDP, 2024; MPI, 2025; MPI, 2026).</w:t>
      </w:r>
    </w:p>
    <w:p w14:paraId="61D2A38B" w14:textId="77777777" w:rsidR="000E19B2" w:rsidRDefault="000E19B2" w:rsidP="005D24AB">
      <w:pPr>
        <w:pStyle w:val="Pa2"/>
        <w:numPr>
          <w:ilvl w:val="0"/>
          <w:numId w:val="20"/>
        </w:numPr>
        <w:jc w:val="both"/>
        <w:rPr>
          <w:rStyle w:val="A9"/>
          <w:rFonts w:ascii="Times New Roman" w:hAnsi="Times New Roman" w:cs="Times New Roman"/>
          <w:color w:val="auto"/>
        </w:rPr>
      </w:pPr>
      <w:r w:rsidRPr="005D24AB">
        <w:rPr>
          <w:rStyle w:val="A9"/>
          <w:rFonts w:ascii="Times New Roman" w:hAnsi="Times New Roman" w:cs="Times New Roman"/>
          <w:color w:val="auto"/>
        </w:rPr>
        <w:t xml:space="preserve">Sea level rise </w:t>
      </w:r>
    </w:p>
    <w:p w14:paraId="26248D37" w14:textId="77777777" w:rsidR="00B233F3" w:rsidRPr="00B233F3" w:rsidRDefault="00B233F3" w:rsidP="00B233F3">
      <w:pPr>
        <w:pStyle w:val="Default"/>
      </w:pPr>
    </w:p>
    <w:p w14:paraId="3A4E2342" w14:textId="62AB6D8C" w:rsidR="00EB5503" w:rsidRDefault="00D349B7" w:rsidP="00EB5503">
      <w:pPr>
        <w:pStyle w:val="Pa2"/>
        <w:spacing w:line="480" w:lineRule="auto"/>
        <w:jc w:val="both"/>
        <w:rPr>
          <w:rFonts w:ascii="Times New Roman" w:hAnsi="Times New Roman" w:cs="Times New Roman"/>
          <w:b/>
          <w:color w:val="0070C0"/>
        </w:rPr>
      </w:pPr>
      <w:r w:rsidRPr="00B93D6B">
        <w:rPr>
          <w:rFonts w:ascii="Times New Roman" w:hAnsi="Times New Roman" w:cs="Times New Roman"/>
        </w:rPr>
        <w:t>By 2050, more than one billion people are projected to face risks associated with climate hazards affecting coastal regions. Rapid coastal urbanization, combined with the impacts of climate change, is expected to significantly increase exposure, particularly in Af</w:t>
      </w:r>
      <w:r w:rsidR="00975480">
        <w:rPr>
          <w:rFonts w:ascii="Times New Roman" w:hAnsi="Times New Roman" w:cs="Times New Roman"/>
        </w:rPr>
        <w:t>rica, where an estimated more than 200</w:t>
      </w:r>
      <w:r w:rsidRPr="00B93D6B">
        <w:rPr>
          <w:rFonts w:ascii="Times New Roman" w:hAnsi="Times New Roman" w:cs="Times New Roman"/>
        </w:rPr>
        <w:t xml:space="preserve"> million people could be at risk from sea-level rise by 2060. Under scenarios in which global temperatures rise between 1.5 and 2.5°C above pre-industria</w:t>
      </w:r>
      <w:r w:rsidR="00975480">
        <w:rPr>
          <w:rFonts w:ascii="Times New Roman" w:hAnsi="Times New Roman" w:cs="Times New Roman"/>
        </w:rPr>
        <w:t>l levels, approximately 430,000 inhabitants of small island developing s</w:t>
      </w:r>
      <w:r w:rsidRPr="00B93D6B">
        <w:rPr>
          <w:rFonts w:ascii="Times New Roman" w:hAnsi="Times New Roman" w:cs="Times New Roman"/>
        </w:rPr>
        <w:t>tates may experience permanent inundation by 2100. Nevertheless, many of these areas are likely to become uninhabitable before that point due to the increasing frequency of coastal flooding and progressive soil salinization. In the United States, projected sea-level rise of 0.9 meters by 2100 could expose around 4.2 million people to flooding risk, with this figure potentially increasing to 13.1 million under a higher-end scenario of 1.8 meters of sea-level rise</w:t>
      </w:r>
      <w:r w:rsidR="00CF5910">
        <w:rPr>
          <w:rFonts w:ascii="Times New Roman" w:hAnsi="Times New Roman" w:cs="Times New Roman"/>
        </w:rPr>
        <w:t xml:space="preserve"> </w:t>
      </w:r>
      <w:r w:rsidR="00CF5910" w:rsidRPr="00CF5910">
        <w:rPr>
          <w:rFonts w:ascii="Times New Roman" w:hAnsi="Times New Roman" w:cs="Times New Roman"/>
          <w:color w:val="0070C0"/>
        </w:rPr>
        <w:t>(Beyer and Milan, 2022)</w:t>
      </w:r>
      <w:r w:rsidR="006C0F1F" w:rsidRPr="00CF5910">
        <w:rPr>
          <w:rFonts w:ascii="Times New Roman" w:hAnsi="Times New Roman" w:cs="Times New Roman"/>
          <w:b/>
          <w:color w:val="0070C0"/>
        </w:rPr>
        <w:t>.</w:t>
      </w:r>
    </w:p>
    <w:p w14:paraId="65967424" w14:textId="77777777" w:rsidR="00EB5503" w:rsidRDefault="00EB5503" w:rsidP="00EB5503">
      <w:pPr>
        <w:pStyle w:val="Default"/>
      </w:pPr>
    </w:p>
    <w:p w14:paraId="57F27293" w14:textId="77777777" w:rsidR="00EB5503" w:rsidRDefault="00EB5503" w:rsidP="00EB5503">
      <w:pPr>
        <w:pStyle w:val="Default"/>
      </w:pPr>
    </w:p>
    <w:p w14:paraId="0B226804" w14:textId="77777777" w:rsidR="00EB5503" w:rsidRPr="00EB5503" w:rsidRDefault="00EB5503" w:rsidP="00EB5503">
      <w:pPr>
        <w:pStyle w:val="Default"/>
      </w:pPr>
    </w:p>
    <w:p w14:paraId="2A095DB3" w14:textId="77777777" w:rsidR="00D349B7" w:rsidRDefault="000E19B2" w:rsidP="005D24AB">
      <w:pPr>
        <w:pStyle w:val="Pa2"/>
        <w:numPr>
          <w:ilvl w:val="0"/>
          <w:numId w:val="20"/>
        </w:numPr>
        <w:jc w:val="both"/>
        <w:rPr>
          <w:rStyle w:val="A9"/>
          <w:rFonts w:ascii="Times New Roman" w:hAnsi="Times New Roman" w:cs="Times New Roman"/>
          <w:color w:val="auto"/>
        </w:rPr>
      </w:pPr>
      <w:r w:rsidRPr="005D24AB">
        <w:rPr>
          <w:rStyle w:val="A9"/>
          <w:rFonts w:ascii="Times New Roman" w:hAnsi="Times New Roman" w:cs="Times New Roman"/>
          <w:color w:val="auto"/>
        </w:rPr>
        <w:lastRenderedPageBreak/>
        <w:t xml:space="preserve">Floods and Storms </w:t>
      </w:r>
    </w:p>
    <w:p w14:paraId="2EFB2C6F" w14:textId="77777777" w:rsidR="00DC3501" w:rsidRPr="00DC3501" w:rsidRDefault="00DC3501" w:rsidP="00DC3501">
      <w:pPr>
        <w:pStyle w:val="Default"/>
      </w:pPr>
    </w:p>
    <w:p w14:paraId="2FC5649D" w14:textId="1CEF18D4" w:rsidR="00975480" w:rsidRPr="00F22D66" w:rsidRDefault="00D349B7" w:rsidP="00F22D66">
      <w:pPr>
        <w:pStyle w:val="Pa2"/>
        <w:spacing w:line="480" w:lineRule="auto"/>
        <w:jc w:val="both"/>
        <w:rPr>
          <w:rFonts w:ascii="Times New Roman" w:eastAsia="Times New Roman" w:hAnsi="Times New Roman" w:cs="Times New Roman"/>
          <w:lang w:eastAsia="en-GB"/>
        </w:rPr>
      </w:pPr>
      <w:r w:rsidRPr="00D349B7">
        <w:rPr>
          <w:rFonts w:ascii="Times New Roman" w:eastAsia="Times New Roman" w:hAnsi="Times New Roman" w:cs="Times New Roman"/>
          <w:lang w:eastAsia="en-GB"/>
        </w:rPr>
        <w:t>At 2°</w:t>
      </w:r>
      <w:r w:rsidR="00975480">
        <w:rPr>
          <w:rFonts w:ascii="Times New Roman" w:eastAsia="Times New Roman" w:hAnsi="Times New Roman" w:cs="Times New Roman"/>
          <w:lang w:eastAsia="en-GB"/>
        </w:rPr>
        <w:t xml:space="preserve">C of global warming, the </w:t>
      </w:r>
      <w:r w:rsidRPr="00D349B7">
        <w:rPr>
          <w:rFonts w:ascii="Times New Roman" w:eastAsia="Times New Roman" w:hAnsi="Times New Roman" w:cs="Times New Roman"/>
          <w:lang w:eastAsia="en-GB"/>
        </w:rPr>
        <w:t xml:space="preserve">population exposed to river flooding is projected to increase by approximately 120%, with this figure potentially rising to 400% under a 4°C warming scenario. However, even in the absence of climate change, exposure to flooding in urban areas is expected to grow substantially by 2030 compared to </w:t>
      </w:r>
      <w:r w:rsidR="00975480">
        <w:rPr>
          <w:rFonts w:ascii="Times New Roman" w:eastAsia="Times New Roman" w:hAnsi="Times New Roman" w:cs="Times New Roman"/>
          <w:lang w:eastAsia="en-GB"/>
        </w:rPr>
        <w:t xml:space="preserve">year </w:t>
      </w:r>
      <w:r w:rsidRPr="00D349B7">
        <w:rPr>
          <w:rFonts w:ascii="Times New Roman" w:eastAsia="Times New Roman" w:hAnsi="Times New Roman" w:cs="Times New Roman"/>
          <w:lang w:eastAsia="en-GB"/>
        </w:rPr>
        <w:t xml:space="preserve">2000, primarily driven by population growth and urbanization. This expansion is particularly pronounced in Africa, where urban areas exposed to frequent flooding are projected to increase by around 270% in North </w:t>
      </w:r>
      <w:r w:rsidR="00E66109">
        <w:rPr>
          <w:rFonts w:ascii="Times New Roman" w:eastAsia="Times New Roman" w:hAnsi="Times New Roman" w:cs="Times New Roman"/>
          <w:lang w:eastAsia="en-GB"/>
        </w:rPr>
        <w:t>Africa and 800% in Southern Africa</w:t>
      </w:r>
      <w:r w:rsidRPr="00D349B7">
        <w:rPr>
          <w:rFonts w:ascii="Times New Roman" w:eastAsia="Times New Roman" w:hAnsi="Times New Roman" w:cs="Times New Roman"/>
          <w:lang w:eastAsia="en-GB"/>
        </w:rPr>
        <w:t xml:space="preserve">. In Indonesia, urbanization between </w:t>
      </w:r>
      <w:r w:rsidR="00975480">
        <w:rPr>
          <w:rFonts w:ascii="Times New Roman" w:eastAsia="Times New Roman" w:hAnsi="Times New Roman" w:cs="Times New Roman"/>
          <w:lang w:eastAsia="en-GB"/>
        </w:rPr>
        <w:t xml:space="preserve">years </w:t>
      </w:r>
      <w:r w:rsidRPr="00D349B7">
        <w:rPr>
          <w:rFonts w:ascii="Times New Roman" w:eastAsia="Times New Roman" w:hAnsi="Times New Roman" w:cs="Times New Roman"/>
          <w:lang w:eastAsia="en-GB"/>
        </w:rPr>
        <w:t>2000 and 2030 is anticipated to raise rive</w:t>
      </w:r>
      <w:r w:rsidR="00F22D66">
        <w:rPr>
          <w:rFonts w:ascii="Times New Roman" w:eastAsia="Times New Roman" w:hAnsi="Times New Roman" w:cs="Times New Roman"/>
          <w:lang w:eastAsia="en-GB"/>
        </w:rPr>
        <w:t xml:space="preserve">r and coastal flood risks by 76% to </w:t>
      </w:r>
      <w:r w:rsidRPr="00D349B7">
        <w:rPr>
          <w:rFonts w:ascii="Times New Roman" w:eastAsia="Times New Roman" w:hAnsi="Times New Roman" w:cs="Times New Roman"/>
          <w:lang w:eastAsia="en-GB"/>
        </w:rPr>
        <w:t>120%, with sea-level rise contributing an additional</w:t>
      </w:r>
      <w:r w:rsidR="00E66109">
        <w:rPr>
          <w:rFonts w:ascii="Times New Roman" w:eastAsia="Times New Roman" w:hAnsi="Times New Roman" w:cs="Times New Roman"/>
          <w:lang w:eastAsia="en-GB"/>
        </w:rPr>
        <w:t xml:space="preserve"> increase in exposure of 19</w:t>
      </w:r>
      <w:r w:rsidR="00F22D66">
        <w:rPr>
          <w:rFonts w:ascii="Times New Roman" w:eastAsia="Times New Roman" w:hAnsi="Times New Roman" w:cs="Times New Roman"/>
          <w:lang w:eastAsia="en-GB"/>
        </w:rPr>
        <w:t xml:space="preserve">% to </w:t>
      </w:r>
      <w:r w:rsidR="00E66109">
        <w:rPr>
          <w:rFonts w:ascii="Times New Roman" w:eastAsia="Times New Roman" w:hAnsi="Times New Roman" w:cs="Times New Roman"/>
          <w:lang w:eastAsia="en-GB"/>
        </w:rPr>
        <w:t>37%</w:t>
      </w:r>
      <w:r w:rsidR="00CF5910">
        <w:rPr>
          <w:rFonts w:ascii="Times New Roman" w:eastAsia="Times New Roman" w:hAnsi="Times New Roman" w:cs="Times New Roman"/>
          <w:lang w:eastAsia="en-GB"/>
        </w:rPr>
        <w:t xml:space="preserve"> </w:t>
      </w:r>
      <w:r w:rsidR="00CF5910" w:rsidRPr="00CF5910">
        <w:rPr>
          <w:rFonts w:ascii="Times New Roman" w:eastAsia="Times New Roman" w:hAnsi="Times New Roman" w:cs="Times New Roman"/>
          <w:color w:val="0070C0"/>
          <w:lang w:eastAsia="en-GB"/>
        </w:rPr>
        <w:t>(</w:t>
      </w:r>
      <w:r w:rsidR="00CF5910" w:rsidRPr="00CF5910">
        <w:rPr>
          <w:rFonts w:ascii="Times New Roman" w:hAnsi="Times New Roman" w:cs="Times New Roman"/>
          <w:color w:val="0070C0"/>
        </w:rPr>
        <w:t>Beyer and Milan, 2022)</w:t>
      </w:r>
      <w:r w:rsidR="006C0F1F" w:rsidRPr="00CF5910">
        <w:rPr>
          <w:rFonts w:ascii="Times New Roman" w:eastAsia="Times New Roman" w:hAnsi="Times New Roman" w:cs="Times New Roman"/>
          <w:color w:val="0070C0"/>
          <w:lang w:eastAsia="en-GB"/>
        </w:rPr>
        <w:t>.</w:t>
      </w:r>
    </w:p>
    <w:p w14:paraId="42B19E2C" w14:textId="77777777" w:rsidR="00975480" w:rsidRPr="006E745D" w:rsidRDefault="00975480" w:rsidP="006E745D">
      <w:pPr>
        <w:pStyle w:val="Default"/>
      </w:pPr>
    </w:p>
    <w:p w14:paraId="330DCE3C" w14:textId="77777777" w:rsidR="000E19B2" w:rsidRDefault="000E19B2" w:rsidP="005D24AB">
      <w:pPr>
        <w:pStyle w:val="Pa2"/>
        <w:numPr>
          <w:ilvl w:val="0"/>
          <w:numId w:val="20"/>
        </w:numPr>
        <w:jc w:val="both"/>
        <w:rPr>
          <w:rStyle w:val="A9"/>
          <w:rFonts w:ascii="Times New Roman" w:hAnsi="Times New Roman" w:cs="Times New Roman"/>
          <w:color w:val="auto"/>
        </w:rPr>
      </w:pPr>
      <w:r w:rsidRPr="005D24AB">
        <w:rPr>
          <w:rStyle w:val="A9"/>
          <w:rFonts w:ascii="Times New Roman" w:hAnsi="Times New Roman" w:cs="Times New Roman"/>
          <w:color w:val="auto"/>
        </w:rPr>
        <w:t xml:space="preserve">Extreme Heat </w:t>
      </w:r>
    </w:p>
    <w:p w14:paraId="3442CC0D" w14:textId="77777777" w:rsidR="00DC3501" w:rsidRPr="00DC3501" w:rsidRDefault="00DC3501" w:rsidP="00DC3501">
      <w:pPr>
        <w:pStyle w:val="Default"/>
      </w:pPr>
    </w:p>
    <w:p w14:paraId="2641D68A" w14:textId="6C3A6978" w:rsidR="006E745D" w:rsidRPr="00F22D66" w:rsidRDefault="00D349B7" w:rsidP="00F22D66">
      <w:pPr>
        <w:pStyle w:val="Pa2"/>
        <w:spacing w:line="480" w:lineRule="auto"/>
        <w:jc w:val="both"/>
        <w:rPr>
          <w:rFonts w:ascii="Times New Roman" w:hAnsi="Times New Roman" w:cs="Times New Roman"/>
        </w:rPr>
      </w:pPr>
      <w:r w:rsidRPr="00B93D6B">
        <w:rPr>
          <w:rFonts w:ascii="Times New Roman" w:hAnsi="Times New Roman" w:cs="Times New Roman"/>
        </w:rPr>
        <w:t>By 2100, it is estimated that approximately 50% of the global population under a low-warming scenario, and up to 75% under a high-warming scenario, could be exposed to periods of extreme heat and humidity that pose significant risks to human survival. In West Africa, potentially lethal heat conditions may occur on as many as 150 days per year at 1.6°C of global warming, while in Central Africa similar conditions could persist for up to 150 days annually at 2.5°C. South Asia is also projected to experience heatwaves that are more intense, more frequent, and longer in duration</w:t>
      </w:r>
      <w:r w:rsidR="00E66109">
        <w:rPr>
          <w:rFonts w:ascii="Times New Roman" w:hAnsi="Times New Roman" w:cs="Times New Roman"/>
        </w:rPr>
        <w:t xml:space="preserve">. </w:t>
      </w:r>
      <w:r w:rsidRPr="00B93D6B">
        <w:rPr>
          <w:rFonts w:ascii="Times New Roman" w:hAnsi="Times New Roman" w:cs="Times New Roman"/>
        </w:rPr>
        <w:t>Similarly, with 2°C of global warming, roughly half of Europe’s population is projected to experience a very high risk of heat stress during the summer mon</w:t>
      </w:r>
      <w:r w:rsidR="006C0F1F">
        <w:rPr>
          <w:rFonts w:ascii="Times New Roman" w:hAnsi="Times New Roman" w:cs="Times New Roman"/>
        </w:rPr>
        <w:t>ths</w:t>
      </w:r>
      <w:r w:rsidR="00CF5910">
        <w:rPr>
          <w:rFonts w:ascii="Times New Roman" w:hAnsi="Times New Roman" w:cs="Times New Roman"/>
        </w:rPr>
        <w:t xml:space="preserve"> </w:t>
      </w:r>
      <w:r w:rsidR="00CF5910" w:rsidRPr="00CF5910">
        <w:rPr>
          <w:rFonts w:ascii="Times New Roman" w:hAnsi="Times New Roman" w:cs="Times New Roman"/>
          <w:color w:val="0070C0"/>
        </w:rPr>
        <w:t>(Beyer and Milan, 2022)</w:t>
      </w:r>
      <w:r w:rsidR="006C0F1F" w:rsidRPr="00CF5910">
        <w:rPr>
          <w:rFonts w:ascii="Times New Roman" w:hAnsi="Times New Roman" w:cs="Times New Roman"/>
          <w:color w:val="0070C0"/>
        </w:rPr>
        <w:t>.</w:t>
      </w:r>
    </w:p>
    <w:p w14:paraId="46D030C4" w14:textId="77777777" w:rsidR="00D349B7" w:rsidRDefault="005D24AB" w:rsidP="00B93D6B">
      <w:pPr>
        <w:pStyle w:val="Pa2"/>
        <w:numPr>
          <w:ilvl w:val="0"/>
          <w:numId w:val="20"/>
        </w:numPr>
        <w:jc w:val="both"/>
        <w:rPr>
          <w:rStyle w:val="A9"/>
          <w:rFonts w:ascii="Times New Roman" w:hAnsi="Times New Roman" w:cs="Times New Roman"/>
          <w:color w:val="auto"/>
        </w:rPr>
      </w:pPr>
      <w:r w:rsidRPr="005D24AB">
        <w:rPr>
          <w:rStyle w:val="A9"/>
          <w:rFonts w:ascii="Times New Roman" w:hAnsi="Times New Roman" w:cs="Times New Roman"/>
          <w:color w:val="auto"/>
        </w:rPr>
        <w:t xml:space="preserve">Drought </w:t>
      </w:r>
      <w:r w:rsidR="000E19B2" w:rsidRPr="005D24AB">
        <w:rPr>
          <w:rStyle w:val="A9"/>
          <w:rFonts w:ascii="Times New Roman" w:hAnsi="Times New Roman" w:cs="Times New Roman"/>
          <w:color w:val="auto"/>
        </w:rPr>
        <w:t xml:space="preserve"> </w:t>
      </w:r>
    </w:p>
    <w:p w14:paraId="019AE977" w14:textId="77777777" w:rsidR="00DC3501" w:rsidRPr="00DC3501" w:rsidRDefault="00DC3501" w:rsidP="00DC3501">
      <w:pPr>
        <w:pStyle w:val="Default"/>
      </w:pPr>
    </w:p>
    <w:p w14:paraId="3BEBB7BB" w14:textId="7D4C11CE" w:rsidR="00D349B7" w:rsidRPr="002F20F8" w:rsidRDefault="00D349B7" w:rsidP="00F22D66">
      <w:pPr>
        <w:pStyle w:val="Pa2"/>
        <w:spacing w:line="480" w:lineRule="auto"/>
        <w:jc w:val="both"/>
        <w:rPr>
          <w:rFonts w:ascii="Times New Roman" w:hAnsi="Times New Roman" w:cs="Times New Roman"/>
        </w:rPr>
      </w:pPr>
      <w:r w:rsidRPr="00B93D6B">
        <w:rPr>
          <w:rFonts w:ascii="Times New Roman" w:hAnsi="Times New Roman" w:cs="Times New Roman"/>
        </w:rPr>
        <w:t xml:space="preserve">Under a high-warming scenario, climate change is projected to push an additional 65 million people into food insecurity by 2050. At the global level, a 2°C increase in temperatures is expected to raise the number of people exposed to agricultural drought by approximately 370%. Even under a more moderate warming scenario of 1.5°C, the likelihood of extreme agricultural </w:t>
      </w:r>
      <w:r w:rsidRPr="00B93D6B">
        <w:rPr>
          <w:rFonts w:ascii="Times New Roman" w:hAnsi="Times New Roman" w:cs="Times New Roman"/>
        </w:rPr>
        <w:lastRenderedPageBreak/>
        <w:t>drought is projected to at least double across exten</w:t>
      </w:r>
      <w:r w:rsidR="004A70AC">
        <w:rPr>
          <w:rFonts w:ascii="Times New Roman" w:hAnsi="Times New Roman" w:cs="Times New Roman"/>
        </w:rPr>
        <w:t>sive regions, including</w:t>
      </w:r>
      <w:r w:rsidRPr="00B93D6B">
        <w:rPr>
          <w:rFonts w:ascii="Times New Roman" w:hAnsi="Times New Roman" w:cs="Times New Roman"/>
        </w:rPr>
        <w:t xml:space="preserve"> South America, the Mediterranean, western China, and high-latitude areas of North America and Eurasia. This risk is expected to intensify further with higher levels of warming, potentially increasing by up to 200% a</w:t>
      </w:r>
      <w:r w:rsidR="004427D6">
        <w:rPr>
          <w:rFonts w:ascii="Times New Roman" w:hAnsi="Times New Roman" w:cs="Times New Roman"/>
        </w:rPr>
        <w:t>t 2°C and exceeding 200% at 4°C</w:t>
      </w:r>
      <w:r w:rsidR="00CF5910">
        <w:rPr>
          <w:rFonts w:ascii="Times New Roman" w:hAnsi="Times New Roman" w:cs="Times New Roman"/>
        </w:rPr>
        <w:t xml:space="preserve"> </w:t>
      </w:r>
      <w:r w:rsidR="00CF5910" w:rsidRPr="00CF5910">
        <w:rPr>
          <w:rFonts w:ascii="Times New Roman" w:hAnsi="Times New Roman" w:cs="Times New Roman"/>
          <w:color w:val="0070C0"/>
        </w:rPr>
        <w:t>(Beyer and Milan, 2022)</w:t>
      </w:r>
      <w:r w:rsidR="006C0F1F" w:rsidRPr="00CF5910">
        <w:rPr>
          <w:rFonts w:ascii="Times New Roman" w:hAnsi="Times New Roman" w:cs="Times New Roman"/>
          <w:color w:val="0070C0"/>
        </w:rPr>
        <w:t>.</w:t>
      </w:r>
    </w:p>
    <w:p w14:paraId="5CF44352" w14:textId="77777777" w:rsidR="0005692B" w:rsidRDefault="0005692B" w:rsidP="00B93D6B">
      <w:pPr>
        <w:pStyle w:val="Default"/>
        <w:jc w:val="both"/>
        <w:rPr>
          <w:rFonts w:ascii="Times New Roman" w:hAnsi="Times New Roman" w:cs="Times New Roman"/>
          <w:b/>
        </w:rPr>
      </w:pPr>
    </w:p>
    <w:p w14:paraId="21C77815" w14:textId="77777777" w:rsidR="0005692B" w:rsidRPr="00B93D6B" w:rsidRDefault="0005692B" w:rsidP="00B93D6B">
      <w:pPr>
        <w:pStyle w:val="Default"/>
        <w:jc w:val="both"/>
        <w:rPr>
          <w:rFonts w:ascii="Times New Roman" w:hAnsi="Times New Roman" w:cs="Times New Roman"/>
        </w:rPr>
      </w:pPr>
      <w:r>
        <w:rPr>
          <w:rFonts w:ascii="Times New Roman" w:hAnsi="Times New Roman" w:cs="Times New Roman"/>
          <w:b/>
        </w:rPr>
        <w:t xml:space="preserve">     3.2. Climate migration</w:t>
      </w:r>
    </w:p>
    <w:p w14:paraId="7C56888E" w14:textId="634A4DD2" w:rsidR="00D85644" w:rsidRDefault="00D85644" w:rsidP="00F22D66">
      <w:pPr>
        <w:spacing w:before="100" w:beforeAutospacing="1" w:after="100" w:afterAutospacing="1" w:line="480" w:lineRule="auto"/>
        <w:jc w:val="both"/>
        <w:rPr>
          <w:rFonts w:ascii="Times New Roman" w:eastAsia="Times New Roman" w:hAnsi="Times New Roman" w:cs="Times New Roman"/>
          <w:sz w:val="24"/>
          <w:szCs w:val="24"/>
          <w:lang w:eastAsia="en-GB"/>
        </w:rPr>
      </w:pPr>
      <w:r w:rsidRPr="00D85644">
        <w:rPr>
          <w:rFonts w:ascii="Times New Roman" w:hAnsi="Times New Roman" w:cs="Times New Roman"/>
          <w:sz w:val="24"/>
          <w:szCs w:val="24"/>
        </w:rPr>
        <w:t>Climate change is rarely the primary driver of migration, but it is becoming an increasingly important contributing factor. In most cases, environmental pressures rank well below economic motivations in shaping people’s decisions to move, even in countries heavi</w:t>
      </w:r>
      <w:r w:rsidR="002F20F8">
        <w:rPr>
          <w:rFonts w:ascii="Times New Roman" w:hAnsi="Times New Roman" w:cs="Times New Roman"/>
          <w:sz w:val="24"/>
          <w:szCs w:val="24"/>
        </w:rPr>
        <w:t>ly affected by climate impacts (Huang, 2</w:t>
      </w:r>
      <w:r w:rsidR="002F20F8" w:rsidRPr="002F20F8">
        <w:rPr>
          <w:rFonts w:ascii="Times New Roman" w:hAnsi="Times New Roman" w:cs="Times New Roman"/>
          <w:sz w:val="24"/>
          <w:szCs w:val="24"/>
        </w:rPr>
        <w:t>023)</w:t>
      </w:r>
      <w:r w:rsidR="00E725ED" w:rsidRPr="004427D6">
        <w:rPr>
          <w:rFonts w:ascii="Times New Roman" w:hAnsi="Times New Roman" w:cs="Times New Roman"/>
          <w:b/>
          <w:color w:val="FF0000"/>
          <w:sz w:val="24"/>
          <w:szCs w:val="24"/>
        </w:rPr>
        <w:t>.</w:t>
      </w:r>
      <w:r w:rsidR="0005692B" w:rsidRPr="004427D6">
        <w:rPr>
          <w:rFonts w:ascii="Times New Roman" w:hAnsi="Times New Roman" w:cs="Times New Roman"/>
          <w:color w:val="FF0000"/>
          <w:sz w:val="24"/>
          <w:szCs w:val="24"/>
        </w:rPr>
        <w:t xml:space="preserve"> </w:t>
      </w:r>
      <w:r w:rsidRPr="00D85644">
        <w:rPr>
          <w:rFonts w:ascii="Times New Roman" w:eastAsia="Times New Roman" w:hAnsi="Times New Roman" w:cs="Times New Roman"/>
          <w:sz w:val="24"/>
          <w:szCs w:val="24"/>
          <w:lang w:eastAsia="en-GB"/>
        </w:rPr>
        <w:t>This highlights a central difficulty in assessing the link between climate change and migration. Environmental pressures do influence mobility, but their role is rarely straightforward. Even when disasters lead directly to displacement, the connection to clim</w:t>
      </w:r>
      <w:r w:rsidR="004427D6">
        <w:rPr>
          <w:rFonts w:ascii="Times New Roman" w:eastAsia="Times New Roman" w:hAnsi="Times New Roman" w:cs="Times New Roman"/>
          <w:sz w:val="24"/>
          <w:szCs w:val="24"/>
          <w:lang w:eastAsia="en-GB"/>
        </w:rPr>
        <w:t>ate change is not always clear. S</w:t>
      </w:r>
      <w:r w:rsidRPr="00D85644">
        <w:rPr>
          <w:rFonts w:ascii="Times New Roman" w:eastAsia="Times New Roman" w:hAnsi="Times New Roman" w:cs="Times New Roman"/>
          <w:sz w:val="24"/>
          <w:szCs w:val="24"/>
          <w:lang w:eastAsia="en-GB"/>
        </w:rPr>
        <w:t>ome hazards, such as earthquakes, are unrelated to climate, and not all extreme events can be attributed to it</w:t>
      </w:r>
      <w:r w:rsidR="000428DA">
        <w:rPr>
          <w:rFonts w:ascii="Times New Roman" w:eastAsia="Times New Roman" w:hAnsi="Times New Roman" w:cs="Times New Roman"/>
          <w:sz w:val="24"/>
          <w:szCs w:val="24"/>
          <w:lang w:eastAsia="en-GB"/>
        </w:rPr>
        <w:t xml:space="preserve"> (</w:t>
      </w:r>
      <w:proofErr w:type="spellStart"/>
      <w:r w:rsidR="000428DA">
        <w:rPr>
          <w:rFonts w:ascii="Times New Roman" w:eastAsia="Times New Roman" w:hAnsi="Times New Roman" w:cs="Times New Roman"/>
          <w:sz w:val="24"/>
          <w:szCs w:val="24"/>
          <w:lang w:eastAsia="en-GB"/>
        </w:rPr>
        <w:t>Koroutchev</w:t>
      </w:r>
      <w:proofErr w:type="spellEnd"/>
      <w:r w:rsidR="000428DA">
        <w:rPr>
          <w:rFonts w:ascii="Times New Roman" w:eastAsia="Times New Roman" w:hAnsi="Times New Roman" w:cs="Times New Roman"/>
          <w:sz w:val="24"/>
          <w:szCs w:val="24"/>
          <w:lang w:eastAsia="en-GB"/>
        </w:rPr>
        <w:t>, 2025).</w:t>
      </w:r>
    </w:p>
    <w:p w14:paraId="409AFA3C" w14:textId="37962963" w:rsidR="00470E30" w:rsidRPr="005327DF" w:rsidRDefault="00470E30" w:rsidP="005327DF">
      <w:pPr>
        <w:pStyle w:val="NormalWeb"/>
        <w:spacing w:line="480" w:lineRule="auto"/>
        <w:jc w:val="both"/>
        <w:rPr>
          <w:color w:val="0070C0"/>
        </w:rPr>
      </w:pPr>
      <w:r w:rsidRPr="005327DF">
        <w:rPr>
          <w:color w:val="0070C0"/>
        </w:rPr>
        <w:t>The evolution of climate migration has also been reflected in the increasing frequency and intensity of extreme climate events. Since the 1970s, the number of climate-related disasters worldwide has increased by nearly fivefold, while global economic losses associated with these events have exceeded several hundred billion US dollars annually. Rising temperatures, prolonged droughts, declining agricultural productivity, and sea-level rise have progressively intensified migration pressures, particularly in vulnerable regions such as Sub-Saharan Africa, South Asia, and</w:t>
      </w:r>
      <w:r w:rsidR="005327DF" w:rsidRPr="005327DF">
        <w:rPr>
          <w:color w:val="0070C0"/>
        </w:rPr>
        <w:t xml:space="preserve"> small island developing states (IPCC, 2023; WB, 2023).</w:t>
      </w:r>
    </w:p>
    <w:p w14:paraId="6C0FAC2C" w14:textId="58F8ED23" w:rsidR="00737BD5" w:rsidRPr="005327DF" w:rsidRDefault="005327DF" w:rsidP="005327DF">
      <w:pPr>
        <w:pStyle w:val="NormalWeb"/>
        <w:spacing w:line="480" w:lineRule="auto"/>
        <w:jc w:val="both"/>
        <w:rPr>
          <w:color w:val="0070C0"/>
        </w:rPr>
      </w:pPr>
      <w:r w:rsidRPr="005327DF">
        <w:rPr>
          <w:color w:val="0070C0"/>
        </w:rPr>
        <w:t>Recent publications</w:t>
      </w:r>
      <w:r w:rsidR="00470E30" w:rsidRPr="005327DF">
        <w:rPr>
          <w:color w:val="0070C0"/>
        </w:rPr>
        <w:t xml:space="preserve"> indicate that climate-related migration is predominantly internal rather than international. Approximately 80–90% of climate migrants relocate within their own countries, often moving from rural areas toward urban </w:t>
      </w:r>
      <w:proofErr w:type="spellStart"/>
      <w:r w:rsidR="00470E30" w:rsidRPr="005327DF">
        <w:rPr>
          <w:color w:val="0070C0"/>
        </w:rPr>
        <w:t>centers</w:t>
      </w:r>
      <w:proofErr w:type="spellEnd"/>
      <w:r w:rsidR="00470E30" w:rsidRPr="005327DF">
        <w:rPr>
          <w:color w:val="0070C0"/>
        </w:rPr>
        <w:t xml:space="preserve">. In agricultural regions highly dependent on climate-sensitive livelihoods, a reduction of crop yields by 10–20% has been </w:t>
      </w:r>
      <w:r w:rsidR="00470E30" w:rsidRPr="005327DF">
        <w:rPr>
          <w:color w:val="0070C0"/>
        </w:rPr>
        <w:lastRenderedPageBreak/>
        <w:t xml:space="preserve">associated with measurable increases in seasonal and permanent migration flows. </w:t>
      </w:r>
      <w:r w:rsidRPr="005327DF">
        <w:rPr>
          <w:color w:val="0070C0"/>
        </w:rPr>
        <w:t>(IPCC, 2023; WB, 2023 and the references therein)</w:t>
      </w:r>
      <w:proofErr w:type="gramStart"/>
      <w:r w:rsidRPr="005327DF">
        <w:rPr>
          <w:color w:val="0070C0"/>
        </w:rPr>
        <w:t>.</w:t>
      </w:r>
      <w:r w:rsidR="00470E30" w:rsidRPr="005327DF">
        <w:rPr>
          <w:color w:val="0070C0"/>
        </w:rPr>
        <w:t>.</w:t>
      </w:r>
      <w:proofErr w:type="gramEnd"/>
    </w:p>
    <w:p w14:paraId="1EC1A201" w14:textId="77777777" w:rsidR="00D85644" w:rsidRPr="002F20F8" w:rsidRDefault="00D85644" w:rsidP="00F22D66">
      <w:pPr>
        <w:spacing w:before="100" w:beforeAutospacing="1" w:after="100" w:afterAutospacing="1" w:line="480" w:lineRule="auto"/>
        <w:jc w:val="both"/>
        <w:rPr>
          <w:rFonts w:ascii="Times New Roman" w:eastAsia="Times New Roman" w:hAnsi="Times New Roman" w:cs="Times New Roman"/>
          <w:sz w:val="24"/>
          <w:szCs w:val="24"/>
          <w:lang w:eastAsia="en-GB"/>
        </w:rPr>
      </w:pPr>
      <w:r w:rsidRPr="00D85644">
        <w:rPr>
          <w:rFonts w:ascii="Times New Roman" w:eastAsia="Times New Roman" w:hAnsi="Times New Roman" w:cs="Times New Roman"/>
          <w:sz w:val="24"/>
          <w:szCs w:val="24"/>
          <w:lang w:eastAsia="en-GB"/>
        </w:rPr>
        <w:t>Globally, natural disasters trigger more displacement each year than armed conflict, although such movements are usually temporary. By the end of 2022, there were 71.1 million internally displaced persons (IDPs)</w:t>
      </w:r>
      <w:r w:rsidR="004427D6">
        <w:rPr>
          <w:rFonts w:ascii="Times New Roman" w:eastAsia="Times New Roman" w:hAnsi="Times New Roman" w:cs="Times New Roman"/>
          <w:sz w:val="24"/>
          <w:szCs w:val="24"/>
          <w:lang w:eastAsia="en-GB"/>
        </w:rPr>
        <w:t xml:space="preserve"> worldwide, of whom around 12% </w:t>
      </w:r>
      <w:r w:rsidRPr="00D85644">
        <w:rPr>
          <w:rFonts w:ascii="Times New Roman" w:eastAsia="Times New Roman" w:hAnsi="Times New Roman" w:cs="Times New Roman"/>
          <w:sz w:val="24"/>
          <w:szCs w:val="24"/>
          <w:lang w:eastAsia="en-GB"/>
        </w:rPr>
        <w:t>had been displaced by disasters</w:t>
      </w:r>
      <w:r w:rsidR="002F20F8">
        <w:rPr>
          <w:rFonts w:ascii="Times New Roman" w:eastAsia="Times New Roman" w:hAnsi="Times New Roman" w:cs="Times New Roman"/>
          <w:b/>
          <w:sz w:val="24"/>
          <w:szCs w:val="24"/>
          <w:lang w:eastAsia="en-GB"/>
        </w:rPr>
        <w:t xml:space="preserve"> </w:t>
      </w:r>
      <w:r w:rsidR="002F20F8">
        <w:rPr>
          <w:rFonts w:ascii="Times New Roman" w:hAnsi="Times New Roman" w:cs="Times New Roman"/>
          <w:sz w:val="24"/>
          <w:szCs w:val="24"/>
        </w:rPr>
        <w:t>(Huang, 2</w:t>
      </w:r>
      <w:r w:rsidR="002F20F8" w:rsidRPr="002F20F8">
        <w:rPr>
          <w:rFonts w:ascii="Times New Roman" w:hAnsi="Times New Roman" w:cs="Times New Roman"/>
          <w:sz w:val="24"/>
          <w:szCs w:val="24"/>
        </w:rPr>
        <w:t>023)</w:t>
      </w:r>
      <w:r w:rsidR="002F20F8">
        <w:rPr>
          <w:rFonts w:ascii="Times New Roman" w:hAnsi="Times New Roman" w:cs="Times New Roman"/>
          <w:sz w:val="24"/>
          <w:szCs w:val="24"/>
        </w:rPr>
        <w:t>.</w:t>
      </w:r>
    </w:p>
    <w:p w14:paraId="0570C1EE" w14:textId="77777777" w:rsidR="00C363AE" w:rsidRPr="0005692B" w:rsidRDefault="00D85644" w:rsidP="00F22D66">
      <w:pPr>
        <w:spacing w:before="100" w:beforeAutospacing="1" w:after="100" w:afterAutospacing="1" w:line="480" w:lineRule="auto"/>
        <w:jc w:val="both"/>
        <w:rPr>
          <w:rFonts w:ascii="Times New Roman" w:eastAsia="Times New Roman" w:hAnsi="Times New Roman" w:cs="Times New Roman"/>
          <w:sz w:val="24"/>
          <w:szCs w:val="24"/>
          <w:lang w:eastAsia="en-GB"/>
        </w:rPr>
      </w:pPr>
      <w:r w:rsidRPr="00D85644">
        <w:rPr>
          <w:rFonts w:ascii="Times New Roman" w:eastAsia="Times New Roman" w:hAnsi="Times New Roman" w:cs="Times New Roman"/>
          <w:sz w:val="24"/>
          <w:szCs w:val="24"/>
          <w:lang w:eastAsia="en-GB"/>
        </w:rPr>
        <w:t>Unlike conflict-related displacement, which often prevents safe return, most people forced to move by natural hazards are able to go back once conditions stabilize. Between 2019 and 2022, more than 20 million new displacements linked to natural disasters were recorded annually. However, the majority were short-term, with fewer than 9 million people still living in internal displacement at the end of each year.</w:t>
      </w:r>
      <w:r w:rsidR="0005692B">
        <w:rPr>
          <w:rFonts w:ascii="Times New Roman" w:eastAsia="Times New Roman" w:hAnsi="Times New Roman" w:cs="Times New Roman"/>
          <w:sz w:val="24"/>
          <w:szCs w:val="24"/>
          <w:lang w:eastAsia="en-GB"/>
        </w:rPr>
        <w:t xml:space="preserve"> </w:t>
      </w:r>
      <w:r w:rsidRPr="00D85644">
        <w:rPr>
          <w:rFonts w:ascii="Times New Roman" w:hAnsi="Times New Roman" w:cs="Times New Roman"/>
          <w:sz w:val="24"/>
          <w:szCs w:val="24"/>
        </w:rPr>
        <w:t>The number o</w:t>
      </w:r>
      <w:r w:rsidR="004A70AC">
        <w:rPr>
          <w:rFonts w:ascii="Times New Roman" w:hAnsi="Times New Roman" w:cs="Times New Roman"/>
          <w:sz w:val="24"/>
          <w:szCs w:val="24"/>
        </w:rPr>
        <w:t xml:space="preserve">f IDPs </w:t>
      </w:r>
      <w:r w:rsidRPr="00D85644">
        <w:rPr>
          <w:rFonts w:ascii="Times New Roman" w:hAnsi="Times New Roman" w:cs="Times New Roman"/>
          <w:sz w:val="24"/>
          <w:szCs w:val="24"/>
        </w:rPr>
        <w:t>caused by disasters between 2014 and 2023 has changed fo</w:t>
      </w:r>
      <w:r w:rsidR="00CC6D56">
        <w:rPr>
          <w:rFonts w:ascii="Times New Roman" w:hAnsi="Times New Roman" w:cs="Times New Roman"/>
          <w:sz w:val="24"/>
          <w:szCs w:val="24"/>
        </w:rPr>
        <w:t>r a variety of reasons. Figure 4</w:t>
      </w:r>
      <w:r w:rsidRPr="00D85644">
        <w:rPr>
          <w:rFonts w:ascii="Times New Roman" w:hAnsi="Times New Roman" w:cs="Times New Roman"/>
          <w:sz w:val="24"/>
          <w:szCs w:val="24"/>
        </w:rPr>
        <w:t xml:space="preserve"> illustrates the IDPs resulting from both weather-related and geophysical hazards over this period, showing a clear upward trend linked to these events </w:t>
      </w:r>
      <w:r w:rsidRPr="004427D6">
        <w:rPr>
          <w:rFonts w:ascii="Times New Roman" w:hAnsi="Times New Roman" w:cs="Times New Roman"/>
          <w:sz w:val="24"/>
          <w:szCs w:val="24"/>
        </w:rPr>
        <w:t>(MDP 2024a, b).</w:t>
      </w:r>
    </w:p>
    <w:p w14:paraId="51CC7877" w14:textId="77777777" w:rsidR="00382A6B" w:rsidRPr="00D85644" w:rsidRDefault="00382A6B" w:rsidP="00382A6B">
      <w:pPr>
        <w:jc w:val="center"/>
        <w:rPr>
          <w:rFonts w:ascii="Times New Roman" w:hAnsi="Times New Roman" w:cs="Times New Roman"/>
          <w:sz w:val="24"/>
          <w:szCs w:val="24"/>
        </w:rPr>
      </w:pPr>
      <w:r w:rsidRPr="00D85644">
        <w:rPr>
          <w:rFonts w:ascii="Times New Roman" w:hAnsi="Times New Roman" w:cs="Times New Roman"/>
          <w:noProof/>
          <w:sz w:val="24"/>
          <w:szCs w:val="24"/>
          <w:lang w:eastAsia="en-GB"/>
        </w:rPr>
        <w:drawing>
          <wp:inline distT="0" distB="0" distL="0" distR="0" wp14:anchorId="4F2A76C1" wp14:editId="29E5636F">
            <wp:extent cx="3933825" cy="2371725"/>
            <wp:effectExtent l="0" t="0" r="9525" b="9525"/>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C363F21" w14:textId="22D837B9" w:rsidR="00DA627C" w:rsidRPr="00B233F3" w:rsidRDefault="00CC6D56" w:rsidP="00B233F3">
      <w:pPr>
        <w:spacing w:line="480" w:lineRule="auto"/>
        <w:jc w:val="center"/>
        <w:rPr>
          <w:rFonts w:ascii="Times New Roman" w:hAnsi="Times New Roman" w:cs="Times New Roman"/>
          <w:color w:val="0070C0"/>
          <w:sz w:val="24"/>
          <w:szCs w:val="24"/>
        </w:rPr>
      </w:pPr>
      <w:r w:rsidRPr="00B233F3">
        <w:rPr>
          <w:rFonts w:ascii="Times New Roman" w:hAnsi="Times New Roman" w:cs="Times New Roman"/>
          <w:color w:val="0070C0"/>
          <w:sz w:val="24"/>
          <w:szCs w:val="24"/>
        </w:rPr>
        <w:t>Fig</w:t>
      </w:r>
      <w:r w:rsidR="00DD45CF" w:rsidRPr="00B233F3">
        <w:rPr>
          <w:rFonts w:ascii="Times New Roman" w:hAnsi="Times New Roman" w:cs="Times New Roman"/>
          <w:color w:val="0070C0"/>
          <w:sz w:val="24"/>
          <w:szCs w:val="24"/>
        </w:rPr>
        <w:t>ure</w:t>
      </w:r>
      <w:r w:rsidRPr="00B233F3">
        <w:rPr>
          <w:rFonts w:ascii="Times New Roman" w:hAnsi="Times New Roman" w:cs="Times New Roman"/>
          <w:color w:val="0070C0"/>
          <w:sz w:val="24"/>
          <w:szCs w:val="24"/>
        </w:rPr>
        <w:t xml:space="preserve"> 4</w:t>
      </w:r>
      <w:r w:rsidR="00DA627C" w:rsidRPr="00B233F3">
        <w:rPr>
          <w:rFonts w:ascii="Times New Roman" w:hAnsi="Times New Roman" w:cs="Times New Roman"/>
          <w:b/>
          <w:color w:val="0070C0"/>
          <w:sz w:val="24"/>
          <w:szCs w:val="24"/>
        </w:rPr>
        <w:t xml:space="preserve">. </w:t>
      </w:r>
      <w:r w:rsidR="00DA627C" w:rsidRPr="00B233F3">
        <w:rPr>
          <w:rFonts w:ascii="Times New Roman" w:hAnsi="Times New Roman" w:cs="Times New Roman"/>
          <w:color w:val="0070C0"/>
          <w:sz w:val="24"/>
          <w:szCs w:val="24"/>
        </w:rPr>
        <w:t>IDPs in millions due to</w:t>
      </w:r>
      <w:r w:rsidR="004427D6" w:rsidRPr="00B233F3">
        <w:rPr>
          <w:rFonts w:ascii="Times New Roman" w:hAnsi="Times New Roman" w:cs="Times New Roman"/>
          <w:color w:val="0070C0"/>
          <w:sz w:val="24"/>
          <w:szCs w:val="24"/>
        </w:rPr>
        <w:t xml:space="preserve"> climate hazards during </w:t>
      </w:r>
      <w:r w:rsidR="00DA627C" w:rsidRPr="00B233F3">
        <w:rPr>
          <w:rFonts w:ascii="Times New Roman" w:hAnsi="Times New Roman" w:cs="Times New Roman"/>
          <w:color w:val="0070C0"/>
          <w:sz w:val="24"/>
          <w:szCs w:val="24"/>
        </w:rPr>
        <w:t xml:space="preserve">2014-2023. Source </w:t>
      </w:r>
      <w:r w:rsidR="00842534" w:rsidRPr="00B233F3">
        <w:rPr>
          <w:rFonts w:ascii="Times New Roman" w:hAnsi="Times New Roman" w:cs="Times New Roman"/>
          <w:color w:val="0070C0"/>
          <w:sz w:val="24"/>
          <w:szCs w:val="24"/>
        </w:rPr>
        <w:t>C</w:t>
      </w:r>
    </w:p>
    <w:p w14:paraId="59169992" w14:textId="21D99F09" w:rsidR="00B233F3" w:rsidRPr="00B233F3" w:rsidRDefault="00B233F3" w:rsidP="00B233F3">
      <w:pPr>
        <w:spacing w:line="480" w:lineRule="auto"/>
        <w:jc w:val="both"/>
        <w:rPr>
          <w:rFonts w:ascii="Times New Roman" w:hAnsi="Times New Roman" w:cs="Times New Roman"/>
          <w:color w:val="0070C0"/>
          <w:sz w:val="24"/>
          <w:szCs w:val="24"/>
        </w:rPr>
      </w:pPr>
      <w:r w:rsidRPr="00B233F3">
        <w:rPr>
          <w:rFonts w:ascii="Times New Roman" w:hAnsi="Times New Roman" w:cs="Times New Roman"/>
          <w:color w:val="0070C0"/>
          <w:sz w:val="24"/>
          <w:szCs w:val="24"/>
        </w:rPr>
        <w:lastRenderedPageBreak/>
        <w:t xml:space="preserve">The displacements for the same period, given by continents and represented in </w:t>
      </w:r>
      <w:r>
        <w:rPr>
          <w:rFonts w:ascii="Times New Roman" w:hAnsi="Times New Roman" w:cs="Times New Roman"/>
          <w:color w:val="0070C0"/>
          <w:sz w:val="24"/>
          <w:szCs w:val="24"/>
        </w:rPr>
        <w:t>Figure 5</w:t>
      </w:r>
      <w:r w:rsidRPr="00B233F3">
        <w:rPr>
          <w:rFonts w:ascii="Times New Roman" w:hAnsi="Times New Roman" w:cs="Times New Roman"/>
          <w:color w:val="0070C0"/>
          <w:sz w:val="24"/>
          <w:szCs w:val="24"/>
        </w:rPr>
        <w:t>, show that Asia experiences the highest number of displacements followed by Africa and the Americas (MDP 2024a, b).</w:t>
      </w:r>
    </w:p>
    <w:p w14:paraId="68462EF5" w14:textId="77777777" w:rsidR="00B233F3" w:rsidRPr="00B233F3" w:rsidRDefault="00B233F3" w:rsidP="00B233F3">
      <w:pPr>
        <w:spacing w:line="480" w:lineRule="auto"/>
        <w:jc w:val="both"/>
        <w:rPr>
          <w:rFonts w:ascii="Times New Roman" w:hAnsi="Times New Roman" w:cs="Times New Roman"/>
          <w:color w:val="0070C0"/>
          <w:sz w:val="24"/>
          <w:szCs w:val="24"/>
        </w:rPr>
      </w:pPr>
      <w:r w:rsidRPr="00B233F3">
        <w:rPr>
          <w:rFonts w:ascii="Times New Roman" w:hAnsi="Times New Roman" w:cs="Times New Roman"/>
          <w:color w:val="0070C0"/>
          <w:sz w:val="24"/>
          <w:szCs w:val="24"/>
        </w:rPr>
        <w:t xml:space="preserve">It must be noticed that the average annual weather-related displacements in millions for the period 2012-2021 indicate that East Asia and Pacific and Southern Asia lead in numbers </w:t>
      </w:r>
      <w:r w:rsidRPr="00B233F3">
        <w:rPr>
          <w:rFonts w:ascii="Times New Roman" w:hAnsi="Times New Roman" w:cs="Times New Roman"/>
          <w:b/>
          <w:color w:val="0070C0"/>
          <w:sz w:val="24"/>
          <w:szCs w:val="24"/>
        </w:rPr>
        <w:t>(</w:t>
      </w:r>
      <w:r w:rsidRPr="00B233F3">
        <w:rPr>
          <w:rFonts w:ascii="Times New Roman" w:hAnsi="Times New Roman" w:cs="Times New Roman"/>
          <w:color w:val="0070C0"/>
          <w:sz w:val="24"/>
          <w:szCs w:val="24"/>
        </w:rPr>
        <w:t>Beyer and Milan 2022, IOM 2022).</w:t>
      </w:r>
    </w:p>
    <w:p w14:paraId="67846629" w14:textId="77777777" w:rsidR="00B233F3" w:rsidRDefault="00B233F3" w:rsidP="00B233F3">
      <w:pPr>
        <w:jc w:val="center"/>
        <w:rPr>
          <w:rFonts w:ascii="Times New Roman" w:hAnsi="Times New Roman" w:cs="Times New Roman"/>
          <w:color w:val="0070C0"/>
          <w:sz w:val="24"/>
          <w:szCs w:val="24"/>
        </w:rPr>
      </w:pPr>
      <w:r>
        <w:rPr>
          <w:noProof/>
          <w:lang w:eastAsia="en-GB"/>
        </w:rPr>
        <w:drawing>
          <wp:inline distT="0" distB="0" distL="0" distR="0" wp14:anchorId="19BE5294" wp14:editId="4D1C5A3B">
            <wp:extent cx="3629025" cy="2066925"/>
            <wp:effectExtent l="0" t="0" r="9525" b="9525"/>
            <wp:docPr id="12"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01963CE" w14:textId="238D0DF4" w:rsidR="00B233F3" w:rsidRPr="00B233F3" w:rsidRDefault="00B233F3" w:rsidP="00B233F3">
      <w:pPr>
        <w:ind w:left="720" w:hanging="720"/>
        <w:jc w:val="center"/>
        <w:rPr>
          <w:rFonts w:ascii="Times New Roman" w:hAnsi="Times New Roman" w:cs="Times New Roman"/>
          <w:color w:val="0070C0"/>
          <w:sz w:val="24"/>
          <w:szCs w:val="24"/>
        </w:rPr>
      </w:pPr>
      <w:r w:rsidRPr="00B233F3">
        <w:rPr>
          <w:rFonts w:ascii="Times New Roman" w:hAnsi="Times New Roman" w:cs="Times New Roman"/>
          <w:color w:val="0070C0"/>
          <w:sz w:val="24"/>
          <w:szCs w:val="24"/>
        </w:rPr>
        <w:t>Figure 5.</w:t>
      </w:r>
      <w:r w:rsidRPr="00B233F3">
        <w:rPr>
          <w:rFonts w:ascii="Times New Roman" w:hAnsi="Times New Roman" w:cs="Times New Roman"/>
          <w:b/>
          <w:color w:val="0070C0"/>
          <w:sz w:val="24"/>
          <w:szCs w:val="24"/>
        </w:rPr>
        <w:t xml:space="preserve"> </w:t>
      </w:r>
      <w:r w:rsidRPr="00B233F3">
        <w:rPr>
          <w:rFonts w:ascii="Times New Roman" w:hAnsi="Times New Roman" w:cs="Times New Roman"/>
          <w:color w:val="0070C0"/>
          <w:sz w:val="24"/>
          <w:szCs w:val="24"/>
        </w:rPr>
        <w:t xml:space="preserve"> IDPs due to disasters by continent during the period 2014-2023.Source (MDP 2024a, b).</w:t>
      </w:r>
    </w:p>
    <w:p w14:paraId="38209CEC" w14:textId="2BC444B8" w:rsidR="007306C3" w:rsidRPr="008B0063" w:rsidRDefault="00B233F3" w:rsidP="00F22D66">
      <w:pPr>
        <w:spacing w:before="100" w:beforeAutospacing="1" w:after="100" w:afterAutospacing="1" w:line="48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Figure 6</w:t>
      </w:r>
      <w:r w:rsidR="004427D6">
        <w:rPr>
          <w:rFonts w:ascii="Times New Roman" w:eastAsia="Times New Roman" w:hAnsi="Times New Roman" w:cs="Times New Roman"/>
          <w:sz w:val="24"/>
          <w:szCs w:val="24"/>
          <w:lang w:eastAsia="en-GB"/>
        </w:rPr>
        <w:t xml:space="preserve"> </w:t>
      </w:r>
      <w:r w:rsidR="004427D6" w:rsidRPr="004427D6">
        <w:rPr>
          <w:rFonts w:ascii="Times New Roman" w:eastAsia="Times New Roman" w:hAnsi="Times New Roman" w:cs="Times New Roman"/>
          <w:sz w:val="24"/>
          <w:szCs w:val="24"/>
          <w:lang w:eastAsia="en-GB"/>
        </w:rPr>
        <w:t>re</w:t>
      </w:r>
      <w:r w:rsidR="00D85644" w:rsidRPr="00D85644">
        <w:rPr>
          <w:rFonts w:ascii="Times New Roman" w:eastAsia="Times New Roman" w:hAnsi="Times New Roman" w:cs="Times New Roman"/>
          <w:sz w:val="24"/>
          <w:szCs w:val="24"/>
          <w:lang w:eastAsia="en-GB"/>
        </w:rPr>
        <w:t>presents IDPs caused by different hazards, highlighting a clear upward trend in flood-related displacements, while storm-related displacements peaked in 2020</w:t>
      </w:r>
      <w:r w:rsidR="004427D6">
        <w:rPr>
          <w:rFonts w:ascii="Times New Roman" w:eastAsia="Times New Roman" w:hAnsi="Times New Roman" w:cs="Times New Roman"/>
          <w:sz w:val="24"/>
          <w:szCs w:val="24"/>
          <w:lang w:eastAsia="en-GB"/>
        </w:rPr>
        <w:t>.</w:t>
      </w:r>
    </w:p>
    <w:p w14:paraId="5630CB98" w14:textId="77777777" w:rsidR="004427D6" w:rsidRDefault="004427D6" w:rsidP="004427D6">
      <w:pPr>
        <w:spacing w:before="100" w:beforeAutospacing="1" w:after="100" w:afterAutospacing="1" w:line="240" w:lineRule="auto"/>
        <w:jc w:val="center"/>
        <w:rPr>
          <w:rFonts w:ascii="Times New Roman" w:hAnsi="Times New Roman"/>
          <w:sz w:val="24"/>
          <w:szCs w:val="24"/>
        </w:rPr>
      </w:pPr>
      <w:r w:rsidRPr="00C40982">
        <w:rPr>
          <w:noProof/>
          <w:color w:val="FF0000"/>
          <w:lang w:eastAsia="en-GB"/>
        </w:rPr>
        <w:drawing>
          <wp:inline distT="0" distB="0" distL="0" distR="0" wp14:anchorId="39864880" wp14:editId="13475C7B">
            <wp:extent cx="4362450" cy="2524125"/>
            <wp:effectExtent l="0" t="0" r="0" b="9525"/>
            <wp:docPr id="19" name="Gráfico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67DF317" w14:textId="26A51D79" w:rsidR="00144913" w:rsidRPr="00144913" w:rsidRDefault="00B233F3" w:rsidP="00144913">
      <w:pPr>
        <w:spacing w:before="100" w:beforeAutospacing="1" w:after="100" w:afterAutospacing="1" w:line="240" w:lineRule="auto"/>
        <w:jc w:val="center"/>
        <w:rPr>
          <w:rFonts w:ascii="Times New Roman" w:eastAsia="Times New Roman" w:hAnsi="Times New Roman" w:cs="Times New Roman"/>
          <w:sz w:val="24"/>
          <w:szCs w:val="24"/>
          <w:lang w:eastAsia="en-GB"/>
        </w:rPr>
      </w:pPr>
      <w:r>
        <w:rPr>
          <w:rFonts w:ascii="Times New Roman" w:hAnsi="Times New Roman"/>
          <w:sz w:val="24"/>
          <w:szCs w:val="24"/>
        </w:rPr>
        <w:t>Figure 6</w:t>
      </w:r>
      <w:r w:rsidR="007306C3" w:rsidRPr="00CC6D56">
        <w:rPr>
          <w:rFonts w:ascii="Times New Roman" w:hAnsi="Times New Roman"/>
          <w:sz w:val="24"/>
          <w:szCs w:val="24"/>
        </w:rPr>
        <w:t>.</w:t>
      </w:r>
      <w:r w:rsidR="007306C3" w:rsidRPr="00CC6D56">
        <w:rPr>
          <w:rFonts w:ascii="Times New Roman" w:hAnsi="Times New Roman"/>
          <w:b/>
          <w:sz w:val="24"/>
          <w:szCs w:val="24"/>
        </w:rPr>
        <w:t xml:space="preserve"> </w:t>
      </w:r>
      <w:r w:rsidR="007306C3" w:rsidRPr="00CC6D56">
        <w:rPr>
          <w:rFonts w:ascii="Times New Roman" w:hAnsi="Times New Roman"/>
          <w:sz w:val="24"/>
          <w:szCs w:val="24"/>
        </w:rPr>
        <w:t>IDPs due to disasters by hazard during 2014-2023.</w:t>
      </w:r>
      <w:r w:rsidR="004427D6">
        <w:rPr>
          <w:rFonts w:ascii="Times New Roman" w:hAnsi="Times New Roman"/>
          <w:sz w:val="24"/>
          <w:szCs w:val="24"/>
        </w:rPr>
        <w:t xml:space="preserve"> </w:t>
      </w:r>
      <w:r w:rsidR="007306C3" w:rsidRPr="004427D6">
        <w:rPr>
          <w:rFonts w:ascii="Times New Roman" w:hAnsi="Times New Roman"/>
          <w:sz w:val="24"/>
          <w:szCs w:val="24"/>
        </w:rPr>
        <w:t>Source</w:t>
      </w:r>
      <w:r w:rsidR="007306C3" w:rsidRPr="00CC6D56">
        <w:rPr>
          <w:rFonts w:ascii="Times New Roman" w:hAnsi="Times New Roman"/>
          <w:color w:val="FF0000"/>
          <w:sz w:val="24"/>
          <w:szCs w:val="24"/>
        </w:rPr>
        <w:t xml:space="preserve"> </w:t>
      </w:r>
      <w:r w:rsidR="004427D6" w:rsidRPr="004427D6">
        <w:rPr>
          <w:rFonts w:ascii="Times New Roman" w:hAnsi="Times New Roman" w:cs="Times New Roman"/>
          <w:sz w:val="24"/>
          <w:szCs w:val="24"/>
        </w:rPr>
        <w:t>(MDP 2024a, b).</w:t>
      </w:r>
    </w:p>
    <w:p w14:paraId="6BE36547" w14:textId="6B74290D" w:rsidR="00D85644" w:rsidRPr="004427D6" w:rsidRDefault="004A70AC" w:rsidP="00F22D66">
      <w:pPr>
        <w:pStyle w:val="source-box-sources"/>
        <w:spacing w:line="480" w:lineRule="auto"/>
        <w:jc w:val="both"/>
        <w:rPr>
          <w:color w:val="FF0000"/>
        </w:rPr>
      </w:pPr>
      <w:r>
        <w:lastRenderedPageBreak/>
        <w:t xml:space="preserve">According to a </w:t>
      </w:r>
      <w:r w:rsidR="00D85644" w:rsidRPr="00CC6D56">
        <w:t>World Bank projection</w:t>
      </w:r>
      <w:r>
        <w:t xml:space="preserve"> (WB, 2023)</w:t>
      </w:r>
      <w:r w:rsidR="00D85644" w:rsidRPr="00CC6D56">
        <w:t>, under a worst-case scenario</w:t>
      </w:r>
      <w:r w:rsidR="00D85644" w:rsidRPr="00D85644">
        <w:t>, up to 216 million people could be forced to move within their own countries by 2050 due to water scarcity and threats to agriculture. However, if governments successfully slow climate change and implement adaptive measures, this figure could fall by as muc</w:t>
      </w:r>
      <w:r w:rsidR="0005692B">
        <w:t xml:space="preserve">h as 80%, to around 44 million </w:t>
      </w:r>
      <w:r w:rsidR="0005692B" w:rsidRPr="00CC6D56">
        <w:t>(</w:t>
      </w:r>
      <w:r w:rsidR="00B233F3">
        <w:t>Figure 7</w:t>
      </w:r>
      <w:r w:rsidR="00D85644" w:rsidRPr="00CC6D56">
        <w:t>).</w:t>
      </w:r>
      <w:r w:rsidR="0005692B" w:rsidRPr="00CC6D56">
        <w:t xml:space="preserve"> </w:t>
      </w:r>
    </w:p>
    <w:p w14:paraId="0DB14497" w14:textId="77777777" w:rsidR="001573F6" w:rsidRDefault="001843B2" w:rsidP="00160D6B">
      <w:pPr>
        <w:jc w:val="center"/>
      </w:pPr>
      <w:r>
        <w:rPr>
          <w:noProof/>
          <w:lang w:eastAsia="en-GB"/>
        </w:rPr>
        <w:drawing>
          <wp:inline distT="0" distB="0" distL="0" distR="0" wp14:anchorId="3CA5C9BA" wp14:editId="56ECE487">
            <wp:extent cx="4514850" cy="2228850"/>
            <wp:effectExtent l="0" t="0" r="0" b="0"/>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FCF7E75" w14:textId="27DA2179" w:rsidR="00144913" w:rsidRPr="008B0063" w:rsidRDefault="00CC6D56" w:rsidP="006A6D95">
      <w:pPr>
        <w:jc w:val="center"/>
        <w:rPr>
          <w:rFonts w:ascii="Times New Roman" w:hAnsi="Times New Roman" w:cs="Times New Roman"/>
          <w:sz w:val="24"/>
          <w:szCs w:val="24"/>
        </w:rPr>
      </w:pPr>
      <w:r w:rsidRPr="008B0063">
        <w:rPr>
          <w:rFonts w:ascii="Times New Roman" w:hAnsi="Times New Roman" w:cs="Times New Roman"/>
          <w:sz w:val="24"/>
          <w:szCs w:val="24"/>
        </w:rPr>
        <w:t>Fig</w:t>
      </w:r>
      <w:r w:rsidR="00DD45CF" w:rsidRPr="008B0063">
        <w:rPr>
          <w:rFonts w:ascii="Times New Roman" w:hAnsi="Times New Roman" w:cs="Times New Roman"/>
          <w:sz w:val="24"/>
          <w:szCs w:val="24"/>
        </w:rPr>
        <w:t>ure</w:t>
      </w:r>
      <w:r w:rsidR="00B233F3">
        <w:rPr>
          <w:rFonts w:ascii="Times New Roman" w:hAnsi="Times New Roman" w:cs="Times New Roman"/>
          <w:sz w:val="24"/>
          <w:szCs w:val="24"/>
        </w:rPr>
        <w:t xml:space="preserve"> 7.</w:t>
      </w:r>
      <w:r w:rsidR="004427D6" w:rsidRPr="008B0063">
        <w:rPr>
          <w:rFonts w:ascii="Times New Roman" w:hAnsi="Times New Roman" w:cs="Times New Roman"/>
          <w:sz w:val="24"/>
          <w:szCs w:val="24"/>
        </w:rPr>
        <w:t xml:space="preserve"> </w:t>
      </w:r>
      <w:r w:rsidR="002B09E9" w:rsidRPr="008B0063">
        <w:rPr>
          <w:rFonts w:ascii="Times New Roman" w:hAnsi="Times New Roman" w:cs="Times New Roman"/>
          <w:sz w:val="24"/>
          <w:szCs w:val="24"/>
        </w:rPr>
        <w:t>Average number of internal climate migrants predicted under different scenarios.</w:t>
      </w:r>
      <w:r w:rsidR="002B09E9" w:rsidRPr="008B0063">
        <w:rPr>
          <w:rFonts w:ascii="Times New Roman" w:hAnsi="Times New Roman" w:cs="Times New Roman"/>
          <w:sz w:val="24"/>
          <w:szCs w:val="24"/>
        </w:rPr>
        <w:br/>
      </w:r>
      <w:r w:rsidR="004427D6" w:rsidRPr="008B0063">
        <w:rPr>
          <w:rFonts w:ascii="Times New Roman" w:hAnsi="Times New Roman" w:cs="Times New Roman"/>
          <w:sz w:val="24"/>
          <w:szCs w:val="24"/>
        </w:rPr>
        <w:t>Source</w:t>
      </w:r>
      <w:r w:rsidR="002F20F8" w:rsidRPr="008B0063">
        <w:rPr>
          <w:rFonts w:ascii="Times New Roman" w:hAnsi="Times New Roman" w:cs="Times New Roman"/>
          <w:sz w:val="24"/>
          <w:szCs w:val="24"/>
        </w:rPr>
        <w:t>:</w:t>
      </w:r>
      <w:r w:rsidR="004427D6" w:rsidRPr="008B0063">
        <w:rPr>
          <w:rFonts w:ascii="Times New Roman" w:hAnsi="Times New Roman" w:cs="Times New Roman"/>
          <w:sz w:val="24"/>
          <w:szCs w:val="24"/>
        </w:rPr>
        <w:t xml:space="preserve"> Clement V. at al. </w:t>
      </w:r>
      <w:r w:rsidR="002B09E9" w:rsidRPr="008B0063">
        <w:rPr>
          <w:rFonts w:ascii="Times New Roman" w:hAnsi="Times New Roman" w:cs="Times New Roman"/>
          <w:sz w:val="24"/>
          <w:szCs w:val="24"/>
        </w:rPr>
        <w:t>(</w:t>
      </w:r>
      <w:r w:rsidR="004427D6" w:rsidRPr="008B0063">
        <w:rPr>
          <w:rFonts w:ascii="Times New Roman" w:hAnsi="Times New Roman" w:cs="Times New Roman"/>
          <w:sz w:val="24"/>
          <w:szCs w:val="24"/>
        </w:rPr>
        <w:t>2021</w:t>
      </w:r>
      <w:r w:rsidR="002B09E9" w:rsidRPr="008B0063">
        <w:rPr>
          <w:rFonts w:ascii="Times New Roman" w:hAnsi="Times New Roman" w:cs="Times New Roman"/>
          <w:sz w:val="24"/>
          <w:szCs w:val="24"/>
        </w:rPr>
        <w:t>)</w:t>
      </w:r>
      <w:r w:rsidR="004427D6" w:rsidRPr="008B0063">
        <w:rPr>
          <w:rFonts w:ascii="Times New Roman" w:hAnsi="Times New Roman" w:cs="Times New Roman"/>
          <w:sz w:val="24"/>
          <w:szCs w:val="24"/>
        </w:rPr>
        <w:t>.</w:t>
      </w:r>
    </w:p>
    <w:p w14:paraId="10D4F609" w14:textId="77777777" w:rsidR="00011B53" w:rsidRPr="00011B53" w:rsidRDefault="00011B53" w:rsidP="000E19B2">
      <w:pPr>
        <w:rPr>
          <w:rStyle w:val="Hipervnculo"/>
          <w:rFonts w:ascii="Times New Roman" w:hAnsi="Times New Roman" w:cs="Times New Roman"/>
          <w:b/>
          <w:color w:val="auto"/>
          <w:sz w:val="24"/>
          <w:szCs w:val="24"/>
          <w:u w:val="none"/>
        </w:rPr>
      </w:pPr>
      <w:r>
        <w:rPr>
          <w:rStyle w:val="Hipervnculo"/>
          <w:rFonts w:ascii="Times New Roman" w:hAnsi="Times New Roman" w:cs="Times New Roman"/>
          <w:b/>
          <w:color w:val="auto"/>
          <w:sz w:val="24"/>
          <w:szCs w:val="24"/>
          <w:u w:val="none"/>
        </w:rPr>
        <w:t xml:space="preserve">       </w:t>
      </w:r>
      <w:r w:rsidR="0005692B">
        <w:rPr>
          <w:rStyle w:val="Hipervnculo"/>
          <w:rFonts w:ascii="Times New Roman" w:hAnsi="Times New Roman" w:cs="Times New Roman"/>
          <w:b/>
          <w:color w:val="auto"/>
          <w:sz w:val="24"/>
          <w:szCs w:val="24"/>
          <w:u w:val="none"/>
        </w:rPr>
        <w:t>3.3. Geographic distribution of the</w:t>
      </w:r>
      <w:r w:rsidRPr="00011B53">
        <w:rPr>
          <w:rStyle w:val="Hipervnculo"/>
          <w:rFonts w:ascii="Times New Roman" w:hAnsi="Times New Roman" w:cs="Times New Roman"/>
          <w:b/>
          <w:color w:val="auto"/>
          <w:sz w:val="24"/>
          <w:szCs w:val="24"/>
          <w:u w:val="none"/>
        </w:rPr>
        <w:t xml:space="preserve"> Natural Disasters</w:t>
      </w:r>
    </w:p>
    <w:p w14:paraId="03150E13" w14:textId="064BDFEC" w:rsidR="004A70AC" w:rsidRPr="00C363AE" w:rsidRDefault="004A70AC" w:rsidP="006A6D95">
      <w:pPr>
        <w:pStyle w:val="MDPI22heading2"/>
        <w:spacing w:before="240" w:line="480" w:lineRule="auto"/>
        <w:ind w:left="0"/>
        <w:jc w:val="both"/>
        <w:rPr>
          <w:rFonts w:ascii="Times New Roman" w:hAnsi="Times New Roman"/>
          <w:i w:val="0"/>
          <w:color w:val="auto"/>
          <w:sz w:val="24"/>
          <w:szCs w:val="24"/>
        </w:rPr>
      </w:pPr>
      <w:r>
        <w:rPr>
          <w:rFonts w:ascii="Times New Roman" w:hAnsi="Times New Roman"/>
          <w:i w:val="0"/>
          <w:color w:val="auto"/>
          <w:sz w:val="24"/>
          <w:szCs w:val="24"/>
          <w:lang w:val="en-GB"/>
        </w:rPr>
        <w:t>During the</w:t>
      </w:r>
      <w:r w:rsidR="00C40982" w:rsidRPr="00C363AE">
        <w:rPr>
          <w:rFonts w:ascii="Times New Roman" w:hAnsi="Times New Roman"/>
          <w:i w:val="0"/>
          <w:color w:val="auto"/>
          <w:sz w:val="24"/>
          <w:szCs w:val="24"/>
        </w:rPr>
        <w:t xml:space="preserve"> interval </w:t>
      </w:r>
      <w:r>
        <w:rPr>
          <w:rFonts w:ascii="Times New Roman" w:hAnsi="Times New Roman"/>
          <w:i w:val="0"/>
          <w:color w:val="auto"/>
          <w:sz w:val="24"/>
          <w:szCs w:val="24"/>
        </w:rPr>
        <w:t xml:space="preserve"> between years 2008 and 2024, </w:t>
      </w:r>
      <w:r w:rsidRPr="00C363AE">
        <w:rPr>
          <w:rFonts w:ascii="Times New Roman" w:hAnsi="Times New Roman"/>
          <w:i w:val="0"/>
          <w:color w:val="auto"/>
          <w:sz w:val="24"/>
          <w:szCs w:val="24"/>
        </w:rPr>
        <w:t xml:space="preserve">22.1k disaster events </w:t>
      </w:r>
      <w:r>
        <w:rPr>
          <w:rFonts w:ascii="Times New Roman" w:hAnsi="Times New Roman"/>
          <w:i w:val="0"/>
          <w:color w:val="auto"/>
          <w:sz w:val="24"/>
          <w:szCs w:val="24"/>
        </w:rPr>
        <w:t xml:space="preserve">have been </w:t>
      </w:r>
      <w:r w:rsidRPr="00C363AE">
        <w:rPr>
          <w:rFonts w:ascii="Times New Roman" w:hAnsi="Times New Roman"/>
          <w:i w:val="0"/>
          <w:color w:val="auto"/>
          <w:sz w:val="24"/>
          <w:szCs w:val="24"/>
        </w:rPr>
        <w:t>reported</w:t>
      </w:r>
      <w:r>
        <w:rPr>
          <w:rFonts w:ascii="Times New Roman" w:hAnsi="Times New Roman"/>
          <w:i w:val="0"/>
          <w:color w:val="auto"/>
          <w:sz w:val="24"/>
          <w:szCs w:val="24"/>
        </w:rPr>
        <w:t xml:space="preserve"> with</w:t>
      </w:r>
      <w:r w:rsidR="007860FB" w:rsidRPr="00C363AE">
        <w:rPr>
          <w:rFonts w:ascii="Times New Roman" w:hAnsi="Times New Roman"/>
          <w:i w:val="0"/>
          <w:color w:val="auto"/>
          <w:sz w:val="24"/>
          <w:szCs w:val="24"/>
        </w:rPr>
        <w:t xml:space="preserve"> 448.6m displaments produces mainly by flood (213.7m), storm (177.2m), earthqueake (41.4m), d</w:t>
      </w:r>
      <w:r w:rsidR="00CC6D56">
        <w:rPr>
          <w:rFonts w:ascii="Times New Roman" w:hAnsi="Times New Roman"/>
          <w:i w:val="0"/>
          <w:color w:val="auto"/>
          <w:sz w:val="24"/>
          <w:szCs w:val="24"/>
        </w:rPr>
        <w:t>rought</w:t>
      </w:r>
      <w:r w:rsidR="00DD45CF">
        <w:rPr>
          <w:rFonts w:ascii="Times New Roman" w:hAnsi="Times New Roman"/>
          <w:i w:val="0"/>
          <w:color w:val="auto"/>
          <w:sz w:val="24"/>
          <w:szCs w:val="24"/>
        </w:rPr>
        <w:t xml:space="preserve"> (5.8m) and wildfire (5m) (Figure </w:t>
      </w:r>
      <w:r w:rsidR="00B233F3">
        <w:rPr>
          <w:rFonts w:ascii="Times New Roman" w:hAnsi="Times New Roman"/>
          <w:i w:val="0"/>
          <w:color w:val="auto"/>
          <w:sz w:val="24"/>
          <w:szCs w:val="24"/>
        </w:rPr>
        <w:t>8</w:t>
      </w:r>
      <w:r w:rsidR="00CC6D56">
        <w:rPr>
          <w:rFonts w:ascii="Times New Roman" w:hAnsi="Times New Roman"/>
          <w:i w:val="0"/>
          <w:color w:val="auto"/>
          <w:sz w:val="24"/>
          <w:szCs w:val="24"/>
        </w:rPr>
        <w:t>)</w:t>
      </w:r>
      <w:r w:rsidR="002B09E9">
        <w:rPr>
          <w:rFonts w:ascii="Times New Roman" w:hAnsi="Times New Roman"/>
          <w:i w:val="0"/>
          <w:color w:val="auto"/>
          <w:sz w:val="24"/>
          <w:szCs w:val="24"/>
        </w:rPr>
        <w:t xml:space="preserve"> </w:t>
      </w:r>
      <w:r w:rsidR="002F20F8">
        <w:rPr>
          <w:rFonts w:ascii="Times New Roman" w:hAnsi="Times New Roman"/>
          <w:i w:val="0"/>
          <w:color w:val="auto"/>
          <w:sz w:val="24"/>
          <w:szCs w:val="24"/>
        </w:rPr>
        <w:t xml:space="preserve">(IDMC, </w:t>
      </w:r>
      <w:r w:rsidR="002F20F8" w:rsidRPr="002F20F8">
        <w:rPr>
          <w:rFonts w:ascii="Times New Roman" w:hAnsi="Times New Roman"/>
          <w:i w:val="0"/>
          <w:color w:val="auto"/>
          <w:sz w:val="24"/>
          <w:szCs w:val="24"/>
        </w:rPr>
        <w:t>2024</w:t>
      </w:r>
      <w:r w:rsidR="002F20F8">
        <w:rPr>
          <w:rFonts w:ascii="Times New Roman" w:hAnsi="Times New Roman"/>
          <w:i w:val="0"/>
          <w:color w:val="auto"/>
          <w:sz w:val="24"/>
          <w:szCs w:val="24"/>
        </w:rPr>
        <w:t xml:space="preserve">; IDMC, </w:t>
      </w:r>
      <w:r w:rsidR="002F20F8" w:rsidRPr="002F20F8">
        <w:rPr>
          <w:rFonts w:ascii="Times New Roman" w:hAnsi="Times New Roman"/>
          <w:i w:val="0"/>
          <w:color w:val="auto"/>
          <w:sz w:val="24"/>
          <w:szCs w:val="24"/>
        </w:rPr>
        <w:t>2025)</w:t>
      </w:r>
      <w:r w:rsidR="002F20F8">
        <w:rPr>
          <w:rFonts w:ascii="Times New Roman" w:hAnsi="Times New Roman"/>
          <w:i w:val="0"/>
          <w:color w:val="auto"/>
          <w:sz w:val="24"/>
          <w:szCs w:val="24"/>
        </w:rPr>
        <w:t>.</w:t>
      </w:r>
    </w:p>
    <w:p w14:paraId="59C9AC91" w14:textId="77777777" w:rsidR="00C40982" w:rsidRDefault="00C40982" w:rsidP="0005692B">
      <w:pPr>
        <w:jc w:val="center"/>
      </w:pPr>
      <w:r>
        <w:rPr>
          <w:noProof/>
          <w:lang w:eastAsia="en-GB"/>
        </w:rPr>
        <w:drawing>
          <wp:inline distT="0" distB="0" distL="0" distR="0" wp14:anchorId="7D38A778" wp14:editId="27FF4020">
            <wp:extent cx="4191000" cy="1962150"/>
            <wp:effectExtent l="0" t="0" r="0" b="0"/>
            <wp:docPr id="40" name="Gráfico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8EE2353" w14:textId="1B8EE570" w:rsidR="00E135AD" w:rsidRPr="00E135AD" w:rsidRDefault="00CC6D56" w:rsidP="0005692B">
      <w:pPr>
        <w:jc w:val="center"/>
        <w:rPr>
          <w:rFonts w:ascii="Times New Roman" w:hAnsi="Times New Roman" w:cs="Times New Roman"/>
          <w:color w:val="FF0000"/>
          <w:sz w:val="24"/>
          <w:szCs w:val="24"/>
        </w:rPr>
      </w:pPr>
      <w:r w:rsidRPr="00E37540">
        <w:rPr>
          <w:rFonts w:ascii="Times New Roman" w:hAnsi="Times New Roman" w:cs="Times New Roman"/>
          <w:sz w:val="24"/>
          <w:szCs w:val="24"/>
        </w:rPr>
        <w:t>Fig</w:t>
      </w:r>
      <w:r w:rsidR="00DD45CF" w:rsidRPr="00E37540">
        <w:rPr>
          <w:rFonts w:ascii="Times New Roman" w:hAnsi="Times New Roman" w:cs="Times New Roman"/>
          <w:sz w:val="24"/>
          <w:szCs w:val="24"/>
        </w:rPr>
        <w:t>ure</w:t>
      </w:r>
      <w:r w:rsidR="00B233F3">
        <w:rPr>
          <w:rFonts w:ascii="Times New Roman" w:hAnsi="Times New Roman" w:cs="Times New Roman"/>
          <w:sz w:val="24"/>
          <w:szCs w:val="24"/>
        </w:rPr>
        <w:t>. 8</w:t>
      </w:r>
      <w:r w:rsidR="006C0F1F" w:rsidRPr="00E37540">
        <w:rPr>
          <w:rFonts w:ascii="Times New Roman" w:hAnsi="Times New Roman" w:cs="Times New Roman"/>
          <w:sz w:val="24"/>
          <w:szCs w:val="24"/>
        </w:rPr>
        <w:t>. Natural disasters around the world in millions for the period 2008-2024. Source</w:t>
      </w:r>
      <w:r w:rsidR="00E37540" w:rsidRPr="00E37540">
        <w:rPr>
          <w:rFonts w:ascii="Times New Roman" w:hAnsi="Times New Roman" w:cs="Times New Roman"/>
          <w:sz w:val="24"/>
          <w:szCs w:val="24"/>
        </w:rPr>
        <w:t xml:space="preserve">: </w:t>
      </w:r>
      <w:r w:rsidR="00E37540">
        <w:rPr>
          <w:rFonts w:ascii="Times New Roman" w:hAnsi="Times New Roman"/>
          <w:sz w:val="24"/>
          <w:szCs w:val="24"/>
        </w:rPr>
        <w:t>IDMC (2024), IDMC (</w:t>
      </w:r>
      <w:r w:rsidR="00E37540" w:rsidRPr="002F20F8">
        <w:rPr>
          <w:rFonts w:ascii="Times New Roman" w:hAnsi="Times New Roman"/>
          <w:sz w:val="24"/>
          <w:szCs w:val="24"/>
        </w:rPr>
        <w:t>2025)</w:t>
      </w:r>
      <w:r w:rsidR="00E37540">
        <w:rPr>
          <w:rFonts w:ascii="Times New Roman" w:hAnsi="Times New Roman"/>
          <w:sz w:val="24"/>
          <w:szCs w:val="24"/>
        </w:rPr>
        <w:t>.</w:t>
      </w:r>
      <w:r w:rsidR="006C0F1F">
        <w:rPr>
          <w:rFonts w:ascii="Times New Roman" w:hAnsi="Times New Roman" w:cs="Times New Roman"/>
          <w:color w:val="FF0000"/>
          <w:sz w:val="24"/>
          <w:szCs w:val="24"/>
        </w:rPr>
        <w:t xml:space="preserve"> </w:t>
      </w:r>
    </w:p>
    <w:p w14:paraId="52CE002B" w14:textId="51D8BCEA" w:rsidR="00C40982" w:rsidRPr="00E135AD" w:rsidRDefault="007860FB" w:rsidP="00F22D66">
      <w:pPr>
        <w:spacing w:line="480" w:lineRule="auto"/>
        <w:jc w:val="both"/>
        <w:rPr>
          <w:rFonts w:ascii="Times New Roman" w:hAnsi="Times New Roman" w:cs="Times New Roman"/>
          <w:color w:val="FF0000"/>
          <w:sz w:val="24"/>
          <w:szCs w:val="24"/>
        </w:rPr>
      </w:pPr>
      <w:r w:rsidRPr="00C363AE">
        <w:rPr>
          <w:rFonts w:ascii="Times New Roman" w:hAnsi="Times New Roman" w:cs="Times New Roman"/>
          <w:sz w:val="24"/>
          <w:szCs w:val="24"/>
        </w:rPr>
        <w:lastRenderedPageBreak/>
        <w:t>In Europe, the most affected countries are among the Mediterranean’s as Greece, Italy and Spain with reported internal displacements as 291k, 199k and 200k respectively represented in the following graphs</w:t>
      </w:r>
      <w:r w:rsidR="00B233F3">
        <w:rPr>
          <w:rFonts w:ascii="Times New Roman" w:hAnsi="Times New Roman" w:cs="Times New Roman"/>
          <w:sz w:val="24"/>
          <w:szCs w:val="24"/>
        </w:rPr>
        <w:t xml:space="preserve"> in Fig. 9</w:t>
      </w:r>
      <w:r w:rsidRPr="00C363AE">
        <w:rPr>
          <w:rFonts w:ascii="Times New Roman" w:hAnsi="Times New Roman" w:cs="Times New Roman"/>
          <w:sz w:val="24"/>
          <w:szCs w:val="24"/>
        </w:rPr>
        <w:t>. The primary reasons for these disasters are wildfire and storm (Greece)</w:t>
      </w:r>
      <w:r w:rsidR="00A5578F" w:rsidRPr="00C363AE">
        <w:rPr>
          <w:rFonts w:ascii="Times New Roman" w:hAnsi="Times New Roman" w:cs="Times New Roman"/>
          <w:sz w:val="24"/>
          <w:szCs w:val="24"/>
        </w:rPr>
        <w:t>, earthquake and storm (Italy) and wildfire</w:t>
      </w:r>
      <w:r w:rsidR="004A70AC">
        <w:rPr>
          <w:rFonts w:ascii="Times New Roman" w:hAnsi="Times New Roman" w:cs="Times New Roman"/>
          <w:sz w:val="24"/>
          <w:szCs w:val="24"/>
        </w:rPr>
        <w:t xml:space="preserve"> and flood (Spain). In contrast, Germany </w:t>
      </w:r>
      <w:r w:rsidR="00A5578F" w:rsidRPr="00C363AE">
        <w:rPr>
          <w:rFonts w:ascii="Times New Roman" w:hAnsi="Times New Roman" w:cs="Times New Roman"/>
          <w:sz w:val="24"/>
          <w:szCs w:val="24"/>
        </w:rPr>
        <w:t>shows 84k internal displacement</w:t>
      </w:r>
      <w:r w:rsidR="004A70AC">
        <w:rPr>
          <w:rFonts w:ascii="Times New Roman" w:hAnsi="Times New Roman" w:cs="Times New Roman"/>
          <w:sz w:val="24"/>
          <w:szCs w:val="24"/>
        </w:rPr>
        <w:t xml:space="preserve">s mainly due to flood disasters </w:t>
      </w:r>
      <w:r w:rsidR="004A70AC">
        <w:rPr>
          <w:rFonts w:ascii="Times New Roman" w:hAnsi="Times New Roman"/>
          <w:sz w:val="24"/>
          <w:szCs w:val="24"/>
        </w:rPr>
        <w:t>(IDMC, 2025).</w:t>
      </w:r>
    </w:p>
    <w:p w14:paraId="43E9435E" w14:textId="77777777" w:rsidR="00C40982" w:rsidRPr="00A5578F" w:rsidRDefault="00C40982" w:rsidP="00C40982">
      <w:pPr>
        <w:rPr>
          <w:b/>
        </w:rPr>
      </w:pPr>
      <w:r>
        <w:rPr>
          <w:noProof/>
          <w:lang w:eastAsia="en-GB"/>
        </w:rPr>
        <w:drawing>
          <wp:inline distT="0" distB="0" distL="0" distR="0" wp14:anchorId="4E465CE8" wp14:editId="7C670134">
            <wp:extent cx="2743200" cy="1628775"/>
            <wp:effectExtent l="0" t="0" r="0" b="9525"/>
            <wp:docPr id="41" name="Gráfico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A5578F" w:rsidRPr="00A5578F">
        <w:rPr>
          <w:b/>
        </w:rPr>
        <w:t xml:space="preserve">  </w:t>
      </w:r>
      <w:r w:rsidR="00A5578F">
        <w:rPr>
          <w:noProof/>
          <w:lang w:eastAsia="en-GB"/>
        </w:rPr>
        <w:drawing>
          <wp:inline distT="0" distB="0" distL="0" distR="0" wp14:anchorId="16A613CA" wp14:editId="7C51F56F">
            <wp:extent cx="2571750" cy="1638300"/>
            <wp:effectExtent l="0" t="0" r="0" b="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6CA4D81" w14:textId="77777777" w:rsidR="00C40982" w:rsidRDefault="00C40982" w:rsidP="00C40982">
      <w:pPr>
        <w:rPr>
          <w:b/>
        </w:rPr>
      </w:pPr>
      <w:r>
        <w:rPr>
          <w:noProof/>
          <w:lang w:eastAsia="en-GB"/>
        </w:rPr>
        <w:drawing>
          <wp:inline distT="0" distB="0" distL="0" distR="0" wp14:anchorId="6F41A758" wp14:editId="44BDDD45">
            <wp:extent cx="2705100" cy="1905000"/>
            <wp:effectExtent l="0" t="0" r="0" b="0"/>
            <wp:docPr id="43" name="Gráfico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A5578F" w:rsidRPr="00A5578F">
        <w:rPr>
          <w:b/>
        </w:rPr>
        <w:t xml:space="preserve">   </w:t>
      </w:r>
      <w:r w:rsidR="00A5578F">
        <w:rPr>
          <w:noProof/>
          <w:lang w:eastAsia="en-GB"/>
        </w:rPr>
        <w:drawing>
          <wp:inline distT="0" distB="0" distL="0" distR="0" wp14:anchorId="42DE751C" wp14:editId="6B3F933A">
            <wp:extent cx="2590800" cy="1905000"/>
            <wp:effectExtent l="0" t="0" r="0" b="0"/>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A0C3E54" w14:textId="21128279" w:rsidR="00E37540" w:rsidRPr="00E135AD" w:rsidRDefault="00CC6D56" w:rsidP="00E37540">
      <w:pPr>
        <w:jc w:val="center"/>
        <w:rPr>
          <w:rFonts w:ascii="Times New Roman" w:hAnsi="Times New Roman" w:cs="Times New Roman"/>
          <w:color w:val="FF0000"/>
          <w:sz w:val="24"/>
          <w:szCs w:val="24"/>
        </w:rPr>
      </w:pPr>
      <w:r w:rsidRPr="00E37540">
        <w:rPr>
          <w:rFonts w:ascii="Times New Roman" w:hAnsi="Times New Roman" w:cs="Times New Roman"/>
          <w:sz w:val="24"/>
          <w:szCs w:val="24"/>
        </w:rPr>
        <w:t>Fig</w:t>
      </w:r>
      <w:r w:rsidR="00DD45CF" w:rsidRPr="00E37540">
        <w:rPr>
          <w:rFonts w:ascii="Times New Roman" w:hAnsi="Times New Roman" w:cs="Times New Roman"/>
          <w:sz w:val="24"/>
          <w:szCs w:val="24"/>
        </w:rPr>
        <w:t>ure</w:t>
      </w:r>
      <w:r w:rsidR="00B233F3">
        <w:rPr>
          <w:rFonts w:ascii="Times New Roman" w:hAnsi="Times New Roman" w:cs="Times New Roman"/>
          <w:sz w:val="24"/>
          <w:szCs w:val="24"/>
        </w:rPr>
        <w:t>. 9</w:t>
      </w:r>
      <w:r w:rsidR="00E37540" w:rsidRPr="00E37540">
        <w:rPr>
          <w:rFonts w:ascii="Times New Roman" w:hAnsi="Times New Roman" w:cs="Times New Roman"/>
          <w:sz w:val="24"/>
          <w:szCs w:val="24"/>
        </w:rPr>
        <w:t xml:space="preserve">. Natural disasters in millions in some European countries for the period 2008-2024. Source: </w:t>
      </w:r>
      <w:r w:rsidR="00E37540">
        <w:rPr>
          <w:rFonts w:ascii="Times New Roman" w:hAnsi="Times New Roman"/>
          <w:sz w:val="24"/>
          <w:szCs w:val="24"/>
        </w:rPr>
        <w:t>IDMC (2024), IDMC (</w:t>
      </w:r>
      <w:r w:rsidR="00E37540" w:rsidRPr="002F20F8">
        <w:rPr>
          <w:rFonts w:ascii="Times New Roman" w:hAnsi="Times New Roman"/>
          <w:sz w:val="24"/>
          <w:szCs w:val="24"/>
        </w:rPr>
        <w:t>2025)</w:t>
      </w:r>
      <w:r w:rsidR="00E37540">
        <w:rPr>
          <w:rFonts w:ascii="Times New Roman" w:hAnsi="Times New Roman"/>
          <w:sz w:val="24"/>
          <w:szCs w:val="24"/>
        </w:rPr>
        <w:t>.</w:t>
      </w:r>
      <w:r w:rsidR="00E37540">
        <w:rPr>
          <w:rFonts w:ascii="Times New Roman" w:hAnsi="Times New Roman" w:cs="Times New Roman"/>
          <w:color w:val="FF0000"/>
          <w:sz w:val="24"/>
          <w:szCs w:val="24"/>
        </w:rPr>
        <w:t xml:space="preserve"> </w:t>
      </w:r>
    </w:p>
    <w:p w14:paraId="42C00F02" w14:textId="77777777" w:rsidR="00E135AD" w:rsidRPr="00E135AD" w:rsidRDefault="00E135AD" w:rsidP="00E135AD">
      <w:pPr>
        <w:jc w:val="center"/>
        <w:rPr>
          <w:rFonts w:ascii="Times New Roman" w:hAnsi="Times New Roman" w:cs="Times New Roman"/>
          <w:color w:val="FF0000"/>
          <w:sz w:val="24"/>
          <w:szCs w:val="24"/>
        </w:rPr>
      </w:pPr>
    </w:p>
    <w:p w14:paraId="5D0C882E" w14:textId="67E4DA6F" w:rsidR="007860FB" w:rsidRPr="00C9256D" w:rsidRDefault="004A70AC" w:rsidP="00F22D66">
      <w:pPr>
        <w:pStyle w:val="MDPI22heading2"/>
        <w:spacing w:before="240" w:line="480" w:lineRule="auto"/>
        <w:ind w:left="0"/>
        <w:jc w:val="both"/>
        <w:rPr>
          <w:rFonts w:ascii="Times New Roman" w:hAnsi="Times New Roman"/>
          <w:i w:val="0"/>
          <w:color w:val="auto"/>
          <w:sz w:val="24"/>
          <w:szCs w:val="24"/>
        </w:rPr>
      </w:pPr>
      <w:r>
        <w:rPr>
          <w:rFonts w:ascii="Times New Roman" w:hAnsi="Times New Roman"/>
          <w:i w:val="0"/>
          <w:sz w:val="24"/>
          <w:szCs w:val="24"/>
          <w:lang w:val="en-GB"/>
        </w:rPr>
        <w:t>The</w:t>
      </w:r>
      <w:r w:rsidR="00A5578F" w:rsidRPr="002F20F8">
        <w:rPr>
          <w:rFonts w:ascii="Times New Roman" w:hAnsi="Times New Roman"/>
          <w:i w:val="0"/>
          <w:sz w:val="24"/>
          <w:szCs w:val="24"/>
        </w:rPr>
        <w:t xml:space="preserve"> </w:t>
      </w:r>
      <w:r w:rsidR="00F6768E" w:rsidRPr="002F20F8">
        <w:rPr>
          <w:rFonts w:ascii="Times New Roman" w:hAnsi="Times New Roman"/>
          <w:i w:val="0"/>
          <w:sz w:val="24"/>
          <w:szCs w:val="24"/>
        </w:rPr>
        <w:t>above</w:t>
      </w:r>
      <w:r w:rsidR="00A5578F" w:rsidRPr="002F20F8">
        <w:rPr>
          <w:rFonts w:ascii="Times New Roman" w:hAnsi="Times New Roman"/>
          <w:i w:val="0"/>
          <w:sz w:val="24"/>
          <w:szCs w:val="24"/>
        </w:rPr>
        <w:t xml:space="preserve"> results </w:t>
      </w:r>
      <w:r>
        <w:rPr>
          <w:rFonts w:ascii="Times New Roman" w:hAnsi="Times New Roman"/>
          <w:i w:val="0"/>
          <w:sz w:val="24"/>
          <w:szCs w:val="24"/>
        </w:rPr>
        <w:t xml:space="preserve">have been also contrasted </w:t>
      </w:r>
      <w:r w:rsidR="00A5578F" w:rsidRPr="002F20F8">
        <w:rPr>
          <w:rFonts w:ascii="Times New Roman" w:hAnsi="Times New Roman"/>
          <w:i w:val="0"/>
          <w:sz w:val="24"/>
          <w:szCs w:val="24"/>
        </w:rPr>
        <w:t>with those for different countries from Asia (Afghanistan and Philippines), Africa (Sudan) and South America (Brazil), known with their important natural disasters</w:t>
      </w:r>
      <w:r w:rsidR="00E135AD" w:rsidRPr="002F20F8">
        <w:rPr>
          <w:rFonts w:ascii="Times New Roman" w:hAnsi="Times New Roman"/>
          <w:b/>
          <w:i w:val="0"/>
          <w:sz w:val="24"/>
          <w:szCs w:val="24"/>
        </w:rPr>
        <w:t xml:space="preserve"> (</w:t>
      </w:r>
      <w:r w:rsidR="00DD45CF" w:rsidRPr="002F20F8">
        <w:rPr>
          <w:rFonts w:ascii="Times New Roman" w:hAnsi="Times New Roman"/>
          <w:i w:val="0"/>
          <w:sz w:val="24"/>
          <w:szCs w:val="24"/>
        </w:rPr>
        <w:t>Figure</w:t>
      </w:r>
      <w:r>
        <w:rPr>
          <w:rFonts w:ascii="Times New Roman" w:hAnsi="Times New Roman"/>
          <w:i w:val="0"/>
          <w:sz w:val="24"/>
          <w:szCs w:val="24"/>
        </w:rPr>
        <w:t>s</w:t>
      </w:r>
      <w:r w:rsidR="00B233F3">
        <w:rPr>
          <w:rFonts w:ascii="Times New Roman" w:hAnsi="Times New Roman"/>
          <w:i w:val="0"/>
          <w:sz w:val="24"/>
          <w:szCs w:val="24"/>
        </w:rPr>
        <w:t xml:space="preserve"> 10, 11</w:t>
      </w:r>
      <w:r w:rsidR="00E135AD" w:rsidRPr="002F20F8">
        <w:rPr>
          <w:rFonts w:ascii="Times New Roman" w:hAnsi="Times New Roman"/>
          <w:i w:val="0"/>
          <w:sz w:val="24"/>
          <w:szCs w:val="24"/>
        </w:rPr>
        <w:t>)</w:t>
      </w:r>
      <w:r w:rsidR="00E135AD" w:rsidRPr="002F20F8">
        <w:rPr>
          <w:rFonts w:ascii="Times New Roman" w:hAnsi="Times New Roman"/>
          <w:b/>
          <w:i w:val="0"/>
          <w:sz w:val="24"/>
          <w:szCs w:val="24"/>
        </w:rPr>
        <w:t xml:space="preserve"> </w:t>
      </w:r>
      <w:r w:rsidR="002F20F8" w:rsidRPr="002F20F8">
        <w:rPr>
          <w:rFonts w:ascii="Times New Roman" w:hAnsi="Times New Roman"/>
          <w:i w:val="0"/>
          <w:color w:val="auto"/>
          <w:sz w:val="24"/>
          <w:szCs w:val="24"/>
        </w:rPr>
        <w:t>(IDMC, 2024</w:t>
      </w:r>
      <w:r w:rsidR="002F20F8" w:rsidRPr="002F20F8">
        <w:rPr>
          <w:rFonts w:ascii="Times New Roman" w:hAnsi="Times New Roman"/>
          <w:i w:val="0"/>
          <w:sz w:val="24"/>
          <w:szCs w:val="24"/>
        </w:rPr>
        <w:t xml:space="preserve">; </w:t>
      </w:r>
      <w:r w:rsidR="00C9256D">
        <w:rPr>
          <w:rFonts w:ascii="Times New Roman" w:hAnsi="Times New Roman"/>
          <w:i w:val="0"/>
          <w:color w:val="auto"/>
          <w:sz w:val="24"/>
          <w:szCs w:val="24"/>
        </w:rPr>
        <w:t>IDMC, 2025).</w:t>
      </w:r>
    </w:p>
    <w:p w14:paraId="44D13F5A" w14:textId="77777777" w:rsidR="00C40982" w:rsidRPr="00794451" w:rsidRDefault="00C40982" w:rsidP="00F22D66">
      <w:pPr>
        <w:spacing w:line="480" w:lineRule="auto"/>
      </w:pPr>
    </w:p>
    <w:p w14:paraId="2A783617" w14:textId="77777777" w:rsidR="00C40982" w:rsidRDefault="00C40982" w:rsidP="00C40982">
      <w:r>
        <w:rPr>
          <w:noProof/>
          <w:lang w:eastAsia="en-GB"/>
        </w:rPr>
        <w:lastRenderedPageBreak/>
        <w:drawing>
          <wp:inline distT="0" distB="0" distL="0" distR="0" wp14:anchorId="01001308" wp14:editId="7AE6D03A">
            <wp:extent cx="2733675" cy="1914525"/>
            <wp:effectExtent l="0" t="0" r="9525" b="9525"/>
            <wp:docPr id="45" name="Gráfico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F6768E" w:rsidRPr="00F6768E">
        <w:t xml:space="preserve">  </w:t>
      </w:r>
      <w:r w:rsidR="00F6768E">
        <w:rPr>
          <w:noProof/>
          <w:lang w:eastAsia="en-GB"/>
        </w:rPr>
        <w:drawing>
          <wp:inline distT="0" distB="0" distL="0" distR="0" wp14:anchorId="03CF355D" wp14:editId="3F3EEC34">
            <wp:extent cx="2686050" cy="1943100"/>
            <wp:effectExtent l="0" t="0" r="0" b="0"/>
            <wp:docPr id="23" name="Gráfico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0BFD464" w14:textId="080AF6CC" w:rsidR="00E135AD" w:rsidRDefault="00DD45CF" w:rsidP="00C9256D">
      <w:pPr>
        <w:jc w:val="center"/>
        <w:rPr>
          <w:rFonts w:ascii="Times New Roman" w:hAnsi="Times New Roman" w:cs="Times New Roman"/>
          <w:color w:val="FF0000"/>
          <w:sz w:val="24"/>
          <w:szCs w:val="24"/>
        </w:rPr>
      </w:pPr>
      <w:r w:rsidRPr="00C9256D">
        <w:rPr>
          <w:rFonts w:ascii="Times New Roman" w:hAnsi="Times New Roman" w:cs="Times New Roman"/>
          <w:sz w:val="24"/>
          <w:szCs w:val="24"/>
        </w:rPr>
        <w:t>Figure</w:t>
      </w:r>
      <w:r w:rsidR="00B233F3">
        <w:rPr>
          <w:rFonts w:ascii="Times New Roman" w:hAnsi="Times New Roman" w:cs="Times New Roman"/>
          <w:sz w:val="24"/>
          <w:szCs w:val="24"/>
        </w:rPr>
        <w:t xml:space="preserve"> 10</w:t>
      </w:r>
      <w:r w:rsidR="00C9256D" w:rsidRPr="00C9256D">
        <w:rPr>
          <w:rFonts w:ascii="Times New Roman" w:hAnsi="Times New Roman" w:cs="Times New Roman"/>
          <w:sz w:val="24"/>
          <w:szCs w:val="24"/>
        </w:rPr>
        <w:t xml:space="preserve">. </w:t>
      </w:r>
      <w:r w:rsidR="00C9256D" w:rsidRPr="00E37540">
        <w:rPr>
          <w:rFonts w:ascii="Times New Roman" w:hAnsi="Times New Roman" w:cs="Times New Roman"/>
          <w:sz w:val="24"/>
          <w:szCs w:val="24"/>
        </w:rPr>
        <w:t>Natural disasters in millions</w:t>
      </w:r>
      <w:r w:rsidR="00C9256D">
        <w:rPr>
          <w:rFonts w:ascii="Times New Roman" w:hAnsi="Times New Roman" w:cs="Times New Roman"/>
          <w:sz w:val="24"/>
          <w:szCs w:val="24"/>
        </w:rPr>
        <w:t xml:space="preserve"> in some most affected Asian countries</w:t>
      </w:r>
      <w:r w:rsidR="00C9256D" w:rsidRPr="00E37540">
        <w:rPr>
          <w:rFonts w:ascii="Times New Roman" w:hAnsi="Times New Roman" w:cs="Times New Roman"/>
          <w:sz w:val="24"/>
          <w:szCs w:val="24"/>
        </w:rPr>
        <w:t xml:space="preserve"> </w:t>
      </w:r>
      <w:r w:rsidR="00C9256D">
        <w:rPr>
          <w:rFonts w:ascii="Times New Roman" w:hAnsi="Times New Roman" w:cs="Times New Roman"/>
          <w:sz w:val="24"/>
          <w:szCs w:val="24"/>
        </w:rPr>
        <w:t xml:space="preserve">for </w:t>
      </w:r>
      <w:r w:rsidR="00C9256D" w:rsidRPr="00E37540">
        <w:rPr>
          <w:rFonts w:ascii="Times New Roman" w:hAnsi="Times New Roman" w:cs="Times New Roman"/>
          <w:sz w:val="24"/>
          <w:szCs w:val="24"/>
        </w:rPr>
        <w:t xml:space="preserve">the period 2008-2024. Source: </w:t>
      </w:r>
      <w:r w:rsidR="00C9256D">
        <w:rPr>
          <w:rFonts w:ascii="Times New Roman" w:hAnsi="Times New Roman"/>
          <w:sz w:val="24"/>
          <w:szCs w:val="24"/>
        </w:rPr>
        <w:t>IDMC (2024), IDMC (</w:t>
      </w:r>
      <w:r w:rsidR="00C9256D" w:rsidRPr="002F20F8">
        <w:rPr>
          <w:rFonts w:ascii="Times New Roman" w:hAnsi="Times New Roman"/>
          <w:sz w:val="24"/>
          <w:szCs w:val="24"/>
        </w:rPr>
        <w:t>2025)</w:t>
      </w:r>
      <w:r w:rsidR="00C9256D">
        <w:rPr>
          <w:rFonts w:ascii="Times New Roman" w:hAnsi="Times New Roman"/>
          <w:sz w:val="24"/>
          <w:szCs w:val="24"/>
        </w:rPr>
        <w:t>.</w:t>
      </w:r>
      <w:r w:rsidR="00C9256D">
        <w:rPr>
          <w:rFonts w:ascii="Times New Roman" w:hAnsi="Times New Roman" w:cs="Times New Roman"/>
          <w:color w:val="FF0000"/>
          <w:sz w:val="24"/>
          <w:szCs w:val="24"/>
        </w:rPr>
        <w:t xml:space="preserve"> </w:t>
      </w:r>
    </w:p>
    <w:p w14:paraId="57ADF9F3" w14:textId="27AAA503" w:rsidR="00E135AD" w:rsidRPr="00B233F3" w:rsidRDefault="00E135AD" w:rsidP="00B233F3">
      <w:pPr>
        <w:pStyle w:val="MDPI22heading2"/>
        <w:spacing w:before="240" w:line="480" w:lineRule="auto"/>
        <w:ind w:left="0"/>
        <w:jc w:val="both"/>
        <w:rPr>
          <w:rFonts w:ascii="Times New Roman" w:hAnsi="Times New Roman"/>
          <w:i w:val="0"/>
          <w:color w:val="auto"/>
          <w:sz w:val="24"/>
          <w:szCs w:val="24"/>
        </w:rPr>
      </w:pPr>
      <w:r w:rsidRPr="002F20F8">
        <w:rPr>
          <w:rFonts w:ascii="Times New Roman" w:hAnsi="Times New Roman"/>
          <w:i w:val="0"/>
          <w:sz w:val="24"/>
          <w:szCs w:val="24"/>
        </w:rPr>
        <w:t xml:space="preserve">The numbers are larger in magnitude compared to </w:t>
      </w:r>
      <w:r w:rsidR="004A70AC">
        <w:rPr>
          <w:rFonts w:ascii="Times New Roman" w:hAnsi="Times New Roman"/>
          <w:i w:val="0"/>
          <w:sz w:val="24"/>
          <w:szCs w:val="24"/>
        </w:rPr>
        <w:t>Europe. In Afghanistan there were</w:t>
      </w:r>
      <w:r w:rsidRPr="002F20F8">
        <w:rPr>
          <w:rFonts w:ascii="Times New Roman" w:hAnsi="Times New Roman"/>
          <w:i w:val="0"/>
          <w:sz w:val="24"/>
          <w:szCs w:val="24"/>
        </w:rPr>
        <w:t xml:space="preserve"> 390 disaster events reported with 2.5m internal displacements caused mainly by flood (1.5m) and earthquake (605k). The situation in Philippines shows 732 disaster events reported with 71.2m displaced mainly due to storm (58.5m) and flood (10.2m). The situation in Sudan shows 142 events reported with 2.2m displaced mainly due to flood. Finally, Brazil has shown 867 disaster events reported for the same period (2008-2024) with 5.4m internal displacements mainly due to flood (3.5m) and storm (1.7m) (</w:t>
      </w:r>
      <w:r w:rsidR="00DD45CF" w:rsidRPr="002F20F8">
        <w:rPr>
          <w:rFonts w:ascii="Times New Roman" w:hAnsi="Times New Roman"/>
          <w:i w:val="0"/>
          <w:sz w:val="24"/>
          <w:szCs w:val="24"/>
        </w:rPr>
        <w:t>Figure</w:t>
      </w:r>
      <w:r w:rsidR="00CC6D56" w:rsidRPr="002F20F8">
        <w:rPr>
          <w:rFonts w:ascii="Times New Roman" w:hAnsi="Times New Roman"/>
          <w:i w:val="0"/>
          <w:sz w:val="24"/>
          <w:szCs w:val="24"/>
        </w:rPr>
        <w:t xml:space="preserve"> 10</w:t>
      </w:r>
      <w:r w:rsidRPr="002F20F8">
        <w:rPr>
          <w:rFonts w:ascii="Times New Roman" w:hAnsi="Times New Roman"/>
          <w:i w:val="0"/>
          <w:sz w:val="24"/>
          <w:szCs w:val="24"/>
        </w:rPr>
        <w:t xml:space="preserve">) </w:t>
      </w:r>
      <w:r w:rsidR="002F20F8" w:rsidRPr="002F20F8">
        <w:rPr>
          <w:rFonts w:ascii="Times New Roman" w:hAnsi="Times New Roman"/>
          <w:i w:val="0"/>
          <w:color w:val="auto"/>
          <w:sz w:val="24"/>
          <w:szCs w:val="24"/>
        </w:rPr>
        <w:t>(IDMC, 2024</w:t>
      </w:r>
      <w:r w:rsidR="002F20F8" w:rsidRPr="002F20F8">
        <w:rPr>
          <w:rFonts w:ascii="Times New Roman" w:hAnsi="Times New Roman"/>
          <w:i w:val="0"/>
          <w:sz w:val="24"/>
          <w:szCs w:val="24"/>
        </w:rPr>
        <w:t xml:space="preserve">; </w:t>
      </w:r>
      <w:r w:rsidR="002F20F8" w:rsidRPr="002F20F8">
        <w:rPr>
          <w:rFonts w:ascii="Times New Roman" w:hAnsi="Times New Roman"/>
          <w:i w:val="0"/>
          <w:color w:val="auto"/>
          <w:sz w:val="24"/>
          <w:szCs w:val="24"/>
        </w:rPr>
        <w:t>IDMC, 2025).</w:t>
      </w:r>
    </w:p>
    <w:p w14:paraId="485AB392" w14:textId="77777777" w:rsidR="00C40982" w:rsidRDefault="00C40982" w:rsidP="00C40982">
      <w:pPr>
        <w:rPr>
          <w:lang w:val="en-US"/>
        </w:rPr>
      </w:pPr>
      <w:r>
        <w:rPr>
          <w:noProof/>
          <w:lang w:eastAsia="en-GB"/>
        </w:rPr>
        <w:drawing>
          <wp:inline distT="0" distB="0" distL="0" distR="0" wp14:anchorId="6BF8624D" wp14:editId="32E014E4">
            <wp:extent cx="2724150" cy="2133600"/>
            <wp:effectExtent l="0" t="0" r="0" b="0"/>
            <wp:docPr id="47" name="Gráfico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00F6768E">
        <w:rPr>
          <w:lang w:val="en-US"/>
        </w:rPr>
        <w:t xml:space="preserve">  </w:t>
      </w:r>
      <w:r w:rsidR="00F6768E">
        <w:rPr>
          <w:noProof/>
          <w:lang w:eastAsia="en-GB"/>
        </w:rPr>
        <w:drawing>
          <wp:inline distT="0" distB="0" distL="0" distR="0" wp14:anchorId="598E3E7A" wp14:editId="40FFAB62">
            <wp:extent cx="2733675" cy="2143125"/>
            <wp:effectExtent l="0" t="0" r="9525" b="9525"/>
            <wp:docPr id="24" name="Gráfico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5AA7CF24" w14:textId="1FB89792" w:rsidR="00E135AD" w:rsidRPr="00C9256D" w:rsidRDefault="00DD45CF" w:rsidP="00C9256D">
      <w:pPr>
        <w:jc w:val="center"/>
        <w:rPr>
          <w:rFonts w:ascii="Times New Roman" w:hAnsi="Times New Roman" w:cs="Times New Roman"/>
          <w:color w:val="FF0000"/>
          <w:sz w:val="24"/>
          <w:szCs w:val="24"/>
        </w:rPr>
      </w:pPr>
      <w:r w:rsidRPr="00C9256D">
        <w:rPr>
          <w:rFonts w:ascii="Times New Roman" w:hAnsi="Times New Roman" w:cs="Times New Roman"/>
          <w:sz w:val="24"/>
          <w:szCs w:val="24"/>
          <w:lang w:val="en-US"/>
        </w:rPr>
        <w:t xml:space="preserve">Figure </w:t>
      </w:r>
      <w:r w:rsidR="00B233F3">
        <w:rPr>
          <w:rFonts w:ascii="Times New Roman" w:hAnsi="Times New Roman" w:cs="Times New Roman"/>
          <w:sz w:val="24"/>
          <w:szCs w:val="24"/>
          <w:lang w:val="en-US"/>
        </w:rPr>
        <w:t>11</w:t>
      </w:r>
      <w:r w:rsidR="00C9256D" w:rsidRPr="00C9256D">
        <w:rPr>
          <w:rFonts w:ascii="Times New Roman" w:hAnsi="Times New Roman" w:cs="Times New Roman"/>
          <w:sz w:val="24"/>
          <w:szCs w:val="24"/>
          <w:lang w:val="en-US"/>
        </w:rPr>
        <w:t xml:space="preserve">. </w:t>
      </w:r>
      <w:r w:rsidR="00C9256D" w:rsidRPr="00E37540">
        <w:rPr>
          <w:rFonts w:ascii="Times New Roman" w:hAnsi="Times New Roman" w:cs="Times New Roman"/>
          <w:sz w:val="24"/>
          <w:szCs w:val="24"/>
        </w:rPr>
        <w:t>Natural disasters in millions</w:t>
      </w:r>
      <w:r w:rsidR="00C9256D">
        <w:rPr>
          <w:rFonts w:ascii="Times New Roman" w:hAnsi="Times New Roman" w:cs="Times New Roman"/>
          <w:sz w:val="24"/>
          <w:szCs w:val="24"/>
        </w:rPr>
        <w:t xml:space="preserve"> in Sudan and Brazil for </w:t>
      </w:r>
      <w:r w:rsidR="00C9256D" w:rsidRPr="00E37540">
        <w:rPr>
          <w:rFonts w:ascii="Times New Roman" w:hAnsi="Times New Roman" w:cs="Times New Roman"/>
          <w:sz w:val="24"/>
          <w:szCs w:val="24"/>
        </w:rPr>
        <w:t xml:space="preserve">the period 2008-2024. Source: </w:t>
      </w:r>
      <w:r w:rsidR="00C9256D">
        <w:rPr>
          <w:rFonts w:ascii="Times New Roman" w:hAnsi="Times New Roman"/>
          <w:sz w:val="24"/>
          <w:szCs w:val="24"/>
        </w:rPr>
        <w:t>IDMC (2024), IDMC (</w:t>
      </w:r>
      <w:r w:rsidR="00C9256D" w:rsidRPr="002F20F8">
        <w:rPr>
          <w:rFonts w:ascii="Times New Roman" w:hAnsi="Times New Roman"/>
          <w:sz w:val="24"/>
          <w:szCs w:val="24"/>
        </w:rPr>
        <w:t>2025)</w:t>
      </w:r>
      <w:r w:rsidR="00C9256D">
        <w:rPr>
          <w:rFonts w:ascii="Times New Roman" w:hAnsi="Times New Roman"/>
          <w:sz w:val="24"/>
          <w:szCs w:val="24"/>
        </w:rPr>
        <w:t>.</w:t>
      </w:r>
      <w:r w:rsidR="00C9256D">
        <w:rPr>
          <w:rFonts w:ascii="Times New Roman" w:hAnsi="Times New Roman" w:cs="Times New Roman"/>
          <w:color w:val="FF0000"/>
          <w:sz w:val="24"/>
          <w:szCs w:val="24"/>
        </w:rPr>
        <w:t xml:space="preserve"> </w:t>
      </w:r>
    </w:p>
    <w:p w14:paraId="72C26F84" w14:textId="77777777" w:rsidR="00D85644" w:rsidRPr="002F20F8" w:rsidRDefault="00E135AD" w:rsidP="00F22D66">
      <w:pPr>
        <w:spacing w:before="100" w:beforeAutospacing="1" w:after="100" w:afterAutospacing="1" w:line="48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val="en-US" w:eastAsia="en-GB"/>
        </w:rPr>
        <w:t xml:space="preserve">Studies revealed </w:t>
      </w:r>
      <w:r w:rsidR="00AD32EC">
        <w:rPr>
          <w:rFonts w:ascii="Times New Roman" w:eastAsia="Times New Roman" w:hAnsi="Times New Roman" w:cs="Times New Roman"/>
          <w:sz w:val="24"/>
          <w:szCs w:val="24"/>
          <w:lang w:val="en-US" w:eastAsia="en-GB"/>
        </w:rPr>
        <w:t xml:space="preserve">that </w:t>
      </w:r>
      <w:r w:rsidR="00AD32EC">
        <w:rPr>
          <w:rFonts w:ascii="Times New Roman" w:eastAsia="Times New Roman" w:hAnsi="Times New Roman" w:cs="Times New Roman"/>
          <w:sz w:val="24"/>
          <w:szCs w:val="24"/>
          <w:lang w:eastAsia="en-GB"/>
        </w:rPr>
        <w:t>within optimistic scenario</w:t>
      </w:r>
      <w:r w:rsidR="00D85644" w:rsidRPr="00D85644">
        <w:rPr>
          <w:rFonts w:ascii="Times New Roman" w:eastAsia="Times New Roman" w:hAnsi="Times New Roman" w:cs="Times New Roman"/>
          <w:sz w:val="24"/>
          <w:szCs w:val="24"/>
          <w:lang w:eastAsia="en-GB"/>
        </w:rPr>
        <w:t>, flood-related</w:t>
      </w:r>
      <w:r w:rsidR="00AD32EC">
        <w:rPr>
          <w:rFonts w:ascii="Times New Roman" w:eastAsia="Times New Roman" w:hAnsi="Times New Roman" w:cs="Times New Roman"/>
          <w:sz w:val="24"/>
          <w:szCs w:val="24"/>
          <w:lang w:eastAsia="en-GB"/>
        </w:rPr>
        <w:t xml:space="preserve"> displacement could rise, with an average annual d</w:t>
      </w:r>
      <w:r>
        <w:rPr>
          <w:rFonts w:ascii="Times New Roman" w:eastAsia="Times New Roman" w:hAnsi="Times New Roman" w:cs="Times New Roman"/>
          <w:sz w:val="24"/>
          <w:szCs w:val="24"/>
          <w:lang w:eastAsia="en-GB"/>
        </w:rPr>
        <w:t>isplacement</w:t>
      </w:r>
      <w:r w:rsidR="00D85644" w:rsidRPr="00D85644">
        <w:rPr>
          <w:rFonts w:ascii="Times New Roman" w:eastAsia="Times New Roman" w:hAnsi="Times New Roman" w:cs="Times New Roman"/>
          <w:sz w:val="24"/>
          <w:szCs w:val="24"/>
          <w:lang w:eastAsia="en-GB"/>
        </w:rPr>
        <w:t xml:space="preserve"> projected to be two to four times higher than current levels, varying by country. In pessimistic scenarios, the risk intensifies further, potentially increasing </w:t>
      </w:r>
      <w:r w:rsidR="00D85644" w:rsidRPr="00D85644">
        <w:rPr>
          <w:rFonts w:ascii="Times New Roman" w:eastAsia="Times New Roman" w:hAnsi="Times New Roman" w:cs="Times New Roman"/>
          <w:sz w:val="24"/>
          <w:szCs w:val="24"/>
          <w:lang w:eastAsia="en-GB"/>
        </w:rPr>
        <w:lastRenderedPageBreak/>
        <w:t>by a factor up to nine in Sudan</w:t>
      </w:r>
      <w:r>
        <w:rPr>
          <w:rFonts w:ascii="Times New Roman" w:eastAsia="Times New Roman" w:hAnsi="Times New Roman" w:cs="Times New Roman"/>
          <w:b/>
          <w:sz w:val="24"/>
          <w:szCs w:val="24"/>
          <w:lang w:eastAsia="en-GB"/>
        </w:rPr>
        <w:t>.</w:t>
      </w:r>
      <w:r>
        <w:rPr>
          <w:rFonts w:ascii="Times New Roman" w:eastAsia="Times New Roman" w:hAnsi="Times New Roman" w:cs="Times New Roman"/>
          <w:sz w:val="24"/>
          <w:szCs w:val="24"/>
          <w:lang w:eastAsia="en-GB"/>
        </w:rPr>
        <w:t xml:space="preserve"> </w:t>
      </w:r>
      <w:r w:rsidR="00D85644" w:rsidRPr="00E135AD">
        <w:rPr>
          <w:rFonts w:ascii="Times New Roman" w:eastAsia="Times New Roman" w:hAnsi="Times New Roman" w:cs="Times New Roman"/>
          <w:sz w:val="24"/>
          <w:szCs w:val="24"/>
          <w:lang w:eastAsia="en-GB"/>
        </w:rPr>
        <w:t>The results suggest</w:t>
      </w:r>
      <w:r w:rsidRPr="00E135AD">
        <w:rPr>
          <w:rFonts w:ascii="Times New Roman" w:eastAsia="Times New Roman" w:hAnsi="Times New Roman" w:cs="Times New Roman"/>
          <w:sz w:val="24"/>
          <w:szCs w:val="24"/>
          <w:lang w:eastAsia="en-GB"/>
        </w:rPr>
        <w:t xml:space="preserve"> as well that</w:t>
      </w:r>
      <w:r w:rsidR="00D85644" w:rsidRPr="00E135AD">
        <w:rPr>
          <w:rFonts w:ascii="Times New Roman" w:eastAsia="Times New Roman" w:hAnsi="Times New Roman" w:cs="Times New Roman"/>
          <w:sz w:val="24"/>
          <w:szCs w:val="24"/>
          <w:lang w:eastAsia="en-GB"/>
        </w:rPr>
        <w:t xml:space="preserve"> Sudan </w:t>
      </w:r>
      <w:r w:rsidR="00D85644" w:rsidRPr="00D85644">
        <w:rPr>
          <w:rFonts w:ascii="Times New Roman" w:eastAsia="Times New Roman" w:hAnsi="Times New Roman" w:cs="Times New Roman"/>
          <w:sz w:val="24"/>
          <w:szCs w:val="24"/>
          <w:lang w:eastAsia="en-GB"/>
        </w:rPr>
        <w:t>may see a slight decline in risk</w:t>
      </w:r>
      <w:r>
        <w:rPr>
          <w:rFonts w:ascii="Times New Roman" w:eastAsia="Times New Roman" w:hAnsi="Times New Roman" w:cs="Times New Roman"/>
          <w:sz w:val="24"/>
          <w:szCs w:val="24"/>
          <w:lang w:eastAsia="en-GB"/>
        </w:rPr>
        <w:t xml:space="preserve"> of drought displacement</w:t>
      </w:r>
      <w:r w:rsidR="00D85644" w:rsidRPr="00D85644">
        <w:rPr>
          <w:rFonts w:ascii="Times New Roman" w:eastAsia="Times New Roman" w:hAnsi="Times New Roman" w:cs="Times New Roman"/>
          <w:sz w:val="24"/>
          <w:szCs w:val="24"/>
          <w:lang w:eastAsia="en-GB"/>
        </w:rPr>
        <w:t>, ranging from 5% to 9% under both scenarios. Although Sudan lacks comprehensive empirical data on drought-induced internal displacement, millions of Sudanese are regularly affected by drought events. The findings indicate that, in years of severe drought, between 800,000 and 9</w:t>
      </w:r>
      <w:r w:rsidR="002B09E9">
        <w:rPr>
          <w:rFonts w:ascii="Times New Roman" w:eastAsia="Times New Roman" w:hAnsi="Times New Roman" w:cs="Times New Roman"/>
          <w:sz w:val="24"/>
          <w:szCs w:val="24"/>
          <w:lang w:eastAsia="en-GB"/>
        </w:rPr>
        <w:t xml:space="preserve">00,000 people could be displaced </w:t>
      </w:r>
      <w:r w:rsidR="002F20F8">
        <w:rPr>
          <w:rFonts w:ascii="Times New Roman" w:eastAsia="Times New Roman" w:hAnsi="Times New Roman" w:cs="Times New Roman"/>
          <w:sz w:val="24"/>
          <w:szCs w:val="24"/>
          <w:lang w:eastAsia="en-GB"/>
        </w:rPr>
        <w:t>(</w:t>
      </w:r>
      <w:r w:rsidR="00AD32EC">
        <w:rPr>
          <w:rFonts w:ascii="Times New Roman" w:eastAsia="Times New Roman" w:hAnsi="Times New Roman" w:cs="Times New Roman"/>
          <w:sz w:val="24"/>
          <w:szCs w:val="24"/>
          <w:lang w:eastAsia="en-GB"/>
        </w:rPr>
        <w:t>I</w:t>
      </w:r>
      <w:r w:rsidR="002F20F8" w:rsidRPr="002F20F8">
        <w:rPr>
          <w:rFonts w:ascii="Times New Roman" w:eastAsia="Times New Roman" w:hAnsi="Times New Roman" w:cs="Times New Roman"/>
          <w:sz w:val="24"/>
          <w:szCs w:val="24"/>
          <w:lang w:eastAsia="en-GB"/>
        </w:rPr>
        <w:t>D</w:t>
      </w:r>
      <w:r w:rsidR="002F20F8">
        <w:rPr>
          <w:rFonts w:ascii="Times New Roman" w:eastAsia="Times New Roman" w:hAnsi="Times New Roman" w:cs="Times New Roman"/>
          <w:sz w:val="24"/>
          <w:szCs w:val="24"/>
          <w:lang w:eastAsia="en-GB"/>
        </w:rPr>
        <w:t xml:space="preserve">MC, </w:t>
      </w:r>
      <w:r w:rsidR="002F20F8" w:rsidRPr="002F20F8">
        <w:rPr>
          <w:rFonts w:ascii="Times New Roman" w:eastAsia="Times New Roman" w:hAnsi="Times New Roman" w:cs="Times New Roman"/>
          <w:sz w:val="24"/>
          <w:szCs w:val="24"/>
          <w:lang w:eastAsia="en-GB"/>
        </w:rPr>
        <w:t>2024a)</w:t>
      </w:r>
      <w:r w:rsidR="002F20F8">
        <w:rPr>
          <w:rFonts w:ascii="Times New Roman" w:eastAsia="Times New Roman" w:hAnsi="Times New Roman" w:cs="Times New Roman"/>
          <w:sz w:val="24"/>
          <w:szCs w:val="24"/>
          <w:lang w:eastAsia="en-GB"/>
        </w:rPr>
        <w:t>.</w:t>
      </w:r>
    </w:p>
    <w:p w14:paraId="283D1A2F" w14:textId="7625322B" w:rsidR="00C9256D" w:rsidRPr="00C9256D" w:rsidRDefault="00E135AD" w:rsidP="00F22D66">
      <w:pPr>
        <w:spacing w:line="480" w:lineRule="auto"/>
        <w:jc w:val="both"/>
        <w:rPr>
          <w:rFonts w:ascii="Times New Roman" w:hAnsi="Times New Roman" w:cs="Times New Roman"/>
          <w:sz w:val="24"/>
          <w:szCs w:val="24"/>
        </w:rPr>
      </w:pPr>
      <w:r w:rsidRPr="00E135AD">
        <w:rPr>
          <w:rFonts w:ascii="Times New Roman" w:hAnsi="Times New Roman" w:cs="Times New Roman"/>
          <w:sz w:val="24"/>
          <w:szCs w:val="24"/>
        </w:rPr>
        <w:t>In order to complement the study,</w:t>
      </w:r>
      <w:r w:rsidR="00D85644" w:rsidRPr="00E135AD">
        <w:rPr>
          <w:rFonts w:ascii="Times New Roman" w:hAnsi="Times New Roman" w:cs="Times New Roman"/>
          <w:sz w:val="24"/>
          <w:szCs w:val="24"/>
        </w:rPr>
        <w:t xml:space="preserve"> we employed the World </w:t>
      </w:r>
      <w:r w:rsidR="00D85644" w:rsidRPr="00D85644">
        <w:rPr>
          <w:rFonts w:ascii="Times New Roman" w:hAnsi="Times New Roman" w:cs="Times New Roman"/>
          <w:sz w:val="24"/>
          <w:szCs w:val="24"/>
        </w:rPr>
        <w:t>Climate Simulator</w:t>
      </w:r>
      <w:r w:rsidR="00AD32EC">
        <w:rPr>
          <w:rFonts w:ascii="Times New Roman" w:hAnsi="Times New Roman" w:cs="Times New Roman"/>
          <w:sz w:val="24"/>
          <w:szCs w:val="24"/>
        </w:rPr>
        <w:t xml:space="preserve"> </w:t>
      </w:r>
      <w:r w:rsidR="00AD32EC" w:rsidRPr="002B09E9">
        <w:rPr>
          <w:rFonts w:ascii="Times New Roman" w:hAnsi="Times New Roman" w:cs="Times New Roman"/>
          <w:sz w:val="24"/>
          <w:szCs w:val="24"/>
        </w:rPr>
        <w:t>(Varga et al.</w:t>
      </w:r>
      <w:r w:rsidR="00AD32EC">
        <w:rPr>
          <w:rFonts w:ascii="Times New Roman" w:hAnsi="Times New Roman" w:cs="Times New Roman"/>
          <w:sz w:val="24"/>
          <w:szCs w:val="24"/>
        </w:rPr>
        <w:t>, 2021;</w:t>
      </w:r>
      <w:r w:rsidR="00AD32EC" w:rsidRPr="002B09E9">
        <w:rPr>
          <w:rFonts w:ascii="Times New Roman" w:hAnsi="Times New Roman" w:cs="Times New Roman"/>
          <w:sz w:val="24"/>
          <w:szCs w:val="24"/>
        </w:rPr>
        <w:t xml:space="preserve"> </w:t>
      </w:r>
      <w:proofErr w:type="spellStart"/>
      <w:r w:rsidR="00AD32EC" w:rsidRPr="002B09E9">
        <w:rPr>
          <w:rFonts w:ascii="Times New Roman" w:hAnsi="Times New Roman" w:cs="Times New Roman"/>
          <w:sz w:val="24"/>
          <w:szCs w:val="24"/>
        </w:rPr>
        <w:t>EnRoads</w:t>
      </w:r>
      <w:proofErr w:type="spellEnd"/>
      <w:r w:rsidR="00AD32EC">
        <w:rPr>
          <w:rFonts w:ascii="Times New Roman" w:hAnsi="Times New Roman" w:cs="Times New Roman"/>
          <w:sz w:val="24"/>
          <w:szCs w:val="24"/>
        </w:rPr>
        <w:t>,</w:t>
      </w:r>
      <w:r w:rsidR="00AD32EC" w:rsidRPr="002B09E9">
        <w:rPr>
          <w:rFonts w:ascii="Times New Roman" w:hAnsi="Times New Roman" w:cs="Times New Roman"/>
          <w:sz w:val="24"/>
          <w:szCs w:val="24"/>
        </w:rPr>
        <w:t xml:space="preserve"> 2025</w:t>
      </w:r>
      <w:r w:rsidR="00AD32EC">
        <w:rPr>
          <w:rFonts w:ascii="Times New Roman" w:hAnsi="Times New Roman" w:cs="Times New Roman"/>
          <w:sz w:val="24"/>
          <w:szCs w:val="24"/>
        </w:rPr>
        <w:t>)</w:t>
      </w:r>
      <w:r w:rsidR="00D85644" w:rsidRPr="00D85644">
        <w:rPr>
          <w:rFonts w:ascii="Times New Roman" w:hAnsi="Times New Roman" w:cs="Times New Roman"/>
          <w:sz w:val="24"/>
          <w:szCs w:val="24"/>
        </w:rPr>
        <w:t>, which blends role-playing with interactive, science-based computer models to emphasize the urgenc</w:t>
      </w:r>
      <w:r>
        <w:rPr>
          <w:rFonts w:ascii="Times New Roman" w:hAnsi="Times New Roman" w:cs="Times New Roman"/>
          <w:sz w:val="24"/>
          <w:szCs w:val="24"/>
        </w:rPr>
        <w:t>y of cl</w:t>
      </w:r>
      <w:r w:rsidR="002B09E9">
        <w:rPr>
          <w:rFonts w:ascii="Times New Roman" w:hAnsi="Times New Roman" w:cs="Times New Roman"/>
          <w:sz w:val="24"/>
          <w:szCs w:val="24"/>
        </w:rPr>
        <w:t>imate change challenges. The aim</w:t>
      </w:r>
      <w:r>
        <w:rPr>
          <w:rFonts w:ascii="Times New Roman" w:hAnsi="Times New Roman" w:cs="Times New Roman"/>
          <w:sz w:val="24"/>
          <w:szCs w:val="24"/>
        </w:rPr>
        <w:t xml:space="preserve"> </w:t>
      </w:r>
      <w:r w:rsidR="008A7ACF">
        <w:rPr>
          <w:rFonts w:ascii="Times New Roman" w:hAnsi="Times New Roman" w:cs="Times New Roman"/>
          <w:sz w:val="24"/>
          <w:szCs w:val="24"/>
        </w:rPr>
        <w:t xml:space="preserve">was to estimate the effect of the extreme heat on the </w:t>
      </w:r>
      <w:r w:rsidR="002B09E9">
        <w:rPr>
          <w:rFonts w:ascii="Times New Roman" w:hAnsi="Times New Roman" w:cs="Times New Roman"/>
          <w:sz w:val="24"/>
          <w:szCs w:val="24"/>
        </w:rPr>
        <w:t>population</w:t>
      </w:r>
      <w:r w:rsidR="002B09E9" w:rsidRPr="002B09E9">
        <w:rPr>
          <w:rFonts w:ascii="Times New Roman" w:hAnsi="Times New Roman" w:cs="Times New Roman"/>
          <w:sz w:val="24"/>
          <w:szCs w:val="24"/>
        </w:rPr>
        <w:t>.</w:t>
      </w:r>
      <w:r w:rsidR="00CC6D56">
        <w:rPr>
          <w:rFonts w:ascii="Times New Roman" w:hAnsi="Times New Roman" w:cs="Times New Roman"/>
          <w:color w:val="FF0000"/>
          <w:sz w:val="24"/>
          <w:szCs w:val="24"/>
        </w:rPr>
        <w:t xml:space="preserve"> </w:t>
      </w:r>
      <w:r w:rsidR="00DD45CF">
        <w:rPr>
          <w:rFonts w:ascii="Times New Roman" w:hAnsi="Times New Roman" w:cs="Times New Roman"/>
          <w:sz w:val="24"/>
          <w:szCs w:val="24"/>
        </w:rPr>
        <w:t>In Figure</w:t>
      </w:r>
      <w:r w:rsidR="00B233F3">
        <w:rPr>
          <w:rFonts w:ascii="Times New Roman" w:hAnsi="Times New Roman" w:cs="Times New Roman"/>
          <w:sz w:val="24"/>
          <w:szCs w:val="24"/>
        </w:rPr>
        <w:t xml:space="preserve"> 12</w:t>
      </w:r>
      <w:r w:rsidR="008A7ACF" w:rsidRPr="00CC6D56">
        <w:rPr>
          <w:rFonts w:ascii="Times New Roman" w:hAnsi="Times New Roman" w:cs="Times New Roman"/>
          <w:sz w:val="24"/>
          <w:szCs w:val="24"/>
        </w:rPr>
        <w:t xml:space="preserve"> </w:t>
      </w:r>
      <w:r w:rsidR="008A7ACF" w:rsidRPr="008A7ACF">
        <w:rPr>
          <w:rFonts w:ascii="Times New Roman" w:hAnsi="Times New Roman" w:cs="Times New Roman"/>
          <w:sz w:val="24"/>
          <w:szCs w:val="24"/>
        </w:rPr>
        <w:t xml:space="preserve">the </w:t>
      </w:r>
      <w:r w:rsidR="008A7ACF">
        <w:rPr>
          <w:rFonts w:ascii="Times New Roman" w:hAnsi="Times New Roman" w:cs="Times New Roman"/>
          <w:sz w:val="24"/>
          <w:szCs w:val="24"/>
        </w:rPr>
        <w:t xml:space="preserve">number of </w:t>
      </w:r>
      <w:r w:rsidR="002B09E9">
        <w:rPr>
          <w:rFonts w:ascii="Times New Roman" w:hAnsi="Times New Roman" w:cs="Times New Roman"/>
          <w:sz w:val="24"/>
          <w:szCs w:val="24"/>
        </w:rPr>
        <w:t>dead</w:t>
      </w:r>
      <w:r w:rsidR="008A7ACF">
        <w:rPr>
          <w:rFonts w:ascii="Times New Roman" w:hAnsi="Times New Roman" w:cs="Times New Roman"/>
          <w:sz w:val="24"/>
          <w:szCs w:val="24"/>
        </w:rPr>
        <w:t xml:space="preserve"> </w:t>
      </w:r>
      <w:r w:rsidR="00DD45CF">
        <w:rPr>
          <w:rFonts w:ascii="Times New Roman" w:hAnsi="Times New Roman" w:cs="Times New Roman"/>
          <w:sz w:val="24"/>
          <w:szCs w:val="24"/>
        </w:rPr>
        <w:t>by extreme heat up to year 2010 has been represented.</w:t>
      </w:r>
    </w:p>
    <w:p w14:paraId="4B224109" w14:textId="77777777" w:rsidR="00E87AF5" w:rsidRDefault="00E87AF5" w:rsidP="00382A6B">
      <w:pPr>
        <w:jc w:val="center"/>
      </w:pPr>
      <w:r>
        <w:rPr>
          <w:noProof/>
          <w:lang w:eastAsia="en-GB"/>
        </w:rPr>
        <w:drawing>
          <wp:inline distT="0" distB="0" distL="0" distR="0" wp14:anchorId="2B5E9902" wp14:editId="31C078DC">
            <wp:extent cx="4238625" cy="2324100"/>
            <wp:effectExtent l="0" t="0" r="9525" b="0"/>
            <wp:docPr id="13"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C25C671" w14:textId="57DF24E7" w:rsidR="008A7ACF" w:rsidRDefault="00DD45CF" w:rsidP="00382A6B">
      <w:pPr>
        <w:jc w:val="center"/>
        <w:rPr>
          <w:rFonts w:ascii="Times New Roman" w:hAnsi="Times New Roman" w:cs="Times New Roman"/>
          <w:sz w:val="24"/>
          <w:szCs w:val="24"/>
        </w:rPr>
      </w:pPr>
      <w:r w:rsidRPr="00C9256D">
        <w:rPr>
          <w:rFonts w:ascii="Times New Roman" w:hAnsi="Times New Roman" w:cs="Times New Roman"/>
        </w:rPr>
        <w:t xml:space="preserve">Figure </w:t>
      </w:r>
      <w:r w:rsidR="00B233F3">
        <w:rPr>
          <w:rFonts w:ascii="Times New Roman" w:hAnsi="Times New Roman" w:cs="Times New Roman"/>
        </w:rPr>
        <w:t>12</w:t>
      </w:r>
      <w:r w:rsidR="00C9256D" w:rsidRPr="00C9256D">
        <w:rPr>
          <w:rFonts w:ascii="Times New Roman" w:hAnsi="Times New Roman" w:cs="Times New Roman"/>
        </w:rPr>
        <w:t xml:space="preserve">. Estimation of the number of dead people </w:t>
      </w:r>
      <w:r w:rsidR="00144913">
        <w:rPr>
          <w:rFonts w:ascii="Times New Roman" w:hAnsi="Times New Roman" w:cs="Times New Roman"/>
        </w:rPr>
        <w:t xml:space="preserve">per 100.000 people/year </w:t>
      </w:r>
      <w:r w:rsidR="00C9256D" w:rsidRPr="00C9256D">
        <w:rPr>
          <w:rFonts w:ascii="Times New Roman" w:hAnsi="Times New Roman" w:cs="Times New Roman"/>
        </w:rPr>
        <w:t>by extreme heat until 2100 (</w:t>
      </w:r>
      <w:proofErr w:type="spellStart"/>
      <w:r w:rsidR="00C9256D" w:rsidRPr="00C9256D">
        <w:rPr>
          <w:rFonts w:ascii="Times New Roman" w:hAnsi="Times New Roman" w:cs="Times New Roman"/>
          <w:sz w:val="24"/>
          <w:szCs w:val="24"/>
        </w:rPr>
        <w:t>EnRoads</w:t>
      </w:r>
      <w:proofErr w:type="spellEnd"/>
      <w:r w:rsidR="00C9256D">
        <w:rPr>
          <w:rFonts w:ascii="Times New Roman" w:hAnsi="Times New Roman" w:cs="Times New Roman"/>
          <w:sz w:val="24"/>
          <w:szCs w:val="24"/>
        </w:rPr>
        <w:t>,</w:t>
      </w:r>
      <w:r w:rsidR="00C9256D" w:rsidRPr="002B09E9">
        <w:rPr>
          <w:rFonts w:ascii="Times New Roman" w:hAnsi="Times New Roman" w:cs="Times New Roman"/>
          <w:sz w:val="24"/>
          <w:szCs w:val="24"/>
        </w:rPr>
        <w:t xml:space="preserve"> 2025</w:t>
      </w:r>
      <w:r w:rsidR="00C9256D">
        <w:rPr>
          <w:rFonts w:ascii="Times New Roman" w:hAnsi="Times New Roman" w:cs="Times New Roman"/>
          <w:sz w:val="24"/>
          <w:szCs w:val="24"/>
        </w:rPr>
        <w:t>).</w:t>
      </w:r>
    </w:p>
    <w:p w14:paraId="312A39E5" w14:textId="77777777" w:rsidR="00144913" w:rsidRPr="00C9256D" w:rsidRDefault="00144913" w:rsidP="00382A6B">
      <w:pPr>
        <w:jc w:val="center"/>
        <w:rPr>
          <w:rFonts w:ascii="Times New Roman" w:hAnsi="Times New Roman" w:cs="Times New Roman"/>
          <w:color w:val="FF0000"/>
          <w:lang w:val="bg-BG"/>
        </w:rPr>
      </w:pPr>
    </w:p>
    <w:p w14:paraId="7642F665" w14:textId="3FE95229" w:rsidR="006A6D95" w:rsidRPr="00AD32EC" w:rsidRDefault="00E87AF5" w:rsidP="00F22D66">
      <w:pPr>
        <w:spacing w:line="480" w:lineRule="auto"/>
        <w:jc w:val="both"/>
        <w:rPr>
          <w:rFonts w:ascii="Times New Roman" w:hAnsi="Times New Roman" w:cs="Times New Roman"/>
          <w:sz w:val="24"/>
          <w:szCs w:val="24"/>
        </w:rPr>
      </w:pPr>
      <w:r w:rsidRPr="00E406B3">
        <w:rPr>
          <w:rFonts w:ascii="Times New Roman" w:hAnsi="Times New Roman" w:cs="Times New Roman"/>
          <w:sz w:val="24"/>
          <w:szCs w:val="24"/>
        </w:rPr>
        <w:t>In 2100 the number of deaths per 100.000</w:t>
      </w:r>
      <w:r w:rsidR="00DD45CF">
        <w:rPr>
          <w:rFonts w:ascii="Times New Roman" w:hAnsi="Times New Roman" w:cs="Times New Roman"/>
          <w:sz w:val="24"/>
          <w:szCs w:val="24"/>
        </w:rPr>
        <w:t xml:space="preserve"> </w:t>
      </w:r>
      <w:r w:rsidRPr="00E406B3">
        <w:rPr>
          <w:rFonts w:ascii="Times New Roman" w:hAnsi="Times New Roman" w:cs="Times New Roman"/>
          <w:sz w:val="24"/>
          <w:szCs w:val="24"/>
        </w:rPr>
        <w:t>persons/year in the case of Southeast Asia are expected to reach 29 (current scenario) and 51 (in baseline), being today 14, followed by Southern Europe 33 (current scenario), 49 (baseline) and 21(today) and Central Europe 23 (current scenario), 34 (baseline) and 13 (today). The smallest number corresponds to Australia 7(current scenario), 10 (baseline) and 5 (today).</w:t>
      </w:r>
      <w:bookmarkStart w:id="0" w:name="_GoBack"/>
      <w:bookmarkEnd w:id="0"/>
    </w:p>
    <w:p w14:paraId="7B22A1DC" w14:textId="77777777" w:rsidR="00582BB9" w:rsidRPr="00011B53" w:rsidRDefault="00582BB9" w:rsidP="00582BB9">
      <w:pPr>
        <w:rPr>
          <w:rFonts w:ascii="Times New Roman" w:hAnsi="Times New Roman" w:cs="Times New Roman"/>
          <w:b/>
          <w:sz w:val="24"/>
          <w:szCs w:val="24"/>
        </w:rPr>
      </w:pPr>
      <w:r>
        <w:rPr>
          <w:rStyle w:val="whitespace-normal"/>
          <w:rFonts w:ascii="Times New Roman" w:hAnsi="Times New Roman" w:cs="Times New Roman"/>
          <w:b/>
          <w:bCs/>
          <w:sz w:val="24"/>
          <w:szCs w:val="24"/>
        </w:rPr>
        <w:lastRenderedPageBreak/>
        <w:t>3.4</w:t>
      </w:r>
      <w:r w:rsidRPr="00011B53">
        <w:rPr>
          <w:rStyle w:val="whitespace-normal"/>
          <w:rFonts w:ascii="Times New Roman" w:hAnsi="Times New Roman" w:cs="Times New Roman"/>
          <w:b/>
          <w:bCs/>
          <w:sz w:val="24"/>
          <w:szCs w:val="24"/>
        </w:rPr>
        <w:t>. Th</w:t>
      </w:r>
      <w:r>
        <w:rPr>
          <w:rStyle w:val="whitespace-normal"/>
          <w:rFonts w:ascii="Times New Roman" w:hAnsi="Times New Roman" w:cs="Times New Roman"/>
          <w:b/>
          <w:bCs/>
          <w:sz w:val="24"/>
          <w:szCs w:val="24"/>
        </w:rPr>
        <w:t>e case of Spain – climate migration from</w:t>
      </w:r>
      <w:r w:rsidRPr="00011B53">
        <w:rPr>
          <w:rStyle w:val="whitespace-normal"/>
          <w:rFonts w:ascii="Times New Roman" w:hAnsi="Times New Roman" w:cs="Times New Roman"/>
          <w:b/>
          <w:bCs/>
          <w:sz w:val="24"/>
          <w:szCs w:val="24"/>
        </w:rPr>
        <w:t xml:space="preserve"> </w:t>
      </w:r>
      <w:proofErr w:type="spellStart"/>
      <w:r w:rsidRPr="00011B53">
        <w:rPr>
          <w:rStyle w:val="whitespace-normal"/>
          <w:rFonts w:ascii="Times New Roman" w:hAnsi="Times New Roman" w:cs="Times New Roman"/>
          <w:b/>
          <w:bCs/>
          <w:sz w:val="24"/>
          <w:szCs w:val="24"/>
        </w:rPr>
        <w:t>Grazalema</w:t>
      </w:r>
      <w:proofErr w:type="spellEnd"/>
      <w:r>
        <w:rPr>
          <w:rStyle w:val="whitespace-normal"/>
          <w:rFonts w:ascii="Times New Roman" w:hAnsi="Times New Roman" w:cs="Times New Roman"/>
          <w:b/>
          <w:bCs/>
          <w:sz w:val="24"/>
          <w:szCs w:val="24"/>
        </w:rPr>
        <w:t xml:space="preserve"> </w:t>
      </w:r>
    </w:p>
    <w:p w14:paraId="7AA85CD8" w14:textId="77777777" w:rsidR="00582BB9" w:rsidRPr="004B0C57" w:rsidRDefault="00582BB9" w:rsidP="00F22D66">
      <w:pPr>
        <w:spacing w:before="100" w:beforeAutospacing="1" w:after="100" w:afterAutospacing="1" w:line="480" w:lineRule="auto"/>
        <w:jc w:val="both"/>
        <w:rPr>
          <w:rFonts w:ascii="Times New Roman" w:eastAsia="Times New Roman" w:hAnsi="Times New Roman" w:cs="Times New Roman"/>
          <w:sz w:val="24"/>
          <w:szCs w:val="24"/>
          <w:lang w:eastAsia="en-GB"/>
        </w:rPr>
      </w:pPr>
      <w:r w:rsidRPr="004B0C57">
        <w:rPr>
          <w:rFonts w:ascii="Times New Roman" w:eastAsia="Times New Roman" w:hAnsi="Times New Roman" w:cs="Times New Roman"/>
          <w:sz w:val="24"/>
          <w:szCs w:val="24"/>
          <w:lang w:eastAsia="en-GB"/>
        </w:rPr>
        <w:t xml:space="preserve">In early February 2026, the municipality of </w:t>
      </w:r>
      <w:proofErr w:type="spellStart"/>
      <w:r w:rsidRPr="004B0C57">
        <w:rPr>
          <w:rFonts w:ascii="Times New Roman" w:eastAsia="Times New Roman" w:hAnsi="Times New Roman" w:cs="Times New Roman"/>
          <w:sz w:val="24"/>
          <w:szCs w:val="24"/>
          <w:lang w:eastAsia="en-GB"/>
        </w:rPr>
        <w:t>Grazalema</w:t>
      </w:r>
      <w:proofErr w:type="spellEnd"/>
      <w:r w:rsidRPr="004B0C57">
        <w:rPr>
          <w:rFonts w:ascii="Times New Roman" w:eastAsia="Times New Roman" w:hAnsi="Times New Roman" w:cs="Times New Roman"/>
          <w:sz w:val="24"/>
          <w:szCs w:val="24"/>
          <w:lang w:eastAsia="en-GB"/>
        </w:rPr>
        <w:t xml:space="preserve"> (Cádiz, Spain) experienced an extreme rainfall event that led to severe flooding and the temporary evacuation of the entire population. The episode was associated with the storm system “Leonardo,” which produced extraordinary precipitation across the region. Approximately 580 mm of rainfall were recorded within 24 hours, representing a historical record for the area. Within a nine-hour period alone, around 220 mm of rain fell, prompting the activation of a red weather warning for extreme precipitation.</w:t>
      </w:r>
    </w:p>
    <w:p w14:paraId="27FEC846" w14:textId="21AA84FF" w:rsidR="00582BB9" w:rsidRPr="0029229D" w:rsidRDefault="00582BB9" w:rsidP="00F22D66">
      <w:pPr>
        <w:spacing w:before="100" w:beforeAutospacing="1" w:after="100" w:afterAutospacing="1" w:line="480" w:lineRule="auto"/>
        <w:jc w:val="both"/>
        <w:rPr>
          <w:rFonts w:ascii="Times New Roman" w:eastAsia="Times New Roman" w:hAnsi="Times New Roman" w:cs="Times New Roman"/>
          <w:color w:val="0070C0"/>
          <w:sz w:val="24"/>
          <w:szCs w:val="24"/>
          <w:lang w:eastAsia="en-GB"/>
        </w:rPr>
      </w:pPr>
      <w:r w:rsidRPr="004B0C57">
        <w:rPr>
          <w:rFonts w:ascii="Times New Roman" w:eastAsia="Times New Roman" w:hAnsi="Times New Roman" w:cs="Times New Roman"/>
          <w:sz w:val="24"/>
          <w:szCs w:val="24"/>
          <w:lang w:eastAsia="en-GB"/>
        </w:rPr>
        <w:t>The intense rainfall caused widespread flooding in the municipality. Streets were inundated, water entered homes through floors and electrical outlets, and several roads were closed due to damage or obstruction. Given the high risk of landslides and potential structural damage to buildings, authorities decided to carry out a precautionary evacuation of the entire town. Approximately 1,600 residents were temporarily displaced and relocated mainly to the nearby city of Ronda (Mál</w:t>
      </w:r>
      <w:r w:rsidR="00B24021">
        <w:rPr>
          <w:rFonts w:ascii="Times New Roman" w:eastAsia="Times New Roman" w:hAnsi="Times New Roman" w:cs="Times New Roman"/>
          <w:sz w:val="24"/>
          <w:szCs w:val="24"/>
          <w:lang w:eastAsia="en-GB"/>
        </w:rPr>
        <w:t>aga), located about 30 km away.</w:t>
      </w:r>
      <w:r w:rsidR="00C062BE">
        <w:rPr>
          <w:rFonts w:ascii="Times New Roman" w:eastAsia="Times New Roman" w:hAnsi="Times New Roman" w:cs="Times New Roman"/>
          <w:sz w:val="24"/>
          <w:szCs w:val="24"/>
          <w:lang w:eastAsia="en-GB"/>
        </w:rPr>
        <w:t xml:space="preserve"> </w:t>
      </w:r>
      <w:r w:rsidR="00C062BE" w:rsidRPr="0029229D">
        <w:rPr>
          <w:rFonts w:ascii="Times New Roman" w:eastAsia="Times New Roman" w:hAnsi="Times New Roman" w:cs="Times New Roman"/>
          <w:color w:val="0070C0"/>
          <w:sz w:val="24"/>
          <w:szCs w:val="24"/>
          <w:lang w:eastAsia="en-GB"/>
        </w:rPr>
        <w:t xml:space="preserve">The evacuation was a preventative emergency operation, described as “orderly and phased”. The measure was adopted on February 5, 2026, by the Regional Government of Andalusia, activating the Emergency Plan for Flood Risk (PERI) due to the </w:t>
      </w:r>
      <w:r w:rsidR="0029229D" w:rsidRPr="0029229D">
        <w:rPr>
          <w:rFonts w:ascii="Times New Roman" w:eastAsia="Times New Roman" w:hAnsi="Times New Roman" w:cs="Times New Roman"/>
          <w:color w:val="0070C0"/>
          <w:sz w:val="24"/>
          <w:szCs w:val="24"/>
          <w:lang w:eastAsia="en-GB"/>
        </w:rPr>
        <w:t>Storm Leonardo. Residents were asked to leave their homes following the instructions of the security forces. The evacuation was carried out without serious incident, giving priority to vulnerable people (</w:t>
      </w:r>
      <w:r w:rsidR="0029229D">
        <w:rPr>
          <w:rFonts w:ascii="Times New Roman" w:eastAsia="Times New Roman" w:hAnsi="Times New Roman" w:cs="Times New Roman"/>
          <w:color w:val="0070C0"/>
          <w:sz w:val="24"/>
          <w:szCs w:val="24"/>
          <w:lang w:eastAsia="en-GB"/>
        </w:rPr>
        <w:t>Reuters, 2026</w:t>
      </w:r>
      <w:r w:rsidR="0029229D" w:rsidRPr="0029229D">
        <w:rPr>
          <w:rFonts w:ascii="Times New Roman" w:eastAsia="Times New Roman" w:hAnsi="Times New Roman" w:cs="Times New Roman"/>
          <w:color w:val="0070C0"/>
          <w:sz w:val="24"/>
          <w:szCs w:val="24"/>
          <w:lang w:eastAsia="en-GB"/>
        </w:rPr>
        <w:t>).</w:t>
      </w:r>
    </w:p>
    <w:p w14:paraId="7455FE5E" w14:textId="4366B78F" w:rsidR="00582BB9" w:rsidRPr="00C062BE" w:rsidRDefault="00582BB9" w:rsidP="00F22D66">
      <w:pPr>
        <w:spacing w:before="100" w:beforeAutospacing="1" w:after="100" w:afterAutospacing="1" w:line="480" w:lineRule="auto"/>
        <w:jc w:val="both"/>
        <w:rPr>
          <w:rFonts w:ascii="Times New Roman" w:eastAsia="Times New Roman" w:hAnsi="Times New Roman" w:cs="Times New Roman"/>
          <w:sz w:val="24"/>
          <w:szCs w:val="24"/>
          <w:lang w:eastAsia="en-GB"/>
        </w:rPr>
      </w:pPr>
      <w:r w:rsidRPr="004B0C57">
        <w:rPr>
          <w:rFonts w:ascii="Times New Roman" w:eastAsia="Times New Roman" w:hAnsi="Times New Roman" w:cs="Times New Roman"/>
          <w:sz w:val="24"/>
          <w:szCs w:val="24"/>
          <w:lang w:eastAsia="en-GB"/>
        </w:rPr>
        <w:t xml:space="preserve">Although </w:t>
      </w:r>
      <w:proofErr w:type="spellStart"/>
      <w:r w:rsidRPr="004B0C57">
        <w:rPr>
          <w:rFonts w:ascii="Times New Roman" w:eastAsia="Times New Roman" w:hAnsi="Times New Roman" w:cs="Times New Roman"/>
          <w:sz w:val="24"/>
          <w:szCs w:val="24"/>
          <w:lang w:eastAsia="en-GB"/>
        </w:rPr>
        <w:t>Grazalema</w:t>
      </w:r>
      <w:proofErr w:type="spellEnd"/>
      <w:r w:rsidRPr="004B0C57">
        <w:rPr>
          <w:rFonts w:ascii="Times New Roman" w:eastAsia="Times New Roman" w:hAnsi="Times New Roman" w:cs="Times New Roman"/>
          <w:sz w:val="24"/>
          <w:szCs w:val="24"/>
          <w:lang w:eastAsia="en-GB"/>
        </w:rPr>
        <w:t xml:space="preserve"> is already known as one of the rainiest locations in Spain, this event represented an exceptional episode of accumulated precipitation within a short time period. The high rainfall levels in the area are largely explained by its geographical location and topography. </w:t>
      </w:r>
      <w:proofErr w:type="spellStart"/>
      <w:r w:rsidRPr="004B0C57">
        <w:rPr>
          <w:rFonts w:ascii="Times New Roman" w:eastAsia="Times New Roman" w:hAnsi="Times New Roman" w:cs="Times New Roman"/>
          <w:sz w:val="24"/>
          <w:szCs w:val="24"/>
          <w:lang w:eastAsia="en-GB"/>
        </w:rPr>
        <w:t>Grazalema</w:t>
      </w:r>
      <w:proofErr w:type="spellEnd"/>
      <w:r w:rsidRPr="004B0C57">
        <w:rPr>
          <w:rFonts w:ascii="Times New Roman" w:eastAsia="Times New Roman" w:hAnsi="Times New Roman" w:cs="Times New Roman"/>
          <w:sz w:val="24"/>
          <w:szCs w:val="24"/>
          <w:lang w:eastAsia="en-GB"/>
        </w:rPr>
        <w:t xml:space="preserve"> is situated within the Sierra de </w:t>
      </w:r>
      <w:proofErr w:type="spellStart"/>
      <w:r w:rsidRPr="004B0C57">
        <w:rPr>
          <w:rFonts w:ascii="Times New Roman" w:eastAsia="Times New Roman" w:hAnsi="Times New Roman" w:cs="Times New Roman"/>
          <w:sz w:val="24"/>
          <w:szCs w:val="24"/>
          <w:lang w:eastAsia="en-GB"/>
        </w:rPr>
        <w:t>Grazalema</w:t>
      </w:r>
      <w:proofErr w:type="spellEnd"/>
      <w:r w:rsidRPr="004B0C57">
        <w:rPr>
          <w:rFonts w:ascii="Times New Roman" w:eastAsia="Times New Roman" w:hAnsi="Times New Roman" w:cs="Times New Roman"/>
          <w:sz w:val="24"/>
          <w:szCs w:val="24"/>
          <w:lang w:eastAsia="en-GB"/>
        </w:rPr>
        <w:t xml:space="preserve"> mountain range, where moist air masses arriving from the Atlantic Ocean frequently encounter mountainous terrain. As these </w:t>
      </w:r>
      <w:r w:rsidRPr="004B0C57">
        <w:rPr>
          <w:rFonts w:ascii="Times New Roman" w:eastAsia="Times New Roman" w:hAnsi="Times New Roman" w:cs="Times New Roman"/>
          <w:sz w:val="24"/>
          <w:szCs w:val="24"/>
          <w:lang w:eastAsia="en-GB"/>
        </w:rPr>
        <w:lastRenderedPageBreak/>
        <w:t xml:space="preserve">air masses move inland from the west or southwest, they are forced to rise when reaching the mountains. The upward movement causes the air to cool, leading to condensation </w:t>
      </w:r>
      <w:r w:rsidR="00B24021">
        <w:rPr>
          <w:rFonts w:ascii="Times New Roman" w:eastAsia="Times New Roman" w:hAnsi="Times New Roman" w:cs="Times New Roman"/>
          <w:sz w:val="24"/>
          <w:szCs w:val="24"/>
          <w:lang w:eastAsia="en-GB"/>
        </w:rPr>
        <w:t xml:space="preserve">and intense precipitation </w:t>
      </w:r>
      <w:r w:rsidR="00B233F3">
        <w:rPr>
          <w:rFonts w:ascii="Times New Roman" w:hAnsi="Times New Roman" w:cs="Times New Roman"/>
          <w:sz w:val="24"/>
          <w:szCs w:val="24"/>
        </w:rPr>
        <w:t>(Figure 13</w:t>
      </w:r>
      <w:r w:rsidR="00B24021">
        <w:rPr>
          <w:rFonts w:ascii="Times New Roman" w:hAnsi="Times New Roman" w:cs="Times New Roman"/>
          <w:sz w:val="24"/>
          <w:szCs w:val="24"/>
        </w:rPr>
        <w:t>).</w:t>
      </w:r>
      <w:r w:rsidR="005B0483">
        <w:rPr>
          <w:rFonts w:ascii="Times New Roman" w:hAnsi="Times New Roman" w:cs="Times New Roman"/>
          <w:sz w:val="24"/>
          <w:szCs w:val="24"/>
        </w:rPr>
        <w:t xml:space="preserve"> </w:t>
      </w:r>
      <w:r w:rsidR="00C062BE">
        <w:rPr>
          <w:rFonts w:ascii="Times New Roman" w:hAnsi="Times New Roman" w:cs="Times New Roman"/>
          <w:sz w:val="24"/>
          <w:szCs w:val="24"/>
        </w:rPr>
        <w:t xml:space="preserve"> </w:t>
      </w:r>
      <w:r w:rsidR="00C062BE" w:rsidRPr="004B0C57">
        <w:rPr>
          <w:rFonts w:ascii="Times New Roman" w:eastAsia="Times New Roman" w:hAnsi="Times New Roman" w:cs="Times New Roman"/>
          <w:sz w:val="24"/>
          <w:szCs w:val="24"/>
          <w:lang w:eastAsia="en-GB"/>
        </w:rPr>
        <w:t xml:space="preserve">As a result, the </w:t>
      </w:r>
      <w:proofErr w:type="spellStart"/>
      <w:r w:rsidR="00C062BE" w:rsidRPr="004B0C57">
        <w:rPr>
          <w:rFonts w:ascii="Times New Roman" w:eastAsia="Times New Roman" w:hAnsi="Times New Roman" w:cs="Times New Roman"/>
          <w:sz w:val="24"/>
          <w:szCs w:val="24"/>
          <w:lang w:eastAsia="en-GB"/>
        </w:rPr>
        <w:t>Grazalema</w:t>
      </w:r>
      <w:proofErr w:type="spellEnd"/>
      <w:r w:rsidR="00C062BE" w:rsidRPr="004B0C57">
        <w:rPr>
          <w:rFonts w:ascii="Times New Roman" w:eastAsia="Times New Roman" w:hAnsi="Times New Roman" w:cs="Times New Roman"/>
          <w:sz w:val="24"/>
          <w:szCs w:val="24"/>
          <w:lang w:eastAsia="en-GB"/>
        </w:rPr>
        <w:t xml:space="preserve"> meteor</w:t>
      </w:r>
      <w:r w:rsidR="00A746B3">
        <w:rPr>
          <w:rFonts w:ascii="Times New Roman" w:eastAsia="Times New Roman" w:hAnsi="Times New Roman" w:cs="Times New Roman"/>
          <w:sz w:val="24"/>
          <w:szCs w:val="24"/>
          <w:lang w:eastAsia="en-GB"/>
        </w:rPr>
        <w:t>ological observatory recorded</w:t>
      </w:r>
      <w:r w:rsidR="00C062BE" w:rsidRPr="004B0C57">
        <w:rPr>
          <w:rFonts w:ascii="Times New Roman" w:eastAsia="Times New Roman" w:hAnsi="Times New Roman" w:cs="Times New Roman"/>
          <w:sz w:val="24"/>
          <w:szCs w:val="24"/>
          <w:lang w:eastAsia="en-GB"/>
        </w:rPr>
        <w:t xml:space="preserve"> an average annual precipitation of approximately 2,000–2,200 mm. This is considerably higher than in many Spanish</w:t>
      </w:r>
      <w:r w:rsidR="00DB24A6">
        <w:rPr>
          <w:rFonts w:ascii="Times New Roman" w:eastAsia="Times New Roman" w:hAnsi="Times New Roman" w:cs="Times New Roman"/>
          <w:sz w:val="24"/>
          <w:szCs w:val="24"/>
          <w:lang w:eastAsia="en-GB"/>
        </w:rPr>
        <w:t xml:space="preserve"> cities, such as Madrid (</w:t>
      </w:r>
      <w:r w:rsidR="00C062BE" w:rsidRPr="004B0C57">
        <w:rPr>
          <w:rFonts w:ascii="Times New Roman" w:eastAsia="Times New Roman" w:hAnsi="Times New Roman" w:cs="Times New Roman"/>
          <w:sz w:val="24"/>
          <w:szCs w:val="24"/>
          <w:lang w:eastAsia="en-GB"/>
        </w:rPr>
        <w:t xml:space="preserve">400 </w:t>
      </w:r>
      <w:r w:rsidR="00DB24A6">
        <w:rPr>
          <w:rFonts w:ascii="Times New Roman" w:eastAsia="Times New Roman" w:hAnsi="Times New Roman" w:cs="Times New Roman"/>
          <w:sz w:val="24"/>
          <w:szCs w:val="24"/>
          <w:lang w:eastAsia="en-GB"/>
        </w:rPr>
        <w:t>mm per year) or Seville (</w:t>
      </w:r>
      <w:r w:rsidR="00C062BE" w:rsidRPr="004B0C57">
        <w:rPr>
          <w:rFonts w:ascii="Times New Roman" w:eastAsia="Times New Roman" w:hAnsi="Times New Roman" w:cs="Times New Roman"/>
          <w:sz w:val="24"/>
          <w:szCs w:val="24"/>
          <w:lang w:eastAsia="en-GB"/>
        </w:rPr>
        <w:t>550 mm per year).</w:t>
      </w:r>
    </w:p>
    <w:p w14:paraId="220C4D4B" w14:textId="689F0329" w:rsidR="00582BB9" w:rsidRDefault="00582BB9" w:rsidP="00DB24A6">
      <w:pPr>
        <w:spacing w:before="100" w:beforeAutospacing="1" w:after="100" w:afterAutospacing="1"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eastAsia="en-GB"/>
        </w:rPr>
        <w:drawing>
          <wp:inline distT="0" distB="0" distL="0" distR="0" wp14:anchorId="6A28051E" wp14:editId="0A993705">
            <wp:extent cx="2514600" cy="1959428"/>
            <wp:effectExtent l="0" t="0" r="0" b="31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568324" cy="2001291"/>
                    </a:xfrm>
                    <a:prstGeom prst="rect">
                      <a:avLst/>
                    </a:prstGeom>
                    <a:noFill/>
                    <a:ln>
                      <a:noFill/>
                    </a:ln>
                  </pic:spPr>
                </pic:pic>
              </a:graphicData>
            </a:graphic>
          </wp:inline>
        </w:drawing>
      </w:r>
      <w:r w:rsidR="00536F02">
        <w:rPr>
          <w:rFonts w:ascii="Times New Roman" w:eastAsia="Times New Roman" w:hAnsi="Times New Roman" w:cs="Times New Roman"/>
          <w:noProof/>
          <w:sz w:val="24"/>
          <w:szCs w:val="24"/>
          <w:lang w:eastAsia="en-GB"/>
        </w:rPr>
        <w:t xml:space="preserve"> </w:t>
      </w:r>
      <w:r w:rsidR="00536F02">
        <w:rPr>
          <w:rFonts w:ascii="Times New Roman" w:eastAsia="Times New Roman" w:hAnsi="Times New Roman" w:cs="Times New Roman"/>
          <w:noProof/>
          <w:sz w:val="24"/>
          <w:szCs w:val="24"/>
          <w:lang w:eastAsia="en-GB"/>
        </w:rPr>
        <w:drawing>
          <wp:inline distT="0" distB="0" distL="0" distR="0" wp14:anchorId="374936DB" wp14:editId="0ECA3146">
            <wp:extent cx="3136756" cy="1971675"/>
            <wp:effectExtent l="0" t="0" r="698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187507" cy="2003576"/>
                    </a:xfrm>
                    <a:prstGeom prst="rect">
                      <a:avLst/>
                    </a:prstGeom>
                    <a:noFill/>
                    <a:ln>
                      <a:noFill/>
                    </a:ln>
                  </pic:spPr>
                </pic:pic>
              </a:graphicData>
            </a:graphic>
          </wp:inline>
        </w:drawing>
      </w:r>
    </w:p>
    <w:p w14:paraId="4CFDF483" w14:textId="656837D8" w:rsidR="00582BB9" w:rsidRPr="00144913" w:rsidRDefault="00B233F3" w:rsidP="00582BB9">
      <w:pPr>
        <w:spacing w:before="100" w:beforeAutospacing="1" w:after="100" w:afterAutospacing="1"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Fig. 13</w:t>
      </w:r>
      <w:r w:rsidR="00582BB9" w:rsidRPr="00144913">
        <w:rPr>
          <w:rFonts w:ascii="Times New Roman" w:eastAsia="Times New Roman" w:hAnsi="Times New Roman" w:cs="Times New Roman"/>
          <w:sz w:val="24"/>
          <w:szCs w:val="24"/>
          <w:lang w:eastAsia="en-GB"/>
        </w:rPr>
        <w:t xml:space="preserve">. Google map with the location of </w:t>
      </w:r>
      <w:proofErr w:type="spellStart"/>
      <w:r w:rsidR="00582BB9" w:rsidRPr="00144913">
        <w:rPr>
          <w:rFonts w:ascii="Times New Roman" w:eastAsia="Times New Roman" w:hAnsi="Times New Roman" w:cs="Times New Roman"/>
          <w:sz w:val="24"/>
          <w:szCs w:val="24"/>
          <w:lang w:eastAsia="en-GB"/>
        </w:rPr>
        <w:t>Grazalema</w:t>
      </w:r>
      <w:proofErr w:type="spellEnd"/>
      <w:r w:rsidR="00582BB9" w:rsidRPr="00144913">
        <w:rPr>
          <w:rFonts w:ascii="Times New Roman" w:eastAsia="Times New Roman" w:hAnsi="Times New Roman" w:cs="Times New Roman"/>
          <w:sz w:val="24"/>
          <w:szCs w:val="24"/>
          <w:lang w:eastAsia="en-GB"/>
        </w:rPr>
        <w:t xml:space="preserve"> in southe</w:t>
      </w:r>
      <w:r w:rsidR="00854D28" w:rsidRPr="00144913">
        <w:rPr>
          <w:rFonts w:ascii="Times New Roman" w:eastAsia="Times New Roman" w:hAnsi="Times New Roman" w:cs="Times New Roman"/>
          <w:sz w:val="24"/>
          <w:szCs w:val="24"/>
          <w:lang w:eastAsia="en-GB"/>
        </w:rPr>
        <w:t>rn</w:t>
      </w:r>
      <w:r w:rsidR="00582BB9" w:rsidRPr="00144913">
        <w:rPr>
          <w:rFonts w:ascii="Times New Roman" w:eastAsia="Times New Roman" w:hAnsi="Times New Roman" w:cs="Times New Roman"/>
          <w:sz w:val="24"/>
          <w:szCs w:val="24"/>
          <w:lang w:eastAsia="en-GB"/>
        </w:rPr>
        <w:t xml:space="preserve"> Spain.</w:t>
      </w:r>
    </w:p>
    <w:p w14:paraId="724E40A8" w14:textId="3CED1EF3" w:rsidR="00C062BE" w:rsidRPr="00DC3501" w:rsidRDefault="00582BB9" w:rsidP="00F22D66">
      <w:pPr>
        <w:spacing w:before="100" w:beforeAutospacing="1" w:after="100" w:afterAutospacing="1" w:line="480" w:lineRule="auto"/>
        <w:jc w:val="both"/>
        <w:rPr>
          <w:rFonts w:ascii="Times New Roman" w:eastAsia="Times New Roman" w:hAnsi="Times New Roman" w:cs="Times New Roman"/>
          <w:sz w:val="24"/>
          <w:szCs w:val="24"/>
          <w:lang w:eastAsia="en-GB"/>
        </w:rPr>
      </w:pPr>
      <w:r w:rsidRPr="004B0C57">
        <w:rPr>
          <w:rFonts w:ascii="Times New Roman" w:eastAsia="Times New Roman" w:hAnsi="Times New Roman" w:cs="Times New Roman"/>
          <w:sz w:val="24"/>
          <w:szCs w:val="24"/>
          <w:lang w:eastAsia="en-GB"/>
        </w:rPr>
        <w:t>Local geological conditions also influence hydrological processes in the region. The area is dominated by limestone formations typical of karst landscapes. These formations allow water to infiltrate rapidly into the subsurface, creating caves, sinkholes, and underground drainage systems. However, when rainfall intensity exceeds the soil’s infiltration capacity, surface runoff increases significantly, which can lead to flooding and rapid water accumulation. This mechanism contributed to the flooding observed during the February 2026 event.</w:t>
      </w:r>
    </w:p>
    <w:p w14:paraId="7DD1095E" w14:textId="77777777" w:rsidR="00536F02" w:rsidRDefault="00582BB9" w:rsidP="00F22D66">
      <w:pPr>
        <w:pStyle w:val="NormalWeb"/>
        <w:spacing w:line="480" w:lineRule="auto"/>
        <w:jc w:val="both"/>
      </w:pPr>
      <w:r>
        <w:t>Testimonies from residents</w:t>
      </w:r>
      <w:r w:rsidR="00854D28">
        <w:t xml:space="preserve">, </w:t>
      </w:r>
      <w:r w:rsidR="00B162A6">
        <w:t>collected</w:t>
      </w:r>
      <w:r w:rsidR="00854D28">
        <w:t xml:space="preserve"> by the author,</w:t>
      </w:r>
      <w:r>
        <w:t xml:space="preserve"> indicate that the event was perceived as highly unusual despite the region’s long history of heavy rainfall</w:t>
      </w:r>
      <w:r w:rsidR="00854D28">
        <w:t xml:space="preserve">. </w:t>
      </w:r>
      <w:r>
        <w:t xml:space="preserve">Local business owners reported temporary closures due to flooding and the need for extensive cleaning and repairs. However, interviewees consistently emphasized the strong sense of community solidarity that emerged following the evacuation. </w:t>
      </w:r>
    </w:p>
    <w:p w14:paraId="60237169" w14:textId="57614B2A" w:rsidR="00582BB9" w:rsidRPr="00551E5E" w:rsidRDefault="00551E5E" w:rsidP="00F22D66">
      <w:pPr>
        <w:pStyle w:val="NormalWeb"/>
        <w:spacing w:line="480" w:lineRule="auto"/>
        <w:jc w:val="both"/>
        <w:rPr>
          <w:color w:val="0070C0"/>
        </w:rPr>
      </w:pPr>
      <w:r w:rsidRPr="00551E5E">
        <w:rPr>
          <w:color w:val="0070C0"/>
        </w:rPr>
        <w:lastRenderedPageBreak/>
        <w:t>The testimonies were collected with the prior consent of the participants, and all names have been replaced with fictitious ones to ensure anonymity and confidentiality.</w:t>
      </w:r>
      <w:r w:rsidR="00144913">
        <w:rPr>
          <w:color w:val="0070C0"/>
        </w:rPr>
        <w:t xml:space="preserve"> Five of the interviewed were women and the other five - men.</w:t>
      </w:r>
    </w:p>
    <w:p w14:paraId="4AC2B2DE" w14:textId="77777777" w:rsidR="00854D28" w:rsidRDefault="00582BB9" w:rsidP="00F22D66">
      <w:pPr>
        <w:pStyle w:val="NormalWeb"/>
        <w:spacing w:line="480" w:lineRule="auto"/>
        <w:jc w:val="both"/>
      </w:pPr>
      <w:r>
        <w:t xml:space="preserve">María, a 62-year-old resident who has lived in </w:t>
      </w:r>
      <w:proofErr w:type="spellStart"/>
      <w:r>
        <w:t>Grazalema</w:t>
      </w:r>
      <w:proofErr w:type="spellEnd"/>
      <w:r>
        <w:t xml:space="preserve"> her entire life, described the event as unprecedented despite the village’s well-known exposure to frequent rainfall. According to her account, precipitation intensified continuously during the night until water began flowing through the s</w:t>
      </w:r>
      <w:r w:rsidR="00854D28">
        <w:t>treets.</w:t>
      </w:r>
      <w:r>
        <w:t xml:space="preserve"> In the early morning hours, residents received warnings advising them to prepare for a possible evacuation. Emergency services later confirmed that the entire municipality would be evacuated as a precautionary measure.</w:t>
      </w:r>
      <w:r w:rsidR="00854D28">
        <w:t xml:space="preserve"> </w:t>
      </w:r>
      <w:r>
        <w:t xml:space="preserve">María reported that she and her husband quickly gathered essential belongings, including personal </w:t>
      </w:r>
      <w:r w:rsidR="00854D28">
        <w:t>documents</w:t>
      </w:r>
      <w:r>
        <w:t xml:space="preserve"> before leaving their home. They were temporarily relocated to the nearby city of Ronda, where public facilities and hotels were prepared to host evacuees. </w:t>
      </w:r>
    </w:p>
    <w:p w14:paraId="2A54D3CE" w14:textId="50DC9E84" w:rsidR="00582BB9" w:rsidRDefault="00582BB9" w:rsidP="00F22D66">
      <w:pPr>
        <w:pStyle w:val="NormalWeb"/>
        <w:spacing w:line="480" w:lineRule="auto"/>
        <w:jc w:val="both"/>
      </w:pPr>
      <w:r>
        <w:t xml:space="preserve">Pedro, a 47-year-old bar owner located in the town </w:t>
      </w:r>
      <w:r w:rsidR="00B162A6">
        <w:t>centre</w:t>
      </w:r>
      <w:r>
        <w:t>, also experienced significant impacts from the storm. He explained that the event initially appeared to be a typical heavy storm, but rainfall soon intensified to the point that the street drainage system could not cope with the water flow. As a result, water entered his establishment and caused damage, mainly due to mud and flooding inside the premises. The business remained closed for several days while cleaning and repairs were carried out.</w:t>
      </w:r>
      <w:r w:rsidR="00854D28">
        <w:t xml:space="preserve"> </w:t>
      </w:r>
      <w:r>
        <w:t xml:space="preserve">Pedro noted that the economic impact was significant, although some equipment and furniture were not severely damaged. He emphasized the collective response of the community following the evacuation, with residents helping each other to clean streets, remove damaged items, and provide food and assistance. </w:t>
      </w:r>
    </w:p>
    <w:p w14:paraId="134E418F" w14:textId="77777777" w:rsidR="00C11EBD" w:rsidRPr="00064339" w:rsidRDefault="00582BB9" w:rsidP="00E87AF5">
      <w:pPr>
        <w:pStyle w:val="MDPI22heading2"/>
        <w:spacing w:before="240"/>
        <w:ind w:left="0"/>
        <w:jc w:val="both"/>
        <w:rPr>
          <w:rFonts w:ascii="Times New Roman" w:hAnsi="Times New Roman"/>
          <w:b/>
          <w:i w:val="0"/>
          <w:color w:val="auto"/>
          <w:sz w:val="24"/>
          <w:szCs w:val="24"/>
        </w:rPr>
      </w:pPr>
      <w:r>
        <w:rPr>
          <w:rFonts w:ascii="Times New Roman" w:hAnsi="Times New Roman"/>
          <w:b/>
          <w:i w:val="0"/>
          <w:color w:val="auto"/>
          <w:sz w:val="24"/>
          <w:szCs w:val="24"/>
        </w:rPr>
        <w:t xml:space="preserve">        3.5</w:t>
      </w:r>
      <w:r w:rsidR="00C11EBD" w:rsidRPr="00064339">
        <w:rPr>
          <w:rFonts w:ascii="Times New Roman" w:hAnsi="Times New Roman"/>
          <w:b/>
          <w:i w:val="0"/>
          <w:color w:val="auto"/>
          <w:sz w:val="24"/>
          <w:szCs w:val="24"/>
        </w:rPr>
        <w:t>. The prob</w:t>
      </w:r>
      <w:r w:rsidR="008200A9" w:rsidRPr="00064339">
        <w:rPr>
          <w:rFonts w:ascii="Times New Roman" w:hAnsi="Times New Roman"/>
          <w:b/>
          <w:i w:val="0"/>
          <w:color w:val="auto"/>
          <w:sz w:val="24"/>
          <w:szCs w:val="24"/>
        </w:rPr>
        <w:t>lem of energy poverty in Europe</w:t>
      </w:r>
    </w:p>
    <w:p w14:paraId="3C35B582" w14:textId="77777777" w:rsidR="00854D28" w:rsidRPr="00A42482" w:rsidRDefault="00582BB9" w:rsidP="00F22D66">
      <w:pPr>
        <w:spacing w:before="100" w:beforeAutospacing="1" w:after="100" w:afterAutospacing="1" w:line="48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val="en-US" w:eastAsia="en-GB"/>
        </w:rPr>
        <w:t>The</w:t>
      </w:r>
      <w:r>
        <w:rPr>
          <w:rFonts w:ascii="Times New Roman" w:eastAsia="Times New Roman" w:hAnsi="Times New Roman" w:cs="Times New Roman"/>
          <w:sz w:val="24"/>
          <w:szCs w:val="24"/>
          <w:lang w:eastAsia="en-GB"/>
        </w:rPr>
        <w:t xml:space="preserve"> final problem discussed in this article concerns the so called e</w:t>
      </w:r>
      <w:r w:rsidR="00A42482" w:rsidRPr="00A42482">
        <w:rPr>
          <w:rFonts w:ascii="Times New Roman" w:eastAsia="Times New Roman" w:hAnsi="Times New Roman" w:cs="Times New Roman"/>
          <w:sz w:val="24"/>
          <w:szCs w:val="24"/>
          <w:lang w:eastAsia="en-GB"/>
        </w:rPr>
        <w:t>nergy poverty</w:t>
      </w:r>
      <w:r>
        <w:rPr>
          <w:rFonts w:ascii="Times New Roman" w:eastAsia="Times New Roman" w:hAnsi="Times New Roman" w:cs="Times New Roman"/>
          <w:sz w:val="24"/>
          <w:szCs w:val="24"/>
          <w:lang w:eastAsia="en-GB"/>
        </w:rPr>
        <w:t>, which</w:t>
      </w:r>
      <w:r w:rsidR="00A42482" w:rsidRPr="00A42482">
        <w:rPr>
          <w:rFonts w:ascii="Times New Roman" w:eastAsia="Times New Roman" w:hAnsi="Times New Roman" w:cs="Times New Roman"/>
          <w:sz w:val="24"/>
          <w:szCs w:val="24"/>
          <w:lang w:eastAsia="en-GB"/>
        </w:rPr>
        <w:t xml:space="preserve"> has emerged as a critical socio-economic and policy challenge across Europe, reflecting the </w:t>
      </w:r>
      <w:r w:rsidR="00A42482" w:rsidRPr="00A42482">
        <w:rPr>
          <w:rFonts w:ascii="Times New Roman" w:eastAsia="Times New Roman" w:hAnsi="Times New Roman" w:cs="Times New Roman"/>
          <w:sz w:val="24"/>
          <w:szCs w:val="24"/>
          <w:lang w:eastAsia="en-GB"/>
        </w:rPr>
        <w:lastRenderedPageBreak/>
        <w:t>intersection of income inequality, energy market dynamics, and housing conditions. It is commonly defined as the inability of households to secure adequate levels of essential energy services, including heating, cooling, lighting, and electricity for everyday activities. This condition not only constrains living standards but also generates adv</w:t>
      </w:r>
      <w:r w:rsidR="00854D28">
        <w:rPr>
          <w:rFonts w:ascii="Times New Roman" w:eastAsia="Times New Roman" w:hAnsi="Times New Roman" w:cs="Times New Roman"/>
          <w:sz w:val="24"/>
          <w:szCs w:val="24"/>
          <w:lang w:eastAsia="en-GB"/>
        </w:rPr>
        <w:t>erse health and social outcomes (</w:t>
      </w:r>
      <w:r w:rsidR="00854D28" w:rsidRPr="00D3000C">
        <w:rPr>
          <w:rFonts w:ascii="Times New Roman" w:eastAsia="Times New Roman" w:hAnsi="Times New Roman" w:cs="Times New Roman"/>
          <w:sz w:val="24"/>
          <w:szCs w:val="24"/>
          <w:lang w:eastAsia="en-GB"/>
        </w:rPr>
        <w:t>Energy statistics, 2024; Energy poverty, 2025).</w:t>
      </w:r>
    </w:p>
    <w:p w14:paraId="73811CA8" w14:textId="77777777" w:rsidR="00A42482" w:rsidRPr="00A42482" w:rsidRDefault="00A42482" w:rsidP="00F22D66">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42482">
        <w:rPr>
          <w:rFonts w:ascii="Times New Roman" w:eastAsia="Times New Roman" w:hAnsi="Times New Roman" w:cs="Times New Roman"/>
          <w:sz w:val="24"/>
          <w:szCs w:val="24"/>
          <w:lang w:eastAsia="en-GB"/>
        </w:rPr>
        <w:t xml:space="preserve">Across the European Union, energy poverty remains widespread despite recent policy efforts. Recent estimates </w:t>
      </w:r>
      <w:r>
        <w:rPr>
          <w:rFonts w:ascii="Times New Roman" w:eastAsia="Times New Roman" w:hAnsi="Times New Roman" w:cs="Times New Roman"/>
          <w:sz w:val="24"/>
          <w:szCs w:val="24"/>
          <w:lang w:eastAsia="en-GB"/>
        </w:rPr>
        <w:t>indicate that approximately 9.2</w:t>
      </w:r>
      <w:r w:rsidRPr="00A42482">
        <w:rPr>
          <w:rFonts w:ascii="Times New Roman" w:eastAsia="Times New Roman" w:hAnsi="Times New Roman" w:cs="Times New Roman"/>
          <w:sz w:val="24"/>
          <w:szCs w:val="24"/>
          <w:lang w:eastAsia="en-GB"/>
        </w:rPr>
        <w:t>% of EU households are unable to keep their homes adequately warm, corresponding to tens of mi</w:t>
      </w:r>
      <w:r w:rsidR="00D3000C">
        <w:rPr>
          <w:rFonts w:ascii="Times New Roman" w:eastAsia="Times New Roman" w:hAnsi="Times New Roman" w:cs="Times New Roman"/>
          <w:sz w:val="24"/>
          <w:szCs w:val="24"/>
          <w:lang w:eastAsia="en-GB"/>
        </w:rPr>
        <w:t>llions of individuals affected (</w:t>
      </w:r>
      <w:r w:rsidR="00D3000C" w:rsidRPr="00D3000C">
        <w:rPr>
          <w:rFonts w:ascii="Times New Roman" w:eastAsia="Times New Roman" w:hAnsi="Times New Roman" w:cs="Times New Roman"/>
          <w:sz w:val="24"/>
          <w:szCs w:val="24"/>
          <w:lang w:eastAsia="en-GB"/>
        </w:rPr>
        <w:t>Energy statistics, 2024; Energy poverty, 2025).</w:t>
      </w:r>
    </w:p>
    <w:p w14:paraId="3B355078" w14:textId="34FEEDFB" w:rsidR="00A42482" w:rsidRPr="00A42482" w:rsidRDefault="00A42482" w:rsidP="00F22D66">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42482">
        <w:rPr>
          <w:rFonts w:ascii="Times New Roman" w:eastAsia="Times New Roman" w:hAnsi="Times New Roman" w:cs="Times New Roman"/>
          <w:sz w:val="24"/>
          <w:szCs w:val="24"/>
          <w:lang w:eastAsia="en-GB"/>
        </w:rPr>
        <w:t>Three structural dr</w:t>
      </w:r>
      <w:r w:rsidR="003D7111">
        <w:rPr>
          <w:rFonts w:ascii="Times New Roman" w:eastAsia="Times New Roman" w:hAnsi="Times New Roman" w:cs="Times New Roman"/>
          <w:sz w:val="24"/>
          <w:szCs w:val="24"/>
          <w:lang w:eastAsia="en-GB"/>
        </w:rPr>
        <w:t>ivers are typically highlighted by</w:t>
      </w:r>
      <w:r w:rsidRPr="00A42482">
        <w:rPr>
          <w:rFonts w:ascii="Times New Roman" w:eastAsia="Times New Roman" w:hAnsi="Times New Roman" w:cs="Times New Roman"/>
          <w:sz w:val="24"/>
          <w:szCs w:val="24"/>
          <w:lang w:eastAsia="en-GB"/>
        </w:rPr>
        <w:t xml:space="preserve"> low household income, high energy prices, and poor energy efficiency of dwellings. These factors often interact cumulatively. For instance, low-income households are more likely to reside in inefficient buildings, thereby facing disproportionately high energy costs relative to their income. This dynamic reinforces existing socio-economic inequalities and creates persistent vulnerability.</w:t>
      </w:r>
    </w:p>
    <w:p w14:paraId="075CD3C1" w14:textId="77777777" w:rsidR="00A42482" w:rsidRDefault="00A42482" w:rsidP="00F22D66">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42482">
        <w:rPr>
          <w:rFonts w:ascii="Times New Roman" w:eastAsia="Times New Roman" w:hAnsi="Times New Roman" w:cs="Times New Roman"/>
          <w:sz w:val="24"/>
          <w:szCs w:val="24"/>
          <w:lang w:eastAsia="en-GB"/>
        </w:rPr>
        <w:t>Spatial disparities are also evident. Energy poverty tends to be more prevalent in Southern and Eastern European countries, where lower average incomes and less efficient housing stocks prevail. Additionally, rural areas frequently exhibit higher levels of vulnerability due to older housing, greater reliance on fossil fuels, and limited access to energy-efficient infrastruc</w:t>
      </w:r>
      <w:r>
        <w:rPr>
          <w:rFonts w:ascii="Times New Roman" w:eastAsia="Times New Roman" w:hAnsi="Times New Roman" w:cs="Times New Roman"/>
          <w:sz w:val="24"/>
          <w:szCs w:val="24"/>
          <w:lang w:eastAsia="en-GB"/>
        </w:rPr>
        <w:t xml:space="preserve">ture. Certain population groups, </w:t>
      </w:r>
      <w:r w:rsidRPr="00A42482">
        <w:rPr>
          <w:rFonts w:ascii="Times New Roman" w:eastAsia="Times New Roman" w:hAnsi="Times New Roman" w:cs="Times New Roman"/>
          <w:sz w:val="24"/>
          <w:szCs w:val="24"/>
          <w:lang w:eastAsia="en-GB"/>
        </w:rPr>
        <w:t>including the elderly, low-income households, and tenant</w:t>
      </w:r>
      <w:r>
        <w:rPr>
          <w:rFonts w:ascii="Times New Roman" w:eastAsia="Times New Roman" w:hAnsi="Times New Roman" w:cs="Times New Roman"/>
          <w:sz w:val="24"/>
          <w:szCs w:val="24"/>
          <w:lang w:eastAsia="en-GB"/>
        </w:rPr>
        <w:t xml:space="preserve">s in poorly insulated buildings, </w:t>
      </w:r>
      <w:r w:rsidR="00D3000C">
        <w:rPr>
          <w:rFonts w:ascii="Times New Roman" w:eastAsia="Times New Roman" w:hAnsi="Times New Roman" w:cs="Times New Roman"/>
          <w:sz w:val="24"/>
          <w:szCs w:val="24"/>
          <w:lang w:eastAsia="en-GB"/>
        </w:rPr>
        <w:t>are particularly exposed (</w:t>
      </w:r>
      <w:r w:rsidR="00D3000C" w:rsidRPr="00D3000C">
        <w:rPr>
          <w:rFonts w:ascii="Times New Roman" w:eastAsia="Times New Roman" w:hAnsi="Times New Roman" w:cs="Times New Roman"/>
          <w:sz w:val="24"/>
          <w:szCs w:val="24"/>
          <w:lang w:eastAsia="en-GB"/>
        </w:rPr>
        <w:t>Energy statistics, 2024; Energy poverty, 2025).</w:t>
      </w:r>
    </w:p>
    <w:p w14:paraId="0F344385" w14:textId="08F89E9F" w:rsidR="00C22CAD" w:rsidRDefault="00C22CAD" w:rsidP="00F22D66">
      <w:pPr>
        <w:spacing w:before="100" w:beforeAutospacing="1" w:after="100" w:afterAutospacing="1" w:line="48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As an illustration the energy poverty rate in Europe, corresponding to 202</w:t>
      </w:r>
      <w:r w:rsidR="00070075">
        <w:rPr>
          <w:rFonts w:ascii="Times New Roman" w:eastAsia="Times New Roman" w:hAnsi="Times New Roman" w:cs="Times New Roman"/>
          <w:sz w:val="24"/>
          <w:szCs w:val="24"/>
          <w:lang w:eastAsia="en-GB"/>
        </w:rPr>
        <w:t>4 is presented in</w:t>
      </w:r>
      <w:r w:rsidR="00AE22BB">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Figur</w:t>
      </w:r>
      <w:r w:rsidR="00B233F3">
        <w:rPr>
          <w:rFonts w:ascii="Times New Roman" w:eastAsia="Times New Roman" w:hAnsi="Times New Roman" w:cs="Times New Roman"/>
          <w:sz w:val="24"/>
          <w:szCs w:val="24"/>
          <w:lang w:eastAsia="en-GB"/>
        </w:rPr>
        <w:t>e 14</w:t>
      </w:r>
      <w:r w:rsidR="00070075">
        <w:rPr>
          <w:rFonts w:ascii="Times New Roman" w:eastAsia="Times New Roman" w:hAnsi="Times New Roman" w:cs="Times New Roman"/>
          <w:sz w:val="24"/>
          <w:szCs w:val="24"/>
          <w:lang w:eastAsia="en-GB"/>
        </w:rPr>
        <w:t xml:space="preserve"> by using</w:t>
      </w:r>
      <w:r w:rsidR="00AE22BB">
        <w:rPr>
          <w:rFonts w:ascii="Times New Roman" w:eastAsia="Times New Roman" w:hAnsi="Times New Roman" w:cs="Times New Roman"/>
          <w:sz w:val="24"/>
          <w:szCs w:val="24"/>
          <w:lang w:eastAsia="en-GB"/>
        </w:rPr>
        <w:t xml:space="preserve"> </w:t>
      </w:r>
      <w:hyperlink r:id="rId27" w:tgtFrame="_new" w:history="1">
        <w:proofErr w:type="spellStart"/>
        <w:r w:rsidR="00AE22BB" w:rsidRPr="00AE22BB">
          <w:rPr>
            <w:rStyle w:val="Hipervnculo"/>
            <w:rFonts w:ascii="Times New Roman" w:hAnsi="Times New Roman" w:cs="Times New Roman"/>
            <w:color w:val="0070C0"/>
            <w:sz w:val="24"/>
            <w:szCs w:val="24"/>
            <w:u w:val="none"/>
          </w:rPr>
          <w:t>Datawrapper</w:t>
        </w:r>
        <w:proofErr w:type="spellEnd"/>
      </w:hyperlink>
      <w:r w:rsidR="00AE22BB" w:rsidRPr="00144913">
        <w:rPr>
          <w:rFonts w:ascii="Times New Roman" w:hAnsi="Times New Roman" w:cs="Times New Roman"/>
          <w:color w:val="0070C0"/>
          <w:sz w:val="24"/>
          <w:szCs w:val="24"/>
        </w:rPr>
        <w:t xml:space="preserve"> software</w:t>
      </w:r>
      <w:r w:rsidR="00070075">
        <w:rPr>
          <w:rFonts w:ascii="Times New Roman" w:hAnsi="Times New Roman" w:cs="Times New Roman"/>
          <w:color w:val="0070C0"/>
          <w:sz w:val="24"/>
          <w:szCs w:val="24"/>
        </w:rPr>
        <w:t xml:space="preserve">. </w:t>
      </w:r>
      <w:r>
        <w:rPr>
          <w:rFonts w:ascii="Times New Roman" w:eastAsia="Times New Roman" w:hAnsi="Times New Roman" w:cs="Times New Roman"/>
          <w:sz w:val="24"/>
          <w:szCs w:val="24"/>
          <w:lang w:eastAsia="en-GB"/>
        </w:rPr>
        <w:t>The spatial inequalities are clearly seen in Southern and Eastern Europe (Energy statistics, 2024).</w:t>
      </w:r>
    </w:p>
    <w:p w14:paraId="525F7EEA" w14:textId="77777777" w:rsidR="00C22CAD" w:rsidRDefault="00C22CAD" w:rsidP="00C22CAD">
      <w:pPr>
        <w:spacing w:before="100" w:beforeAutospacing="1" w:after="100" w:afterAutospacing="1" w:line="240" w:lineRule="auto"/>
        <w:jc w:val="center"/>
        <w:rPr>
          <w:rFonts w:ascii="Times New Roman" w:eastAsia="Times New Roman" w:hAnsi="Times New Roman" w:cs="Times New Roman"/>
          <w:sz w:val="24"/>
          <w:szCs w:val="24"/>
          <w:lang w:eastAsia="en-GB"/>
        </w:rPr>
      </w:pPr>
      <w:r>
        <w:rPr>
          <w:rFonts w:ascii="Times New Roman" w:hAnsi="Times New Roman" w:cs="Times New Roman"/>
          <w:noProof/>
          <w:lang w:eastAsia="en-GB"/>
        </w:rPr>
        <w:lastRenderedPageBreak/>
        <w:drawing>
          <wp:inline distT="0" distB="0" distL="0" distR="0" wp14:anchorId="54EFAB76" wp14:editId="63469C9C">
            <wp:extent cx="3486150" cy="290126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542060" cy="2947794"/>
                    </a:xfrm>
                    <a:prstGeom prst="rect">
                      <a:avLst/>
                    </a:prstGeom>
                    <a:noFill/>
                    <a:ln>
                      <a:noFill/>
                    </a:ln>
                  </pic:spPr>
                </pic:pic>
              </a:graphicData>
            </a:graphic>
          </wp:inline>
        </w:drawing>
      </w:r>
    </w:p>
    <w:p w14:paraId="3494BC3D" w14:textId="22998CD9" w:rsidR="00C22CAD" w:rsidRDefault="00B233F3" w:rsidP="00555A32">
      <w:pPr>
        <w:autoSpaceDE w:val="0"/>
        <w:autoSpaceDN w:val="0"/>
        <w:adjustRightInd w:val="0"/>
        <w:spacing w:after="0" w:line="240" w:lineRule="auto"/>
        <w:jc w:val="center"/>
        <w:rPr>
          <w:rStyle w:val="Hipervnculo"/>
          <w:rFonts w:ascii="Times New Roman" w:hAnsi="Times New Roman" w:cs="Times New Roman"/>
        </w:rPr>
      </w:pPr>
      <w:r>
        <w:rPr>
          <w:rFonts w:ascii="Times New Roman" w:eastAsia="Times New Roman" w:hAnsi="Times New Roman" w:cs="Times New Roman"/>
          <w:sz w:val="24"/>
          <w:szCs w:val="24"/>
          <w:lang w:eastAsia="en-GB"/>
        </w:rPr>
        <w:t>Figure 14</w:t>
      </w:r>
      <w:r w:rsidR="00C22CAD">
        <w:rPr>
          <w:rFonts w:ascii="Times New Roman" w:eastAsia="Times New Roman" w:hAnsi="Times New Roman" w:cs="Times New Roman"/>
          <w:sz w:val="24"/>
          <w:szCs w:val="24"/>
          <w:lang w:eastAsia="en-GB"/>
        </w:rPr>
        <w:t xml:space="preserve">. </w:t>
      </w:r>
      <w:r w:rsidR="00C22CAD" w:rsidRPr="00555A32">
        <w:rPr>
          <w:rFonts w:ascii="Times New Roman" w:hAnsi="Times New Roman" w:cs="Times New Roman"/>
        </w:rPr>
        <w:t xml:space="preserve">Energy poverty rate in % </w:t>
      </w:r>
      <w:r w:rsidR="00555A32">
        <w:rPr>
          <w:rFonts w:ascii="Times New Roman" w:hAnsi="Times New Roman" w:cs="Times New Roman"/>
        </w:rPr>
        <w:t xml:space="preserve">for </w:t>
      </w:r>
      <w:r w:rsidR="00C22CAD" w:rsidRPr="00555A32">
        <w:rPr>
          <w:rFonts w:ascii="Times New Roman" w:hAnsi="Times New Roman" w:cs="Times New Roman"/>
        </w:rPr>
        <w:t xml:space="preserve">EU </w:t>
      </w:r>
      <w:r w:rsidR="00555A32">
        <w:rPr>
          <w:rFonts w:ascii="Times New Roman" w:hAnsi="Times New Roman" w:cs="Times New Roman"/>
        </w:rPr>
        <w:t xml:space="preserve">corresponding to </w:t>
      </w:r>
      <w:r w:rsidR="00C22CAD" w:rsidRPr="00555A32">
        <w:rPr>
          <w:rFonts w:ascii="Times New Roman" w:hAnsi="Times New Roman" w:cs="Times New Roman"/>
        </w:rPr>
        <w:t>2024</w:t>
      </w:r>
      <w:r w:rsidR="00555A32">
        <w:rPr>
          <w:rFonts w:ascii="Times New Roman" w:hAnsi="Times New Roman" w:cs="Times New Roman"/>
        </w:rPr>
        <w:t>. O</w:t>
      </w:r>
      <w:r w:rsidR="00555A32" w:rsidRPr="00555A32">
        <w:rPr>
          <w:rFonts w:ascii="Times New Roman" w:hAnsi="Times New Roman" w:cs="Times New Roman"/>
        </w:rPr>
        <w:t xml:space="preserve">wn </w:t>
      </w:r>
      <w:r w:rsidR="00C22CAD" w:rsidRPr="00555A32">
        <w:rPr>
          <w:rFonts w:ascii="Times New Roman" w:hAnsi="Times New Roman" w:cs="Times New Roman"/>
        </w:rPr>
        <w:t xml:space="preserve">graphical representation </w:t>
      </w:r>
      <w:r w:rsidR="00555A32" w:rsidRPr="00555A32">
        <w:rPr>
          <w:rFonts w:ascii="Times New Roman" w:hAnsi="Times New Roman" w:cs="Times New Roman"/>
        </w:rPr>
        <w:t xml:space="preserve">with </w:t>
      </w:r>
      <w:proofErr w:type="spellStart"/>
      <w:r w:rsidR="00C22CAD" w:rsidRPr="00555A32">
        <w:rPr>
          <w:rFonts w:ascii="Times New Roman" w:hAnsi="Times New Roman" w:cs="Times New Roman"/>
        </w:rPr>
        <w:t>Datawrapper</w:t>
      </w:r>
      <w:proofErr w:type="spellEnd"/>
      <w:r w:rsidR="00C22CAD" w:rsidRPr="00555A32">
        <w:rPr>
          <w:rFonts w:ascii="Times New Roman" w:hAnsi="Times New Roman" w:cs="Times New Roman"/>
        </w:rPr>
        <w:t xml:space="preserve"> </w:t>
      </w:r>
      <w:r w:rsidR="00555A32">
        <w:rPr>
          <w:rFonts w:ascii="Times New Roman" w:hAnsi="Times New Roman" w:cs="Times New Roman"/>
        </w:rPr>
        <w:t xml:space="preserve"> </w:t>
      </w:r>
      <w:hyperlink r:id="rId29" w:history="1">
        <w:r w:rsidR="00C22CAD" w:rsidRPr="00555A32">
          <w:rPr>
            <w:rStyle w:val="Hipervnculo"/>
            <w:rFonts w:ascii="Times New Roman" w:hAnsi="Times New Roman" w:cs="Times New Roman"/>
          </w:rPr>
          <w:t>https://datawrapper.dwcdn.net/tBPxY/1/</w:t>
        </w:r>
      </w:hyperlink>
      <w:r w:rsidR="00742E28">
        <w:rPr>
          <w:rStyle w:val="Hipervnculo"/>
          <w:rFonts w:ascii="Times New Roman" w:hAnsi="Times New Roman" w:cs="Times New Roman"/>
        </w:rPr>
        <w:t xml:space="preserve"> </w:t>
      </w:r>
      <w:r w:rsidR="00742E28" w:rsidRPr="00742E28">
        <w:rPr>
          <w:rStyle w:val="Hipervnculo"/>
          <w:rFonts w:ascii="Times New Roman" w:hAnsi="Times New Roman" w:cs="Times New Roman"/>
          <w:color w:val="auto"/>
          <w:u w:val="none"/>
        </w:rPr>
        <w:t>Source:</w:t>
      </w:r>
      <w:r w:rsidR="00742E28">
        <w:rPr>
          <w:rStyle w:val="Hipervnculo"/>
          <w:rFonts w:ascii="Times New Roman" w:hAnsi="Times New Roman" w:cs="Times New Roman"/>
        </w:rPr>
        <w:t xml:space="preserve"> </w:t>
      </w:r>
      <w:r w:rsidR="00742E28">
        <w:rPr>
          <w:rFonts w:ascii="Times New Roman" w:eastAsia="Times New Roman" w:hAnsi="Times New Roman" w:cs="Times New Roman"/>
          <w:sz w:val="24"/>
          <w:szCs w:val="24"/>
          <w:lang w:eastAsia="en-GB"/>
        </w:rPr>
        <w:t>Energy statistics (2024).</w:t>
      </w:r>
    </w:p>
    <w:p w14:paraId="490632D9" w14:textId="77777777" w:rsidR="00742E28" w:rsidRDefault="00742E28" w:rsidP="00555A32">
      <w:pPr>
        <w:autoSpaceDE w:val="0"/>
        <w:autoSpaceDN w:val="0"/>
        <w:adjustRightInd w:val="0"/>
        <w:spacing w:after="0" w:line="240" w:lineRule="auto"/>
        <w:jc w:val="center"/>
        <w:rPr>
          <w:rFonts w:ascii="Times New Roman" w:hAnsi="Times New Roman" w:cs="Times New Roman"/>
          <w:b/>
        </w:rPr>
      </w:pPr>
    </w:p>
    <w:p w14:paraId="40D54098" w14:textId="06055F60" w:rsidR="00AE22BB" w:rsidRPr="0064761F" w:rsidRDefault="00AE22BB" w:rsidP="00AE22BB">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E22BB">
        <w:rPr>
          <w:rFonts w:ascii="Times New Roman" w:eastAsia="Times New Roman" w:hAnsi="Times New Roman" w:cs="Times New Roman"/>
          <w:color w:val="0070C0"/>
          <w:sz w:val="24"/>
          <w:szCs w:val="24"/>
          <w:lang w:eastAsia="en-GB"/>
        </w:rPr>
        <w:t xml:space="preserve">A representation of the </w:t>
      </w:r>
      <w:r w:rsidRPr="00AE22BB">
        <w:rPr>
          <w:rFonts w:ascii="Times New Roman" w:eastAsia="Times New Roman" w:hAnsi="Times New Roman" w:cs="Times New Roman"/>
          <w:bCs/>
          <w:color w:val="0070C0"/>
          <w:sz w:val="24"/>
          <w:szCs w:val="24"/>
          <w:lang w:eastAsia="en-GB"/>
        </w:rPr>
        <w:t>energy consumption per capita in EU for 2024</w:t>
      </w:r>
      <w:r>
        <w:rPr>
          <w:rFonts w:ascii="Times New Roman" w:eastAsia="Times New Roman" w:hAnsi="Times New Roman" w:cs="Times New Roman"/>
          <w:bCs/>
          <w:color w:val="0070C0"/>
          <w:sz w:val="24"/>
          <w:szCs w:val="24"/>
          <w:lang w:eastAsia="en-GB"/>
        </w:rPr>
        <w:t xml:space="preserve"> in units </w:t>
      </w:r>
      <w:r w:rsidR="0064761F">
        <w:rPr>
          <w:rFonts w:ascii="Times New Roman" w:eastAsia="Times New Roman" w:hAnsi="Times New Roman" w:cs="Times New Roman"/>
          <w:bCs/>
          <w:color w:val="0070C0"/>
          <w:sz w:val="24"/>
          <w:szCs w:val="24"/>
          <w:lang w:eastAsia="en-GB"/>
        </w:rPr>
        <w:t xml:space="preserve">of </w:t>
      </w:r>
      <w:r w:rsidR="0064761F">
        <w:rPr>
          <w:rFonts w:ascii="Times New Roman" w:eastAsia="Times New Roman" w:hAnsi="Times New Roman" w:cs="Times New Roman"/>
          <w:color w:val="0070C0"/>
          <w:sz w:val="24"/>
          <w:szCs w:val="24"/>
          <w:lang w:eastAsia="en-GB"/>
        </w:rPr>
        <w:t>G</w:t>
      </w:r>
      <w:r>
        <w:rPr>
          <w:rFonts w:ascii="Times New Roman" w:eastAsia="Times New Roman" w:hAnsi="Times New Roman" w:cs="Times New Roman"/>
          <w:color w:val="0070C0"/>
          <w:sz w:val="24"/>
          <w:szCs w:val="24"/>
          <w:lang w:eastAsia="en-GB"/>
        </w:rPr>
        <w:t>igajoules per person</w:t>
      </w:r>
      <w:r w:rsidR="00070075">
        <w:rPr>
          <w:rFonts w:ascii="Times New Roman" w:eastAsia="Times New Roman" w:hAnsi="Times New Roman" w:cs="Times New Roman"/>
          <w:bCs/>
          <w:color w:val="0070C0"/>
          <w:sz w:val="24"/>
          <w:szCs w:val="24"/>
          <w:lang w:eastAsia="en-GB"/>
        </w:rPr>
        <w:t xml:space="preserve"> is given in Figure 15</w:t>
      </w:r>
      <w:r w:rsidRPr="00AE22BB">
        <w:rPr>
          <w:rFonts w:ascii="Times New Roman" w:eastAsia="Times New Roman" w:hAnsi="Times New Roman" w:cs="Times New Roman"/>
          <w:color w:val="0070C0"/>
          <w:sz w:val="24"/>
          <w:szCs w:val="24"/>
          <w:lang w:eastAsia="en-GB"/>
        </w:rPr>
        <w:t>.</w:t>
      </w:r>
      <w:r>
        <w:rPr>
          <w:rFonts w:ascii="Times New Roman" w:eastAsia="Times New Roman" w:hAnsi="Times New Roman" w:cs="Times New Roman"/>
          <w:color w:val="0070C0"/>
          <w:sz w:val="24"/>
          <w:szCs w:val="24"/>
          <w:lang w:eastAsia="en-GB"/>
        </w:rPr>
        <w:t xml:space="preserve"> </w:t>
      </w:r>
      <w:r w:rsidR="0064761F">
        <w:rPr>
          <w:rFonts w:ascii="Times New Roman" w:eastAsia="Times New Roman" w:hAnsi="Times New Roman" w:cs="Times New Roman"/>
          <w:color w:val="0070C0"/>
          <w:sz w:val="24"/>
          <w:szCs w:val="24"/>
          <w:lang w:eastAsia="en-GB"/>
        </w:rPr>
        <w:t xml:space="preserve"> As in the previous case, </w:t>
      </w:r>
      <w:r w:rsidR="0064761F" w:rsidRPr="0064761F">
        <w:rPr>
          <w:rFonts w:ascii="Times New Roman" w:eastAsia="Times New Roman" w:hAnsi="Times New Roman" w:cs="Times New Roman"/>
          <w:color w:val="0070C0"/>
          <w:sz w:val="24"/>
          <w:szCs w:val="24"/>
          <w:lang w:eastAsia="en-GB"/>
        </w:rPr>
        <w:t>the spatial inequalities are clearly seen in Southern and Eastern Europe (Energy statistics, 2024).</w:t>
      </w:r>
    </w:p>
    <w:p w14:paraId="0DD97BA3" w14:textId="380BE961" w:rsidR="00C22CAD" w:rsidRDefault="00AE22BB" w:rsidP="00C22CAD">
      <w:pPr>
        <w:spacing w:before="100" w:beforeAutospacing="1" w:after="100" w:afterAutospacing="1"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eastAsia="en-GB"/>
        </w:rPr>
        <w:drawing>
          <wp:inline distT="0" distB="0" distL="0" distR="0" wp14:anchorId="2E07AA86" wp14:editId="791598D9">
            <wp:extent cx="3457575" cy="2939802"/>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469181" cy="2949670"/>
                    </a:xfrm>
                    <a:prstGeom prst="rect">
                      <a:avLst/>
                    </a:prstGeom>
                    <a:noFill/>
                    <a:ln>
                      <a:noFill/>
                    </a:ln>
                  </pic:spPr>
                </pic:pic>
              </a:graphicData>
            </a:graphic>
          </wp:inline>
        </w:drawing>
      </w:r>
    </w:p>
    <w:p w14:paraId="0A36F995" w14:textId="3663B672" w:rsidR="00AE22BB" w:rsidRPr="00AE22BB" w:rsidRDefault="00B233F3" w:rsidP="00AE22BB">
      <w:pPr>
        <w:spacing w:before="100" w:beforeAutospacing="1" w:after="100" w:afterAutospacing="1" w:line="240" w:lineRule="auto"/>
        <w:jc w:val="center"/>
        <w:outlineLvl w:val="2"/>
        <w:rPr>
          <w:rFonts w:ascii="Times New Roman" w:hAnsi="Times New Roman" w:cs="Times New Roman"/>
          <w:color w:val="0070C0"/>
          <w:sz w:val="24"/>
          <w:szCs w:val="24"/>
          <w:u w:val="single"/>
        </w:rPr>
      </w:pPr>
      <w:r w:rsidRPr="00AE22BB">
        <w:rPr>
          <w:rFonts w:ascii="Times New Roman" w:eastAsia="Times New Roman" w:hAnsi="Times New Roman" w:cs="Times New Roman"/>
          <w:color w:val="0070C0"/>
          <w:sz w:val="24"/>
          <w:szCs w:val="24"/>
          <w:lang w:eastAsia="en-GB"/>
        </w:rPr>
        <w:t>Figure 15</w:t>
      </w:r>
      <w:r w:rsidR="00555A32" w:rsidRPr="00AE22BB">
        <w:rPr>
          <w:rFonts w:ascii="Times New Roman" w:eastAsia="Times New Roman" w:hAnsi="Times New Roman" w:cs="Times New Roman"/>
          <w:color w:val="0070C0"/>
          <w:sz w:val="24"/>
          <w:szCs w:val="24"/>
          <w:lang w:eastAsia="en-GB"/>
        </w:rPr>
        <w:t xml:space="preserve"> </w:t>
      </w:r>
      <w:r w:rsidR="00AE22BB" w:rsidRPr="00AE22BB">
        <w:rPr>
          <w:rFonts w:ascii="Times New Roman" w:eastAsia="Times New Roman" w:hAnsi="Times New Roman" w:cs="Times New Roman"/>
          <w:bCs/>
          <w:color w:val="0070C0"/>
          <w:sz w:val="24"/>
          <w:szCs w:val="24"/>
          <w:lang w:eastAsia="en-GB"/>
        </w:rPr>
        <w:t>E</w:t>
      </w:r>
      <w:r w:rsidR="00555A32" w:rsidRPr="00AE22BB">
        <w:rPr>
          <w:rFonts w:ascii="Times New Roman" w:eastAsia="Times New Roman" w:hAnsi="Times New Roman" w:cs="Times New Roman"/>
          <w:bCs/>
          <w:color w:val="0070C0"/>
          <w:sz w:val="24"/>
          <w:szCs w:val="24"/>
          <w:lang w:eastAsia="en-GB"/>
        </w:rPr>
        <w:t xml:space="preserve">nergy </w:t>
      </w:r>
      <w:r w:rsidR="00AE22BB" w:rsidRPr="00AE22BB">
        <w:rPr>
          <w:rFonts w:ascii="Times New Roman" w:eastAsia="Times New Roman" w:hAnsi="Times New Roman" w:cs="Times New Roman"/>
          <w:bCs/>
          <w:color w:val="0070C0"/>
          <w:sz w:val="24"/>
          <w:szCs w:val="24"/>
          <w:lang w:eastAsia="en-GB"/>
        </w:rPr>
        <w:t xml:space="preserve">consumption per capita in </w:t>
      </w:r>
      <w:r w:rsidR="00555A32" w:rsidRPr="00AE22BB">
        <w:rPr>
          <w:rFonts w:ascii="Times New Roman" w:eastAsia="Times New Roman" w:hAnsi="Times New Roman" w:cs="Times New Roman"/>
          <w:bCs/>
          <w:color w:val="0070C0"/>
          <w:sz w:val="24"/>
          <w:szCs w:val="24"/>
          <w:lang w:eastAsia="en-GB"/>
        </w:rPr>
        <w:t>EU corresponding to 2024</w:t>
      </w:r>
      <w:r w:rsidR="00555A32" w:rsidRPr="00AE22BB">
        <w:rPr>
          <w:rFonts w:ascii="Times New Roman" w:eastAsia="Times New Roman" w:hAnsi="Times New Roman" w:cs="Times New Roman"/>
          <w:b/>
          <w:bCs/>
          <w:color w:val="0070C0"/>
          <w:sz w:val="24"/>
          <w:szCs w:val="24"/>
          <w:lang w:eastAsia="en-GB"/>
        </w:rPr>
        <w:t xml:space="preserve">. </w:t>
      </w:r>
      <w:r w:rsidR="00555A32" w:rsidRPr="00AE22BB">
        <w:rPr>
          <w:rFonts w:ascii="Times New Roman" w:eastAsia="Times New Roman" w:hAnsi="Times New Roman" w:cs="Times New Roman"/>
          <w:bCs/>
          <w:color w:val="0070C0"/>
          <w:sz w:val="24"/>
          <w:szCs w:val="24"/>
          <w:lang w:eastAsia="en-GB"/>
        </w:rPr>
        <w:t>O</w:t>
      </w:r>
      <w:r w:rsidR="00555A32" w:rsidRPr="00AE22BB">
        <w:rPr>
          <w:rFonts w:ascii="Times New Roman" w:hAnsi="Times New Roman" w:cs="Times New Roman"/>
          <w:color w:val="0070C0"/>
          <w:sz w:val="24"/>
          <w:szCs w:val="24"/>
        </w:rPr>
        <w:t xml:space="preserve">wn graphical representation with </w:t>
      </w:r>
      <w:proofErr w:type="spellStart"/>
      <w:r w:rsidR="00555A32" w:rsidRPr="00AE22BB">
        <w:rPr>
          <w:rFonts w:ascii="Times New Roman" w:hAnsi="Times New Roman" w:cs="Times New Roman"/>
          <w:color w:val="0070C0"/>
          <w:sz w:val="24"/>
          <w:szCs w:val="24"/>
        </w:rPr>
        <w:t>Datawrapper</w:t>
      </w:r>
      <w:proofErr w:type="spellEnd"/>
      <w:r w:rsidR="00555A32" w:rsidRPr="00AE22BB">
        <w:rPr>
          <w:rFonts w:ascii="Times New Roman" w:eastAsia="Times New Roman" w:hAnsi="Times New Roman" w:cs="Times New Roman"/>
          <w:b/>
          <w:bCs/>
          <w:color w:val="0070C0"/>
          <w:sz w:val="24"/>
          <w:szCs w:val="24"/>
          <w:lang w:eastAsia="en-GB"/>
        </w:rPr>
        <w:t xml:space="preserve"> </w:t>
      </w:r>
      <w:r w:rsidR="00AE22BB" w:rsidRPr="00AE22BB">
        <w:rPr>
          <w:rFonts w:ascii="Times New Roman" w:eastAsia="Times New Roman" w:hAnsi="Times New Roman" w:cs="Times New Roman"/>
          <w:bCs/>
          <w:color w:val="0070C0"/>
          <w:sz w:val="24"/>
          <w:szCs w:val="24"/>
          <w:u w:val="single"/>
          <w:lang w:eastAsia="en-GB"/>
        </w:rPr>
        <w:t>https://datawrapper.dwcdn.net/EtIZ3/1/</w:t>
      </w:r>
      <w:r w:rsidR="00742E28" w:rsidRPr="00AE22BB">
        <w:rPr>
          <w:rStyle w:val="Hipervnculo"/>
          <w:rFonts w:ascii="Times New Roman" w:hAnsi="Times New Roman" w:cs="Times New Roman"/>
          <w:color w:val="0070C0"/>
          <w:sz w:val="24"/>
          <w:szCs w:val="24"/>
        </w:rPr>
        <w:t xml:space="preserve"> </w:t>
      </w:r>
      <w:r w:rsidR="00742E28" w:rsidRPr="00AE22BB">
        <w:rPr>
          <w:rStyle w:val="Hipervnculo"/>
          <w:rFonts w:ascii="Times New Roman" w:hAnsi="Times New Roman" w:cs="Times New Roman"/>
          <w:color w:val="0070C0"/>
          <w:u w:val="none"/>
        </w:rPr>
        <w:t>Source:</w:t>
      </w:r>
      <w:r w:rsidR="00742E28" w:rsidRPr="00AE22BB">
        <w:rPr>
          <w:rStyle w:val="Hipervnculo"/>
          <w:rFonts w:ascii="Times New Roman" w:hAnsi="Times New Roman" w:cs="Times New Roman"/>
          <w:color w:val="0070C0"/>
        </w:rPr>
        <w:t xml:space="preserve"> </w:t>
      </w:r>
      <w:r w:rsidR="00742E28" w:rsidRPr="00AE22BB">
        <w:rPr>
          <w:rFonts w:ascii="Times New Roman" w:eastAsia="Times New Roman" w:hAnsi="Times New Roman" w:cs="Times New Roman"/>
          <w:color w:val="0070C0"/>
          <w:sz w:val="24"/>
          <w:szCs w:val="24"/>
          <w:lang w:eastAsia="en-GB"/>
        </w:rPr>
        <w:t>Energy statistics (2024).</w:t>
      </w:r>
    </w:p>
    <w:p w14:paraId="7E70BFC2" w14:textId="40854B31" w:rsidR="00B87759" w:rsidRPr="00B87759" w:rsidRDefault="001C1D18" w:rsidP="007F77CC">
      <w:pPr>
        <w:spacing w:before="100" w:beforeAutospacing="1" w:after="100" w:afterAutospacing="1" w:line="480" w:lineRule="auto"/>
        <w:jc w:val="both"/>
        <w:rPr>
          <w:rFonts w:ascii="Times New Roman" w:hAnsi="Times New Roman" w:cs="Times New Roman"/>
          <w:color w:val="0070C0"/>
          <w:sz w:val="24"/>
          <w:szCs w:val="24"/>
        </w:rPr>
      </w:pPr>
      <w:r>
        <w:rPr>
          <w:rFonts w:ascii="Times New Roman" w:hAnsi="Times New Roman" w:cs="Times New Roman"/>
          <w:color w:val="0070C0"/>
          <w:sz w:val="24"/>
          <w:szCs w:val="24"/>
        </w:rPr>
        <w:lastRenderedPageBreak/>
        <w:t xml:space="preserve">As can be seen, there is a large </w:t>
      </w:r>
      <w:r w:rsidR="00BB62ED">
        <w:rPr>
          <w:rFonts w:ascii="Times New Roman" w:hAnsi="Times New Roman" w:cs="Times New Roman"/>
          <w:color w:val="0070C0"/>
          <w:sz w:val="24"/>
          <w:szCs w:val="24"/>
        </w:rPr>
        <w:t xml:space="preserve">dispersion </w:t>
      </w:r>
      <w:r w:rsidR="00DE2D0E">
        <w:rPr>
          <w:rFonts w:ascii="Times New Roman" w:hAnsi="Times New Roman" w:cs="Times New Roman"/>
          <w:color w:val="0070C0"/>
          <w:sz w:val="24"/>
          <w:szCs w:val="24"/>
        </w:rPr>
        <w:t xml:space="preserve">among the countries. Although </w:t>
      </w:r>
      <w:r w:rsidR="00B87759" w:rsidRPr="00B87759">
        <w:rPr>
          <w:rFonts w:ascii="Times New Roman" w:hAnsi="Times New Roman" w:cs="Times New Roman"/>
          <w:color w:val="0070C0"/>
          <w:sz w:val="24"/>
          <w:szCs w:val="24"/>
        </w:rPr>
        <w:t xml:space="preserve">highly populated regions </w:t>
      </w:r>
      <w:r w:rsidR="00DE2D0E">
        <w:rPr>
          <w:rFonts w:ascii="Times New Roman" w:hAnsi="Times New Roman" w:cs="Times New Roman"/>
          <w:color w:val="0070C0"/>
          <w:sz w:val="24"/>
          <w:szCs w:val="24"/>
        </w:rPr>
        <w:t>are expected to drive higher energy demand it is not always true. T</w:t>
      </w:r>
      <w:r w:rsidR="00B87759" w:rsidRPr="00B87759">
        <w:rPr>
          <w:rFonts w:ascii="Times New Roman" w:hAnsi="Times New Roman" w:cs="Times New Roman"/>
          <w:color w:val="0070C0"/>
          <w:sz w:val="24"/>
          <w:szCs w:val="24"/>
        </w:rPr>
        <w:t>he relationship depends on regional infrastructu</w:t>
      </w:r>
      <w:r w:rsidR="00DE2D0E">
        <w:rPr>
          <w:rFonts w:ascii="Times New Roman" w:hAnsi="Times New Roman" w:cs="Times New Roman"/>
          <w:color w:val="0070C0"/>
          <w:sz w:val="24"/>
          <w:szCs w:val="24"/>
        </w:rPr>
        <w:t xml:space="preserve">re, climate, </w:t>
      </w:r>
      <w:r w:rsidR="007F77CC">
        <w:rPr>
          <w:rFonts w:ascii="Times New Roman" w:hAnsi="Times New Roman" w:cs="Times New Roman"/>
          <w:color w:val="0070C0"/>
          <w:sz w:val="24"/>
          <w:szCs w:val="24"/>
        </w:rPr>
        <w:t>local economy and it is highly non-linear.</w:t>
      </w:r>
      <w:r w:rsidR="00DE2D0E">
        <w:rPr>
          <w:rFonts w:ascii="Times New Roman" w:hAnsi="Times New Roman" w:cs="Times New Roman"/>
          <w:color w:val="0070C0"/>
          <w:sz w:val="24"/>
          <w:szCs w:val="24"/>
        </w:rPr>
        <w:t xml:space="preserve"> This is clearly seen in the case of the Scandinavian countries and especially Finland, which counts of</w:t>
      </w:r>
      <w:r w:rsidR="00070075">
        <w:rPr>
          <w:rFonts w:ascii="Times New Roman" w:hAnsi="Times New Roman" w:cs="Times New Roman"/>
          <w:color w:val="0070C0"/>
          <w:sz w:val="24"/>
          <w:szCs w:val="24"/>
        </w:rPr>
        <w:t xml:space="preserve"> 5.66 million people (2025) and </w:t>
      </w:r>
      <w:r w:rsidR="00DE2D0E">
        <w:rPr>
          <w:rFonts w:ascii="Times New Roman" w:hAnsi="Times New Roman" w:cs="Times New Roman"/>
          <w:color w:val="0070C0"/>
          <w:sz w:val="24"/>
          <w:szCs w:val="24"/>
        </w:rPr>
        <w:t>has the higher energy consummation in the EU.</w:t>
      </w:r>
    </w:p>
    <w:p w14:paraId="17090D2E" w14:textId="4E60F40E" w:rsidR="00070075" w:rsidRPr="00070075" w:rsidRDefault="00DB24A6" w:rsidP="00070075">
      <w:pPr>
        <w:spacing w:before="100" w:beforeAutospacing="1" w:after="100" w:afterAutospacing="1" w:line="48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en-GB"/>
        </w:rPr>
        <w:t>Recently, an extensive project related to the energy vulnerability in Bulgaria has introduced an interesting methodology corresponding to quantitative measures by the so called energy vulnerability index (</w:t>
      </w:r>
      <w:proofErr w:type="spellStart"/>
      <w:r>
        <w:rPr>
          <w:rFonts w:ascii="Times New Roman" w:hAnsi="Times New Roman" w:cs="Times New Roman"/>
          <w:sz w:val="24"/>
          <w:szCs w:val="24"/>
        </w:rPr>
        <w:t>Peneva</w:t>
      </w:r>
      <w:proofErr w:type="spellEnd"/>
      <w:r>
        <w:rPr>
          <w:rFonts w:ascii="Times New Roman" w:hAnsi="Times New Roman" w:cs="Times New Roman"/>
          <w:sz w:val="24"/>
          <w:szCs w:val="24"/>
        </w:rPr>
        <w:t>, 202</w:t>
      </w:r>
      <w:r w:rsidR="00070075">
        <w:rPr>
          <w:rFonts w:ascii="Times New Roman" w:hAnsi="Times New Roman" w:cs="Times New Roman"/>
          <w:sz w:val="24"/>
          <w:szCs w:val="24"/>
        </w:rPr>
        <w:t xml:space="preserve">5; </w:t>
      </w:r>
      <w:proofErr w:type="spellStart"/>
      <w:r w:rsidR="00070075">
        <w:rPr>
          <w:rFonts w:ascii="Times New Roman" w:hAnsi="Times New Roman" w:cs="Times New Roman"/>
          <w:sz w:val="24"/>
          <w:szCs w:val="24"/>
        </w:rPr>
        <w:t>Koroutchev</w:t>
      </w:r>
      <w:proofErr w:type="spellEnd"/>
      <w:r w:rsidR="00070075">
        <w:rPr>
          <w:rFonts w:ascii="Times New Roman" w:hAnsi="Times New Roman" w:cs="Times New Roman"/>
          <w:sz w:val="24"/>
          <w:szCs w:val="24"/>
        </w:rPr>
        <w:t xml:space="preserve"> et al. 2026). </w:t>
      </w:r>
      <w:proofErr w:type="gramStart"/>
      <w:r w:rsidR="00070075">
        <w:rPr>
          <w:rFonts w:ascii="Times New Roman" w:hAnsi="Times New Roman" w:cs="Times New Roman"/>
          <w:sz w:val="24"/>
          <w:szCs w:val="24"/>
        </w:rPr>
        <w:t>Its</w:t>
      </w:r>
      <w:r>
        <w:rPr>
          <w:rFonts w:ascii="Times New Roman" w:hAnsi="Times New Roman" w:cs="Times New Roman"/>
          <w:sz w:val="24"/>
          <w:szCs w:val="24"/>
        </w:rPr>
        <w:t xml:space="preserve"> includes</w:t>
      </w:r>
      <w:proofErr w:type="gramEnd"/>
      <w:r>
        <w:rPr>
          <w:rFonts w:ascii="Times New Roman" w:hAnsi="Times New Roman" w:cs="Times New Roman"/>
          <w:sz w:val="24"/>
          <w:szCs w:val="24"/>
        </w:rPr>
        <w:t xml:space="preserve"> three sub-indexes related to</w:t>
      </w:r>
      <w:r w:rsidR="00070075">
        <w:rPr>
          <w:rFonts w:ascii="Times New Roman" w:hAnsi="Times New Roman" w:cs="Times New Roman"/>
          <w:sz w:val="24"/>
          <w:szCs w:val="24"/>
        </w:rPr>
        <w:t>:</w:t>
      </w:r>
      <w:r>
        <w:rPr>
          <w:rFonts w:ascii="Times New Roman" w:hAnsi="Times New Roman" w:cs="Times New Roman"/>
          <w:sz w:val="24"/>
          <w:szCs w:val="24"/>
        </w:rPr>
        <w:t xml:space="preserve"> </w:t>
      </w:r>
      <w:r w:rsidRPr="00070075">
        <w:rPr>
          <w:rFonts w:ascii="Times New Roman" w:hAnsi="Times New Roman" w:cs="Times New Roman"/>
          <w:color w:val="0070C0"/>
          <w:sz w:val="24"/>
          <w:szCs w:val="24"/>
        </w:rPr>
        <w:t xml:space="preserve">energy needs </w:t>
      </w:r>
      <w:r w:rsidR="00070075">
        <w:rPr>
          <w:rFonts w:ascii="Times New Roman" w:hAnsi="Times New Roman" w:cs="Times New Roman"/>
          <w:color w:val="0070C0"/>
          <w:sz w:val="24"/>
          <w:szCs w:val="24"/>
        </w:rPr>
        <w:t>(</w:t>
      </w:r>
      <w:r w:rsidRPr="00070075">
        <w:rPr>
          <w:rFonts w:ascii="Times New Roman" w:hAnsi="Times New Roman" w:cs="Times New Roman"/>
          <w:color w:val="0070C0"/>
          <w:sz w:val="24"/>
          <w:szCs w:val="24"/>
        </w:rPr>
        <w:t xml:space="preserve">days/degrees, householders using gas, diesel, carbon, wood and householders without energy measures), </w:t>
      </w:r>
      <w:r w:rsidR="00070075">
        <w:rPr>
          <w:rFonts w:ascii="Times New Roman" w:hAnsi="Times New Roman" w:cs="Times New Roman"/>
          <w:color w:val="0070C0"/>
          <w:sz w:val="24"/>
          <w:szCs w:val="24"/>
        </w:rPr>
        <w:t>social vulnerability (</w:t>
      </w:r>
      <w:r w:rsidRPr="00070075">
        <w:rPr>
          <w:rFonts w:ascii="Times New Roman" w:hAnsi="Times New Roman" w:cs="Times New Roman"/>
          <w:color w:val="0070C0"/>
          <w:sz w:val="24"/>
          <w:szCs w:val="24"/>
        </w:rPr>
        <w:t>unemployment coefficient, income, householders with income under the poverty threshold and high levels of morta</w:t>
      </w:r>
      <w:r w:rsidR="00070075" w:rsidRPr="00070075">
        <w:rPr>
          <w:rFonts w:ascii="Times New Roman" w:hAnsi="Times New Roman" w:cs="Times New Roman"/>
          <w:color w:val="0070C0"/>
          <w:sz w:val="24"/>
          <w:szCs w:val="24"/>
        </w:rPr>
        <w:t>lity during winter) and</w:t>
      </w:r>
      <w:r w:rsidR="00070075">
        <w:rPr>
          <w:rFonts w:ascii="Times New Roman" w:hAnsi="Times New Roman" w:cs="Times New Roman"/>
          <w:sz w:val="24"/>
          <w:szCs w:val="24"/>
        </w:rPr>
        <w:t xml:space="preserve"> </w:t>
      </w:r>
      <w:r w:rsidR="00070075">
        <w:rPr>
          <w:rFonts w:ascii="Times New Roman" w:hAnsi="Times New Roman" w:cs="Times New Roman"/>
          <w:color w:val="0070C0"/>
          <w:sz w:val="24"/>
          <w:szCs w:val="24"/>
        </w:rPr>
        <w:t>energy poverty (</w:t>
      </w:r>
      <w:r w:rsidRPr="00070075">
        <w:rPr>
          <w:rFonts w:ascii="Times New Roman" w:hAnsi="Times New Roman" w:cs="Times New Roman"/>
          <w:color w:val="0070C0"/>
          <w:sz w:val="24"/>
          <w:szCs w:val="24"/>
        </w:rPr>
        <w:t xml:space="preserve">leaking roof, financial difficulties to maintain normal temperature and financial difficulties to pay bills). </w:t>
      </w:r>
    </w:p>
    <w:p w14:paraId="5DDB9DE0" w14:textId="514B5FA6" w:rsidR="00DB24A6" w:rsidRPr="00070075" w:rsidRDefault="00DB24A6" w:rsidP="00070075">
      <w:pPr>
        <w:spacing w:before="100" w:beforeAutospacing="1" w:after="100" w:afterAutospacing="1" w:line="480" w:lineRule="auto"/>
        <w:jc w:val="both"/>
        <w:rPr>
          <w:rFonts w:ascii="Times New Roman" w:hAnsi="Times New Roman" w:cs="Times New Roman"/>
          <w:sz w:val="24"/>
          <w:szCs w:val="24"/>
        </w:rPr>
      </w:pPr>
      <w:r w:rsidRPr="00070075">
        <w:rPr>
          <w:rFonts w:ascii="Times New Roman" w:hAnsi="Times New Roman" w:cs="Times New Roman"/>
          <w:sz w:val="24"/>
          <w:szCs w:val="24"/>
        </w:rPr>
        <w:t>An</w:t>
      </w:r>
      <w:r w:rsidRPr="00070075">
        <w:rPr>
          <w:rFonts w:ascii="Times New Roman" w:hAnsi="Times New Roman" w:cs="Times New Roman"/>
          <w:color w:val="FF0000"/>
          <w:sz w:val="24"/>
          <w:szCs w:val="24"/>
        </w:rPr>
        <w:t xml:space="preserve"> </w:t>
      </w:r>
      <w:r w:rsidRPr="00070075">
        <w:rPr>
          <w:rFonts w:ascii="Times New Roman" w:hAnsi="Times New Roman" w:cs="Times New Roman"/>
          <w:sz w:val="24"/>
          <w:szCs w:val="24"/>
        </w:rPr>
        <w:t>exhaustive database across the country based on a large list of parameters has been built thus showing the most ener</w:t>
      </w:r>
      <w:r w:rsidR="005F0FC6" w:rsidRPr="00070075">
        <w:rPr>
          <w:rFonts w:ascii="Times New Roman" w:hAnsi="Times New Roman" w:cs="Times New Roman"/>
          <w:sz w:val="24"/>
          <w:szCs w:val="24"/>
        </w:rPr>
        <w:t>gy vulnerable regions (Fig. 16)</w:t>
      </w:r>
      <w:r w:rsidRPr="00070075">
        <w:rPr>
          <w:rFonts w:ascii="Times New Roman" w:hAnsi="Times New Roman" w:cs="Times New Roman"/>
          <w:sz w:val="24"/>
          <w:szCs w:val="24"/>
        </w:rPr>
        <w:t xml:space="preserve">. </w:t>
      </w:r>
    </w:p>
    <w:p w14:paraId="39CABC69" w14:textId="77777777" w:rsidR="006B250C" w:rsidRDefault="0049544A" w:rsidP="007837CD">
      <w:pPr>
        <w:spacing w:before="100" w:beforeAutospacing="1" w:after="100" w:afterAutospacing="1" w:line="240" w:lineRule="auto"/>
        <w:jc w:val="center"/>
        <w:rPr>
          <w:rFonts w:ascii="Times New Roman" w:hAnsi="Times New Roman" w:cs="Times New Roman"/>
          <w:sz w:val="24"/>
          <w:szCs w:val="24"/>
        </w:rPr>
      </w:pPr>
      <w:r w:rsidRPr="0049544A">
        <w:rPr>
          <w:rFonts w:ascii="Times New Roman" w:hAnsi="Times New Roman" w:cs="Times New Roman"/>
          <w:noProof/>
          <w:sz w:val="24"/>
          <w:szCs w:val="24"/>
          <w:lang w:eastAsia="en-GB"/>
        </w:rPr>
        <w:drawing>
          <wp:inline distT="0" distB="0" distL="0" distR="0" wp14:anchorId="17128BBD" wp14:editId="60E85A68">
            <wp:extent cx="2686050" cy="2238375"/>
            <wp:effectExtent l="0" t="0" r="0" b="9525"/>
            <wp:docPr id="8" name="Imagen 1"/>
            <wp:cNvGraphicFramePr/>
            <a:graphic xmlns:a="http://schemas.openxmlformats.org/drawingml/2006/main">
              <a:graphicData uri="http://schemas.openxmlformats.org/drawingml/2006/picture">
                <pic:pic xmlns:pic="http://schemas.openxmlformats.org/drawingml/2006/picture">
                  <pic:nvPicPr>
                    <pic:cNvPr id="2" name="Imagen 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686050" cy="2238375"/>
                    </a:xfrm>
                    <a:prstGeom prst="rect">
                      <a:avLst/>
                    </a:prstGeom>
                    <a:noFill/>
                    <a:ln>
                      <a:noFill/>
                    </a:ln>
                  </pic:spPr>
                </pic:pic>
              </a:graphicData>
            </a:graphic>
          </wp:inline>
        </w:drawing>
      </w:r>
    </w:p>
    <w:p w14:paraId="31AAD672" w14:textId="3CBDE11F" w:rsidR="007837CD" w:rsidRPr="0049544A" w:rsidRDefault="005F0FC6" w:rsidP="0049544A">
      <w:pPr>
        <w:spacing w:before="100" w:beforeAutospacing="1" w:after="100" w:afterAutospacing="1"/>
        <w:jc w:val="center"/>
        <w:rPr>
          <w:rFonts w:ascii="Times New Roman" w:hAnsi="Times New Roman" w:cs="Times New Roman"/>
          <w:bCs/>
          <w:sz w:val="24"/>
          <w:szCs w:val="24"/>
        </w:rPr>
      </w:pPr>
      <w:r>
        <w:rPr>
          <w:rFonts w:ascii="Times New Roman" w:hAnsi="Times New Roman" w:cs="Times New Roman"/>
          <w:sz w:val="24"/>
          <w:szCs w:val="24"/>
        </w:rPr>
        <w:t>Figure 16</w:t>
      </w:r>
      <w:r w:rsidR="007837CD">
        <w:rPr>
          <w:rFonts w:ascii="Times New Roman" w:hAnsi="Times New Roman" w:cs="Times New Roman"/>
          <w:sz w:val="24"/>
          <w:szCs w:val="24"/>
        </w:rPr>
        <w:t>. Repr</w:t>
      </w:r>
      <w:r w:rsidR="00B51358">
        <w:rPr>
          <w:rFonts w:ascii="Times New Roman" w:hAnsi="Times New Roman" w:cs="Times New Roman"/>
          <w:sz w:val="24"/>
          <w:szCs w:val="24"/>
        </w:rPr>
        <w:t>esentation of the energy vulnerability</w:t>
      </w:r>
      <w:r w:rsidR="007837CD">
        <w:rPr>
          <w:rFonts w:ascii="Times New Roman" w:hAnsi="Times New Roman" w:cs="Times New Roman"/>
          <w:sz w:val="24"/>
          <w:szCs w:val="24"/>
        </w:rPr>
        <w:t xml:space="preserve"> index in Bulgaria. The dark regions are those with the highest values of the index. Own repr</w:t>
      </w:r>
      <w:r w:rsidR="0049544A">
        <w:rPr>
          <w:rFonts w:ascii="Times New Roman" w:hAnsi="Times New Roman" w:cs="Times New Roman"/>
          <w:sz w:val="24"/>
          <w:szCs w:val="24"/>
        </w:rPr>
        <w:t xml:space="preserve">esentation by using </w:t>
      </w:r>
      <w:proofErr w:type="spellStart"/>
      <w:r w:rsidR="0049544A">
        <w:rPr>
          <w:rFonts w:ascii="Times New Roman" w:hAnsi="Times New Roman" w:cs="Times New Roman"/>
          <w:sz w:val="24"/>
          <w:szCs w:val="24"/>
        </w:rPr>
        <w:t>Datawrapper</w:t>
      </w:r>
      <w:proofErr w:type="spellEnd"/>
      <w:r w:rsidR="0049544A">
        <w:rPr>
          <w:rFonts w:ascii="Times New Roman" w:hAnsi="Times New Roman" w:cs="Times New Roman"/>
          <w:sz w:val="24"/>
          <w:szCs w:val="24"/>
        </w:rPr>
        <w:t xml:space="preserve">: </w:t>
      </w:r>
      <w:hyperlink r:id="rId32" w:history="1">
        <w:r w:rsidR="0049544A" w:rsidRPr="00B44C68">
          <w:rPr>
            <w:rStyle w:val="Hipervnculo"/>
            <w:rFonts w:ascii="Times New Roman" w:hAnsi="Times New Roman" w:cs="Times New Roman"/>
            <w:bCs/>
            <w:sz w:val="24"/>
            <w:szCs w:val="24"/>
          </w:rPr>
          <w:t>https://datawrapper.dwcdn.net/NCEuP/3</w:t>
        </w:r>
      </w:hyperlink>
      <w:r w:rsidR="0049544A">
        <w:rPr>
          <w:rFonts w:ascii="Times New Roman" w:hAnsi="Times New Roman" w:cs="Times New Roman"/>
          <w:bCs/>
          <w:sz w:val="24"/>
          <w:szCs w:val="24"/>
        </w:rPr>
        <w:t xml:space="preserve"> </w:t>
      </w:r>
      <w:r w:rsidR="0049544A">
        <w:rPr>
          <w:rFonts w:ascii="Times New Roman" w:hAnsi="Times New Roman" w:cs="Times New Roman"/>
          <w:sz w:val="24"/>
          <w:szCs w:val="24"/>
        </w:rPr>
        <w:t xml:space="preserve">Source: </w:t>
      </w:r>
      <w:proofErr w:type="spellStart"/>
      <w:r w:rsidR="0049544A">
        <w:rPr>
          <w:rFonts w:ascii="Times New Roman" w:hAnsi="Times New Roman" w:cs="Times New Roman"/>
          <w:sz w:val="24"/>
          <w:szCs w:val="24"/>
        </w:rPr>
        <w:t>Peneva</w:t>
      </w:r>
      <w:proofErr w:type="spellEnd"/>
      <w:r w:rsidR="0049544A">
        <w:rPr>
          <w:rFonts w:ascii="Times New Roman" w:hAnsi="Times New Roman" w:cs="Times New Roman"/>
          <w:sz w:val="24"/>
          <w:szCs w:val="24"/>
        </w:rPr>
        <w:t xml:space="preserve"> (2025)</w:t>
      </w:r>
      <w:r w:rsidR="007837CD">
        <w:rPr>
          <w:rFonts w:ascii="Times New Roman" w:hAnsi="Times New Roman" w:cs="Times New Roman"/>
          <w:sz w:val="24"/>
          <w:szCs w:val="24"/>
        </w:rPr>
        <w:t>.</w:t>
      </w:r>
    </w:p>
    <w:p w14:paraId="284E8FAB" w14:textId="012A4E40" w:rsidR="00BE2BDC" w:rsidRDefault="000446B3" w:rsidP="00AB3792">
      <w:pPr>
        <w:spacing w:before="100" w:beforeAutospacing="1" w:after="100" w:afterAutospacing="1" w:line="480" w:lineRule="auto"/>
        <w:jc w:val="both"/>
        <w:rPr>
          <w:rStyle w:val="rynqvb"/>
          <w:rFonts w:ascii="Times New Roman" w:hAnsi="Times New Roman" w:cs="Times New Roman"/>
          <w:color w:val="0070C0"/>
          <w:sz w:val="24"/>
          <w:szCs w:val="24"/>
          <w:lang w:val="en"/>
        </w:rPr>
      </w:pPr>
      <w:r w:rsidRPr="000446B3">
        <w:rPr>
          <w:rStyle w:val="rynqvb"/>
          <w:rFonts w:ascii="Times New Roman" w:hAnsi="Times New Roman" w:cs="Times New Roman"/>
          <w:color w:val="0070C0"/>
          <w:sz w:val="24"/>
          <w:szCs w:val="24"/>
          <w:lang w:val="en"/>
        </w:rPr>
        <w:lastRenderedPageBreak/>
        <w:t>A brief explanation of the calculation of the social vulnerability sub index</w:t>
      </w:r>
      <w:r>
        <w:rPr>
          <w:rStyle w:val="rynqvb"/>
          <w:rFonts w:ascii="Times New Roman" w:hAnsi="Times New Roman" w:cs="Times New Roman"/>
          <w:color w:val="0070C0"/>
          <w:sz w:val="24"/>
          <w:szCs w:val="24"/>
          <w:lang w:val="en"/>
        </w:rPr>
        <w:t xml:space="preserve"> </w:t>
      </w:r>
      <w:r w:rsidR="00070075">
        <w:rPr>
          <w:rStyle w:val="rynqvb"/>
          <w:rFonts w:ascii="Times New Roman" w:hAnsi="Times New Roman" w:cs="Times New Roman"/>
          <w:color w:val="0070C0"/>
          <w:sz w:val="24"/>
          <w:szCs w:val="24"/>
          <w:lang w:val="en"/>
        </w:rPr>
        <w:t>i</w:t>
      </w:r>
      <w:r w:rsidR="002427C7">
        <w:rPr>
          <w:rStyle w:val="rynqvb"/>
          <w:rFonts w:ascii="Times New Roman" w:hAnsi="Times New Roman" w:cs="Times New Roman"/>
          <w:color w:val="0070C0"/>
          <w:sz w:val="24"/>
          <w:szCs w:val="24"/>
          <w:lang w:val="en"/>
        </w:rPr>
        <w:t xml:space="preserve">n the case of </w:t>
      </w:r>
      <w:r w:rsidR="00070075">
        <w:rPr>
          <w:rStyle w:val="rynqvb"/>
          <w:rFonts w:ascii="Times New Roman" w:hAnsi="Times New Roman" w:cs="Times New Roman"/>
          <w:color w:val="0070C0"/>
          <w:sz w:val="24"/>
          <w:szCs w:val="24"/>
          <w:lang w:val="en"/>
        </w:rPr>
        <w:t xml:space="preserve">the region of Vidin </w:t>
      </w:r>
      <w:r>
        <w:rPr>
          <w:rStyle w:val="rynqvb"/>
          <w:rFonts w:ascii="Times New Roman" w:hAnsi="Times New Roman" w:cs="Times New Roman"/>
          <w:color w:val="0070C0"/>
          <w:sz w:val="24"/>
          <w:szCs w:val="24"/>
          <w:lang w:val="en"/>
        </w:rPr>
        <w:t>(one of the poorest regions)</w:t>
      </w:r>
      <w:r w:rsidRPr="000446B3">
        <w:rPr>
          <w:rStyle w:val="rynqvb"/>
          <w:rFonts w:ascii="Times New Roman" w:hAnsi="Times New Roman" w:cs="Times New Roman"/>
          <w:color w:val="0070C0"/>
          <w:sz w:val="24"/>
          <w:szCs w:val="24"/>
          <w:lang w:val="en"/>
        </w:rPr>
        <w:t xml:space="preserve"> is presen</w:t>
      </w:r>
      <w:r w:rsidR="00070075">
        <w:rPr>
          <w:rStyle w:val="rynqvb"/>
          <w:rFonts w:ascii="Times New Roman" w:hAnsi="Times New Roman" w:cs="Times New Roman"/>
          <w:color w:val="0070C0"/>
          <w:sz w:val="24"/>
          <w:szCs w:val="24"/>
          <w:lang w:val="en"/>
        </w:rPr>
        <w:t>ted as follows.</w:t>
      </w:r>
    </w:p>
    <w:p w14:paraId="01676445" w14:textId="78C5A511" w:rsidR="002427C7" w:rsidRPr="002427C7" w:rsidRDefault="002427C7" w:rsidP="002427C7">
      <w:pPr>
        <w:spacing w:before="100" w:beforeAutospacing="1" w:after="100" w:afterAutospacing="1" w:line="480" w:lineRule="auto"/>
        <w:jc w:val="both"/>
        <w:rPr>
          <w:rStyle w:val="rynqvb"/>
          <w:rFonts w:ascii="Times New Roman" w:hAnsi="Times New Roman" w:cs="Times New Roman"/>
          <w:color w:val="0070C0"/>
          <w:sz w:val="24"/>
          <w:szCs w:val="24"/>
          <w:lang w:val="en"/>
        </w:rPr>
      </w:pPr>
      <w:r w:rsidRPr="002427C7">
        <w:rPr>
          <w:rStyle w:val="rynqvb"/>
          <w:rFonts w:ascii="Times New Roman" w:hAnsi="Times New Roman" w:cs="Times New Roman"/>
          <w:color w:val="0070C0"/>
          <w:sz w:val="24"/>
          <w:szCs w:val="24"/>
          <w:lang w:val="en"/>
        </w:rPr>
        <w:t>The social vulnerability sub-index was calculated by aggregating a set of socioeconomic indicators at the regional level. For the region of Vidin, unemployment in 2023 reached 12%, corresponding to a contribution of 0.12 to the social vulnerability score. The share of households living below the poverty threshold amounted to 34%, contributing 0.34 to the index. Income vulnerability was estimated as the relative distance from the highest regional income level, represented by Sofia (capital region). In the case of Vidin, income levels were 34% lower than those of Sofia, resulting in a</w:t>
      </w:r>
      <w:r w:rsidR="00070075">
        <w:rPr>
          <w:rStyle w:val="rynqvb"/>
          <w:rFonts w:ascii="Times New Roman" w:hAnsi="Times New Roman" w:cs="Times New Roman"/>
          <w:color w:val="0070C0"/>
          <w:sz w:val="24"/>
          <w:szCs w:val="24"/>
          <w:lang w:val="en"/>
        </w:rPr>
        <w:t>nother</w:t>
      </w:r>
      <w:r w:rsidRPr="002427C7">
        <w:rPr>
          <w:rStyle w:val="rynqvb"/>
          <w:rFonts w:ascii="Times New Roman" w:hAnsi="Times New Roman" w:cs="Times New Roman"/>
          <w:color w:val="0070C0"/>
          <w:sz w:val="24"/>
          <w:szCs w:val="24"/>
          <w:lang w:val="en"/>
        </w:rPr>
        <w:t xml:space="preserve"> contribution of 0.34</w:t>
      </w:r>
      <w:r w:rsidR="00070075">
        <w:rPr>
          <w:rStyle w:val="rynqvb"/>
          <w:rFonts w:ascii="Times New Roman" w:hAnsi="Times New Roman" w:cs="Times New Roman"/>
          <w:color w:val="0070C0"/>
          <w:sz w:val="24"/>
          <w:szCs w:val="24"/>
          <w:lang w:val="en"/>
        </w:rPr>
        <w:t>. Finally, w</w:t>
      </w:r>
      <w:r w:rsidRPr="002427C7">
        <w:rPr>
          <w:rStyle w:val="rynqvb"/>
          <w:rFonts w:ascii="Times New Roman" w:hAnsi="Times New Roman" w:cs="Times New Roman"/>
          <w:color w:val="0070C0"/>
          <w:sz w:val="24"/>
          <w:szCs w:val="24"/>
          <w:lang w:val="en"/>
        </w:rPr>
        <w:t>inter mortality in Vidin was 21% higher co</w:t>
      </w:r>
      <w:r w:rsidR="00070075">
        <w:rPr>
          <w:rStyle w:val="rynqvb"/>
          <w:rFonts w:ascii="Times New Roman" w:hAnsi="Times New Roman" w:cs="Times New Roman"/>
          <w:color w:val="0070C0"/>
          <w:sz w:val="24"/>
          <w:szCs w:val="24"/>
          <w:lang w:val="en"/>
        </w:rPr>
        <w:t xml:space="preserve">mpared to the rest of the year and thus it is </w:t>
      </w:r>
      <w:r w:rsidRPr="002427C7">
        <w:rPr>
          <w:rStyle w:val="rynqvb"/>
          <w:rFonts w:ascii="Times New Roman" w:hAnsi="Times New Roman" w:cs="Times New Roman"/>
          <w:color w:val="0070C0"/>
          <w:sz w:val="24"/>
          <w:szCs w:val="24"/>
          <w:lang w:val="en"/>
        </w:rPr>
        <w:t>correspon</w:t>
      </w:r>
      <w:r>
        <w:rPr>
          <w:rStyle w:val="rynqvb"/>
          <w:rFonts w:ascii="Times New Roman" w:hAnsi="Times New Roman" w:cs="Times New Roman"/>
          <w:color w:val="0070C0"/>
          <w:sz w:val="24"/>
          <w:szCs w:val="24"/>
          <w:lang w:val="en"/>
        </w:rPr>
        <w:t>ding to a contribution of 0.21.</w:t>
      </w:r>
    </w:p>
    <w:p w14:paraId="1E1B19E9" w14:textId="005E624C" w:rsidR="002427C7" w:rsidRPr="002427C7" w:rsidRDefault="002427C7" w:rsidP="002427C7">
      <w:pPr>
        <w:spacing w:before="100" w:beforeAutospacing="1" w:after="100" w:afterAutospacing="1" w:line="480" w:lineRule="auto"/>
        <w:jc w:val="both"/>
        <w:rPr>
          <w:rStyle w:val="rynqvb"/>
          <w:rFonts w:ascii="Times New Roman" w:hAnsi="Times New Roman" w:cs="Times New Roman"/>
          <w:color w:val="0070C0"/>
          <w:sz w:val="24"/>
          <w:szCs w:val="24"/>
          <w:lang w:val="en"/>
        </w:rPr>
      </w:pPr>
      <w:r w:rsidRPr="002427C7">
        <w:rPr>
          <w:rStyle w:val="rynqvb"/>
          <w:rFonts w:ascii="Times New Roman" w:hAnsi="Times New Roman" w:cs="Times New Roman"/>
          <w:color w:val="0070C0"/>
          <w:sz w:val="24"/>
          <w:szCs w:val="24"/>
          <w:lang w:val="en"/>
        </w:rPr>
        <w:t xml:space="preserve">The social vulnerability sub-index </w:t>
      </w:r>
      <w:r>
        <w:rPr>
          <w:rStyle w:val="rynqvb"/>
          <w:rFonts w:ascii="Times New Roman" w:hAnsi="Times New Roman" w:cs="Times New Roman"/>
          <w:color w:val="0070C0"/>
          <w:sz w:val="24"/>
          <w:szCs w:val="24"/>
          <w:lang w:val="en"/>
        </w:rPr>
        <w:t xml:space="preserve">(SVI) </w:t>
      </w:r>
      <w:r w:rsidRPr="002427C7">
        <w:rPr>
          <w:rStyle w:val="rynqvb"/>
          <w:rFonts w:ascii="Times New Roman" w:hAnsi="Times New Roman" w:cs="Times New Roman"/>
          <w:color w:val="0070C0"/>
          <w:sz w:val="24"/>
          <w:szCs w:val="24"/>
          <w:lang w:val="en"/>
        </w:rPr>
        <w:t xml:space="preserve">for Vidin was obtained by summing the normalized contributions of all </w:t>
      </w:r>
      <w:r w:rsidR="0054741B">
        <w:rPr>
          <w:rStyle w:val="rynqvb"/>
          <w:rFonts w:ascii="Times New Roman" w:hAnsi="Times New Roman" w:cs="Times New Roman"/>
          <w:color w:val="0070C0"/>
          <w:sz w:val="24"/>
          <w:szCs w:val="24"/>
          <w:lang w:val="en"/>
        </w:rPr>
        <w:t>above mentioned indicators, i.e.</w:t>
      </w:r>
      <w:r>
        <w:rPr>
          <w:rStyle w:val="rynqvb"/>
          <w:rFonts w:ascii="Times New Roman" w:hAnsi="Times New Roman" w:cs="Times New Roman"/>
          <w:color w:val="0070C0"/>
          <w:sz w:val="24"/>
          <w:szCs w:val="24"/>
          <w:lang w:val="en"/>
        </w:rPr>
        <w:t xml:space="preserve"> SVI =0.12+0.34+0.34+0.21=1.01. </w:t>
      </w:r>
      <w:r w:rsidRPr="002427C7">
        <w:rPr>
          <w:rStyle w:val="rynqvb"/>
          <w:rFonts w:ascii="Times New Roman" w:hAnsi="Times New Roman" w:cs="Times New Roman"/>
          <w:color w:val="0070C0"/>
          <w:sz w:val="24"/>
          <w:szCs w:val="24"/>
          <w:lang w:val="en"/>
        </w:rPr>
        <w:t>Thus, the resulting social vulnerability index value for Vidin was 1.01. The same methodological procedure was subsequently applied to all regions and to the remaini</w:t>
      </w:r>
      <w:r>
        <w:rPr>
          <w:rStyle w:val="rynqvb"/>
          <w:rFonts w:ascii="Times New Roman" w:hAnsi="Times New Roman" w:cs="Times New Roman"/>
          <w:color w:val="0070C0"/>
          <w:sz w:val="24"/>
          <w:szCs w:val="24"/>
          <w:lang w:val="en"/>
        </w:rPr>
        <w:t>ng three sub-indices. Lastly, t</w:t>
      </w:r>
      <w:r w:rsidRPr="002427C7">
        <w:rPr>
          <w:rStyle w:val="rynqvb"/>
          <w:rFonts w:ascii="Times New Roman" w:hAnsi="Times New Roman" w:cs="Times New Roman"/>
          <w:color w:val="0070C0"/>
          <w:sz w:val="24"/>
          <w:szCs w:val="24"/>
          <w:lang w:val="en"/>
        </w:rPr>
        <w:t>he values of the sub-indices were aggregated i</w:t>
      </w:r>
      <w:r>
        <w:rPr>
          <w:rStyle w:val="rynqvb"/>
          <w:rFonts w:ascii="Times New Roman" w:hAnsi="Times New Roman" w:cs="Times New Roman"/>
          <w:color w:val="0070C0"/>
          <w:sz w:val="24"/>
          <w:szCs w:val="24"/>
          <w:lang w:val="en"/>
        </w:rPr>
        <w:t xml:space="preserve">n order to derive the final </w:t>
      </w:r>
      <w:r w:rsidRPr="002427C7">
        <w:rPr>
          <w:rStyle w:val="rynqvb"/>
          <w:rFonts w:ascii="Times New Roman" w:hAnsi="Times New Roman" w:cs="Times New Roman"/>
          <w:color w:val="0070C0"/>
          <w:sz w:val="24"/>
          <w:szCs w:val="24"/>
          <w:lang w:val="en"/>
        </w:rPr>
        <w:t>regional vulnerability index.</w:t>
      </w:r>
    </w:p>
    <w:p w14:paraId="5BC310DB" w14:textId="3FEDB32F" w:rsidR="00842534" w:rsidRDefault="005F0FC6" w:rsidP="00AB3792">
      <w:pPr>
        <w:spacing w:before="100" w:beforeAutospacing="1" w:after="100" w:afterAutospacing="1" w:line="480" w:lineRule="auto"/>
        <w:jc w:val="both"/>
        <w:rPr>
          <w:rFonts w:ascii="Times New Roman" w:hAnsi="Times New Roman" w:cs="Times New Roman"/>
          <w:sz w:val="24"/>
          <w:szCs w:val="24"/>
        </w:rPr>
      </w:pPr>
      <w:r>
        <w:rPr>
          <w:rStyle w:val="rynqvb"/>
          <w:rFonts w:ascii="Times New Roman" w:hAnsi="Times New Roman" w:cs="Times New Roman"/>
          <w:sz w:val="24"/>
          <w:szCs w:val="24"/>
          <w:lang w:val="en"/>
        </w:rPr>
        <w:t>As can be seen in Fig. 16</w:t>
      </w:r>
      <w:r w:rsidR="002427C7">
        <w:rPr>
          <w:rStyle w:val="rynqvb"/>
          <w:rFonts w:ascii="Times New Roman" w:hAnsi="Times New Roman" w:cs="Times New Roman"/>
          <w:sz w:val="24"/>
          <w:szCs w:val="24"/>
          <w:lang w:val="en"/>
        </w:rPr>
        <w:t>, t</w:t>
      </w:r>
      <w:r w:rsidR="006B250C" w:rsidRPr="006B250C">
        <w:rPr>
          <w:rStyle w:val="rynqvb"/>
          <w:rFonts w:ascii="Times New Roman" w:hAnsi="Times New Roman" w:cs="Times New Roman"/>
          <w:sz w:val="24"/>
          <w:szCs w:val="24"/>
          <w:lang w:val="en"/>
        </w:rPr>
        <w:t xml:space="preserve">he </w:t>
      </w:r>
      <w:r w:rsidR="00B51358">
        <w:rPr>
          <w:rStyle w:val="rynqvb"/>
          <w:rFonts w:ascii="Times New Roman" w:hAnsi="Times New Roman" w:cs="Times New Roman"/>
          <w:sz w:val="24"/>
          <w:szCs w:val="24"/>
          <w:lang w:val="en"/>
        </w:rPr>
        <w:t>highest levels of energy vulnerability</w:t>
      </w:r>
      <w:r w:rsidR="006B250C" w:rsidRPr="006B250C">
        <w:rPr>
          <w:rStyle w:val="rynqvb"/>
          <w:rFonts w:ascii="Times New Roman" w:hAnsi="Times New Roman" w:cs="Times New Roman"/>
          <w:sz w:val="24"/>
          <w:szCs w:val="24"/>
          <w:lang w:val="en"/>
        </w:rPr>
        <w:t xml:space="preserve"> according to the general energy vulnerability index are observed in North-East and North-Central Bulgaria, while the most numerous vulnerable groups are in the South-West and South-East regions, which combine high shares of households using coal, wood and oil for heating, as well as many households without energy efficiency measures.</w:t>
      </w:r>
      <w:r w:rsidR="006B250C">
        <w:rPr>
          <w:rStyle w:val="rynqvb"/>
          <w:rFonts w:ascii="Times New Roman" w:hAnsi="Times New Roman" w:cs="Times New Roman"/>
          <w:sz w:val="24"/>
          <w:szCs w:val="24"/>
          <w:lang w:val="en"/>
        </w:rPr>
        <w:t xml:space="preserve"> </w:t>
      </w:r>
      <w:r w:rsidR="006B250C" w:rsidRPr="006B250C">
        <w:rPr>
          <w:rStyle w:val="rynqvb"/>
          <w:rFonts w:ascii="Times New Roman" w:hAnsi="Times New Roman" w:cs="Times New Roman"/>
          <w:sz w:val="24"/>
          <w:szCs w:val="24"/>
          <w:lang w:val="en"/>
        </w:rPr>
        <w:t>In these regions, the energy needs index shows above average values ​​for the country, which is directly related to the large number of households in poverty and social vulnerability, especially the elderly and children.</w:t>
      </w:r>
      <w:r w:rsidR="006B250C" w:rsidRPr="006B250C">
        <w:rPr>
          <w:rStyle w:val="hwtze"/>
          <w:rFonts w:ascii="Times New Roman" w:hAnsi="Times New Roman" w:cs="Times New Roman"/>
          <w:sz w:val="24"/>
          <w:szCs w:val="24"/>
          <w:lang w:val="en"/>
        </w:rPr>
        <w:t xml:space="preserve"> </w:t>
      </w:r>
      <w:r w:rsidR="006B250C" w:rsidRPr="006B250C">
        <w:rPr>
          <w:rStyle w:val="rynqvb"/>
          <w:rFonts w:ascii="Times New Roman" w:hAnsi="Times New Roman" w:cs="Times New Roman"/>
          <w:sz w:val="24"/>
          <w:szCs w:val="24"/>
          <w:lang w:val="en"/>
        </w:rPr>
        <w:t xml:space="preserve">The largest </w:t>
      </w:r>
      <w:r w:rsidR="006B250C" w:rsidRPr="006B250C">
        <w:rPr>
          <w:rStyle w:val="rynqvb"/>
          <w:rFonts w:ascii="Times New Roman" w:hAnsi="Times New Roman" w:cs="Times New Roman"/>
          <w:sz w:val="24"/>
          <w:szCs w:val="24"/>
          <w:lang w:val="en"/>
        </w:rPr>
        <w:lastRenderedPageBreak/>
        <w:t xml:space="preserve">number of people receiving heating benefits is </w:t>
      </w:r>
      <w:r w:rsidR="007837CD">
        <w:rPr>
          <w:rStyle w:val="rynqvb"/>
          <w:rFonts w:ascii="Times New Roman" w:hAnsi="Times New Roman" w:cs="Times New Roman"/>
          <w:sz w:val="24"/>
          <w:szCs w:val="24"/>
          <w:lang w:val="en"/>
        </w:rPr>
        <w:t xml:space="preserve">in the least populated region, </w:t>
      </w:r>
      <w:r w:rsidR="006B250C" w:rsidRPr="006B250C">
        <w:rPr>
          <w:rStyle w:val="rynqvb"/>
          <w:rFonts w:ascii="Times New Roman" w:hAnsi="Times New Roman" w:cs="Times New Roman"/>
          <w:sz w:val="24"/>
          <w:szCs w:val="24"/>
          <w:lang w:val="en"/>
        </w:rPr>
        <w:t>Northwestern Bulgaria, where more than a third of the p</w:t>
      </w:r>
      <w:r w:rsidR="005E0D47">
        <w:rPr>
          <w:rStyle w:val="rynqvb"/>
          <w:rFonts w:ascii="Times New Roman" w:hAnsi="Times New Roman" w:cs="Times New Roman"/>
          <w:sz w:val="24"/>
          <w:szCs w:val="24"/>
          <w:lang w:val="en"/>
        </w:rPr>
        <w:t xml:space="preserve">opulation is at risk of poverty </w:t>
      </w:r>
      <w:r w:rsidR="006B250C">
        <w:rPr>
          <w:rFonts w:ascii="Times New Roman" w:eastAsia="Times New Roman" w:hAnsi="Times New Roman" w:cs="Times New Roman"/>
          <w:sz w:val="24"/>
          <w:szCs w:val="24"/>
          <w:lang w:eastAsia="en-GB"/>
        </w:rPr>
        <w:t>(</w:t>
      </w:r>
      <w:proofErr w:type="spellStart"/>
      <w:r w:rsidR="0049544A">
        <w:rPr>
          <w:rFonts w:ascii="Times New Roman" w:hAnsi="Times New Roman" w:cs="Times New Roman"/>
          <w:sz w:val="24"/>
          <w:szCs w:val="24"/>
        </w:rPr>
        <w:t>Peneva</w:t>
      </w:r>
      <w:proofErr w:type="spellEnd"/>
      <w:r w:rsidR="0049544A">
        <w:rPr>
          <w:rFonts w:ascii="Times New Roman" w:hAnsi="Times New Roman" w:cs="Times New Roman"/>
          <w:sz w:val="24"/>
          <w:szCs w:val="24"/>
        </w:rPr>
        <w:t>, 2025</w:t>
      </w:r>
      <w:r w:rsidR="00AB3792">
        <w:rPr>
          <w:rFonts w:ascii="Times New Roman" w:hAnsi="Times New Roman" w:cs="Times New Roman"/>
          <w:sz w:val="24"/>
          <w:szCs w:val="24"/>
        </w:rPr>
        <w:t xml:space="preserve">; </w:t>
      </w:r>
      <w:proofErr w:type="spellStart"/>
      <w:r w:rsidR="00AB3792">
        <w:rPr>
          <w:rFonts w:ascii="Times New Roman" w:hAnsi="Times New Roman" w:cs="Times New Roman"/>
          <w:sz w:val="24"/>
          <w:szCs w:val="24"/>
        </w:rPr>
        <w:t>Koroutchev</w:t>
      </w:r>
      <w:proofErr w:type="spellEnd"/>
      <w:r w:rsidR="0054741B">
        <w:rPr>
          <w:rFonts w:ascii="Times New Roman" w:hAnsi="Times New Roman" w:cs="Times New Roman"/>
          <w:sz w:val="24"/>
          <w:szCs w:val="24"/>
        </w:rPr>
        <w:t xml:space="preserve"> et al.</w:t>
      </w:r>
      <w:r w:rsidR="00AB3792">
        <w:rPr>
          <w:rFonts w:ascii="Times New Roman" w:hAnsi="Times New Roman" w:cs="Times New Roman"/>
          <w:sz w:val="24"/>
          <w:szCs w:val="24"/>
        </w:rPr>
        <w:t xml:space="preserve"> 2026</w:t>
      </w:r>
      <w:r w:rsidR="006B250C">
        <w:rPr>
          <w:rFonts w:ascii="Times New Roman" w:hAnsi="Times New Roman" w:cs="Times New Roman"/>
          <w:sz w:val="24"/>
          <w:szCs w:val="24"/>
        </w:rPr>
        <w:t>).</w:t>
      </w:r>
    </w:p>
    <w:p w14:paraId="01F02FE3" w14:textId="58E1C424" w:rsidR="00BE2BDC" w:rsidRPr="00BE2BDC" w:rsidRDefault="00BE2BDC" w:rsidP="00BE2BDC">
      <w:pPr>
        <w:pStyle w:val="Prrafodelista"/>
        <w:numPr>
          <w:ilvl w:val="0"/>
          <w:numId w:val="38"/>
        </w:numPr>
        <w:spacing w:before="100" w:beforeAutospacing="1" w:after="100" w:afterAutospacing="1" w:line="480" w:lineRule="auto"/>
        <w:jc w:val="both"/>
        <w:rPr>
          <w:rFonts w:ascii="Times New Roman" w:hAnsi="Times New Roman" w:cs="Times New Roman"/>
          <w:b/>
          <w:color w:val="0070C0"/>
          <w:sz w:val="24"/>
          <w:szCs w:val="24"/>
        </w:rPr>
      </w:pPr>
      <w:r w:rsidRPr="00BE2BDC">
        <w:rPr>
          <w:rFonts w:ascii="Times New Roman" w:hAnsi="Times New Roman" w:cs="Times New Roman"/>
          <w:b/>
          <w:color w:val="0070C0"/>
          <w:sz w:val="24"/>
          <w:szCs w:val="24"/>
        </w:rPr>
        <w:t>Discussion</w:t>
      </w:r>
    </w:p>
    <w:p w14:paraId="60546EDD" w14:textId="6407ECD4" w:rsidR="00BE2BDC" w:rsidRPr="002A1895" w:rsidRDefault="00BE2BDC" w:rsidP="00BE2BDC">
      <w:pPr>
        <w:spacing w:before="100" w:beforeAutospacing="1" w:after="100" w:afterAutospacing="1" w:line="480" w:lineRule="auto"/>
        <w:jc w:val="both"/>
        <w:rPr>
          <w:rFonts w:ascii="Times New Roman" w:eastAsia="Times New Roman" w:hAnsi="Times New Roman" w:cs="Times New Roman"/>
          <w:color w:val="0070C0"/>
          <w:sz w:val="24"/>
          <w:szCs w:val="24"/>
          <w:lang w:eastAsia="en-GB"/>
        </w:rPr>
      </w:pPr>
      <w:r w:rsidRPr="002A1895">
        <w:rPr>
          <w:rFonts w:ascii="Times New Roman" w:eastAsia="Times New Roman" w:hAnsi="Times New Roman" w:cs="Times New Roman"/>
          <w:color w:val="0070C0"/>
          <w:sz w:val="24"/>
          <w:szCs w:val="24"/>
          <w:lang w:eastAsia="en-GB"/>
        </w:rPr>
        <w:t xml:space="preserve">The findings of this study highlight climate change as a deeply multidimensional process whose impacts extend far beyond environmental degradation, affecting social systems, economic stability, governance structures, and ethical responsibilities across generations. The persistence of atmospheric CO₂ and the inertia of the Earth system, particularly the oceans, reinforce the long-term nature of climate change, implying that current emissions trajectories will continue to shape climatic and societal conditions for centuries. </w:t>
      </w:r>
      <w:r w:rsidR="00842534" w:rsidRPr="002A1895">
        <w:rPr>
          <w:rFonts w:ascii="Times New Roman" w:hAnsi="Times New Roman" w:cs="Times New Roman"/>
          <w:color w:val="0070C0"/>
          <w:sz w:val="24"/>
          <w:szCs w:val="24"/>
        </w:rPr>
        <w:t xml:space="preserve">As emphasized by the </w:t>
      </w:r>
      <w:r w:rsidR="00842534" w:rsidRPr="002A1895">
        <w:rPr>
          <w:rStyle w:val="whitespace-normal"/>
          <w:rFonts w:ascii="Times New Roman" w:hAnsi="Times New Roman" w:cs="Times New Roman"/>
          <w:color w:val="0070C0"/>
          <w:sz w:val="24"/>
          <w:szCs w:val="24"/>
        </w:rPr>
        <w:t>IPCC (2023)</w:t>
      </w:r>
      <w:r w:rsidR="00842534" w:rsidRPr="002A1895">
        <w:rPr>
          <w:rFonts w:ascii="Times New Roman" w:hAnsi="Times New Roman" w:cs="Times New Roman"/>
          <w:color w:val="0070C0"/>
          <w:sz w:val="24"/>
          <w:szCs w:val="24"/>
        </w:rPr>
        <w:t xml:space="preserve">, climate change is not only a biophysical phenomenon but also a deeply social process whose impacts are mediated by vulnerability, governance structures, and development pathways. </w:t>
      </w:r>
    </w:p>
    <w:p w14:paraId="222DFA31" w14:textId="0A88A1F6" w:rsidR="00BE2BDC" w:rsidRPr="002A1895" w:rsidRDefault="00BE2BDC" w:rsidP="00BE2BDC">
      <w:pPr>
        <w:spacing w:before="100" w:beforeAutospacing="1" w:after="100" w:afterAutospacing="1" w:line="480" w:lineRule="auto"/>
        <w:jc w:val="both"/>
        <w:rPr>
          <w:rFonts w:ascii="Times New Roman" w:eastAsia="Times New Roman" w:hAnsi="Times New Roman" w:cs="Times New Roman"/>
          <w:color w:val="0070C0"/>
          <w:sz w:val="24"/>
          <w:szCs w:val="24"/>
          <w:lang w:eastAsia="en-GB"/>
        </w:rPr>
      </w:pPr>
      <w:r w:rsidRPr="002A1895">
        <w:rPr>
          <w:rFonts w:ascii="Times New Roman" w:eastAsia="Times New Roman" w:hAnsi="Times New Roman" w:cs="Times New Roman"/>
          <w:color w:val="0070C0"/>
          <w:sz w:val="24"/>
          <w:szCs w:val="24"/>
          <w:lang w:eastAsia="en-GB"/>
        </w:rPr>
        <w:t>A central contribution of this research is the demonstration that climate change acts as a catalyst for both sudden and gradual forms of human mobility. Extreme weather events are increasingly associated with abrupt displacement, while slower processes such as desertification, land degradation, and sea-level rise gradually erode livelihoods and habitability. Importantly, these processes do not operate in isolation; rather, they interact with pre-existing socioeconomic vulnerabilities, including poverty, inequality, and governance deficits. This interaction shapes not only the probability of displacement but also the diversity of mobility responses, ranging from forced migration to adaptive and planned relocation strategies. Consequently, climate-related mobility must be understood as a continuum rather than a single category of forced displacement</w:t>
      </w:r>
      <w:r w:rsidR="00842534" w:rsidRPr="002A1895">
        <w:rPr>
          <w:rFonts w:ascii="Times New Roman" w:eastAsia="Times New Roman" w:hAnsi="Times New Roman" w:cs="Times New Roman"/>
          <w:color w:val="0070C0"/>
          <w:sz w:val="24"/>
          <w:szCs w:val="24"/>
          <w:lang w:eastAsia="en-GB"/>
        </w:rPr>
        <w:t xml:space="preserve"> (MDP 2024a, b; Clement V. at al. 2021; IDMC 2024, 2025)</w:t>
      </w:r>
      <w:r w:rsidRPr="002A1895">
        <w:rPr>
          <w:rFonts w:ascii="Times New Roman" w:eastAsia="Times New Roman" w:hAnsi="Times New Roman" w:cs="Times New Roman"/>
          <w:color w:val="0070C0"/>
          <w:sz w:val="24"/>
          <w:szCs w:val="24"/>
          <w:lang w:eastAsia="en-GB"/>
        </w:rPr>
        <w:t>.</w:t>
      </w:r>
    </w:p>
    <w:p w14:paraId="38DABC65" w14:textId="77777777" w:rsidR="00BE2BDC" w:rsidRPr="002A1895" w:rsidRDefault="00BE2BDC" w:rsidP="00BE2BDC">
      <w:pPr>
        <w:spacing w:before="100" w:beforeAutospacing="1" w:after="100" w:afterAutospacing="1" w:line="480" w:lineRule="auto"/>
        <w:jc w:val="both"/>
        <w:rPr>
          <w:rFonts w:ascii="Times New Roman" w:eastAsia="Times New Roman" w:hAnsi="Times New Roman" w:cs="Times New Roman"/>
          <w:color w:val="0070C0"/>
          <w:sz w:val="24"/>
          <w:szCs w:val="24"/>
          <w:lang w:eastAsia="en-GB"/>
        </w:rPr>
      </w:pPr>
      <w:r w:rsidRPr="002A1895">
        <w:rPr>
          <w:rFonts w:ascii="Times New Roman" w:eastAsia="Times New Roman" w:hAnsi="Times New Roman" w:cs="Times New Roman"/>
          <w:color w:val="0070C0"/>
          <w:sz w:val="24"/>
          <w:szCs w:val="24"/>
          <w:lang w:eastAsia="en-GB"/>
        </w:rPr>
        <w:lastRenderedPageBreak/>
        <w:t xml:space="preserve">The case of the </w:t>
      </w:r>
      <w:proofErr w:type="spellStart"/>
      <w:r w:rsidRPr="002A1895">
        <w:rPr>
          <w:rFonts w:ascii="Times New Roman" w:eastAsia="Times New Roman" w:hAnsi="Times New Roman" w:cs="Times New Roman"/>
          <w:color w:val="0070C0"/>
          <w:sz w:val="24"/>
          <w:szCs w:val="24"/>
          <w:lang w:eastAsia="en-GB"/>
        </w:rPr>
        <w:t>Grazalema</w:t>
      </w:r>
      <w:proofErr w:type="spellEnd"/>
      <w:r w:rsidRPr="002A1895">
        <w:rPr>
          <w:rFonts w:ascii="Times New Roman" w:eastAsia="Times New Roman" w:hAnsi="Times New Roman" w:cs="Times New Roman"/>
          <w:color w:val="0070C0"/>
          <w:sz w:val="24"/>
          <w:szCs w:val="24"/>
          <w:lang w:eastAsia="en-GB"/>
        </w:rPr>
        <w:t xml:space="preserve"> flooding event illustrates the importance of local capacity and governance in managing climate-related hazards. The effective organization and management observed in this case highlight how preparedness, coordination, and institutional responsiveness can significantly reduce the social impacts of extreme events. This example reinforces the argument that adaptive capacity at the local level is a critical determinant of outcomes in climate-induced crises.</w:t>
      </w:r>
    </w:p>
    <w:p w14:paraId="0ACAAC30" w14:textId="42435AE2" w:rsidR="00BE2BDC" w:rsidRDefault="00B51358" w:rsidP="00BE2BDC">
      <w:pPr>
        <w:spacing w:before="100" w:beforeAutospacing="1" w:after="100" w:afterAutospacing="1" w:line="480" w:lineRule="auto"/>
        <w:jc w:val="both"/>
        <w:rPr>
          <w:rFonts w:ascii="Times New Roman" w:eastAsia="Times New Roman" w:hAnsi="Times New Roman" w:cs="Times New Roman"/>
          <w:color w:val="0070C0"/>
          <w:sz w:val="24"/>
          <w:szCs w:val="24"/>
          <w:lang w:eastAsia="en-GB"/>
        </w:rPr>
      </w:pPr>
      <w:r>
        <w:rPr>
          <w:rFonts w:ascii="Times New Roman" w:eastAsia="Times New Roman" w:hAnsi="Times New Roman" w:cs="Times New Roman"/>
          <w:color w:val="0070C0"/>
          <w:sz w:val="24"/>
          <w:szCs w:val="24"/>
          <w:lang w:eastAsia="en-GB"/>
        </w:rPr>
        <w:t>In relation to energy vulnerability</w:t>
      </w:r>
      <w:r w:rsidR="00BE2BDC" w:rsidRPr="002A1895">
        <w:rPr>
          <w:rFonts w:ascii="Times New Roman" w:eastAsia="Times New Roman" w:hAnsi="Times New Roman" w:cs="Times New Roman"/>
          <w:color w:val="0070C0"/>
          <w:sz w:val="24"/>
          <w:szCs w:val="24"/>
          <w:lang w:eastAsia="en-GB"/>
        </w:rPr>
        <w:t xml:space="preserve">, the study situates the issue within the broader framework of the European energy transition. Policy responses increasingly focus on structural interventions, including energy-efficient building renovation, expansion of renewable energy systems, and targeted financial support for vulnerable populations. Initiatives such as the European Commission’s Social Climate Fund </w:t>
      </w:r>
      <w:r w:rsidR="002A1895" w:rsidRPr="002A1895">
        <w:rPr>
          <w:rFonts w:ascii="Times New Roman" w:eastAsia="Times New Roman" w:hAnsi="Times New Roman" w:cs="Times New Roman"/>
          <w:color w:val="0070C0"/>
          <w:sz w:val="24"/>
          <w:szCs w:val="24"/>
          <w:lang w:eastAsia="en-GB"/>
        </w:rPr>
        <w:t xml:space="preserve">(SCF 2026) </w:t>
      </w:r>
      <w:r w:rsidR="00BE2BDC" w:rsidRPr="002A1895">
        <w:rPr>
          <w:rFonts w:ascii="Times New Roman" w:eastAsia="Times New Roman" w:hAnsi="Times New Roman" w:cs="Times New Roman"/>
          <w:color w:val="0070C0"/>
          <w:sz w:val="24"/>
          <w:szCs w:val="24"/>
          <w:lang w:eastAsia="en-GB"/>
        </w:rPr>
        <w:t>represent an important step toward addressing the distributive consequences of decarbonisation. However, t</w:t>
      </w:r>
      <w:r>
        <w:rPr>
          <w:rFonts w:ascii="Times New Roman" w:eastAsia="Times New Roman" w:hAnsi="Times New Roman" w:cs="Times New Roman"/>
          <w:color w:val="0070C0"/>
          <w:sz w:val="24"/>
          <w:szCs w:val="24"/>
          <w:lang w:eastAsia="en-GB"/>
        </w:rPr>
        <w:t>he persistence of energy vulnerability</w:t>
      </w:r>
      <w:r w:rsidR="00BE2BDC" w:rsidRPr="002A1895">
        <w:rPr>
          <w:rFonts w:ascii="Times New Roman" w:eastAsia="Times New Roman" w:hAnsi="Times New Roman" w:cs="Times New Roman"/>
          <w:color w:val="0070C0"/>
          <w:sz w:val="24"/>
          <w:szCs w:val="24"/>
          <w:lang w:eastAsia="en-GB"/>
        </w:rPr>
        <w:t xml:space="preserve"> indicates that these measures must be further strengthened and better integrated with broader social protection and climate adaptation policies.</w:t>
      </w:r>
    </w:p>
    <w:p w14:paraId="52D0E55D" w14:textId="1CFFE70C" w:rsidR="006D2345" w:rsidRDefault="007C3161" w:rsidP="0054741B">
      <w:pPr>
        <w:spacing w:before="100" w:beforeAutospacing="1" w:after="100" w:afterAutospacing="1" w:line="480" w:lineRule="auto"/>
        <w:jc w:val="both"/>
        <w:rPr>
          <w:rFonts w:ascii="Times New Roman" w:hAnsi="Times New Roman" w:cs="Times New Roman"/>
          <w:color w:val="0070C0"/>
          <w:sz w:val="24"/>
          <w:szCs w:val="24"/>
        </w:rPr>
      </w:pPr>
      <w:r w:rsidRPr="007C3161">
        <w:rPr>
          <w:rFonts w:ascii="Times New Roman" w:hAnsi="Times New Roman" w:cs="Times New Roman"/>
          <w:color w:val="0070C0"/>
          <w:sz w:val="24"/>
          <w:szCs w:val="24"/>
        </w:rPr>
        <w:t xml:space="preserve">The study’s limitations relate to the relatively small number of interviewees in </w:t>
      </w:r>
      <w:proofErr w:type="spellStart"/>
      <w:r w:rsidRPr="007C3161">
        <w:rPr>
          <w:rFonts w:ascii="Times New Roman" w:hAnsi="Times New Roman" w:cs="Times New Roman"/>
          <w:color w:val="0070C0"/>
          <w:sz w:val="24"/>
          <w:szCs w:val="24"/>
        </w:rPr>
        <w:t>Grazalema</w:t>
      </w:r>
      <w:proofErr w:type="spellEnd"/>
      <w:r w:rsidRPr="007C3161">
        <w:rPr>
          <w:rFonts w:ascii="Times New Roman" w:hAnsi="Times New Roman" w:cs="Times New Roman"/>
          <w:color w:val="0070C0"/>
          <w:sz w:val="24"/>
          <w:szCs w:val="24"/>
        </w:rPr>
        <w:t>; however, the collective perception of the disaster and its management is still clearly captured and effectively presented.</w:t>
      </w:r>
      <w:r>
        <w:rPr>
          <w:rFonts w:ascii="Times New Roman" w:hAnsi="Times New Roman" w:cs="Times New Roman"/>
          <w:color w:val="0070C0"/>
          <w:sz w:val="24"/>
          <w:szCs w:val="24"/>
        </w:rPr>
        <w:t xml:space="preserve"> </w:t>
      </w:r>
      <w:r w:rsidR="006D2345" w:rsidRPr="006D2345">
        <w:rPr>
          <w:rFonts w:ascii="Times New Roman" w:eastAsia="Times New Roman" w:hAnsi="Times New Roman" w:cs="Times New Roman"/>
          <w:color w:val="0070C0"/>
          <w:sz w:val="24"/>
          <w:szCs w:val="24"/>
          <w:lang w:eastAsia="en-GB"/>
        </w:rPr>
        <w:t>Additional limitations are identified in relation to the analysis of energy poverty. As noted in the methodology section, the study does not include information on the regional distribution of energy-poor households by district, nor does it account for dwelling characteristics, energy sources, or household composition.</w:t>
      </w:r>
      <w:r w:rsidR="006D2345">
        <w:rPr>
          <w:rFonts w:ascii="Times New Roman" w:eastAsia="Times New Roman" w:hAnsi="Times New Roman" w:cs="Times New Roman"/>
          <w:color w:val="0070C0"/>
          <w:sz w:val="24"/>
          <w:szCs w:val="24"/>
          <w:lang w:eastAsia="en-GB"/>
        </w:rPr>
        <w:t xml:space="preserve"> </w:t>
      </w:r>
      <w:r w:rsidR="006D2345" w:rsidRPr="006D2345">
        <w:rPr>
          <w:rFonts w:ascii="Times New Roman" w:hAnsi="Times New Roman" w:cs="Times New Roman"/>
          <w:color w:val="0070C0"/>
          <w:sz w:val="24"/>
          <w:szCs w:val="24"/>
        </w:rPr>
        <w:t>The research methodology for this issue is still in its early stages and will require further refinement and development in future studies.</w:t>
      </w:r>
    </w:p>
    <w:p w14:paraId="204F7879" w14:textId="77777777" w:rsidR="0054741B" w:rsidRPr="0054741B" w:rsidRDefault="0054741B" w:rsidP="0054741B">
      <w:pPr>
        <w:spacing w:before="100" w:beforeAutospacing="1" w:after="100" w:afterAutospacing="1" w:line="480" w:lineRule="auto"/>
        <w:jc w:val="both"/>
        <w:rPr>
          <w:rFonts w:ascii="Times New Roman" w:hAnsi="Times New Roman" w:cs="Times New Roman"/>
          <w:color w:val="0070C0"/>
          <w:sz w:val="24"/>
          <w:szCs w:val="24"/>
        </w:rPr>
      </w:pPr>
    </w:p>
    <w:p w14:paraId="2E7F5493" w14:textId="6937DF9E" w:rsidR="00382A6B" w:rsidRPr="00382A6B" w:rsidRDefault="00BE2BDC" w:rsidP="00CA1BE6">
      <w:pPr>
        <w:spacing w:before="100" w:beforeAutospacing="1" w:after="100" w:afterAutospacing="1" w:line="240" w:lineRule="auto"/>
        <w:jc w:val="both"/>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lastRenderedPageBreak/>
        <w:t>5</w:t>
      </w:r>
      <w:r w:rsidR="00064339">
        <w:rPr>
          <w:rFonts w:ascii="Times New Roman" w:eastAsia="Times New Roman" w:hAnsi="Times New Roman" w:cs="Times New Roman"/>
          <w:b/>
          <w:sz w:val="24"/>
          <w:szCs w:val="24"/>
          <w:lang w:eastAsia="en-GB"/>
        </w:rPr>
        <w:t>. Conclusions</w:t>
      </w:r>
    </w:p>
    <w:p w14:paraId="65DC464C" w14:textId="77777777" w:rsidR="00064339" w:rsidRPr="00064339" w:rsidRDefault="00064339" w:rsidP="00AB3792">
      <w:pPr>
        <w:spacing w:before="100" w:beforeAutospacing="1" w:after="100" w:afterAutospacing="1" w:line="480" w:lineRule="auto"/>
        <w:jc w:val="both"/>
        <w:rPr>
          <w:rFonts w:ascii="Times New Roman" w:eastAsia="Times New Roman" w:hAnsi="Times New Roman" w:cs="Times New Roman"/>
          <w:sz w:val="24"/>
          <w:szCs w:val="24"/>
          <w:lang w:eastAsia="en-GB"/>
        </w:rPr>
      </w:pPr>
      <w:r w:rsidRPr="00064339">
        <w:rPr>
          <w:rFonts w:ascii="Times New Roman" w:hAnsi="Times New Roman" w:cs="Times New Roman"/>
          <w:sz w:val="24"/>
          <w:szCs w:val="24"/>
        </w:rPr>
        <w:t>Climate change represents a highly intricate challenge that spans multiple domains, including scientific understanding, economic systems, social structures, political decision-making, and ethical considerations. Although it is a global phenomenon, its consequences are experienced at the local level and are expected to persist over very long timescales. Carbon dioxide, the main greenhouse gas responsible for contemporary warming, remains in the atmosphere for centuries to millennia, while</w:t>
      </w:r>
      <w:r w:rsidR="0005485D">
        <w:rPr>
          <w:rFonts w:ascii="Times New Roman" w:hAnsi="Times New Roman" w:cs="Times New Roman"/>
          <w:sz w:val="24"/>
          <w:szCs w:val="24"/>
        </w:rPr>
        <w:t xml:space="preserve"> components of the Earth system, particularly the oceans, </w:t>
      </w:r>
      <w:r w:rsidRPr="00064339">
        <w:rPr>
          <w:rFonts w:ascii="Times New Roman" w:hAnsi="Times New Roman" w:cs="Times New Roman"/>
          <w:sz w:val="24"/>
          <w:szCs w:val="24"/>
        </w:rPr>
        <w:t>respond slowly to temperature increases. As a result, even an immediate cessation of greenhouse gas emissions would not prevent ongoing warming and its associated impacts on future generations.</w:t>
      </w:r>
    </w:p>
    <w:p w14:paraId="61BA7401" w14:textId="3A41E702" w:rsidR="00CA1BE6" w:rsidRPr="00CA1BE6" w:rsidRDefault="00153401" w:rsidP="00AB3792">
      <w:pPr>
        <w:spacing w:before="100" w:beforeAutospacing="1" w:after="100" w:afterAutospacing="1" w:line="48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C</w:t>
      </w:r>
      <w:r w:rsidR="00CA1BE6" w:rsidRPr="00CA1BE6">
        <w:rPr>
          <w:rFonts w:ascii="Times New Roman" w:eastAsia="Times New Roman" w:hAnsi="Times New Roman" w:cs="Times New Roman"/>
          <w:sz w:val="24"/>
          <w:szCs w:val="24"/>
          <w:lang w:eastAsia="en-GB"/>
        </w:rPr>
        <w:t>limate change is amplifying the frequency and intensity of extreme weather events, thereby increasing the likelihood of abrupt and large-scale population movements. On the other hand, it is also contributing to slo</w:t>
      </w:r>
      <w:r w:rsidR="00064339">
        <w:rPr>
          <w:rFonts w:ascii="Times New Roman" w:eastAsia="Times New Roman" w:hAnsi="Times New Roman" w:cs="Times New Roman"/>
          <w:sz w:val="24"/>
          <w:szCs w:val="24"/>
          <w:lang w:eastAsia="en-GB"/>
        </w:rPr>
        <w:t xml:space="preserve">w-onset environmental processes </w:t>
      </w:r>
      <w:r w:rsidR="00CA1BE6" w:rsidRPr="00CA1BE6">
        <w:rPr>
          <w:rFonts w:ascii="Times New Roman" w:eastAsia="Times New Roman" w:hAnsi="Times New Roman" w:cs="Times New Roman"/>
          <w:sz w:val="24"/>
          <w:szCs w:val="24"/>
          <w:lang w:eastAsia="en-GB"/>
        </w:rPr>
        <w:t xml:space="preserve">such as desertification, land </w:t>
      </w:r>
      <w:r w:rsidR="00064339">
        <w:rPr>
          <w:rFonts w:ascii="Times New Roman" w:eastAsia="Times New Roman" w:hAnsi="Times New Roman" w:cs="Times New Roman"/>
          <w:sz w:val="24"/>
          <w:szCs w:val="24"/>
          <w:lang w:eastAsia="en-GB"/>
        </w:rPr>
        <w:t xml:space="preserve">degradation, and sea level rise </w:t>
      </w:r>
      <w:r w:rsidR="00CA1BE6" w:rsidRPr="00CA1BE6">
        <w:rPr>
          <w:rFonts w:ascii="Times New Roman" w:eastAsia="Times New Roman" w:hAnsi="Times New Roman" w:cs="Times New Roman"/>
          <w:sz w:val="24"/>
          <w:szCs w:val="24"/>
          <w:lang w:eastAsia="en-GB"/>
        </w:rPr>
        <w:t>that progressively undermine livelihoods, weaken resilience, and erode the habitability of affected regions. These gradual changes often interact with existing social, economic, and political vulnerabilities, making mobility decisions more complex and less predictable.</w:t>
      </w:r>
    </w:p>
    <w:p w14:paraId="49013E80" w14:textId="77777777" w:rsidR="00CA1BE6" w:rsidRPr="00CA1BE6" w:rsidRDefault="00064339" w:rsidP="00AB3792">
      <w:pPr>
        <w:spacing w:before="100" w:beforeAutospacing="1" w:after="100" w:afterAutospacing="1" w:line="48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C</w:t>
      </w:r>
      <w:r w:rsidR="00CA1BE6" w:rsidRPr="00CA1BE6">
        <w:rPr>
          <w:rFonts w:ascii="Times New Roman" w:eastAsia="Times New Roman" w:hAnsi="Times New Roman" w:cs="Times New Roman"/>
          <w:sz w:val="24"/>
          <w:szCs w:val="24"/>
          <w:lang w:eastAsia="en-GB"/>
        </w:rPr>
        <w:t xml:space="preserve">limate-related mobility is not limited to forced displacement alone, but also encompasses a spectrum of responses, including planned relocation, seasonal migration, and adaptive mobility strategies. This diversity further complicates policy design and implementation, as it requires moving beyond emergency response toward longer-term, </w:t>
      </w:r>
      <w:r w:rsidR="00BB15C1">
        <w:rPr>
          <w:rFonts w:ascii="Times New Roman" w:eastAsia="Times New Roman" w:hAnsi="Times New Roman" w:cs="Times New Roman"/>
          <w:sz w:val="24"/>
          <w:szCs w:val="24"/>
          <w:lang w:eastAsia="en-GB"/>
        </w:rPr>
        <w:t>development-oriented approaches.</w:t>
      </w:r>
    </w:p>
    <w:p w14:paraId="4FC7A32B" w14:textId="77777777" w:rsidR="00CA1BE6" w:rsidRPr="00CA1BE6" w:rsidRDefault="00CA1BE6" w:rsidP="00AB3792">
      <w:pPr>
        <w:spacing w:before="100" w:beforeAutospacing="1" w:after="100" w:afterAutospacing="1" w:line="480" w:lineRule="auto"/>
        <w:jc w:val="both"/>
        <w:rPr>
          <w:rFonts w:ascii="Times New Roman" w:hAnsi="Times New Roman" w:cs="Times New Roman"/>
          <w:sz w:val="24"/>
          <w:szCs w:val="24"/>
        </w:rPr>
      </w:pPr>
      <w:r w:rsidRPr="00CA1BE6">
        <w:rPr>
          <w:rFonts w:ascii="Times New Roman" w:hAnsi="Times New Roman" w:cs="Times New Roman"/>
          <w:sz w:val="24"/>
          <w:szCs w:val="24"/>
        </w:rPr>
        <w:t>In this context, the scale, diversity, and interconnected nature of climate-induced mobility highlight the inadequacy of existing funding structures, which are often fragmented, reactive, and short-term in scope. Addressing these emerging challenges necessitates a paradigm shift</w:t>
      </w:r>
      <w:r w:rsidR="00064339">
        <w:rPr>
          <w:rFonts w:ascii="Times New Roman" w:hAnsi="Times New Roman" w:cs="Times New Roman"/>
          <w:sz w:val="24"/>
          <w:szCs w:val="24"/>
        </w:rPr>
        <w:t xml:space="preserve"> </w:t>
      </w:r>
      <w:r w:rsidR="00064339">
        <w:rPr>
          <w:rFonts w:ascii="Times New Roman" w:hAnsi="Times New Roman" w:cs="Times New Roman"/>
          <w:sz w:val="24"/>
          <w:szCs w:val="24"/>
        </w:rPr>
        <w:lastRenderedPageBreak/>
        <w:t xml:space="preserve">in global financing mechanisms, </w:t>
      </w:r>
      <w:r w:rsidRPr="00CA1BE6">
        <w:rPr>
          <w:rFonts w:ascii="Times New Roman" w:hAnsi="Times New Roman" w:cs="Times New Roman"/>
          <w:sz w:val="24"/>
          <w:szCs w:val="24"/>
        </w:rPr>
        <w:t>one that integrates humanitarian assistance with climate adaptation and sustainable development objectives, enhances coordination across sectors and governance levels, and prioritizes anticipatory and preventive a</w:t>
      </w:r>
      <w:r w:rsidR="00BB15C1">
        <w:rPr>
          <w:rFonts w:ascii="Times New Roman" w:hAnsi="Times New Roman" w:cs="Times New Roman"/>
          <w:sz w:val="24"/>
          <w:szCs w:val="24"/>
        </w:rPr>
        <w:t xml:space="preserve">ction </w:t>
      </w:r>
      <w:r w:rsidR="00BB15C1">
        <w:rPr>
          <w:rFonts w:ascii="Times New Roman" w:eastAsia="Times New Roman" w:hAnsi="Times New Roman" w:cs="Times New Roman"/>
          <w:sz w:val="24"/>
          <w:szCs w:val="24"/>
          <w:lang w:eastAsia="en-GB"/>
        </w:rPr>
        <w:t>(</w:t>
      </w:r>
      <w:r w:rsidR="00BB15C1" w:rsidRPr="00BB15C1">
        <w:rPr>
          <w:rFonts w:ascii="Times New Roman" w:hAnsi="Times New Roman" w:cs="Times New Roman"/>
          <w:sz w:val="24"/>
          <w:szCs w:val="24"/>
        </w:rPr>
        <w:t>H</w:t>
      </w:r>
      <w:r w:rsidR="00BB15C1">
        <w:rPr>
          <w:rFonts w:ascii="Times New Roman" w:hAnsi="Times New Roman" w:cs="Times New Roman"/>
          <w:sz w:val="24"/>
          <w:szCs w:val="24"/>
        </w:rPr>
        <w:t xml:space="preserve">uang, L. and Davidoff-Gore, S., </w:t>
      </w:r>
      <w:r w:rsidR="00BB15C1" w:rsidRPr="00BB15C1">
        <w:rPr>
          <w:rFonts w:ascii="Times New Roman" w:hAnsi="Times New Roman" w:cs="Times New Roman"/>
          <w:sz w:val="24"/>
          <w:szCs w:val="24"/>
        </w:rPr>
        <w:t>2025)</w:t>
      </w:r>
      <w:r w:rsidR="00BB15C1">
        <w:rPr>
          <w:rFonts w:ascii="Times New Roman" w:hAnsi="Times New Roman" w:cs="Times New Roman"/>
          <w:sz w:val="24"/>
          <w:szCs w:val="24"/>
        </w:rPr>
        <w:t>.</w:t>
      </w:r>
    </w:p>
    <w:p w14:paraId="38CB8D53" w14:textId="0D78AE05" w:rsidR="00CA1BE6" w:rsidRPr="00B51358" w:rsidRDefault="00CA1BE6" w:rsidP="00AB3792">
      <w:pPr>
        <w:spacing w:before="100" w:beforeAutospacing="1" w:after="100" w:afterAutospacing="1" w:line="480" w:lineRule="auto"/>
        <w:jc w:val="both"/>
        <w:rPr>
          <w:rFonts w:ascii="Times New Roman" w:eastAsia="Times New Roman" w:hAnsi="Times New Roman" w:cs="Times New Roman"/>
          <w:color w:val="0070C0"/>
          <w:sz w:val="24"/>
          <w:szCs w:val="24"/>
          <w:lang w:eastAsia="en-GB"/>
        </w:rPr>
      </w:pPr>
      <w:r w:rsidRPr="00CA1BE6">
        <w:rPr>
          <w:rFonts w:ascii="Times New Roman" w:eastAsia="Times New Roman" w:hAnsi="Times New Roman" w:cs="Times New Roman"/>
          <w:sz w:val="24"/>
          <w:szCs w:val="24"/>
          <w:lang w:eastAsia="en-GB"/>
        </w:rPr>
        <w:t>The interaction between these environmental pressures and pre-existing socioeconomic vulnerabilities further complicates the picture. Factors such as poverty, inequality, governance deficits, demographic pressures, and dependence on climate-sensitive livelihoods can amplify the impacts of environmental change, shaping not only the likelihood of displacement but also the capacity of individuals an</w:t>
      </w:r>
      <w:r w:rsidR="0005485D">
        <w:rPr>
          <w:rFonts w:ascii="Times New Roman" w:eastAsia="Times New Roman" w:hAnsi="Times New Roman" w:cs="Times New Roman"/>
          <w:sz w:val="24"/>
          <w:szCs w:val="24"/>
          <w:lang w:eastAsia="en-GB"/>
        </w:rPr>
        <w:t xml:space="preserve">d communities to adapt. </w:t>
      </w:r>
      <w:r w:rsidRPr="00CA1BE6">
        <w:rPr>
          <w:rFonts w:ascii="Times New Roman" w:eastAsia="Times New Roman" w:hAnsi="Times New Roman" w:cs="Times New Roman"/>
          <w:sz w:val="24"/>
          <w:szCs w:val="24"/>
          <w:lang w:eastAsia="en-GB"/>
        </w:rPr>
        <w:t>Consequently, climate-related mobility should be understood as a multidimensional and context-dependent phenomenon, encompassing a continuum of outcomes ranging from forced displacement and distress migration to voluntary, planned,</w:t>
      </w:r>
      <w:r w:rsidR="00064339">
        <w:rPr>
          <w:rFonts w:ascii="Times New Roman" w:eastAsia="Times New Roman" w:hAnsi="Times New Roman" w:cs="Times New Roman"/>
          <w:sz w:val="24"/>
          <w:szCs w:val="24"/>
          <w:lang w:eastAsia="en-GB"/>
        </w:rPr>
        <w:t xml:space="preserve"> and adaptive forms of mobility (</w:t>
      </w:r>
      <w:r w:rsidR="00064339" w:rsidRPr="00BB15C1">
        <w:rPr>
          <w:rFonts w:ascii="Times New Roman" w:hAnsi="Times New Roman" w:cs="Times New Roman"/>
          <w:sz w:val="24"/>
          <w:szCs w:val="24"/>
        </w:rPr>
        <w:t>H</w:t>
      </w:r>
      <w:r w:rsidR="00064339">
        <w:rPr>
          <w:rFonts w:ascii="Times New Roman" w:hAnsi="Times New Roman" w:cs="Times New Roman"/>
          <w:sz w:val="24"/>
          <w:szCs w:val="24"/>
        </w:rPr>
        <w:t xml:space="preserve">uang, L. and Davidoff-Gore, S., </w:t>
      </w:r>
      <w:r w:rsidR="00064339" w:rsidRPr="00BB15C1">
        <w:rPr>
          <w:rFonts w:ascii="Times New Roman" w:hAnsi="Times New Roman" w:cs="Times New Roman"/>
          <w:sz w:val="24"/>
          <w:szCs w:val="24"/>
        </w:rPr>
        <w:t>2025)</w:t>
      </w:r>
      <w:r w:rsidR="00064339">
        <w:rPr>
          <w:rFonts w:ascii="Times New Roman" w:hAnsi="Times New Roman" w:cs="Times New Roman"/>
          <w:sz w:val="24"/>
          <w:szCs w:val="24"/>
        </w:rPr>
        <w:t>.</w:t>
      </w:r>
      <w:r w:rsidR="00397C9B">
        <w:rPr>
          <w:rFonts w:ascii="Times New Roman" w:hAnsi="Times New Roman" w:cs="Times New Roman"/>
          <w:sz w:val="24"/>
          <w:szCs w:val="24"/>
        </w:rPr>
        <w:t xml:space="preserve"> T</w:t>
      </w:r>
      <w:r w:rsidR="004069C5">
        <w:rPr>
          <w:rFonts w:ascii="Times New Roman" w:hAnsi="Times New Roman" w:cs="Times New Roman"/>
          <w:sz w:val="24"/>
          <w:szCs w:val="24"/>
        </w:rPr>
        <w:t xml:space="preserve">he example of the </w:t>
      </w:r>
      <w:proofErr w:type="spellStart"/>
      <w:r w:rsidR="004069C5">
        <w:rPr>
          <w:rFonts w:ascii="Times New Roman" w:hAnsi="Times New Roman" w:cs="Times New Roman"/>
          <w:sz w:val="24"/>
          <w:szCs w:val="24"/>
        </w:rPr>
        <w:t>Grazalema’</w:t>
      </w:r>
      <w:r w:rsidR="000B16EE">
        <w:rPr>
          <w:rFonts w:ascii="Times New Roman" w:hAnsi="Times New Roman" w:cs="Times New Roman"/>
          <w:sz w:val="24"/>
          <w:szCs w:val="24"/>
        </w:rPr>
        <w:t>s</w:t>
      </w:r>
      <w:proofErr w:type="spellEnd"/>
      <w:r w:rsidR="000B16EE">
        <w:rPr>
          <w:rFonts w:ascii="Times New Roman" w:hAnsi="Times New Roman" w:cs="Times New Roman"/>
          <w:sz w:val="24"/>
          <w:szCs w:val="24"/>
        </w:rPr>
        <w:t xml:space="preserve"> flooding in South of Spain during</w:t>
      </w:r>
      <w:r w:rsidR="004069C5">
        <w:rPr>
          <w:rFonts w:ascii="Times New Roman" w:hAnsi="Times New Roman" w:cs="Times New Roman"/>
          <w:sz w:val="24"/>
          <w:szCs w:val="24"/>
        </w:rPr>
        <w:t xml:space="preserve"> February 2026 is an example of outstanding</w:t>
      </w:r>
      <w:r w:rsidR="00601518">
        <w:rPr>
          <w:rFonts w:ascii="Times New Roman" w:hAnsi="Times New Roman" w:cs="Times New Roman"/>
          <w:sz w:val="24"/>
          <w:szCs w:val="24"/>
        </w:rPr>
        <w:t xml:space="preserve"> organization and</w:t>
      </w:r>
      <w:r w:rsidR="004069C5">
        <w:rPr>
          <w:rFonts w:ascii="Times New Roman" w:hAnsi="Times New Roman" w:cs="Times New Roman"/>
          <w:sz w:val="24"/>
          <w:szCs w:val="24"/>
        </w:rPr>
        <w:t xml:space="preserve"> management.</w:t>
      </w:r>
      <w:r w:rsidR="00B51358">
        <w:rPr>
          <w:rFonts w:ascii="Times New Roman" w:hAnsi="Times New Roman" w:cs="Times New Roman"/>
          <w:sz w:val="24"/>
          <w:szCs w:val="24"/>
        </w:rPr>
        <w:t xml:space="preserve"> </w:t>
      </w:r>
    </w:p>
    <w:p w14:paraId="73F987C9" w14:textId="21F84FD9" w:rsidR="00E15D13" w:rsidRDefault="00104D6D" w:rsidP="00AB3792">
      <w:pPr>
        <w:spacing w:before="100" w:beforeAutospacing="1" w:after="100" w:afterAutospacing="1" w:line="480" w:lineRule="auto"/>
        <w:jc w:val="both"/>
        <w:rPr>
          <w:rFonts w:ascii="Times New Roman" w:eastAsia="Times New Roman" w:hAnsi="Times New Roman" w:cs="Times New Roman"/>
          <w:color w:val="0070C0"/>
          <w:sz w:val="24"/>
          <w:szCs w:val="24"/>
          <w:lang w:eastAsia="en-GB"/>
        </w:rPr>
      </w:pPr>
      <w:r>
        <w:rPr>
          <w:rFonts w:ascii="Times New Roman" w:eastAsia="Times New Roman" w:hAnsi="Times New Roman" w:cs="Times New Roman"/>
          <w:sz w:val="24"/>
          <w:szCs w:val="24"/>
          <w:lang w:eastAsia="en-GB"/>
        </w:rPr>
        <w:t>R</w:t>
      </w:r>
      <w:r w:rsidR="00E15D13">
        <w:rPr>
          <w:rFonts w:ascii="Times New Roman" w:eastAsia="Times New Roman" w:hAnsi="Times New Roman" w:cs="Times New Roman"/>
          <w:sz w:val="24"/>
          <w:szCs w:val="24"/>
          <w:lang w:eastAsia="en-GB"/>
        </w:rPr>
        <w:t>egarding the problem of energy poverty</w:t>
      </w:r>
      <w:r w:rsidR="00B51358">
        <w:rPr>
          <w:rFonts w:ascii="Times New Roman" w:eastAsia="Times New Roman" w:hAnsi="Times New Roman" w:cs="Times New Roman"/>
          <w:sz w:val="24"/>
          <w:szCs w:val="24"/>
          <w:lang w:eastAsia="en-GB"/>
        </w:rPr>
        <w:t xml:space="preserve"> and vulnerability</w:t>
      </w:r>
      <w:r w:rsidR="00E15D13">
        <w:rPr>
          <w:rFonts w:ascii="Times New Roman" w:eastAsia="Times New Roman" w:hAnsi="Times New Roman" w:cs="Times New Roman"/>
          <w:sz w:val="24"/>
          <w:szCs w:val="24"/>
          <w:lang w:eastAsia="en-GB"/>
        </w:rPr>
        <w:t xml:space="preserve">, </w:t>
      </w:r>
      <w:r w:rsidR="00E15D13" w:rsidRPr="00E15D13">
        <w:rPr>
          <w:rFonts w:ascii="Times New Roman" w:eastAsia="Times New Roman" w:hAnsi="Times New Roman" w:cs="Times New Roman"/>
          <w:sz w:val="24"/>
          <w:szCs w:val="24"/>
          <w:lang w:eastAsia="en-GB"/>
        </w:rPr>
        <w:t>p</w:t>
      </w:r>
      <w:r w:rsidR="00E15D13" w:rsidRPr="00A42482">
        <w:rPr>
          <w:rFonts w:ascii="Times New Roman" w:eastAsia="Times New Roman" w:hAnsi="Times New Roman" w:cs="Times New Roman"/>
          <w:sz w:val="24"/>
          <w:szCs w:val="24"/>
          <w:lang w:eastAsia="en-GB"/>
        </w:rPr>
        <w:t xml:space="preserve">olicy responses at the European level increasingly emphasize structural solutions. These include large-scale investments in building renovation and energy efficiency, expansion of renewable energy systems, and targeted financial support mechanisms for vulnerable groups. Instruments such as the </w:t>
      </w:r>
      <w:r w:rsidR="00E15D13" w:rsidRPr="00E15D13">
        <w:rPr>
          <w:rFonts w:ascii="Times New Roman" w:eastAsia="Times New Roman" w:hAnsi="Times New Roman" w:cs="Times New Roman"/>
          <w:sz w:val="24"/>
          <w:szCs w:val="24"/>
          <w:lang w:eastAsia="en-GB"/>
        </w:rPr>
        <w:t>European Commission</w:t>
      </w:r>
      <w:r w:rsidR="00E15D13" w:rsidRPr="00A42482">
        <w:rPr>
          <w:rFonts w:ascii="Times New Roman" w:eastAsia="Times New Roman" w:hAnsi="Times New Roman" w:cs="Times New Roman"/>
          <w:sz w:val="24"/>
          <w:szCs w:val="24"/>
          <w:lang w:eastAsia="en-GB"/>
        </w:rPr>
        <w:t>’s Social Climate Fund aim to mitigate the social impacts of the energy transition and ensure a more equitable distribution of its costs and benefits.</w:t>
      </w:r>
      <w:r w:rsidR="00B51358">
        <w:rPr>
          <w:rFonts w:ascii="Times New Roman" w:eastAsia="Times New Roman" w:hAnsi="Times New Roman" w:cs="Times New Roman"/>
          <w:sz w:val="24"/>
          <w:szCs w:val="24"/>
          <w:lang w:eastAsia="en-GB"/>
        </w:rPr>
        <w:t xml:space="preserve"> </w:t>
      </w:r>
      <w:r w:rsidR="00B51358" w:rsidRPr="00B51358">
        <w:rPr>
          <w:rFonts w:ascii="Times New Roman" w:eastAsia="Times New Roman" w:hAnsi="Times New Roman" w:cs="Times New Roman"/>
          <w:color w:val="0070C0"/>
          <w:sz w:val="24"/>
          <w:szCs w:val="24"/>
          <w:lang w:eastAsia="en-GB"/>
        </w:rPr>
        <w:t>Specific method</w:t>
      </w:r>
      <w:r w:rsidR="00B51358">
        <w:rPr>
          <w:rFonts w:ascii="Times New Roman" w:eastAsia="Times New Roman" w:hAnsi="Times New Roman" w:cs="Times New Roman"/>
          <w:color w:val="0070C0"/>
          <w:sz w:val="24"/>
          <w:szCs w:val="24"/>
          <w:lang w:eastAsia="en-GB"/>
        </w:rPr>
        <w:t xml:space="preserve">ology has been discussed, which </w:t>
      </w:r>
      <w:r w:rsidR="00B51358" w:rsidRPr="00B51358">
        <w:rPr>
          <w:rFonts w:ascii="Times New Roman" w:eastAsia="Times New Roman" w:hAnsi="Times New Roman" w:cs="Times New Roman"/>
          <w:color w:val="0070C0"/>
          <w:sz w:val="24"/>
          <w:szCs w:val="24"/>
          <w:lang w:eastAsia="en-GB"/>
        </w:rPr>
        <w:t xml:space="preserve">include </w:t>
      </w:r>
      <w:r w:rsidR="00B51358">
        <w:rPr>
          <w:rFonts w:ascii="Times New Roman" w:eastAsia="Times New Roman" w:hAnsi="Times New Roman" w:cs="Times New Roman"/>
          <w:color w:val="0070C0"/>
          <w:sz w:val="24"/>
          <w:szCs w:val="24"/>
          <w:lang w:eastAsia="en-GB"/>
        </w:rPr>
        <w:t xml:space="preserve">a rigorous way to quantify the energy vulnerability in the case of Bulgaria by introducing a three stage analysis, which concerned energy needs, social vulnerability and energy poverty. The analysis shows an important dispersion of the values of </w:t>
      </w:r>
      <w:r w:rsidR="00B51358">
        <w:rPr>
          <w:rFonts w:ascii="Times New Roman" w:eastAsia="Times New Roman" w:hAnsi="Times New Roman" w:cs="Times New Roman"/>
          <w:color w:val="0070C0"/>
          <w:sz w:val="24"/>
          <w:szCs w:val="24"/>
          <w:lang w:eastAsia="en-GB"/>
        </w:rPr>
        <w:lastRenderedPageBreak/>
        <w:t xml:space="preserve">the energy vulnerability from </w:t>
      </w:r>
      <w:r w:rsidR="00644DC9">
        <w:rPr>
          <w:rFonts w:ascii="Times New Roman" w:eastAsia="Times New Roman" w:hAnsi="Times New Roman" w:cs="Times New Roman"/>
          <w:color w:val="0070C0"/>
          <w:sz w:val="24"/>
          <w:szCs w:val="24"/>
          <w:lang w:eastAsia="en-GB"/>
        </w:rPr>
        <w:t xml:space="preserve">a </w:t>
      </w:r>
      <w:r w:rsidR="00B51358">
        <w:rPr>
          <w:rFonts w:ascii="Times New Roman" w:eastAsia="Times New Roman" w:hAnsi="Times New Roman" w:cs="Times New Roman"/>
          <w:color w:val="0070C0"/>
          <w:sz w:val="24"/>
          <w:szCs w:val="24"/>
          <w:lang w:eastAsia="en-GB"/>
        </w:rPr>
        <w:t xml:space="preserve">minimum </w:t>
      </w:r>
      <w:r w:rsidR="00644DC9">
        <w:rPr>
          <w:rFonts w:ascii="Times New Roman" w:eastAsia="Times New Roman" w:hAnsi="Times New Roman" w:cs="Times New Roman"/>
          <w:color w:val="0070C0"/>
          <w:sz w:val="24"/>
          <w:szCs w:val="24"/>
          <w:lang w:eastAsia="en-GB"/>
        </w:rPr>
        <w:t>value</w:t>
      </w:r>
      <w:r w:rsidR="00B51358">
        <w:rPr>
          <w:rFonts w:ascii="Times New Roman" w:eastAsia="Times New Roman" w:hAnsi="Times New Roman" w:cs="Times New Roman"/>
          <w:color w:val="0070C0"/>
          <w:sz w:val="24"/>
          <w:szCs w:val="24"/>
          <w:lang w:eastAsia="en-GB"/>
        </w:rPr>
        <w:t xml:space="preserve"> of 1.92 for Sofia capital to </w:t>
      </w:r>
      <w:r w:rsidR="00644DC9">
        <w:rPr>
          <w:rFonts w:ascii="Times New Roman" w:eastAsia="Times New Roman" w:hAnsi="Times New Roman" w:cs="Times New Roman"/>
          <w:color w:val="0070C0"/>
          <w:sz w:val="24"/>
          <w:szCs w:val="24"/>
          <w:lang w:eastAsia="en-GB"/>
        </w:rPr>
        <w:t>a maximal value of 3.69 for Sofia region due to the high concentration of industries and businesses in the capital.</w:t>
      </w:r>
    </w:p>
    <w:p w14:paraId="7FD760AC" w14:textId="77777777" w:rsidR="00E30B13" w:rsidRPr="00E30B13" w:rsidRDefault="00E30B13" w:rsidP="00E30B13">
      <w:pPr>
        <w:pStyle w:val="NormalWeb"/>
        <w:spacing w:line="480" w:lineRule="auto"/>
        <w:jc w:val="both"/>
        <w:rPr>
          <w:color w:val="0070C0"/>
        </w:rPr>
      </w:pPr>
      <w:r w:rsidRPr="00E30B13">
        <w:rPr>
          <w:color w:val="0070C0"/>
        </w:rPr>
        <w:t>In conclusion, many adaptation efforts need to be implemented at the local level, where both rural areas and cities play a key role. Such measures may include cultivating drought-resistant crops, adopting regenerative farming practices, enhancing water storage and management systems, managing land to lower wildfire risks, and reinforcing infrastructure to better withstand extreme weather events such as floods and heatwaves.</w:t>
      </w:r>
    </w:p>
    <w:p w14:paraId="2864DB81" w14:textId="69B8B43B" w:rsidR="008B5A37" w:rsidRDefault="00E30B13" w:rsidP="00E30B13">
      <w:pPr>
        <w:pStyle w:val="NormalWeb"/>
        <w:spacing w:line="480" w:lineRule="auto"/>
        <w:jc w:val="both"/>
        <w:rPr>
          <w:color w:val="0070C0"/>
        </w:rPr>
      </w:pPr>
      <w:r w:rsidRPr="00E30B13">
        <w:rPr>
          <w:color w:val="0070C0"/>
        </w:rPr>
        <w:t>At the same time, effective adaptation requires coordinated action at national and international levels. Governments are responsible for developing policies that guide adaptation and for implementing large-scale strategies. These may involve strengthening or relocating infrastructure in coastal regions threatened by sea-level rise, constructing buildings designed to endure extreme weather, improving early warning and disaster response systems, developing climate-related insurance schemes, and ensuring stronger protection for ecosystems and wildlife (Adaptation 2024).</w:t>
      </w:r>
    </w:p>
    <w:p w14:paraId="3A9F1D06" w14:textId="56EB3BCC" w:rsidR="00551E5E" w:rsidRDefault="00551E5E" w:rsidP="0064761F">
      <w:pPr>
        <w:jc w:val="both"/>
        <w:rPr>
          <w:rFonts w:ascii="Times New Roman" w:hAnsi="Times New Roman" w:cs="Times New Roman"/>
          <w:color w:val="0070C0"/>
          <w:sz w:val="24"/>
          <w:szCs w:val="24"/>
        </w:rPr>
      </w:pPr>
      <w:r w:rsidRPr="00551E5E">
        <w:rPr>
          <w:rFonts w:ascii="Times New Roman" w:eastAsia="Times New Roman" w:hAnsi="Times New Roman" w:cs="Times New Roman"/>
          <w:b/>
          <w:color w:val="0070C0"/>
          <w:sz w:val="24"/>
          <w:szCs w:val="24"/>
          <w:lang w:eastAsia="en-GB"/>
        </w:rPr>
        <w:t>Acknowledgments:</w:t>
      </w:r>
      <w:r w:rsidRPr="00551E5E">
        <w:rPr>
          <w:rFonts w:ascii="Times New Roman" w:eastAsia="Times New Roman" w:hAnsi="Times New Roman" w:cs="Times New Roman"/>
          <w:color w:val="0070C0"/>
          <w:sz w:val="24"/>
          <w:szCs w:val="24"/>
          <w:lang w:eastAsia="en-GB"/>
        </w:rPr>
        <w:t xml:space="preserve"> </w:t>
      </w:r>
      <w:r w:rsidRPr="00551E5E">
        <w:rPr>
          <w:rFonts w:ascii="Times New Roman" w:hAnsi="Times New Roman" w:cs="Times New Roman"/>
          <w:color w:val="0070C0"/>
          <w:sz w:val="24"/>
          <w:szCs w:val="24"/>
        </w:rPr>
        <w:t xml:space="preserve">The author thanks </w:t>
      </w:r>
      <w:proofErr w:type="spellStart"/>
      <w:r w:rsidRPr="00551E5E">
        <w:rPr>
          <w:rFonts w:ascii="Times New Roman" w:hAnsi="Times New Roman" w:cs="Times New Roman"/>
          <w:color w:val="0070C0"/>
          <w:sz w:val="24"/>
          <w:szCs w:val="24"/>
        </w:rPr>
        <w:t>Dr.</w:t>
      </w:r>
      <w:proofErr w:type="spellEnd"/>
      <w:r w:rsidRPr="00551E5E">
        <w:rPr>
          <w:rFonts w:ascii="Times New Roman" w:hAnsi="Times New Roman" w:cs="Times New Roman"/>
          <w:color w:val="0070C0"/>
          <w:sz w:val="24"/>
          <w:szCs w:val="24"/>
        </w:rPr>
        <w:t xml:space="preserve"> </w:t>
      </w:r>
      <w:proofErr w:type="spellStart"/>
      <w:r w:rsidRPr="00551E5E">
        <w:rPr>
          <w:rFonts w:ascii="Times New Roman" w:hAnsi="Times New Roman" w:cs="Times New Roman"/>
          <w:color w:val="0070C0"/>
          <w:sz w:val="24"/>
          <w:szCs w:val="24"/>
        </w:rPr>
        <w:t>Peneva</w:t>
      </w:r>
      <w:proofErr w:type="spellEnd"/>
      <w:r w:rsidRPr="00551E5E">
        <w:rPr>
          <w:rFonts w:ascii="Times New Roman" w:hAnsi="Times New Roman" w:cs="Times New Roman"/>
          <w:color w:val="0070C0"/>
          <w:sz w:val="24"/>
          <w:szCs w:val="24"/>
        </w:rPr>
        <w:t xml:space="preserve"> for introducing h</w:t>
      </w:r>
      <w:r w:rsidR="00397C9B">
        <w:rPr>
          <w:rFonts w:ascii="Times New Roman" w:hAnsi="Times New Roman" w:cs="Times New Roman"/>
          <w:color w:val="0070C0"/>
          <w:sz w:val="24"/>
          <w:szCs w:val="24"/>
        </w:rPr>
        <w:t>im to the energy poverty’s problem</w:t>
      </w:r>
      <w:r w:rsidRPr="00551E5E">
        <w:rPr>
          <w:rFonts w:ascii="Times New Roman" w:hAnsi="Times New Roman" w:cs="Times New Roman"/>
          <w:color w:val="0070C0"/>
          <w:sz w:val="24"/>
          <w:szCs w:val="24"/>
        </w:rPr>
        <w:t>. The study is partially supported by the Bulgarian Scientific Fund under project № КП-06-Н95/2 (ACTETS2).</w:t>
      </w:r>
    </w:p>
    <w:p w14:paraId="09672A98" w14:textId="77777777" w:rsidR="0064761F" w:rsidRPr="0064761F" w:rsidRDefault="0064761F" w:rsidP="0064761F">
      <w:pPr>
        <w:jc w:val="both"/>
        <w:rPr>
          <w:rFonts w:ascii="Times New Roman" w:hAnsi="Times New Roman" w:cs="Times New Roman"/>
          <w:color w:val="0070C0"/>
          <w:sz w:val="24"/>
          <w:szCs w:val="24"/>
        </w:rPr>
      </w:pPr>
    </w:p>
    <w:p w14:paraId="29444464" w14:textId="77777777" w:rsidR="00841023" w:rsidRPr="00005ED1" w:rsidRDefault="00841023" w:rsidP="00841023">
      <w:pPr>
        <w:pStyle w:val="Sinespaciado"/>
        <w:rPr>
          <w:rFonts w:ascii="Arial" w:hAnsi="Arial" w:cs="Arial"/>
          <w:highlight w:val="yellow"/>
        </w:rPr>
      </w:pPr>
      <w:bookmarkStart w:id="1" w:name="_Hlk198031404"/>
      <w:r w:rsidRPr="00005ED1">
        <w:rPr>
          <w:rFonts w:ascii="Arial" w:hAnsi="Arial" w:cs="Arial"/>
          <w:highlight w:val="yellow"/>
        </w:rPr>
        <w:t>Disclaimer (Artificial intelligence)</w:t>
      </w:r>
    </w:p>
    <w:p w14:paraId="3B006F58" w14:textId="77777777" w:rsidR="00841023" w:rsidRPr="00005ED1" w:rsidRDefault="00841023" w:rsidP="00841023">
      <w:pPr>
        <w:pStyle w:val="Sinespaciado"/>
        <w:rPr>
          <w:rFonts w:ascii="Arial" w:hAnsi="Arial" w:cs="Arial"/>
          <w:highlight w:val="yellow"/>
        </w:rPr>
      </w:pPr>
    </w:p>
    <w:bookmarkEnd w:id="1"/>
    <w:p w14:paraId="5E285875" w14:textId="688EF4A2" w:rsidR="006B08F4" w:rsidRPr="00D03F53" w:rsidRDefault="00D03F53" w:rsidP="00CA1BE6">
      <w:pPr>
        <w:spacing w:before="100" w:beforeAutospacing="1" w:after="100" w:afterAutospacing="1" w:line="240" w:lineRule="auto"/>
        <w:jc w:val="both"/>
        <w:rPr>
          <w:rFonts w:ascii="Times New Roman" w:hAnsi="Times New Roman" w:cs="Times New Roman"/>
          <w:color w:val="0070C0"/>
          <w:sz w:val="24"/>
          <w:szCs w:val="24"/>
        </w:rPr>
      </w:pPr>
      <w:r w:rsidRPr="00D03F53">
        <w:rPr>
          <w:rFonts w:ascii="Times New Roman" w:hAnsi="Times New Roman" w:cs="Times New Roman"/>
          <w:color w:val="0070C0"/>
          <w:sz w:val="24"/>
          <w:szCs w:val="24"/>
        </w:rPr>
        <w:t xml:space="preserve">During the preparation of this work, the author used </w:t>
      </w:r>
      <w:proofErr w:type="spellStart"/>
      <w:r w:rsidRPr="00D03F53">
        <w:rPr>
          <w:rFonts w:ascii="Times New Roman" w:hAnsi="Times New Roman" w:cs="Times New Roman"/>
          <w:color w:val="0070C0"/>
          <w:sz w:val="24"/>
          <w:szCs w:val="24"/>
        </w:rPr>
        <w:t>ChatGTP</w:t>
      </w:r>
      <w:proofErr w:type="spellEnd"/>
      <w:r w:rsidRPr="00D03F53">
        <w:rPr>
          <w:rFonts w:ascii="Times New Roman" w:hAnsi="Times New Roman" w:cs="Times New Roman"/>
          <w:color w:val="0070C0"/>
          <w:sz w:val="24"/>
          <w:szCs w:val="24"/>
        </w:rPr>
        <w:t xml:space="preserve"> in order to improve the readability. After using this tool, the author reviewed and edited the content.</w:t>
      </w:r>
    </w:p>
    <w:p w14:paraId="4F4BE4CC" w14:textId="77777777" w:rsidR="00D03F53" w:rsidRDefault="00D03F53" w:rsidP="00A22B26">
      <w:pPr>
        <w:spacing w:before="100" w:beforeAutospacing="1" w:after="100" w:afterAutospacing="1" w:line="240" w:lineRule="auto"/>
        <w:jc w:val="both"/>
        <w:rPr>
          <w:rFonts w:ascii="Times New Roman" w:hAnsi="Times New Roman" w:cs="Times New Roman"/>
          <w:b/>
          <w:sz w:val="24"/>
          <w:szCs w:val="24"/>
        </w:rPr>
      </w:pPr>
    </w:p>
    <w:p w14:paraId="1961DFBF" w14:textId="77777777" w:rsidR="00397C9B" w:rsidRDefault="00397C9B" w:rsidP="00A22B26">
      <w:pPr>
        <w:spacing w:before="100" w:beforeAutospacing="1" w:after="100" w:afterAutospacing="1" w:line="240" w:lineRule="auto"/>
        <w:jc w:val="both"/>
        <w:rPr>
          <w:rFonts w:ascii="Times New Roman" w:hAnsi="Times New Roman" w:cs="Times New Roman"/>
          <w:b/>
          <w:sz w:val="24"/>
          <w:szCs w:val="24"/>
        </w:rPr>
      </w:pPr>
    </w:p>
    <w:p w14:paraId="5AD165AC" w14:textId="77777777" w:rsidR="00397C9B" w:rsidRDefault="00397C9B" w:rsidP="00A22B26">
      <w:pPr>
        <w:spacing w:before="100" w:beforeAutospacing="1" w:after="100" w:afterAutospacing="1" w:line="240" w:lineRule="auto"/>
        <w:jc w:val="both"/>
        <w:rPr>
          <w:rFonts w:ascii="Times New Roman" w:hAnsi="Times New Roman" w:cs="Times New Roman"/>
          <w:b/>
          <w:sz w:val="24"/>
          <w:szCs w:val="24"/>
        </w:rPr>
      </w:pPr>
    </w:p>
    <w:p w14:paraId="2E3655AC" w14:textId="77777777" w:rsidR="00397C9B" w:rsidRDefault="00397C9B" w:rsidP="00A22B26">
      <w:pPr>
        <w:spacing w:before="100" w:beforeAutospacing="1" w:after="100" w:afterAutospacing="1" w:line="240" w:lineRule="auto"/>
        <w:jc w:val="both"/>
        <w:rPr>
          <w:rFonts w:ascii="Times New Roman" w:hAnsi="Times New Roman" w:cs="Times New Roman"/>
          <w:b/>
          <w:sz w:val="24"/>
          <w:szCs w:val="24"/>
        </w:rPr>
      </w:pPr>
    </w:p>
    <w:p w14:paraId="4D29B4FD" w14:textId="77777777" w:rsidR="00A22B26" w:rsidRDefault="00E725ED" w:rsidP="00A22B26">
      <w:pPr>
        <w:spacing w:before="100" w:beforeAutospacing="1" w:after="100" w:afterAutospacing="1" w:line="240" w:lineRule="auto"/>
        <w:jc w:val="both"/>
        <w:rPr>
          <w:rFonts w:ascii="Times New Roman" w:hAnsi="Times New Roman" w:cs="Times New Roman"/>
          <w:b/>
          <w:sz w:val="24"/>
          <w:szCs w:val="24"/>
        </w:rPr>
      </w:pPr>
      <w:r w:rsidRPr="00D3000C">
        <w:rPr>
          <w:rFonts w:ascii="Times New Roman" w:hAnsi="Times New Roman" w:cs="Times New Roman"/>
          <w:b/>
          <w:sz w:val="24"/>
          <w:szCs w:val="24"/>
        </w:rPr>
        <w:lastRenderedPageBreak/>
        <w:t>References</w:t>
      </w:r>
    </w:p>
    <w:p w14:paraId="39DB7FD4" w14:textId="2F6896DB" w:rsidR="00A22B26" w:rsidRPr="00A22B26" w:rsidRDefault="00A22B26" w:rsidP="00510BFE">
      <w:pPr>
        <w:spacing w:before="100" w:beforeAutospacing="1" w:after="100" w:afterAutospacing="1" w:line="240" w:lineRule="auto"/>
        <w:jc w:val="both"/>
        <w:rPr>
          <w:rFonts w:ascii="Times New Roman" w:hAnsi="Times New Roman" w:cs="Times New Roman"/>
          <w:b/>
          <w:color w:val="0070C0"/>
          <w:sz w:val="24"/>
          <w:szCs w:val="24"/>
        </w:rPr>
      </w:pPr>
      <w:r w:rsidRPr="00A22B26">
        <w:rPr>
          <w:rFonts w:ascii="Times New Roman" w:hAnsi="Times New Roman" w:cs="Times New Roman"/>
          <w:color w:val="0070C0"/>
          <w:sz w:val="24"/>
          <w:szCs w:val="24"/>
        </w:rPr>
        <w:t xml:space="preserve">Adaptation (2024) </w:t>
      </w:r>
      <w:proofErr w:type="gramStart"/>
      <w:r w:rsidRPr="00A22B26">
        <w:rPr>
          <w:rFonts w:ascii="Times New Roman" w:hAnsi="Times New Roman" w:cs="Times New Roman"/>
          <w:color w:val="0070C0"/>
          <w:sz w:val="24"/>
          <w:szCs w:val="24"/>
        </w:rPr>
        <w:t>What</w:t>
      </w:r>
      <w:proofErr w:type="gramEnd"/>
      <w:r w:rsidRPr="00A22B26">
        <w:rPr>
          <w:rFonts w:ascii="Times New Roman" w:hAnsi="Times New Roman" w:cs="Times New Roman"/>
          <w:color w:val="0070C0"/>
          <w:sz w:val="24"/>
          <w:szCs w:val="24"/>
        </w:rPr>
        <w:t xml:space="preserve"> is climate change adaptation and why is it crucial? https://climatepromise.undp.org/news-and-stories/what-climate-change-adaptation-and-why-it-crucial</w:t>
      </w:r>
    </w:p>
    <w:p w14:paraId="1E5A1C93" w14:textId="77777777" w:rsidR="00510BFE" w:rsidRDefault="00510BFE" w:rsidP="00510BFE">
      <w:pPr>
        <w:spacing w:before="100" w:beforeAutospacing="1" w:after="100" w:afterAutospacing="1" w:line="240" w:lineRule="auto"/>
        <w:jc w:val="both"/>
        <w:rPr>
          <w:rStyle w:val="Hipervnculo"/>
          <w:rFonts w:ascii="Times New Roman" w:hAnsi="Times New Roman" w:cs="Times New Roman"/>
          <w:sz w:val="24"/>
          <w:szCs w:val="24"/>
        </w:rPr>
      </w:pPr>
      <w:proofErr w:type="spellStart"/>
      <w:r w:rsidRPr="00564920">
        <w:rPr>
          <w:rFonts w:ascii="Times New Roman" w:hAnsi="Times New Roman" w:cs="Times New Roman"/>
          <w:sz w:val="24"/>
          <w:szCs w:val="24"/>
        </w:rPr>
        <w:t>Almulhim</w:t>
      </w:r>
      <w:proofErr w:type="spellEnd"/>
      <w:r w:rsidRPr="00564920">
        <w:rPr>
          <w:rFonts w:ascii="Times New Roman" w:hAnsi="Times New Roman" w:cs="Times New Roman"/>
          <w:sz w:val="24"/>
          <w:szCs w:val="24"/>
        </w:rPr>
        <w:t>, A. I. et al. (2024)</w:t>
      </w:r>
      <w:r w:rsidR="0005485D">
        <w:rPr>
          <w:rFonts w:ascii="Times New Roman" w:hAnsi="Times New Roman" w:cs="Times New Roman"/>
          <w:sz w:val="24"/>
          <w:szCs w:val="24"/>
        </w:rPr>
        <w:t>.</w:t>
      </w:r>
      <w:r w:rsidRPr="00564920">
        <w:rPr>
          <w:rFonts w:ascii="Times New Roman" w:hAnsi="Times New Roman" w:cs="Times New Roman"/>
          <w:sz w:val="24"/>
          <w:szCs w:val="24"/>
        </w:rPr>
        <w:t xml:space="preserve"> </w:t>
      </w:r>
      <w:r w:rsidRPr="00564920">
        <w:rPr>
          <w:rStyle w:val="whitespace-normal"/>
          <w:rFonts w:ascii="Times New Roman" w:hAnsi="Times New Roman" w:cs="Times New Roman"/>
          <w:sz w:val="24"/>
          <w:szCs w:val="24"/>
        </w:rPr>
        <w:t>Climate</w:t>
      </w:r>
      <w:r w:rsidRPr="00564920">
        <w:rPr>
          <w:rStyle w:val="whitespace-normal"/>
          <w:rFonts w:ascii="Times New Roman" w:hAnsi="Times New Roman" w:cs="Times New Roman"/>
          <w:sz w:val="24"/>
          <w:szCs w:val="24"/>
        </w:rPr>
        <w:noBreakHyphen/>
        <w:t>Induced Migration in the Global South: An In</w:t>
      </w:r>
      <w:r w:rsidRPr="00564920">
        <w:rPr>
          <w:rStyle w:val="whitespace-normal"/>
          <w:rFonts w:ascii="Times New Roman" w:hAnsi="Times New Roman" w:cs="Times New Roman"/>
          <w:sz w:val="24"/>
          <w:szCs w:val="24"/>
        </w:rPr>
        <w:noBreakHyphen/>
        <w:t>Depth Analysis</w:t>
      </w:r>
      <w:r w:rsidRPr="00564920">
        <w:rPr>
          <w:rFonts w:ascii="Times New Roman" w:hAnsi="Times New Roman" w:cs="Times New Roman"/>
          <w:sz w:val="24"/>
          <w:szCs w:val="24"/>
        </w:rPr>
        <w:t xml:space="preserve">, </w:t>
      </w:r>
      <w:r w:rsidRPr="00564920">
        <w:rPr>
          <w:rStyle w:val="nfasis"/>
          <w:rFonts w:ascii="Times New Roman" w:hAnsi="Times New Roman" w:cs="Times New Roman"/>
          <w:sz w:val="24"/>
          <w:szCs w:val="24"/>
        </w:rPr>
        <w:t>Climate Action, 3</w:t>
      </w:r>
      <w:r w:rsidRPr="00564920">
        <w:rPr>
          <w:rFonts w:ascii="Times New Roman" w:hAnsi="Times New Roman" w:cs="Times New Roman"/>
          <w:sz w:val="24"/>
          <w:szCs w:val="24"/>
        </w:rPr>
        <w:t xml:space="preserve">(47). </w:t>
      </w:r>
      <w:hyperlink r:id="rId33" w:history="1">
        <w:r w:rsidRPr="00564920">
          <w:rPr>
            <w:rStyle w:val="Hipervnculo"/>
            <w:rFonts w:ascii="Times New Roman" w:hAnsi="Times New Roman" w:cs="Times New Roman"/>
            <w:sz w:val="24"/>
            <w:szCs w:val="24"/>
          </w:rPr>
          <w:t>https://www.nature.com/articles/s44168-024-00133-1?fromPaywallRec=false</w:t>
        </w:r>
      </w:hyperlink>
    </w:p>
    <w:p w14:paraId="0206EBAD" w14:textId="75816752" w:rsidR="001E7973" w:rsidRPr="001E7973" w:rsidRDefault="0005485D" w:rsidP="001E7973">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Bayer, P. and</w:t>
      </w:r>
      <w:r w:rsidR="001E7973" w:rsidRPr="001E7973">
        <w:rPr>
          <w:rFonts w:ascii="Times New Roman" w:hAnsi="Times New Roman" w:cs="Times New Roman"/>
          <w:sz w:val="24"/>
          <w:szCs w:val="24"/>
        </w:rPr>
        <w:t xml:space="preserve"> </w:t>
      </w:r>
      <w:proofErr w:type="spellStart"/>
      <w:r w:rsidR="001E7973" w:rsidRPr="001E7973">
        <w:rPr>
          <w:rFonts w:ascii="Times New Roman" w:hAnsi="Times New Roman" w:cs="Times New Roman"/>
          <w:sz w:val="24"/>
          <w:szCs w:val="24"/>
        </w:rPr>
        <w:t>Aklin</w:t>
      </w:r>
      <w:proofErr w:type="spellEnd"/>
      <w:r w:rsidR="001E7973" w:rsidRPr="001E7973">
        <w:rPr>
          <w:rFonts w:ascii="Times New Roman" w:hAnsi="Times New Roman" w:cs="Times New Roman"/>
          <w:sz w:val="24"/>
          <w:szCs w:val="24"/>
        </w:rPr>
        <w:t xml:space="preserve">, M. (2020). The European Union Emissions Trading System reduced CO₂ emissions despite low prices. </w:t>
      </w:r>
      <w:r w:rsidR="001E7973" w:rsidRPr="001E7973">
        <w:rPr>
          <w:rStyle w:val="nfasis"/>
          <w:rFonts w:ascii="Times New Roman" w:hAnsi="Times New Roman" w:cs="Times New Roman"/>
          <w:sz w:val="24"/>
          <w:szCs w:val="24"/>
        </w:rPr>
        <w:t>Proceedings of the National Academy of Sciences</w:t>
      </w:r>
      <w:r w:rsidR="001E7973" w:rsidRPr="001E7973">
        <w:rPr>
          <w:rFonts w:ascii="Times New Roman" w:hAnsi="Times New Roman" w:cs="Times New Roman"/>
          <w:sz w:val="24"/>
          <w:szCs w:val="24"/>
        </w:rPr>
        <w:t xml:space="preserve">, </w:t>
      </w:r>
      <w:r w:rsidR="001E7973" w:rsidRPr="0005485D">
        <w:rPr>
          <w:rFonts w:ascii="Times New Roman" w:hAnsi="Times New Roman" w:cs="Times New Roman"/>
          <w:i/>
          <w:sz w:val="24"/>
          <w:szCs w:val="24"/>
        </w:rPr>
        <w:t>117</w:t>
      </w:r>
      <w:r w:rsidR="001E7973" w:rsidRPr="001E7973">
        <w:rPr>
          <w:rFonts w:ascii="Times New Roman" w:hAnsi="Times New Roman" w:cs="Times New Roman"/>
          <w:sz w:val="24"/>
          <w:szCs w:val="24"/>
        </w:rPr>
        <w:t xml:space="preserve">(16), </w:t>
      </w:r>
      <w:r w:rsidR="00397C9B">
        <w:rPr>
          <w:rFonts w:ascii="Times New Roman" w:hAnsi="Times New Roman" w:cs="Times New Roman"/>
          <w:sz w:val="24"/>
          <w:szCs w:val="24"/>
        </w:rPr>
        <w:t xml:space="preserve">pp. </w:t>
      </w:r>
      <w:r w:rsidR="001E7973" w:rsidRPr="001E7973">
        <w:rPr>
          <w:rFonts w:ascii="Times New Roman" w:hAnsi="Times New Roman" w:cs="Times New Roman"/>
          <w:sz w:val="24"/>
          <w:szCs w:val="24"/>
        </w:rPr>
        <w:t xml:space="preserve">8804–8812. </w:t>
      </w:r>
    </w:p>
    <w:p w14:paraId="5E8C0F22" w14:textId="77777777" w:rsidR="00510BFE" w:rsidRDefault="00510BFE" w:rsidP="00510BFE">
      <w:pPr>
        <w:pStyle w:val="Default"/>
        <w:rPr>
          <w:rFonts w:ascii="Times New Roman" w:hAnsi="Times New Roman" w:cs="Times New Roman"/>
        </w:rPr>
      </w:pPr>
      <w:r w:rsidRPr="006168B4">
        <w:rPr>
          <w:rStyle w:val="A7"/>
          <w:rFonts w:ascii="Times New Roman" w:hAnsi="Times New Roman" w:cs="Times New Roman"/>
          <w:color w:val="auto"/>
          <w:sz w:val="24"/>
          <w:szCs w:val="24"/>
        </w:rPr>
        <w:t>Beyer, R. and Milan, A.</w:t>
      </w:r>
      <w:r>
        <w:rPr>
          <w:rStyle w:val="A7"/>
          <w:rFonts w:ascii="Times New Roman" w:hAnsi="Times New Roman" w:cs="Times New Roman"/>
          <w:color w:val="auto"/>
          <w:sz w:val="24"/>
          <w:szCs w:val="24"/>
        </w:rPr>
        <w:t xml:space="preserve"> (2022). C</w:t>
      </w:r>
      <w:r w:rsidRPr="006168B4">
        <w:rPr>
          <w:rFonts w:ascii="Times New Roman" w:hAnsi="Times New Roman" w:cs="Times New Roman"/>
        </w:rPr>
        <w:t>limate change and future human mobility</w:t>
      </w:r>
      <w:r w:rsidR="0005485D">
        <w:rPr>
          <w:rFonts w:ascii="Times New Roman" w:hAnsi="Times New Roman" w:cs="Times New Roman"/>
        </w:rPr>
        <w:t>, IOM Global</w:t>
      </w:r>
      <w:r>
        <w:rPr>
          <w:rFonts w:ascii="Times New Roman" w:hAnsi="Times New Roman" w:cs="Times New Roman"/>
        </w:rPr>
        <w:t xml:space="preserve"> Data Institute, </w:t>
      </w:r>
      <w:hyperlink r:id="rId34" w:history="1">
        <w:r w:rsidRPr="00F866CA">
          <w:rPr>
            <w:rStyle w:val="Hipervnculo"/>
            <w:rFonts w:ascii="Times New Roman" w:hAnsi="Times New Roman" w:cs="Times New Roman"/>
          </w:rPr>
          <w:t>https://publications.iom.int/books/people-move-changing-climate-linking-policy-evidence-and-action</w:t>
        </w:r>
      </w:hyperlink>
      <w:r w:rsidRPr="006168B4">
        <w:rPr>
          <w:rFonts w:ascii="Times New Roman" w:hAnsi="Times New Roman" w:cs="Times New Roman"/>
        </w:rPr>
        <w:t>.</w:t>
      </w:r>
    </w:p>
    <w:p w14:paraId="3E2D698A" w14:textId="77777777" w:rsidR="00510BFE" w:rsidRPr="00BB15C1" w:rsidRDefault="00510BFE" w:rsidP="00510BFE">
      <w:pPr>
        <w:spacing w:before="100" w:beforeAutospacing="1" w:after="100" w:afterAutospacing="1" w:line="240" w:lineRule="auto"/>
        <w:rPr>
          <w:rFonts w:ascii="Times New Roman" w:eastAsia="Times New Roman" w:hAnsi="Times New Roman" w:cs="Times New Roman"/>
          <w:sz w:val="24"/>
          <w:szCs w:val="24"/>
          <w:lang w:eastAsia="en-GB"/>
        </w:rPr>
      </w:pPr>
      <w:r w:rsidRPr="00BB15C1">
        <w:rPr>
          <w:rFonts w:ascii="Times New Roman" w:eastAsia="Times New Roman" w:hAnsi="Times New Roman" w:cs="Times New Roman"/>
          <w:sz w:val="24"/>
          <w:szCs w:val="24"/>
          <w:lang w:eastAsia="en-GB"/>
        </w:rPr>
        <w:t>Clement, V. et al. (2021). Groundswell Part 2: Acting on Internal Climate Migration</w:t>
      </w:r>
      <w:r>
        <w:rPr>
          <w:rFonts w:ascii="Times New Roman" w:eastAsia="Times New Roman" w:hAnsi="Times New Roman" w:cs="Times New Roman"/>
          <w:sz w:val="24"/>
          <w:szCs w:val="24"/>
          <w:lang w:eastAsia="en-GB"/>
        </w:rPr>
        <w:t>, (Washington, DC: World Bank).</w:t>
      </w:r>
    </w:p>
    <w:p w14:paraId="6F36A9F9" w14:textId="77777777" w:rsidR="00510BFE" w:rsidRDefault="00510BFE" w:rsidP="0049544A">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ClimateAnalyzer1 (</w:t>
      </w:r>
      <w:r w:rsidRPr="00CE64BB">
        <w:rPr>
          <w:rFonts w:ascii="Times New Roman" w:hAnsi="Times New Roman" w:cs="Times New Roman"/>
          <w:sz w:val="24"/>
          <w:szCs w:val="24"/>
        </w:rPr>
        <w:t>2025</w:t>
      </w:r>
      <w:r>
        <w:rPr>
          <w:rFonts w:ascii="Times New Roman" w:hAnsi="Times New Roman" w:cs="Times New Roman"/>
          <w:sz w:val="24"/>
          <w:szCs w:val="24"/>
        </w:rPr>
        <w:t>).</w:t>
      </w:r>
      <w:r w:rsidRPr="00CE64BB">
        <w:rPr>
          <w:rFonts w:ascii="Times New Roman" w:hAnsi="Times New Roman" w:cs="Times New Roman"/>
          <w:sz w:val="24"/>
          <w:szCs w:val="24"/>
        </w:rPr>
        <w:t xml:space="preserve"> </w:t>
      </w:r>
      <w:r w:rsidRPr="000B1687">
        <w:rPr>
          <w:rFonts w:ascii="Times New Roman" w:hAnsi="Times New Roman" w:cs="Times New Roman"/>
          <w:sz w:val="24"/>
          <w:szCs w:val="24"/>
        </w:rPr>
        <w:t xml:space="preserve">Daily sea surface temperature (world). </w:t>
      </w:r>
      <w:hyperlink r:id="rId35" w:history="1">
        <w:r w:rsidRPr="00084357">
          <w:rPr>
            <w:rStyle w:val="Hipervnculo"/>
            <w:rFonts w:ascii="Times New Roman" w:hAnsi="Times New Roman" w:cs="Times New Roman"/>
            <w:sz w:val="24"/>
            <w:szCs w:val="24"/>
          </w:rPr>
          <w:t>https://climatereanalyzer.org/clim/sst_daily/?dm_id=world2</w:t>
        </w:r>
      </w:hyperlink>
    </w:p>
    <w:p w14:paraId="1F23A34E" w14:textId="77777777" w:rsidR="00510BFE" w:rsidRDefault="00510BFE" w:rsidP="0049544A">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 Climate Reanalyzer2 (2025</w:t>
      </w:r>
      <w:r w:rsidRPr="000B1687">
        <w:rPr>
          <w:rFonts w:ascii="Times New Roman" w:hAnsi="Times New Roman" w:cs="Times New Roman"/>
          <w:sz w:val="24"/>
          <w:szCs w:val="24"/>
        </w:rPr>
        <w:t xml:space="preserve">). Daily sea ice extent (Northern Hemisphere). </w:t>
      </w:r>
      <w:r w:rsidR="0005485D">
        <w:rPr>
          <w:rFonts w:ascii="Times New Roman" w:hAnsi="Times New Roman" w:cs="Times New Roman"/>
          <w:sz w:val="24"/>
          <w:szCs w:val="24"/>
        </w:rPr>
        <w:t>h</w:t>
      </w:r>
      <w:r w:rsidRPr="000B1687">
        <w:rPr>
          <w:rFonts w:ascii="Times New Roman" w:hAnsi="Times New Roman" w:cs="Times New Roman"/>
          <w:sz w:val="24"/>
          <w:szCs w:val="24"/>
        </w:rPr>
        <w:t>ttps://climatereanalyzer.org/clim/seaice_daily/?nhsh=nh</w:t>
      </w:r>
    </w:p>
    <w:p w14:paraId="353CA5E7" w14:textId="77777777" w:rsidR="00510BFE" w:rsidRPr="00021171" w:rsidRDefault="00510BFE" w:rsidP="00510BFE">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 Climate Reanalyzer3 (2025</w:t>
      </w:r>
      <w:r w:rsidRPr="000B1687">
        <w:rPr>
          <w:rFonts w:ascii="Times New Roman" w:hAnsi="Times New Roman" w:cs="Times New Roman"/>
          <w:sz w:val="24"/>
          <w:szCs w:val="24"/>
        </w:rPr>
        <w:t>). Daily sea ice extent (Northern Hemisphere). https://climatereanalyzer.org/clim/seaice_daily/?nhsh=nh</w:t>
      </w:r>
    </w:p>
    <w:p w14:paraId="72B55C17" w14:textId="0065ABB4" w:rsidR="001E7973" w:rsidRPr="001E7973" w:rsidRDefault="001E7973" w:rsidP="00510BFE">
      <w:pPr>
        <w:spacing w:before="100" w:beforeAutospacing="1" w:after="100" w:afterAutospacing="1" w:line="240" w:lineRule="auto"/>
        <w:rPr>
          <w:rFonts w:ascii="Times New Roman" w:hAnsi="Times New Roman" w:cs="Times New Roman"/>
          <w:sz w:val="24"/>
          <w:szCs w:val="24"/>
        </w:rPr>
      </w:pPr>
      <w:r w:rsidRPr="00930B9D">
        <w:rPr>
          <w:rFonts w:ascii="Times New Roman" w:hAnsi="Times New Roman" w:cs="Times New Roman"/>
          <w:sz w:val="24"/>
          <w:szCs w:val="24"/>
        </w:rPr>
        <w:t>Elle</w:t>
      </w:r>
      <w:r w:rsidR="0049544A">
        <w:rPr>
          <w:rFonts w:ascii="Times New Roman" w:hAnsi="Times New Roman" w:cs="Times New Roman"/>
          <w:sz w:val="24"/>
          <w:szCs w:val="24"/>
        </w:rPr>
        <w:t xml:space="preserve">rman, A. D., </w:t>
      </w:r>
      <w:proofErr w:type="spellStart"/>
      <w:r w:rsidR="0049544A">
        <w:rPr>
          <w:rFonts w:ascii="Times New Roman" w:hAnsi="Times New Roman" w:cs="Times New Roman"/>
          <w:sz w:val="24"/>
          <w:szCs w:val="24"/>
        </w:rPr>
        <w:t>Marcantonini</w:t>
      </w:r>
      <w:proofErr w:type="spellEnd"/>
      <w:r w:rsidR="0049544A">
        <w:rPr>
          <w:rFonts w:ascii="Times New Roman" w:hAnsi="Times New Roman" w:cs="Times New Roman"/>
          <w:sz w:val="24"/>
          <w:szCs w:val="24"/>
        </w:rPr>
        <w:t>, C.</w:t>
      </w:r>
      <w:r w:rsidR="0005485D" w:rsidRPr="00930B9D">
        <w:rPr>
          <w:rFonts w:ascii="Times New Roman" w:hAnsi="Times New Roman" w:cs="Times New Roman"/>
          <w:sz w:val="24"/>
          <w:szCs w:val="24"/>
        </w:rPr>
        <w:t xml:space="preserve"> and</w:t>
      </w:r>
      <w:r w:rsidRPr="00930B9D">
        <w:rPr>
          <w:rFonts w:ascii="Times New Roman" w:hAnsi="Times New Roman" w:cs="Times New Roman"/>
          <w:sz w:val="24"/>
          <w:szCs w:val="24"/>
        </w:rPr>
        <w:t xml:space="preserve"> </w:t>
      </w:r>
      <w:proofErr w:type="spellStart"/>
      <w:r w:rsidRPr="00930B9D">
        <w:rPr>
          <w:rFonts w:ascii="Times New Roman" w:hAnsi="Times New Roman" w:cs="Times New Roman"/>
          <w:sz w:val="24"/>
          <w:szCs w:val="24"/>
        </w:rPr>
        <w:t>Zaklan</w:t>
      </w:r>
      <w:proofErr w:type="spellEnd"/>
      <w:r w:rsidRPr="00930B9D">
        <w:rPr>
          <w:rFonts w:ascii="Times New Roman" w:hAnsi="Times New Roman" w:cs="Times New Roman"/>
          <w:sz w:val="24"/>
          <w:szCs w:val="24"/>
        </w:rPr>
        <w:t xml:space="preserve">, A. (2016). </w:t>
      </w:r>
      <w:r w:rsidRPr="001E7973">
        <w:rPr>
          <w:rFonts w:ascii="Times New Roman" w:hAnsi="Times New Roman" w:cs="Times New Roman"/>
          <w:sz w:val="24"/>
          <w:szCs w:val="24"/>
        </w:rPr>
        <w:t xml:space="preserve">The European Union Emissions Trading System: Ten years and counting. </w:t>
      </w:r>
      <w:r w:rsidRPr="001E7973">
        <w:rPr>
          <w:rStyle w:val="nfasis"/>
          <w:rFonts w:ascii="Times New Roman" w:hAnsi="Times New Roman" w:cs="Times New Roman"/>
          <w:sz w:val="24"/>
          <w:szCs w:val="24"/>
        </w:rPr>
        <w:t>Review of Environmental Economics and Policy</w:t>
      </w:r>
      <w:r w:rsidRPr="001E7973">
        <w:rPr>
          <w:rFonts w:ascii="Times New Roman" w:hAnsi="Times New Roman" w:cs="Times New Roman"/>
          <w:sz w:val="24"/>
          <w:szCs w:val="24"/>
        </w:rPr>
        <w:t xml:space="preserve">, </w:t>
      </w:r>
      <w:r w:rsidRPr="0005485D">
        <w:rPr>
          <w:rFonts w:ascii="Times New Roman" w:hAnsi="Times New Roman" w:cs="Times New Roman"/>
          <w:i/>
          <w:sz w:val="24"/>
          <w:szCs w:val="24"/>
        </w:rPr>
        <w:t>10</w:t>
      </w:r>
      <w:r w:rsidRPr="001E7973">
        <w:rPr>
          <w:rFonts w:ascii="Times New Roman" w:hAnsi="Times New Roman" w:cs="Times New Roman"/>
          <w:sz w:val="24"/>
          <w:szCs w:val="24"/>
        </w:rPr>
        <w:t xml:space="preserve">(1), </w:t>
      </w:r>
      <w:r w:rsidR="00397C9B">
        <w:rPr>
          <w:rFonts w:ascii="Times New Roman" w:hAnsi="Times New Roman" w:cs="Times New Roman"/>
          <w:sz w:val="24"/>
          <w:szCs w:val="24"/>
        </w:rPr>
        <w:t xml:space="preserve">pp. </w:t>
      </w:r>
      <w:r w:rsidRPr="001E7973">
        <w:rPr>
          <w:rFonts w:ascii="Times New Roman" w:hAnsi="Times New Roman" w:cs="Times New Roman"/>
          <w:sz w:val="24"/>
          <w:szCs w:val="24"/>
        </w:rPr>
        <w:t xml:space="preserve">89–107. </w:t>
      </w:r>
    </w:p>
    <w:p w14:paraId="329AE201" w14:textId="77777777" w:rsidR="00510BFE" w:rsidRDefault="00510BFE" w:rsidP="00510BFE">
      <w:pPr>
        <w:spacing w:before="100" w:beforeAutospacing="1" w:after="100" w:afterAutospacing="1" w:line="240" w:lineRule="auto"/>
        <w:rPr>
          <w:rFonts w:ascii="Times New Roman" w:eastAsia="Times New Roman" w:hAnsi="Times New Roman" w:cs="Times New Roman"/>
          <w:color w:val="FF0000"/>
          <w:sz w:val="24"/>
          <w:szCs w:val="24"/>
          <w:lang w:eastAsia="en-GB"/>
        </w:rPr>
      </w:pPr>
      <w:r w:rsidRPr="00D3000C">
        <w:rPr>
          <w:rFonts w:ascii="Times New Roman" w:eastAsia="Times New Roman" w:hAnsi="Times New Roman" w:cs="Times New Roman"/>
          <w:sz w:val="24"/>
          <w:szCs w:val="24"/>
          <w:lang w:eastAsia="en-GB"/>
        </w:rPr>
        <w:t>Energy poverty</w:t>
      </w:r>
      <w:r w:rsidR="00A42482" w:rsidRPr="00D3000C">
        <w:rPr>
          <w:rFonts w:ascii="Times New Roman" w:eastAsia="Times New Roman" w:hAnsi="Times New Roman" w:cs="Times New Roman"/>
          <w:sz w:val="24"/>
          <w:szCs w:val="24"/>
          <w:lang w:eastAsia="en-GB"/>
        </w:rPr>
        <w:t xml:space="preserve"> (2025). European Commission </w:t>
      </w:r>
      <w:hyperlink r:id="rId36" w:history="1">
        <w:r w:rsidRPr="00F866CA">
          <w:rPr>
            <w:rStyle w:val="Hipervnculo"/>
            <w:rFonts w:ascii="Times New Roman" w:eastAsia="Times New Roman" w:hAnsi="Times New Roman" w:cs="Times New Roman"/>
            <w:sz w:val="24"/>
            <w:szCs w:val="24"/>
            <w:lang w:eastAsia="en-GB"/>
          </w:rPr>
          <w:t>https://energy.ec.europa.eu/topics/markets-and-consumers/energy-consumers-and-prosumers/energy-poverty_en</w:t>
        </w:r>
      </w:hyperlink>
    </w:p>
    <w:p w14:paraId="7ADD1FBE" w14:textId="77777777" w:rsidR="00D3000C" w:rsidRPr="00D3000C" w:rsidRDefault="00510BFE" w:rsidP="00510BFE">
      <w:pPr>
        <w:spacing w:before="100" w:beforeAutospacing="1" w:after="100" w:afterAutospacing="1" w:line="240" w:lineRule="auto"/>
        <w:rPr>
          <w:rFonts w:ascii="Times New Roman" w:eastAsia="Times New Roman" w:hAnsi="Times New Roman" w:cs="Times New Roman"/>
          <w:sz w:val="24"/>
          <w:szCs w:val="24"/>
          <w:lang w:val="es-ES" w:eastAsia="en-GB"/>
        </w:rPr>
      </w:pPr>
      <w:r w:rsidRPr="00D3000C">
        <w:rPr>
          <w:rFonts w:ascii="Times New Roman" w:eastAsia="Times New Roman" w:hAnsi="Times New Roman" w:cs="Times New Roman"/>
          <w:sz w:val="24"/>
          <w:szCs w:val="24"/>
          <w:lang w:eastAsia="en-GB"/>
        </w:rPr>
        <w:t>Energy statistics</w:t>
      </w:r>
      <w:r w:rsidR="00A42482" w:rsidRPr="00D3000C">
        <w:rPr>
          <w:rFonts w:ascii="Times New Roman" w:eastAsia="Times New Roman" w:hAnsi="Times New Roman" w:cs="Times New Roman"/>
          <w:sz w:val="24"/>
          <w:szCs w:val="24"/>
          <w:lang w:eastAsia="en-GB"/>
        </w:rPr>
        <w:t xml:space="preserve"> (2024). Energy statistics </w:t>
      </w:r>
      <w:r w:rsidRPr="00D3000C">
        <w:rPr>
          <w:rFonts w:ascii="Times New Roman" w:eastAsia="Times New Roman" w:hAnsi="Times New Roman" w:cs="Times New Roman"/>
          <w:sz w:val="24"/>
          <w:szCs w:val="24"/>
          <w:lang w:eastAsia="en-GB"/>
        </w:rPr>
        <w:t>- an overview</w:t>
      </w:r>
      <w:r w:rsidR="00A42482" w:rsidRPr="00D3000C">
        <w:rPr>
          <w:rFonts w:ascii="Times New Roman" w:eastAsia="Times New Roman" w:hAnsi="Times New Roman" w:cs="Times New Roman"/>
          <w:sz w:val="24"/>
          <w:szCs w:val="24"/>
          <w:lang w:eastAsia="en-GB"/>
        </w:rPr>
        <w:t xml:space="preserve"> (2024). </w:t>
      </w:r>
      <w:r w:rsidR="00A42482" w:rsidRPr="00D3000C">
        <w:rPr>
          <w:rFonts w:ascii="Times New Roman" w:eastAsia="Times New Roman" w:hAnsi="Times New Roman" w:cs="Times New Roman"/>
          <w:sz w:val="24"/>
          <w:szCs w:val="24"/>
          <w:lang w:val="es-ES" w:eastAsia="en-GB"/>
        </w:rPr>
        <w:t xml:space="preserve">Eurostat. </w:t>
      </w:r>
      <w:r w:rsidRPr="00D3000C">
        <w:rPr>
          <w:rFonts w:ascii="Times New Roman" w:eastAsia="Times New Roman" w:hAnsi="Times New Roman" w:cs="Times New Roman"/>
          <w:sz w:val="24"/>
          <w:szCs w:val="24"/>
          <w:lang w:val="es-ES" w:eastAsia="en-GB"/>
        </w:rPr>
        <w:t>https://ec.europa.eu/eurostat/statistics-explained/index.php?title=Energy_statistics_-_an_overview</w:t>
      </w:r>
    </w:p>
    <w:p w14:paraId="1017C4FF" w14:textId="77777777" w:rsidR="00510BFE" w:rsidRPr="006B2DC4" w:rsidRDefault="00510BFE" w:rsidP="0049544A">
      <w:pPr>
        <w:spacing w:before="100" w:beforeAutospacing="1" w:after="100" w:afterAutospacing="1" w:line="240" w:lineRule="auto"/>
        <w:rPr>
          <w:rFonts w:ascii="Times New Roman" w:hAnsi="Times New Roman" w:cs="Times New Roman"/>
          <w:sz w:val="24"/>
          <w:szCs w:val="24"/>
        </w:rPr>
      </w:pPr>
      <w:r>
        <w:rPr>
          <w:rFonts w:ascii="Times New Roman" w:eastAsia="Times New Roman" w:hAnsi="Times New Roman" w:cs="Times New Roman"/>
          <w:iCs/>
          <w:sz w:val="24"/>
          <w:szCs w:val="24"/>
          <w:lang w:eastAsia="en-GB"/>
        </w:rPr>
        <w:t>En</w:t>
      </w:r>
      <w:r>
        <w:rPr>
          <w:rFonts w:ascii="Times New Roman" w:eastAsia="Times New Roman" w:hAnsi="Times New Roman" w:cs="Times New Roman"/>
          <w:iCs/>
          <w:sz w:val="24"/>
          <w:szCs w:val="24"/>
          <w:lang w:eastAsia="en-GB"/>
        </w:rPr>
        <w:noBreakHyphen/>
        <w:t>Roads</w:t>
      </w:r>
      <w:r>
        <w:rPr>
          <w:rFonts w:ascii="Times New Roman" w:eastAsia="Times New Roman" w:hAnsi="Times New Roman" w:cs="Times New Roman"/>
          <w:sz w:val="24"/>
          <w:szCs w:val="24"/>
          <w:lang w:eastAsia="en-GB"/>
        </w:rPr>
        <w:t xml:space="preserve"> (2025).</w:t>
      </w:r>
      <w:r w:rsidRPr="00A17974">
        <w:rPr>
          <w:rFonts w:ascii="Times New Roman" w:eastAsia="Times New Roman" w:hAnsi="Times New Roman" w:cs="Times New Roman"/>
          <w:sz w:val="24"/>
          <w:szCs w:val="24"/>
          <w:lang w:eastAsia="en-GB"/>
        </w:rPr>
        <w:t xml:space="preserve"> </w:t>
      </w:r>
      <w:r w:rsidRPr="005A4A15">
        <w:rPr>
          <w:rFonts w:ascii="Times New Roman" w:eastAsia="Times New Roman" w:hAnsi="Times New Roman" w:cs="Times New Roman"/>
          <w:sz w:val="24"/>
          <w:szCs w:val="24"/>
          <w:lang w:eastAsia="en-GB"/>
        </w:rPr>
        <w:t>Climate Interactive &amp; MIT Sloa</w:t>
      </w:r>
      <w:r>
        <w:rPr>
          <w:rFonts w:ascii="Times New Roman" w:eastAsia="Times New Roman" w:hAnsi="Times New Roman" w:cs="Times New Roman"/>
          <w:sz w:val="24"/>
          <w:szCs w:val="24"/>
          <w:lang w:eastAsia="en-GB"/>
        </w:rPr>
        <w:t xml:space="preserve">n School of Management. </w:t>
      </w:r>
      <w:r w:rsidRPr="005A4A15">
        <w:rPr>
          <w:rFonts w:ascii="Times New Roman" w:eastAsia="Times New Roman" w:hAnsi="Times New Roman" w:cs="Times New Roman"/>
          <w:i/>
          <w:iCs/>
          <w:sz w:val="24"/>
          <w:szCs w:val="24"/>
          <w:lang w:eastAsia="en-GB"/>
        </w:rPr>
        <w:t>En</w:t>
      </w:r>
      <w:r w:rsidRPr="005A4A15">
        <w:rPr>
          <w:rFonts w:ascii="Times New Roman" w:eastAsia="Times New Roman" w:hAnsi="Times New Roman" w:cs="Times New Roman"/>
          <w:i/>
          <w:iCs/>
          <w:sz w:val="24"/>
          <w:szCs w:val="24"/>
          <w:lang w:eastAsia="en-GB"/>
        </w:rPr>
        <w:noBreakHyphen/>
        <w:t>RO</w:t>
      </w:r>
      <w:r>
        <w:rPr>
          <w:rFonts w:ascii="Times New Roman" w:eastAsia="Times New Roman" w:hAnsi="Times New Roman" w:cs="Times New Roman"/>
          <w:i/>
          <w:iCs/>
          <w:sz w:val="24"/>
          <w:szCs w:val="24"/>
          <w:lang w:eastAsia="en-GB"/>
        </w:rPr>
        <w:t xml:space="preserve">ADS Simulator (Version 25.1.0) </w:t>
      </w:r>
      <w:r w:rsidRPr="005A4A15">
        <w:rPr>
          <w:rFonts w:ascii="Times New Roman" w:eastAsia="Times New Roman" w:hAnsi="Times New Roman" w:cs="Times New Roman"/>
          <w:i/>
          <w:iCs/>
          <w:sz w:val="24"/>
          <w:szCs w:val="24"/>
          <w:lang w:eastAsia="en-GB"/>
        </w:rPr>
        <w:t>Climate simulation software</w:t>
      </w:r>
      <w:r>
        <w:rPr>
          <w:rFonts w:ascii="Times New Roman" w:eastAsia="Times New Roman" w:hAnsi="Times New Roman" w:cs="Times New Roman"/>
          <w:i/>
          <w:iCs/>
          <w:sz w:val="24"/>
          <w:szCs w:val="24"/>
          <w:lang w:eastAsia="en-GB"/>
        </w:rPr>
        <w:t xml:space="preserve">.  </w:t>
      </w:r>
      <w:hyperlink r:id="rId37" w:history="1">
        <w:r w:rsidRPr="00F866CA">
          <w:rPr>
            <w:rStyle w:val="Hipervnculo"/>
            <w:rFonts w:ascii="Times New Roman" w:hAnsi="Times New Roman" w:cs="Times New Roman"/>
            <w:sz w:val="24"/>
            <w:szCs w:val="24"/>
          </w:rPr>
          <w:t>https://en-roads.climateinteractive.org/scenario.html?v=25.1.0&amp;p1=75&amp;p16=-0.04&amp;p50=1.4</w:t>
        </w:r>
      </w:hyperlink>
    </w:p>
    <w:p w14:paraId="033A22FE" w14:textId="062E2671" w:rsidR="00BB62ED" w:rsidRPr="00BB62ED" w:rsidRDefault="00BB62ED" w:rsidP="00510BFE">
      <w:pPr>
        <w:pStyle w:val="NormalWeb"/>
        <w:rPr>
          <w:color w:val="0070C0"/>
        </w:rPr>
      </w:pPr>
      <w:r>
        <w:rPr>
          <w:color w:val="0070C0"/>
        </w:rPr>
        <w:t>Eurostat</w:t>
      </w:r>
      <w:r w:rsidRPr="00BB62ED">
        <w:rPr>
          <w:color w:val="0070C0"/>
        </w:rPr>
        <w:t xml:space="preserve"> (2024). Residential stock by energy source for 2023, https://ec.europa.eu/eurostat/statistics-explained/index.php?title=Energy_statistics_-_an_overview</w:t>
      </w:r>
    </w:p>
    <w:p w14:paraId="7AED1F9C" w14:textId="48FC3B9D" w:rsidR="00510BFE" w:rsidRPr="00021171" w:rsidRDefault="00510BFE" w:rsidP="00510BFE">
      <w:pPr>
        <w:pStyle w:val="NormalWeb"/>
      </w:pPr>
      <w:r>
        <w:lastRenderedPageBreak/>
        <w:t xml:space="preserve">Huang, L. (2023). </w:t>
      </w:r>
      <w:r>
        <w:rPr>
          <w:rStyle w:val="nfasis"/>
        </w:rPr>
        <w:t>Climate migration 101: An explainer</w:t>
      </w:r>
      <w:r>
        <w:t xml:space="preserve">. Migration Policy Institute. </w:t>
      </w:r>
      <w:hyperlink r:id="rId38" w:history="1">
        <w:r w:rsidR="00EE1FE3" w:rsidRPr="00C826B5">
          <w:rPr>
            <w:rStyle w:val="Hipervnculo"/>
          </w:rPr>
          <w:t>https://www.migrationpolicy.org/article/climate-migration-101-explainer</w:t>
        </w:r>
      </w:hyperlink>
      <w:r w:rsidR="00EE1FE3">
        <w:rPr>
          <w:rStyle w:val="Hipervnculo"/>
        </w:rPr>
        <w:t xml:space="preserve"> </w:t>
      </w:r>
    </w:p>
    <w:p w14:paraId="75E28D9E" w14:textId="77777777" w:rsidR="00510BFE" w:rsidRPr="00510BFE" w:rsidRDefault="00510BFE" w:rsidP="00510BFE">
      <w:pPr>
        <w:pStyle w:val="Ttulo1"/>
        <w:rPr>
          <w:b w:val="0"/>
          <w:sz w:val="24"/>
          <w:szCs w:val="24"/>
        </w:rPr>
      </w:pPr>
      <w:r w:rsidRPr="004B2237">
        <w:rPr>
          <w:b w:val="0"/>
          <w:sz w:val="24"/>
          <w:szCs w:val="24"/>
        </w:rPr>
        <w:t>Huang, L. and Davidoff-Gore, S. (2025)</w:t>
      </w:r>
      <w:r w:rsidR="00E1730A">
        <w:rPr>
          <w:b w:val="0"/>
          <w:sz w:val="24"/>
          <w:szCs w:val="24"/>
        </w:rPr>
        <w:t>.</w:t>
      </w:r>
      <w:r w:rsidRPr="004B2237">
        <w:rPr>
          <w:b w:val="0"/>
          <w:sz w:val="24"/>
          <w:szCs w:val="24"/>
        </w:rPr>
        <w:t xml:space="preserve"> Funding Climate Mobility Projects Key Players and Strategies for Growth, </w:t>
      </w:r>
      <w:r w:rsidRPr="00541D98">
        <w:rPr>
          <w:b w:val="0"/>
          <w:i/>
          <w:sz w:val="24"/>
          <w:szCs w:val="24"/>
        </w:rPr>
        <w:t>MPI Brief</w:t>
      </w:r>
      <w:r w:rsidRPr="004B2237">
        <w:rPr>
          <w:b w:val="0"/>
          <w:sz w:val="24"/>
          <w:szCs w:val="24"/>
        </w:rPr>
        <w:t>,</w:t>
      </w:r>
      <w:r>
        <w:rPr>
          <w:b w:val="0"/>
          <w:sz w:val="24"/>
          <w:szCs w:val="24"/>
        </w:rPr>
        <w:t xml:space="preserve"> </w:t>
      </w:r>
      <w:r w:rsidRPr="004B2237">
        <w:rPr>
          <w:b w:val="0"/>
          <w:sz w:val="24"/>
          <w:szCs w:val="24"/>
        </w:rPr>
        <w:t>https://www.migrationpolicy.org/research/funding-climate-mobility-projects?eType=EmailBlastContent&amp;eId=8d66dd74-b65c-406a-846e-f98f2415c4a5</w:t>
      </w:r>
    </w:p>
    <w:p w14:paraId="0F5FE09C" w14:textId="77777777" w:rsidR="00510BFE" w:rsidRDefault="00510BFE" w:rsidP="00510BFE">
      <w:pPr>
        <w:pStyle w:val="NormalWeb"/>
        <w:rPr>
          <w:rStyle w:val="Hipervnculo"/>
        </w:rPr>
      </w:pPr>
      <w:r>
        <w:rPr>
          <w:rStyle w:val="whitespace-normal"/>
        </w:rPr>
        <w:t>IDMC (2024)</w:t>
      </w:r>
      <w:r w:rsidR="00E1730A">
        <w:rPr>
          <w:rStyle w:val="whitespace-normal"/>
        </w:rPr>
        <w:t>.</w:t>
      </w:r>
      <w:r>
        <w:rPr>
          <w:rStyle w:val="whitespace-normal"/>
        </w:rPr>
        <w:t xml:space="preserve"> Internal Displacement Monitoring Centre</w:t>
      </w:r>
      <w:r>
        <w:t xml:space="preserve">. </w:t>
      </w:r>
      <w:r>
        <w:rPr>
          <w:rStyle w:val="nfasis"/>
        </w:rPr>
        <w:t>Global internal displacement database</w:t>
      </w:r>
      <w:r>
        <w:t xml:space="preserve">. </w:t>
      </w:r>
      <w:hyperlink r:id="rId39" w:tgtFrame="_new" w:history="1">
        <w:r>
          <w:rPr>
            <w:rStyle w:val="Hipervnculo"/>
          </w:rPr>
          <w:t>https://www.internal-displacement.org/database/displacement-data/</w:t>
        </w:r>
      </w:hyperlink>
    </w:p>
    <w:p w14:paraId="6C387E09" w14:textId="77777777" w:rsidR="00510BFE" w:rsidRDefault="00510BFE" w:rsidP="00510BFE">
      <w:pPr>
        <w:pStyle w:val="NormalWeb"/>
      </w:pPr>
      <w:r>
        <w:rPr>
          <w:rStyle w:val="whitespace-normal"/>
        </w:rPr>
        <w:t>IDMC (2024a)</w:t>
      </w:r>
      <w:r w:rsidR="00E1730A">
        <w:rPr>
          <w:rStyle w:val="whitespace-normal"/>
        </w:rPr>
        <w:t>.</w:t>
      </w:r>
      <w:r>
        <w:rPr>
          <w:rStyle w:val="whitespace-normal"/>
        </w:rPr>
        <w:t xml:space="preserve"> Internal Displacement Monitoring Centre</w:t>
      </w:r>
      <w:r>
        <w:t xml:space="preserve">. </w:t>
      </w:r>
      <w:r>
        <w:rPr>
          <w:rStyle w:val="nfasis"/>
        </w:rPr>
        <w:t>Estimating displacement risk using data</w:t>
      </w:r>
      <w:r>
        <w:rPr>
          <w:rStyle w:val="nfasis"/>
        </w:rPr>
        <w:noBreakHyphen/>
        <w:t>driven approaches: Flood and drought displacement risk in the Horn of Africa</w:t>
      </w:r>
      <w:r>
        <w:t xml:space="preserve">. </w:t>
      </w:r>
      <w:hyperlink r:id="rId40" w:tgtFrame="_new" w:history="1">
        <w:r>
          <w:rPr>
            <w:rStyle w:val="Hipervnculo"/>
          </w:rPr>
          <w:t>https://story.internal-displacement.org/estimating-displacement-risk-using-data-driven-approaches-flood-and-drought-displacement-risk-in-the-horn-of-africa/</w:t>
        </w:r>
      </w:hyperlink>
    </w:p>
    <w:p w14:paraId="4E481668" w14:textId="77777777" w:rsidR="00510BFE" w:rsidRDefault="00510BFE" w:rsidP="00510BFE">
      <w:pPr>
        <w:spacing w:before="100" w:beforeAutospacing="1" w:after="100" w:afterAutospacing="1" w:line="240" w:lineRule="auto"/>
        <w:jc w:val="both"/>
        <w:rPr>
          <w:rFonts w:ascii="Times New Roman" w:hAnsi="Times New Roman" w:cs="Times New Roman"/>
          <w:sz w:val="24"/>
          <w:szCs w:val="24"/>
        </w:rPr>
      </w:pPr>
      <w:r w:rsidRPr="00A17974">
        <w:rPr>
          <w:rFonts w:ascii="Times New Roman" w:hAnsi="Times New Roman" w:cs="Times New Roman"/>
          <w:sz w:val="24"/>
          <w:szCs w:val="24"/>
        </w:rPr>
        <w:t>IDMC (2025)</w:t>
      </w:r>
      <w:r w:rsidR="00E1730A">
        <w:rPr>
          <w:rFonts w:ascii="Times New Roman" w:hAnsi="Times New Roman" w:cs="Times New Roman"/>
          <w:sz w:val="24"/>
          <w:szCs w:val="24"/>
        </w:rPr>
        <w:t>.</w:t>
      </w:r>
      <w:r w:rsidRPr="00A17974">
        <w:rPr>
          <w:rFonts w:ascii="Times New Roman" w:hAnsi="Times New Roman" w:cs="Times New Roman"/>
          <w:sz w:val="24"/>
          <w:szCs w:val="24"/>
        </w:rPr>
        <w:t xml:space="preserve"> Global Report</w:t>
      </w:r>
      <w:r>
        <w:rPr>
          <w:rFonts w:ascii="Times New Roman" w:hAnsi="Times New Roman" w:cs="Times New Roman"/>
          <w:sz w:val="24"/>
          <w:szCs w:val="24"/>
        </w:rPr>
        <w:t xml:space="preserve"> on Internal Displacement 2025. </w:t>
      </w:r>
      <w:r w:rsidRPr="00A17974">
        <w:rPr>
          <w:rFonts w:ascii="Times New Roman" w:hAnsi="Times New Roman" w:cs="Times New Roman"/>
          <w:sz w:val="24"/>
          <w:szCs w:val="24"/>
        </w:rPr>
        <w:t xml:space="preserve">Internal </w:t>
      </w:r>
      <w:r>
        <w:rPr>
          <w:rFonts w:ascii="Times New Roman" w:hAnsi="Times New Roman" w:cs="Times New Roman"/>
          <w:sz w:val="24"/>
          <w:szCs w:val="24"/>
        </w:rPr>
        <w:t xml:space="preserve">Displacement Monitoring Centre. </w:t>
      </w:r>
      <w:r w:rsidRPr="00A17974">
        <w:rPr>
          <w:rFonts w:ascii="Times New Roman" w:hAnsi="Times New Roman" w:cs="Times New Roman"/>
          <w:sz w:val="24"/>
          <w:szCs w:val="24"/>
        </w:rPr>
        <w:t>https://doi.org/10.55363/IDMC.XTGW2833</w:t>
      </w:r>
    </w:p>
    <w:p w14:paraId="3E90666D" w14:textId="77777777" w:rsidR="00A21F86" w:rsidRDefault="00C0091E" w:rsidP="00C0091E">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IPCC, (2023).</w:t>
      </w:r>
      <w:r w:rsidRPr="00C0091E">
        <w:rPr>
          <w:rFonts w:ascii="Times New Roman" w:hAnsi="Times New Roman" w:cs="Times New Roman"/>
          <w:sz w:val="24"/>
          <w:szCs w:val="24"/>
        </w:rPr>
        <w:t xml:space="preserve"> Sections. In: Climate Change 2023: Synthesis Report. Contribution of Working Gr</w:t>
      </w:r>
      <w:r>
        <w:rPr>
          <w:rFonts w:ascii="Times New Roman" w:hAnsi="Times New Roman" w:cs="Times New Roman"/>
          <w:sz w:val="24"/>
          <w:szCs w:val="24"/>
        </w:rPr>
        <w:t xml:space="preserve">oups I, II and III to the Sixth </w:t>
      </w:r>
      <w:r w:rsidRPr="00C0091E">
        <w:rPr>
          <w:rFonts w:ascii="Times New Roman" w:hAnsi="Times New Roman" w:cs="Times New Roman"/>
          <w:sz w:val="24"/>
          <w:szCs w:val="24"/>
        </w:rPr>
        <w:t>Assessment Report of the Intergovernmental Panel on Climate Change [Core Writing Team, H. L</w:t>
      </w:r>
      <w:r>
        <w:rPr>
          <w:rFonts w:ascii="Times New Roman" w:hAnsi="Times New Roman" w:cs="Times New Roman"/>
          <w:sz w:val="24"/>
          <w:szCs w:val="24"/>
        </w:rPr>
        <w:t xml:space="preserve">ee and J. Romero (eds.)]. IPCC, </w:t>
      </w:r>
      <w:r w:rsidRPr="00C0091E">
        <w:rPr>
          <w:rFonts w:ascii="Times New Roman" w:hAnsi="Times New Roman" w:cs="Times New Roman"/>
          <w:sz w:val="24"/>
          <w:szCs w:val="24"/>
        </w:rPr>
        <w:t xml:space="preserve">Geneva, Switzerland, pp. 35-115, </w:t>
      </w:r>
      <w:proofErr w:type="spellStart"/>
      <w:r w:rsidRPr="00C0091E">
        <w:rPr>
          <w:rFonts w:ascii="Times New Roman" w:hAnsi="Times New Roman" w:cs="Times New Roman"/>
          <w:sz w:val="24"/>
          <w:szCs w:val="24"/>
        </w:rPr>
        <w:t>doi</w:t>
      </w:r>
      <w:proofErr w:type="spellEnd"/>
      <w:r w:rsidRPr="00C0091E">
        <w:rPr>
          <w:rFonts w:ascii="Times New Roman" w:hAnsi="Times New Roman" w:cs="Times New Roman"/>
          <w:sz w:val="24"/>
          <w:szCs w:val="24"/>
        </w:rPr>
        <w:t>: 10.59327/IPCC/AR6-9789291691647</w:t>
      </w:r>
    </w:p>
    <w:p w14:paraId="44B64AD9" w14:textId="77777777" w:rsidR="00510BFE" w:rsidRDefault="00510BFE" w:rsidP="00510BFE">
      <w:pPr>
        <w:spacing w:before="100" w:beforeAutospacing="1" w:after="100" w:afterAutospacing="1" w:line="240" w:lineRule="auto"/>
        <w:jc w:val="both"/>
        <w:rPr>
          <w:rFonts w:ascii="Times New Roman" w:hAnsi="Times New Roman" w:cs="Times New Roman"/>
          <w:sz w:val="24"/>
          <w:szCs w:val="24"/>
        </w:rPr>
      </w:pPr>
      <w:r w:rsidRPr="00C0091E">
        <w:rPr>
          <w:rFonts w:ascii="Times New Roman" w:hAnsi="Times New Roman" w:cs="Times New Roman"/>
          <w:sz w:val="24"/>
          <w:szCs w:val="24"/>
        </w:rPr>
        <w:t>Khanh Doan, M. et al</w:t>
      </w:r>
      <w:r w:rsidR="00E1730A">
        <w:rPr>
          <w:rFonts w:ascii="Times New Roman" w:hAnsi="Times New Roman" w:cs="Times New Roman"/>
          <w:sz w:val="24"/>
          <w:szCs w:val="24"/>
        </w:rPr>
        <w:t>.</w:t>
      </w:r>
      <w:r w:rsidRPr="00C0091E">
        <w:rPr>
          <w:rFonts w:ascii="Times New Roman" w:hAnsi="Times New Roman" w:cs="Times New Roman"/>
          <w:sz w:val="24"/>
          <w:szCs w:val="24"/>
        </w:rPr>
        <w:t xml:space="preserve"> (2023)</w:t>
      </w:r>
      <w:r w:rsidR="00E1730A">
        <w:rPr>
          <w:rFonts w:ascii="Times New Roman" w:hAnsi="Times New Roman" w:cs="Times New Roman"/>
          <w:sz w:val="24"/>
          <w:szCs w:val="24"/>
        </w:rPr>
        <w:t>.</w:t>
      </w:r>
      <w:r w:rsidRPr="00C0091E">
        <w:rPr>
          <w:rFonts w:ascii="Times New Roman" w:hAnsi="Times New Roman" w:cs="Times New Roman"/>
          <w:sz w:val="24"/>
          <w:szCs w:val="24"/>
        </w:rPr>
        <w:t xml:space="preserve"> Counting People Exposed to, Vulnerable to, or at High Risk </w:t>
      </w:r>
      <w:proofErr w:type="gramStart"/>
      <w:r w:rsidRPr="00C0091E">
        <w:rPr>
          <w:rFonts w:ascii="Times New Roman" w:hAnsi="Times New Roman" w:cs="Times New Roman"/>
          <w:sz w:val="24"/>
          <w:szCs w:val="24"/>
        </w:rPr>
        <w:t>From</w:t>
      </w:r>
      <w:proofErr w:type="gramEnd"/>
      <w:r w:rsidRPr="00C0091E">
        <w:rPr>
          <w:rFonts w:ascii="Times New Roman" w:hAnsi="Times New Roman" w:cs="Times New Roman"/>
          <w:sz w:val="24"/>
          <w:szCs w:val="24"/>
        </w:rPr>
        <w:t xml:space="preserve"> Climate Shocks. A Methodology, World Bank Group, Pover</w:t>
      </w:r>
      <w:r>
        <w:rPr>
          <w:rFonts w:ascii="Times New Roman" w:hAnsi="Times New Roman" w:cs="Times New Roman"/>
          <w:sz w:val="24"/>
          <w:szCs w:val="24"/>
        </w:rPr>
        <w:t xml:space="preserve">ty and Equity Global Practice &amp; </w:t>
      </w:r>
      <w:r w:rsidRPr="00C0091E">
        <w:rPr>
          <w:rFonts w:ascii="Times New Roman" w:hAnsi="Times New Roman" w:cs="Times New Roman"/>
          <w:sz w:val="24"/>
          <w:szCs w:val="24"/>
        </w:rPr>
        <w:t>Climate Change Group</w:t>
      </w:r>
    </w:p>
    <w:p w14:paraId="20624C36" w14:textId="77777777" w:rsidR="000428DA" w:rsidRPr="000428DA" w:rsidRDefault="0049544A" w:rsidP="0049544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Koroutchev, R. (2025). </w:t>
      </w:r>
      <w:r w:rsidR="000428DA" w:rsidRPr="000428DA">
        <w:rPr>
          <w:rFonts w:ascii="Times New Roman" w:hAnsi="Times New Roman" w:cs="Times New Roman"/>
          <w:sz w:val="24"/>
          <w:szCs w:val="24"/>
        </w:rPr>
        <w:t>Sustainability and Climate Change: From</w:t>
      </w:r>
      <w:r>
        <w:rPr>
          <w:rFonts w:ascii="Times New Roman" w:hAnsi="Times New Roman" w:cs="Times New Roman"/>
          <w:sz w:val="24"/>
          <w:szCs w:val="24"/>
        </w:rPr>
        <w:t xml:space="preserve"> Climate Migration to Education, </w:t>
      </w:r>
      <w:proofErr w:type="gramStart"/>
      <w:r w:rsidRPr="0049544A">
        <w:rPr>
          <w:rFonts w:ascii="Times New Roman" w:hAnsi="Times New Roman" w:cs="Times New Roman"/>
          <w:i/>
          <w:sz w:val="24"/>
          <w:szCs w:val="24"/>
        </w:rPr>
        <w:t>Int.</w:t>
      </w:r>
      <w:r w:rsidR="000428DA" w:rsidRPr="0049544A">
        <w:rPr>
          <w:rFonts w:ascii="Times New Roman" w:hAnsi="Times New Roman" w:cs="Times New Roman"/>
          <w:i/>
          <w:sz w:val="24"/>
          <w:szCs w:val="24"/>
        </w:rPr>
        <w:t>.</w:t>
      </w:r>
      <w:proofErr w:type="gramEnd"/>
      <w:r w:rsidR="000428DA" w:rsidRPr="0049544A">
        <w:rPr>
          <w:rFonts w:ascii="Times New Roman" w:hAnsi="Times New Roman" w:cs="Times New Roman"/>
          <w:i/>
          <w:sz w:val="24"/>
          <w:szCs w:val="24"/>
        </w:rPr>
        <w:t xml:space="preserve"> J. of Soc. Science and Human Research</w:t>
      </w:r>
      <w:r>
        <w:rPr>
          <w:rFonts w:ascii="Times New Roman" w:hAnsi="Times New Roman" w:cs="Times New Roman"/>
          <w:sz w:val="24"/>
          <w:szCs w:val="24"/>
        </w:rPr>
        <w:t xml:space="preserve">, </w:t>
      </w:r>
      <w:r w:rsidR="000428DA" w:rsidRPr="0049544A">
        <w:rPr>
          <w:rFonts w:ascii="Times New Roman" w:hAnsi="Times New Roman" w:cs="Times New Roman"/>
          <w:i/>
          <w:sz w:val="24"/>
          <w:szCs w:val="24"/>
        </w:rPr>
        <w:t>8</w:t>
      </w:r>
      <w:r w:rsidR="000428DA" w:rsidRPr="000428DA">
        <w:rPr>
          <w:rFonts w:ascii="Times New Roman" w:hAnsi="Times New Roman" w:cs="Times New Roman"/>
          <w:sz w:val="24"/>
          <w:szCs w:val="24"/>
        </w:rPr>
        <w:t>(8), pp. 6385-6396, https://ijsshr.in/v8i8/74.php</w:t>
      </w:r>
    </w:p>
    <w:p w14:paraId="595A4530" w14:textId="45D00AF1" w:rsidR="007652A9" w:rsidRDefault="007652A9" w:rsidP="0049544A">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Koroutchev, R. et al. (2026). </w:t>
      </w:r>
      <w:r w:rsidRPr="007652A9">
        <w:rPr>
          <w:rFonts w:ascii="Times New Roman" w:hAnsi="Times New Roman" w:cs="Times New Roman"/>
          <w:sz w:val="24"/>
          <w:szCs w:val="24"/>
        </w:rPr>
        <w:t>Geographical analysis of the energy poverty in Europe: the case of Bulgaria</w:t>
      </w:r>
      <w:r>
        <w:rPr>
          <w:rFonts w:ascii="Times New Roman" w:hAnsi="Times New Roman" w:cs="Times New Roman"/>
          <w:sz w:val="24"/>
          <w:szCs w:val="24"/>
        </w:rPr>
        <w:t xml:space="preserve">, in the </w:t>
      </w:r>
      <w:r w:rsidRPr="00EE1FE3">
        <w:rPr>
          <w:rFonts w:ascii="Times New Roman" w:hAnsi="Times New Roman" w:cs="Times New Roman"/>
          <w:i/>
          <w:sz w:val="24"/>
          <w:szCs w:val="24"/>
        </w:rPr>
        <w:t>Proceedings of EUROGEO</w:t>
      </w:r>
      <w:r>
        <w:rPr>
          <w:rFonts w:ascii="Times New Roman" w:hAnsi="Times New Roman" w:cs="Times New Roman"/>
          <w:sz w:val="24"/>
          <w:szCs w:val="24"/>
        </w:rPr>
        <w:t xml:space="preserve"> 2026 Int. Conference, Tilburg, Netherlands</w:t>
      </w:r>
      <w:r w:rsidR="00884495">
        <w:rPr>
          <w:rFonts w:ascii="Times New Roman" w:hAnsi="Times New Roman" w:cs="Times New Roman"/>
          <w:sz w:val="24"/>
          <w:szCs w:val="24"/>
        </w:rPr>
        <w:t>.</w:t>
      </w:r>
    </w:p>
    <w:p w14:paraId="7612843D" w14:textId="77777777" w:rsidR="00510BFE" w:rsidRPr="000B1687" w:rsidRDefault="00510BFE" w:rsidP="0049544A">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Lindsey, R. et al. (2023)</w:t>
      </w:r>
      <w:r w:rsidR="00E1730A">
        <w:rPr>
          <w:rFonts w:ascii="Times New Roman" w:hAnsi="Times New Roman" w:cs="Times New Roman"/>
          <w:sz w:val="24"/>
          <w:szCs w:val="24"/>
        </w:rPr>
        <w:t>.</w:t>
      </w:r>
      <w:r>
        <w:rPr>
          <w:rFonts w:ascii="Times New Roman" w:hAnsi="Times New Roman" w:cs="Times New Roman"/>
          <w:sz w:val="24"/>
          <w:szCs w:val="24"/>
        </w:rPr>
        <w:t xml:space="preserve"> Climate.gov. </w:t>
      </w:r>
      <w:r w:rsidRPr="000B1687">
        <w:rPr>
          <w:rFonts w:ascii="Times New Roman" w:hAnsi="Times New Roman" w:cs="Times New Roman"/>
          <w:sz w:val="24"/>
          <w:szCs w:val="24"/>
        </w:rPr>
        <w:t>Climate change: Global sea level. https://www.climate.gov/news-features/understanding-climate/climate-change-global-sea-level</w:t>
      </w:r>
    </w:p>
    <w:p w14:paraId="3F680315" w14:textId="77777777" w:rsidR="00F26277" w:rsidRPr="000B1687" w:rsidRDefault="00F26277" w:rsidP="00F26277">
      <w:pPr>
        <w:pStyle w:val="NormalWeb"/>
      </w:pPr>
      <w:r>
        <w:rPr>
          <w:rStyle w:val="whitespace-normal"/>
        </w:rPr>
        <w:t>MDP (2024)</w:t>
      </w:r>
      <w:r w:rsidR="00E1730A">
        <w:rPr>
          <w:rStyle w:val="whitespace-normal"/>
        </w:rPr>
        <w:t>.</w:t>
      </w:r>
      <w:r>
        <w:rPr>
          <w:rStyle w:val="whitespace-normal"/>
        </w:rPr>
        <w:t xml:space="preserve"> </w:t>
      </w:r>
      <w:r>
        <w:rPr>
          <w:rStyle w:val="nfasis"/>
        </w:rPr>
        <w:t>Environmental migration and statistics</w:t>
      </w:r>
      <w:r>
        <w:t xml:space="preserve">. </w:t>
      </w:r>
      <w:r>
        <w:rPr>
          <w:rStyle w:val="whitespace-normal"/>
        </w:rPr>
        <w:t>Migration Data Portal</w:t>
      </w:r>
      <w:r>
        <w:t xml:space="preserve">. </w:t>
      </w:r>
      <w:hyperlink r:id="rId41" w:tgtFrame="_new" w:history="1">
        <w:r>
          <w:rPr>
            <w:rStyle w:val="Hipervnculo"/>
          </w:rPr>
          <w:t>https://www.migrationdataportal.org/themes/environmental_migration_and_statistics_old</w:t>
        </w:r>
      </w:hyperlink>
    </w:p>
    <w:p w14:paraId="144B1E43" w14:textId="77777777" w:rsidR="00F26277" w:rsidRPr="00BB15C1" w:rsidRDefault="00E1730A" w:rsidP="00F26277">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MDP (2024a). </w:t>
      </w:r>
      <w:r w:rsidR="00F26277" w:rsidRPr="00BB15C1">
        <w:rPr>
          <w:rFonts w:ascii="Times New Roman" w:eastAsia="Times New Roman" w:hAnsi="Times New Roman" w:cs="Times New Roman"/>
          <w:sz w:val="24"/>
          <w:szCs w:val="24"/>
          <w:lang w:eastAsia="en-GB"/>
        </w:rPr>
        <w:t>Climate Mobility Impacts, Migration Data Portal, https://www.migrationdataportal.org/climate-mobility-impacts</w:t>
      </w:r>
    </w:p>
    <w:p w14:paraId="20D4BDD1" w14:textId="77777777" w:rsidR="00F26277" w:rsidRPr="00BB15C1" w:rsidRDefault="00E1730A" w:rsidP="00F26277">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MDP (2024b). </w:t>
      </w:r>
      <w:r w:rsidR="00F26277" w:rsidRPr="00BB15C1">
        <w:rPr>
          <w:rFonts w:ascii="Times New Roman" w:eastAsia="Times New Roman" w:hAnsi="Times New Roman" w:cs="Times New Roman"/>
          <w:sz w:val="24"/>
          <w:szCs w:val="24"/>
          <w:lang w:eastAsia="en-GB"/>
        </w:rPr>
        <w:t xml:space="preserve">Internal Displacement Monitoring </w:t>
      </w:r>
      <w:proofErr w:type="spellStart"/>
      <w:r w:rsidR="00F26277" w:rsidRPr="00BB15C1">
        <w:rPr>
          <w:rFonts w:ascii="Times New Roman" w:eastAsia="Times New Roman" w:hAnsi="Times New Roman" w:cs="Times New Roman"/>
          <w:sz w:val="24"/>
          <w:szCs w:val="24"/>
          <w:lang w:eastAsia="en-GB"/>
        </w:rPr>
        <w:t>Center</w:t>
      </w:r>
      <w:proofErr w:type="spellEnd"/>
      <w:r w:rsidR="00F26277" w:rsidRPr="00BB15C1">
        <w:rPr>
          <w:rFonts w:ascii="Times New Roman" w:eastAsia="Times New Roman" w:hAnsi="Times New Roman" w:cs="Times New Roman"/>
          <w:sz w:val="24"/>
          <w:szCs w:val="24"/>
          <w:lang w:eastAsia="en-GB"/>
        </w:rPr>
        <w:t>, https://www.internal-displacement.org/database/displacement-data/; https://www.migrationdataportal.org/themes/environ</w:t>
      </w:r>
      <w:r w:rsidR="00F26277">
        <w:rPr>
          <w:rFonts w:ascii="Times New Roman" w:eastAsia="Times New Roman" w:hAnsi="Times New Roman" w:cs="Times New Roman"/>
          <w:sz w:val="24"/>
          <w:szCs w:val="24"/>
          <w:lang w:eastAsia="en-GB"/>
        </w:rPr>
        <w:t>mental_migration_and_statistics</w:t>
      </w:r>
    </w:p>
    <w:p w14:paraId="1C82CDB9" w14:textId="77777777" w:rsidR="00F26277" w:rsidRPr="00021171" w:rsidRDefault="00F26277" w:rsidP="00F26277">
      <w:pPr>
        <w:pStyle w:val="NormalWeb"/>
      </w:pPr>
      <w:r>
        <w:rPr>
          <w:rStyle w:val="whitespace-normal"/>
        </w:rPr>
        <w:lastRenderedPageBreak/>
        <w:t>MPI (2025). Migration Policy Institute</w:t>
      </w:r>
      <w:r>
        <w:t xml:space="preserve">. </w:t>
      </w:r>
      <w:r>
        <w:rPr>
          <w:rStyle w:val="nfasis"/>
        </w:rPr>
        <w:t>Special issue: Climate change and migration</w:t>
      </w:r>
      <w:r>
        <w:t xml:space="preserve">. </w:t>
      </w:r>
      <w:hyperlink r:id="rId42" w:tgtFrame="_new" w:history="1">
        <w:r>
          <w:rPr>
            <w:rStyle w:val="Hipervnculo"/>
          </w:rPr>
          <w:t>https://www.migrationpolicy.org/programs/migration-information-source/special-issue-climate-change-and-migration</w:t>
        </w:r>
      </w:hyperlink>
    </w:p>
    <w:p w14:paraId="611B0108" w14:textId="77777777" w:rsidR="00F26277" w:rsidRPr="00021171" w:rsidRDefault="00F26277" w:rsidP="00F26277">
      <w:pPr>
        <w:pStyle w:val="NormalWeb"/>
      </w:pPr>
      <w:r>
        <w:rPr>
          <w:rStyle w:val="whitespace-normal"/>
        </w:rPr>
        <w:t>MPI (2026)</w:t>
      </w:r>
      <w:r w:rsidR="00E1730A">
        <w:rPr>
          <w:rStyle w:val="whitespace-normal"/>
        </w:rPr>
        <w:t>.</w:t>
      </w:r>
      <w:r>
        <w:rPr>
          <w:rStyle w:val="whitespace-normal"/>
        </w:rPr>
        <w:t xml:space="preserve"> Migration Policy Institute</w:t>
      </w:r>
      <w:r>
        <w:t xml:space="preserve">. </w:t>
      </w:r>
      <w:r>
        <w:rPr>
          <w:rStyle w:val="nfasis"/>
        </w:rPr>
        <w:t>Changing Climate, Changing Migration</w:t>
      </w:r>
      <w:r>
        <w:t xml:space="preserve"> [Podcast]. </w:t>
      </w:r>
      <w:hyperlink r:id="rId43" w:tgtFrame="_new" w:history="1">
        <w:r>
          <w:rPr>
            <w:rStyle w:val="Hipervnculo"/>
          </w:rPr>
          <w:t>https://mpichangingclimatechangingmigration.podbean.com/</w:t>
        </w:r>
      </w:hyperlink>
      <w:r>
        <w:t xml:space="preserve"> </w:t>
      </w:r>
    </w:p>
    <w:p w14:paraId="64036D0A" w14:textId="77777777" w:rsidR="0049544A" w:rsidRDefault="0049544A" w:rsidP="00F26277">
      <w:pPr>
        <w:spacing w:before="100" w:beforeAutospacing="1" w:after="100" w:afterAutospacing="1" w:line="240" w:lineRule="auto"/>
        <w:rPr>
          <w:rFonts w:ascii="Times New Roman" w:eastAsia="Times New Roman" w:hAnsi="Times New Roman" w:cs="Times New Roman"/>
          <w:sz w:val="24"/>
          <w:szCs w:val="24"/>
          <w:lang w:eastAsia="en-GB"/>
        </w:rPr>
      </w:pPr>
      <w:r w:rsidRPr="0049544A">
        <w:rPr>
          <w:rFonts w:ascii="Times New Roman" w:eastAsia="Times New Roman" w:hAnsi="Times New Roman" w:cs="Times New Roman"/>
          <w:sz w:val="24"/>
          <w:szCs w:val="24"/>
          <w:lang w:val="bg-BG" w:eastAsia="en-GB"/>
        </w:rPr>
        <w:t xml:space="preserve">Peneva, </w:t>
      </w:r>
      <w:r w:rsidRPr="0049544A">
        <w:rPr>
          <w:rFonts w:ascii="Times New Roman" w:eastAsia="Times New Roman" w:hAnsi="Times New Roman" w:cs="Times New Roman"/>
          <w:sz w:val="24"/>
          <w:szCs w:val="24"/>
          <w:lang w:eastAsia="en-GB"/>
        </w:rPr>
        <w:t xml:space="preserve">T. </w:t>
      </w:r>
      <w:r>
        <w:rPr>
          <w:rFonts w:ascii="Times New Roman" w:eastAsia="Times New Roman" w:hAnsi="Times New Roman" w:cs="Times New Roman"/>
          <w:sz w:val="24"/>
          <w:szCs w:val="24"/>
          <w:lang w:val="bg-BG" w:eastAsia="en-GB"/>
        </w:rPr>
        <w:t xml:space="preserve">(2025). </w:t>
      </w:r>
      <w:r w:rsidRPr="0049544A">
        <w:rPr>
          <w:rFonts w:ascii="Times New Roman" w:eastAsia="Times New Roman" w:hAnsi="Times New Roman" w:cs="Times New Roman"/>
          <w:sz w:val="24"/>
          <w:szCs w:val="24"/>
          <w:lang w:val="bg-BG" w:eastAsia="en-GB"/>
        </w:rPr>
        <w:t>Mapping Energy Vulnerabi</w:t>
      </w:r>
      <w:r>
        <w:rPr>
          <w:rFonts w:ascii="Times New Roman" w:eastAsia="Times New Roman" w:hAnsi="Times New Roman" w:cs="Times New Roman"/>
          <w:sz w:val="24"/>
          <w:szCs w:val="24"/>
          <w:lang w:val="bg-BG" w:eastAsia="en-GB"/>
        </w:rPr>
        <w:t>lity of Households in Bulgaria,</w:t>
      </w:r>
      <w:r w:rsidRPr="0049544A">
        <w:rPr>
          <w:rFonts w:ascii="Times New Roman" w:eastAsia="Times New Roman" w:hAnsi="Times New Roman" w:cs="Times New Roman"/>
          <w:sz w:val="24"/>
          <w:szCs w:val="24"/>
          <w:lang w:val="bg-BG" w:eastAsia="en-GB"/>
        </w:rPr>
        <w:t xml:space="preserve"> </w:t>
      </w:r>
      <w:r w:rsidRPr="0049544A">
        <w:rPr>
          <w:rFonts w:ascii="Times New Roman" w:eastAsia="Times New Roman" w:hAnsi="Times New Roman" w:cs="Times New Roman"/>
          <w:i/>
          <w:sz w:val="24"/>
          <w:szCs w:val="24"/>
          <w:lang w:val="bg-BG" w:eastAsia="en-GB"/>
        </w:rPr>
        <w:t>Economic Studies journal</w:t>
      </w:r>
      <w:r w:rsidRPr="0049544A">
        <w:rPr>
          <w:rFonts w:ascii="Times New Roman" w:eastAsia="Times New Roman" w:hAnsi="Times New Roman" w:cs="Times New Roman"/>
          <w:sz w:val="24"/>
          <w:szCs w:val="24"/>
          <w:lang w:val="bg-BG" w:eastAsia="en-GB"/>
        </w:rPr>
        <w:t>, Bulgarian Academy of Sciences - Economic Research</w:t>
      </w:r>
      <w:r>
        <w:rPr>
          <w:rFonts w:ascii="Times New Roman" w:eastAsia="Times New Roman" w:hAnsi="Times New Roman" w:cs="Times New Roman"/>
          <w:sz w:val="24"/>
          <w:szCs w:val="24"/>
          <w:lang w:val="bg-BG" w:eastAsia="en-GB"/>
        </w:rPr>
        <w:t xml:space="preserve"> Institute, issue 5, pp. 3-26, </w:t>
      </w:r>
      <w:r w:rsidRPr="0049544A">
        <w:rPr>
          <w:rFonts w:ascii="Times New Roman" w:eastAsia="Times New Roman" w:hAnsi="Times New Roman" w:cs="Times New Roman"/>
          <w:sz w:val="24"/>
          <w:szCs w:val="24"/>
          <w:lang w:val="bg-BG" w:eastAsia="en-GB"/>
        </w:rPr>
        <w:t>https://ideas.repec.org/a/bas/econst/y2025i5p3-26.html</w:t>
      </w:r>
    </w:p>
    <w:p w14:paraId="25BCF857" w14:textId="63525EBB" w:rsidR="0029229D" w:rsidRPr="0029229D" w:rsidRDefault="0029229D" w:rsidP="00F26277">
      <w:pPr>
        <w:spacing w:before="100" w:beforeAutospacing="1" w:after="100" w:afterAutospacing="1" w:line="240" w:lineRule="auto"/>
        <w:rPr>
          <w:rFonts w:ascii="Times New Roman" w:eastAsia="Times New Roman" w:hAnsi="Times New Roman" w:cs="Times New Roman"/>
          <w:color w:val="0070C0"/>
          <w:sz w:val="24"/>
          <w:szCs w:val="24"/>
          <w:lang w:eastAsia="en-GB"/>
        </w:rPr>
      </w:pPr>
      <w:r w:rsidRPr="0029229D">
        <w:rPr>
          <w:rFonts w:ascii="Times New Roman" w:eastAsia="Times New Roman" w:hAnsi="Times New Roman" w:cs="Times New Roman"/>
          <w:color w:val="0070C0"/>
          <w:sz w:val="24"/>
          <w:szCs w:val="24"/>
          <w:lang w:eastAsia="en-GB"/>
        </w:rPr>
        <w:t>Reuters (2026). Storm Leonardo forces evacuations in Spain and Portugal with more rain on the way, https://www.reuters.com/sustainability/land-use-biodiversity/more-storms-coming-leonardo-swells-rivers-bursts-aquifers-spain-portugal-2026-02-06/</w:t>
      </w:r>
    </w:p>
    <w:p w14:paraId="727B105E" w14:textId="77777777" w:rsidR="00F26277" w:rsidRPr="00BB15C1" w:rsidRDefault="00F26277" w:rsidP="00F26277">
      <w:pPr>
        <w:spacing w:before="100" w:beforeAutospacing="1" w:after="100" w:afterAutospacing="1" w:line="240" w:lineRule="auto"/>
        <w:rPr>
          <w:rFonts w:ascii="Times New Roman" w:eastAsia="Times New Roman" w:hAnsi="Times New Roman" w:cs="Times New Roman"/>
          <w:sz w:val="24"/>
          <w:szCs w:val="24"/>
          <w:lang w:eastAsia="en-GB"/>
        </w:rPr>
      </w:pPr>
      <w:r w:rsidRPr="00BB15C1">
        <w:rPr>
          <w:rFonts w:ascii="Times New Roman" w:eastAsia="Times New Roman" w:hAnsi="Times New Roman" w:cs="Times New Roman"/>
          <w:sz w:val="24"/>
          <w:szCs w:val="24"/>
          <w:lang w:eastAsia="en-GB"/>
        </w:rPr>
        <w:t>Ripple, W. et al. (2024)</w:t>
      </w:r>
      <w:r w:rsidR="00E1730A">
        <w:rPr>
          <w:rFonts w:ascii="Times New Roman" w:eastAsia="Times New Roman" w:hAnsi="Times New Roman" w:cs="Times New Roman"/>
          <w:sz w:val="24"/>
          <w:szCs w:val="24"/>
          <w:lang w:eastAsia="en-GB"/>
        </w:rPr>
        <w:t>.</w:t>
      </w:r>
      <w:r w:rsidRPr="00BB15C1">
        <w:rPr>
          <w:rFonts w:ascii="Times New Roman" w:eastAsia="Times New Roman" w:hAnsi="Times New Roman" w:cs="Times New Roman"/>
          <w:sz w:val="24"/>
          <w:szCs w:val="24"/>
          <w:lang w:eastAsia="en-GB"/>
        </w:rPr>
        <w:t xml:space="preserve"> The 2024 state of the climate report: Perilous times on planet Earth, </w:t>
      </w:r>
      <w:proofErr w:type="spellStart"/>
      <w:r w:rsidRPr="00E1730A">
        <w:rPr>
          <w:rFonts w:ascii="Times New Roman" w:eastAsia="Times New Roman" w:hAnsi="Times New Roman" w:cs="Times New Roman"/>
          <w:i/>
          <w:sz w:val="24"/>
          <w:szCs w:val="24"/>
          <w:lang w:eastAsia="en-GB"/>
        </w:rPr>
        <w:t>BioScience</w:t>
      </w:r>
      <w:proofErr w:type="spellEnd"/>
      <w:r w:rsidRPr="00BB15C1">
        <w:rPr>
          <w:rFonts w:ascii="Times New Roman" w:eastAsia="Times New Roman" w:hAnsi="Times New Roman" w:cs="Times New Roman"/>
          <w:sz w:val="24"/>
          <w:szCs w:val="24"/>
          <w:lang w:eastAsia="en-GB"/>
        </w:rPr>
        <w:t xml:space="preserve">, </w:t>
      </w:r>
      <w:r w:rsidRPr="00E1730A">
        <w:rPr>
          <w:rFonts w:ascii="Times New Roman" w:eastAsia="Times New Roman" w:hAnsi="Times New Roman" w:cs="Times New Roman"/>
          <w:i/>
          <w:sz w:val="24"/>
          <w:szCs w:val="24"/>
          <w:lang w:eastAsia="en-GB"/>
        </w:rPr>
        <w:t>74</w:t>
      </w:r>
      <w:r w:rsidRPr="00BB15C1">
        <w:rPr>
          <w:rFonts w:ascii="Times New Roman" w:eastAsia="Times New Roman" w:hAnsi="Times New Roman" w:cs="Times New Roman"/>
          <w:sz w:val="24"/>
          <w:szCs w:val="24"/>
          <w:lang w:eastAsia="en-GB"/>
        </w:rPr>
        <w:t>(12) 812–824, https:/</w:t>
      </w:r>
      <w:r>
        <w:rPr>
          <w:rFonts w:ascii="Times New Roman" w:eastAsia="Times New Roman" w:hAnsi="Times New Roman" w:cs="Times New Roman"/>
          <w:sz w:val="24"/>
          <w:szCs w:val="24"/>
          <w:lang w:eastAsia="en-GB"/>
        </w:rPr>
        <w:t>/doi.org/10.1093/biosci/biae087</w:t>
      </w:r>
    </w:p>
    <w:p w14:paraId="3EE0B8FF" w14:textId="56085A6E" w:rsidR="002A1895" w:rsidRPr="002A1895" w:rsidRDefault="002A1895" w:rsidP="0049544A">
      <w:pPr>
        <w:spacing w:before="100" w:beforeAutospacing="1" w:after="100" w:afterAutospacing="1" w:line="240" w:lineRule="auto"/>
        <w:rPr>
          <w:rFonts w:ascii="Times New Roman" w:hAnsi="Times New Roman" w:cs="Times New Roman"/>
          <w:color w:val="0070C0"/>
          <w:sz w:val="24"/>
          <w:szCs w:val="24"/>
        </w:rPr>
      </w:pPr>
      <w:r w:rsidRPr="002A1895">
        <w:rPr>
          <w:rFonts w:ascii="Times New Roman" w:hAnsi="Times New Roman" w:cs="Times New Roman"/>
          <w:color w:val="0070C0"/>
          <w:sz w:val="24"/>
          <w:szCs w:val="24"/>
        </w:rPr>
        <w:t>SCF (2026). Social Climate Fund, https://employment-social-affairs.ec.europa.eu/policies-and-activities/funding/social-climate-fund_en</w:t>
      </w:r>
    </w:p>
    <w:p w14:paraId="762FCA06" w14:textId="77777777" w:rsidR="000B1687" w:rsidRPr="000B1687" w:rsidRDefault="000B1687" w:rsidP="0049544A">
      <w:pPr>
        <w:spacing w:before="100" w:beforeAutospacing="1" w:after="100" w:afterAutospacing="1" w:line="240" w:lineRule="auto"/>
        <w:rPr>
          <w:rFonts w:ascii="Times New Roman" w:hAnsi="Times New Roman" w:cs="Times New Roman"/>
          <w:sz w:val="24"/>
          <w:szCs w:val="24"/>
        </w:rPr>
      </w:pPr>
      <w:r w:rsidRPr="000B1687">
        <w:rPr>
          <w:rFonts w:ascii="Times New Roman" w:hAnsi="Times New Roman" w:cs="Times New Roman"/>
          <w:sz w:val="24"/>
          <w:szCs w:val="24"/>
        </w:rPr>
        <w:t xml:space="preserve">UK Met Office. </w:t>
      </w:r>
      <w:r w:rsidR="00C0091E">
        <w:rPr>
          <w:rFonts w:ascii="Times New Roman" w:hAnsi="Times New Roman" w:cs="Times New Roman"/>
          <w:sz w:val="24"/>
          <w:szCs w:val="24"/>
        </w:rPr>
        <w:t>(2026)</w:t>
      </w:r>
      <w:r w:rsidRPr="000B1687">
        <w:rPr>
          <w:rFonts w:ascii="Times New Roman" w:hAnsi="Times New Roman" w:cs="Times New Roman"/>
          <w:sz w:val="24"/>
          <w:szCs w:val="24"/>
        </w:rPr>
        <w:t>. Current global warming. https://climate.metoffice.cloud/current_warming.html</w:t>
      </w:r>
    </w:p>
    <w:p w14:paraId="22664D54" w14:textId="77777777" w:rsidR="00BB15C1" w:rsidRDefault="00BB15C1" w:rsidP="00F26277">
      <w:pPr>
        <w:spacing w:before="100" w:beforeAutospacing="1" w:after="100" w:afterAutospacing="1" w:line="240" w:lineRule="auto"/>
        <w:jc w:val="both"/>
        <w:rPr>
          <w:rFonts w:ascii="Times New Roman" w:eastAsia="Times New Roman" w:hAnsi="Times New Roman" w:cs="Times New Roman"/>
          <w:sz w:val="24"/>
          <w:szCs w:val="24"/>
          <w:lang w:eastAsia="en-GB"/>
        </w:rPr>
      </w:pPr>
      <w:r w:rsidRPr="00BB15C1">
        <w:rPr>
          <w:rFonts w:ascii="Times New Roman" w:eastAsia="Times New Roman" w:hAnsi="Times New Roman" w:cs="Times New Roman"/>
          <w:sz w:val="24"/>
          <w:szCs w:val="24"/>
          <w:lang w:eastAsia="en-GB"/>
        </w:rPr>
        <w:t>UNEP (2023)</w:t>
      </w:r>
      <w:r w:rsidR="00E1730A">
        <w:rPr>
          <w:rFonts w:ascii="Times New Roman" w:eastAsia="Times New Roman" w:hAnsi="Times New Roman" w:cs="Times New Roman"/>
          <w:sz w:val="24"/>
          <w:szCs w:val="24"/>
          <w:lang w:eastAsia="en-GB"/>
        </w:rPr>
        <w:t>.</w:t>
      </w:r>
      <w:r w:rsidRPr="00BB15C1">
        <w:rPr>
          <w:rFonts w:ascii="Times New Roman" w:eastAsia="Times New Roman" w:hAnsi="Times New Roman" w:cs="Times New Roman"/>
          <w:sz w:val="24"/>
          <w:szCs w:val="24"/>
          <w:lang w:eastAsia="en-GB"/>
        </w:rPr>
        <w:t xml:space="preserve"> United Nations Environment Programme, Emissions Gap Report 2023: Broken Record: Temperatures Hit New Highs, ye</w:t>
      </w:r>
      <w:r>
        <w:rPr>
          <w:rFonts w:ascii="Times New Roman" w:eastAsia="Times New Roman" w:hAnsi="Times New Roman" w:cs="Times New Roman"/>
          <w:sz w:val="24"/>
          <w:szCs w:val="24"/>
          <w:lang w:eastAsia="en-GB"/>
        </w:rPr>
        <w:t>t World Fails to Cut Emissions.</w:t>
      </w:r>
    </w:p>
    <w:p w14:paraId="49B160D0" w14:textId="77777777" w:rsidR="00F26277" w:rsidRPr="00F26277" w:rsidRDefault="00F26277" w:rsidP="00F26277">
      <w:pPr>
        <w:spacing w:before="100" w:beforeAutospacing="1" w:after="100" w:afterAutospacing="1" w:line="240" w:lineRule="auto"/>
        <w:rPr>
          <w:rFonts w:ascii="Times New Roman" w:eastAsia="Times New Roman" w:hAnsi="Times New Roman" w:cs="Times New Roman"/>
          <w:sz w:val="24"/>
          <w:szCs w:val="24"/>
          <w:lang w:eastAsia="en-GB"/>
        </w:rPr>
      </w:pPr>
      <w:r w:rsidRPr="00BB15C1">
        <w:rPr>
          <w:rFonts w:ascii="Times New Roman" w:eastAsia="Times New Roman" w:hAnsi="Times New Roman" w:cs="Times New Roman"/>
          <w:sz w:val="24"/>
          <w:szCs w:val="24"/>
          <w:lang w:eastAsia="en-GB"/>
        </w:rPr>
        <w:t>Varga, R. et al. (2021)</w:t>
      </w:r>
      <w:r w:rsidR="00E1730A">
        <w:rPr>
          <w:rFonts w:ascii="Times New Roman" w:eastAsia="Times New Roman" w:hAnsi="Times New Roman" w:cs="Times New Roman"/>
          <w:sz w:val="24"/>
          <w:szCs w:val="24"/>
          <w:lang w:eastAsia="en-GB"/>
        </w:rPr>
        <w:t>.</w:t>
      </w:r>
      <w:r w:rsidRPr="00BB15C1">
        <w:rPr>
          <w:rFonts w:ascii="Times New Roman" w:eastAsia="Times New Roman" w:hAnsi="Times New Roman" w:cs="Times New Roman"/>
          <w:sz w:val="24"/>
          <w:szCs w:val="24"/>
          <w:lang w:eastAsia="en-GB"/>
        </w:rPr>
        <w:t xml:space="preserve"> Building consensus for ambitious climate action through the World Climate simulation. </w:t>
      </w:r>
      <w:r w:rsidRPr="00E1730A">
        <w:rPr>
          <w:rFonts w:ascii="Times New Roman" w:eastAsia="Times New Roman" w:hAnsi="Times New Roman" w:cs="Times New Roman"/>
          <w:i/>
          <w:sz w:val="24"/>
          <w:szCs w:val="24"/>
          <w:lang w:eastAsia="en-GB"/>
        </w:rPr>
        <w:t>Earth's Future, 9</w:t>
      </w:r>
      <w:r w:rsidRPr="00BB15C1">
        <w:rPr>
          <w:rFonts w:ascii="Times New Roman" w:eastAsia="Times New Roman" w:hAnsi="Times New Roman" w:cs="Times New Roman"/>
          <w:sz w:val="24"/>
          <w:szCs w:val="24"/>
          <w:lang w:eastAsia="en-GB"/>
        </w:rPr>
        <w:t xml:space="preserve">, e2021EF002283, </w:t>
      </w:r>
      <w:hyperlink r:id="rId44" w:history="1">
        <w:r w:rsidRPr="00F866CA">
          <w:rPr>
            <w:rStyle w:val="Hipervnculo"/>
            <w:rFonts w:ascii="Times New Roman" w:eastAsia="Times New Roman" w:hAnsi="Times New Roman" w:cs="Times New Roman"/>
            <w:sz w:val="24"/>
            <w:szCs w:val="24"/>
            <w:lang w:eastAsia="en-GB"/>
          </w:rPr>
          <w:t>https://doi.org/10.1029/2021EF002283</w:t>
        </w:r>
      </w:hyperlink>
    </w:p>
    <w:p w14:paraId="34DBE879" w14:textId="77777777" w:rsidR="00BB15C1" w:rsidRPr="00BB15C1" w:rsidRDefault="00BB15C1" w:rsidP="00BB15C1">
      <w:pPr>
        <w:spacing w:before="100" w:beforeAutospacing="1" w:after="100" w:afterAutospacing="1" w:line="240" w:lineRule="auto"/>
        <w:rPr>
          <w:rFonts w:ascii="Times New Roman" w:eastAsia="Times New Roman" w:hAnsi="Times New Roman" w:cs="Times New Roman"/>
          <w:sz w:val="24"/>
          <w:szCs w:val="24"/>
          <w:lang w:eastAsia="en-GB"/>
        </w:rPr>
      </w:pPr>
      <w:r w:rsidRPr="00BB15C1">
        <w:rPr>
          <w:rFonts w:ascii="Times New Roman" w:eastAsia="Times New Roman" w:hAnsi="Times New Roman" w:cs="Times New Roman"/>
          <w:sz w:val="24"/>
          <w:szCs w:val="24"/>
          <w:lang w:eastAsia="en-GB"/>
        </w:rPr>
        <w:t>WB (2023)</w:t>
      </w:r>
      <w:r w:rsidR="004A70AC">
        <w:rPr>
          <w:rFonts w:ascii="Times New Roman" w:eastAsia="Times New Roman" w:hAnsi="Times New Roman" w:cs="Times New Roman"/>
          <w:sz w:val="24"/>
          <w:szCs w:val="24"/>
          <w:lang w:eastAsia="en-GB"/>
        </w:rPr>
        <w:t>.</w:t>
      </w:r>
      <w:r w:rsidRPr="00BB15C1">
        <w:rPr>
          <w:rFonts w:ascii="Times New Roman" w:eastAsia="Times New Roman" w:hAnsi="Times New Roman" w:cs="Times New Roman"/>
          <w:sz w:val="24"/>
          <w:szCs w:val="24"/>
          <w:lang w:eastAsia="en-GB"/>
        </w:rPr>
        <w:t xml:space="preserve"> Climate shocks: Estimates of people exposed, vulnerable, and at high risk, https://www.preventionweb.net/news/climate-shocks-estimates-people-e</w:t>
      </w:r>
      <w:r>
        <w:rPr>
          <w:rFonts w:ascii="Times New Roman" w:eastAsia="Times New Roman" w:hAnsi="Times New Roman" w:cs="Times New Roman"/>
          <w:sz w:val="24"/>
          <w:szCs w:val="24"/>
          <w:lang w:eastAsia="en-GB"/>
        </w:rPr>
        <w:t>xposed-vulnerable-and-high-risk</w:t>
      </w:r>
    </w:p>
    <w:p w14:paraId="73724CC9" w14:textId="77777777" w:rsidR="00EC6E59" w:rsidRPr="00021171" w:rsidRDefault="00EC6E59" w:rsidP="004B0C57">
      <w:pPr>
        <w:spacing w:before="100" w:beforeAutospacing="1" w:after="100" w:afterAutospacing="1" w:line="240" w:lineRule="auto"/>
        <w:rPr>
          <w:rFonts w:ascii="Times New Roman" w:eastAsia="Times New Roman" w:hAnsi="Times New Roman" w:cs="Times New Roman"/>
          <w:sz w:val="24"/>
          <w:szCs w:val="24"/>
          <w:lang w:eastAsia="en-GB"/>
        </w:rPr>
      </w:pPr>
    </w:p>
    <w:p w14:paraId="02F8AB44" w14:textId="77777777" w:rsidR="004B0C57" w:rsidRPr="00021171" w:rsidRDefault="004B0C57" w:rsidP="00157C47">
      <w:pPr>
        <w:pStyle w:val="NormalWeb"/>
      </w:pPr>
    </w:p>
    <w:p w14:paraId="18CF0714" w14:textId="77777777" w:rsidR="001178A0" w:rsidRPr="00021171" w:rsidRDefault="001178A0" w:rsidP="0077425B"/>
    <w:sectPr w:rsidR="001178A0" w:rsidRPr="00021171">
      <w:headerReference w:type="even" r:id="rId45"/>
      <w:headerReference w:type="default" r:id="rId46"/>
      <w:footerReference w:type="even" r:id="rId47"/>
      <w:footerReference w:type="default" r:id="rId48"/>
      <w:headerReference w:type="first" r:id="rId49"/>
      <w:footerReference w:type="first" r:id="rId5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D1EEDB" w14:textId="77777777" w:rsidR="006079EB" w:rsidRDefault="006079EB" w:rsidP="00E9315B">
      <w:pPr>
        <w:spacing w:after="0" w:line="240" w:lineRule="auto"/>
      </w:pPr>
      <w:r>
        <w:separator/>
      </w:r>
    </w:p>
  </w:endnote>
  <w:endnote w:type="continuationSeparator" w:id="0">
    <w:p w14:paraId="7F98A9F1" w14:textId="77777777" w:rsidR="006079EB" w:rsidRDefault="006079EB" w:rsidP="00E931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ill Sans Nova">
    <w:panose1 w:val="020B0602020104020203"/>
    <w:charset w:val="00"/>
    <w:family w:val="swiss"/>
    <w:pitch w:val="variable"/>
    <w:sig w:usb0="80000287" w:usb1="00000002"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7C6B75" w14:textId="77777777" w:rsidR="00E9315B" w:rsidRDefault="00E9315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0FFD38" w14:textId="77777777" w:rsidR="00E9315B" w:rsidRDefault="00E9315B">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F1178F" w14:textId="77777777" w:rsidR="00E9315B" w:rsidRDefault="00E9315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33CF3B" w14:textId="77777777" w:rsidR="006079EB" w:rsidRDefault="006079EB" w:rsidP="00E9315B">
      <w:pPr>
        <w:spacing w:after="0" w:line="240" w:lineRule="auto"/>
      </w:pPr>
      <w:r>
        <w:separator/>
      </w:r>
    </w:p>
  </w:footnote>
  <w:footnote w:type="continuationSeparator" w:id="0">
    <w:p w14:paraId="1C84F7BA" w14:textId="77777777" w:rsidR="006079EB" w:rsidRDefault="006079EB" w:rsidP="00E931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416DEE" w14:textId="31E353D0" w:rsidR="00E9315B" w:rsidRDefault="006079EB">
    <w:pPr>
      <w:pStyle w:val="Encabezado"/>
    </w:pPr>
    <w:r>
      <w:rPr>
        <w:noProof/>
      </w:rPr>
      <w:pict w14:anchorId="11F2FD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4318063"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1B602C" w14:textId="734F6346" w:rsidR="00E9315B" w:rsidRDefault="006079EB">
    <w:pPr>
      <w:pStyle w:val="Encabezado"/>
    </w:pPr>
    <w:r>
      <w:rPr>
        <w:noProof/>
      </w:rPr>
      <w:pict w14:anchorId="0AD047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4318064"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71ED0D" w14:textId="68520383" w:rsidR="00E9315B" w:rsidRDefault="006079EB">
    <w:pPr>
      <w:pStyle w:val="Encabezado"/>
    </w:pPr>
    <w:r>
      <w:rPr>
        <w:noProof/>
      </w:rPr>
      <w:pict w14:anchorId="4889C4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4318062"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7232E"/>
    <w:multiLevelType w:val="multilevel"/>
    <w:tmpl w:val="21D07A1C"/>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b/>
        <w:color w:val="auto"/>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4DE5E72"/>
    <w:multiLevelType w:val="multilevel"/>
    <w:tmpl w:val="06F2D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DB3BAB"/>
    <w:multiLevelType w:val="multilevel"/>
    <w:tmpl w:val="830CD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34363B"/>
    <w:multiLevelType w:val="multilevel"/>
    <w:tmpl w:val="70C25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D1480B"/>
    <w:multiLevelType w:val="multilevel"/>
    <w:tmpl w:val="0DF6F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CB3BC2"/>
    <w:multiLevelType w:val="multilevel"/>
    <w:tmpl w:val="9F226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B468F5"/>
    <w:multiLevelType w:val="hybridMultilevel"/>
    <w:tmpl w:val="67F0D062"/>
    <w:lvl w:ilvl="0" w:tplc="0B74C6CE">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434B87"/>
    <w:multiLevelType w:val="multilevel"/>
    <w:tmpl w:val="6CE05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216437"/>
    <w:multiLevelType w:val="hybridMultilevel"/>
    <w:tmpl w:val="CE88EDB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337904"/>
    <w:multiLevelType w:val="multilevel"/>
    <w:tmpl w:val="A09E4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BD6551"/>
    <w:multiLevelType w:val="multilevel"/>
    <w:tmpl w:val="49607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E478B7"/>
    <w:multiLevelType w:val="multilevel"/>
    <w:tmpl w:val="B1D49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0A6347"/>
    <w:multiLevelType w:val="multilevel"/>
    <w:tmpl w:val="D74E4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AD0BDE"/>
    <w:multiLevelType w:val="multilevel"/>
    <w:tmpl w:val="D6066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041B97"/>
    <w:multiLevelType w:val="multilevel"/>
    <w:tmpl w:val="35101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5513D8"/>
    <w:multiLevelType w:val="hybridMultilevel"/>
    <w:tmpl w:val="39E67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531387"/>
    <w:multiLevelType w:val="hybridMultilevel"/>
    <w:tmpl w:val="8846514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F8803F0"/>
    <w:multiLevelType w:val="multilevel"/>
    <w:tmpl w:val="57A84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974852"/>
    <w:multiLevelType w:val="hybridMultilevel"/>
    <w:tmpl w:val="39B42356"/>
    <w:lvl w:ilvl="0" w:tplc="66006D72">
      <w:start w:val="1"/>
      <w:numFmt w:val="decimal"/>
      <w:lvlText w:val="%1."/>
      <w:lvlJc w:val="left"/>
      <w:pPr>
        <w:ind w:left="720" w:hanging="360"/>
      </w:pPr>
      <w:rPr>
        <w:rFonts w:cs="Times New Roman" w:hint="default"/>
        <w:b w:val="0"/>
        <w:i w:val="0"/>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60C00E2"/>
    <w:multiLevelType w:val="multilevel"/>
    <w:tmpl w:val="3C923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091B29"/>
    <w:multiLevelType w:val="multilevel"/>
    <w:tmpl w:val="30AEE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8A4DC5"/>
    <w:multiLevelType w:val="multilevel"/>
    <w:tmpl w:val="8D9E4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35277E"/>
    <w:multiLevelType w:val="multilevel"/>
    <w:tmpl w:val="88546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143AE2"/>
    <w:multiLevelType w:val="multilevel"/>
    <w:tmpl w:val="71740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4E5DDC"/>
    <w:multiLevelType w:val="hybridMultilevel"/>
    <w:tmpl w:val="7F1278F6"/>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5C24930"/>
    <w:multiLevelType w:val="hybridMultilevel"/>
    <w:tmpl w:val="3D4AAB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0AE2D27"/>
    <w:multiLevelType w:val="multilevel"/>
    <w:tmpl w:val="B99AC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BA0DFF"/>
    <w:multiLevelType w:val="multilevel"/>
    <w:tmpl w:val="5A641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2D5D08"/>
    <w:multiLevelType w:val="hybridMultilevel"/>
    <w:tmpl w:val="3C2859A0"/>
    <w:lvl w:ilvl="0" w:tplc="2458975C">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68B7061D"/>
    <w:multiLevelType w:val="multilevel"/>
    <w:tmpl w:val="7E286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596622"/>
    <w:multiLevelType w:val="multilevel"/>
    <w:tmpl w:val="ED128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08B5014"/>
    <w:multiLevelType w:val="multilevel"/>
    <w:tmpl w:val="92789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1175636"/>
    <w:multiLevelType w:val="multilevel"/>
    <w:tmpl w:val="1E5AE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1F09FB"/>
    <w:multiLevelType w:val="multilevel"/>
    <w:tmpl w:val="460C9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5D8282A"/>
    <w:multiLevelType w:val="hybridMultilevel"/>
    <w:tmpl w:val="8846514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6C95362"/>
    <w:multiLevelType w:val="hybridMultilevel"/>
    <w:tmpl w:val="8A80E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3F58DC"/>
    <w:multiLevelType w:val="hybridMultilevel"/>
    <w:tmpl w:val="D6308EC0"/>
    <w:lvl w:ilvl="0" w:tplc="08E82BB8">
      <w:start w:val="1"/>
      <w:numFmt w:val="decimal"/>
      <w:lvlText w:val="%1."/>
      <w:lvlJc w:val="left"/>
      <w:pPr>
        <w:ind w:left="1080" w:hanging="360"/>
      </w:pPr>
      <w:rPr>
        <w:rFonts w:ascii="Arial" w:eastAsia="Times New Roman" w:hAnsi="Arial" w:cs="Arial"/>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7EEC7F4E"/>
    <w:multiLevelType w:val="multilevel"/>
    <w:tmpl w:val="745EB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4"/>
  </w:num>
  <w:num w:numId="3">
    <w:abstractNumId w:val="16"/>
  </w:num>
  <w:num w:numId="4">
    <w:abstractNumId w:val="19"/>
  </w:num>
  <w:num w:numId="5">
    <w:abstractNumId w:val="1"/>
  </w:num>
  <w:num w:numId="6">
    <w:abstractNumId w:val="23"/>
  </w:num>
  <w:num w:numId="7">
    <w:abstractNumId w:val="21"/>
  </w:num>
  <w:num w:numId="8">
    <w:abstractNumId w:val="31"/>
  </w:num>
  <w:num w:numId="9">
    <w:abstractNumId w:val="3"/>
  </w:num>
  <w:num w:numId="10">
    <w:abstractNumId w:val="26"/>
  </w:num>
  <w:num w:numId="11">
    <w:abstractNumId w:val="32"/>
  </w:num>
  <w:num w:numId="12">
    <w:abstractNumId w:val="27"/>
  </w:num>
  <w:num w:numId="13">
    <w:abstractNumId w:val="14"/>
  </w:num>
  <w:num w:numId="14">
    <w:abstractNumId w:val="9"/>
  </w:num>
  <w:num w:numId="15">
    <w:abstractNumId w:val="30"/>
  </w:num>
  <w:num w:numId="16">
    <w:abstractNumId w:val="10"/>
  </w:num>
  <w:num w:numId="17">
    <w:abstractNumId w:val="8"/>
  </w:num>
  <w:num w:numId="18">
    <w:abstractNumId w:val="25"/>
  </w:num>
  <w:num w:numId="19">
    <w:abstractNumId w:val="0"/>
  </w:num>
  <w:num w:numId="20">
    <w:abstractNumId w:val="35"/>
  </w:num>
  <w:num w:numId="21">
    <w:abstractNumId w:val="18"/>
  </w:num>
  <w:num w:numId="22">
    <w:abstractNumId w:val="24"/>
  </w:num>
  <w:num w:numId="23">
    <w:abstractNumId w:val="2"/>
  </w:num>
  <w:num w:numId="24">
    <w:abstractNumId w:val="5"/>
  </w:num>
  <w:num w:numId="25">
    <w:abstractNumId w:val="4"/>
  </w:num>
  <w:num w:numId="26">
    <w:abstractNumId w:val="12"/>
  </w:num>
  <w:num w:numId="27">
    <w:abstractNumId w:val="17"/>
  </w:num>
  <w:num w:numId="28">
    <w:abstractNumId w:val="37"/>
  </w:num>
  <w:num w:numId="29">
    <w:abstractNumId w:val="13"/>
  </w:num>
  <w:num w:numId="30">
    <w:abstractNumId w:val="22"/>
  </w:num>
  <w:num w:numId="31">
    <w:abstractNumId w:val="11"/>
  </w:num>
  <w:num w:numId="32">
    <w:abstractNumId w:val="7"/>
  </w:num>
  <w:num w:numId="33">
    <w:abstractNumId w:val="33"/>
  </w:num>
  <w:num w:numId="34">
    <w:abstractNumId w:val="29"/>
  </w:num>
  <w:num w:numId="35">
    <w:abstractNumId w:val="20"/>
  </w:num>
  <w:num w:numId="36">
    <w:abstractNumId w:val="36"/>
  </w:num>
  <w:num w:numId="37">
    <w:abstractNumId w:val="15"/>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A13"/>
    <w:rsid w:val="00001A69"/>
    <w:rsid w:val="00011B53"/>
    <w:rsid w:val="00021171"/>
    <w:rsid w:val="00022A55"/>
    <w:rsid w:val="000428DA"/>
    <w:rsid w:val="00042A3B"/>
    <w:rsid w:val="000446B3"/>
    <w:rsid w:val="0005485D"/>
    <w:rsid w:val="0005692B"/>
    <w:rsid w:val="00064339"/>
    <w:rsid w:val="00070075"/>
    <w:rsid w:val="0007356A"/>
    <w:rsid w:val="0007477D"/>
    <w:rsid w:val="000B1687"/>
    <w:rsid w:val="000B16EE"/>
    <w:rsid w:val="000E19B2"/>
    <w:rsid w:val="000E2B60"/>
    <w:rsid w:val="00104D6D"/>
    <w:rsid w:val="001178A0"/>
    <w:rsid w:val="001315B7"/>
    <w:rsid w:val="00144913"/>
    <w:rsid w:val="001529B6"/>
    <w:rsid w:val="00153401"/>
    <w:rsid w:val="001573F6"/>
    <w:rsid w:val="00157C47"/>
    <w:rsid w:val="00160D6B"/>
    <w:rsid w:val="00160E98"/>
    <w:rsid w:val="00162A26"/>
    <w:rsid w:val="001833AD"/>
    <w:rsid w:val="001843B2"/>
    <w:rsid w:val="001B6B9D"/>
    <w:rsid w:val="001C1D18"/>
    <w:rsid w:val="001D301D"/>
    <w:rsid w:val="001E40CB"/>
    <w:rsid w:val="001E7973"/>
    <w:rsid w:val="001F1285"/>
    <w:rsid w:val="002021F3"/>
    <w:rsid w:val="002427C7"/>
    <w:rsid w:val="00251EBC"/>
    <w:rsid w:val="00263B5D"/>
    <w:rsid w:val="0028569B"/>
    <w:rsid w:val="0029229D"/>
    <w:rsid w:val="002A1895"/>
    <w:rsid w:val="002A23F7"/>
    <w:rsid w:val="002B09E9"/>
    <w:rsid w:val="002B579F"/>
    <w:rsid w:val="002D2343"/>
    <w:rsid w:val="002F20F8"/>
    <w:rsid w:val="002F2886"/>
    <w:rsid w:val="002F54E0"/>
    <w:rsid w:val="0031189A"/>
    <w:rsid w:val="0031790C"/>
    <w:rsid w:val="00320291"/>
    <w:rsid w:val="00382A6B"/>
    <w:rsid w:val="00397C9B"/>
    <w:rsid w:val="003D5529"/>
    <w:rsid w:val="003D7111"/>
    <w:rsid w:val="003E73A1"/>
    <w:rsid w:val="003F711A"/>
    <w:rsid w:val="003F7EBD"/>
    <w:rsid w:val="00402377"/>
    <w:rsid w:val="004069C5"/>
    <w:rsid w:val="00412F99"/>
    <w:rsid w:val="00426D2C"/>
    <w:rsid w:val="004427D6"/>
    <w:rsid w:val="00464096"/>
    <w:rsid w:val="00470E30"/>
    <w:rsid w:val="00487B5F"/>
    <w:rsid w:val="0049544A"/>
    <w:rsid w:val="004A70AC"/>
    <w:rsid w:val="004B0C57"/>
    <w:rsid w:val="004C20EC"/>
    <w:rsid w:val="004D28A8"/>
    <w:rsid w:val="0051095C"/>
    <w:rsid w:val="00510BFE"/>
    <w:rsid w:val="00531D03"/>
    <w:rsid w:val="005327DF"/>
    <w:rsid w:val="00536F02"/>
    <w:rsid w:val="00537F10"/>
    <w:rsid w:val="00540B0A"/>
    <w:rsid w:val="0054741B"/>
    <w:rsid w:val="00551E5E"/>
    <w:rsid w:val="00555A21"/>
    <w:rsid w:val="00555A32"/>
    <w:rsid w:val="005630FE"/>
    <w:rsid w:val="0056375A"/>
    <w:rsid w:val="00564920"/>
    <w:rsid w:val="00582BB9"/>
    <w:rsid w:val="0058419E"/>
    <w:rsid w:val="00591525"/>
    <w:rsid w:val="005A4A15"/>
    <w:rsid w:val="005B0483"/>
    <w:rsid w:val="005D19AA"/>
    <w:rsid w:val="005D24AB"/>
    <w:rsid w:val="005E0D47"/>
    <w:rsid w:val="005F0FC6"/>
    <w:rsid w:val="00601518"/>
    <w:rsid w:val="006079EB"/>
    <w:rsid w:val="006168B4"/>
    <w:rsid w:val="006334F6"/>
    <w:rsid w:val="00635143"/>
    <w:rsid w:val="006358AF"/>
    <w:rsid w:val="00644DC9"/>
    <w:rsid w:val="0064761F"/>
    <w:rsid w:val="006945F8"/>
    <w:rsid w:val="006A6D95"/>
    <w:rsid w:val="006B08F4"/>
    <w:rsid w:val="006B250C"/>
    <w:rsid w:val="006B2DC4"/>
    <w:rsid w:val="006C0F1F"/>
    <w:rsid w:val="006D02C0"/>
    <w:rsid w:val="006D2345"/>
    <w:rsid w:val="006D4A11"/>
    <w:rsid w:val="006E745D"/>
    <w:rsid w:val="00715495"/>
    <w:rsid w:val="007306C3"/>
    <w:rsid w:val="00737BD5"/>
    <w:rsid w:val="00742E28"/>
    <w:rsid w:val="00744A30"/>
    <w:rsid w:val="00755C32"/>
    <w:rsid w:val="007652A9"/>
    <w:rsid w:val="00765A37"/>
    <w:rsid w:val="0077425B"/>
    <w:rsid w:val="007837CD"/>
    <w:rsid w:val="007860FB"/>
    <w:rsid w:val="00794451"/>
    <w:rsid w:val="007B673E"/>
    <w:rsid w:val="007C2359"/>
    <w:rsid w:val="007C3161"/>
    <w:rsid w:val="007C4297"/>
    <w:rsid w:val="007C5637"/>
    <w:rsid w:val="007D1E70"/>
    <w:rsid w:val="007F77CC"/>
    <w:rsid w:val="00801A31"/>
    <w:rsid w:val="008170A7"/>
    <w:rsid w:val="008200A9"/>
    <w:rsid w:val="00837D03"/>
    <w:rsid w:val="00841023"/>
    <w:rsid w:val="00842534"/>
    <w:rsid w:val="00854D28"/>
    <w:rsid w:val="008804D8"/>
    <w:rsid w:val="00884495"/>
    <w:rsid w:val="008A7ACF"/>
    <w:rsid w:val="008B0063"/>
    <w:rsid w:val="008B5A37"/>
    <w:rsid w:val="008B73DC"/>
    <w:rsid w:val="008C1D71"/>
    <w:rsid w:val="008D06F3"/>
    <w:rsid w:val="008E4977"/>
    <w:rsid w:val="008F6028"/>
    <w:rsid w:val="00930B9D"/>
    <w:rsid w:val="00957F37"/>
    <w:rsid w:val="00975480"/>
    <w:rsid w:val="009B558F"/>
    <w:rsid w:val="009D29E0"/>
    <w:rsid w:val="009E762B"/>
    <w:rsid w:val="009F5A4F"/>
    <w:rsid w:val="009F620E"/>
    <w:rsid w:val="00A07AAC"/>
    <w:rsid w:val="00A17974"/>
    <w:rsid w:val="00A21F86"/>
    <w:rsid w:val="00A22B26"/>
    <w:rsid w:val="00A26EEC"/>
    <w:rsid w:val="00A42482"/>
    <w:rsid w:val="00A5578F"/>
    <w:rsid w:val="00A746B3"/>
    <w:rsid w:val="00A809AF"/>
    <w:rsid w:val="00AA192D"/>
    <w:rsid w:val="00AB3792"/>
    <w:rsid w:val="00AC56EC"/>
    <w:rsid w:val="00AD32EC"/>
    <w:rsid w:val="00AD3B8D"/>
    <w:rsid w:val="00AE22BB"/>
    <w:rsid w:val="00B162A6"/>
    <w:rsid w:val="00B233F3"/>
    <w:rsid w:val="00B24021"/>
    <w:rsid w:val="00B427B2"/>
    <w:rsid w:val="00B43E55"/>
    <w:rsid w:val="00B51358"/>
    <w:rsid w:val="00B61C54"/>
    <w:rsid w:val="00B63241"/>
    <w:rsid w:val="00B665DE"/>
    <w:rsid w:val="00B87759"/>
    <w:rsid w:val="00B93D6B"/>
    <w:rsid w:val="00B94C21"/>
    <w:rsid w:val="00BA5C7B"/>
    <w:rsid w:val="00BB15C1"/>
    <w:rsid w:val="00BB6261"/>
    <w:rsid w:val="00BB62ED"/>
    <w:rsid w:val="00BC1AF4"/>
    <w:rsid w:val="00BE2BDC"/>
    <w:rsid w:val="00BF7FE6"/>
    <w:rsid w:val="00C0091E"/>
    <w:rsid w:val="00C062BE"/>
    <w:rsid w:val="00C11EBD"/>
    <w:rsid w:val="00C20455"/>
    <w:rsid w:val="00C22CAD"/>
    <w:rsid w:val="00C363AE"/>
    <w:rsid w:val="00C40982"/>
    <w:rsid w:val="00C6634F"/>
    <w:rsid w:val="00C71B5F"/>
    <w:rsid w:val="00C9256D"/>
    <w:rsid w:val="00CA1BE6"/>
    <w:rsid w:val="00CA5F7B"/>
    <w:rsid w:val="00CB11AE"/>
    <w:rsid w:val="00CC2094"/>
    <w:rsid w:val="00CC6D56"/>
    <w:rsid w:val="00CD3E5D"/>
    <w:rsid w:val="00CE64BB"/>
    <w:rsid w:val="00CF5910"/>
    <w:rsid w:val="00D0217D"/>
    <w:rsid w:val="00D029BF"/>
    <w:rsid w:val="00D03F53"/>
    <w:rsid w:val="00D2786E"/>
    <w:rsid w:val="00D3000C"/>
    <w:rsid w:val="00D349B7"/>
    <w:rsid w:val="00D46CF1"/>
    <w:rsid w:val="00D555C6"/>
    <w:rsid w:val="00D706FC"/>
    <w:rsid w:val="00D747A4"/>
    <w:rsid w:val="00D85644"/>
    <w:rsid w:val="00D97AAB"/>
    <w:rsid w:val="00DA627C"/>
    <w:rsid w:val="00DB24A6"/>
    <w:rsid w:val="00DC3501"/>
    <w:rsid w:val="00DD45CF"/>
    <w:rsid w:val="00DD7E83"/>
    <w:rsid w:val="00DE2D0E"/>
    <w:rsid w:val="00DF2E65"/>
    <w:rsid w:val="00E010BB"/>
    <w:rsid w:val="00E135AD"/>
    <w:rsid w:val="00E15D13"/>
    <w:rsid w:val="00E1730A"/>
    <w:rsid w:val="00E2066E"/>
    <w:rsid w:val="00E20D83"/>
    <w:rsid w:val="00E21C8E"/>
    <w:rsid w:val="00E30B13"/>
    <w:rsid w:val="00E37540"/>
    <w:rsid w:val="00E406B3"/>
    <w:rsid w:val="00E548BD"/>
    <w:rsid w:val="00E64F2F"/>
    <w:rsid w:val="00E66109"/>
    <w:rsid w:val="00E6678B"/>
    <w:rsid w:val="00E725ED"/>
    <w:rsid w:val="00E76524"/>
    <w:rsid w:val="00E87AF5"/>
    <w:rsid w:val="00E928E2"/>
    <w:rsid w:val="00E9315B"/>
    <w:rsid w:val="00E95F6F"/>
    <w:rsid w:val="00EA68AA"/>
    <w:rsid w:val="00EB5503"/>
    <w:rsid w:val="00EC6E59"/>
    <w:rsid w:val="00EE1FE3"/>
    <w:rsid w:val="00EF3D29"/>
    <w:rsid w:val="00EF7A13"/>
    <w:rsid w:val="00F147AA"/>
    <w:rsid w:val="00F16A9D"/>
    <w:rsid w:val="00F22D66"/>
    <w:rsid w:val="00F2330A"/>
    <w:rsid w:val="00F26277"/>
    <w:rsid w:val="00F27F69"/>
    <w:rsid w:val="00F66C4C"/>
    <w:rsid w:val="00F6768E"/>
    <w:rsid w:val="00F84078"/>
    <w:rsid w:val="00F93C4A"/>
    <w:rsid w:val="00FB5FA6"/>
    <w:rsid w:val="00FE1E17"/>
    <w:rsid w:val="00FF61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129E28F"/>
  <w15:chartTrackingRefBased/>
  <w15:docId w15:val="{773E3E6D-0B84-4EBD-94CE-998F874A2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7306C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Ttulo2">
    <w:name w:val="heading 2"/>
    <w:basedOn w:val="Normal"/>
    <w:next w:val="Normal"/>
    <w:link w:val="Ttulo2Car"/>
    <w:uiPriority w:val="9"/>
    <w:semiHidden/>
    <w:unhideWhenUsed/>
    <w:qFormat/>
    <w:rsid w:val="00157C4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D706F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MDPI23heading3">
    <w:name w:val="MDPI_2.3_heading3"/>
    <w:qFormat/>
    <w:rsid w:val="007306C3"/>
    <w:pPr>
      <w:adjustRightInd w:val="0"/>
      <w:snapToGrid w:val="0"/>
      <w:spacing w:before="60" w:after="60" w:line="280" w:lineRule="atLeast"/>
      <w:ind w:left="2608"/>
      <w:outlineLvl w:val="2"/>
    </w:pPr>
    <w:rPr>
      <w:rFonts w:ascii="Palatino Linotype" w:eastAsia="Times New Roman" w:hAnsi="Palatino Linotype" w:cs="Times New Roman"/>
      <w:snapToGrid w:val="0"/>
      <w:color w:val="000000"/>
      <w:sz w:val="20"/>
      <w:lang w:val="en-US" w:eastAsia="de-DE" w:bidi="en-US"/>
    </w:rPr>
  </w:style>
  <w:style w:type="paragraph" w:customStyle="1" w:styleId="MDPI35textbeforelist">
    <w:name w:val="MDPI_3.5_text_before_list"/>
    <w:qFormat/>
    <w:rsid w:val="007306C3"/>
    <w:pPr>
      <w:adjustRightInd w:val="0"/>
      <w:snapToGrid w:val="0"/>
      <w:spacing w:after="0" w:line="280" w:lineRule="atLeast"/>
      <w:ind w:left="2608"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MDPI38bullet">
    <w:name w:val="MDPI_3.8_bullet"/>
    <w:qFormat/>
    <w:rsid w:val="007306C3"/>
    <w:pPr>
      <w:numPr>
        <w:numId w:val="1"/>
      </w:numPr>
      <w:adjustRightInd w:val="0"/>
      <w:snapToGrid w:val="0"/>
      <w:spacing w:after="0" w:line="280" w:lineRule="atLeast"/>
      <w:jc w:val="both"/>
    </w:pPr>
    <w:rPr>
      <w:rFonts w:ascii="Palatino Linotype" w:eastAsia="Times New Roman" w:hAnsi="Palatino Linotype" w:cs="Times New Roman"/>
      <w:color w:val="000000"/>
      <w:sz w:val="20"/>
      <w:lang w:val="en-US" w:eastAsia="de-DE" w:bidi="en-US"/>
    </w:rPr>
  </w:style>
  <w:style w:type="character" w:customStyle="1" w:styleId="Ttulo1Car">
    <w:name w:val="Título 1 Car"/>
    <w:basedOn w:val="Fuentedeprrafopredeter"/>
    <w:link w:val="Ttulo1"/>
    <w:uiPriority w:val="9"/>
    <w:rsid w:val="007306C3"/>
    <w:rPr>
      <w:rFonts w:ascii="Times New Roman" w:eastAsia="Times New Roman" w:hAnsi="Times New Roman" w:cs="Times New Roman"/>
      <w:b/>
      <w:bCs/>
      <w:kern w:val="36"/>
      <w:sz w:val="48"/>
      <w:szCs w:val="48"/>
      <w:lang w:eastAsia="en-GB"/>
    </w:rPr>
  </w:style>
  <w:style w:type="paragraph" w:customStyle="1" w:styleId="MDPI22heading2">
    <w:name w:val="MDPI_2.2_heading2"/>
    <w:qFormat/>
    <w:rsid w:val="007306C3"/>
    <w:pPr>
      <w:adjustRightInd w:val="0"/>
      <w:snapToGrid w:val="0"/>
      <w:spacing w:before="60" w:after="60" w:line="280" w:lineRule="atLeast"/>
      <w:ind w:left="2608"/>
      <w:outlineLvl w:val="1"/>
    </w:pPr>
    <w:rPr>
      <w:rFonts w:ascii="Palatino Linotype" w:eastAsia="Times New Roman" w:hAnsi="Palatino Linotype" w:cs="Times New Roman"/>
      <w:i/>
      <w:noProof/>
      <w:snapToGrid w:val="0"/>
      <w:color w:val="000000"/>
      <w:sz w:val="20"/>
      <w:lang w:val="en-US" w:eastAsia="de-DE" w:bidi="en-US"/>
    </w:rPr>
  </w:style>
  <w:style w:type="character" w:styleId="Hipervnculo">
    <w:name w:val="Hyperlink"/>
    <w:basedOn w:val="Fuentedeprrafopredeter"/>
    <w:uiPriority w:val="99"/>
    <w:unhideWhenUsed/>
    <w:rsid w:val="002D2343"/>
    <w:rPr>
      <w:color w:val="0563C1" w:themeColor="hyperlink"/>
      <w:u w:val="single"/>
    </w:rPr>
  </w:style>
  <w:style w:type="paragraph" w:styleId="NormalWeb">
    <w:name w:val="Normal (Web)"/>
    <w:basedOn w:val="Normal"/>
    <w:uiPriority w:val="99"/>
    <w:unhideWhenUsed/>
    <w:rsid w:val="00F147A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Prrafodelista">
    <w:name w:val="List Paragraph"/>
    <w:basedOn w:val="Normal"/>
    <w:uiPriority w:val="34"/>
    <w:qFormat/>
    <w:rsid w:val="001B6B9D"/>
    <w:pPr>
      <w:ind w:left="720"/>
      <w:contextualSpacing/>
    </w:pPr>
  </w:style>
  <w:style w:type="paragraph" w:customStyle="1" w:styleId="Default">
    <w:name w:val="Default"/>
    <w:rsid w:val="000E19B2"/>
    <w:pPr>
      <w:autoSpaceDE w:val="0"/>
      <w:autoSpaceDN w:val="0"/>
      <w:adjustRightInd w:val="0"/>
      <w:spacing w:after="0" w:line="240" w:lineRule="auto"/>
    </w:pPr>
    <w:rPr>
      <w:rFonts w:ascii="Calibri" w:hAnsi="Calibri" w:cs="Calibri"/>
      <w:color w:val="000000"/>
      <w:sz w:val="24"/>
      <w:szCs w:val="24"/>
    </w:rPr>
  </w:style>
  <w:style w:type="paragraph" w:customStyle="1" w:styleId="Pa2">
    <w:name w:val="Pa2"/>
    <w:basedOn w:val="Default"/>
    <w:next w:val="Default"/>
    <w:uiPriority w:val="99"/>
    <w:rsid w:val="000E19B2"/>
    <w:pPr>
      <w:spacing w:line="161" w:lineRule="atLeast"/>
    </w:pPr>
    <w:rPr>
      <w:rFonts w:ascii="Gill Sans Nova" w:hAnsi="Gill Sans Nova" w:cstheme="minorBidi"/>
      <w:color w:val="auto"/>
    </w:rPr>
  </w:style>
  <w:style w:type="character" w:customStyle="1" w:styleId="A9">
    <w:name w:val="A9"/>
    <w:uiPriority w:val="99"/>
    <w:rsid w:val="000E19B2"/>
    <w:rPr>
      <w:rFonts w:cs="Gill Sans Nova"/>
      <w:color w:val="0039A6"/>
    </w:rPr>
  </w:style>
  <w:style w:type="paragraph" w:customStyle="1" w:styleId="Pa6">
    <w:name w:val="Pa6"/>
    <w:basedOn w:val="Default"/>
    <w:next w:val="Default"/>
    <w:uiPriority w:val="99"/>
    <w:rsid w:val="000E19B2"/>
    <w:pPr>
      <w:spacing w:line="161" w:lineRule="atLeast"/>
    </w:pPr>
    <w:rPr>
      <w:rFonts w:ascii="Gill Sans Nova" w:hAnsi="Gill Sans Nova" w:cstheme="minorBidi"/>
      <w:color w:val="auto"/>
    </w:rPr>
  </w:style>
  <w:style w:type="character" w:customStyle="1" w:styleId="A3">
    <w:name w:val="A3"/>
    <w:uiPriority w:val="99"/>
    <w:rsid w:val="000E19B2"/>
    <w:rPr>
      <w:rFonts w:cs="Gill Sans Nova"/>
      <w:color w:val="403F41"/>
      <w:sz w:val="22"/>
      <w:szCs w:val="22"/>
    </w:rPr>
  </w:style>
  <w:style w:type="character" w:customStyle="1" w:styleId="Ttulo3Car">
    <w:name w:val="Título 3 Car"/>
    <w:basedOn w:val="Fuentedeprrafopredeter"/>
    <w:link w:val="Ttulo3"/>
    <w:uiPriority w:val="9"/>
    <w:semiHidden/>
    <w:rsid w:val="00D706FC"/>
    <w:rPr>
      <w:rFonts w:asciiTheme="majorHAnsi" w:eastAsiaTheme="majorEastAsia" w:hAnsiTheme="majorHAnsi" w:cstheme="majorBidi"/>
      <w:color w:val="1F4D78" w:themeColor="accent1" w:themeShade="7F"/>
      <w:sz w:val="24"/>
      <w:szCs w:val="24"/>
    </w:rPr>
  </w:style>
  <w:style w:type="character" w:styleId="Textoennegrita">
    <w:name w:val="Strong"/>
    <w:basedOn w:val="Fuentedeprrafopredeter"/>
    <w:uiPriority w:val="22"/>
    <w:qFormat/>
    <w:rsid w:val="00D706FC"/>
    <w:rPr>
      <w:b/>
      <w:bCs/>
    </w:rPr>
  </w:style>
  <w:style w:type="paragraph" w:customStyle="1" w:styleId="theme-textsize-default">
    <w:name w:val="theme-textsize-default"/>
    <w:basedOn w:val="Normal"/>
    <w:rsid w:val="00D706F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heme-foregroundcolorcustom-tpxku0">
    <w:name w:val="theme-foregroundcolorcustom-tpxku0"/>
    <w:basedOn w:val="Fuentedeprrafopredeter"/>
    <w:rsid w:val="00D706FC"/>
  </w:style>
  <w:style w:type="paragraph" w:customStyle="1" w:styleId="paragraph">
    <w:name w:val="paragraph"/>
    <w:basedOn w:val="Normal"/>
    <w:rsid w:val="00D706F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ource-box-title">
    <w:name w:val="source-box-title"/>
    <w:basedOn w:val="Normal"/>
    <w:rsid w:val="001573F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ource-box-sources">
    <w:name w:val="source-box-sources"/>
    <w:basedOn w:val="Normal"/>
    <w:rsid w:val="001573F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nfasis">
    <w:name w:val="Emphasis"/>
    <w:basedOn w:val="Fuentedeprrafopredeter"/>
    <w:uiPriority w:val="20"/>
    <w:qFormat/>
    <w:rsid w:val="001573F6"/>
    <w:rPr>
      <w:i/>
      <w:iCs/>
    </w:rPr>
  </w:style>
  <w:style w:type="character" w:customStyle="1" w:styleId="whitespace-normal">
    <w:name w:val="whitespace-normal"/>
    <w:basedOn w:val="Fuentedeprrafopredeter"/>
    <w:rsid w:val="00D97AAB"/>
  </w:style>
  <w:style w:type="character" w:customStyle="1" w:styleId="Ttulo2Car">
    <w:name w:val="Título 2 Car"/>
    <w:basedOn w:val="Fuentedeprrafopredeter"/>
    <w:link w:val="Ttulo2"/>
    <w:uiPriority w:val="9"/>
    <w:semiHidden/>
    <w:rsid w:val="00157C47"/>
    <w:rPr>
      <w:rFonts w:asciiTheme="majorHAnsi" w:eastAsiaTheme="majorEastAsia" w:hAnsiTheme="majorHAnsi" w:cstheme="majorBidi"/>
      <w:color w:val="2E74B5" w:themeColor="accent1" w:themeShade="BF"/>
      <w:sz w:val="26"/>
      <w:szCs w:val="26"/>
    </w:rPr>
  </w:style>
  <w:style w:type="character" w:customStyle="1" w:styleId="A7">
    <w:name w:val="A7"/>
    <w:uiPriority w:val="99"/>
    <w:rsid w:val="006168B4"/>
    <w:rPr>
      <w:rFonts w:cs="Gill Sans Nova"/>
      <w:color w:val="404041"/>
      <w:sz w:val="20"/>
      <w:szCs w:val="20"/>
    </w:rPr>
  </w:style>
  <w:style w:type="character" w:customStyle="1" w:styleId="rynqvb">
    <w:name w:val="rynqvb"/>
    <w:basedOn w:val="Fuentedeprrafopredeter"/>
    <w:rsid w:val="006B250C"/>
  </w:style>
  <w:style w:type="character" w:customStyle="1" w:styleId="hwtze">
    <w:name w:val="hwtze"/>
    <w:basedOn w:val="Fuentedeprrafopredeter"/>
    <w:rsid w:val="006B250C"/>
  </w:style>
  <w:style w:type="character" w:customStyle="1" w:styleId="UnresolvedMention">
    <w:name w:val="Unresolved Mention"/>
    <w:basedOn w:val="Fuentedeprrafopredeter"/>
    <w:uiPriority w:val="99"/>
    <w:semiHidden/>
    <w:unhideWhenUsed/>
    <w:rsid w:val="000E2B60"/>
    <w:rPr>
      <w:color w:val="605E5C"/>
      <w:shd w:val="clear" w:color="auto" w:fill="E1DFDD"/>
    </w:rPr>
  </w:style>
  <w:style w:type="paragraph" w:styleId="Encabezado">
    <w:name w:val="header"/>
    <w:basedOn w:val="Normal"/>
    <w:link w:val="EncabezadoCar"/>
    <w:uiPriority w:val="99"/>
    <w:unhideWhenUsed/>
    <w:rsid w:val="00E9315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9315B"/>
  </w:style>
  <w:style w:type="paragraph" w:styleId="Piedepgina">
    <w:name w:val="footer"/>
    <w:basedOn w:val="Normal"/>
    <w:link w:val="PiedepginaCar"/>
    <w:uiPriority w:val="99"/>
    <w:unhideWhenUsed/>
    <w:rsid w:val="00E9315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9315B"/>
  </w:style>
  <w:style w:type="paragraph" w:styleId="Sinespaciado">
    <w:name w:val="No Spacing"/>
    <w:uiPriority w:val="1"/>
    <w:qFormat/>
    <w:rsid w:val="008410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61518">
      <w:bodyDiv w:val="1"/>
      <w:marLeft w:val="0"/>
      <w:marRight w:val="0"/>
      <w:marTop w:val="0"/>
      <w:marBottom w:val="0"/>
      <w:divBdr>
        <w:top w:val="none" w:sz="0" w:space="0" w:color="auto"/>
        <w:left w:val="none" w:sz="0" w:space="0" w:color="auto"/>
        <w:bottom w:val="none" w:sz="0" w:space="0" w:color="auto"/>
        <w:right w:val="none" w:sz="0" w:space="0" w:color="auto"/>
      </w:divBdr>
    </w:div>
    <w:div w:id="44329860">
      <w:bodyDiv w:val="1"/>
      <w:marLeft w:val="0"/>
      <w:marRight w:val="0"/>
      <w:marTop w:val="0"/>
      <w:marBottom w:val="0"/>
      <w:divBdr>
        <w:top w:val="none" w:sz="0" w:space="0" w:color="auto"/>
        <w:left w:val="none" w:sz="0" w:space="0" w:color="auto"/>
        <w:bottom w:val="none" w:sz="0" w:space="0" w:color="auto"/>
        <w:right w:val="none" w:sz="0" w:space="0" w:color="auto"/>
      </w:divBdr>
    </w:div>
    <w:div w:id="47149895">
      <w:bodyDiv w:val="1"/>
      <w:marLeft w:val="0"/>
      <w:marRight w:val="0"/>
      <w:marTop w:val="0"/>
      <w:marBottom w:val="0"/>
      <w:divBdr>
        <w:top w:val="none" w:sz="0" w:space="0" w:color="auto"/>
        <w:left w:val="none" w:sz="0" w:space="0" w:color="auto"/>
        <w:bottom w:val="none" w:sz="0" w:space="0" w:color="auto"/>
        <w:right w:val="none" w:sz="0" w:space="0" w:color="auto"/>
      </w:divBdr>
      <w:divsChild>
        <w:div w:id="664551805">
          <w:marLeft w:val="0"/>
          <w:marRight w:val="0"/>
          <w:marTop w:val="0"/>
          <w:marBottom w:val="0"/>
          <w:divBdr>
            <w:top w:val="none" w:sz="0" w:space="0" w:color="auto"/>
            <w:left w:val="none" w:sz="0" w:space="0" w:color="auto"/>
            <w:bottom w:val="none" w:sz="0" w:space="0" w:color="auto"/>
            <w:right w:val="none" w:sz="0" w:space="0" w:color="auto"/>
          </w:divBdr>
          <w:divsChild>
            <w:div w:id="437337827">
              <w:marLeft w:val="0"/>
              <w:marRight w:val="0"/>
              <w:marTop w:val="0"/>
              <w:marBottom w:val="0"/>
              <w:divBdr>
                <w:top w:val="none" w:sz="0" w:space="0" w:color="auto"/>
                <w:left w:val="none" w:sz="0" w:space="0" w:color="auto"/>
                <w:bottom w:val="none" w:sz="0" w:space="0" w:color="auto"/>
                <w:right w:val="none" w:sz="0" w:space="0" w:color="auto"/>
              </w:divBdr>
              <w:divsChild>
                <w:div w:id="947810996">
                  <w:marLeft w:val="0"/>
                  <w:marRight w:val="0"/>
                  <w:marTop w:val="0"/>
                  <w:marBottom w:val="0"/>
                  <w:divBdr>
                    <w:top w:val="none" w:sz="0" w:space="0" w:color="auto"/>
                    <w:left w:val="none" w:sz="0" w:space="0" w:color="auto"/>
                    <w:bottom w:val="none" w:sz="0" w:space="0" w:color="auto"/>
                    <w:right w:val="none" w:sz="0" w:space="0" w:color="auto"/>
                  </w:divBdr>
                  <w:divsChild>
                    <w:div w:id="584462721">
                      <w:marLeft w:val="0"/>
                      <w:marRight w:val="0"/>
                      <w:marTop w:val="0"/>
                      <w:marBottom w:val="0"/>
                      <w:divBdr>
                        <w:top w:val="none" w:sz="0" w:space="0" w:color="auto"/>
                        <w:left w:val="none" w:sz="0" w:space="0" w:color="auto"/>
                        <w:bottom w:val="none" w:sz="0" w:space="0" w:color="auto"/>
                        <w:right w:val="none" w:sz="0" w:space="0" w:color="auto"/>
                      </w:divBdr>
                      <w:divsChild>
                        <w:div w:id="1631546013">
                          <w:marLeft w:val="0"/>
                          <w:marRight w:val="0"/>
                          <w:marTop w:val="0"/>
                          <w:marBottom w:val="0"/>
                          <w:divBdr>
                            <w:top w:val="none" w:sz="0" w:space="0" w:color="auto"/>
                            <w:left w:val="none" w:sz="0" w:space="0" w:color="auto"/>
                            <w:bottom w:val="none" w:sz="0" w:space="0" w:color="auto"/>
                            <w:right w:val="none" w:sz="0" w:space="0" w:color="auto"/>
                          </w:divBdr>
                          <w:divsChild>
                            <w:div w:id="91350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160767">
      <w:bodyDiv w:val="1"/>
      <w:marLeft w:val="0"/>
      <w:marRight w:val="0"/>
      <w:marTop w:val="0"/>
      <w:marBottom w:val="0"/>
      <w:divBdr>
        <w:top w:val="none" w:sz="0" w:space="0" w:color="auto"/>
        <w:left w:val="none" w:sz="0" w:space="0" w:color="auto"/>
        <w:bottom w:val="none" w:sz="0" w:space="0" w:color="auto"/>
        <w:right w:val="none" w:sz="0" w:space="0" w:color="auto"/>
      </w:divBdr>
    </w:div>
    <w:div w:id="53745817">
      <w:bodyDiv w:val="1"/>
      <w:marLeft w:val="0"/>
      <w:marRight w:val="0"/>
      <w:marTop w:val="0"/>
      <w:marBottom w:val="0"/>
      <w:divBdr>
        <w:top w:val="none" w:sz="0" w:space="0" w:color="auto"/>
        <w:left w:val="none" w:sz="0" w:space="0" w:color="auto"/>
        <w:bottom w:val="none" w:sz="0" w:space="0" w:color="auto"/>
        <w:right w:val="none" w:sz="0" w:space="0" w:color="auto"/>
      </w:divBdr>
    </w:div>
    <w:div w:id="60834656">
      <w:bodyDiv w:val="1"/>
      <w:marLeft w:val="0"/>
      <w:marRight w:val="0"/>
      <w:marTop w:val="0"/>
      <w:marBottom w:val="0"/>
      <w:divBdr>
        <w:top w:val="none" w:sz="0" w:space="0" w:color="auto"/>
        <w:left w:val="none" w:sz="0" w:space="0" w:color="auto"/>
        <w:bottom w:val="none" w:sz="0" w:space="0" w:color="auto"/>
        <w:right w:val="none" w:sz="0" w:space="0" w:color="auto"/>
      </w:divBdr>
    </w:div>
    <w:div w:id="70398328">
      <w:bodyDiv w:val="1"/>
      <w:marLeft w:val="0"/>
      <w:marRight w:val="0"/>
      <w:marTop w:val="0"/>
      <w:marBottom w:val="0"/>
      <w:divBdr>
        <w:top w:val="none" w:sz="0" w:space="0" w:color="auto"/>
        <w:left w:val="none" w:sz="0" w:space="0" w:color="auto"/>
        <w:bottom w:val="none" w:sz="0" w:space="0" w:color="auto"/>
        <w:right w:val="none" w:sz="0" w:space="0" w:color="auto"/>
      </w:divBdr>
    </w:div>
    <w:div w:id="94791706">
      <w:bodyDiv w:val="1"/>
      <w:marLeft w:val="0"/>
      <w:marRight w:val="0"/>
      <w:marTop w:val="0"/>
      <w:marBottom w:val="0"/>
      <w:divBdr>
        <w:top w:val="none" w:sz="0" w:space="0" w:color="auto"/>
        <w:left w:val="none" w:sz="0" w:space="0" w:color="auto"/>
        <w:bottom w:val="none" w:sz="0" w:space="0" w:color="auto"/>
        <w:right w:val="none" w:sz="0" w:space="0" w:color="auto"/>
      </w:divBdr>
    </w:div>
    <w:div w:id="127556991">
      <w:bodyDiv w:val="1"/>
      <w:marLeft w:val="0"/>
      <w:marRight w:val="0"/>
      <w:marTop w:val="0"/>
      <w:marBottom w:val="0"/>
      <w:divBdr>
        <w:top w:val="none" w:sz="0" w:space="0" w:color="auto"/>
        <w:left w:val="none" w:sz="0" w:space="0" w:color="auto"/>
        <w:bottom w:val="none" w:sz="0" w:space="0" w:color="auto"/>
        <w:right w:val="none" w:sz="0" w:space="0" w:color="auto"/>
      </w:divBdr>
    </w:div>
    <w:div w:id="133570999">
      <w:bodyDiv w:val="1"/>
      <w:marLeft w:val="0"/>
      <w:marRight w:val="0"/>
      <w:marTop w:val="0"/>
      <w:marBottom w:val="0"/>
      <w:divBdr>
        <w:top w:val="none" w:sz="0" w:space="0" w:color="auto"/>
        <w:left w:val="none" w:sz="0" w:space="0" w:color="auto"/>
        <w:bottom w:val="none" w:sz="0" w:space="0" w:color="auto"/>
        <w:right w:val="none" w:sz="0" w:space="0" w:color="auto"/>
      </w:divBdr>
    </w:div>
    <w:div w:id="161287795">
      <w:bodyDiv w:val="1"/>
      <w:marLeft w:val="0"/>
      <w:marRight w:val="0"/>
      <w:marTop w:val="0"/>
      <w:marBottom w:val="0"/>
      <w:divBdr>
        <w:top w:val="none" w:sz="0" w:space="0" w:color="auto"/>
        <w:left w:val="none" w:sz="0" w:space="0" w:color="auto"/>
        <w:bottom w:val="none" w:sz="0" w:space="0" w:color="auto"/>
        <w:right w:val="none" w:sz="0" w:space="0" w:color="auto"/>
      </w:divBdr>
    </w:div>
    <w:div w:id="167453450">
      <w:bodyDiv w:val="1"/>
      <w:marLeft w:val="0"/>
      <w:marRight w:val="0"/>
      <w:marTop w:val="0"/>
      <w:marBottom w:val="0"/>
      <w:divBdr>
        <w:top w:val="none" w:sz="0" w:space="0" w:color="auto"/>
        <w:left w:val="none" w:sz="0" w:space="0" w:color="auto"/>
        <w:bottom w:val="none" w:sz="0" w:space="0" w:color="auto"/>
        <w:right w:val="none" w:sz="0" w:space="0" w:color="auto"/>
      </w:divBdr>
      <w:divsChild>
        <w:div w:id="541985164">
          <w:marLeft w:val="0"/>
          <w:marRight w:val="0"/>
          <w:marTop w:val="0"/>
          <w:marBottom w:val="0"/>
          <w:divBdr>
            <w:top w:val="none" w:sz="0" w:space="0" w:color="auto"/>
            <w:left w:val="none" w:sz="0" w:space="0" w:color="auto"/>
            <w:bottom w:val="none" w:sz="0" w:space="0" w:color="auto"/>
            <w:right w:val="none" w:sz="0" w:space="0" w:color="auto"/>
          </w:divBdr>
          <w:divsChild>
            <w:div w:id="575280824">
              <w:marLeft w:val="0"/>
              <w:marRight w:val="0"/>
              <w:marTop w:val="0"/>
              <w:marBottom w:val="0"/>
              <w:divBdr>
                <w:top w:val="none" w:sz="0" w:space="0" w:color="auto"/>
                <w:left w:val="none" w:sz="0" w:space="0" w:color="auto"/>
                <w:bottom w:val="none" w:sz="0" w:space="0" w:color="auto"/>
                <w:right w:val="none" w:sz="0" w:space="0" w:color="auto"/>
              </w:divBdr>
              <w:divsChild>
                <w:div w:id="775562230">
                  <w:marLeft w:val="0"/>
                  <w:marRight w:val="0"/>
                  <w:marTop w:val="0"/>
                  <w:marBottom w:val="0"/>
                  <w:divBdr>
                    <w:top w:val="none" w:sz="0" w:space="0" w:color="auto"/>
                    <w:left w:val="none" w:sz="0" w:space="0" w:color="auto"/>
                    <w:bottom w:val="none" w:sz="0" w:space="0" w:color="auto"/>
                    <w:right w:val="none" w:sz="0" w:space="0" w:color="auto"/>
                  </w:divBdr>
                  <w:divsChild>
                    <w:div w:id="73475019">
                      <w:marLeft w:val="0"/>
                      <w:marRight w:val="0"/>
                      <w:marTop w:val="0"/>
                      <w:marBottom w:val="0"/>
                      <w:divBdr>
                        <w:top w:val="none" w:sz="0" w:space="0" w:color="auto"/>
                        <w:left w:val="none" w:sz="0" w:space="0" w:color="auto"/>
                        <w:bottom w:val="none" w:sz="0" w:space="0" w:color="auto"/>
                        <w:right w:val="none" w:sz="0" w:space="0" w:color="auto"/>
                      </w:divBdr>
                      <w:divsChild>
                        <w:div w:id="1253202687">
                          <w:marLeft w:val="0"/>
                          <w:marRight w:val="0"/>
                          <w:marTop w:val="0"/>
                          <w:marBottom w:val="0"/>
                          <w:divBdr>
                            <w:top w:val="none" w:sz="0" w:space="0" w:color="auto"/>
                            <w:left w:val="none" w:sz="0" w:space="0" w:color="auto"/>
                            <w:bottom w:val="none" w:sz="0" w:space="0" w:color="auto"/>
                            <w:right w:val="none" w:sz="0" w:space="0" w:color="auto"/>
                          </w:divBdr>
                          <w:divsChild>
                            <w:div w:id="584343073">
                              <w:marLeft w:val="0"/>
                              <w:marRight w:val="0"/>
                              <w:marTop w:val="0"/>
                              <w:marBottom w:val="0"/>
                              <w:divBdr>
                                <w:top w:val="none" w:sz="0" w:space="0" w:color="auto"/>
                                <w:left w:val="none" w:sz="0" w:space="0" w:color="auto"/>
                                <w:bottom w:val="none" w:sz="0" w:space="0" w:color="auto"/>
                                <w:right w:val="none" w:sz="0" w:space="0" w:color="auto"/>
                              </w:divBdr>
                              <w:divsChild>
                                <w:div w:id="51107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752096">
          <w:marLeft w:val="0"/>
          <w:marRight w:val="0"/>
          <w:marTop w:val="0"/>
          <w:marBottom w:val="0"/>
          <w:divBdr>
            <w:top w:val="none" w:sz="0" w:space="0" w:color="auto"/>
            <w:left w:val="none" w:sz="0" w:space="0" w:color="auto"/>
            <w:bottom w:val="none" w:sz="0" w:space="0" w:color="auto"/>
            <w:right w:val="none" w:sz="0" w:space="0" w:color="auto"/>
          </w:divBdr>
          <w:divsChild>
            <w:div w:id="925916107">
              <w:marLeft w:val="0"/>
              <w:marRight w:val="0"/>
              <w:marTop w:val="0"/>
              <w:marBottom w:val="0"/>
              <w:divBdr>
                <w:top w:val="none" w:sz="0" w:space="0" w:color="auto"/>
                <w:left w:val="none" w:sz="0" w:space="0" w:color="auto"/>
                <w:bottom w:val="none" w:sz="0" w:space="0" w:color="auto"/>
                <w:right w:val="none" w:sz="0" w:space="0" w:color="auto"/>
              </w:divBdr>
              <w:divsChild>
                <w:div w:id="1693074401">
                  <w:marLeft w:val="0"/>
                  <w:marRight w:val="0"/>
                  <w:marTop w:val="0"/>
                  <w:marBottom w:val="0"/>
                  <w:divBdr>
                    <w:top w:val="none" w:sz="0" w:space="0" w:color="auto"/>
                    <w:left w:val="none" w:sz="0" w:space="0" w:color="auto"/>
                    <w:bottom w:val="none" w:sz="0" w:space="0" w:color="auto"/>
                    <w:right w:val="none" w:sz="0" w:space="0" w:color="auto"/>
                  </w:divBdr>
                  <w:divsChild>
                    <w:div w:id="1286037033">
                      <w:marLeft w:val="0"/>
                      <w:marRight w:val="0"/>
                      <w:marTop w:val="0"/>
                      <w:marBottom w:val="0"/>
                      <w:divBdr>
                        <w:top w:val="none" w:sz="0" w:space="0" w:color="auto"/>
                        <w:left w:val="none" w:sz="0" w:space="0" w:color="auto"/>
                        <w:bottom w:val="none" w:sz="0" w:space="0" w:color="auto"/>
                        <w:right w:val="none" w:sz="0" w:space="0" w:color="auto"/>
                      </w:divBdr>
                      <w:divsChild>
                        <w:div w:id="1754468869">
                          <w:marLeft w:val="0"/>
                          <w:marRight w:val="0"/>
                          <w:marTop w:val="0"/>
                          <w:marBottom w:val="0"/>
                          <w:divBdr>
                            <w:top w:val="none" w:sz="0" w:space="0" w:color="auto"/>
                            <w:left w:val="none" w:sz="0" w:space="0" w:color="auto"/>
                            <w:bottom w:val="none" w:sz="0" w:space="0" w:color="auto"/>
                            <w:right w:val="none" w:sz="0" w:space="0" w:color="auto"/>
                          </w:divBdr>
                          <w:divsChild>
                            <w:div w:id="60878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523280">
      <w:bodyDiv w:val="1"/>
      <w:marLeft w:val="0"/>
      <w:marRight w:val="0"/>
      <w:marTop w:val="0"/>
      <w:marBottom w:val="0"/>
      <w:divBdr>
        <w:top w:val="none" w:sz="0" w:space="0" w:color="auto"/>
        <w:left w:val="none" w:sz="0" w:space="0" w:color="auto"/>
        <w:bottom w:val="none" w:sz="0" w:space="0" w:color="auto"/>
        <w:right w:val="none" w:sz="0" w:space="0" w:color="auto"/>
      </w:divBdr>
    </w:div>
    <w:div w:id="170880124">
      <w:bodyDiv w:val="1"/>
      <w:marLeft w:val="0"/>
      <w:marRight w:val="0"/>
      <w:marTop w:val="0"/>
      <w:marBottom w:val="0"/>
      <w:divBdr>
        <w:top w:val="none" w:sz="0" w:space="0" w:color="auto"/>
        <w:left w:val="none" w:sz="0" w:space="0" w:color="auto"/>
        <w:bottom w:val="none" w:sz="0" w:space="0" w:color="auto"/>
        <w:right w:val="none" w:sz="0" w:space="0" w:color="auto"/>
      </w:divBdr>
      <w:divsChild>
        <w:div w:id="621031738">
          <w:marLeft w:val="0"/>
          <w:marRight w:val="0"/>
          <w:marTop w:val="0"/>
          <w:marBottom w:val="0"/>
          <w:divBdr>
            <w:top w:val="none" w:sz="0" w:space="0" w:color="auto"/>
            <w:left w:val="none" w:sz="0" w:space="0" w:color="auto"/>
            <w:bottom w:val="none" w:sz="0" w:space="0" w:color="auto"/>
            <w:right w:val="none" w:sz="0" w:space="0" w:color="auto"/>
          </w:divBdr>
          <w:divsChild>
            <w:div w:id="627660610">
              <w:marLeft w:val="0"/>
              <w:marRight w:val="0"/>
              <w:marTop w:val="0"/>
              <w:marBottom w:val="0"/>
              <w:divBdr>
                <w:top w:val="none" w:sz="0" w:space="0" w:color="auto"/>
                <w:left w:val="none" w:sz="0" w:space="0" w:color="auto"/>
                <w:bottom w:val="none" w:sz="0" w:space="0" w:color="auto"/>
                <w:right w:val="none" w:sz="0" w:space="0" w:color="auto"/>
              </w:divBdr>
              <w:divsChild>
                <w:div w:id="1851287517">
                  <w:marLeft w:val="0"/>
                  <w:marRight w:val="0"/>
                  <w:marTop w:val="0"/>
                  <w:marBottom w:val="0"/>
                  <w:divBdr>
                    <w:top w:val="none" w:sz="0" w:space="0" w:color="auto"/>
                    <w:left w:val="none" w:sz="0" w:space="0" w:color="auto"/>
                    <w:bottom w:val="none" w:sz="0" w:space="0" w:color="auto"/>
                    <w:right w:val="none" w:sz="0" w:space="0" w:color="auto"/>
                  </w:divBdr>
                  <w:divsChild>
                    <w:div w:id="1908687916">
                      <w:marLeft w:val="0"/>
                      <w:marRight w:val="0"/>
                      <w:marTop w:val="0"/>
                      <w:marBottom w:val="0"/>
                      <w:divBdr>
                        <w:top w:val="none" w:sz="0" w:space="0" w:color="auto"/>
                        <w:left w:val="none" w:sz="0" w:space="0" w:color="auto"/>
                        <w:bottom w:val="none" w:sz="0" w:space="0" w:color="auto"/>
                        <w:right w:val="none" w:sz="0" w:space="0" w:color="auto"/>
                      </w:divBdr>
                      <w:divsChild>
                        <w:div w:id="2125466568">
                          <w:marLeft w:val="0"/>
                          <w:marRight w:val="0"/>
                          <w:marTop w:val="0"/>
                          <w:marBottom w:val="0"/>
                          <w:divBdr>
                            <w:top w:val="none" w:sz="0" w:space="0" w:color="auto"/>
                            <w:left w:val="none" w:sz="0" w:space="0" w:color="auto"/>
                            <w:bottom w:val="none" w:sz="0" w:space="0" w:color="auto"/>
                            <w:right w:val="none" w:sz="0" w:space="0" w:color="auto"/>
                          </w:divBdr>
                          <w:divsChild>
                            <w:div w:id="1937399878">
                              <w:marLeft w:val="0"/>
                              <w:marRight w:val="0"/>
                              <w:marTop w:val="0"/>
                              <w:marBottom w:val="0"/>
                              <w:divBdr>
                                <w:top w:val="none" w:sz="0" w:space="0" w:color="auto"/>
                                <w:left w:val="none" w:sz="0" w:space="0" w:color="auto"/>
                                <w:bottom w:val="none" w:sz="0" w:space="0" w:color="auto"/>
                                <w:right w:val="none" w:sz="0" w:space="0" w:color="auto"/>
                              </w:divBdr>
                              <w:divsChild>
                                <w:div w:id="1001280764">
                                  <w:marLeft w:val="0"/>
                                  <w:marRight w:val="0"/>
                                  <w:marTop w:val="0"/>
                                  <w:marBottom w:val="0"/>
                                  <w:divBdr>
                                    <w:top w:val="none" w:sz="0" w:space="0" w:color="auto"/>
                                    <w:left w:val="none" w:sz="0" w:space="0" w:color="auto"/>
                                    <w:bottom w:val="none" w:sz="0" w:space="0" w:color="auto"/>
                                    <w:right w:val="none" w:sz="0" w:space="0" w:color="auto"/>
                                  </w:divBdr>
                                  <w:divsChild>
                                    <w:div w:id="38961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30483">
      <w:bodyDiv w:val="1"/>
      <w:marLeft w:val="0"/>
      <w:marRight w:val="0"/>
      <w:marTop w:val="0"/>
      <w:marBottom w:val="0"/>
      <w:divBdr>
        <w:top w:val="none" w:sz="0" w:space="0" w:color="auto"/>
        <w:left w:val="none" w:sz="0" w:space="0" w:color="auto"/>
        <w:bottom w:val="none" w:sz="0" w:space="0" w:color="auto"/>
        <w:right w:val="none" w:sz="0" w:space="0" w:color="auto"/>
      </w:divBdr>
    </w:div>
    <w:div w:id="280458883">
      <w:bodyDiv w:val="1"/>
      <w:marLeft w:val="0"/>
      <w:marRight w:val="0"/>
      <w:marTop w:val="0"/>
      <w:marBottom w:val="0"/>
      <w:divBdr>
        <w:top w:val="none" w:sz="0" w:space="0" w:color="auto"/>
        <w:left w:val="none" w:sz="0" w:space="0" w:color="auto"/>
        <w:bottom w:val="none" w:sz="0" w:space="0" w:color="auto"/>
        <w:right w:val="none" w:sz="0" w:space="0" w:color="auto"/>
      </w:divBdr>
    </w:div>
    <w:div w:id="295643064">
      <w:bodyDiv w:val="1"/>
      <w:marLeft w:val="0"/>
      <w:marRight w:val="0"/>
      <w:marTop w:val="0"/>
      <w:marBottom w:val="0"/>
      <w:divBdr>
        <w:top w:val="none" w:sz="0" w:space="0" w:color="auto"/>
        <w:left w:val="none" w:sz="0" w:space="0" w:color="auto"/>
        <w:bottom w:val="none" w:sz="0" w:space="0" w:color="auto"/>
        <w:right w:val="none" w:sz="0" w:space="0" w:color="auto"/>
      </w:divBdr>
    </w:div>
    <w:div w:id="372965597">
      <w:bodyDiv w:val="1"/>
      <w:marLeft w:val="0"/>
      <w:marRight w:val="0"/>
      <w:marTop w:val="0"/>
      <w:marBottom w:val="0"/>
      <w:divBdr>
        <w:top w:val="none" w:sz="0" w:space="0" w:color="auto"/>
        <w:left w:val="none" w:sz="0" w:space="0" w:color="auto"/>
        <w:bottom w:val="none" w:sz="0" w:space="0" w:color="auto"/>
        <w:right w:val="none" w:sz="0" w:space="0" w:color="auto"/>
      </w:divBdr>
    </w:div>
    <w:div w:id="436340126">
      <w:bodyDiv w:val="1"/>
      <w:marLeft w:val="0"/>
      <w:marRight w:val="0"/>
      <w:marTop w:val="0"/>
      <w:marBottom w:val="0"/>
      <w:divBdr>
        <w:top w:val="none" w:sz="0" w:space="0" w:color="auto"/>
        <w:left w:val="none" w:sz="0" w:space="0" w:color="auto"/>
        <w:bottom w:val="none" w:sz="0" w:space="0" w:color="auto"/>
        <w:right w:val="none" w:sz="0" w:space="0" w:color="auto"/>
      </w:divBdr>
    </w:div>
    <w:div w:id="437413500">
      <w:bodyDiv w:val="1"/>
      <w:marLeft w:val="0"/>
      <w:marRight w:val="0"/>
      <w:marTop w:val="0"/>
      <w:marBottom w:val="0"/>
      <w:divBdr>
        <w:top w:val="none" w:sz="0" w:space="0" w:color="auto"/>
        <w:left w:val="none" w:sz="0" w:space="0" w:color="auto"/>
        <w:bottom w:val="none" w:sz="0" w:space="0" w:color="auto"/>
        <w:right w:val="none" w:sz="0" w:space="0" w:color="auto"/>
      </w:divBdr>
    </w:div>
    <w:div w:id="447555344">
      <w:bodyDiv w:val="1"/>
      <w:marLeft w:val="0"/>
      <w:marRight w:val="0"/>
      <w:marTop w:val="0"/>
      <w:marBottom w:val="0"/>
      <w:divBdr>
        <w:top w:val="none" w:sz="0" w:space="0" w:color="auto"/>
        <w:left w:val="none" w:sz="0" w:space="0" w:color="auto"/>
        <w:bottom w:val="none" w:sz="0" w:space="0" w:color="auto"/>
        <w:right w:val="none" w:sz="0" w:space="0" w:color="auto"/>
      </w:divBdr>
    </w:div>
    <w:div w:id="492985936">
      <w:bodyDiv w:val="1"/>
      <w:marLeft w:val="0"/>
      <w:marRight w:val="0"/>
      <w:marTop w:val="0"/>
      <w:marBottom w:val="0"/>
      <w:divBdr>
        <w:top w:val="none" w:sz="0" w:space="0" w:color="auto"/>
        <w:left w:val="none" w:sz="0" w:space="0" w:color="auto"/>
        <w:bottom w:val="none" w:sz="0" w:space="0" w:color="auto"/>
        <w:right w:val="none" w:sz="0" w:space="0" w:color="auto"/>
      </w:divBdr>
    </w:div>
    <w:div w:id="510603516">
      <w:bodyDiv w:val="1"/>
      <w:marLeft w:val="0"/>
      <w:marRight w:val="0"/>
      <w:marTop w:val="0"/>
      <w:marBottom w:val="0"/>
      <w:divBdr>
        <w:top w:val="none" w:sz="0" w:space="0" w:color="auto"/>
        <w:left w:val="none" w:sz="0" w:space="0" w:color="auto"/>
        <w:bottom w:val="none" w:sz="0" w:space="0" w:color="auto"/>
        <w:right w:val="none" w:sz="0" w:space="0" w:color="auto"/>
      </w:divBdr>
    </w:div>
    <w:div w:id="568151378">
      <w:bodyDiv w:val="1"/>
      <w:marLeft w:val="0"/>
      <w:marRight w:val="0"/>
      <w:marTop w:val="0"/>
      <w:marBottom w:val="0"/>
      <w:divBdr>
        <w:top w:val="none" w:sz="0" w:space="0" w:color="auto"/>
        <w:left w:val="none" w:sz="0" w:space="0" w:color="auto"/>
        <w:bottom w:val="none" w:sz="0" w:space="0" w:color="auto"/>
        <w:right w:val="none" w:sz="0" w:space="0" w:color="auto"/>
      </w:divBdr>
    </w:div>
    <w:div w:id="579294515">
      <w:bodyDiv w:val="1"/>
      <w:marLeft w:val="0"/>
      <w:marRight w:val="0"/>
      <w:marTop w:val="0"/>
      <w:marBottom w:val="0"/>
      <w:divBdr>
        <w:top w:val="none" w:sz="0" w:space="0" w:color="auto"/>
        <w:left w:val="none" w:sz="0" w:space="0" w:color="auto"/>
        <w:bottom w:val="none" w:sz="0" w:space="0" w:color="auto"/>
        <w:right w:val="none" w:sz="0" w:space="0" w:color="auto"/>
      </w:divBdr>
    </w:div>
    <w:div w:id="632716161">
      <w:bodyDiv w:val="1"/>
      <w:marLeft w:val="0"/>
      <w:marRight w:val="0"/>
      <w:marTop w:val="0"/>
      <w:marBottom w:val="0"/>
      <w:divBdr>
        <w:top w:val="none" w:sz="0" w:space="0" w:color="auto"/>
        <w:left w:val="none" w:sz="0" w:space="0" w:color="auto"/>
        <w:bottom w:val="none" w:sz="0" w:space="0" w:color="auto"/>
        <w:right w:val="none" w:sz="0" w:space="0" w:color="auto"/>
      </w:divBdr>
    </w:div>
    <w:div w:id="719324414">
      <w:bodyDiv w:val="1"/>
      <w:marLeft w:val="0"/>
      <w:marRight w:val="0"/>
      <w:marTop w:val="0"/>
      <w:marBottom w:val="0"/>
      <w:divBdr>
        <w:top w:val="none" w:sz="0" w:space="0" w:color="auto"/>
        <w:left w:val="none" w:sz="0" w:space="0" w:color="auto"/>
        <w:bottom w:val="none" w:sz="0" w:space="0" w:color="auto"/>
        <w:right w:val="none" w:sz="0" w:space="0" w:color="auto"/>
      </w:divBdr>
    </w:div>
    <w:div w:id="722489520">
      <w:bodyDiv w:val="1"/>
      <w:marLeft w:val="0"/>
      <w:marRight w:val="0"/>
      <w:marTop w:val="0"/>
      <w:marBottom w:val="0"/>
      <w:divBdr>
        <w:top w:val="none" w:sz="0" w:space="0" w:color="auto"/>
        <w:left w:val="none" w:sz="0" w:space="0" w:color="auto"/>
        <w:bottom w:val="none" w:sz="0" w:space="0" w:color="auto"/>
        <w:right w:val="none" w:sz="0" w:space="0" w:color="auto"/>
      </w:divBdr>
    </w:div>
    <w:div w:id="730689211">
      <w:bodyDiv w:val="1"/>
      <w:marLeft w:val="0"/>
      <w:marRight w:val="0"/>
      <w:marTop w:val="0"/>
      <w:marBottom w:val="0"/>
      <w:divBdr>
        <w:top w:val="none" w:sz="0" w:space="0" w:color="auto"/>
        <w:left w:val="none" w:sz="0" w:space="0" w:color="auto"/>
        <w:bottom w:val="none" w:sz="0" w:space="0" w:color="auto"/>
        <w:right w:val="none" w:sz="0" w:space="0" w:color="auto"/>
      </w:divBdr>
    </w:div>
    <w:div w:id="733510258">
      <w:bodyDiv w:val="1"/>
      <w:marLeft w:val="0"/>
      <w:marRight w:val="0"/>
      <w:marTop w:val="0"/>
      <w:marBottom w:val="0"/>
      <w:divBdr>
        <w:top w:val="none" w:sz="0" w:space="0" w:color="auto"/>
        <w:left w:val="none" w:sz="0" w:space="0" w:color="auto"/>
        <w:bottom w:val="none" w:sz="0" w:space="0" w:color="auto"/>
        <w:right w:val="none" w:sz="0" w:space="0" w:color="auto"/>
      </w:divBdr>
    </w:div>
    <w:div w:id="744106858">
      <w:bodyDiv w:val="1"/>
      <w:marLeft w:val="0"/>
      <w:marRight w:val="0"/>
      <w:marTop w:val="0"/>
      <w:marBottom w:val="0"/>
      <w:divBdr>
        <w:top w:val="none" w:sz="0" w:space="0" w:color="auto"/>
        <w:left w:val="none" w:sz="0" w:space="0" w:color="auto"/>
        <w:bottom w:val="none" w:sz="0" w:space="0" w:color="auto"/>
        <w:right w:val="none" w:sz="0" w:space="0" w:color="auto"/>
      </w:divBdr>
      <w:divsChild>
        <w:div w:id="708918504">
          <w:marLeft w:val="0"/>
          <w:marRight w:val="0"/>
          <w:marTop w:val="0"/>
          <w:marBottom w:val="0"/>
          <w:divBdr>
            <w:top w:val="none" w:sz="0" w:space="0" w:color="auto"/>
            <w:left w:val="none" w:sz="0" w:space="0" w:color="auto"/>
            <w:bottom w:val="none" w:sz="0" w:space="0" w:color="auto"/>
            <w:right w:val="none" w:sz="0" w:space="0" w:color="auto"/>
          </w:divBdr>
        </w:div>
      </w:divsChild>
    </w:div>
    <w:div w:id="762646095">
      <w:bodyDiv w:val="1"/>
      <w:marLeft w:val="0"/>
      <w:marRight w:val="0"/>
      <w:marTop w:val="0"/>
      <w:marBottom w:val="0"/>
      <w:divBdr>
        <w:top w:val="none" w:sz="0" w:space="0" w:color="auto"/>
        <w:left w:val="none" w:sz="0" w:space="0" w:color="auto"/>
        <w:bottom w:val="none" w:sz="0" w:space="0" w:color="auto"/>
        <w:right w:val="none" w:sz="0" w:space="0" w:color="auto"/>
      </w:divBdr>
    </w:div>
    <w:div w:id="773211013">
      <w:bodyDiv w:val="1"/>
      <w:marLeft w:val="0"/>
      <w:marRight w:val="0"/>
      <w:marTop w:val="0"/>
      <w:marBottom w:val="0"/>
      <w:divBdr>
        <w:top w:val="none" w:sz="0" w:space="0" w:color="auto"/>
        <w:left w:val="none" w:sz="0" w:space="0" w:color="auto"/>
        <w:bottom w:val="none" w:sz="0" w:space="0" w:color="auto"/>
        <w:right w:val="none" w:sz="0" w:space="0" w:color="auto"/>
      </w:divBdr>
    </w:div>
    <w:div w:id="773480948">
      <w:bodyDiv w:val="1"/>
      <w:marLeft w:val="0"/>
      <w:marRight w:val="0"/>
      <w:marTop w:val="0"/>
      <w:marBottom w:val="0"/>
      <w:divBdr>
        <w:top w:val="none" w:sz="0" w:space="0" w:color="auto"/>
        <w:left w:val="none" w:sz="0" w:space="0" w:color="auto"/>
        <w:bottom w:val="none" w:sz="0" w:space="0" w:color="auto"/>
        <w:right w:val="none" w:sz="0" w:space="0" w:color="auto"/>
      </w:divBdr>
    </w:div>
    <w:div w:id="787315077">
      <w:bodyDiv w:val="1"/>
      <w:marLeft w:val="0"/>
      <w:marRight w:val="0"/>
      <w:marTop w:val="0"/>
      <w:marBottom w:val="0"/>
      <w:divBdr>
        <w:top w:val="none" w:sz="0" w:space="0" w:color="auto"/>
        <w:left w:val="none" w:sz="0" w:space="0" w:color="auto"/>
        <w:bottom w:val="none" w:sz="0" w:space="0" w:color="auto"/>
        <w:right w:val="none" w:sz="0" w:space="0" w:color="auto"/>
      </w:divBdr>
      <w:divsChild>
        <w:div w:id="743450374">
          <w:marLeft w:val="0"/>
          <w:marRight w:val="0"/>
          <w:marTop w:val="0"/>
          <w:marBottom w:val="0"/>
          <w:divBdr>
            <w:top w:val="none" w:sz="0" w:space="0" w:color="auto"/>
            <w:left w:val="none" w:sz="0" w:space="0" w:color="auto"/>
            <w:bottom w:val="none" w:sz="0" w:space="0" w:color="auto"/>
            <w:right w:val="none" w:sz="0" w:space="0" w:color="auto"/>
          </w:divBdr>
          <w:divsChild>
            <w:div w:id="1768840767">
              <w:marLeft w:val="0"/>
              <w:marRight w:val="0"/>
              <w:marTop w:val="0"/>
              <w:marBottom w:val="0"/>
              <w:divBdr>
                <w:top w:val="none" w:sz="0" w:space="0" w:color="auto"/>
                <w:left w:val="none" w:sz="0" w:space="0" w:color="auto"/>
                <w:bottom w:val="none" w:sz="0" w:space="0" w:color="auto"/>
                <w:right w:val="none" w:sz="0" w:space="0" w:color="auto"/>
              </w:divBdr>
              <w:divsChild>
                <w:div w:id="1012221916">
                  <w:marLeft w:val="0"/>
                  <w:marRight w:val="0"/>
                  <w:marTop w:val="0"/>
                  <w:marBottom w:val="0"/>
                  <w:divBdr>
                    <w:top w:val="none" w:sz="0" w:space="0" w:color="auto"/>
                    <w:left w:val="none" w:sz="0" w:space="0" w:color="auto"/>
                    <w:bottom w:val="none" w:sz="0" w:space="0" w:color="auto"/>
                    <w:right w:val="none" w:sz="0" w:space="0" w:color="auto"/>
                  </w:divBdr>
                  <w:divsChild>
                    <w:div w:id="875505902">
                      <w:marLeft w:val="0"/>
                      <w:marRight w:val="0"/>
                      <w:marTop w:val="0"/>
                      <w:marBottom w:val="0"/>
                      <w:divBdr>
                        <w:top w:val="none" w:sz="0" w:space="0" w:color="auto"/>
                        <w:left w:val="none" w:sz="0" w:space="0" w:color="auto"/>
                        <w:bottom w:val="none" w:sz="0" w:space="0" w:color="auto"/>
                        <w:right w:val="none" w:sz="0" w:space="0" w:color="auto"/>
                      </w:divBdr>
                      <w:divsChild>
                        <w:div w:id="1024087561">
                          <w:marLeft w:val="0"/>
                          <w:marRight w:val="0"/>
                          <w:marTop w:val="0"/>
                          <w:marBottom w:val="0"/>
                          <w:divBdr>
                            <w:top w:val="none" w:sz="0" w:space="0" w:color="auto"/>
                            <w:left w:val="none" w:sz="0" w:space="0" w:color="auto"/>
                            <w:bottom w:val="none" w:sz="0" w:space="0" w:color="auto"/>
                            <w:right w:val="none" w:sz="0" w:space="0" w:color="auto"/>
                          </w:divBdr>
                          <w:divsChild>
                            <w:div w:id="109447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641131">
      <w:bodyDiv w:val="1"/>
      <w:marLeft w:val="0"/>
      <w:marRight w:val="0"/>
      <w:marTop w:val="0"/>
      <w:marBottom w:val="0"/>
      <w:divBdr>
        <w:top w:val="none" w:sz="0" w:space="0" w:color="auto"/>
        <w:left w:val="none" w:sz="0" w:space="0" w:color="auto"/>
        <w:bottom w:val="none" w:sz="0" w:space="0" w:color="auto"/>
        <w:right w:val="none" w:sz="0" w:space="0" w:color="auto"/>
      </w:divBdr>
      <w:divsChild>
        <w:div w:id="930816170">
          <w:marLeft w:val="0"/>
          <w:marRight w:val="0"/>
          <w:marTop w:val="0"/>
          <w:marBottom w:val="0"/>
          <w:divBdr>
            <w:top w:val="none" w:sz="0" w:space="0" w:color="auto"/>
            <w:left w:val="none" w:sz="0" w:space="0" w:color="auto"/>
            <w:bottom w:val="none" w:sz="0" w:space="0" w:color="auto"/>
            <w:right w:val="none" w:sz="0" w:space="0" w:color="auto"/>
          </w:divBdr>
          <w:divsChild>
            <w:div w:id="1137331484">
              <w:marLeft w:val="0"/>
              <w:marRight w:val="0"/>
              <w:marTop w:val="0"/>
              <w:marBottom w:val="0"/>
              <w:divBdr>
                <w:top w:val="none" w:sz="0" w:space="0" w:color="auto"/>
                <w:left w:val="none" w:sz="0" w:space="0" w:color="auto"/>
                <w:bottom w:val="none" w:sz="0" w:space="0" w:color="auto"/>
                <w:right w:val="none" w:sz="0" w:space="0" w:color="auto"/>
              </w:divBdr>
              <w:divsChild>
                <w:div w:id="1644962033">
                  <w:marLeft w:val="0"/>
                  <w:marRight w:val="0"/>
                  <w:marTop w:val="0"/>
                  <w:marBottom w:val="0"/>
                  <w:divBdr>
                    <w:top w:val="none" w:sz="0" w:space="0" w:color="auto"/>
                    <w:left w:val="none" w:sz="0" w:space="0" w:color="auto"/>
                    <w:bottom w:val="none" w:sz="0" w:space="0" w:color="auto"/>
                    <w:right w:val="none" w:sz="0" w:space="0" w:color="auto"/>
                  </w:divBdr>
                  <w:divsChild>
                    <w:div w:id="52594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0753447">
      <w:bodyDiv w:val="1"/>
      <w:marLeft w:val="0"/>
      <w:marRight w:val="0"/>
      <w:marTop w:val="0"/>
      <w:marBottom w:val="0"/>
      <w:divBdr>
        <w:top w:val="none" w:sz="0" w:space="0" w:color="auto"/>
        <w:left w:val="none" w:sz="0" w:space="0" w:color="auto"/>
        <w:bottom w:val="none" w:sz="0" w:space="0" w:color="auto"/>
        <w:right w:val="none" w:sz="0" w:space="0" w:color="auto"/>
      </w:divBdr>
    </w:div>
    <w:div w:id="858666657">
      <w:bodyDiv w:val="1"/>
      <w:marLeft w:val="0"/>
      <w:marRight w:val="0"/>
      <w:marTop w:val="0"/>
      <w:marBottom w:val="0"/>
      <w:divBdr>
        <w:top w:val="none" w:sz="0" w:space="0" w:color="auto"/>
        <w:left w:val="none" w:sz="0" w:space="0" w:color="auto"/>
        <w:bottom w:val="none" w:sz="0" w:space="0" w:color="auto"/>
        <w:right w:val="none" w:sz="0" w:space="0" w:color="auto"/>
      </w:divBdr>
      <w:divsChild>
        <w:div w:id="1914318112">
          <w:marLeft w:val="0"/>
          <w:marRight w:val="0"/>
          <w:marTop w:val="0"/>
          <w:marBottom w:val="0"/>
          <w:divBdr>
            <w:top w:val="none" w:sz="0" w:space="0" w:color="auto"/>
            <w:left w:val="none" w:sz="0" w:space="0" w:color="auto"/>
            <w:bottom w:val="none" w:sz="0" w:space="0" w:color="auto"/>
            <w:right w:val="none" w:sz="0" w:space="0" w:color="auto"/>
          </w:divBdr>
          <w:divsChild>
            <w:div w:id="1022704744">
              <w:marLeft w:val="0"/>
              <w:marRight w:val="0"/>
              <w:marTop w:val="0"/>
              <w:marBottom w:val="0"/>
              <w:divBdr>
                <w:top w:val="none" w:sz="0" w:space="0" w:color="auto"/>
                <w:left w:val="none" w:sz="0" w:space="0" w:color="auto"/>
                <w:bottom w:val="none" w:sz="0" w:space="0" w:color="auto"/>
                <w:right w:val="none" w:sz="0" w:space="0" w:color="auto"/>
              </w:divBdr>
              <w:divsChild>
                <w:div w:id="403525532">
                  <w:marLeft w:val="0"/>
                  <w:marRight w:val="0"/>
                  <w:marTop w:val="0"/>
                  <w:marBottom w:val="0"/>
                  <w:divBdr>
                    <w:top w:val="none" w:sz="0" w:space="0" w:color="auto"/>
                    <w:left w:val="none" w:sz="0" w:space="0" w:color="auto"/>
                    <w:bottom w:val="none" w:sz="0" w:space="0" w:color="auto"/>
                    <w:right w:val="none" w:sz="0" w:space="0" w:color="auto"/>
                  </w:divBdr>
                  <w:divsChild>
                    <w:div w:id="51453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260082">
      <w:bodyDiv w:val="1"/>
      <w:marLeft w:val="0"/>
      <w:marRight w:val="0"/>
      <w:marTop w:val="0"/>
      <w:marBottom w:val="0"/>
      <w:divBdr>
        <w:top w:val="none" w:sz="0" w:space="0" w:color="auto"/>
        <w:left w:val="none" w:sz="0" w:space="0" w:color="auto"/>
        <w:bottom w:val="none" w:sz="0" w:space="0" w:color="auto"/>
        <w:right w:val="none" w:sz="0" w:space="0" w:color="auto"/>
      </w:divBdr>
    </w:div>
    <w:div w:id="880360003">
      <w:bodyDiv w:val="1"/>
      <w:marLeft w:val="0"/>
      <w:marRight w:val="0"/>
      <w:marTop w:val="0"/>
      <w:marBottom w:val="0"/>
      <w:divBdr>
        <w:top w:val="none" w:sz="0" w:space="0" w:color="auto"/>
        <w:left w:val="none" w:sz="0" w:space="0" w:color="auto"/>
        <w:bottom w:val="none" w:sz="0" w:space="0" w:color="auto"/>
        <w:right w:val="none" w:sz="0" w:space="0" w:color="auto"/>
      </w:divBdr>
    </w:div>
    <w:div w:id="882983652">
      <w:bodyDiv w:val="1"/>
      <w:marLeft w:val="0"/>
      <w:marRight w:val="0"/>
      <w:marTop w:val="0"/>
      <w:marBottom w:val="0"/>
      <w:divBdr>
        <w:top w:val="none" w:sz="0" w:space="0" w:color="auto"/>
        <w:left w:val="none" w:sz="0" w:space="0" w:color="auto"/>
        <w:bottom w:val="none" w:sz="0" w:space="0" w:color="auto"/>
        <w:right w:val="none" w:sz="0" w:space="0" w:color="auto"/>
      </w:divBdr>
    </w:div>
    <w:div w:id="889658331">
      <w:bodyDiv w:val="1"/>
      <w:marLeft w:val="0"/>
      <w:marRight w:val="0"/>
      <w:marTop w:val="0"/>
      <w:marBottom w:val="0"/>
      <w:divBdr>
        <w:top w:val="none" w:sz="0" w:space="0" w:color="auto"/>
        <w:left w:val="none" w:sz="0" w:space="0" w:color="auto"/>
        <w:bottom w:val="none" w:sz="0" w:space="0" w:color="auto"/>
        <w:right w:val="none" w:sz="0" w:space="0" w:color="auto"/>
      </w:divBdr>
    </w:div>
    <w:div w:id="912005315">
      <w:bodyDiv w:val="1"/>
      <w:marLeft w:val="0"/>
      <w:marRight w:val="0"/>
      <w:marTop w:val="0"/>
      <w:marBottom w:val="0"/>
      <w:divBdr>
        <w:top w:val="none" w:sz="0" w:space="0" w:color="auto"/>
        <w:left w:val="none" w:sz="0" w:space="0" w:color="auto"/>
        <w:bottom w:val="none" w:sz="0" w:space="0" w:color="auto"/>
        <w:right w:val="none" w:sz="0" w:space="0" w:color="auto"/>
      </w:divBdr>
    </w:div>
    <w:div w:id="1032851641">
      <w:bodyDiv w:val="1"/>
      <w:marLeft w:val="0"/>
      <w:marRight w:val="0"/>
      <w:marTop w:val="0"/>
      <w:marBottom w:val="0"/>
      <w:divBdr>
        <w:top w:val="none" w:sz="0" w:space="0" w:color="auto"/>
        <w:left w:val="none" w:sz="0" w:space="0" w:color="auto"/>
        <w:bottom w:val="none" w:sz="0" w:space="0" w:color="auto"/>
        <w:right w:val="none" w:sz="0" w:space="0" w:color="auto"/>
      </w:divBdr>
    </w:div>
    <w:div w:id="1039162773">
      <w:bodyDiv w:val="1"/>
      <w:marLeft w:val="0"/>
      <w:marRight w:val="0"/>
      <w:marTop w:val="0"/>
      <w:marBottom w:val="0"/>
      <w:divBdr>
        <w:top w:val="none" w:sz="0" w:space="0" w:color="auto"/>
        <w:left w:val="none" w:sz="0" w:space="0" w:color="auto"/>
        <w:bottom w:val="none" w:sz="0" w:space="0" w:color="auto"/>
        <w:right w:val="none" w:sz="0" w:space="0" w:color="auto"/>
      </w:divBdr>
      <w:divsChild>
        <w:div w:id="1119836568">
          <w:marLeft w:val="0"/>
          <w:marRight w:val="0"/>
          <w:marTop w:val="0"/>
          <w:marBottom w:val="0"/>
          <w:divBdr>
            <w:top w:val="none" w:sz="0" w:space="0" w:color="auto"/>
            <w:left w:val="none" w:sz="0" w:space="0" w:color="auto"/>
            <w:bottom w:val="none" w:sz="0" w:space="0" w:color="auto"/>
            <w:right w:val="none" w:sz="0" w:space="0" w:color="auto"/>
          </w:divBdr>
          <w:divsChild>
            <w:div w:id="651714602">
              <w:marLeft w:val="0"/>
              <w:marRight w:val="0"/>
              <w:marTop w:val="0"/>
              <w:marBottom w:val="0"/>
              <w:divBdr>
                <w:top w:val="none" w:sz="0" w:space="0" w:color="auto"/>
                <w:left w:val="none" w:sz="0" w:space="0" w:color="auto"/>
                <w:bottom w:val="none" w:sz="0" w:space="0" w:color="auto"/>
                <w:right w:val="none" w:sz="0" w:space="0" w:color="auto"/>
              </w:divBdr>
              <w:divsChild>
                <w:div w:id="603466976">
                  <w:marLeft w:val="0"/>
                  <w:marRight w:val="0"/>
                  <w:marTop w:val="0"/>
                  <w:marBottom w:val="0"/>
                  <w:divBdr>
                    <w:top w:val="none" w:sz="0" w:space="0" w:color="auto"/>
                    <w:left w:val="none" w:sz="0" w:space="0" w:color="auto"/>
                    <w:bottom w:val="none" w:sz="0" w:space="0" w:color="auto"/>
                    <w:right w:val="none" w:sz="0" w:space="0" w:color="auto"/>
                  </w:divBdr>
                  <w:divsChild>
                    <w:div w:id="47363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526651">
      <w:bodyDiv w:val="1"/>
      <w:marLeft w:val="0"/>
      <w:marRight w:val="0"/>
      <w:marTop w:val="0"/>
      <w:marBottom w:val="0"/>
      <w:divBdr>
        <w:top w:val="none" w:sz="0" w:space="0" w:color="auto"/>
        <w:left w:val="none" w:sz="0" w:space="0" w:color="auto"/>
        <w:bottom w:val="none" w:sz="0" w:space="0" w:color="auto"/>
        <w:right w:val="none" w:sz="0" w:space="0" w:color="auto"/>
      </w:divBdr>
    </w:div>
    <w:div w:id="1126509024">
      <w:bodyDiv w:val="1"/>
      <w:marLeft w:val="0"/>
      <w:marRight w:val="0"/>
      <w:marTop w:val="0"/>
      <w:marBottom w:val="0"/>
      <w:divBdr>
        <w:top w:val="none" w:sz="0" w:space="0" w:color="auto"/>
        <w:left w:val="none" w:sz="0" w:space="0" w:color="auto"/>
        <w:bottom w:val="none" w:sz="0" w:space="0" w:color="auto"/>
        <w:right w:val="none" w:sz="0" w:space="0" w:color="auto"/>
      </w:divBdr>
      <w:divsChild>
        <w:div w:id="699161111">
          <w:marLeft w:val="0"/>
          <w:marRight w:val="0"/>
          <w:marTop w:val="0"/>
          <w:marBottom w:val="0"/>
          <w:divBdr>
            <w:top w:val="none" w:sz="0" w:space="0" w:color="auto"/>
            <w:left w:val="none" w:sz="0" w:space="0" w:color="auto"/>
            <w:bottom w:val="none" w:sz="0" w:space="0" w:color="auto"/>
            <w:right w:val="none" w:sz="0" w:space="0" w:color="auto"/>
          </w:divBdr>
          <w:divsChild>
            <w:div w:id="928973148">
              <w:marLeft w:val="0"/>
              <w:marRight w:val="0"/>
              <w:marTop w:val="0"/>
              <w:marBottom w:val="0"/>
              <w:divBdr>
                <w:top w:val="none" w:sz="0" w:space="0" w:color="auto"/>
                <w:left w:val="none" w:sz="0" w:space="0" w:color="auto"/>
                <w:bottom w:val="none" w:sz="0" w:space="0" w:color="auto"/>
                <w:right w:val="none" w:sz="0" w:space="0" w:color="auto"/>
              </w:divBdr>
              <w:divsChild>
                <w:div w:id="242379011">
                  <w:marLeft w:val="0"/>
                  <w:marRight w:val="0"/>
                  <w:marTop w:val="0"/>
                  <w:marBottom w:val="0"/>
                  <w:divBdr>
                    <w:top w:val="none" w:sz="0" w:space="0" w:color="auto"/>
                    <w:left w:val="none" w:sz="0" w:space="0" w:color="auto"/>
                    <w:bottom w:val="none" w:sz="0" w:space="0" w:color="auto"/>
                    <w:right w:val="none" w:sz="0" w:space="0" w:color="auto"/>
                  </w:divBdr>
                  <w:divsChild>
                    <w:div w:id="317618238">
                      <w:marLeft w:val="0"/>
                      <w:marRight w:val="0"/>
                      <w:marTop w:val="0"/>
                      <w:marBottom w:val="0"/>
                      <w:divBdr>
                        <w:top w:val="none" w:sz="0" w:space="0" w:color="auto"/>
                        <w:left w:val="none" w:sz="0" w:space="0" w:color="auto"/>
                        <w:bottom w:val="none" w:sz="0" w:space="0" w:color="auto"/>
                        <w:right w:val="none" w:sz="0" w:space="0" w:color="auto"/>
                      </w:divBdr>
                      <w:divsChild>
                        <w:div w:id="175267520">
                          <w:marLeft w:val="0"/>
                          <w:marRight w:val="0"/>
                          <w:marTop w:val="0"/>
                          <w:marBottom w:val="0"/>
                          <w:divBdr>
                            <w:top w:val="none" w:sz="0" w:space="0" w:color="auto"/>
                            <w:left w:val="none" w:sz="0" w:space="0" w:color="auto"/>
                            <w:bottom w:val="none" w:sz="0" w:space="0" w:color="auto"/>
                            <w:right w:val="none" w:sz="0" w:space="0" w:color="auto"/>
                          </w:divBdr>
                          <w:divsChild>
                            <w:div w:id="46505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3404974">
      <w:bodyDiv w:val="1"/>
      <w:marLeft w:val="0"/>
      <w:marRight w:val="0"/>
      <w:marTop w:val="0"/>
      <w:marBottom w:val="0"/>
      <w:divBdr>
        <w:top w:val="none" w:sz="0" w:space="0" w:color="auto"/>
        <w:left w:val="none" w:sz="0" w:space="0" w:color="auto"/>
        <w:bottom w:val="none" w:sz="0" w:space="0" w:color="auto"/>
        <w:right w:val="none" w:sz="0" w:space="0" w:color="auto"/>
      </w:divBdr>
    </w:div>
    <w:div w:id="1164319059">
      <w:bodyDiv w:val="1"/>
      <w:marLeft w:val="0"/>
      <w:marRight w:val="0"/>
      <w:marTop w:val="0"/>
      <w:marBottom w:val="0"/>
      <w:divBdr>
        <w:top w:val="none" w:sz="0" w:space="0" w:color="auto"/>
        <w:left w:val="none" w:sz="0" w:space="0" w:color="auto"/>
        <w:bottom w:val="none" w:sz="0" w:space="0" w:color="auto"/>
        <w:right w:val="none" w:sz="0" w:space="0" w:color="auto"/>
      </w:divBdr>
    </w:div>
    <w:div w:id="1166164573">
      <w:bodyDiv w:val="1"/>
      <w:marLeft w:val="0"/>
      <w:marRight w:val="0"/>
      <w:marTop w:val="0"/>
      <w:marBottom w:val="0"/>
      <w:divBdr>
        <w:top w:val="none" w:sz="0" w:space="0" w:color="auto"/>
        <w:left w:val="none" w:sz="0" w:space="0" w:color="auto"/>
        <w:bottom w:val="none" w:sz="0" w:space="0" w:color="auto"/>
        <w:right w:val="none" w:sz="0" w:space="0" w:color="auto"/>
      </w:divBdr>
    </w:div>
    <w:div w:id="1198158411">
      <w:bodyDiv w:val="1"/>
      <w:marLeft w:val="0"/>
      <w:marRight w:val="0"/>
      <w:marTop w:val="0"/>
      <w:marBottom w:val="0"/>
      <w:divBdr>
        <w:top w:val="none" w:sz="0" w:space="0" w:color="auto"/>
        <w:left w:val="none" w:sz="0" w:space="0" w:color="auto"/>
        <w:bottom w:val="none" w:sz="0" w:space="0" w:color="auto"/>
        <w:right w:val="none" w:sz="0" w:space="0" w:color="auto"/>
      </w:divBdr>
    </w:div>
    <w:div w:id="1219318739">
      <w:bodyDiv w:val="1"/>
      <w:marLeft w:val="0"/>
      <w:marRight w:val="0"/>
      <w:marTop w:val="0"/>
      <w:marBottom w:val="0"/>
      <w:divBdr>
        <w:top w:val="none" w:sz="0" w:space="0" w:color="auto"/>
        <w:left w:val="none" w:sz="0" w:space="0" w:color="auto"/>
        <w:bottom w:val="none" w:sz="0" w:space="0" w:color="auto"/>
        <w:right w:val="none" w:sz="0" w:space="0" w:color="auto"/>
      </w:divBdr>
    </w:div>
    <w:div w:id="1219323625">
      <w:bodyDiv w:val="1"/>
      <w:marLeft w:val="0"/>
      <w:marRight w:val="0"/>
      <w:marTop w:val="0"/>
      <w:marBottom w:val="0"/>
      <w:divBdr>
        <w:top w:val="none" w:sz="0" w:space="0" w:color="auto"/>
        <w:left w:val="none" w:sz="0" w:space="0" w:color="auto"/>
        <w:bottom w:val="none" w:sz="0" w:space="0" w:color="auto"/>
        <w:right w:val="none" w:sz="0" w:space="0" w:color="auto"/>
      </w:divBdr>
    </w:div>
    <w:div w:id="1236623138">
      <w:bodyDiv w:val="1"/>
      <w:marLeft w:val="0"/>
      <w:marRight w:val="0"/>
      <w:marTop w:val="0"/>
      <w:marBottom w:val="0"/>
      <w:divBdr>
        <w:top w:val="none" w:sz="0" w:space="0" w:color="auto"/>
        <w:left w:val="none" w:sz="0" w:space="0" w:color="auto"/>
        <w:bottom w:val="none" w:sz="0" w:space="0" w:color="auto"/>
        <w:right w:val="none" w:sz="0" w:space="0" w:color="auto"/>
      </w:divBdr>
    </w:div>
    <w:div w:id="1244994272">
      <w:bodyDiv w:val="1"/>
      <w:marLeft w:val="0"/>
      <w:marRight w:val="0"/>
      <w:marTop w:val="0"/>
      <w:marBottom w:val="0"/>
      <w:divBdr>
        <w:top w:val="none" w:sz="0" w:space="0" w:color="auto"/>
        <w:left w:val="none" w:sz="0" w:space="0" w:color="auto"/>
        <w:bottom w:val="none" w:sz="0" w:space="0" w:color="auto"/>
        <w:right w:val="none" w:sz="0" w:space="0" w:color="auto"/>
      </w:divBdr>
    </w:div>
    <w:div w:id="1290862825">
      <w:bodyDiv w:val="1"/>
      <w:marLeft w:val="0"/>
      <w:marRight w:val="0"/>
      <w:marTop w:val="0"/>
      <w:marBottom w:val="0"/>
      <w:divBdr>
        <w:top w:val="none" w:sz="0" w:space="0" w:color="auto"/>
        <w:left w:val="none" w:sz="0" w:space="0" w:color="auto"/>
        <w:bottom w:val="none" w:sz="0" w:space="0" w:color="auto"/>
        <w:right w:val="none" w:sz="0" w:space="0" w:color="auto"/>
      </w:divBdr>
    </w:div>
    <w:div w:id="1317414516">
      <w:bodyDiv w:val="1"/>
      <w:marLeft w:val="0"/>
      <w:marRight w:val="0"/>
      <w:marTop w:val="0"/>
      <w:marBottom w:val="0"/>
      <w:divBdr>
        <w:top w:val="none" w:sz="0" w:space="0" w:color="auto"/>
        <w:left w:val="none" w:sz="0" w:space="0" w:color="auto"/>
        <w:bottom w:val="none" w:sz="0" w:space="0" w:color="auto"/>
        <w:right w:val="none" w:sz="0" w:space="0" w:color="auto"/>
      </w:divBdr>
    </w:div>
    <w:div w:id="1418744364">
      <w:bodyDiv w:val="1"/>
      <w:marLeft w:val="0"/>
      <w:marRight w:val="0"/>
      <w:marTop w:val="0"/>
      <w:marBottom w:val="0"/>
      <w:divBdr>
        <w:top w:val="none" w:sz="0" w:space="0" w:color="auto"/>
        <w:left w:val="none" w:sz="0" w:space="0" w:color="auto"/>
        <w:bottom w:val="none" w:sz="0" w:space="0" w:color="auto"/>
        <w:right w:val="none" w:sz="0" w:space="0" w:color="auto"/>
      </w:divBdr>
    </w:div>
    <w:div w:id="1450976714">
      <w:bodyDiv w:val="1"/>
      <w:marLeft w:val="0"/>
      <w:marRight w:val="0"/>
      <w:marTop w:val="0"/>
      <w:marBottom w:val="0"/>
      <w:divBdr>
        <w:top w:val="none" w:sz="0" w:space="0" w:color="auto"/>
        <w:left w:val="none" w:sz="0" w:space="0" w:color="auto"/>
        <w:bottom w:val="none" w:sz="0" w:space="0" w:color="auto"/>
        <w:right w:val="none" w:sz="0" w:space="0" w:color="auto"/>
      </w:divBdr>
    </w:div>
    <w:div w:id="1505701832">
      <w:bodyDiv w:val="1"/>
      <w:marLeft w:val="0"/>
      <w:marRight w:val="0"/>
      <w:marTop w:val="0"/>
      <w:marBottom w:val="0"/>
      <w:divBdr>
        <w:top w:val="none" w:sz="0" w:space="0" w:color="auto"/>
        <w:left w:val="none" w:sz="0" w:space="0" w:color="auto"/>
        <w:bottom w:val="none" w:sz="0" w:space="0" w:color="auto"/>
        <w:right w:val="none" w:sz="0" w:space="0" w:color="auto"/>
      </w:divBdr>
      <w:divsChild>
        <w:div w:id="302274285">
          <w:marLeft w:val="0"/>
          <w:marRight w:val="0"/>
          <w:marTop w:val="0"/>
          <w:marBottom w:val="0"/>
          <w:divBdr>
            <w:top w:val="none" w:sz="0" w:space="0" w:color="auto"/>
            <w:left w:val="none" w:sz="0" w:space="0" w:color="auto"/>
            <w:bottom w:val="none" w:sz="0" w:space="0" w:color="auto"/>
            <w:right w:val="none" w:sz="0" w:space="0" w:color="auto"/>
          </w:divBdr>
          <w:divsChild>
            <w:div w:id="1418097502">
              <w:marLeft w:val="0"/>
              <w:marRight w:val="0"/>
              <w:marTop w:val="0"/>
              <w:marBottom w:val="0"/>
              <w:divBdr>
                <w:top w:val="none" w:sz="0" w:space="0" w:color="auto"/>
                <w:left w:val="none" w:sz="0" w:space="0" w:color="auto"/>
                <w:bottom w:val="none" w:sz="0" w:space="0" w:color="auto"/>
                <w:right w:val="none" w:sz="0" w:space="0" w:color="auto"/>
              </w:divBdr>
              <w:divsChild>
                <w:div w:id="937566166">
                  <w:marLeft w:val="0"/>
                  <w:marRight w:val="0"/>
                  <w:marTop w:val="0"/>
                  <w:marBottom w:val="0"/>
                  <w:divBdr>
                    <w:top w:val="none" w:sz="0" w:space="0" w:color="auto"/>
                    <w:left w:val="none" w:sz="0" w:space="0" w:color="auto"/>
                    <w:bottom w:val="none" w:sz="0" w:space="0" w:color="auto"/>
                    <w:right w:val="none" w:sz="0" w:space="0" w:color="auto"/>
                  </w:divBdr>
                  <w:divsChild>
                    <w:div w:id="598679722">
                      <w:marLeft w:val="0"/>
                      <w:marRight w:val="0"/>
                      <w:marTop w:val="0"/>
                      <w:marBottom w:val="0"/>
                      <w:divBdr>
                        <w:top w:val="none" w:sz="0" w:space="0" w:color="auto"/>
                        <w:left w:val="none" w:sz="0" w:space="0" w:color="auto"/>
                        <w:bottom w:val="none" w:sz="0" w:space="0" w:color="auto"/>
                        <w:right w:val="none" w:sz="0" w:space="0" w:color="auto"/>
                      </w:divBdr>
                      <w:divsChild>
                        <w:div w:id="441921470">
                          <w:marLeft w:val="0"/>
                          <w:marRight w:val="0"/>
                          <w:marTop w:val="0"/>
                          <w:marBottom w:val="0"/>
                          <w:divBdr>
                            <w:top w:val="none" w:sz="0" w:space="0" w:color="auto"/>
                            <w:left w:val="none" w:sz="0" w:space="0" w:color="auto"/>
                            <w:bottom w:val="none" w:sz="0" w:space="0" w:color="auto"/>
                            <w:right w:val="none" w:sz="0" w:space="0" w:color="auto"/>
                          </w:divBdr>
                          <w:divsChild>
                            <w:div w:id="142634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1427521">
      <w:bodyDiv w:val="1"/>
      <w:marLeft w:val="0"/>
      <w:marRight w:val="0"/>
      <w:marTop w:val="0"/>
      <w:marBottom w:val="0"/>
      <w:divBdr>
        <w:top w:val="none" w:sz="0" w:space="0" w:color="auto"/>
        <w:left w:val="none" w:sz="0" w:space="0" w:color="auto"/>
        <w:bottom w:val="none" w:sz="0" w:space="0" w:color="auto"/>
        <w:right w:val="none" w:sz="0" w:space="0" w:color="auto"/>
      </w:divBdr>
      <w:divsChild>
        <w:div w:id="820846583">
          <w:marLeft w:val="0"/>
          <w:marRight w:val="0"/>
          <w:marTop w:val="0"/>
          <w:marBottom w:val="0"/>
          <w:divBdr>
            <w:top w:val="none" w:sz="0" w:space="0" w:color="auto"/>
            <w:left w:val="none" w:sz="0" w:space="0" w:color="auto"/>
            <w:bottom w:val="none" w:sz="0" w:space="0" w:color="auto"/>
            <w:right w:val="none" w:sz="0" w:space="0" w:color="auto"/>
          </w:divBdr>
          <w:divsChild>
            <w:div w:id="978799185">
              <w:marLeft w:val="0"/>
              <w:marRight w:val="0"/>
              <w:marTop w:val="0"/>
              <w:marBottom w:val="0"/>
              <w:divBdr>
                <w:top w:val="none" w:sz="0" w:space="0" w:color="auto"/>
                <w:left w:val="none" w:sz="0" w:space="0" w:color="auto"/>
                <w:bottom w:val="none" w:sz="0" w:space="0" w:color="auto"/>
                <w:right w:val="none" w:sz="0" w:space="0" w:color="auto"/>
              </w:divBdr>
              <w:divsChild>
                <w:div w:id="1563131784">
                  <w:marLeft w:val="0"/>
                  <w:marRight w:val="0"/>
                  <w:marTop w:val="0"/>
                  <w:marBottom w:val="0"/>
                  <w:divBdr>
                    <w:top w:val="none" w:sz="0" w:space="0" w:color="auto"/>
                    <w:left w:val="none" w:sz="0" w:space="0" w:color="auto"/>
                    <w:bottom w:val="none" w:sz="0" w:space="0" w:color="auto"/>
                    <w:right w:val="none" w:sz="0" w:space="0" w:color="auto"/>
                  </w:divBdr>
                  <w:divsChild>
                    <w:div w:id="94654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351258">
      <w:bodyDiv w:val="1"/>
      <w:marLeft w:val="0"/>
      <w:marRight w:val="0"/>
      <w:marTop w:val="0"/>
      <w:marBottom w:val="0"/>
      <w:divBdr>
        <w:top w:val="none" w:sz="0" w:space="0" w:color="auto"/>
        <w:left w:val="none" w:sz="0" w:space="0" w:color="auto"/>
        <w:bottom w:val="none" w:sz="0" w:space="0" w:color="auto"/>
        <w:right w:val="none" w:sz="0" w:space="0" w:color="auto"/>
      </w:divBdr>
    </w:div>
    <w:div w:id="1651784936">
      <w:bodyDiv w:val="1"/>
      <w:marLeft w:val="0"/>
      <w:marRight w:val="0"/>
      <w:marTop w:val="0"/>
      <w:marBottom w:val="0"/>
      <w:divBdr>
        <w:top w:val="none" w:sz="0" w:space="0" w:color="auto"/>
        <w:left w:val="none" w:sz="0" w:space="0" w:color="auto"/>
        <w:bottom w:val="none" w:sz="0" w:space="0" w:color="auto"/>
        <w:right w:val="none" w:sz="0" w:space="0" w:color="auto"/>
      </w:divBdr>
    </w:div>
    <w:div w:id="1668098107">
      <w:bodyDiv w:val="1"/>
      <w:marLeft w:val="0"/>
      <w:marRight w:val="0"/>
      <w:marTop w:val="0"/>
      <w:marBottom w:val="0"/>
      <w:divBdr>
        <w:top w:val="none" w:sz="0" w:space="0" w:color="auto"/>
        <w:left w:val="none" w:sz="0" w:space="0" w:color="auto"/>
        <w:bottom w:val="none" w:sz="0" w:space="0" w:color="auto"/>
        <w:right w:val="none" w:sz="0" w:space="0" w:color="auto"/>
      </w:divBdr>
    </w:div>
    <w:div w:id="1774202084">
      <w:bodyDiv w:val="1"/>
      <w:marLeft w:val="0"/>
      <w:marRight w:val="0"/>
      <w:marTop w:val="0"/>
      <w:marBottom w:val="0"/>
      <w:divBdr>
        <w:top w:val="none" w:sz="0" w:space="0" w:color="auto"/>
        <w:left w:val="none" w:sz="0" w:space="0" w:color="auto"/>
        <w:bottom w:val="none" w:sz="0" w:space="0" w:color="auto"/>
        <w:right w:val="none" w:sz="0" w:space="0" w:color="auto"/>
      </w:divBdr>
    </w:div>
    <w:div w:id="1861625135">
      <w:bodyDiv w:val="1"/>
      <w:marLeft w:val="0"/>
      <w:marRight w:val="0"/>
      <w:marTop w:val="0"/>
      <w:marBottom w:val="0"/>
      <w:divBdr>
        <w:top w:val="none" w:sz="0" w:space="0" w:color="auto"/>
        <w:left w:val="none" w:sz="0" w:space="0" w:color="auto"/>
        <w:bottom w:val="none" w:sz="0" w:space="0" w:color="auto"/>
        <w:right w:val="none" w:sz="0" w:space="0" w:color="auto"/>
      </w:divBdr>
      <w:divsChild>
        <w:div w:id="1174415178">
          <w:marLeft w:val="446"/>
          <w:marRight w:val="0"/>
          <w:marTop w:val="0"/>
          <w:marBottom w:val="0"/>
          <w:divBdr>
            <w:top w:val="none" w:sz="0" w:space="0" w:color="auto"/>
            <w:left w:val="none" w:sz="0" w:space="0" w:color="auto"/>
            <w:bottom w:val="none" w:sz="0" w:space="0" w:color="auto"/>
            <w:right w:val="none" w:sz="0" w:space="0" w:color="auto"/>
          </w:divBdr>
        </w:div>
        <w:div w:id="716398151">
          <w:marLeft w:val="446"/>
          <w:marRight w:val="0"/>
          <w:marTop w:val="0"/>
          <w:marBottom w:val="0"/>
          <w:divBdr>
            <w:top w:val="none" w:sz="0" w:space="0" w:color="auto"/>
            <w:left w:val="none" w:sz="0" w:space="0" w:color="auto"/>
            <w:bottom w:val="none" w:sz="0" w:space="0" w:color="auto"/>
            <w:right w:val="none" w:sz="0" w:space="0" w:color="auto"/>
          </w:divBdr>
        </w:div>
        <w:div w:id="733429307">
          <w:marLeft w:val="446"/>
          <w:marRight w:val="0"/>
          <w:marTop w:val="0"/>
          <w:marBottom w:val="0"/>
          <w:divBdr>
            <w:top w:val="none" w:sz="0" w:space="0" w:color="auto"/>
            <w:left w:val="none" w:sz="0" w:space="0" w:color="auto"/>
            <w:bottom w:val="none" w:sz="0" w:space="0" w:color="auto"/>
            <w:right w:val="none" w:sz="0" w:space="0" w:color="auto"/>
          </w:divBdr>
        </w:div>
      </w:divsChild>
    </w:div>
    <w:div w:id="2003704510">
      <w:bodyDiv w:val="1"/>
      <w:marLeft w:val="0"/>
      <w:marRight w:val="0"/>
      <w:marTop w:val="0"/>
      <w:marBottom w:val="0"/>
      <w:divBdr>
        <w:top w:val="none" w:sz="0" w:space="0" w:color="auto"/>
        <w:left w:val="none" w:sz="0" w:space="0" w:color="auto"/>
        <w:bottom w:val="none" w:sz="0" w:space="0" w:color="auto"/>
        <w:right w:val="none" w:sz="0" w:space="0" w:color="auto"/>
      </w:divBdr>
    </w:div>
    <w:div w:id="2018849825">
      <w:bodyDiv w:val="1"/>
      <w:marLeft w:val="0"/>
      <w:marRight w:val="0"/>
      <w:marTop w:val="0"/>
      <w:marBottom w:val="0"/>
      <w:divBdr>
        <w:top w:val="none" w:sz="0" w:space="0" w:color="auto"/>
        <w:left w:val="none" w:sz="0" w:space="0" w:color="auto"/>
        <w:bottom w:val="none" w:sz="0" w:space="0" w:color="auto"/>
        <w:right w:val="none" w:sz="0" w:space="0" w:color="auto"/>
      </w:divBdr>
    </w:div>
    <w:div w:id="2034380967">
      <w:bodyDiv w:val="1"/>
      <w:marLeft w:val="0"/>
      <w:marRight w:val="0"/>
      <w:marTop w:val="0"/>
      <w:marBottom w:val="0"/>
      <w:divBdr>
        <w:top w:val="none" w:sz="0" w:space="0" w:color="auto"/>
        <w:left w:val="none" w:sz="0" w:space="0" w:color="auto"/>
        <w:bottom w:val="none" w:sz="0" w:space="0" w:color="auto"/>
        <w:right w:val="none" w:sz="0" w:space="0" w:color="auto"/>
      </w:divBdr>
    </w:div>
    <w:div w:id="2052998903">
      <w:bodyDiv w:val="1"/>
      <w:marLeft w:val="0"/>
      <w:marRight w:val="0"/>
      <w:marTop w:val="0"/>
      <w:marBottom w:val="0"/>
      <w:divBdr>
        <w:top w:val="none" w:sz="0" w:space="0" w:color="auto"/>
        <w:left w:val="none" w:sz="0" w:space="0" w:color="auto"/>
        <w:bottom w:val="none" w:sz="0" w:space="0" w:color="auto"/>
        <w:right w:val="none" w:sz="0" w:space="0" w:color="auto"/>
      </w:divBdr>
      <w:divsChild>
        <w:div w:id="2054190210">
          <w:marLeft w:val="0"/>
          <w:marRight w:val="0"/>
          <w:marTop w:val="0"/>
          <w:marBottom w:val="0"/>
          <w:divBdr>
            <w:top w:val="none" w:sz="0" w:space="0" w:color="auto"/>
            <w:left w:val="none" w:sz="0" w:space="0" w:color="auto"/>
            <w:bottom w:val="none" w:sz="0" w:space="0" w:color="auto"/>
            <w:right w:val="none" w:sz="0" w:space="0" w:color="auto"/>
          </w:divBdr>
          <w:divsChild>
            <w:div w:id="110436621">
              <w:marLeft w:val="0"/>
              <w:marRight w:val="0"/>
              <w:marTop w:val="0"/>
              <w:marBottom w:val="0"/>
              <w:divBdr>
                <w:top w:val="none" w:sz="0" w:space="0" w:color="auto"/>
                <w:left w:val="none" w:sz="0" w:space="0" w:color="auto"/>
                <w:bottom w:val="none" w:sz="0" w:space="0" w:color="auto"/>
                <w:right w:val="none" w:sz="0" w:space="0" w:color="auto"/>
              </w:divBdr>
              <w:divsChild>
                <w:div w:id="330177561">
                  <w:marLeft w:val="0"/>
                  <w:marRight w:val="0"/>
                  <w:marTop w:val="0"/>
                  <w:marBottom w:val="0"/>
                  <w:divBdr>
                    <w:top w:val="none" w:sz="0" w:space="0" w:color="auto"/>
                    <w:left w:val="none" w:sz="0" w:space="0" w:color="auto"/>
                    <w:bottom w:val="none" w:sz="0" w:space="0" w:color="auto"/>
                    <w:right w:val="none" w:sz="0" w:space="0" w:color="auto"/>
                  </w:divBdr>
                  <w:divsChild>
                    <w:div w:id="1510871936">
                      <w:marLeft w:val="0"/>
                      <w:marRight w:val="0"/>
                      <w:marTop w:val="0"/>
                      <w:marBottom w:val="0"/>
                      <w:divBdr>
                        <w:top w:val="none" w:sz="0" w:space="0" w:color="auto"/>
                        <w:left w:val="none" w:sz="0" w:space="0" w:color="auto"/>
                        <w:bottom w:val="none" w:sz="0" w:space="0" w:color="auto"/>
                        <w:right w:val="none" w:sz="0" w:space="0" w:color="auto"/>
                      </w:divBdr>
                      <w:divsChild>
                        <w:div w:id="491067149">
                          <w:marLeft w:val="0"/>
                          <w:marRight w:val="0"/>
                          <w:marTop w:val="0"/>
                          <w:marBottom w:val="0"/>
                          <w:divBdr>
                            <w:top w:val="none" w:sz="0" w:space="0" w:color="auto"/>
                            <w:left w:val="none" w:sz="0" w:space="0" w:color="auto"/>
                            <w:bottom w:val="none" w:sz="0" w:space="0" w:color="auto"/>
                            <w:right w:val="none" w:sz="0" w:space="0" w:color="auto"/>
                          </w:divBdr>
                          <w:divsChild>
                            <w:div w:id="1351688031">
                              <w:marLeft w:val="0"/>
                              <w:marRight w:val="0"/>
                              <w:marTop w:val="0"/>
                              <w:marBottom w:val="0"/>
                              <w:divBdr>
                                <w:top w:val="none" w:sz="0" w:space="0" w:color="auto"/>
                                <w:left w:val="none" w:sz="0" w:space="0" w:color="auto"/>
                                <w:bottom w:val="none" w:sz="0" w:space="0" w:color="auto"/>
                                <w:right w:val="none" w:sz="0" w:space="0" w:color="auto"/>
                              </w:divBdr>
                              <w:divsChild>
                                <w:div w:id="56434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4466424">
          <w:marLeft w:val="0"/>
          <w:marRight w:val="0"/>
          <w:marTop w:val="0"/>
          <w:marBottom w:val="0"/>
          <w:divBdr>
            <w:top w:val="none" w:sz="0" w:space="0" w:color="auto"/>
            <w:left w:val="none" w:sz="0" w:space="0" w:color="auto"/>
            <w:bottom w:val="none" w:sz="0" w:space="0" w:color="auto"/>
            <w:right w:val="none" w:sz="0" w:space="0" w:color="auto"/>
          </w:divBdr>
          <w:divsChild>
            <w:div w:id="1079212617">
              <w:marLeft w:val="0"/>
              <w:marRight w:val="0"/>
              <w:marTop w:val="0"/>
              <w:marBottom w:val="0"/>
              <w:divBdr>
                <w:top w:val="none" w:sz="0" w:space="0" w:color="auto"/>
                <w:left w:val="none" w:sz="0" w:space="0" w:color="auto"/>
                <w:bottom w:val="none" w:sz="0" w:space="0" w:color="auto"/>
                <w:right w:val="none" w:sz="0" w:space="0" w:color="auto"/>
              </w:divBdr>
              <w:divsChild>
                <w:div w:id="1941595892">
                  <w:marLeft w:val="0"/>
                  <w:marRight w:val="0"/>
                  <w:marTop w:val="0"/>
                  <w:marBottom w:val="0"/>
                  <w:divBdr>
                    <w:top w:val="none" w:sz="0" w:space="0" w:color="auto"/>
                    <w:left w:val="none" w:sz="0" w:space="0" w:color="auto"/>
                    <w:bottom w:val="none" w:sz="0" w:space="0" w:color="auto"/>
                    <w:right w:val="none" w:sz="0" w:space="0" w:color="auto"/>
                  </w:divBdr>
                  <w:divsChild>
                    <w:div w:id="1023869865">
                      <w:marLeft w:val="0"/>
                      <w:marRight w:val="0"/>
                      <w:marTop w:val="0"/>
                      <w:marBottom w:val="0"/>
                      <w:divBdr>
                        <w:top w:val="none" w:sz="0" w:space="0" w:color="auto"/>
                        <w:left w:val="none" w:sz="0" w:space="0" w:color="auto"/>
                        <w:bottom w:val="none" w:sz="0" w:space="0" w:color="auto"/>
                        <w:right w:val="none" w:sz="0" w:space="0" w:color="auto"/>
                      </w:divBdr>
                      <w:divsChild>
                        <w:div w:id="657458405">
                          <w:marLeft w:val="0"/>
                          <w:marRight w:val="0"/>
                          <w:marTop w:val="0"/>
                          <w:marBottom w:val="0"/>
                          <w:divBdr>
                            <w:top w:val="none" w:sz="0" w:space="0" w:color="auto"/>
                            <w:left w:val="none" w:sz="0" w:space="0" w:color="auto"/>
                            <w:bottom w:val="none" w:sz="0" w:space="0" w:color="auto"/>
                            <w:right w:val="none" w:sz="0" w:space="0" w:color="auto"/>
                          </w:divBdr>
                          <w:divsChild>
                            <w:div w:id="42087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1584806">
      <w:bodyDiv w:val="1"/>
      <w:marLeft w:val="0"/>
      <w:marRight w:val="0"/>
      <w:marTop w:val="0"/>
      <w:marBottom w:val="0"/>
      <w:divBdr>
        <w:top w:val="none" w:sz="0" w:space="0" w:color="auto"/>
        <w:left w:val="none" w:sz="0" w:space="0" w:color="auto"/>
        <w:bottom w:val="none" w:sz="0" w:space="0" w:color="auto"/>
        <w:right w:val="none" w:sz="0" w:space="0" w:color="auto"/>
      </w:divBdr>
    </w:div>
    <w:div w:id="2114586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image" Target="media/image5.png"/><Relationship Id="rId39" Type="http://schemas.openxmlformats.org/officeDocument/2006/relationships/hyperlink" Target="https://www.internal-displacement.org/database/displacement-data/" TargetMode="External"/><Relationship Id="rId21" Type="http://schemas.openxmlformats.org/officeDocument/2006/relationships/chart" Target="charts/chart11.xml"/><Relationship Id="rId34" Type="http://schemas.openxmlformats.org/officeDocument/2006/relationships/hyperlink" Target="https://publications.iom.int/books/people-move-changing-climate-linking-policy-evidence-and-action" TargetMode="External"/><Relationship Id="rId42" Type="http://schemas.openxmlformats.org/officeDocument/2006/relationships/hyperlink" Target="https://www.migrationpolicy.org/programs/migration-information-source/special-issue-climate-change-and-migration"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chart" Target="charts/chart6.xml"/><Relationship Id="rId29" Type="http://schemas.openxmlformats.org/officeDocument/2006/relationships/hyperlink" Target="https://datawrapper.dwcdn.net/tBPxY/1/" TargetMode="External"/><Relationship Id="rId11" Type="http://schemas.openxmlformats.org/officeDocument/2006/relationships/chart" Target="charts/chart1.xml"/><Relationship Id="rId24" Type="http://schemas.openxmlformats.org/officeDocument/2006/relationships/chart" Target="charts/chart14.xml"/><Relationship Id="rId32" Type="http://schemas.openxmlformats.org/officeDocument/2006/relationships/hyperlink" Target="https://datawrapper.dwcdn.net/NCEuP/3" TargetMode="External"/><Relationship Id="rId37" Type="http://schemas.openxmlformats.org/officeDocument/2006/relationships/hyperlink" Target="https://en-roads.climateinteractive.org/scenario.html?v=25.1.0&amp;p1=75&amp;p16=-0.04&amp;p50=1.4" TargetMode="External"/><Relationship Id="rId40" Type="http://schemas.openxmlformats.org/officeDocument/2006/relationships/hyperlink" Target="https://story.internal-displacement.org/estimating-displacement-risk-using-data-driven-approaches-flood-and-drought-displacement-risk-in-the-horn-of-africa/?utm_source=chatgpt.com" TargetMode="External"/><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chart" Target="charts/chart5.xml"/><Relationship Id="rId23" Type="http://schemas.openxmlformats.org/officeDocument/2006/relationships/chart" Target="charts/chart13.xml"/><Relationship Id="rId28" Type="http://schemas.openxmlformats.org/officeDocument/2006/relationships/image" Target="media/image6.png"/><Relationship Id="rId36" Type="http://schemas.openxmlformats.org/officeDocument/2006/relationships/hyperlink" Target="https://energy.ec.europa.eu/topics/markets-and-consumers/energy-consumers-and-prosumers/energy-poverty_en" TargetMode="External"/><Relationship Id="rId49" Type="http://schemas.openxmlformats.org/officeDocument/2006/relationships/header" Target="header3.xml"/><Relationship Id="rId10" Type="http://schemas.openxmlformats.org/officeDocument/2006/relationships/hyperlink" Target="https://www.datawrapper.de/?utm_source=chatgpt.com" TargetMode="External"/><Relationship Id="rId19" Type="http://schemas.openxmlformats.org/officeDocument/2006/relationships/chart" Target="charts/chart9.xml"/><Relationship Id="rId31" Type="http://schemas.openxmlformats.org/officeDocument/2006/relationships/image" Target="media/image8.png"/><Relationship Id="rId44" Type="http://schemas.openxmlformats.org/officeDocument/2006/relationships/hyperlink" Target="https://doi.org/10.1029/2021EF002283"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chart" Target="charts/chart4.xml"/><Relationship Id="rId22" Type="http://schemas.openxmlformats.org/officeDocument/2006/relationships/chart" Target="charts/chart12.xml"/><Relationship Id="rId27" Type="http://schemas.openxmlformats.org/officeDocument/2006/relationships/hyperlink" Target="https://www.datawrapper.de/?utm_source=chatgpt.com" TargetMode="External"/><Relationship Id="rId30" Type="http://schemas.openxmlformats.org/officeDocument/2006/relationships/image" Target="media/image7.png"/><Relationship Id="rId35" Type="http://schemas.openxmlformats.org/officeDocument/2006/relationships/hyperlink" Target="https://climatereanalyzer.org/clim/sst_daily/?dm_id=world2" TargetMode="External"/><Relationship Id="rId43" Type="http://schemas.openxmlformats.org/officeDocument/2006/relationships/hyperlink" Target="https://mpichangingclimatechangingmigration.podbean.com/?utm_source=chatgpt.com" TargetMode="External"/><Relationship Id="rId48" Type="http://schemas.openxmlformats.org/officeDocument/2006/relationships/footer" Target="footer2.xml"/><Relationship Id="rId8" Type="http://schemas.openxmlformats.org/officeDocument/2006/relationships/image" Target="media/image2.jpeg"/><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image" Target="media/image4.png"/><Relationship Id="rId33" Type="http://schemas.openxmlformats.org/officeDocument/2006/relationships/hyperlink" Target="https://www.nature.com/articles/s44168-024-00133-1?fromPaywallRec=false" TargetMode="External"/><Relationship Id="rId38" Type="http://schemas.openxmlformats.org/officeDocument/2006/relationships/hyperlink" Target="https://www.migrationpolicy.org/article/climate-migration-101-explainer" TargetMode="External"/><Relationship Id="rId46" Type="http://schemas.openxmlformats.org/officeDocument/2006/relationships/header" Target="header2.xml"/><Relationship Id="rId20" Type="http://schemas.openxmlformats.org/officeDocument/2006/relationships/chart" Target="charts/chart10.xml"/><Relationship Id="rId41" Type="http://schemas.openxmlformats.org/officeDocument/2006/relationships/hyperlink" Target="https://www.migrationdataportal.org/themes/environmental_migration_and_statistics_old" TargetMode="External"/><Relationship Id="rId1" Type="http://schemas.openxmlformats.org/officeDocument/2006/relationships/numbering" Target="numbering.xml"/><Relationship Id="rId6" Type="http://schemas.openxmlformats.org/officeDocument/2006/relationships/endnotes" Target="endnotes.xml"/></Relationships>
</file>

<file path=word/charts/_rels/chart1.xml.rels><?xml version="1.0" encoding="UTF-8" standalone="yes"?>
<Relationships xmlns="http://schemas.openxmlformats.org/package/2006/relationships"><Relationship Id="rId3" Type="http://schemas.openxmlformats.org/officeDocument/2006/relationships/oleObject" Target="about:blank"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elka\Desktop\CLIMATE\4.%20Climate%20Migration\Figures.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elka\Desktop\CLIMATE\4.%20Climate%20Migration\Figures.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elka\Desktop\CLIMATE\4.%20Climate%20Migration\Figures.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elka\Desktop\CLIMATE\4.%20Climate%20Migration\Figures.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C:\Users\elka\Desktop\CLIMATE\4.%20Climate%20Migration\Figures.xlsx" TargetMode="External"/><Relationship Id="rId2" Type="http://schemas.microsoft.com/office/2011/relationships/chartColorStyle" Target="colors14.xml"/><Relationship Id="rId1" Type="http://schemas.microsoft.com/office/2011/relationships/chartStyle" Target="style14.xml"/></Relationships>
</file>

<file path=word/charts/_rels/chart2.xml.rels><?xml version="1.0" encoding="UTF-8" standalone="yes"?>
<Relationships xmlns="http://schemas.openxmlformats.org/package/2006/relationships"><Relationship Id="rId3" Type="http://schemas.openxmlformats.org/officeDocument/2006/relationships/oleObject" Target="about:blank"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about:blank"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elka\Desktop\CLIMATE\4.%20Climate%20Migration\Figure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elka\Desktop\CLIMATE\4.%20Climate%20Migration\Figures.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elka\Desktop\CLIMATE\4.%20Climate%20Migration\Figures.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elka\Desktop\CLIMATE\4.%20Climate%20Migration\Figures.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cat>
            <c:numRef>
              <c:f>Hoja1!$A$1:$A$10</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Hoja1!$B$1:$B$10</c:f>
              <c:numCache>
                <c:formatCode>General</c:formatCode>
                <c:ptCount val="10"/>
                <c:pt idx="0">
                  <c:v>19.100000000000001</c:v>
                </c:pt>
                <c:pt idx="1">
                  <c:v>19.2</c:v>
                </c:pt>
                <c:pt idx="2">
                  <c:v>24.4</c:v>
                </c:pt>
                <c:pt idx="3">
                  <c:v>18.7</c:v>
                </c:pt>
                <c:pt idx="4">
                  <c:v>17.5</c:v>
                </c:pt>
                <c:pt idx="5">
                  <c:v>25.3</c:v>
                </c:pt>
                <c:pt idx="6">
                  <c:v>31</c:v>
                </c:pt>
                <c:pt idx="7">
                  <c:v>23.7</c:v>
                </c:pt>
                <c:pt idx="8">
                  <c:v>32.5</c:v>
                </c:pt>
                <c:pt idx="9">
                  <c:v>26.4</c:v>
                </c:pt>
              </c:numCache>
            </c:numRef>
          </c:val>
          <c:smooth val="0"/>
          <c:extLst xmlns:c16r2="http://schemas.microsoft.com/office/drawing/2015/06/chart">
            <c:ext xmlns:c16="http://schemas.microsoft.com/office/drawing/2014/chart" uri="{C3380CC4-5D6E-409C-BE32-E72D297353CC}">
              <c16:uniqueId val="{00000000-44C0-439B-BAAE-04F0FC1EF569}"/>
            </c:ext>
          </c:extLst>
        </c:ser>
        <c:dLbls>
          <c:showLegendKey val="0"/>
          <c:showVal val="0"/>
          <c:showCatName val="0"/>
          <c:showSerName val="0"/>
          <c:showPercent val="0"/>
          <c:showBubbleSize val="0"/>
        </c:dLbls>
        <c:smooth val="0"/>
        <c:axId val="1471686304"/>
        <c:axId val="1471693920"/>
      </c:lineChart>
      <c:catAx>
        <c:axId val="1471686304"/>
        <c:scaling>
          <c:orientation val="minMax"/>
        </c:scaling>
        <c:delete val="0"/>
        <c:axPos val="b"/>
        <c:title>
          <c:tx>
            <c:rich>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r>
                  <a:rPr lang="en-GB" sz="1050" b="0">
                    <a:latin typeface="Times New Roman" panose="02020603050405020304" pitchFamily="18" charset="0"/>
                    <a:cs typeface="Times New Roman" panose="02020603050405020304" pitchFamily="18" charset="0"/>
                  </a:rPr>
                  <a:t>Year</a:t>
                </a:r>
              </a:p>
            </c:rich>
          </c:tx>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471693920"/>
        <c:crosses val="autoZero"/>
        <c:auto val="1"/>
        <c:lblAlgn val="ctr"/>
        <c:lblOffset val="100"/>
        <c:noMultiLvlLbl val="0"/>
      </c:catAx>
      <c:valAx>
        <c:axId val="14716939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r>
                  <a:rPr lang="en-GB" sz="1050" b="0">
                    <a:latin typeface="Times New Roman" panose="02020603050405020304" pitchFamily="18" charset="0"/>
                    <a:cs typeface="Times New Roman" panose="02020603050405020304" pitchFamily="18" charset="0"/>
                  </a:rPr>
                  <a:t>Millions</a:t>
                </a:r>
                <a:r>
                  <a:rPr lang="en-GB" sz="1050" b="0" baseline="0">
                    <a:latin typeface="Times New Roman" panose="02020603050405020304" pitchFamily="18" charset="0"/>
                    <a:cs typeface="Times New Roman" panose="02020603050405020304" pitchFamily="18" charset="0"/>
                  </a:rPr>
                  <a:t> of IDPs</a:t>
                </a:r>
                <a:endParaRPr lang="en-GB" sz="1050" b="0">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716863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solidFill>
                  <a:sysClr val="windowText" lastClr="000000"/>
                </a:solidFill>
              </a:rPr>
              <a:t>Disasters</a:t>
            </a:r>
            <a:r>
              <a:rPr lang="en-GB" baseline="0">
                <a:solidFill>
                  <a:sysClr val="windowText" lastClr="000000"/>
                </a:solidFill>
              </a:rPr>
              <a:t> Afghanistan</a:t>
            </a:r>
            <a:endParaRPr lang="en-GB">
              <a:solidFill>
                <a:sysClr val="windowText" lastClr="000000"/>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cat>
            <c:numRef>
              <c:f>Hoja1!$A$97:$A$113</c:f>
              <c:numCache>
                <c:formatCode>General</c:formatCode>
                <c:ptCount val="17"/>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numCache>
            </c:numRef>
          </c:cat>
          <c:val>
            <c:numRef>
              <c:f>Hoja1!$B$97:$B$113</c:f>
              <c:numCache>
                <c:formatCode>General</c:formatCode>
                <c:ptCount val="17"/>
                <c:pt idx="0">
                  <c:v>0</c:v>
                </c:pt>
                <c:pt idx="1">
                  <c:v>28</c:v>
                </c:pt>
                <c:pt idx="2">
                  <c:v>71</c:v>
                </c:pt>
                <c:pt idx="3">
                  <c:v>0</c:v>
                </c:pt>
                <c:pt idx="4">
                  <c:v>30</c:v>
                </c:pt>
                <c:pt idx="5">
                  <c:v>15</c:v>
                </c:pt>
                <c:pt idx="6">
                  <c:v>13</c:v>
                </c:pt>
                <c:pt idx="7">
                  <c:v>71</c:v>
                </c:pt>
                <c:pt idx="8">
                  <c:v>7.4</c:v>
                </c:pt>
                <c:pt idx="9">
                  <c:v>27</c:v>
                </c:pt>
                <c:pt idx="10">
                  <c:v>435</c:v>
                </c:pt>
                <c:pt idx="11">
                  <c:v>117</c:v>
                </c:pt>
                <c:pt idx="12">
                  <c:v>49</c:v>
                </c:pt>
                <c:pt idx="13">
                  <c:v>25</c:v>
                </c:pt>
                <c:pt idx="14">
                  <c:v>220</c:v>
                </c:pt>
                <c:pt idx="15">
                  <c:v>418</c:v>
                </c:pt>
                <c:pt idx="16">
                  <c:v>1000</c:v>
                </c:pt>
              </c:numCache>
            </c:numRef>
          </c:val>
          <c:extLst xmlns:c16r2="http://schemas.microsoft.com/office/drawing/2015/06/chart">
            <c:ext xmlns:c16="http://schemas.microsoft.com/office/drawing/2014/chart" uri="{C3380CC4-5D6E-409C-BE32-E72D297353CC}">
              <c16:uniqueId val="{00000000-C559-4B53-BF8A-C9514ACED219}"/>
            </c:ext>
          </c:extLst>
        </c:ser>
        <c:dLbls>
          <c:showLegendKey val="0"/>
          <c:showVal val="0"/>
          <c:showCatName val="0"/>
          <c:showSerName val="0"/>
          <c:showPercent val="0"/>
          <c:showBubbleSize val="0"/>
        </c:dLbls>
        <c:gapWidth val="219"/>
        <c:overlap val="-27"/>
        <c:axId val="1471687936"/>
        <c:axId val="1471688480"/>
      </c:barChart>
      <c:catAx>
        <c:axId val="14716879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71688480"/>
        <c:crosses val="autoZero"/>
        <c:auto val="1"/>
        <c:lblAlgn val="ctr"/>
        <c:lblOffset val="100"/>
        <c:noMultiLvlLbl val="0"/>
      </c:catAx>
      <c:valAx>
        <c:axId val="14716884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716879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solidFill>
                  <a:sysClr val="windowText" lastClr="000000"/>
                </a:solidFill>
              </a:rPr>
              <a:t>Disasters</a:t>
            </a:r>
            <a:r>
              <a:rPr lang="en-GB" baseline="0">
                <a:solidFill>
                  <a:sysClr val="windowText" lastClr="000000"/>
                </a:solidFill>
              </a:rPr>
              <a:t> Philippines</a:t>
            </a:r>
            <a:endParaRPr lang="en-GB">
              <a:solidFill>
                <a:sysClr val="windowText" lastClr="000000"/>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cat>
            <c:numRef>
              <c:f>Hoja1!$A$117:$A$133</c:f>
              <c:numCache>
                <c:formatCode>General</c:formatCode>
                <c:ptCount val="17"/>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numCache>
            </c:numRef>
          </c:cat>
          <c:val>
            <c:numRef>
              <c:f>Hoja1!$B$117:$B$133</c:f>
              <c:numCache>
                <c:formatCode>General</c:formatCode>
                <c:ptCount val="17"/>
                <c:pt idx="0">
                  <c:v>2.8</c:v>
                </c:pt>
                <c:pt idx="1">
                  <c:v>2.1</c:v>
                </c:pt>
                <c:pt idx="2">
                  <c:v>1</c:v>
                </c:pt>
                <c:pt idx="3">
                  <c:v>2.5</c:v>
                </c:pt>
                <c:pt idx="4">
                  <c:v>3.9</c:v>
                </c:pt>
                <c:pt idx="5">
                  <c:v>7</c:v>
                </c:pt>
                <c:pt idx="6">
                  <c:v>5.8</c:v>
                </c:pt>
                <c:pt idx="7">
                  <c:v>2.2000000000000002</c:v>
                </c:pt>
                <c:pt idx="8">
                  <c:v>5.9</c:v>
                </c:pt>
                <c:pt idx="9">
                  <c:v>2.5</c:v>
                </c:pt>
                <c:pt idx="10">
                  <c:v>3.8</c:v>
                </c:pt>
                <c:pt idx="11">
                  <c:v>4.5</c:v>
                </c:pt>
                <c:pt idx="12">
                  <c:v>4.5</c:v>
                </c:pt>
                <c:pt idx="13">
                  <c:v>5.7</c:v>
                </c:pt>
                <c:pt idx="14">
                  <c:v>5.5</c:v>
                </c:pt>
                <c:pt idx="15">
                  <c:v>2.6</c:v>
                </c:pt>
                <c:pt idx="16">
                  <c:v>9</c:v>
                </c:pt>
              </c:numCache>
            </c:numRef>
          </c:val>
          <c:extLst xmlns:c16r2="http://schemas.microsoft.com/office/drawing/2015/06/chart">
            <c:ext xmlns:c16="http://schemas.microsoft.com/office/drawing/2014/chart" uri="{C3380CC4-5D6E-409C-BE32-E72D297353CC}">
              <c16:uniqueId val="{00000000-DEA2-4E59-8646-FB199D2A6498}"/>
            </c:ext>
          </c:extLst>
        </c:ser>
        <c:dLbls>
          <c:showLegendKey val="0"/>
          <c:showVal val="0"/>
          <c:showCatName val="0"/>
          <c:showSerName val="0"/>
          <c:showPercent val="0"/>
          <c:showBubbleSize val="0"/>
        </c:dLbls>
        <c:gapWidth val="219"/>
        <c:overlap val="-27"/>
        <c:axId val="1471690112"/>
        <c:axId val="1471690656"/>
      </c:barChart>
      <c:catAx>
        <c:axId val="1471690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71690656"/>
        <c:crosses val="autoZero"/>
        <c:auto val="1"/>
        <c:lblAlgn val="ctr"/>
        <c:lblOffset val="100"/>
        <c:noMultiLvlLbl val="0"/>
      </c:catAx>
      <c:valAx>
        <c:axId val="14716906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716901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solidFill>
                  <a:sysClr val="windowText" lastClr="000000"/>
                </a:solidFill>
              </a:rPr>
              <a:t>Disasters</a:t>
            </a:r>
            <a:r>
              <a:rPr lang="en-GB" baseline="0">
                <a:solidFill>
                  <a:sysClr val="windowText" lastClr="000000"/>
                </a:solidFill>
              </a:rPr>
              <a:t> Sudan</a:t>
            </a:r>
            <a:endParaRPr lang="en-GB">
              <a:solidFill>
                <a:sysClr val="windowText" lastClr="000000"/>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2"/>
            </a:solidFill>
            <a:ln>
              <a:noFill/>
            </a:ln>
            <a:effectLst/>
          </c:spPr>
          <c:invertIfNegative val="0"/>
          <c:cat>
            <c:numRef>
              <c:f>Hoja1!$A$136:$A$152</c:f>
              <c:numCache>
                <c:formatCode>General</c:formatCode>
                <c:ptCount val="17"/>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numCache>
            </c:numRef>
          </c:cat>
          <c:val>
            <c:numRef>
              <c:f>Hoja1!$B$136:$B$152</c:f>
              <c:numCache>
                <c:formatCode>General</c:formatCode>
                <c:ptCount val="17"/>
                <c:pt idx="0">
                  <c:v>46</c:v>
                </c:pt>
                <c:pt idx="1">
                  <c:v>80</c:v>
                </c:pt>
                <c:pt idx="2">
                  <c:v>20</c:v>
                </c:pt>
                <c:pt idx="3">
                  <c:v>19</c:v>
                </c:pt>
                <c:pt idx="4">
                  <c:v>84</c:v>
                </c:pt>
                <c:pt idx="5">
                  <c:v>284</c:v>
                </c:pt>
                <c:pt idx="6">
                  <c:v>187</c:v>
                </c:pt>
                <c:pt idx="7">
                  <c:v>8.3000000000000007</c:v>
                </c:pt>
                <c:pt idx="8">
                  <c:v>123</c:v>
                </c:pt>
                <c:pt idx="9">
                  <c:v>54</c:v>
                </c:pt>
                <c:pt idx="10">
                  <c:v>121</c:v>
                </c:pt>
                <c:pt idx="11">
                  <c:v>272</c:v>
                </c:pt>
                <c:pt idx="12">
                  <c:v>454</c:v>
                </c:pt>
                <c:pt idx="13">
                  <c:v>99</c:v>
                </c:pt>
                <c:pt idx="14">
                  <c:v>105</c:v>
                </c:pt>
                <c:pt idx="15">
                  <c:v>58</c:v>
                </c:pt>
                <c:pt idx="16">
                  <c:v>200</c:v>
                </c:pt>
              </c:numCache>
            </c:numRef>
          </c:val>
          <c:extLst xmlns:c16r2="http://schemas.microsoft.com/office/drawing/2015/06/chart">
            <c:ext xmlns:c16="http://schemas.microsoft.com/office/drawing/2014/chart" uri="{C3380CC4-5D6E-409C-BE32-E72D297353CC}">
              <c16:uniqueId val="{00000000-EDC6-4C19-9D3D-2F159063AE05}"/>
            </c:ext>
          </c:extLst>
        </c:ser>
        <c:dLbls>
          <c:showLegendKey val="0"/>
          <c:showVal val="0"/>
          <c:showCatName val="0"/>
          <c:showSerName val="0"/>
          <c:showPercent val="0"/>
          <c:showBubbleSize val="0"/>
        </c:dLbls>
        <c:gapWidth val="219"/>
        <c:overlap val="-27"/>
        <c:axId val="1265285952"/>
        <c:axId val="1265295200"/>
      </c:barChart>
      <c:catAx>
        <c:axId val="12652859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65295200"/>
        <c:crosses val="autoZero"/>
        <c:auto val="1"/>
        <c:lblAlgn val="ctr"/>
        <c:lblOffset val="100"/>
        <c:noMultiLvlLbl val="0"/>
      </c:catAx>
      <c:valAx>
        <c:axId val="12652952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652859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solidFill>
                  <a:sysClr val="windowText" lastClr="000000"/>
                </a:solidFill>
              </a:rPr>
              <a:t>Disasters</a:t>
            </a:r>
            <a:r>
              <a:rPr lang="en-GB" baseline="0">
                <a:solidFill>
                  <a:sysClr val="windowText" lastClr="000000"/>
                </a:solidFill>
              </a:rPr>
              <a:t> Brazil</a:t>
            </a:r>
            <a:endParaRPr lang="en-GB">
              <a:solidFill>
                <a:sysClr val="windowText" lastClr="000000"/>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cat>
            <c:numRef>
              <c:f>Hoja1!$A$156:$A$172</c:f>
              <c:numCache>
                <c:formatCode>General</c:formatCode>
                <c:ptCount val="17"/>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numCache>
            </c:numRef>
          </c:cat>
          <c:val>
            <c:numRef>
              <c:f>Hoja1!$B$156:$B$172</c:f>
              <c:numCache>
                <c:formatCode>General</c:formatCode>
                <c:ptCount val="17"/>
                <c:pt idx="0">
                  <c:v>309</c:v>
                </c:pt>
                <c:pt idx="1">
                  <c:v>523</c:v>
                </c:pt>
                <c:pt idx="2">
                  <c:v>230</c:v>
                </c:pt>
                <c:pt idx="3">
                  <c:v>170</c:v>
                </c:pt>
                <c:pt idx="4">
                  <c:v>35</c:v>
                </c:pt>
                <c:pt idx="5">
                  <c:v>82</c:v>
                </c:pt>
                <c:pt idx="6">
                  <c:v>150</c:v>
                </c:pt>
                <c:pt idx="7">
                  <c:v>59</c:v>
                </c:pt>
                <c:pt idx="8">
                  <c:v>14</c:v>
                </c:pt>
                <c:pt idx="9">
                  <c:v>71</c:v>
                </c:pt>
                <c:pt idx="10">
                  <c:v>86</c:v>
                </c:pt>
                <c:pt idx="11">
                  <c:v>293</c:v>
                </c:pt>
                <c:pt idx="12">
                  <c:v>358</c:v>
                </c:pt>
                <c:pt idx="13">
                  <c:v>449</c:v>
                </c:pt>
                <c:pt idx="14">
                  <c:v>708</c:v>
                </c:pt>
                <c:pt idx="15">
                  <c:v>745</c:v>
                </c:pt>
                <c:pt idx="16">
                  <c:v>1100</c:v>
                </c:pt>
              </c:numCache>
            </c:numRef>
          </c:val>
          <c:extLst xmlns:c16r2="http://schemas.microsoft.com/office/drawing/2015/06/chart">
            <c:ext xmlns:c16="http://schemas.microsoft.com/office/drawing/2014/chart" uri="{C3380CC4-5D6E-409C-BE32-E72D297353CC}">
              <c16:uniqueId val="{00000000-5F5C-4CE0-86F8-5F40DDAFDB0A}"/>
            </c:ext>
          </c:extLst>
        </c:ser>
        <c:dLbls>
          <c:showLegendKey val="0"/>
          <c:showVal val="0"/>
          <c:showCatName val="0"/>
          <c:showSerName val="0"/>
          <c:showPercent val="0"/>
          <c:showBubbleSize val="0"/>
        </c:dLbls>
        <c:gapWidth val="219"/>
        <c:overlap val="-27"/>
        <c:axId val="1265294656"/>
        <c:axId val="1265281600"/>
      </c:barChart>
      <c:catAx>
        <c:axId val="12652946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65281600"/>
        <c:crosses val="autoZero"/>
        <c:auto val="1"/>
        <c:lblAlgn val="ctr"/>
        <c:lblOffset val="100"/>
        <c:noMultiLvlLbl val="0"/>
      </c:catAx>
      <c:valAx>
        <c:axId val="12652816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652946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Hoja1!$B$175</c:f>
              <c:strCache>
                <c:ptCount val="1"/>
                <c:pt idx="0">
                  <c:v>current</c:v>
                </c:pt>
              </c:strCache>
            </c:strRef>
          </c:tx>
          <c:spPr>
            <a:ln w="28575" cap="rnd">
              <a:solidFill>
                <a:schemeClr val="accent1"/>
              </a:solidFill>
              <a:round/>
            </a:ln>
            <a:effectLst/>
          </c:spPr>
          <c:marker>
            <c:symbol val="none"/>
          </c:marker>
          <c:cat>
            <c:numRef>
              <c:f>Hoja1!$A$176:$A$181</c:f>
              <c:numCache>
                <c:formatCode>General</c:formatCode>
                <c:ptCount val="6"/>
                <c:pt idx="0">
                  <c:v>2000</c:v>
                </c:pt>
                <c:pt idx="1">
                  <c:v>2020</c:v>
                </c:pt>
                <c:pt idx="2">
                  <c:v>2040</c:v>
                </c:pt>
                <c:pt idx="3">
                  <c:v>2060</c:v>
                </c:pt>
                <c:pt idx="4">
                  <c:v>2080</c:v>
                </c:pt>
                <c:pt idx="5">
                  <c:v>2100</c:v>
                </c:pt>
              </c:numCache>
            </c:numRef>
          </c:cat>
          <c:val>
            <c:numRef>
              <c:f>Hoja1!$B$176:$B$181</c:f>
              <c:numCache>
                <c:formatCode>General</c:formatCode>
                <c:ptCount val="6"/>
                <c:pt idx="0">
                  <c:v>5.2</c:v>
                </c:pt>
                <c:pt idx="1">
                  <c:v>7.8</c:v>
                </c:pt>
                <c:pt idx="2">
                  <c:v>10</c:v>
                </c:pt>
                <c:pt idx="3">
                  <c:v>12.5</c:v>
                </c:pt>
                <c:pt idx="4">
                  <c:v>14</c:v>
                </c:pt>
                <c:pt idx="5">
                  <c:v>16.5</c:v>
                </c:pt>
              </c:numCache>
            </c:numRef>
          </c:val>
          <c:smooth val="0"/>
          <c:extLst xmlns:c16r2="http://schemas.microsoft.com/office/drawing/2015/06/chart">
            <c:ext xmlns:c16="http://schemas.microsoft.com/office/drawing/2014/chart" uri="{C3380CC4-5D6E-409C-BE32-E72D297353CC}">
              <c16:uniqueId val="{00000000-2E71-40B4-9DEC-B90AE99E2AEC}"/>
            </c:ext>
          </c:extLst>
        </c:ser>
        <c:ser>
          <c:idx val="1"/>
          <c:order val="1"/>
          <c:tx>
            <c:strRef>
              <c:f>Hoja1!$C$175</c:f>
              <c:strCache>
                <c:ptCount val="1"/>
                <c:pt idx="0">
                  <c:v>baseline</c:v>
                </c:pt>
              </c:strCache>
            </c:strRef>
          </c:tx>
          <c:spPr>
            <a:ln w="28575" cap="rnd">
              <a:solidFill>
                <a:schemeClr val="accent2"/>
              </a:solidFill>
              <a:round/>
            </a:ln>
            <a:effectLst/>
          </c:spPr>
          <c:marker>
            <c:symbol val="none"/>
          </c:marker>
          <c:cat>
            <c:numRef>
              <c:f>Hoja1!$A$176:$A$181</c:f>
              <c:numCache>
                <c:formatCode>General</c:formatCode>
                <c:ptCount val="6"/>
                <c:pt idx="0">
                  <c:v>2000</c:v>
                </c:pt>
                <c:pt idx="1">
                  <c:v>2020</c:v>
                </c:pt>
                <c:pt idx="2">
                  <c:v>2040</c:v>
                </c:pt>
                <c:pt idx="3">
                  <c:v>2060</c:v>
                </c:pt>
                <c:pt idx="4">
                  <c:v>2080</c:v>
                </c:pt>
                <c:pt idx="5">
                  <c:v>2100</c:v>
                </c:pt>
              </c:numCache>
            </c:numRef>
          </c:cat>
          <c:val>
            <c:numRef>
              <c:f>Hoja1!$C$176:$C$181</c:f>
              <c:numCache>
                <c:formatCode>General</c:formatCode>
                <c:ptCount val="6"/>
                <c:pt idx="0">
                  <c:v>5.2</c:v>
                </c:pt>
                <c:pt idx="1">
                  <c:v>7.8</c:v>
                </c:pt>
                <c:pt idx="2">
                  <c:v>10.5</c:v>
                </c:pt>
                <c:pt idx="3">
                  <c:v>14.5</c:v>
                </c:pt>
                <c:pt idx="4">
                  <c:v>19</c:v>
                </c:pt>
                <c:pt idx="5">
                  <c:v>26</c:v>
                </c:pt>
              </c:numCache>
            </c:numRef>
          </c:val>
          <c:smooth val="0"/>
          <c:extLst xmlns:c16r2="http://schemas.microsoft.com/office/drawing/2015/06/chart">
            <c:ext xmlns:c16="http://schemas.microsoft.com/office/drawing/2014/chart" uri="{C3380CC4-5D6E-409C-BE32-E72D297353CC}">
              <c16:uniqueId val="{00000001-2E71-40B4-9DEC-B90AE99E2AEC}"/>
            </c:ext>
          </c:extLst>
        </c:ser>
        <c:dLbls>
          <c:showLegendKey val="0"/>
          <c:showVal val="0"/>
          <c:showCatName val="0"/>
          <c:showSerName val="0"/>
          <c:showPercent val="0"/>
          <c:showBubbleSize val="0"/>
        </c:dLbls>
        <c:smooth val="0"/>
        <c:axId val="1265289216"/>
        <c:axId val="1265289760"/>
      </c:lineChart>
      <c:catAx>
        <c:axId val="12652892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65289760"/>
        <c:crosses val="autoZero"/>
        <c:auto val="1"/>
        <c:lblAlgn val="ctr"/>
        <c:lblOffset val="100"/>
        <c:noMultiLvlLbl val="0"/>
      </c:catAx>
      <c:valAx>
        <c:axId val="12652897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652892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Hoja1!$B$31</c:f>
              <c:strCache>
                <c:ptCount val="1"/>
                <c:pt idx="0">
                  <c:v>Africa</c:v>
                </c:pt>
              </c:strCache>
            </c:strRef>
          </c:tx>
          <c:spPr>
            <a:ln w="28575" cap="rnd">
              <a:solidFill>
                <a:schemeClr val="accent1"/>
              </a:solidFill>
              <a:round/>
            </a:ln>
            <a:effectLst/>
          </c:spPr>
          <c:marker>
            <c:symbol val="none"/>
          </c:marker>
          <c:cat>
            <c:numRef>
              <c:f>Hoja1!$A$32:$A$41</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Hoja1!$B$32:$B$41</c:f>
              <c:numCache>
                <c:formatCode>General</c:formatCode>
                <c:ptCount val="10"/>
                <c:pt idx="0">
                  <c:v>1</c:v>
                </c:pt>
                <c:pt idx="1">
                  <c:v>1</c:v>
                </c:pt>
                <c:pt idx="2">
                  <c:v>1</c:v>
                </c:pt>
                <c:pt idx="3">
                  <c:v>3.5</c:v>
                </c:pt>
                <c:pt idx="4">
                  <c:v>3.5</c:v>
                </c:pt>
                <c:pt idx="5">
                  <c:v>3.5</c:v>
                </c:pt>
                <c:pt idx="6">
                  <c:v>4</c:v>
                </c:pt>
                <c:pt idx="7">
                  <c:v>3.5</c:v>
                </c:pt>
                <c:pt idx="8">
                  <c:v>7</c:v>
                </c:pt>
                <c:pt idx="9">
                  <c:v>6</c:v>
                </c:pt>
              </c:numCache>
            </c:numRef>
          </c:val>
          <c:smooth val="0"/>
          <c:extLst xmlns:c16r2="http://schemas.microsoft.com/office/drawing/2015/06/chart">
            <c:ext xmlns:c16="http://schemas.microsoft.com/office/drawing/2014/chart" uri="{C3380CC4-5D6E-409C-BE32-E72D297353CC}">
              <c16:uniqueId val="{00000000-8B1E-4C6C-8260-DC9C4AC793F7}"/>
            </c:ext>
          </c:extLst>
        </c:ser>
        <c:ser>
          <c:idx val="1"/>
          <c:order val="1"/>
          <c:tx>
            <c:strRef>
              <c:f>Hoja1!$C$31</c:f>
              <c:strCache>
                <c:ptCount val="1"/>
                <c:pt idx="0">
                  <c:v>Americas</c:v>
                </c:pt>
              </c:strCache>
            </c:strRef>
          </c:tx>
          <c:spPr>
            <a:ln w="28575" cap="rnd">
              <a:solidFill>
                <a:schemeClr val="accent2"/>
              </a:solidFill>
              <a:round/>
            </a:ln>
            <a:effectLst/>
          </c:spPr>
          <c:marker>
            <c:symbol val="none"/>
          </c:marker>
          <c:cat>
            <c:numRef>
              <c:f>Hoja1!$A$32:$A$41</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Hoja1!$C$32:$C$41</c:f>
              <c:numCache>
                <c:formatCode>General</c:formatCode>
                <c:ptCount val="10"/>
                <c:pt idx="0">
                  <c:v>2.5</c:v>
                </c:pt>
                <c:pt idx="1">
                  <c:v>2.7</c:v>
                </c:pt>
                <c:pt idx="2">
                  <c:v>3</c:v>
                </c:pt>
                <c:pt idx="3">
                  <c:v>4</c:v>
                </c:pt>
                <c:pt idx="4">
                  <c:v>2.5</c:v>
                </c:pt>
                <c:pt idx="5">
                  <c:v>2.5</c:v>
                </c:pt>
                <c:pt idx="6">
                  <c:v>5</c:v>
                </c:pt>
                <c:pt idx="7">
                  <c:v>2.5</c:v>
                </c:pt>
                <c:pt idx="8">
                  <c:v>2.5</c:v>
                </c:pt>
                <c:pt idx="9">
                  <c:v>2.5</c:v>
                </c:pt>
              </c:numCache>
            </c:numRef>
          </c:val>
          <c:smooth val="0"/>
          <c:extLst xmlns:c16r2="http://schemas.microsoft.com/office/drawing/2015/06/chart">
            <c:ext xmlns:c16="http://schemas.microsoft.com/office/drawing/2014/chart" uri="{C3380CC4-5D6E-409C-BE32-E72D297353CC}">
              <c16:uniqueId val="{00000001-8B1E-4C6C-8260-DC9C4AC793F7}"/>
            </c:ext>
          </c:extLst>
        </c:ser>
        <c:ser>
          <c:idx val="2"/>
          <c:order val="2"/>
          <c:tx>
            <c:strRef>
              <c:f>Hoja1!$D$31</c:f>
              <c:strCache>
                <c:ptCount val="1"/>
                <c:pt idx="0">
                  <c:v>Asia</c:v>
                </c:pt>
              </c:strCache>
            </c:strRef>
          </c:tx>
          <c:spPr>
            <a:ln w="28575" cap="rnd">
              <a:solidFill>
                <a:schemeClr val="accent3"/>
              </a:solidFill>
              <a:round/>
            </a:ln>
            <a:effectLst/>
          </c:spPr>
          <c:marker>
            <c:symbol val="none"/>
          </c:marker>
          <c:cat>
            <c:numRef>
              <c:f>Hoja1!$A$32:$A$41</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Hoja1!$D$32:$D$41</c:f>
              <c:numCache>
                <c:formatCode>General</c:formatCode>
                <c:ptCount val="10"/>
                <c:pt idx="0">
                  <c:v>17</c:v>
                </c:pt>
                <c:pt idx="1">
                  <c:v>16</c:v>
                </c:pt>
                <c:pt idx="2">
                  <c:v>20</c:v>
                </c:pt>
                <c:pt idx="3">
                  <c:v>12</c:v>
                </c:pt>
                <c:pt idx="4">
                  <c:v>13.5</c:v>
                </c:pt>
                <c:pt idx="5">
                  <c:v>20</c:v>
                </c:pt>
                <c:pt idx="6">
                  <c:v>22</c:v>
                </c:pt>
                <c:pt idx="7">
                  <c:v>19</c:v>
                </c:pt>
                <c:pt idx="8">
                  <c:v>23.5</c:v>
                </c:pt>
                <c:pt idx="9">
                  <c:v>17.7</c:v>
                </c:pt>
              </c:numCache>
            </c:numRef>
          </c:val>
          <c:smooth val="0"/>
          <c:extLst xmlns:c16r2="http://schemas.microsoft.com/office/drawing/2015/06/chart">
            <c:ext xmlns:c16="http://schemas.microsoft.com/office/drawing/2014/chart" uri="{C3380CC4-5D6E-409C-BE32-E72D297353CC}">
              <c16:uniqueId val="{00000002-8B1E-4C6C-8260-DC9C4AC793F7}"/>
            </c:ext>
          </c:extLst>
        </c:ser>
        <c:dLbls>
          <c:showLegendKey val="0"/>
          <c:showVal val="0"/>
          <c:showCatName val="0"/>
          <c:showSerName val="0"/>
          <c:showPercent val="0"/>
          <c:showBubbleSize val="0"/>
        </c:dLbls>
        <c:smooth val="0"/>
        <c:axId val="1471687392"/>
        <c:axId val="1471695008"/>
      </c:lineChart>
      <c:catAx>
        <c:axId val="14716873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050">
                    <a:latin typeface="Times New Roman" panose="02020603050405020304" pitchFamily="18" charset="0"/>
                    <a:cs typeface="Times New Roman" panose="02020603050405020304" pitchFamily="18" charset="0"/>
                  </a:rPr>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471695008"/>
        <c:crosses val="autoZero"/>
        <c:auto val="1"/>
        <c:lblAlgn val="ctr"/>
        <c:lblOffset val="100"/>
        <c:noMultiLvlLbl val="0"/>
      </c:catAx>
      <c:valAx>
        <c:axId val="14716950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050">
                    <a:latin typeface="Times New Roman" panose="02020603050405020304" pitchFamily="18" charset="0"/>
                    <a:cs typeface="Times New Roman" panose="02020603050405020304" pitchFamily="18" charset="0"/>
                  </a:rPr>
                  <a:t>Millions</a:t>
                </a:r>
                <a:r>
                  <a:rPr lang="en-GB" sz="1050" baseline="0">
                    <a:latin typeface="Times New Roman" panose="02020603050405020304" pitchFamily="18" charset="0"/>
                    <a:cs typeface="Times New Roman" panose="02020603050405020304" pitchFamily="18" charset="0"/>
                  </a:rPr>
                  <a:t> of IDPs</a:t>
                </a:r>
                <a:endParaRPr lang="en-GB" sz="1050">
                  <a:latin typeface="Times New Roman" panose="02020603050405020304" pitchFamily="18" charset="0"/>
                  <a:cs typeface="Times New Roman" panose="02020603050405020304" pitchFamily="18" charset="0"/>
                </a:endParaRPr>
              </a:p>
            </c:rich>
          </c:tx>
          <c:layout>
            <c:manualLayout>
              <c:xMode val="edge"/>
              <c:yMode val="edge"/>
              <c:x val="3.0555555555555555E-2"/>
              <c:y val="0.2699227179935841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716873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Hoja1!$B$17</c:f>
              <c:strCache>
                <c:ptCount val="1"/>
                <c:pt idx="0">
                  <c:v>Storm</c:v>
                </c:pt>
              </c:strCache>
            </c:strRef>
          </c:tx>
          <c:spPr>
            <a:solidFill>
              <a:schemeClr val="accent1"/>
            </a:solidFill>
            <a:ln>
              <a:noFill/>
            </a:ln>
            <a:effectLst/>
          </c:spPr>
          <c:invertIfNegative val="0"/>
          <c:cat>
            <c:numRef>
              <c:f>Hoja1!$A$18:$A$27</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Hoja1!$B$18:$B$27</c:f>
              <c:numCache>
                <c:formatCode>General</c:formatCode>
                <c:ptCount val="10"/>
                <c:pt idx="0">
                  <c:v>9</c:v>
                </c:pt>
                <c:pt idx="1">
                  <c:v>6</c:v>
                </c:pt>
                <c:pt idx="2">
                  <c:v>13.5</c:v>
                </c:pt>
                <c:pt idx="3">
                  <c:v>7.5</c:v>
                </c:pt>
                <c:pt idx="4">
                  <c:v>9.5</c:v>
                </c:pt>
                <c:pt idx="5">
                  <c:v>13.7</c:v>
                </c:pt>
                <c:pt idx="6">
                  <c:v>15</c:v>
                </c:pt>
                <c:pt idx="7">
                  <c:v>12</c:v>
                </c:pt>
                <c:pt idx="8">
                  <c:v>10</c:v>
                </c:pt>
                <c:pt idx="9">
                  <c:v>9.5</c:v>
                </c:pt>
              </c:numCache>
            </c:numRef>
          </c:val>
          <c:extLst xmlns:c16r2="http://schemas.microsoft.com/office/drawing/2015/06/chart">
            <c:ext xmlns:c16="http://schemas.microsoft.com/office/drawing/2014/chart" uri="{C3380CC4-5D6E-409C-BE32-E72D297353CC}">
              <c16:uniqueId val="{00000000-9489-4D75-945B-A9E4AE970A2A}"/>
            </c:ext>
          </c:extLst>
        </c:ser>
        <c:ser>
          <c:idx val="1"/>
          <c:order val="1"/>
          <c:tx>
            <c:strRef>
              <c:f>Hoja1!$C$17</c:f>
              <c:strCache>
                <c:ptCount val="1"/>
                <c:pt idx="0">
                  <c:v>Flood</c:v>
                </c:pt>
              </c:strCache>
            </c:strRef>
          </c:tx>
          <c:spPr>
            <a:solidFill>
              <a:schemeClr val="accent2"/>
            </a:solidFill>
            <a:ln>
              <a:noFill/>
            </a:ln>
            <a:effectLst/>
          </c:spPr>
          <c:invertIfNegative val="0"/>
          <c:cat>
            <c:numRef>
              <c:f>Hoja1!$A$18:$A$27</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Hoja1!$C$18:$C$27</c:f>
              <c:numCache>
                <c:formatCode>General</c:formatCode>
                <c:ptCount val="10"/>
                <c:pt idx="0">
                  <c:v>7.5</c:v>
                </c:pt>
                <c:pt idx="1">
                  <c:v>8</c:v>
                </c:pt>
                <c:pt idx="2">
                  <c:v>10</c:v>
                </c:pt>
                <c:pt idx="3">
                  <c:v>7.4</c:v>
                </c:pt>
                <c:pt idx="4">
                  <c:v>5.0999999999999996</c:v>
                </c:pt>
                <c:pt idx="5">
                  <c:v>10</c:v>
                </c:pt>
                <c:pt idx="6">
                  <c:v>9</c:v>
                </c:pt>
                <c:pt idx="7">
                  <c:v>10</c:v>
                </c:pt>
                <c:pt idx="8">
                  <c:v>18.5</c:v>
                </c:pt>
                <c:pt idx="9">
                  <c:v>9.5</c:v>
                </c:pt>
              </c:numCache>
            </c:numRef>
          </c:val>
          <c:extLst xmlns:c16r2="http://schemas.microsoft.com/office/drawing/2015/06/chart">
            <c:ext xmlns:c16="http://schemas.microsoft.com/office/drawing/2014/chart" uri="{C3380CC4-5D6E-409C-BE32-E72D297353CC}">
              <c16:uniqueId val="{00000001-9489-4D75-945B-A9E4AE970A2A}"/>
            </c:ext>
          </c:extLst>
        </c:ser>
        <c:ser>
          <c:idx val="2"/>
          <c:order val="2"/>
          <c:tx>
            <c:strRef>
              <c:f>Hoja1!$D$17</c:f>
              <c:strCache>
                <c:ptCount val="1"/>
                <c:pt idx="0">
                  <c:v>Easthquake</c:v>
                </c:pt>
              </c:strCache>
            </c:strRef>
          </c:tx>
          <c:spPr>
            <a:solidFill>
              <a:schemeClr val="accent3"/>
            </a:solidFill>
            <a:ln>
              <a:noFill/>
            </a:ln>
            <a:effectLst/>
          </c:spPr>
          <c:invertIfNegative val="0"/>
          <c:cat>
            <c:numRef>
              <c:f>Hoja1!$A$18:$A$27</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Hoja1!$D$18:$D$27</c:f>
              <c:numCache>
                <c:formatCode>General</c:formatCode>
                <c:ptCount val="10"/>
                <c:pt idx="0">
                  <c:v>2.5</c:v>
                </c:pt>
                <c:pt idx="1">
                  <c:v>4.5</c:v>
                </c:pt>
                <c:pt idx="2">
                  <c:v>1</c:v>
                </c:pt>
                <c:pt idx="3">
                  <c:v>1</c:v>
                </c:pt>
                <c:pt idx="4">
                  <c:v>1.5</c:v>
                </c:pt>
                <c:pt idx="5">
                  <c:v>1.7</c:v>
                </c:pt>
                <c:pt idx="6">
                  <c:v>0.2</c:v>
                </c:pt>
                <c:pt idx="7">
                  <c:v>0.5</c:v>
                </c:pt>
                <c:pt idx="8">
                  <c:v>0.5</c:v>
                </c:pt>
                <c:pt idx="9">
                  <c:v>7</c:v>
                </c:pt>
              </c:numCache>
            </c:numRef>
          </c:val>
          <c:extLst xmlns:c16r2="http://schemas.microsoft.com/office/drawing/2015/06/chart">
            <c:ext xmlns:c16="http://schemas.microsoft.com/office/drawing/2014/chart" uri="{C3380CC4-5D6E-409C-BE32-E72D297353CC}">
              <c16:uniqueId val="{00000002-9489-4D75-945B-A9E4AE970A2A}"/>
            </c:ext>
          </c:extLst>
        </c:ser>
        <c:ser>
          <c:idx val="3"/>
          <c:order val="3"/>
          <c:tx>
            <c:strRef>
              <c:f>Hoja1!$E$17</c:f>
              <c:strCache>
                <c:ptCount val="1"/>
                <c:pt idx="0">
                  <c:v>Wildfire</c:v>
                </c:pt>
              </c:strCache>
            </c:strRef>
          </c:tx>
          <c:spPr>
            <a:solidFill>
              <a:schemeClr val="accent4"/>
            </a:solidFill>
            <a:ln>
              <a:noFill/>
            </a:ln>
            <a:effectLst/>
          </c:spPr>
          <c:invertIfNegative val="0"/>
          <c:cat>
            <c:numRef>
              <c:f>Hoja1!$A$18:$A$27</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Hoja1!$E$18:$E$27</c:f>
              <c:numCache>
                <c:formatCode>General</c:formatCode>
                <c:ptCount val="10"/>
                <c:pt idx="0">
                  <c:v>0.05</c:v>
                </c:pt>
                <c:pt idx="1">
                  <c:v>0.05</c:v>
                </c:pt>
                <c:pt idx="2">
                  <c:v>0.05</c:v>
                </c:pt>
                <c:pt idx="3">
                  <c:v>0.5</c:v>
                </c:pt>
                <c:pt idx="4">
                  <c:v>0.5</c:v>
                </c:pt>
                <c:pt idx="5">
                  <c:v>0.5</c:v>
                </c:pt>
                <c:pt idx="6">
                  <c:v>1.5</c:v>
                </c:pt>
                <c:pt idx="7">
                  <c:v>0.5</c:v>
                </c:pt>
                <c:pt idx="8">
                  <c:v>0.5</c:v>
                </c:pt>
                <c:pt idx="9">
                  <c:v>0.5</c:v>
                </c:pt>
              </c:numCache>
            </c:numRef>
          </c:val>
          <c:extLst xmlns:c16r2="http://schemas.microsoft.com/office/drawing/2015/06/chart">
            <c:ext xmlns:c16="http://schemas.microsoft.com/office/drawing/2014/chart" uri="{C3380CC4-5D6E-409C-BE32-E72D297353CC}">
              <c16:uniqueId val="{00000003-9489-4D75-945B-A9E4AE970A2A}"/>
            </c:ext>
          </c:extLst>
        </c:ser>
        <c:dLbls>
          <c:showLegendKey val="0"/>
          <c:showVal val="0"/>
          <c:showCatName val="0"/>
          <c:showSerName val="0"/>
          <c:showPercent val="0"/>
          <c:showBubbleSize val="0"/>
        </c:dLbls>
        <c:gapWidth val="219"/>
        <c:overlap val="-27"/>
        <c:axId val="1471691744"/>
        <c:axId val="1471685760"/>
      </c:barChart>
      <c:catAx>
        <c:axId val="1471691744"/>
        <c:scaling>
          <c:orientation val="minMax"/>
        </c:scaling>
        <c:delete val="0"/>
        <c:axPos val="b"/>
        <c:title>
          <c:tx>
            <c:rich>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r>
                  <a:rPr lang="en-GB" sz="1050">
                    <a:latin typeface="Times New Roman" panose="02020603050405020304" pitchFamily="18" charset="0"/>
                    <a:cs typeface="Times New Roman" panose="02020603050405020304" pitchFamily="18" charset="0"/>
                  </a:rPr>
                  <a:t>Year</a:t>
                </a:r>
              </a:p>
            </c:rich>
          </c:tx>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471685760"/>
        <c:crosses val="autoZero"/>
        <c:auto val="1"/>
        <c:lblAlgn val="ctr"/>
        <c:lblOffset val="100"/>
        <c:noMultiLvlLbl val="0"/>
      </c:catAx>
      <c:valAx>
        <c:axId val="14716857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r>
                  <a:rPr lang="en-GB" sz="1050">
                    <a:latin typeface="Times New Roman" panose="02020603050405020304" pitchFamily="18" charset="0"/>
                    <a:cs typeface="Times New Roman" panose="02020603050405020304" pitchFamily="18" charset="0"/>
                  </a:rPr>
                  <a:t>Millions</a:t>
                </a:r>
                <a:r>
                  <a:rPr lang="en-GB" sz="1050" baseline="0">
                    <a:latin typeface="Times New Roman" panose="02020603050405020304" pitchFamily="18" charset="0"/>
                    <a:cs typeface="Times New Roman" panose="02020603050405020304" pitchFamily="18" charset="0"/>
                  </a:rPr>
                  <a:t> of IDPs</a:t>
                </a:r>
                <a:endParaRPr lang="en-GB" sz="1050">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716917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2"/>
          <c:order val="2"/>
          <c:tx>
            <c:strRef>
              <c:f>Hoja1!$D$184</c:f>
              <c:strCache>
                <c:ptCount val="1"/>
                <c:pt idx="0">
                  <c:v>Pesimistic scenario</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Hoja1!$A$185:$A$190</c:f>
              <c:strCache>
                <c:ptCount val="6"/>
                <c:pt idx="0">
                  <c:v>Sub Saharian Africa</c:v>
                </c:pt>
                <c:pt idx="1">
                  <c:v>East Asia &amp; Pacific</c:v>
                </c:pt>
                <c:pt idx="2">
                  <c:v>South Asia</c:v>
                </c:pt>
                <c:pt idx="3">
                  <c:v>North Asia</c:v>
                </c:pt>
                <c:pt idx="4">
                  <c:v>Latin America</c:v>
                </c:pt>
                <c:pt idx="5">
                  <c:v>Eastern Europe &amp; Central Asia</c:v>
                </c:pt>
              </c:strCache>
            </c:strRef>
          </c:cat>
          <c:val>
            <c:numRef>
              <c:f>Hoja1!$D$185:$D$190</c:f>
              <c:numCache>
                <c:formatCode>General</c:formatCode>
                <c:ptCount val="6"/>
                <c:pt idx="0">
                  <c:v>70</c:v>
                </c:pt>
                <c:pt idx="1">
                  <c:v>35</c:v>
                </c:pt>
                <c:pt idx="2">
                  <c:v>35</c:v>
                </c:pt>
                <c:pt idx="3">
                  <c:v>15</c:v>
                </c:pt>
                <c:pt idx="4">
                  <c:v>12</c:v>
                </c:pt>
                <c:pt idx="5">
                  <c:v>5</c:v>
                </c:pt>
              </c:numCache>
            </c:numRef>
          </c:val>
          <c:extLst xmlns:c16r2="http://schemas.microsoft.com/office/drawing/2015/06/chart">
            <c:ext xmlns:c16="http://schemas.microsoft.com/office/drawing/2014/chart" uri="{C3380CC4-5D6E-409C-BE32-E72D297353CC}">
              <c16:uniqueId val="{00000000-F02F-4F47-95D3-578FF937652C}"/>
            </c:ext>
          </c:extLst>
        </c:ser>
        <c:ser>
          <c:idx val="4"/>
          <c:order val="4"/>
          <c:tx>
            <c:strRef>
              <c:f>Hoja1!$F$184</c:f>
              <c:strCache>
                <c:ptCount val="1"/>
                <c:pt idx="0">
                  <c:v>Climate friendly scenario</c:v>
                </c:pt>
              </c:strCache>
            </c:strRef>
          </c:tx>
          <c:spPr>
            <a:solidFill>
              <a:schemeClr val="accent4">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Hoja1!$A$185:$A$190</c:f>
              <c:strCache>
                <c:ptCount val="6"/>
                <c:pt idx="0">
                  <c:v>Sub Saharian Africa</c:v>
                </c:pt>
                <c:pt idx="1">
                  <c:v>East Asia &amp; Pacific</c:v>
                </c:pt>
                <c:pt idx="2">
                  <c:v>South Asia</c:v>
                </c:pt>
                <c:pt idx="3">
                  <c:v>North Asia</c:v>
                </c:pt>
                <c:pt idx="4">
                  <c:v>Latin America</c:v>
                </c:pt>
                <c:pt idx="5">
                  <c:v>Eastern Europe &amp; Central Asia</c:v>
                </c:pt>
              </c:strCache>
            </c:strRef>
          </c:cat>
          <c:val>
            <c:numRef>
              <c:f>Hoja1!$F$185:$F$190</c:f>
              <c:numCache>
                <c:formatCode>General</c:formatCode>
                <c:ptCount val="6"/>
                <c:pt idx="0">
                  <c:v>30</c:v>
                </c:pt>
                <c:pt idx="1">
                  <c:v>20</c:v>
                </c:pt>
                <c:pt idx="2">
                  <c:v>18</c:v>
                </c:pt>
                <c:pt idx="3">
                  <c:v>5</c:v>
                </c:pt>
                <c:pt idx="4">
                  <c:v>7</c:v>
                </c:pt>
                <c:pt idx="5">
                  <c:v>3</c:v>
                </c:pt>
              </c:numCache>
            </c:numRef>
          </c:val>
          <c:extLst xmlns:c16r2="http://schemas.microsoft.com/office/drawing/2015/06/chart">
            <c:ext xmlns:c16="http://schemas.microsoft.com/office/drawing/2014/chart" uri="{C3380CC4-5D6E-409C-BE32-E72D297353CC}">
              <c16:uniqueId val="{00000001-F02F-4F47-95D3-578FF937652C}"/>
            </c:ext>
          </c:extLst>
        </c:ser>
        <c:dLbls>
          <c:dLblPos val="outEnd"/>
          <c:showLegendKey val="0"/>
          <c:showVal val="1"/>
          <c:showCatName val="0"/>
          <c:showSerName val="0"/>
          <c:showPercent val="0"/>
          <c:showBubbleSize val="0"/>
        </c:dLbls>
        <c:gapWidth val="219"/>
        <c:overlap val="-27"/>
        <c:axId val="1471694464"/>
        <c:axId val="1471695552"/>
        <c:extLst xmlns:c16r2="http://schemas.microsoft.com/office/drawing/2015/06/chart">
          <c:ext xmlns:c15="http://schemas.microsoft.com/office/drawing/2012/chart" uri="{02D57815-91ED-43cb-92C2-25804820EDAC}">
            <c15:filteredBarSeries>
              <c15:ser>
                <c:idx val="0"/>
                <c:order val="0"/>
                <c:tx>
                  <c:strRef>
                    <c:extLst xmlns:c16r2="http://schemas.microsoft.com/office/drawing/2015/06/chart">
                      <c:ext uri="{02D57815-91ED-43cb-92C2-25804820EDAC}">
                        <c15:formulaRef>
                          <c15:sqref>Hoja1!$B$184</c15:sqref>
                        </c15:formulaRef>
                      </c:ext>
                    </c:extLst>
                    <c:strCache>
                      <c:ptCount val="1"/>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6r2="http://schemas.microsoft.com/office/drawing/2015/06/chart">
                      <c:ext uri="{02D57815-91ED-43cb-92C2-25804820EDAC}">
                        <c15:formulaRef>
                          <c15:sqref>Hoja1!$A$185:$A$190</c15:sqref>
                        </c15:formulaRef>
                      </c:ext>
                    </c:extLst>
                    <c:strCache>
                      <c:ptCount val="6"/>
                      <c:pt idx="0">
                        <c:v>Sub Saharian Africa</c:v>
                      </c:pt>
                      <c:pt idx="1">
                        <c:v>East Asia &amp; Pacific</c:v>
                      </c:pt>
                      <c:pt idx="2">
                        <c:v>South Asia</c:v>
                      </c:pt>
                      <c:pt idx="3">
                        <c:v>North Asia</c:v>
                      </c:pt>
                      <c:pt idx="4">
                        <c:v>Latin America</c:v>
                      </c:pt>
                      <c:pt idx="5">
                        <c:v>Eastern Europe &amp; Central Asia</c:v>
                      </c:pt>
                    </c:strCache>
                  </c:strRef>
                </c:cat>
                <c:val>
                  <c:numRef>
                    <c:extLst xmlns:c16r2="http://schemas.microsoft.com/office/drawing/2015/06/chart">
                      <c:ext uri="{02D57815-91ED-43cb-92C2-25804820EDAC}">
                        <c15:formulaRef>
                          <c15:sqref>Hoja1!$B$185:$B$190</c15:sqref>
                        </c15:formulaRef>
                      </c:ext>
                    </c:extLst>
                    <c:numCache>
                      <c:formatCode>General</c:formatCode>
                      <c:ptCount val="6"/>
                    </c:numCache>
                  </c:numRef>
                </c:val>
                <c:extLst xmlns:c16r2="http://schemas.microsoft.com/office/drawing/2015/06/chart">
                  <c:ext xmlns:c16="http://schemas.microsoft.com/office/drawing/2014/chart" uri="{C3380CC4-5D6E-409C-BE32-E72D297353CC}">
                    <c16:uniqueId val="{00000002-F02F-4F47-95D3-578FF937652C}"/>
                  </c:ext>
                </c:extLst>
              </c15:ser>
            </c15:filteredBarSeries>
            <c15:filteredBarSeries>
              <c15:ser>
                <c:idx val="1"/>
                <c:order val="1"/>
                <c:tx>
                  <c:strRef>
                    <c:extLst xmlns:c15="http://schemas.microsoft.com/office/drawing/2012/chart" xmlns:c16r2="http://schemas.microsoft.com/office/drawing/2015/06/chart">
                      <c:ext xmlns:c15="http://schemas.microsoft.com/office/drawing/2012/chart" uri="{02D57815-91ED-43cb-92C2-25804820EDAC}">
                        <c15:formulaRef>
                          <c15:sqref>Hoja1!$C$184</c15:sqref>
                        </c15:formulaRef>
                      </c:ext>
                    </c:extLst>
                    <c:strCache>
                      <c:ptCount val="1"/>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xmlns:c16r2="http://schemas.microsoft.com/office/drawing/2015/06/chart">
                      <c:ext xmlns:c15="http://schemas.microsoft.com/office/drawing/2012/chart" uri="{02D57815-91ED-43cb-92C2-25804820EDAC}">
                        <c15:formulaRef>
                          <c15:sqref>Hoja1!$A$185:$A$190</c15:sqref>
                        </c15:formulaRef>
                      </c:ext>
                    </c:extLst>
                    <c:strCache>
                      <c:ptCount val="6"/>
                      <c:pt idx="0">
                        <c:v>Sub Saharian Africa</c:v>
                      </c:pt>
                      <c:pt idx="1">
                        <c:v>East Asia &amp; Pacific</c:v>
                      </c:pt>
                      <c:pt idx="2">
                        <c:v>South Asia</c:v>
                      </c:pt>
                      <c:pt idx="3">
                        <c:v>North Asia</c:v>
                      </c:pt>
                      <c:pt idx="4">
                        <c:v>Latin America</c:v>
                      </c:pt>
                      <c:pt idx="5">
                        <c:v>Eastern Europe &amp; Central Asia</c:v>
                      </c:pt>
                    </c:strCache>
                  </c:strRef>
                </c:cat>
                <c:val>
                  <c:numRef>
                    <c:extLst xmlns:c15="http://schemas.microsoft.com/office/drawing/2012/chart" xmlns:c16r2="http://schemas.microsoft.com/office/drawing/2015/06/chart">
                      <c:ext xmlns:c15="http://schemas.microsoft.com/office/drawing/2012/chart" uri="{02D57815-91ED-43cb-92C2-25804820EDAC}">
                        <c15:formulaRef>
                          <c15:sqref>Hoja1!$C$185:$C$190</c15:sqref>
                        </c15:formulaRef>
                      </c:ext>
                    </c:extLst>
                    <c:numCache>
                      <c:formatCode>General</c:formatCode>
                      <c:ptCount val="6"/>
                    </c:numCache>
                  </c:numRef>
                </c:val>
                <c:extLst xmlns:c15="http://schemas.microsoft.com/office/drawing/2012/chart" xmlns:c16r2="http://schemas.microsoft.com/office/drawing/2015/06/chart">
                  <c:ext xmlns:c16="http://schemas.microsoft.com/office/drawing/2014/chart" uri="{C3380CC4-5D6E-409C-BE32-E72D297353CC}">
                    <c16:uniqueId val="{00000003-F02F-4F47-95D3-578FF937652C}"/>
                  </c:ext>
                </c:extLst>
              </c15:ser>
            </c15:filteredBarSeries>
            <c15:filteredBarSeries>
              <c15:ser>
                <c:idx val="3"/>
                <c:order val="3"/>
                <c:tx>
                  <c:strRef>
                    <c:extLst xmlns:c15="http://schemas.microsoft.com/office/drawing/2012/chart" xmlns:c16r2="http://schemas.microsoft.com/office/drawing/2015/06/chart">
                      <c:ext xmlns:c15="http://schemas.microsoft.com/office/drawing/2012/chart" uri="{02D57815-91ED-43cb-92C2-25804820EDAC}">
                        <c15:formulaRef>
                          <c15:sqref>Hoja1!$E$184</c15:sqref>
                        </c15:formulaRef>
                      </c:ext>
                    </c:extLst>
                    <c:strCache>
                      <c:ptCount val="1"/>
                    </c:strCache>
                  </c:strRef>
                </c:tx>
                <c:spPr>
                  <a:solidFill>
                    <a:schemeClr val="accent2">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xmlns:c16r2="http://schemas.microsoft.com/office/drawing/2015/06/chart">
                      <c:ext xmlns:c15="http://schemas.microsoft.com/office/drawing/2012/chart" uri="{02D57815-91ED-43cb-92C2-25804820EDAC}">
                        <c15:formulaRef>
                          <c15:sqref>Hoja1!$A$185:$A$190</c15:sqref>
                        </c15:formulaRef>
                      </c:ext>
                    </c:extLst>
                    <c:strCache>
                      <c:ptCount val="6"/>
                      <c:pt idx="0">
                        <c:v>Sub Saharian Africa</c:v>
                      </c:pt>
                      <c:pt idx="1">
                        <c:v>East Asia &amp; Pacific</c:v>
                      </c:pt>
                      <c:pt idx="2">
                        <c:v>South Asia</c:v>
                      </c:pt>
                      <c:pt idx="3">
                        <c:v>North Asia</c:v>
                      </c:pt>
                      <c:pt idx="4">
                        <c:v>Latin America</c:v>
                      </c:pt>
                      <c:pt idx="5">
                        <c:v>Eastern Europe &amp; Central Asia</c:v>
                      </c:pt>
                    </c:strCache>
                  </c:strRef>
                </c:cat>
                <c:val>
                  <c:numRef>
                    <c:extLst xmlns:c15="http://schemas.microsoft.com/office/drawing/2012/chart" xmlns:c16r2="http://schemas.microsoft.com/office/drawing/2015/06/chart">
                      <c:ext xmlns:c15="http://schemas.microsoft.com/office/drawing/2012/chart" uri="{02D57815-91ED-43cb-92C2-25804820EDAC}">
                        <c15:formulaRef>
                          <c15:sqref>Hoja1!$E$185:$E$190</c15:sqref>
                        </c15:formulaRef>
                      </c:ext>
                    </c:extLst>
                    <c:numCache>
                      <c:formatCode>General</c:formatCode>
                      <c:ptCount val="6"/>
                    </c:numCache>
                  </c:numRef>
                </c:val>
                <c:extLst xmlns:c15="http://schemas.microsoft.com/office/drawing/2012/chart" xmlns:c16r2="http://schemas.microsoft.com/office/drawing/2015/06/chart">
                  <c:ext xmlns:c16="http://schemas.microsoft.com/office/drawing/2014/chart" uri="{C3380CC4-5D6E-409C-BE32-E72D297353CC}">
                    <c16:uniqueId val="{00000004-F02F-4F47-95D3-578FF937652C}"/>
                  </c:ext>
                </c:extLst>
              </c15:ser>
            </c15:filteredBarSeries>
            <c15:filteredBarSeries>
              <c15:ser>
                <c:idx val="5"/>
                <c:order val="5"/>
                <c:tx>
                  <c:strRef>
                    <c:extLst xmlns:c15="http://schemas.microsoft.com/office/drawing/2012/chart" xmlns:c16r2="http://schemas.microsoft.com/office/drawing/2015/06/chart">
                      <c:ext xmlns:c15="http://schemas.microsoft.com/office/drawing/2012/chart" uri="{02D57815-91ED-43cb-92C2-25804820EDAC}">
                        <c15:formulaRef>
                          <c15:sqref>Hoja1!$G$184</c15:sqref>
                        </c15:formulaRef>
                      </c:ext>
                    </c:extLst>
                    <c:strCache>
                      <c:ptCount val="1"/>
                    </c:strCache>
                  </c:strRef>
                </c:tx>
                <c:spPr>
                  <a:solidFill>
                    <a:schemeClr val="accent6">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xmlns:c16r2="http://schemas.microsoft.com/office/drawing/2015/06/chart">
                      <c:ext xmlns:c15="http://schemas.microsoft.com/office/drawing/2012/chart" uri="{02D57815-91ED-43cb-92C2-25804820EDAC}">
                        <c15:formulaRef>
                          <c15:sqref>Hoja1!$A$185:$A$190</c15:sqref>
                        </c15:formulaRef>
                      </c:ext>
                    </c:extLst>
                    <c:strCache>
                      <c:ptCount val="6"/>
                      <c:pt idx="0">
                        <c:v>Sub Saharian Africa</c:v>
                      </c:pt>
                      <c:pt idx="1">
                        <c:v>East Asia &amp; Pacific</c:v>
                      </c:pt>
                      <c:pt idx="2">
                        <c:v>South Asia</c:v>
                      </c:pt>
                      <c:pt idx="3">
                        <c:v>North Asia</c:v>
                      </c:pt>
                      <c:pt idx="4">
                        <c:v>Latin America</c:v>
                      </c:pt>
                      <c:pt idx="5">
                        <c:v>Eastern Europe &amp; Central Asia</c:v>
                      </c:pt>
                    </c:strCache>
                  </c:strRef>
                </c:cat>
                <c:val>
                  <c:numRef>
                    <c:extLst xmlns:c15="http://schemas.microsoft.com/office/drawing/2012/chart" xmlns:c16r2="http://schemas.microsoft.com/office/drawing/2015/06/chart">
                      <c:ext xmlns:c15="http://schemas.microsoft.com/office/drawing/2012/chart" uri="{02D57815-91ED-43cb-92C2-25804820EDAC}">
                        <c15:formulaRef>
                          <c15:sqref>Hoja1!$G$185:$G$190</c15:sqref>
                        </c15:formulaRef>
                      </c:ext>
                    </c:extLst>
                    <c:numCache>
                      <c:formatCode>General</c:formatCode>
                      <c:ptCount val="6"/>
                    </c:numCache>
                  </c:numRef>
                </c:val>
                <c:extLst xmlns:c15="http://schemas.microsoft.com/office/drawing/2012/chart" xmlns:c16r2="http://schemas.microsoft.com/office/drawing/2015/06/chart">
                  <c:ext xmlns:c16="http://schemas.microsoft.com/office/drawing/2014/chart" uri="{C3380CC4-5D6E-409C-BE32-E72D297353CC}">
                    <c16:uniqueId val="{00000005-F02F-4F47-95D3-578FF937652C}"/>
                  </c:ext>
                </c:extLst>
              </c15:ser>
            </c15:filteredBarSeries>
          </c:ext>
        </c:extLst>
      </c:barChart>
      <c:catAx>
        <c:axId val="1471694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71695552"/>
        <c:crosses val="autoZero"/>
        <c:auto val="1"/>
        <c:lblAlgn val="ctr"/>
        <c:lblOffset val="100"/>
        <c:noMultiLvlLbl val="0"/>
      </c:catAx>
      <c:valAx>
        <c:axId val="14716955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716944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Hoja1!$A$2:$A$18</c:f>
              <c:numCache>
                <c:formatCode>General</c:formatCode>
                <c:ptCount val="17"/>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numCache>
            </c:numRef>
          </c:cat>
          <c:val>
            <c:numRef>
              <c:f>Hoja1!$B$2:$B$18</c:f>
              <c:numCache>
                <c:formatCode>General</c:formatCode>
                <c:ptCount val="17"/>
                <c:pt idx="0">
                  <c:v>38.200000000000003</c:v>
                </c:pt>
                <c:pt idx="1">
                  <c:v>16.7</c:v>
                </c:pt>
                <c:pt idx="2">
                  <c:v>42.4</c:v>
                </c:pt>
                <c:pt idx="3">
                  <c:v>15</c:v>
                </c:pt>
                <c:pt idx="4">
                  <c:v>30.1</c:v>
                </c:pt>
                <c:pt idx="5">
                  <c:v>22.1</c:v>
                </c:pt>
                <c:pt idx="6">
                  <c:v>19.100000000000001</c:v>
                </c:pt>
                <c:pt idx="7">
                  <c:v>19.2</c:v>
                </c:pt>
                <c:pt idx="8">
                  <c:v>24.4</c:v>
                </c:pt>
                <c:pt idx="9">
                  <c:v>18.7</c:v>
                </c:pt>
                <c:pt idx="10">
                  <c:v>17.5</c:v>
                </c:pt>
                <c:pt idx="11">
                  <c:v>25.3</c:v>
                </c:pt>
                <c:pt idx="12">
                  <c:v>31</c:v>
                </c:pt>
                <c:pt idx="13">
                  <c:v>23.7</c:v>
                </c:pt>
                <c:pt idx="14">
                  <c:v>32.6</c:v>
                </c:pt>
                <c:pt idx="15">
                  <c:v>26.8</c:v>
                </c:pt>
                <c:pt idx="16">
                  <c:v>45.8</c:v>
                </c:pt>
              </c:numCache>
            </c:numRef>
          </c:val>
          <c:extLst xmlns:c16r2="http://schemas.microsoft.com/office/drawing/2015/06/chart">
            <c:ext xmlns:c16="http://schemas.microsoft.com/office/drawing/2014/chart" uri="{C3380CC4-5D6E-409C-BE32-E72D297353CC}">
              <c16:uniqueId val="{00000000-CE13-432C-9B7C-0666EBF15A1E}"/>
            </c:ext>
          </c:extLst>
        </c:ser>
        <c:dLbls>
          <c:dLblPos val="outEnd"/>
          <c:showLegendKey val="0"/>
          <c:showVal val="1"/>
          <c:showCatName val="0"/>
          <c:showSerName val="0"/>
          <c:showPercent val="0"/>
          <c:showBubbleSize val="0"/>
        </c:dLbls>
        <c:gapWidth val="219"/>
        <c:overlap val="-27"/>
        <c:axId val="1471696096"/>
        <c:axId val="1471696640"/>
      </c:barChart>
      <c:catAx>
        <c:axId val="14716960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71696640"/>
        <c:crosses val="autoZero"/>
        <c:auto val="1"/>
        <c:lblAlgn val="ctr"/>
        <c:lblOffset val="100"/>
        <c:noMultiLvlLbl val="0"/>
      </c:catAx>
      <c:valAx>
        <c:axId val="14716966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716960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solidFill>
                  <a:sysClr val="windowText" lastClr="000000"/>
                </a:solidFill>
              </a:rPr>
              <a:t>Disasters</a:t>
            </a:r>
            <a:r>
              <a:rPr lang="en-GB" baseline="0">
                <a:solidFill>
                  <a:sysClr val="windowText" lastClr="000000"/>
                </a:solidFill>
              </a:rPr>
              <a:t> Greece</a:t>
            </a:r>
            <a:endParaRPr lang="en-GB">
              <a:solidFill>
                <a:sysClr val="windowText" lastClr="000000"/>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2"/>
            </a:solidFill>
            <a:ln>
              <a:noFill/>
            </a:ln>
            <a:effectLst/>
          </c:spPr>
          <c:invertIfNegative val="0"/>
          <c:cat>
            <c:numRef>
              <c:f>Hoja1!$A$21:$A$37</c:f>
              <c:numCache>
                <c:formatCode>General</c:formatCode>
                <c:ptCount val="17"/>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numCache>
            </c:numRef>
          </c:cat>
          <c:val>
            <c:numRef>
              <c:f>Hoja1!$B$21:$B$37</c:f>
              <c:numCache>
                <c:formatCode>General</c:formatCode>
                <c:ptCount val="17"/>
                <c:pt idx="0">
                  <c:v>0.01</c:v>
                </c:pt>
                <c:pt idx="1">
                  <c:v>0.3</c:v>
                </c:pt>
                <c:pt idx="2">
                  <c:v>0.01</c:v>
                </c:pt>
                <c:pt idx="3">
                  <c:v>0.01</c:v>
                </c:pt>
                <c:pt idx="4">
                  <c:v>0.01</c:v>
                </c:pt>
                <c:pt idx="5">
                  <c:v>0.06</c:v>
                </c:pt>
                <c:pt idx="6">
                  <c:v>8.1999999999999993</c:v>
                </c:pt>
                <c:pt idx="7">
                  <c:v>0.3</c:v>
                </c:pt>
                <c:pt idx="8">
                  <c:v>2.9</c:v>
                </c:pt>
                <c:pt idx="9">
                  <c:v>0.8</c:v>
                </c:pt>
                <c:pt idx="10">
                  <c:v>9.1999999999999993</c:v>
                </c:pt>
                <c:pt idx="11">
                  <c:v>2.8</c:v>
                </c:pt>
                <c:pt idx="12">
                  <c:v>13</c:v>
                </c:pt>
                <c:pt idx="13">
                  <c:v>67</c:v>
                </c:pt>
                <c:pt idx="14">
                  <c:v>0.7</c:v>
                </c:pt>
                <c:pt idx="15">
                  <c:v>126</c:v>
                </c:pt>
                <c:pt idx="16">
                  <c:v>60</c:v>
                </c:pt>
              </c:numCache>
            </c:numRef>
          </c:val>
          <c:extLst xmlns:c16r2="http://schemas.microsoft.com/office/drawing/2015/06/chart">
            <c:ext xmlns:c16="http://schemas.microsoft.com/office/drawing/2014/chart" uri="{C3380CC4-5D6E-409C-BE32-E72D297353CC}">
              <c16:uniqueId val="{00000000-B97C-480C-99C0-7464B4DFDA8A}"/>
            </c:ext>
          </c:extLst>
        </c:ser>
        <c:dLbls>
          <c:showLegendKey val="0"/>
          <c:showVal val="0"/>
          <c:showCatName val="0"/>
          <c:showSerName val="0"/>
          <c:showPercent val="0"/>
          <c:showBubbleSize val="0"/>
        </c:dLbls>
        <c:gapWidth val="219"/>
        <c:overlap val="-27"/>
        <c:axId val="1471683584"/>
        <c:axId val="1471689568"/>
      </c:barChart>
      <c:catAx>
        <c:axId val="14716835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71689568"/>
        <c:crosses val="autoZero"/>
        <c:auto val="1"/>
        <c:lblAlgn val="ctr"/>
        <c:lblOffset val="100"/>
        <c:noMultiLvlLbl val="0"/>
      </c:catAx>
      <c:valAx>
        <c:axId val="14716895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716835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solidFill>
                  <a:sysClr val="windowText" lastClr="000000"/>
                </a:solidFill>
              </a:rPr>
              <a:t>Disasters</a:t>
            </a:r>
            <a:r>
              <a:rPr lang="en-GB" baseline="0">
                <a:solidFill>
                  <a:sysClr val="windowText" lastClr="000000"/>
                </a:solidFill>
              </a:rPr>
              <a:t> Italy</a:t>
            </a:r>
            <a:endParaRPr lang="en-GB">
              <a:solidFill>
                <a:sysClr val="windowText" lastClr="000000"/>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2"/>
            </a:solidFill>
            <a:ln>
              <a:noFill/>
            </a:ln>
            <a:effectLst/>
          </c:spPr>
          <c:invertIfNegative val="0"/>
          <c:cat>
            <c:numRef>
              <c:f>Hoja1!$A$40:$A$56</c:f>
              <c:numCache>
                <c:formatCode>General</c:formatCode>
                <c:ptCount val="17"/>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numCache>
            </c:numRef>
          </c:cat>
          <c:val>
            <c:numRef>
              <c:f>Hoja1!$B$40:$B$56</c:f>
              <c:numCache>
                <c:formatCode>General</c:formatCode>
                <c:ptCount val="17"/>
                <c:pt idx="0">
                  <c:v>0</c:v>
                </c:pt>
                <c:pt idx="1">
                  <c:v>75</c:v>
                </c:pt>
                <c:pt idx="2">
                  <c:v>0</c:v>
                </c:pt>
                <c:pt idx="3">
                  <c:v>0</c:v>
                </c:pt>
                <c:pt idx="4">
                  <c:v>17</c:v>
                </c:pt>
                <c:pt idx="5">
                  <c:v>3.7</c:v>
                </c:pt>
                <c:pt idx="6">
                  <c:v>1.6</c:v>
                </c:pt>
                <c:pt idx="7">
                  <c:v>1.3</c:v>
                </c:pt>
                <c:pt idx="8">
                  <c:v>31</c:v>
                </c:pt>
                <c:pt idx="9">
                  <c:v>2.1</c:v>
                </c:pt>
                <c:pt idx="10">
                  <c:v>3.3</c:v>
                </c:pt>
                <c:pt idx="11">
                  <c:v>3.8</c:v>
                </c:pt>
                <c:pt idx="12">
                  <c:v>2</c:v>
                </c:pt>
                <c:pt idx="13">
                  <c:v>2.6</c:v>
                </c:pt>
                <c:pt idx="14">
                  <c:v>4.0999999999999996</c:v>
                </c:pt>
                <c:pt idx="15">
                  <c:v>42</c:v>
                </c:pt>
                <c:pt idx="16">
                  <c:v>9.4</c:v>
                </c:pt>
              </c:numCache>
            </c:numRef>
          </c:val>
          <c:extLst xmlns:c16r2="http://schemas.microsoft.com/office/drawing/2015/06/chart">
            <c:ext xmlns:c16="http://schemas.microsoft.com/office/drawing/2014/chart" uri="{C3380CC4-5D6E-409C-BE32-E72D297353CC}">
              <c16:uniqueId val="{00000000-F7C4-4227-A472-5C7201614950}"/>
            </c:ext>
          </c:extLst>
        </c:ser>
        <c:dLbls>
          <c:showLegendKey val="0"/>
          <c:showVal val="0"/>
          <c:showCatName val="0"/>
          <c:showSerName val="0"/>
          <c:showPercent val="0"/>
          <c:showBubbleSize val="0"/>
        </c:dLbls>
        <c:gapWidth val="219"/>
        <c:overlap val="-27"/>
        <c:axId val="1471681408"/>
        <c:axId val="1471682496"/>
      </c:barChart>
      <c:catAx>
        <c:axId val="14716814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71682496"/>
        <c:crosses val="autoZero"/>
        <c:auto val="1"/>
        <c:lblAlgn val="ctr"/>
        <c:lblOffset val="100"/>
        <c:noMultiLvlLbl val="0"/>
      </c:catAx>
      <c:valAx>
        <c:axId val="14716824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716814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solidFill>
                  <a:sysClr val="windowText" lastClr="000000"/>
                </a:solidFill>
              </a:rPr>
              <a:t>Disasters</a:t>
            </a:r>
            <a:r>
              <a:rPr lang="en-GB" baseline="0">
                <a:solidFill>
                  <a:sysClr val="windowText" lastClr="000000"/>
                </a:solidFill>
              </a:rPr>
              <a:t> Spain</a:t>
            </a:r>
            <a:endParaRPr lang="en-GB">
              <a:solidFill>
                <a:sysClr val="windowText" lastClr="000000"/>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2"/>
            </a:solidFill>
            <a:ln>
              <a:noFill/>
            </a:ln>
            <a:effectLst/>
          </c:spPr>
          <c:invertIfNegative val="0"/>
          <c:cat>
            <c:numRef>
              <c:f>Hoja1!$A$59:$A$75</c:f>
              <c:numCache>
                <c:formatCode>General</c:formatCode>
                <c:ptCount val="17"/>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numCache>
            </c:numRef>
          </c:cat>
          <c:val>
            <c:numRef>
              <c:f>Hoja1!$B$59:$B$75</c:f>
              <c:numCache>
                <c:formatCode>General</c:formatCode>
                <c:ptCount val="17"/>
                <c:pt idx="0">
                  <c:v>0</c:v>
                </c:pt>
                <c:pt idx="1">
                  <c:v>0</c:v>
                </c:pt>
                <c:pt idx="2">
                  <c:v>0</c:v>
                </c:pt>
                <c:pt idx="3">
                  <c:v>15</c:v>
                </c:pt>
                <c:pt idx="4">
                  <c:v>22</c:v>
                </c:pt>
                <c:pt idx="5">
                  <c:v>2.6</c:v>
                </c:pt>
                <c:pt idx="6">
                  <c:v>3.8</c:v>
                </c:pt>
                <c:pt idx="7">
                  <c:v>4.0999999999999996</c:v>
                </c:pt>
                <c:pt idx="8">
                  <c:v>11</c:v>
                </c:pt>
                <c:pt idx="9">
                  <c:v>7.3</c:v>
                </c:pt>
                <c:pt idx="10">
                  <c:v>5.0999999999999996</c:v>
                </c:pt>
                <c:pt idx="11">
                  <c:v>29</c:v>
                </c:pt>
                <c:pt idx="12">
                  <c:v>7.8</c:v>
                </c:pt>
                <c:pt idx="13">
                  <c:v>16</c:v>
                </c:pt>
                <c:pt idx="14">
                  <c:v>34</c:v>
                </c:pt>
                <c:pt idx="15">
                  <c:v>29</c:v>
                </c:pt>
                <c:pt idx="16">
                  <c:v>14</c:v>
                </c:pt>
              </c:numCache>
            </c:numRef>
          </c:val>
          <c:extLst xmlns:c16r2="http://schemas.microsoft.com/office/drawing/2015/06/chart">
            <c:ext xmlns:c16="http://schemas.microsoft.com/office/drawing/2014/chart" uri="{C3380CC4-5D6E-409C-BE32-E72D297353CC}">
              <c16:uniqueId val="{00000000-4CD1-4BC4-A283-0A19314BF143}"/>
            </c:ext>
          </c:extLst>
        </c:ser>
        <c:dLbls>
          <c:showLegendKey val="0"/>
          <c:showVal val="0"/>
          <c:showCatName val="0"/>
          <c:showSerName val="0"/>
          <c:showPercent val="0"/>
          <c:showBubbleSize val="0"/>
        </c:dLbls>
        <c:gapWidth val="219"/>
        <c:overlap val="-27"/>
        <c:axId val="1471684128"/>
        <c:axId val="1471684672"/>
      </c:barChart>
      <c:catAx>
        <c:axId val="14716841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71684672"/>
        <c:crosses val="autoZero"/>
        <c:auto val="1"/>
        <c:lblAlgn val="ctr"/>
        <c:lblOffset val="100"/>
        <c:noMultiLvlLbl val="0"/>
      </c:catAx>
      <c:valAx>
        <c:axId val="14716846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716841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solidFill>
                  <a:sysClr val="windowText" lastClr="000000"/>
                </a:solidFill>
              </a:rPr>
              <a:t>Disasters</a:t>
            </a:r>
            <a:r>
              <a:rPr lang="en-GB" baseline="0">
                <a:solidFill>
                  <a:sysClr val="windowText" lastClr="000000"/>
                </a:solidFill>
              </a:rPr>
              <a:t> Germany</a:t>
            </a:r>
            <a:endParaRPr lang="en-GB">
              <a:solidFill>
                <a:sysClr val="windowText" lastClr="000000"/>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6"/>
            </a:solidFill>
            <a:ln>
              <a:noFill/>
            </a:ln>
            <a:effectLst/>
          </c:spPr>
          <c:invertIfNegative val="0"/>
          <c:cat>
            <c:numRef>
              <c:f>Hoja1!$A$78:$A$94</c:f>
              <c:numCache>
                <c:formatCode>General</c:formatCode>
                <c:ptCount val="17"/>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numCache>
            </c:numRef>
          </c:cat>
          <c:val>
            <c:numRef>
              <c:f>Hoja1!$B$78:$B$94</c:f>
              <c:numCache>
                <c:formatCode>General</c:formatCode>
                <c:ptCount val="17"/>
                <c:pt idx="0">
                  <c:v>0</c:v>
                </c:pt>
                <c:pt idx="1">
                  <c:v>0</c:v>
                </c:pt>
                <c:pt idx="2">
                  <c:v>0</c:v>
                </c:pt>
                <c:pt idx="3">
                  <c:v>0</c:v>
                </c:pt>
                <c:pt idx="4">
                  <c:v>53</c:v>
                </c:pt>
                <c:pt idx="5">
                  <c:v>0</c:v>
                </c:pt>
                <c:pt idx="6">
                  <c:v>0</c:v>
                </c:pt>
                <c:pt idx="7">
                  <c:v>0</c:v>
                </c:pt>
                <c:pt idx="8">
                  <c:v>2</c:v>
                </c:pt>
                <c:pt idx="9">
                  <c:v>0.2</c:v>
                </c:pt>
                <c:pt idx="10">
                  <c:v>0.5</c:v>
                </c:pt>
                <c:pt idx="11">
                  <c:v>0.7</c:v>
                </c:pt>
                <c:pt idx="12">
                  <c:v>0</c:v>
                </c:pt>
                <c:pt idx="13">
                  <c:v>17</c:v>
                </c:pt>
                <c:pt idx="14">
                  <c:v>0.6</c:v>
                </c:pt>
                <c:pt idx="15">
                  <c:v>3.3</c:v>
                </c:pt>
                <c:pt idx="16">
                  <c:v>7</c:v>
                </c:pt>
              </c:numCache>
            </c:numRef>
          </c:val>
          <c:extLst xmlns:c16r2="http://schemas.microsoft.com/office/drawing/2015/06/chart">
            <c:ext xmlns:c16="http://schemas.microsoft.com/office/drawing/2014/chart" uri="{C3380CC4-5D6E-409C-BE32-E72D297353CC}">
              <c16:uniqueId val="{00000000-0549-46B6-8557-EAB39ED01234}"/>
            </c:ext>
          </c:extLst>
        </c:ser>
        <c:dLbls>
          <c:showLegendKey val="0"/>
          <c:showVal val="0"/>
          <c:showCatName val="0"/>
          <c:showSerName val="0"/>
          <c:showPercent val="0"/>
          <c:showBubbleSize val="0"/>
        </c:dLbls>
        <c:gapWidth val="219"/>
        <c:overlap val="-27"/>
        <c:axId val="1471692288"/>
        <c:axId val="1471685216"/>
      </c:barChart>
      <c:catAx>
        <c:axId val="14716922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71685216"/>
        <c:crosses val="autoZero"/>
        <c:auto val="1"/>
        <c:lblAlgn val="ctr"/>
        <c:lblOffset val="100"/>
        <c:noMultiLvlLbl val="0"/>
      </c:catAx>
      <c:valAx>
        <c:axId val="14716852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716922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32</Pages>
  <Words>8085</Words>
  <Characters>46090</Characters>
  <Application>Microsoft Office Word</Application>
  <DocSecurity>0</DocSecurity>
  <Lines>384</Lines>
  <Paragraphs>108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54067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Rossen</dc:creator>
  <cp:keywords/>
  <dc:description/>
  <cp:lastModifiedBy>elka</cp:lastModifiedBy>
  <cp:revision>10</cp:revision>
  <dcterms:created xsi:type="dcterms:W3CDTF">2026-05-11T16:54:00Z</dcterms:created>
  <dcterms:modified xsi:type="dcterms:W3CDTF">2026-05-12T15:50:00Z</dcterms:modified>
</cp:coreProperties>
</file>