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AD9C5"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Resilience-based planning for urban infrastructure in post-disaster recovery</w:t>
      </w:r>
    </w:p>
    <w:p w14:paraId="2991256C" w14:textId="77777777" w:rsidR="008253AC" w:rsidRDefault="008253AC">
      <w:pPr>
        <w:spacing w:before="280" w:after="280" w:line="240" w:lineRule="auto"/>
        <w:jc w:val="both"/>
        <w:rPr>
          <w:rFonts w:ascii="Arial" w:eastAsia="Arial" w:hAnsi="Arial" w:cs="Arial"/>
          <w:b/>
          <w:bCs/>
          <w:sz w:val="22"/>
          <w:szCs w:val="22"/>
        </w:rPr>
      </w:pPr>
    </w:p>
    <w:p w14:paraId="40556552"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Abstract</w:t>
      </w:r>
    </w:p>
    <w:p w14:paraId="271CC066" w14:textId="761101FA" w:rsidR="00EB72BC" w:rsidRPr="00F901AF" w:rsidRDefault="00F240DA">
      <w:pPr>
        <w:spacing w:before="280" w:after="280" w:line="240" w:lineRule="auto"/>
        <w:jc w:val="both"/>
        <w:rPr>
          <w:rFonts w:ascii="Arial" w:eastAsia="Arial" w:hAnsi="Arial" w:cs="Arial"/>
          <w:sz w:val="20"/>
          <w:szCs w:val="20"/>
          <w:highlight w:val="yellow"/>
        </w:rPr>
      </w:pPr>
      <w:r>
        <w:rPr>
          <w:rFonts w:ascii="Arial" w:eastAsia="Arial" w:hAnsi="Arial" w:cs="Arial"/>
          <w:sz w:val="20"/>
          <w:szCs w:val="20"/>
        </w:rPr>
        <w:t>Urban infrastructure systems are more susceptible to disasters, which requires resilience-</w:t>
      </w:r>
      <w:proofErr w:type="spellStart"/>
      <w:r>
        <w:rPr>
          <w:rFonts w:ascii="Arial" w:eastAsia="Arial" w:hAnsi="Arial" w:cs="Arial"/>
          <w:sz w:val="20"/>
          <w:szCs w:val="20"/>
        </w:rPr>
        <w:t>centred</w:t>
      </w:r>
      <w:proofErr w:type="spellEnd"/>
      <w:r>
        <w:rPr>
          <w:rFonts w:ascii="Arial" w:eastAsia="Arial" w:hAnsi="Arial" w:cs="Arial"/>
          <w:sz w:val="20"/>
          <w:szCs w:val="20"/>
        </w:rPr>
        <w:t xml:space="preserve"> recovery planning models that incorporate measurement measures,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measures, governance frameworks, and equity measures. However, the available research base is still disjointed in terms of defining resilience concepts in the context of infrastructure recovery following the occurrence of a disaster.  This scoping review aims to outline resilience-based planning frameworks to support recovery of urban infrastructure following a disaster, and in particular, focus on resiliency indicators, decision support frameworks, governance issues, and equity concerns.  A methodological scoping review was performed based on the traditional methodological frameworks and the PRISMA-</w:t>
      </w:r>
      <w:proofErr w:type="spellStart"/>
      <w:r>
        <w:rPr>
          <w:rFonts w:ascii="Arial" w:eastAsia="Arial" w:hAnsi="Arial" w:cs="Arial"/>
          <w:sz w:val="20"/>
          <w:szCs w:val="20"/>
        </w:rPr>
        <w:t>ScR</w:t>
      </w:r>
      <w:proofErr w:type="spellEnd"/>
      <w:r>
        <w:rPr>
          <w:rFonts w:ascii="Arial" w:eastAsia="Arial" w:hAnsi="Arial" w:cs="Arial"/>
          <w:sz w:val="20"/>
          <w:szCs w:val="20"/>
        </w:rPr>
        <w:t xml:space="preserve"> guidelines. The peer-reviewed articles related to post-disaster infrastructure recovery and decision frameworks related to resilience were determined and </w:t>
      </w:r>
      <w:proofErr w:type="spellStart"/>
      <w:r>
        <w:rPr>
          <w:rFonts w:ascii="Arial" w:eastAsia="Arial" w:hAnsi="Arial" w:cs="Arial"/>
          <w:sz w:val="20"/>
          <w:szCs w:val="20"/>
        </w:rPr>
        <w:t>analysed</w:t>
      </w:r>
      <w:proofErr w:type="spellEnd"/>
      <w:r>
        <w:rPr>
          <w:rFonts w:ascii="Arial" w:eastAsia="Arial" w:hAnsi="Arial" w:cs="Arial"/>
          <w:sz w:val="20"/>
          <w:szCs w:val="20"/>
        </w:rPr>
        <w:t xml:space="preserve"> through the thematic analysis. The findings show that recovery time, functionality curves, and resilience index are the most common ways of measuring resilience. The recovery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is often done using network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multi-criteria decision analysis, simulation modelling, and artificial intelligence methods. Integration of equity aspects and modelling of cross-sector interdependencies are, however, limited. The issues of governance and data are common in the press. As much as resilience-based recovery planning has gone a long way in computing sophistication, a deeper combination of equity, interdependency modelling,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metrics, and governance systems is necessary to have holistic and viable urban infrastructure resilience. </w:t>
      </w:r>
      <w:r w:rsidR="00A43FE6" w:rsidRPr="00F901AF">
        <w:rPr>
          <w:rFonts w:ascii="Arial" w:eastAsia="Arial" w:hAnsi="Arial" w:cs="Arial"/>
          <w:sz w:val="20"/>
          <w:szCs w:val="20"/>
          <w:highlight w:val="yellow"/>
        </w:rPr>
        <w:t>Furthermore, governance mechanisms should be better aligned with computational models to ensure that theoretical approaches are effectively translated into practice. The study also highlights the need for validation through real-world disaster case studies rather than relying solely on simulated data. Finally, fostering cross-sector collaboration among engineers, planners, policymakers, and data scientists is essential for developing comprehensive and practical resilience strategies.</w:t>
      </w:r>
    </w:p>
    <w:p w14:paraId="150DD915" w14:textId="3F1B7C51" w:rsidR="00EB72BC" w:rsidRDefault="00F240DA">
      <w:pPr>
        <w:spacing w:before="280" w:after="280" w:line="240" w:lineRule="auto"/>
        <w:jc w:val="both"/>
        <w:rPr>
          <w:rFonts w:ascii="Arial" w:eastAsia="Arial" w:hAnsi="Arial" w:cs="Arial"/>
          <w:sz w:val="20"/>
          <w:szCs w:val="20"/>
        </w:rPr>
      </w:pPr>
      <w:r>
        <w:rPr>
          <w:rFonts w:ascii="Arial" w:eastAsia="Arial" w:hAnsi="Arial" w:cs="Arial"/>
          <w:b/>
          <w:bCs/>
          <w:sz w:val="22"/>
          <w:szCs w:val="22"/>
        </w:rPr>
        <w:t>Keywords:</w:t>
      </w:r>
      <w:r>
        <w:rPr>
          <w:rFonts w:ascii="Arial" w:eastAsia="Arial" w:hAnsi="Arial" w:cs="Arial"/>
          <w:sz w:val="20"/>
          <w:szCs w:val="20"/>
        </w:rPr>
        <w:t xml:space="preserve"> Resilience-based planning; post disaster recovery; urban infrastructure; infrastructure systems; recovery </w:t>
      </w:r>
      <w:proofErr w:type="spellStart"/>
      <w:r>
        <w:rPr>
          <w:rFonts w:ascii="Arial" w:eastAsia="Arial" w:hAnsi="Arial" w:cs="Arial"/>
          <w:sz w:val="20"/>
          <w:szCs w:val="20"/>
        </w:rPr>
        <w:t>optimisation</w:t>
      </w:r>
      <w:proofErr w:type="spellEnd"/>
      <w:r>
        <w:rPr>
          <w:rFonts w:ascii="Arial" w:eastAsia="Arial" w:hAnsi="Arial" w:cs="Arial"/>
          <w:sz w:val="20"/>
          <w:szCs w:val="20"/>
        </w:rPr>
        <w:t>; artificial intelligence</w:t>
      </w:r>
    </w:p>
    <w:p w14:paraId="4F4DADCE"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1.0 Introduction</w:t>
      </w:r>
    </w:p>
    <w:p w14:paraId="721193FF"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increasing urban catastrophes put a lot of pressure on the metropolitan systems to be able to sustain the services they need and to recover in a fair way. The exposure to floods, earthquakes, storms, and compound hazards has been exacerbated by climate change, accelerated </w:t>
      </w:r>
      <w:proofErr w:type="spellStart"/>
      <w:r>
        <w:rPr>
          <w:rFonts w:ascii="Arial" w:eastAsia="Arial" w:hAnsi="Arial" w:cs="Arial"/>
          <w:sz w:val="20"/>
          <w:szCs w:val="20"/>
        </w:rPr>
        <w:t>urbanisation</w:t>
      </w:r>
      <w:proofErr w:type="spellEnd"/>
      <w:r>
        <w:rPr>
          <w:rFonts w:ascii="Arial" w:eastAsia="Arial" w:hAnsi="Arial" w:cs="Arial"/>
          <w:sz w:val="20"/>
          <w:szCs w:val="20"/>
        </w:rPr>
        <w:t xml:space="preserve">, and ageing infrastructural assets, which translates into long-term disruptions in transportation and energy networks, water networks, communications networks, and healthcare networks (UNDRR, 2019). The modern policy tools, such as the Sendai Framework of Disaster Risk Reduction, </w:t>
      </w:r>
      <w:proofErr w:type="spellStart"/>
      <w:r>
        <w:rPr>
          <w:rFonts w:ascii="Arial" w:eastAsia="Arial" w:hAnsi="Arial" w:cs="Arial"/>
          <w:sz w:val="20"/>
          <w:szCs w:val="20"/>
        </w:rPr>
        <w:t>emphasise</w:t>
      </w:r>
      <w:proofErr w:type="spellEnd"/>
      <w:r>
        <w:rPr>
          <w:rFonts w:ascii="Arial" w:eastAsia="Arial" w:hAnsi="Arial" w:cs="Arial"/>
          <w:sz w:val="20"/>
          <w:szCs w:val="20"/>
        </w:rPr>
        <w:t xml:space="preserve"> resilience and the idea of building better in case of recovery (UNDRR, 2015). However, the normative desire for resilience in the operational post-disaster infrastructural planning has remained a thorny issue in translation.</w:t>
      </w:r>
    </w:p>
    <w:p w14:paraId="27678783" w14:textId="017BBC6B" w:rsidR="00EB72BC" w:rsidRDefault="00A43FE6">
      <w:pPr>
        <w:spacing w:before="280" w:after="280" w:line="240" w:lineRule="auto"/>
        <w:jc w:val="both"/>
        <w:rPr>
          <w:rFonts w:ascii="Arial" w:eastAsia="Arial" w:hAnsi="Arial" w:cs="Arial"/>
          <w:sz w:val="20"/>
          <w:szCs w:val="20"/>
        </w:rPr>
      </w:pPr>
      <w:r w:rsidRPr="00F901AF">
        <w:rPr>
          <w:rFonts w:ascii="Arial" w:eastAsia="Arial" w:hAnsi="Arial" w:cs="Arial"/>
          <w:sz w:val="20"/>
          <w:szCs w:val="20"/>
          <w:highlight w:val="yellow"/>
        </w:rPr>
        <w:t>Urban resilience refers to the ability of a city or urban area to withstand, adapt to, and recover from shocks and stresses while maintaining its essential functions and overall well-being</w:t>
      </w:r>
      <w:r w:rsidR="0045457B" w:rsidRPr="00F901AF">
        <w:rPr>
          <w:rFonts w:ascii="Arial" w:eastAsia="Arial" w:hAnsi="Arial" w:cs="Arial"/>
          <w:sz w:val="20"/>
          <w:szCs w:val="20"/>
          <w:highlight w:val="yellow"/>
        </w:rPr>
        <w:t xml:space="preserve"> (</w:t>
      </w:r>
      <w:r w:rsidR="0045457B" w:rsidRPr="00F901AF">
        <w:rPr>
          <w:rFonts w:ascii="Arial" w:eastAsia="Arial" w:hAnsi="Arial" w:cs="Arial"/>
          <w:color w:val="000000"/>
          <w:sz w:val="20"/>
          <w:szCs w:val="20"/>
          <w:highlight w:val="yellow"/>
          <w:lang w:val="en-US"/>
        </w:rPr>
        <w:t>Cao, 2023)</w:t>
      </w:r>
      <w:r w:rsidRPr="00F901AF">
        <w:rPr>
          <w:rFonts w:ascii="Arial" w:eastAsia="Arial" w:hAnsi="Arial" w:cs="Arial"/>
          <w:sz w:val="20"/>
          <w:szCs w:val="20"/>
          <w:highlight w:val="yellow"/>
        </w:rPr>
        <w:t>.</w:t>
      </w:r>
      <w:r w:rsidR="0045457B" w:rsidRPr="00F901AF">
        <w:rPr>
          <w:rFonts w:ascii="Arial" w:eastAsia="Arial" w:hAnsi="Arial" w:cs="Arial"/>
          <w:sz w:val="20"/>
          <w:szCs w:val="20"/>
          <w:highlight w:val="yellow"/>
        </w:rPr>
        <w:t xml:space="preserve"> Enhancing urban resilience has become a key link to achieve sustainable development under the increasing urban pressure, and resilience theory has been gradually applied in urban management. In the 1990s, the concept of resilience was first introduced into the field of urban management (</w:t>
      </w:r>
      <w:r w:rsidR="0045457B" w:rsidRPr="00F901AF">
        <w:rPr>
          <w:rFonts w:ascii="Arial" w:eastAsia="Arial" w:hAnsi="Arial" w:cs="Arial"/>
          <w:color w:val="000000"/>
          <w:sz w:val="20"/>
          <w:szCs w:val="20"/>
          <w:highlight w:val="yellow"/>
        </w:rPr>
        <w:t>Kong et al., 2022</w:t>
      </w:r>
      <w:r w:rsidR="00443DAB" w:rsidRPr="00F901AF">
        <w:rPr>
          <w:rFonts w:ascii="Arial" w:eastAsia="Arial" w:hAnsi="Arial" w:cs="Arial"/>
          <w:color w:val="000000"/>
          <w:sz w:val="20"/>
          <w:szCs w:val="20"/>
          <w:highlight w:val="yellow"/>
        </w:rPr>
        <w:t xml:space="preserve">; </w:t>
      </w:r>
      <w:r w:rsidR="00443DAB" w:rsidRPr="00F901AF">
        <w:rPr>
          <w:rFonts w:ascii="Arial" w:eastAsia="Arial" w:hAnsi="Arial" w:cs="Arial"/>
          <w:color w:val="000000"/>
          <w:sz w:val="20"/>
          <w:szCs w:val="20"/>
          <w:highlight w:val="yellow"/>
          <w:lang w:val="en-US"/>
        </w:rPr>
        <w:t>Maleki et al., 2026</w:t>
      </w:r>
      <w:r w:rsidR="0045457B" w:rsidRPr="00F901AF">
        <w:rPr>
          <w:rFonts w:ascii="Arial" w:eastAsia="Arial" w:hAnsi="Arial" w:cs="Arial"/>
          <w:color w:val="000000"/>
          <w:sz w:val="20"/>
          <w:szCs w:val="20"/>
          <w:highlight w:val="yellow"/>
        </w:rPr>
        <w:t>)</w:t>
      </w:r>
      <w:r w:rsidR="0045457B" w:rsidRPr="00F901AF">
        <w:rPr>
          <w:rFonts w:ascii="Arial" w:eastAsia="Arial" w:hAnsi="Arial" w:cs="Arial"/>
          <w:sz w:val="20"/>
          <w:szCs w:val="20"/>
          <w:highlight w:val="yellow"/>
        </w:rPr>
        <w:t xml:space="preserve">. </w:t>
      </w:r>
      <w:r w:rsidR="00F240DA">
        <w:rPr>
          <w:rFonts w:ascii="Arial" w:eastAsia="Arial" w:hAnsi="Arial" w:cs="Arial"/>
          <w:sz w:val="20"/>
          <w:szCs w:val="20"/>
        </w:rPr>
        <w:t>In urban infrastructure, the concept of resilience typically denotes the ability to bounce back, take in, recuperate, and adjust to disturbances after they occur (</w:t>
      </w:r>
      <w:proofErr w:type="spellStart"/>
      <w:r w:rsidR="00F240DA">
        <w:rPr>
          <w:rFonts w:ascii="Arial" w:eastAsia="Arial" w:hAnsi="Arial" w:cs="Arial"/>
          <w:sz w:val="20"/>
          <w:szCs w:val="20"/>
        </w:rPr>
        <w:t>Cimellaro</w:t>
      </w:r>
      <w:proofErr w:type="spellEnd"/>
      <w:r w:rsidR="00F240DA">
        <w:rPr>
          <w:rFonts w:ascii="Arial" w:eastAsia="Arial" w:hAnsi="Arial" w:cs="Arial"/>
          <w:sz w:val="20"/>
          <w:szCs w:val="20"/>
        </w:rPr>
        <w:t xml:space="preserve">, 2016; </w:t>
      </w:r>
      <w:proofErr w:type="spellStart"/>
      <w:r w:rsidR="00F240DA">
        <w:rPr>
          <w:rFonts w:ascii="Arial" w:eastAsia="Arial" w:hAnsi="Arial" w:cs="Arial"/>
          <w:sz w:val="20"/>
          <w:szCs w:val="20"/>
        </w:rPr>
        <w:t>Meerow</w:t>
      </w:r>
      <w:proofErr w:type="spellEnd"/>
      <w:r w:rsidR="00F240DA">
        <w:rPr>
          <w:rFonts w:ascii="Arial" w:eastAsia="Arial" w:hAnsi="Arial" w:cs="Arial"/>
          <w:sz w:val="20"/>
          <w:szCs w:val="20"/>
        </w:rPr>
        <w:t xml:space="preserve"> et al., 2016). Deterministic models include the aspects of resilience, redundancy, speed, and resourcefulness (Bruneau et al., 2003), whereas more recent models combine recovery pathways, recovery durability, and recovery adaptability throughout the various phases of disaster response (Yu et al., 2023). Developments in </w:t>
      </w:r>
      <w:r w:rsidR="00F240DA">
        <w:rPr>
          <w:rFonts w:ascii="Arial" w:eastAsia="Arial" w:hAnsi="Arial" w:cs="Arial"/>
          <w:sz w:val="20"/>
          <w:szCs w:val="20"/>
        </w:rPr>
        <w:lastRenderedPageBreak/>
        <w:t xml:space="preserve">measurement can be seen in seismic resilience indices, weighting post-earthquake loss and recovery time (Zhai et al., 2023), scenario-based resilience indices of road networks (Rezvani et al., 2024) and pressure-state-response (PSR) flood resilience indices (Yang et al., 2025). Multi-stage models also show how pre-disaster city functionality determines performance in recovery (Zhang, J., Zhang, and Li, 2021). Although there have been methodological advances, resilience metrics are often not linked with action-oriented recovery </w:t>
      </w:r>
      <w:proofErr w:type="spellStart"/>
      <w:r w:rsidR="00F240DA">
        <w:rPr>
          <w:rFonts w:ascii="Arial" w:eastAsia="Arial" w:hAnsi="Arial" w:cs="Arial"/>
          <w:sz w:val="20"/>
          <w:szCs w:val="20"/>
        </w:rPr>
        <w:t>prioritisation</w:t>
      </w:r>
      <w:proofErr w:type="spellEnd"/>
      <w:r w:rsidR="00F240DA">
        <w:rPr>
          <w:rFonts w:ascii="Arial" w:eastAsia="Arial" w:hAnsi="Arial" w:cs="Arial"/>
          <w:sz w:val="20"/>
          <w:szCs w:val="20"/>
        </w:rPr>
        <w:t xml:space="preserve"> and resource allocation decisions.</w:t>
      </w:r>
    </w:p>
    <w:p w14:paraId="49C67964" w14:textId="01D0FEC9" w:rsidR="00EB72BC" w:rsidRDefault="00F901AF">
      <w:pPr>
        <w:spacing w:before="280" w:after="280" w:line="240" w:lineRule="auto"/>
        <w:jc w:val="both"/>
        <w:rPr>
          <w:rFonts w:ascii="Arial" w:eastAsia="Arial" w:hAnsi="Arial" w:cs="Arial"/>
          <w:sz w:val="20"/>
          <w:szCs w:val="20"/>
        </w:rPr>
      </w:pPr>
      <w:r w:rsidRPr="00F901AF">
        <w:rPr>
          <w:rFonts w:ascii="Arial" w:eastAsia="Arial" w:hAnsi="Arial" w:cs="Arial"/>
          <w:sz w:val="20"/>
          <w:szCs w:val="20"/>
          <w:highlight w:val="yellow"/>
        </w:rPr>
        <w:t>Post-disaster recovery (PDR) is commonly defined as the process of rebuilding human communities and infrastructure from disrupted states to normal states (</w:t>
      </w:r>
      <w:r w:rsidRPr="00F901AF">
        <w:rPr>
          <w:rFonts w:ascii="Arial" w:eastAsia="Arial" w:hAnsi="Arial" w:cs="Arial"/>
          <w:color w:val="000000"/>
          <w:sz w:val="20"/>
          <w:szCs w:val="20"/>
          <w:highlight w:val="yellow"/>
          <w:lang w:val="en-US"/>
        </w:rPr>
        <w:t>Xue et al., 2024)</w:t>
      </w:r>
      <w:r w:rsidRPr="00F901AF">
        <w:rPr>
          <w:rFonts w:ascii="Arial" w:eastAsia="Arial" w:hAnsi="Arial" w:cs="Arial"/>
          <w:sz w:val="20"/>
          <w:szCs w:val="20"/>
          <w:highlight w:val="yellow"/>
        </w:rPr>
        <w:t xml:space="preserve">. </w:t>
      </w:r>
      <w:r w:rsidR="00443DAB" w:rsidRPr="00F901AF">
        <w:rPr>
          <w:rFonts w:ascii="Arial" w:eastAsia="Arial" w:hAnsi="Arial" w:cs="Arial"/>
          <w:sz w:val="20"/>
          <w:szCs w:val="20"/>
          <w:highlight w:val="yellow"/>
        </w:rPr>
        <w:t>T</w:t>
      </w:r>
      <w:r w:rsidR="00443DAB">
        <w:rPr>
          <w:rFonts w:ascii="Arial" w:eastAsia="Arial" w:hAnsi="Arial" w:cs="Arial"/>
          <w:sz w:val="20"/>
          <w:szCs w:val="20"/>
        </w:rPr>
        <w:t>he</w:t>
      </w:r>
      <w:r w:rsidR="00F240DA">
        <w:rPr>
          <w:rFonts w:ascii="Arial" w:eastAsia="Arial" w:hAnsi="Arial" w:cs="Arial"/>
          <w:sz w:val="20"/>
          <w:szCs w:val="20"/>
        </w:rPr>
        <w:t xml:space="preserve"> actual operation of post-disaster infrastructure recovery involves the sequencing of the restoration operation in the environment of uncertainty, interdependency, and resource limitation. Application of network-based and </w:t>
      </w:r>
      <w:proofErr w:type="spellStart"/>
      <w:r w:rsidR="00F240DA">
        <w:rPr>
          <w:rFonts w:ascii="Arial" w:eastAsia="Arial" w:hAnsi="Arial" w:cs="Arial"/>
          <w:sz w:val="20"/>
          <w:szCs w:val="20"/>
        </w:rPr>
        <w:t>optimisation</w:t>
      </w:r>
      <w:proofErr w:type="spellEnd"/>
      <w:r w:rsidR="00F240DA">
        <w:rPr>
          <w:rFonts w:ascii="Arial" w:eastAsia="Arial" w:hAnsi="Arial" w:cs="Arial"/>
          <w:sz w:val="20"/>
          <w:szCs w:val="20"/>
        </w:rPr>
        <w:t xml:space="preserve"> models has been done to road-bridge systems (Zhang, W., Wang, et al., 2017), interdependent transport-power networks (Zhang, W., Han, et al., 2024), and integrated public transport systems (Liu et al., 2024). Policy-based, along with game-theoretic model deal with uncertainty and institutional coordination in interdependent systems (Sun et al., 2020; He and Cha, 2019). New approaches, such as deep reinforcement learning to </w:t>
      </w:r>
      <w:proofErr w:type="spellStart"/>
      <w:r w:rsidR="00F240DA">
        <w:rPr>
          <w:rFonts w:ascii="Arial" w:eastAsia="Arial" w:hAnsi="Arial" w:cs="Arial"/>
          <w:sz w:val="20"/>
          <w:szCs w:val="20"/>
        </w:rPr>
        <w:t>optimise</w:t>
      </w:r>
      <w:proofErr w:type="spellEnd"/>
      <w:r w:rsidR="00F240DA">
        <w:rPr>
          <w:rFonts w:ascii="Arial" w:eastAsia="Arial" w:hAnsi="Arial" w:cs="Arial"/>
          <w:sz w:val="20"/>
          <w:szCs w:val="20"/>
        </w:rPr>
        <w:t xml:space="preserve"> the process of restoration (Liang et al., 2025), hypernetworks, and AI-based decision-support systems (</w:t>
      </w:r>
      <w:proofErr w:type="spellStart"/>
      <w:r w:rsidR="00F240DA">
        <w:rPr>
          <w:rFonts w:ascii="Arial" w:eastAsia="Arial" w:hAnsi="Arial" w:cs="Arial"/>
          <w:sz w:val="20"/>
          <w:szCs w:val="20"/>
        </w:rPr>
        <w:t>Greenal</w:t>
      </w:r>
      <w:proofErr w:type="spellEnd"/>
      <w:r w:rsidR="00F240DA">
        <w:rPr>
          <w:rFonts w:ascii="Arial" w:eastAsia="Arial" w:hAnsi="Arial" w:cs="Arial"/>
          <w:sz w:val="20"/>
          <w:szCs w:val="20"/>
        </w:rPr>
        <w:t xml:space="preserve"> and </w:t>
      </w:r>
      <w:proofErr w:type="spellStart"/>
      <w:r w:rsidR="00F240DA">
        <w:rPr>
          <w:rFonts w:ascii="Arial" w:eastAsia="Arial" w:hAnsi="Arial" w:cs="Arial"/>
          <w:sz w:val="20"/>
          <w:szCs w:val="20"/>
        </w:rPr>
        <w:t>Anilkumar</w:t>
      </w:r>
      <w:proofErr w:type="spellEnd"/>
      <w:r w:rsidR="00F240DA">
        <w:rPr>
          <w:rFonts w:ascii="Arial" w:eastAsia="Arial" w:hAnsi="Arial" w:cs="Arial"/>
          <w:sz w:val="20"/>
          <w:szCs w:val="20"/>
        </w:rPr>
        <w:t>, 2025), are examples of increased work sophistication. Nevertheless, there is no systematic review on how these tools directly incorporate the measures of resilience and equity targets into recovery planning models.</w:t>
      </w:r>
    </w:p>
    <w:p w14:paraId="5E2BD222" w14:textId="49CB290E"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presence of governance and social equity aspects also makes recovery complicated. Comparative analyses of the post-disaster reconstruction planning in China </w:t>
      </w:r>
      <w:proofErr w:type="spellStart"/>
      <w:r>
        <w:rPr>
          <w:rFonts w:ascii="Arial" w:eastAsia="Arial" w:hAnsi="Arial" w:cs="Arial"/>
          <w:sz w:val="20"/>
          <w:szCs w:val="20"/>
        </w:rPr>
        <w:t>emphasise</w:t>
      </w:r>
      <w:proofErr w:type="spellEnd"/>
      <w:r>
        <w:rPr>
          <w:rFonts w:ascii="Arial" w:eastAsia="Arial" w:hAnsi="Arial" w:cs="Arial"/>
          <w:sz w:val="20"/>
          <w:szCs w:val="20"/>
        </w:rPr>
        <w:t xml:space="preserve"> the core role of state regulation in the formation of resilience outcomes (Shao and Xu, 2017; Xu and Shao, 2020), but local adaptive capacity is a highlight of </w:t>
      </w:r>
      <w:r w:rsidR="00443DAB">
        <w:rPr>
          <w:rFonts w:ascii="Arial" w:eastAsia="Arial" w:hAnsi="Arial" w:cs="Arial"/>
          <w:sz w:val="20"/>
          <w:szCs w:val="20"/>
        </w:rPr>
        <w:t>community-</w:t>
      </w:r>
      <w:proofErr w:type="spellStart"/>
      <w:r w:rsidR="00443DAB">
        <w:rPr>
          <w:rFonts w:ascii="Arial" w:eastAsia="Arial" w:hAnsi="Arial" w:cs="Arial"/>
          <w:sz w:val="20"/>
          <w:szCs w:val="20"/>
        </w:rPr>
        <w:t>centred</w:t>
      </w:r>
      <w:proofErr w:type="spellEnd"/>
      <w:r>
        <w:rPr>
          <w:rFonts w:ascii="Arial" w:eastAsia="Arial" w:hAnsi="Arial" w:cs="Arial"/>
          <w:sz w:val="20"/>
          <w:szCs w:val="20"/>
        </w:rPr>
        <w:t xml:space="preserve"> and Indigenous recovery (</w:t>
      </w:r>
      <w:proofErr w:type="spellStart"/>
      <w:r>
        <w:rPr>
          <w:rFonts w:ascii="Arial" w:eastAsia="Arial" w:hAnsi="Arial" w:cs="Arial"/>
          <w:sz w:val="20"/>
          <w:szCs w:val="20"/>
        </w:rPr>
        <w:t>Sabiq</w:t>
      </w:r>
      <w:proofErr w:type="spellEnd"/>
      <w:r>
        <w:rPr>
          <w:rFonts w:ascii="Arial" w:eastAsia="Arial" w:hAnsi="Arial" w:cs="Arial"/>
          <w:sz w:val="20"/>
          <w:szCs w:val="20"/>
        </w:rPr>
        <w:t xml:space="preserve"> and </w:t>
      </w:r>
      <w:proofErr w:type="spellStart"/>
      <w:r>
        <w:rPr>
          <w:rFonts w:ascii="Arial" w:eastAsia="Arial" w:hAnsi="Arial" w:cs="Arial"/>
          <w:sz w:val="20"/>
          <w:szCs w:val="20"/>
        </w:rPr>
        <w:t>Afrisal</w:t>
      </w:r>
      <w:proofErr w:type="spellEnd"/>
      <w:r>
        <w:rPr>
          <w:rFonts w:ascii="Arial" w:eastAsia="Arial" w:hAnsi="Arial" w:cs="Arial"/>
          <w:sz w:val="20"/>
          <w:szCs w:val="20"/>
        </w:rPr>
        <w:t xml:space="preserve">, 2025). The studies put an emphasis on the fact that institutional coordination, stakeholder engagement, and </w:t>
      </w:r>
      <w:proofErr w:type="gramStart"/>
      <w:r>
        <w:rPr>
          <w:rFonts w:ascii="Arial" w:eastAsia="Arial" w:hAnsi="Arial" w:cs="Arial"/>
          <w:sz w:val="20"/>
          <w:szCs w:val="20"/>
        </w:rPr>
        <w:t>end-users'</w:t>
      </w:r>
      <w:proofErr w:type="gramEnd"/>
      <w:r>
        <w:rPr>
          <w:rFonts w:ascii="Arial" w:eastAsia="Arial" w:hAnsi="Arial" w:cs="Arial"/>
          <w:sz w:val="20"/>
          <w:szCs w:val="20"/>
        </w:rPr>
        <w:t xml:space="preserve"> perceptions have an impact on recovery performance (Charles et al., 2022, 2023). Cascading risks are increased by interdependences between infrastructure systems (Kanno et al., 2019; He and Cha, 2022), and effects of multi-risk scenarios reveal constraints of traditional planning strategies (Mohammadi et al., 2024). There is still an unequal recovery among equities, and the vulnerable groups tend to be the slowest to recover services (Cutter et al., 2010).</w:t>
      </w:r>
    </w:p>
    <w:p w14:paraId="52295644"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Despite the fact that there is a substantial amount of scholarly work on the topic of urban resilience, disaster governance, and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of infrastructures, there is still a lack of coordination between related fields. Reviews have </w:t>
      </w:r>
      <w:proofErr w:type="spellStart"/>
      <w:r>
        <w:rPr>
          <w:rFonts w:ascii="Arial" w:eastAsia="Arial" w:hAnsi="Arial" w:cs="Arial"/>
          <w:sz w:val="20"/>
          <w:szCs w:val="20"/>
        </w:rPr>
        <w:t>analysed</w:t>
      </w:r>
      <w:proofErr w:type="spellEnd"/>
      <w:r>
        <w:rPr>
          <w:rFonts w:ascii="Arial" w:eastAsia="Arial" w:hAnsi="Arial" w:cs="Arial"/>
          <w:sz w:val="20"/>
          <w:szCs w:val="20"/>
        </w:rPr>
        <w:t xml:space="preserve"> asset management and GIS-enabled decision support (Rezvani et al., 2023) and interdependent infrastructure recovery research (Huang and Li, 2025), but no integrated mapping has been done so far, focusing specifically on post-disaster urban infrastructure recovery and its definition, measures,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models, governance issues, and data demands.</w:t>
      </w:r>
    </w:p>
    <w:p w14:paraId="16DF4878"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This paper presents a systematic literature review on resilience-based urban infrastructure recovery in disaster recovery, specifically on resilience measures, priority models, decision-making, equity and data needs.</w:t>
      </w:r>
    </w:p>
    <w:p w14:paraId="0EEBEE4D"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1.1 Aim of the Review</w:t>
      </w:r>
    </w:p>
    <w:p w14:paraId="0C21B720"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To map resilience-based planning methods that guide urban infrastructure recovery after disasters, focusing on resilience metrics, prioritization models, decision frameworks, equity considerations, and data requirements.</w:t>
      </w:r>
    </w:p>
    <w:p w14:paraId="047AEE1E"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1.2 Research Questions</w:t>
      </w:r>
    </w:p>
    <w:p w14:paraId="7B0D9DCE"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1. How is resilience defined and measured in post-disaster urban infrastructure recovery (service continuity, recovery time, robustness, adaptive capacity), and what metrics are most commonly used?</w:t>
      </w:r>
      <w:r>
        <w:rPr>
          <w:rFonts w:ascii="Arial" w:eastAsia="Arial" w:hAnsi="Arial" w:cs="Arial"/>
          <w:sz w:val="20"/>
          <w:szCs w:val="20"/>
        </w:rPr>
        <w:br/>
        <w:t>2. What planning/optimization methods are used (multi-criteria decision analysis, simulation, network analytics, AI/ML forecasting, resource allocation models) to prioritize recovery actions?</w:t>
      </w:r>
      <w:r>
        <w:rPr>
          <w:rFonts w:ascii="Arial" w:eastAsia="Arial" w:hAnsi="Arial" w:cs="Arial"/>
          <w:sz w:val="20"/>
          <w:szCs w:val="20"/>
        </w:rPr>
        <w:br/>
      </w:r>
      <w:r>
        <w:rPr>
          <w:rFonts w:ascii="Arial" w:eastAsia="Arial" w:hAnsi="Arial" w:cs="Arial"/>
          <w:sz w:val="20"/>
          <w:szCs w:val="20"/>
        </w:rPr>
        <w:lastRenderedPageBreak/>
        <w:t>3. What governance, equity, and data challenges are reported, and how do studies address vulnerable populations, interdependencies, and uncertainty?</w:t>
      </w:r>
    </w:p>
    <w:p w14:paraId="546BEEC8"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2.0 Theoretical Framework: Resilience Theory</w:t>
      </w:r>
    </w:p>
    <w:p w14:paraId="4BB44DBD"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2.1 Conceptual foundations of resilience theory</w:t>
      </w:r>
    </w:p>
    <w:p w14:paraId="5F1738C1"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main theoretical framework that will be used to evaluate resilience-based planning in urban infrastructure under post-disaster recovery is the resilience theory. The concept of resilience was initially developed in the ecological sciences by C. S. Holling, where resilience was described as the ability of a system to withstand perturbations whilst maintaining its fundamental structure and functioning (Holling, 1973). Unlike the classical equilibrium-based methods, which focus on stability and resistance to perturbations, the resilience theory </w:t>
      </w:r>
      <w:proofErr w:type="spellStart"/>
      <w:r>
        <w:rPr>
          <w:rFonts w:ascii="Arial" w:eastAsia="Arial" w:hAnsi="Arial" w:cs="Arial"/>
          <w:sz w:val="20"/>
          <w:szCs w:val="20"/>
        </w:rPr>
        <w:t>recognises</w:t>
      </w:r>
      <w:proofErr w:type="spellEnd"/>
      <w:r>
        <w:rPr>
          <w:rFonts w:ascii="Arial" w:eastAsia="Arial" w:hAnsi="Arial" w:cs="Arial"/>
          <w:sz w:val="20"/>
          <w:szCs w:val="20"/>
        </w:rPr>
        <w:t xml:space="preserve"> that complex systems undergo shocks and stresses, and, by that, they should have the ability to adjust, restructure, and stay active during the disturbances.</w:t>
      </w:r>
    </w:p>
    <w:p w14:paraId="18E92FF0"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resilience theory has experienced massive development over the last several decades and has been implemented in various fields, such as disaster risk management, engineering systems, urban planning, and infrastructure management. Such expansion is associated with the understanding that modern cities are </w:t>
      </w:r>
      <w:proofErr w:type="spellStart"/>
      <w:r>
        <w:rPr>
          <w:rFonts w:ascii="Arial" w:eastAsia="Arial" w:hAnsi="Arial" w:cs="Arial"/>
          <w:sz w:val="20"/>
          <w:szCs w:val="20"/>
        </w:rPr>
        <w:t>characterised</w:t>
      </w:r>
      <w:proofErr w:type="spellEnd"/>
      <w:r>
        <w:rPr>
          <w:rFonts w:ascii="Arial" w:eastAsia="Arial" w:hAnsi="Arial" w:cs="Arial"/>
          <w:sz w:val="20"/>
          <w:szCs w:val="20"/>
        </w:rPr>
        <w:t xml:space="preserve"> by interdependent socio-technical systems that cannot merely withstand disruptions but also have to recuperate a lot faster and adapt to emerging conditions (</w:t>
      </w:r>
      <w:proofErr w:type="spellStart"/>
      <w:r>
        <w:rPr>
          <w:rFonts w:ascii="Arial" w:eastAsia="Arial" w:hAnsi="Arial" w:cs="Arial"/>
          <w:sz w:val="20"/>
          <w:szCs w:val="20"/>
        </w:rPr>
        <w:t>Meerow</w:t>
      </w:r>
      <w:proofErr w:type="spellEnd"/>
      <w:r>
        <w:rPr>
          <w:rFonts w:ascii="Arial" w:eastAsia="Arial" w:hAnsi="Arial" w:cs="Arial"/>
          <w:sz w:val="20"/>
          <w:szCs w:val="20"/>
        </w:rPr>
        <w:t xml:space="preserve"> et al., 2016). As a result, resilience has become one of the key concepts of urban sustainability and disaster risk reduction.</w:t>
      </w:r>
    </w:p>
    <w:p w14:paraId="44E0CC46"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In the framework of infrastructure systems, resilience refers to the capability of important infrastructure networks to predict, absorb, adapt to, and quickly recuperate disruption incidents like natural disasters or technological failures. Urban functionality is based on infrastructure systems: transport, electricity, water supply, telecommunication, and medical services. In the event of tragedies, local interruptions of such systems can trigger a series of events on economic activities, human health, and stability. Therefore, the resilience theory provides a guideline on how infrastructure systems may maintain critical services and how they can equally recover effectively after being hit (Bruneau et al., 2003).</w:t>
      </w:r>
    </w:p>
    <w:p w14:paraId="7F097B35"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One of the most commonly used definitions of resilience in engineering and infrastructure studies describes resilience as a process that has four core dimensions, namely, robustness, redundancy, resourcefulness, and quickness (Bruneau et al., 2003). Robustness is the ability of the infrastructure systems to resist disturbances without much of the functionality being lost. Redundancy refers to the fact that there are other components or pathways that can be used when parts are not available to allow the systems to operate. Resourcefulness is the ability of institutions and stakeholders to </w:t>
      </w:r>
      <w:proofErr w:type="spellStart"/>
      <w:r>
        <w:rPr>
          <w:rFonts w:ascii="Arial" w:eastAsia="Arial" w:hAnsi="Arial" w:cs="Arial"/>
          <w:sz w:val="20"/>
          <w:szCs w:val="20"/>
        </w:rPr>
        <w:t>mobilise</w:t>
      </w:r>
      <w:proofErr w:type="spellEnd"/>
      <w:r>
        <w:rPr>
          <w:rFonts w:ascii="Arial" w:eastAsia="Arial" w:hAnsi="Arial" w:cs="Arial"/>
          <w:sz w:val="20"/>
          <w:szCs w:val="20"/>
        </w:rPr>
        <w:t xml:space="preserve"> resources and the capacity to coordinate to respond in the process of recovery. Rapidity describes the rate at which the systems may recover after failures. In combination with each other, these dimensions give a holistic view of the rules of determining the resiliency of infrastructure systems.</w:t>
      </w:r>
    </w:p>
    <w:p w14:paraId="29C8A208"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2.2 Resilience in urban infrastructure systems</w:t>
      </w:r>
    </w:p>
    <w:p w14:paraId="10FCD777"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systems of urban infrastructure are generally identified as more complex socio-technical networks where physical assets, institutional governance structures and human actors are interrelated. Such systems are interrelated and interdependent, which implies that the impact of one sector of infrastructure can spread to the others. As an illustration, the breakdown in electricity networks could impact the treatment plants and transportation systems, as well as health sector services. These interdependencies make the urban infrastructure very susceptible to cascading disruption during disasters.</w:t>
      </w:r>
    </w:p>
    <w:p w14:paraId="4EE29971"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theory of resilience provides an analytic approach to the understanding of such interactions, as well as the assessment of the response of infrastructure systems to disturbances. Urban resilience as a concept has become a popular idea in the context of urban planning and infrastructure management over the past few years because cities are now working to enhance their ability to recover after climate-related impacts, natural disasters, and other systemic shocks (</w:t>
      </w:r>
      <w:proofErr w:type="spellStart"/>
      <w:r>
        <w:rPr>
          <w:rFonts w:ascii="Arial" w:eastAsia="Arial" w:hAnsi="Arial" w:cs="Arial"/>
          <w:sz w:val="20"/>
          <w:szCs w:val="20"/>
        </w:rPr>
        <w:t>Meerow</w:t>
      </w:r>
      <w:proofErr w:type="spellEnd"/>
      <w:r>
        <w:rPr>
          <w:rFonts w:ascii="Arial" w:eastAsia="Arial" w:hAnsi="Arial" w:cs="Arial"/>
          <w:sz w:val="20"/>
          <w:szCs w:val="20"/>
        </w:rPr>
        <w:t xml:space="preserve"> et al., 2016). In this view, resilience is no longer </w:t>
      </w:r>
      <w:r>
        <w:rPr>
          <w:rFonts w:ascii="Arial" w:eastAsia="Arial" w:hAnsi="Arial" w:cs="Arial"/>
          <w:sz w:val="20"/>
          <w:szCs w:val="20"/>
        </w:rPr>
        <w:lastRenderedPageBreak/>
        <w:t>limited to physical infrastructure strength, but also institutional ability, governing institutions, and the ability of the community to act in case of a disaster.</w:t>
      </w:r>
    </w:p>
    <w:p w14:paraId="66255A24"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three complementary perspectives (engineering resilience, socio-institutional resilience and adaptive resilience) are commonly used to </w:t>
      </w:r>
      <w:proofErr w:type="spellStart"/>
      <w:r>
        <w:rPr>
          <w:rFonts w:ascii="Arial" w:eastAsia="Arial" w:hAnsi="Arial" w:cs="Arial"/>
          <w:sz w:val="20"/>
          <w:szCs w:val="20"/>
        </w:rPr>
        <w:t>conceptualise</w:t>
      </w:r>
      <w:proofErr w:type="spellEnd"/>
      <w:r>
        <w:rPr>
          <w:rFonts w:ascii="Arial" w:eastAsia="Arial" w:hAnsi="Arial" w:cs="Arial"/>
          <w:sz w:val="20"/>
          <w:szCs w:val="20"/>
        </w:rPr>
        <w:t xml:space="preserve"> infrastructure resilience. Engineering resilience focuses on the ability of infrastructure systems to resume the functionality of the system soon after disruptions. This view is especially so in critical infrastructure like electricity, transportation and water supply, where the social and economic effects of service disruption can be immediate.</w:t>
      </w:r>
    </w:p>
    <w:p w14:paraId="42000BF7"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Socio-institutional resilience </w:t>
      </w:r>
      <w:proofErr w:type="spellStart"/>
      <w:r>
        <w:rPr>
          <w:rFonts w:ascii="Arial" w:eastAsia="Arial" w:hAnsi="Arial" w:cs="Arial"/>
          <w:sz w:val="20"/>
          <w:szCs w:val="20"/>
        </w:rPr>
        <w:t>emphasises</w:t>
      </w:r>
      <w:proofErr w:type="spellEnd"/>
      <w:r>
        <w:rPr>
          <w:rFonts w:ascii="Arial" w:eastAsia="Arial" w:hAnsi="Arial" w:cs="Arial"/>
          <w:sz w:val="20"/>
          <w:szCs w:val="20"/>
        </w:rPr>
        <w:t xml:space="preserve"> the role of governance systems, collaborative efforts among stakeholders, and institutional capacity in the process of disaster recovery. The process of infrastructure recovery can have a number of different actors, such as the state government, special infrastructure service providers, emergency response teams, and community associations. Good coordination of these actors is necessary in order to have effective recovery and rebuilding operations.</w:t>
      </w:r>
    </w:p>
    <w:p w14:paraId="16D7EA5C"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Adaptive resiliency is concerned with how systems and institutions can learn through the experiences of the past and respond better to future disasters. The view also </w:t>
      </w:r>
      <w:proofErr w:type="spellStart"/>
      <w:r>
        <w:rPr>
          <w:rFonts w:ascii="Arial" w:eastAsia="Arial" w:hAnsi="Arial" w:cs="Arial"/>
          <w:sz w:val="20"/>
          <w:szCs w:val="20"/>
        </w:rPr>
        <w:t>emphasises</w:t>
      </w:r>
      <w:proofErr w:type="spellEnd"/>
      <w:r>
        <w:rPr>
          <w:rFonts w:ascii="Arial" w:eastAsia="Arial" w:hAnsi="Arial" w:cs="Arial"/>
          <w:sz w:val="20"/>
          <w:szCs w:val="20"/>
        </w:rPr>
        <w:t xml:space="preserve"> the need to use lessons learned in the past in the planning and policy development of infrastructure. A combination of these views can be used to offer a comprehensive resilience theory of how infrastructure systems can be able to sustain functionality and adjust to changing risk conditions.</w:t>
      </w:r>
    </w:p>
    <w:p w14:paraId="744686E9"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2.3 Resilience-based planning in post-disaster infrastructure recovery</w:t>
      </w:r>
    </w:p>
    <w:p w14:paraId="50B2A163"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Resilience-based planning has become an important approach towards improving the process of recovery during disasters within the urban infrastructural systems. Most of the traditional post-disaster recovery strategies focus mainly on the </w:t>
      </w:r>
      <w:proofErr w:type="spellStart"/>
      <w:r>
        <w:rPr>
          <w:rFonts w:ascii="Arial" w:eastAsia="Arial" w:hAnsi="Arial" w:cs="Arial"/>
          <w:sz w:val="20"/>
          <w:szCs w:val="20"/>
        </w:rPr>
        <w:t>remodelling</w:t>
      </w:r>
      <w:proofErr w:type="spellEnd"/>
      <w:r>
        <w:rPr>
          <w:rFonts w:ascii="Arial" w:eastAsia="Arial" w:hAnsi="Arial" w:cs="Arial"/>
          <w:sz w:val="20"/>
          <w:szCs w:val="20"/>
        </w:rPr>
        <w:t xml:space="preserve"> of the damaged properties as a way of returning them to their pre-disaster environment. Although these strategies may help restore the functioning capacity of infrastructures within a short time, they usually do not help to mitigate the underlying vulnerabilities, which led to the collapse of the infrastructure during disastrous events.</w:t>
      </w:r>
    </w:p>
    <w:p w14:paraId="6FE63FD5"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Conversely, resilience-based planning focuses on rebuilding the infrastructure systems in a manner that enhances their ability to withstand the occurrence of future hazards. This approach is consistent with the general principle of a build back better that is advocated by the global models of disaster risk reduction, in particular the Sendai Framework of Disaster Risk Reduction. Therefore, resilience-based planning aims at integrating risk </w:t>
      </w:r>
      <w:proofErr w:type="spellStart"/>
      <w:r>
        <w:rPr>
          <w:rFonts w:ascii="Arial" w:eastAsia="Arial" w:hAnsi="Arial" w:cs="Arial"/>
          <w:sz w:val="20"/>
          <w:szCs w:val="20"/>
        </w:rPr>
        <w:t>minimisation</w:t>
      </w:r>
      <w:proofErr w:type="spellEnd"/>
      <w:r>
        <w:rPr>
          <w:rFonts w:ascii="Arial" w:eastAsia="Arial" w:hAnsi="Arial" w:cs="Arial"/>
          <w:sz w:val="20"/>
          <w:szCs w:val="20"/>
        </w:rPr>
        <w:t>, infrastructure resilience and adaptability in the recovery operation.</w:t>
      </w:r>
    </w:p>
    <w:p w14:paraId="6F2BCBA8"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One of the key principles of resilience-based planning is the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of infrastructure restoration efforts based on their impact on the system functionality as a whole. Due to the nature of infrastructure networks being interdependent, the restoration of some of the key elements can have a ripple effect in various sectors. Indicatively, by fixing the electrical power in a hospital, medical equipment, communications, and water supply facilities will also be operational at the same time. Therefore, the decision-makers should consider the restoration approaches considering the system-wide effects instead of working on individual assets.</w:t>
      </w:r>
    </w:p>
    <w:p w14:paraId="7E30E0D7"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other important component of resilience-based planning is the inclusion of the risk assessment and scenario analysis component in recovery planning. Scenario-based planning enables the decision-makers to consider potential disaster outcomes and develop recovery strategies that will work in uncertain conditions. These proactive measures allow for the vulnerabilities within the infrastructures before the disasters take place (</w:t>
      </w:r>
      <w:proofErr w:type="spellStart"/>
      <w:r>
        <w:rPr>
          <w:rFonts w:ascii="Arial" w:eastAsia="Arial" w:hAnsi="Arial" w:cs="Arial"/>
          <w:sz w:val="20"/>
          <w:szCs w:val="20"/>
        </w:rPr>
        <w:t>Cimellaro</w:t>
      </w:r>
      <w:proofErr w:type="spellEnd"/>
      <w:r>
        <w:rPr>
          <w:rFonts w:ascii="Arial" w:eastAsia="Arial" w:hAnsi="Arial" w:cs="Arial"/>
          <w:sz w:val="20"/>
          <w:szCs w:val="20"/>
        </w:rPr>
        <w:t>, 2016).</w:t>
      </w:r>
    </w:p>
    <w:p w14:paraId="342E9F34"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2.4 Measuring infrastructure resilience</w:t>
      </w:r>
    </w:p>
    <w:p w14:paraId="7B9E548B"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lastRenderedPageBreak/>
        <w:t xml:space="preserve">One of the main problems when relating the resilience theory to infrastructure systems is the </w:t>
      </w:r>
      <w:proofErr w:type="spellStart"/>
      <w:r>
        <w:rPr>
          <w:rFonts w:ascii="Arial" w:eastAsia="Arial" w:hAnsi="Arial" w:cs="Arial"/>
          <w:sz w:val="20"/>
          <w:szCs w:val="20"/>
        </w:rPr>
        <w:t>operationalisation</w:t>
      </w:r>
      <w:proofErr w:type="spellEnd"/>
      <w:r>
        <w:rPr>
          <w:rFonts w:ascii="Arial" w:eastAsia="Arial" w:hAnsi="Arial" w:cs="Arial"/>
          <w:sz w:val="20"/>
          <w:szCs w:val="20"/>
        </w:rPr>
        <w:t xml:space="preserve"> and measurement of resilience. Since resilience is a multidimensional concept, it implies that it is a concept that includes robustness, the speed of recovery, and adaptive capacity; its measurement requires the creation of quantitative measures, gauging system performance through time.</w:t>
      </w:r>
    </w:p>
    <w:p w14:paraId="041E63B8"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A number of methodologies have been developed in the literature to measure infrastructure resilience. A typical approach makes use of resilience curves that outline the development of the infrastructure system functionality during and after a disturbance. Such curves generally measure the system performance with respect to time in terms of the degree to which a system will degrade during a disaster, and also how fast the system will recover (Bruneau et al., 2003). The region under the resilience curve is a general measure of the resilience, and the higher the value, the faster it recovers and the less service interruption.</w:t>
      </w:r>
    </w:p>
    <w:p w14:paraId="1CE429D7"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other strategy, which has been popularly used, is the development of resilience indexes which combine various indicators into a composite index of infrastructure resilience. These indices might include infrastructural redundancy, connection of the systems, period of recovery, and institutional capability. These indices allow researchers and planners to assess resilience in the various sectors and within different geographic conditions by combining many indicators.</w:t>
      </w:r>
    </w:p>
    <w:p w14:paraId="7825E615"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It is also common to use scenario-based modelling to determine the resilience of infrastructure when subjected to different conditions of hazards. Simulation models also enable researchers to </w:t>
      </w:r>
      <w:proofErr w:type="spellStart"/>
      <w:r>
        <w:rPr>
          <w:rFonts w:ascii="Arial" w:eastAsia="Arial" w:hAnsi="Arial" w:cs="Arial"/>
          <w:sz w:val="20"/>
          <w:szCs w:val="20"/>
        </w:rPr>
        <w:t>analyse</w:t>
      </w:r>
      <w:proofErr w:type="spellEnd"/>
      <w:r>
        <w:rPr>
          <w:rFonts w:ascii="Arial" w:eastAsia="Arial" w:hAnsi="Arial" w:cs="Arial"/>
          <w:sz w:val="20"/>
          <w:szCs w:val="20"/>
        </w:rPr>
        <w:t xml:space="preserve"> the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of the infrastructure systems in response to hypothetical disaster emergencies and also </w:t>
      </w:r>
      <w:proofErr w:type="spellStart"/>
      <w:r>
        <w:rPr>
          <w:rFonts w:ascii="Arial" w:eastAsia="Arial" w:hAnsi="Arial" w:cs="Arial"/>
          <w:sz w:val="20"/>
          <w:szCs w:val="20"/>
        </w:rPr>
        <w:t>analyse</w:t>
      </w:r>
      <w:proofErr w:type="spellEnd"/>
      <w:r>
        <w:rPr>
          <w:rFonts w:ascii="Arial" w:eastAsia="Arial" w:hAnsi="Arial" w:cs="Arial"/>
          <w:sz w:val="20"/>
          <w:szCs w:val="20"/>
        </w:rPr>
        <w:t xml:space="preserve"> the effectiveness of different recovery strategies. Such models are capable of considering such factors as the degree of infrastructure damage, the time of its repair, the availability of resources, and the interconnections of the infrastructure systems (</w:t>
      </w:r>
      <w:proofErr w:type="spellStart"/>
      <w:r>
        <w:rPr>
          <w:rFonts w:ascii="Arial" w:eastAsia="Arial" w:hAnsi="Arial" w:cs="Arial"/>
          <w:sz w:val="20"/>
          <w:szCs w:val="20"/>
        </w:rPr>
        <w:t>Cimellaro</w:t>
      </w:r>
      <w:proofErr w:type="spellEnd"/>
      <w:r>
        <w:rPr>
          <w:rFonts w:ascii="Arial" w:eastAsia="Arial" w:hAnsi="Arial" w:cs="Arial"/>
          <w:sz w:val="20"/>
          <w:szCs w:val="20"/>
        </w:rPr>
        <w:t>, 2016).</w:t>
      </w:r>
    </w:p>
    <w:p w14:paraId="60F8B0AF"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2.5 Relevance of resilience theory to the study</w:t>
      </w:r>
    </w:p>
    <w:p w14:paraId="3F9F098F"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resilience theory provides a strong theoretical basis for studying resilience-based planning of urban infrastructure in post-disaster recovery. The theory deals with some of the critical issues that have been brought up by infrastructure restoration, such as the need to restore the necessary services promptly, managing the interdependence of infrastructure systems, and embedding adaptive learning in the recovery planning processes.</w:t>
      </w:r>
    </w:p>
    <w:p w14:paraId="533E8093"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In the setting of the present study, the resilience theory explains the way the infrastructure recovery plans can be developed to </w:t>
      </w:r>
      <w:proofErr w:type="spellStart"/>
      <w:r>
        <w:rPr>
          <w:rFonts w:ascii="Arial" w:eastAsia="Arial" w:hAnsi="Arial" w:cs="Arial"/>
          <w:sz w:val="20"/>
          <w:szCs w:val="20"/>
        </w:rPr>
        <w:t>maximise</w:t>
      </w:r>
      <w:proofErr w:type="spellEnd"/>
      <w:r>
        <w:rPr>
          <w:rFonts w:ascii="Arial" w:eastAsia="Arial" w:hAnsi="Arial" w:cs="Arial"/>
          <w:sz w:val="20"/>
          <w:szCs w:val="20"/>
        </w:rPr>
        <w:t xml:space="preserve"> the functioning of the system and reduce the susceptibility to any future occurrences. The theory provides a framework that judges the effectiveness of disparate recovery planning techniques by concentrating on resilience measures, such as service continuity, recovery time, and system robustness.</w:t>
      </w:r>
    </w:p>
    <w:p w14:paraId="1FD76823"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Furthermore, the resilience theory is the basis of applying analytic tools and decision support models to </w:t>
      </w:r>
      <w:proofErr w:type="spellStart"/>
      <w:r>
        <w:rPr>
          <w:rFonts w:ascii="Arial" w:eastAsia="Arial" w:hAnsi="Arial" w:cs="Arial"/>
          <w:sz w:val="20"/>
          <w:szCs w:val="20"/>
        </w:rPr>
        <w:t>prioritise</w:t>
      </w:r>
      <w:proofErr w:type="spellEnd"/>
      <w:r>
        <w:rPr>
          <w:rFonts w:ascii="Arial" w:eastAsia="Arial" w:hAnsi="Arial" w:cs="Arial"/>
          <w:sz w:val="20"/>
          <w:szCs w:val="20"/>
        </w:rPr>
        <w:t xml:space="preserve"> infrastructure restoration processes. These tools allow planners to determine crucial pieces of infrastructure whose recovery would make significant improvements in the performance of the entire system. This strategy is especially decisive in a disaster recovery environment where there are few resources that have to be used effectively to recover critical services.</w:t>
      </w:r>
    </w:p>
    <w:p w14:paraId="25C2CD4D"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incorporation of the resilience theory is also in line with the current policy frameworks of cities that focus on sustainable and resilient development of infrastructure. This is in part due to the increasing espousal of resilience-based planning strategies that incorporate the aspect of disaster risk mitigation in the urban development strategies by international </w:t>
      </w:r>
      <w:proofErr w:type="spellStart"/>
      <w:r>
        <w:rPr>
          <w:rFonts w:ascii="Arial" w:eastAsia="Arial" w:hAnsi="Arial" w:cs="Arial"/>
          <w:sz w:val="20"/>
          <w:szCs w:val="20"/>
        </w:rPr>
        <w:t>organisations</w:t>
      </w:r>
      <w:proofErr w:type="spellEnd"/>
      <w:r>
        <w:rPr>
          <w:rFonts w:ascii="Arial" w:eastAsia="Arial" w:hAnsi="Arial" w:cs="Arial"/>
          <w:sz w:val="20"/>
          <w:szCs w:val="20"/>
        </w:rPr>
        <w:t xml:space="preserve"> and policy frameworks. Through implementing the resilience theory as the main theoretical framework, the research is part of the growing body of literature to </w:t>
      </w:r>
      <w:proofErr w:type="spellStart"/>
      <w:r>
        <w:rPr>
          <w:rFonts w:ascii="Arial" w:eastAsia="Arial" w:hAnsi="Arial" w:cs="Arial"/>
          <w:sz w:val="20"/>
          <w:szCs w:val="20"/>
        </w:rPr>
        <w:t>operationalise</w:t>
      </w:r>
      <w:proofErr w:type="spellEnd"/>
      <w:r>
        <w:rPr>
          <w:rFonts w:ascii="Arial" w:eastAsia="Arial" w:hAnsi="Arial" w:cs="Arial"/>
          <w:sz w:val="20"/>
          <w:szCs w:val="20"/>
        </w:rPr>
        <w:t xml:space="preserve"> the principles of resilience in the context of infrastructure planning and disaster recovery.</w:t>
      </w:r>
    </w:p>
    <w:p w14:paraId="3D4ABA7F"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2.6 Implications for resilience-based urban infrastructure planning</w:t>
      </w:r>
    </w:p>
    <w:p w14:paraId="76E16476"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lastRenderedPageBreak/>
        <w:t xml:space="preserve">Using the resilience theory in the planning of urban infrastructure has a number of implications for disaster recovery planning. To begin with, resilience-based planning urges the decision-makers to go beyond the standard infrastructure repair policies and pursue comprehensive approaches that would </w:t>
      </w:r>
      <w:proofErr w:type="gramStart"/>
      <w:r>
        <w:rPr>
          <w:rFonts w:ascii="Arial" w:eastAsia="Arial" w:hAnsi="Arial" w:cs="Arial"/>
          <w:sz w:val="20"/>
          <w:szCs w:val="20"/>
        </w:rPr>
        <w:t>take into account</w:t>
      </w:r>
      <w:proofErr w:type="gramEnd"/>
      <w:r>
        <w:rPr>
          <w:rFonts w:ascii="Arial" w:eastAsia="Arial" w:hAnsi="Arial" w:cs="Arial"/>
          <w:sz w:val="20"/>
          <w:szCs w:val="20"/>
        </w:rPr>
        <w:t xml:space="preserve"> the system interdependencies and sustainability over time. This view </w:t>
      </w:r>
      <w:proofErr w:type="spellStart"/>
      <w:r>
        <w:rPr>
          <w:rFonts w:ascii="Arial" w:eastAsia="Arial" w:hAnsi="Arial" w:cs="Arial"/>
          <w:sz w:val="20"/>
          <w:szCs w:val="20"/>
        </w:rPr>
        <w:t>recognises</w:t>
      </w:r>
      <w:proofErr w:type="spellEnd"/>
      <w:r>
        <w:rPr>
          <w:rFonts w:ascii="Arial" w:eastAsia="Arial" w:hAnsi="Arial" w:cs="Arial"/>
          <w:sz w:val="20"/>
          <w:szCs w:val="20"/>
        </w:rPr>
        <w:t xml:space="preserve"> that restoration of infrastructure in the manner it was before disasters can help to mitigate vulnerabilities and increase the chances of future hiccups.</w:t>
      </w:r>
    </w:p>
    <w:p w14:paraId="3FD80A43"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Second, the resilience theory highlights the importance of considering technical, institutional, and social aspects of the infrastructure recovery planning. The recovery efforts demand that various stakeholders, such as government agencies, infrastructure operators, the players in the private sector, and the local communities, collaborate effectively. It is important to increase coordination amongst these actors, hence to improve infrastructure resilience.</w:t>
      </w:r>
    </w:p>
    <w:p w14:paraId="5E0E8EDE"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Third, resilience-based planning speculates the significance of learning and adaptation in disaster handling. The process of recovery should also include the lessons learned in past disasters and use them to enhance the planning of infrastructure and risk-management policies in the future. These types of adaptations can be used to make sure that the systems of urban infrastructure are increasingly resilient as time goes on.</w:t>
      </w:r>
    </w:p>
    <w:p w14:paraId="6F8BD561"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Essentially, the resilience theory is a holistic approach to the analysis of a scenario in which urban infrastructure systems can overcome disruptions, recover effectively, and respond to changing risks. Through the application of this theoretical lens, this current research aims to investigate how resilience-based planning strategies can enhance the post-disaster recovery efforts and help create a more resilient urban system of infrastructure.</w:t>
      </w:r>
    </w:p>
    <w:p w14:paraId="6285D84E"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3.0 Methodology</w:t>
      </w:r>
    </w:p>
    <w:p w14:paraId="43C82218"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3.1 Study Design</w:t>
      </w:r>
    </w:p>
    <w:p w14:paraId="6FD0D2ED"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proposed research used the scoping review design to map and </w:t>
      </w:r>
      <w:proofErr w:type="spellStart"/>
      <w:r>
        <w:rPr>
          <w:rFonts w:ascii="Arial" w:eastAsia="Arial" w:hAnsi="Arial" w:cs="Arial"/>
          <w:sz w:val="20"/>
          <w:szCs w:val="20"/>
        </w:rPr>
        <w:t>synthesise</w:t>
      </w:r>
      <w:proofErr w:type="spellEnd"/>
      <w:r>
        <w:rPr>
          <w:rFonts w:ascii="Arial" w:eastAsia="Arial" w:hAnsi="Arial" w:cs="Arial"/>
          <w:sz w:val="20"/>
          <w:szCs w:val="20"/>
        </w:rPr>
        <w:t xml:space="preserve"> resilience-based approaches to planning that could inform the recovery process of urban infrastructure in the aftermath of the disaster. It was especially suitable for a scoping review since the field included various disciplines, such as civil engineering, infrastructure systems, disaster risk reduction, urban planning, governance studies and computational modelling and a wide array of methodological solutions, including simulation modelling,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algorithms, empirical case studies, and policy analysis. The process did not aim to evaluate the effectiveness of interventions, but to look at the </w:t>
      </w:r>
      <w:proofErr w:type="spellStart"/>
      <w:r>
        <w:rPr>
          <w:rFonts w:ascii="Arial" w:eastAsia="Arial" w:hAnsi="Arial" w:cs="Arial"/>
          <w:sz w:val="20"/>
          <w:szCs w:val="20"/>
        </w:rPr>
        <w:t>conceptualisation</w:t>
      </w:r>
      <w:proofErr w:type="spellEnd"/>
      <w:r>
        <w:rPr>
          <w:rFonts w:ascii="Arial" w:eastAsia="Arial" w:hAnsi="Arial" w:cs="Arial"/>
          <w:sz w:val="20"/>
          <w:szCs w:val="20"/>
        </w:rPr>
        <w:t xml:space="preserve">, </w:t>
      </w:r>
      <w:proofErr w:type="spellStart"/>
      <w:r>
        <w:rPr>
          <w:rFonts w:ascii="Arial" w:eastAsia="Arial" w:hAnsi="Arial" w:cs="Arial"/>
          <w:sz w:val="20"/>
          <w:szCs w:val="20"/>
        </w:rPr>
        <w:t>operationalisation</w:t>
      </w:r>
      <w:proofErr w:type="spellEnd"/>
      <w:r>
        <w:rPr>
          <w:rFonts w:ascii="Arial" w:eastAsia="Arial" w:hAnsi="Arial" w:cs="Arial"/>
          <w:sz w:val="20"/>
          <w:szCs w:val="20"/>
        </w:rPr>
        <w:t xml:space="preserve"> and implementation of resilience into decision-support and recovery planning models.</w:t>
      </w:r>
    </w:p>
    <w:p w14:paraId="3938B0A1"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review process was based on the methodological approach initially suggested by Arksey and O’Malley (2005) and then improved by Levac et al. (2010). To provide transparency, reproducibility, and methodological </w:t>
      </w:r>
      <w:proofErr w:type="spellStart"/>
      <w:r>
        <w:rPr>
          <w:rFonts w:ascii="Arial" w:eastAsia="Arial" w:hAnsi="Arial" w:cs="Arial"/>
          <w:sz w:val="20"/>
          <w:szCs w:val="20"/>
        </w:rPr>
        <w:t>rigour</w:t>
      </w:r>
      <w:proofErr w:type="spellEnd"/>
      <w:r>
        <w:rPr>
          <w:rFonts w:ascii="Arial" w:eastAsia="Arial" w:hAnsi="Arial" w:cs="Arial"/>
          <w:sz w:val="20"/>
          <w:szCs w:val="20"/>
        </w:rPr>
        <w:t>, the reporting was based on PRISMA Extension for Scoping Reviews (PRISMA-</w:t>
      </w:r>
      <w:proofErr w:type="spellStart"/>
      <w:r>
        <w:rPr>
          <w:rFonts w:ascii="Arial" w:eastAsia="Arial" w:hAnsi="Arial" w:cs="Arial"/>
          <w:sz w:val="20"/>
          <w:szCs w:val="20"/>
        </w:rPr>
        <w:t>ScR</w:t>
      </w:r>
      <w:proofErr w:type="spellEnd"/>
      <w:r>
        <w:rPr>
          <w:rFonts w:ascii="Arial" w:eastAsia="Arial" w:hAnsi="Arial" w:cs="Arial"/>
          <w:sz w:val="20"/>
          <w:szCs w:val="20"/>
        </w:rPr>
        <w:t>) guidelines (</w:t>
      </w:r>
      <w:proofErr w:type="spellStart"/>
      <w:r>
        <w:rPr>
          <w:rFonts w:ascii="Arial" w:eastAsia="Arial" w:hAnsi="Arial" w:cs="Arial"/>
          <w:sz w:val="20"/>
          <w:szCs w:val="20"/>
        </w:rPr>
        <w:t>Tricco</w:t>
      </w:r>
      <w:proofErr w:type="spellEnd"/>
      <w:r>
        <w:rPr>
          <w:rFonts w:ascii="Arial" w:eastAsia="Arial" w:hAnsi="Arial" w:cs="Arial"/>
          <w:sz w:val="20"/>
          <w:szCs w:val="20"/>
        </w:rPr>
        <w:t xml:space="preserve"> et al., 2018). The core construct that was clearly defined by the review protocol and that was resilience-based planning in the recovery of post-disaster urban infrastructure had its conceptual boundaries, synonyms and operational dimensions.</w:t>
      </w:r>
    </w:p>
    <w:p w14:paraId="4EDCE4EF"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3.2 Theory and main constructs</w:t>
      </w:r>
    </w:p>
    <w:p w14:paraId="0B477381"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Resilience-based recovery planning was the driving construct in this review, which was defined as planning and decision-making procedures that explicitly considered resilience measures - robustness, recovery time, service continuity, redundancy, and adaptive capacity - when </w:t>
      </w:r>
      <w:proofErr w:type="spellStart"/>
      <w:r>
        <w:rPr>
          <w:rFonts w:ascii="Arial" w:eastAsia="Arial" w:hAnsi="Arial" w:cs="Arial"/>
          <w:sz w:val="20"/>
          <w:szCs w:val="20"/>
        </w:rPr>
        <w:t>prioritising</w:t>
      </w:r>
      <w:proofErr w:type="spellEnd"/>
      <w:r>
        <w:rPr>
          <w:rFonts w:ascii="Arial" w:eastAsia="Arial" w:hAnsi="Arial" w:cs="Arial"/>
          <w:sz w:val="20"/>
          <w:szCs w:val="20"/>
        </w:rPr>
        <w:t xml:space="preserve"> and sequencing recovery of urban infrastructure systems post-disaster. The concept of resilience was considered in the engineering and socio-technical directions (Bruneau et al., 2003; </w:t>
      </w:r>
      <w:proofErr w:type="spellStart"/>
      <w:r>
        <w:rPr>
          <w:rFonts w:ascii="Arial" w:eastAsia="Arial" w:hAnsi="Arial" w:cs="Arial"/>
          <w:sz w:val="20"/>
          <w:szCs w:val="20"/>
        </w:rPr>
        <w:t>Cimellaro</w:t>
      </w:r>
      <w:proofErr w:type="spellEnd"/>
      <w:r>
        <w:rPr>
          <w:rFonts w:ascii="Arial" w:eastAsia="Arial" w:hAnsi="Arial" w:cs="Arial"/>
          <w:sz w:val="20"/>
          <w:szCs w:val="20"/>
        </w:rPr>
        <w:t xml:space="preserve">, 2016; </w:t>
      </w:r>
      <w:proofErr w:type="spellStart"/>
      <w:r>
        <w:rPr>
          <w:rFonts w:ascii="Arial" w:eastAsia="Arial" w:hAnsi="Arial" w:cs="Arial"/>
          <w:sz w:val="20"/>
          <w:szCs w:val="20"/>
        </w:rPr>
        <w:t>Meerow</w:t>
      </w:r>
      <w:proofErr w:type="spellEnd"/>
      <w:r>
        <w:rPr>
          <w:rFonts w:ascii="Arial" w:eastAsia="Arial" w:hAnsi="Arial" w:cs="Arial"/>
          <w:sz w:val="20"/>
          <w:szCs w:val="20"/>
        </w:rPr>
        <w:t xml:space="preserve"> et al., 2016). The review drew the line between:</w:t>
      </w:r>
    </w:p>
    <w:p w14:paraId="4F26C4B3" w14:textId="77777777" w:rsidR="00EB72BC" w:rsidRDefault="00F240DA">
      <w:pPr>
        <w:numPr>
          <w:ilvl w:val="0"/>
          <w:numId w:val="2"/>
        </w:numPr>
        <w:pBdr>
          <w:top w:val="nil"/>
          <w:left w:val="nil"/>
          <w:bottom w:val="nil"/>
          <w:right w:val="nil"/>
          <w:between w:val="nil"/>
        </w:pBdr>
        <w:spacing w:before="280" w:after="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eliminating the outage through resiliency engineering, which focused on quick recovery and restoring functionality;</w:t>
      </w:r>
    </w:p>
    <w:p w14:paraId="1D54E0A5" w14:textId="77777777" w:rsidR="00EB72BC" w:rsidRDefault="00F240DA">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system resilience, which dealt with interdependencies and network performance;</w:t>
      </w:r>
    </w:p>
    <w:p w14:paraId="5C3AD6B5" w14:textId="77777777" w:rsidR="00EB72BC" w:rsidRDefault="00F240DA">
      <w:pPr>
        <w:numPr>
          <w:ilvl w:val="0"/>
          <w:numId w:val="2"/>
        </w:numPr>
        <w:pBdr>
          <w:top w:val="nil"/>
          <w:left w:val="nil"/>
          <w:bottom w:val="nil"/>
          <w:right w:val="nil"/>
          <w:between w:val="nil"/>
        </w:pBdr>
        <w:spacing w:after="280" w:line="240" w:lineRule="auto"/>
        <w:jc w:val="both"/>
        <w:rPr>
          <w:rFonts w:ascii="Arial" w:eastAsia="Arial" w:hAnsi="Arial" w:cs="Arial"/>
          <w:color w:val="000000"/>
          <w:sz w:val="20"/>
          <w:szCs w:val="20"/>
        </w:rPr>
      </w:pPr>
      <w:r>
        <w:rPr>
          <w:rFonts w:ascii="Arial" w:eastAsia="Arial" w:hAnsi="Arial" w:cs="Arial"/>
          <w:color w:val="000000"/>
          <w:sz w:val="20"/>
          <w:szCs w:val="20"/>
        </w:rPr>
        <w:t>adaptive and socio-institutional resilience, comprising the elements of governance, stakeholder involvement, and equity measures.</w:t>
      </w:r>
    </w:p>
    <w:p w14:paraId="584BC381"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Examples of infrastructure systems that were covered in the scope included transportation networks (roads, bridges, transit), electric power systems, water supply and wastewater systems, communication networks, and healthcare facilities. The exclusion criteria in the review were limited to the hazard-only modelling studies that did not have implications towards recovery planning.</w:t>
      </w:r>
    </w:p>
    <w:p w14:paraId="6D981F53"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3.3 Eligibility Criteria</w:t>
      </w:r>
    </w:p>
    <w:p w14:paraId="7FF6AFD4"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studies were considered eligible to be included, as long as they focused on the post-disaster recovery planning in the urban infrastructure systems and directly associated the notion of resilience with planning, </w:t>
      </w:r>
      <w:proofErr w:type="spellStart"/>
      <w:r>
        <w:rPr>
          <w:rFonts w:ascii="Arial" w:eastAsia="Arial" w:hAnsi="Arial" w:cs="Arial"/>
          <w:sz w:val="20"/>
          <w:szCs w:val="20"/>
        </w:rPr>
        <w:t>prioritisation</w:t>
      </w:r>
      <w:proofErr w:type="spellEnd"/>
      <w:r>
        <w:rPr>
          <w:rFonts w:ascii="Arial" w:eastAsia="Arial" w:hAnsi="Arial" w:cs="Arial"/>
          <w:sz w:val="20"/>
          <w:szCs w:val="20"/>
        </w:rPr>
        <w:t>, or restoration decision-making. Qualified studies included empirical studies of disasters and their case studies, validated simulation models, decision support tools, or applied policy models. Both quantitative and qualitative studies were taken into consideration, as long as they had actionable recovery-planning aspects.</w:t>
      </w:r>
    </w:p>
    <w:p w14:paraId="35C461CF"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Research was filtered out when it: </w:t>
      </w:r>
    </w:p>
    <w:p w14:paraId="49E91D89"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(1) did not deal with recovery linkage in the context of urban resilience; </w:t>
      </w:r>
    </w:p>
    <w:p w14:paraId="0F1EFAB9"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(2) did not deal with operational decision frameworks but rather with conceptual resilience discussions; or</w:t>
      </w:r>
    </w:p>
    <w:p w14:paraId="3285388A"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(3) did not deal with the recovery phase, but emergency response.</w:t>
      </w:r>
    </w:p>
    <w:p w14:paraId="3BD6DBDA"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peer-reviewed journal articles, conference proceedings, and institutional or multilateral reports were included in the review. Grey literature was selective in that it provided </w:t>
      </w:r>
      <w:proofErr w:type="spellStart"/>
      <w:r>
        <w:rPr>
          <w:rFonts w:ascii="Arial" w:eastAsia="Arial" w:hAnsi="Arial" w:cs="Arial"/>
          <w:sz w:val="20"/>
          <w:szCs w:val="20"/>
        </w:rPr>
        <w:t>organised</w:t>
      </w:r>
      <w:proofErr w:type="spellEnd"/>
      <w:r>
        <w:rPr>
          <w:rFonts w:ascii="Arial" w:eastAsia="Arial" w:hAnsi="Arial" w:cs="Arial"/>
          <w:sz w:val="20"/>
          <w:szCs w:val="20"/>
        </w:rPr>
        <w:t xml:space="preserve"> recovery systems or technical advice in line with the resilience-based planning principles. Only publications in the English language were used.</w:t>
      </w:r>
    </w:p>
    <w:p w14:paraId="3CBD0C3E"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3.4 Sources and search strategy of information</w:t>
      </w:r>
    </w:p>
    <w:p w14:paraId="3B8B7C64"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An extensive search of the literature in the key multidisciplinary and engineering databases, such as Scopus, Web of Science Core Collection, and Engineering Village, was conducted. Additional searches were carried out in Google Scholar to find newly published or in-press articles. The existing authority structures and policy documents of bodies like the United Nations Office of Disaster Risk Reduction, especially those that were in line with the Sendai Framework of Disaster Risk Reduction, were examined to provide a context of governance and policy aspects.</w:t>
      </w:r>
    </w:p>
    <w:p w14:paraId="712FE84F"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search strategy combined keywords across four domains using Boolean operators:</w:t>
      </w:r>
    </w:p>
    <w:p w14:paraId="55F012B0" w14:textId="77777777" w:rsidR="00EB72BC" w:rsidRDefault="00F240DA">
      <w:pPr>
        <w:numPr>
          <w:ilvl w:val="0"/>
          <w:numId w:val="3"/>
        </w:numPr>
        <w:spacing w:before="280" w:after="0" w:line="240" w:lineRule="auto"/>
        <w:jc w:val="both"/>
        <w:rPr>
          <w:rFonts w:ascii="Arial" w:eastAsia="Arial" w:hAnsi="Arial" w:cs="Arial"/>
          <w:sz w:val="20"/>
          <w:szCs w:val="20"/>
        </w:rPr>
      </w:pPr>
      <w:r>
        <w:rPr>
          <w:rFonts w:ascii="Arial" w:eastAsia="Arial" w:hAnsi="Arial" w:cs="Arial"/>
          <w:sz w:val="20"/>
          <w:szCs w:val="20"/>
        </w:rPr>
        <w:t>Resilience terms: “resilience-based,” “infrastructure resilience,” “urban resilience index,” “recovery curve,” “service continuity,” “adaptive capacity.”</w:t>
      </w:r>
    </w:p>
    <w:p w14:paraId="7609CAAB" w14:textId="77777777" w:rsidR="00EB72BC" w:rsidRDefault="00F240DA">
      <w:pPr>
        <w:numPr>
          <w:ilvl w:val="0"/>
          <w:numId w:val="3"/>
        </w:numPr>
        <w:spacing w:after="0" w:line="240" w:lineRule="auto"/>
        <w:jc w:val="both"/>
        <w:rPr>
          <w:rFonts w:ascii="Arial" w:eastAsia="Arial" w:hAnsi="Arial" w:cs="Arial"/>
          <w:sz w:val="20"/>
          <w:szCs w:val="20"/>
        </w:rPr>
      </w:pPr>
      <w:r>
        <w:rPr>
          <w:rFonts w:ascii="Arial" w:eastAsia="Arial" w:hAnsi="Arial" w:cs="Arial"/>
          <w:sz w:val="20"/>
          <w:szCs w:val="20"/>
        </w:rPr>
        <w:t>Recovery planning terms: “post-disaster recovery,” “infrastructure restoration,” “reconstruction planning,” “build back better.”</w:t>
      </w:r>
    </w:p>
    <w:p w14:paraId="70B0EF10" w14:textId="77777777" w:rsidR="00EB72BC" w:rsidRDefault="00F240DA">
      <w:pPr>
        <w:numPr>
          <w:ilvl w:val="0"/>
          <w:numId w:val="3"/>
        </w:numPr>
        <w:spacing w:after="0" w:line="240" w:lineRule="auto"/>
        <w:jc w:val="both"/>
        <w:rPr>
          <w:rFonts w:ascii="Arial" w:eastAsia="Arial" w:hAnsi="Arial" w:cs="Arial"/>
          <w:sz w:val="20"/>
          <w:szCs w:val="20"/>
        </w:rPr>
      </w:pPr>
      <w:r>
        <w:rPr>
          <w:rFonts w:ascii="Arial" w:eastAsia="Arial" w:hAnsi="Arial" w:cs="Arial"/>
          <w:sz w:val="20"/>
          <w:szCs w:val="20"/>
        </w:rPr>
        <w:t>Infrastructure system terms: “transportation network,” “power grid,” “water supply system,” “critical infrastructure,” “interdependent infrastructure.”</w:t>
      </w:r>
    </w:p>
    <w:p w14:paraId="4ED03D36" w14:textId="77777777" w:rsidR="00EB72BC" w:rsidRDefault="00F240DA">
      <w:pPr>
        <w:numPr>
          <w:ilvl w:val="0"/>
          <w:numId w:val="3"/>
        </w:numPr>
        <w:spacing w:after="280" w:line="240" w:lineRule="auto"/>
        <w:jc w:val="both"/>
        <w:rPr>
          <w:rFonts w:ascii="Arial" w:eastAsia="Arial" w:hAnsi="Arial" w:cs="Arial"/>
          <w:sz w:val="20"/>
          <w:szCs w:val="20"/>
        </w:rPr>
      </w:pPr>
      <w:r>
        <w:rPr>
          <w:rFonts w:ascii="Arial" w:eastAsia="Arial" w:hAnsi="Arial" w:cs="Arial"/>
          <w:sz w:val="20"/>
          <w:szCs w:val="20"/>
        </w:rPr>
        <w:t>Decision/</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methods: “multi-criteria decision analysis,” “</w:t>
      </w:r>
      <w:proofErr w:type="spellStart"/>
      <w:r>
        <w:rPr>
          <w:rFonts w:ascii="Arial" w:eastAsia="Arial" w:hAnsi="Arial" w:cs="Arial"/>
          <w:sz w:val="20"/>
          <w:szCs w:val="20"/>
        </w:rPr>
        <w:t>optimisation</w:t>
      </w:r>
      <w:proofErr w:type="spellEnd"/>
      <w:r>
        <w:rPr>
          <w:rFonts w:ascii="Arial" w:eastAsia="Arial" w:hAnsi="Arial" w:cs="Arial"/>
          <w:sz w:val="20"/>
          <w:szCs w:val="20"/>
        </w:rPr>
        <w:t>,” “simulation,” “resource allocation,” “network analytics,” “machine learning,” “reinforcement learning,” “decision support tool.”</w:t>
      </w:r>
    </w:p>
    <w:p w14:paraId="25C918F6"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lastRenderedPageBreak/>
        <w:t>3.5 Study Selection Process</w:t>
      </w:r>
    </w:p>
    <w:p w14:paraId="2ECF4EC3"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All the retrieved records were exported into Microsoft Excel, where they were deduplicated. Screening of titles and abstracts were done using pre-set eligibility criteria. A full-text review was done to ensure inclusion of the potentially relevant studies.</w:t>
      </w:r>
    </w:p>
    <w:p w14:paraId="620D6DEC"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3.6 Presentation and Analysis of Data</w:t>
      </w:r>
    </w:p>
    <w:p w14:paraId="383EE3D5"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A data charting form based on structured data was constructed and pilot-tested using a portion of the included studies. The form was repeatedly honed so as to be in line with the objectives of the review. The information that was extracted included:</w:t>
      </w:r>
    </w:p>
    <w:p w14:paraId="5FB727D6"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Author(s), year of study, country of study:</w:t>
      </w:r>
    </w:p>
    <w:p w14:paraId="10802532" w14:textId="77777777" w:rsidR="00EB72BC" w:rsidRDefault="00F240DA">
      <w:pPr>
        <w:numPr>
          <w:ilvl w:val="0"/>
          <w:numId w:val="1"/>
        </w:numPr>
        <w:spacing w:before="280" w:after="0" w:line="240" w:lineRule="auto"/>
        <w:jc w:val="both"/>
        <w:rPr>
          <w:rFonts w:ascii="Arial" w:eastAsia="Arial" w:hAnsi="Arial" w:cs="Arial"/>
          <w:sz w:val="20"/>
          <w:szCs w:val="20"/>
        </w:rPr>
      </w:pPr>
      <w:r>
        <w:rPr>
          <w:rFonts w:ascii="Arial" w:eastAsia="Arial" w:hAnsi="Arial" w:cs="Arial"/>
          <w:sz w:val="20"/>
          <w:szCs w:val="20"/>
        </w:rPr>
        <w:t>Infrastructure sector(s) and type of disaster.</w:t>
      </w:r>
    </w:p>
    <w:p w14:paraId="1F1FAA96" w14:textId="77777777" w:rsidR="00EB72BC" w:rsidRDefault="00F240D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Theoretical explanation of resilience.</w:t>
      </w:r>
    </w:p>
    <w:p w14:paraId="1CDFF18B" w14:textId="77777777" w:rsidR="00EB72BC" w:rsidRDefault="00F240D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Resilience measures are employed quantitatively or qualitatively.</w:t>
      </w:r>
    </w:p>
    <w:p w14:paraId="56422C0C" w14:textId="77777777" w:rsidR="00EB72BC" w:rsidRDefault="00F240D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Planning,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or decision-support techniques used.</w:t>
      </w:r>
    </w:p>
    <w:p w14:paraId="43A0BE4C" w14:textId="77777777" w:rsidR="00EB72BC" w:rsidRDefault="00F240D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Infrastructure interdependency treatment.</w:t>
      </w:r>
    </w:p>
    <w:p w14:paraId="08B13FB5" w14:textId="77777777" w:rsidR="00EB72BC" w:rsidRDefault="00F240D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Uncertainty modelling or situation analysis.</w:t>
      </w:r>
    </w:p>
    <w:p w14:paraId="12E5AAEB" w14:textId="77777777" w:rsidR="00EB72BC" w:rsidRDefault="00F240D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Bayesian forms of governance and institutional environment.</w:t>
      </w:r>
    </w:p>
    <w:p w14:paraId="0FDABAA3" w14:textId="77777777" w:rsidR="00EB72BC" w:rsidRDefault="00F240D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Equity factors (such as vulnerable populations, distributive justice, stakeholder participation).</w:t>
      </w:r>
    </w:p>
    <w:p w14:paraId="5536BAB5" w14:textId="77777777" w:rsidR="00EB72BC" w:rsidRDefault="00F240D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The requirements of data (GIS, asset inventories, social vulnerability indices, and real-time data).</w:t>
      </w:r>
    </w:p>
    <w:p w14:paraId="2FA59423" w14:textId="77777777" w:rsidR="00EB72BC" w:rsidRDefault="00F240DA">
      <w:pPr>
        <w:numPr>
          <w:ilvl w:val="0"/>
          <w:numId w:val="1"/>
        </w:numPr>
        <w:spacing w:after="280" w:line="240" w:lineRule="auto"/>
        <w:jc w:val="both"/>
        <w:rPr>
          <w:rFonts w:ascii="Arial" w:eastAsia="Arial" w:hAnsi="Arial" w:cs="Arial"/>
          <w:sz w:val="20"/>
          <w:szCs w:val="20"/>
        </w:rPr>
      </w:pPr>
      <w:r>
        <w:rPr>
          <w:rFonts w:ascii="Arial" w:eastAsia="Arial" w:hAnsi="Arial" w:cs="Arial"/>
          <w:sz w:val="20"/>
          <w:szCs w:val="20"/>
        </w:rPr>
        <w:t>Major conclusions and limitations.</w:t>
      </w:r>
    </w:p>
    <w:p w14:paraId="7E30C925"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Systematic data extraction was done in order to promote uniformity and dependability of studies.</w:t>
      </w:r>
    </w:p>
    <w:p w14:paraId="30A186C1"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3.7 Data Analysis and Synthesis</w:t>
      </w:r>
    </w:p>
    <w:p w14:paraId="3FBB6CC2"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analysis was based on descriptive and thematic analysis. Published trends were </w:t>
      </w:r>
      <w:proofErr w:type="spellStart"/>
      <w:r>
        <w:rPr>
          <w:rFonts w:ascii="Arial" w:eastAsia="Arial" w:hAnsi="Arial" w:cs="Arial"/>
          <w:sz w:val="20"/>
          <w:szCs w:val="20"/>
        </w:rPr>
        <w:t>summarised</w:t>
      </w:r>
      <w:proofErr w:type="spellEnd"/>
      <w:r>
        <w:rPr>
          <w:rFonts w:ascii="Arial" w:eastAsia="Arial" w:hAnsi="Arial" w:cs="Arial"/>
          <w:sz w:val="20"/>
          <w:szCs w:val="20"/>
        </w:rPr>
        <w:t xml:space="preserve"> using descriptive numerical analysis based on the year, geographic area, type of infrastructure, disaster and methodology employed to identify and describe the trends.</w:t>
      </w:r>
    </w:p>
    <w:p w14:paraId="144835BB"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three research questions formed the thematic synthesis structure. First, definitions and methods of measuring resilience were classified, with comparison of engineering-based recovery curves, resilience indices, probabilistic loss-recovery measure, and adaptive capacity measure. Second, planning and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strategies fell into multi-criteria decision analysis (MCDA), network-based restoration sequencing models, simulation-based strategies (agent-based or system dynamics), AI/ML prediction, reinforcement learning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and resource allocation scheduling models. Third, the issues of governance, equity, and data were </w:t>
      </w:r>
      <w:proofErr w:type="spellStart"/>
      <w:r>
        <w:rPr>
          <w:rFonts w:ascii="Arial" w:eastAsia="Arial" w:hAnsi="Arial" w:cs="Arial"/>
          <w:sz w:val="20"/>
          <w:szCs w:val="20"/>
        </w:rPr>
        <w:t>synthesised</w:t>
      </w:r>
      <w:proofErr w:type="spellEnd"/>
      <w:r>
        <w:rPr>
          <w:rFonts w:ascii="Arial" w:eastAsia="Arial" w:hAnsi="Arial" w:cs="Arial"/>
          <w:sz w:val="20"/>
          <w:szCs w:val="20"/>
        </w:rPr>
        <w:t>, and the topics that appeared to be barriers to institutional coordination, interdependencies modelling, vulnerable communities’ treatment, quantification of uncertainty, and data constraints.</w:t>
      </w:r>
    </w:p>
    <w:p w14:paraId="314205F3"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results were displayed in the form of narrative synthesis with the help of table charts mapping the indicators of resilience to decision models and infrastructure sectors. It was also possible to create conceptual diagrams to depict the connection between resilience measurement,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frameworks, and governance factors.</w:t>
      </w:r>
    </w:p>
    <w:p w14:paraId="4CEB0BE6"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 xml:space="preserve">3.8 Quality and </w:t>
      </w:r>
      <w:proofErr w:type="spellStart"/>
      <w:r>
        <w:rPr>
          <w:rFonts w:ascii="Arial" w:eastAsia="Arial" w:hAnsi="Arial" w:cs="Arial"/>
          <w:b/>
          <w:bCs/>
          <w:sz w:val="22"/>
          <w:szCs w:val="22"/>
        </w:rPr>
        <w:t>Rigour</w:t>
      </w:r>
      <w:proofErr w:type="spellEnd"/>
      <w:r>
        <w:rPr>
          <w:rFonts w:ascii="Arial" w:eastAsia="Arial" w:hAnsi="Arial" w:cs="Arial"/>
          <w:b/>
          <w:bCs/>
          <w:sz w:val="22"/>
          <w:szCs w:val="22"/>
        </w:rPr>
        <w:t xml:space="preserve"> Issues</w:t>
      </w:r>
    </w:p>
    <w:p w14:paraId="7034617A"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Though scoping reviews were not usually </w:t>
      </w:r>
      <w:proofErr w:type="spellStart"/>
      <w:r>
        <w:rPr>
          <w:rFonts w:ascii="Arial" w:eastAsia="Arial" w:hAnsi="Arial" w:cs="Arial"/>
          <w:sz w:val="20"/>
          <w:szCs w:val="20"/>
        </w:rPr>
        <w:t>characterised</w:t>
      </w:r>
      <w:proofErr w:type="spellEnd"/>
      <w:r>
        <w:rPr>
          <w:rFonts w:ascii="Arial" w:eastAsia="Arial" w:hAnsi="Arial" w:cs="Arial"/>
          <w:sz w:val="20"/>
          <w:szCs w:val="20"/>
        </w:rPr>
        <w:t xml:space="preserve"> by formal risk-of-bias assessment, methodological features were recorded to show the degree of empirical validation. Descriptive appraisals of studies were made with respect to the use of real disaster case information, validated simulations, stakeholder </w:t>
      </w:r>
      <w:r>
        <w:rPr>
          <w:rFonts w:ascii="Arial" w:eastAsia="Arial" w:hAnsi="Arial" w:cs="Arial"/>
          <w:sz w:val="20"/>
          <w:szCs w:val="20"/>
        </w:rPr>
        <w:lastRenderedPageBreak/>
        <w:t>engagement process, sensitivity analysis, or uncertainty modelling. This gave an idea of the maturity and strength of resilience-based recovery planning studies.</w:t>
      </w:r>
    </w:p>
    <w:p w14:paraId="553DE38B" w14:textId="0058C263"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w:t>
      </w:r>
      <w:r w:rsidR="000C225F">
        <w:rPr>
          <w:rFonts w:ascii="Arial" w:eastAsia="Arial" w:hAnsi="Arial" w:cs="Arial"/>
          <w:b/>
          <w:bCs/>
          <w:sz w:val="22"/>
          <w:szCs w:val="22"/>
        </w:rPr>
        <w:t>9</w:t>
      </w:r>
      <w:r>
        <w:rPr>
          <w:rFonts w:ascii="Arial" w:eastAsia="Arial" w:hAnsi="Arial" w:cs="Arial"/>
          <w:b/>
          <w:bCs/>
          <w:sz w:val="22"/>
          <w:szCs w:val="22"/>
        </w:rPr>
        <w:t xml:space="preserve"> Methodological Limitations</w:t>
      </w:r>
    </w:p>
    <w:p w14:paraId="424F3811"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possible limitations were the possible language restriction to English publications as well as the potential underrepresentation of grey literature or recovery practices on the local scale, which were not reflected in indexed databases. Moreover, the field of AI-based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research was changing rapidly, so there could be evidence that was not found by the time the search of the reviewed article was conducted.</w:t>
      </w:r>
    </w:p>
    <w:p w14:paraId="7426C594" w14:textId="6826053D"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3.1</w:t>
      </w:r>
      <w:r w:rsidR="000C225F">
        <w:rPr>
          <w:rFonts w:ascii="Arial" w:eastAsia="Arial" w:hAnsi="Arial" w:cs="Arial"/>
          <w:b/>
          <w:bCs/>
          <w:sz w:val="22"/>
          <w:szCs w:val="22"/>
        </w:rPr>
        <w:t>0</w:t>
      </w:r>
      <w:r>
        <w:rPr>
          <w:rFonts w:ascii="Arial" w:eastAsia="Arial" w:hAnsi="Arial" w:cs="Arial"/>
          <w:b/>
          <w:bCs/>
          <w:sz w:val="22"/>
          <w:szCs w:val="22"/>
        </w:rPr>
        <w:t xml:space="preserve"> Methodological Congruency with the Aim of the Study</w:t>
      </w:r>
    </w:p>
    <w:p w14:paraId="0E76C411"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This systematic and detailed approach assured overall mapping of resilience-based planning approaches that informed the post-disaster urban infrastructure recovery. The methodology met the goal and the research questions of the study and provided a systematic body of evidence to support resilience-based planning of infrastructure recovery by relying on engineering metrics, decision-support models, governance aspects, and equity dimensions.</w:t>
      </w:r>
    </w:p>
    <w:p w14:paraId="7D4C790B"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4.0 Results</w:t>
      </w:r>
    </w:p>
    <w:p w14:paraId="79CC9606"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4.1 Overview of Included Studies</w:t>
      </w:r>
    </w:p>
    <w:p w14:paraId="38A46E46"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w:t>
      </w:r>
      <w:proofErr w:type="spellStart"/>
      <w:r>
        <w:rPr>
          <w:rFonts w:ascii="Arial" w:eastAsia="Arial" w:hAnsi="Arial" w:cs="Arial"/>
          <w:sz w:val="20"/>
          <w:szCs w:val="20"/>
        </w:rPr>
        <w:t>generalised</w:t>
      </w:r>
      <w:proofErr w:type="spellEnd"/>
      <w:r>
        <w:rPr>
          <w:rFonts w:ascii="Arial" w:eastAsia="Arial" w:hAnsi="Arial" w:cs="Arial"/>
          <w:sz w:val="20"/>
          <w:szCs w:val="20"/>
        </w:rPr>
        <w:t xml:space="preserve"> search yielded a diverse body of literature that covers the engineering, planning and infrastructure systems, and governance fields. After de</w:t>
      </w:r>
      <w:r>
        <w:rPr>
          <w:rFonts w:ascii="Cambria Math" w:eastAsia="Cambria Math" w:hAnsi="Cambria Math" w:cs="Cambria Math"/>
          <w:sz w:val="20"/>
          <w:szCs w:val="20"/>
        </w:rPr>
        <w:t>‑</w:t>
      </w:r>
      <w:r>
        <w:rPr>
          <w:rFonts w:ascii="Arial" w:eastAsia="Arial" w:hAnsi="Arial" w:cs="Arial"/>
          <w:sz w:val="20"/>
          <w:szCs w:val="20"/>
        </w:rPr>
        <w:t xml:space="preserve">duplication and eligibility verification, the corpus was made up of empirical case studies (such as earthquake and flood recovery research), simulation-based modelling projects,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research, creation of decision support tools, and government and policy research. The majority of references are after 2015, which is why it reflects the increase in the rate of research activity in the world after the adoption of the Sendai Framework on Disaster Risk Reduction.</w:t>
      </w:r>
    </w:p>
    <w:p w14:paraId="17274448"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Geographically, most of the studies were found in East Asia, especially in China and Japan, in North America and Europe. Earthquakes, floods, and multi-hazard disruptions in urban settings were the most widely studied phenomena of disasters. Transportation networks (roads, bridges, transit systems), electric power systems and coupled transport-power configurations were most frequently researched by infrastructure areas. Water systems or communication systems were even less common in integrated recovery-</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literature, which indicates that this area is underrepresented in the available body of evidence.</w:t>
      </w:r>
    </w:p>
    <w:p w14:paraId="58733142" w14:textId="77777777" w:rsidR="00EB72BC" w:rsidRDefault="00F240DA">
      <w:pPr>
        <w:spacing w:before="280" w:after="0" w:line="240" w:lineRule="auto"/>
        <w:jc w:val="center"/>
        <w:rPr>
          <w:rFonts w:ascii="Arial" w:eastAsia="Arial" w:hAnsi="Arial" w:cs="Arial"/>
          <w:b/>
          <w:bCs/>
          <w:sz w:val="20"/>
          <w:szCs w:val="20"/>
        </w:rPr>
      </w:pPr>
      <w:r>
        <w:rPr>
          <w:rFonts w:ascii="Arial" w:eastAsia="Arial" w:hAnsi="Arial" w:cs="Arial"/>
          <w:b/>
          <w:bCs/>
          <w:sz w:val="20"/>
          <w:szCs w:val="20"/>
        </w:rPr>
        <w:t>Table 1: Evidence Map of Included Studies on Resilience-Based Post-Disaster Infrastructure Recovery</w:t>
      </w:r>
    </w:p>
    <w:tbl>
      <w:tblPr>
        <w:tblStyle w:val="a"/>
        <w:tblW w:w="9360" w:type="dxa"/>
        <w:jc w:val="center"/>
        <w:tblLayout w:type="fixed"/>
        <w:tblLook w:val="0400" w:firstRow="0" w:lastRow="0" w:firstColumn="0" w:lastColumn="0" w:noHBand="0" w:noVBand="1"/>
      </w:tblPr>
      <w:tblGrid>
        <w:gridCol w:w="890"/>
        <w:gridCol w:w="1056"/>
        <w:gridCol w:w="817"/>
        <w:gridCol w:w="1352"/>
        <w:gridCol w:w="1047"/>
        <w:gridCol w:w="1245"/>
        <w:gridCol w:w="1064"/>
        <w:gridCol w:w="859"/>
        <w:gridCol w:w="1030"/>
      </w:tblGrid>
      <w:tr w:rsidR="00EB72BC" w14:paraId="0EFB3511" w14:textId="77777777">
        <w:trPr>
          <w:tblHeader/>
          <w:jc w:val="center"/>
        </w:trPr>
        <w:tc>
          <w:tcPr>
            <w:tcW w:w="890" w:type="dxa"/>
            <w:tcBorders>
              <w:top w:val="single" w:sz="4" w:space="0" w:color="000000"/>
              <w:bottom w:val="single" w:sz="4" w:space="0" w:color="000000"/>
            </w:tcBorders>
            <w:vAlign w:val="center"/>
          </w:tcPr>
          <w:p w14:paraId="5635862B" w14:textId="77777777"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Author(s), Year</w:t>
            </w:r>
          </w:p>
        </w:tc>
        <w:tc>
          <w:tcPr>
            <w:tcW w:w="1056" w:type="dxa"/>
            <w:tcBorders>
              <w:top w:val="single" w:sz="4" w:space="0" w:color="000000"/>
              <w:bottom w:val="single" w:sz="4" w:space="0" w:color="000000"/>
            </w:tcBorders>
            <w:vAlign w:val="center"/>
          </w:tcPr>
          <w:p w14:paraId="5E690D9D" w14:textId="77777777"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Sector Focus</w:t>
            </w:r>
          </w:p>
        </w:tc>
        <w:tc>
          <w:tcPr>
            <w:tcW w:w="817" w:type="dxa"/>
            <w:tcBorders>
              <w:top w:val="single" w:sz="4" w:space="0" w:color="000000"/>
              <w:bottom w:val="single" w:sz="4" w:space="0" w:color="000000"/>
            </w:tcBorders>
            <w:vAlign w:val="center"/>
          </w:tcPr>
          <w:p w14:paraId="7F3C32BF" w14:textId="77777777"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Disaster Type</w:t>
            </w:r>
          </w:p>
        </w:tc>
        <w:tc>
          <w:tcPr>
            <w:tcW w:w="1352" w:type="dxa"/>
            <w:tcBorders>
              <w:top w:val="single" w:sz="4" w:space="0" w:color="000000"/>
              <w:bottom w:val="single" w:sz="4" w:space="0" w:color="000000"/>
            </w:tcBorders>
            <w:vAlign w:val="center"/>
          </w:tcPr>
          <w:p w14:paraId="4373CD1C" w14:textId="77777777"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Resilience Operationalization</w:t>
            </w:r>
          </w:p>
        </w:tc>
        <w:tc>
          <w:tcPr>
            <w:tcW w:w="1047" w:type="dxa"/>
            <w:tcBorders>
              <w:top w:val="single" w:sz="4" w:space="0" w:color="000000"/>
              <w:bottom w:val="single" w:sz="4" w:space="0" w:color="000000"/>
            </w:tcBorders>
            <w:vAlign w:val="center"/>
          </w:tcPr>
          <w:p w14:paraId="4C909199" w14:textId="77777777"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Planning / Decision Method</w:t>
            </w:r>
          </w:p>
        </w:tc>
        <w:tc>
          <w:tcPr>
            <w:tcW w:w="1245" w:type="dxa"/>
            <w:tcBorders>
              <w:top w:val="single" w:sz="4" w:space="0" w:color="000000"/>
              <w:bottom w:val="single" w:sz="4" w:space="0" w:color="000000"/>
            </w:tcBorders>
            <w:vAlign w:val="center"/>
          </w:tcPr>
          <w:p w14:paraId="612E8009" w14:textId="77777777"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Interdependency Modeling</w:t>
            </w:r>
          </w:p>
        </w:tc>
        <w:tc>
          <w:tcPr>
            <w:tcW w:w="1064" w:type="dxa"/>
            <w:tcBorders>
              <w:top w:val="single" w:sz="4" w:space="0" w:color="000000"/>
              <w:bottom w:val="single" w:sz="4" w:space="0" w:color="000000"/>
            </w:tcBorders>
            <w:vAlign w:val="center"/>
          </w:tcPr>
          <w:p w14:paraId="4FF2B0DC" w14:textId="77777777"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Equity / Governance Dimension</w:t>
            </w:r>
          </w:p>
        </w:tc>
        <w:tc>
          <w:tcPr>
            <w:tcW w:w="859" w:type="dxa"/>
            <w:tcBorders>
              <w:top w:val="single" w:sz="4" w:space="0" w:color="000000"/>
              <w:bottom w:val="single" w:sz="4" w:space="0" w:color="000000"/>
            </w:tcBorders>
            <w:vAlign w:val="center"/>
          </w:tcPr>
          <w:p w14:paraId="2C77CEBA" w14:textId="77777777"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Data Basis</w:t>
            </w:r>
          </w:p>
        </w:tc>
        <w:tc>
          <w:tcPr>
            <w:tcW w:w="1030" w:type="dxa"/>
            <w:tcBorders>
              <w:top w:val="single" w:sz="4" w:space="0" w:color="000000"/>
              <w:bottom w:val="single" w:sz="4" w:space="0" w:color="000000"/>
            </w:tcBorders>
            <w:vAlign w:val="center"/>
          </w:tcPr>
          <w:p w14:paraId="0B427124" w14:textId="77777777"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Study Type</w:t>
            </w:r>
          </w:p>
        </w:tc>
      </w:tr>
      <w:tr w:rsidR="00EB72BC" w14:paraId="62353481" w14:textId="77777777">
        <w:trPr>
          <w:jc w:val="center"/>
        </w:trPr>
        <w:tc>
          <w:tcPr>
            <w:tcW w:w="890" w:type="dxa"/>
            <w:vAlign w:val="center"/>
          </w:tcPr>
          <w:p w14:paraId="562F8F7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Zhang et al., 2017</w:t>
            </w:r>
          </w:p>
        </w:tc>
        <w:tc>
          <w:tcPr>
            <w:tcW w:w="1056" w:type="dxa"/>
            <w:vAlign w:val="center"/>
          </w:tcPr>
          <w:p w14:paraId="79A07EB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Road-Bridge</w:t>
            </w:r>
          </w:p>
        </w:tc>
        <w:tc>
          <w:tcPr>
            <w:tcW w:w="817" w:type="dxa"/>
            <w:vAlign w:val="center"/>
          </w:tcPr>
          <w:p w14:paraId="1D2AC159"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14:paraId="0C483F1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Recovery time &amp; network functionality</w:t>
            </w:r>
          </w:p>
        </w:tc>
        <w:tc>
          <w:tcPr>
            <w:tcW w:w="1047" w:type="dxa"/>
            <w:vAlign w:val="center"/>
          </w:tcPr>
          <w:p w14:paraId="4AA8FAF8"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Network optimization</w:t>
            </w:r>
          </w:p>
        </w:tc>
        <w:tc>
          <w:tcPr>
            <w:tcW w:w="1245" w:type="dxa"/>
            <w:vAlign w:val="center"/>
          </w:tcPr>
          <w:p w14:paraId="4FB0DCF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14:paraId="4F1A375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14:paraId="3BC9DA40"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Simulation data</w:t>
            </w:r>
          </w:p>
        </w:tc>
        <w:tc>
          <w:tcPr>
            <w:tcW w:w="1030" w:type="dxa"/>
            <w:vAlign w:val="center"/>
          </w:tcPr>
          <w:p w14:paraId="49C69454"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Modeling</w:t>
            </w:r>
          </w:p>
        </w:tc>
      </w:tr>
      <w:tr w:rsidR="00EB72BC" w14:paraId="0CC0577C" w14:textId="77777777">
        <w:trPr>
          <w:jc w:val="center"/>
        </w:trPr>
        <w:tc>
          <w:tcPr>
            <w:tcW w:w="890" w:type="dxa"/>
            <w:vAlign w:val="center"/>
          </w:tcPr>
          <w:p w14:paraId="2E2C1879"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Sun et al., 2020</w:t>
            </w:r>
          </w:p>
        </w:tc>
        <w:tc>
          <w:tcPr>
            <w:tcW w:w="1056" w:type="dxa"/>
            <w:vAlign w:val="center"/>
          </w:tcPr>
          <w:p w14:paraId="6CB3AB1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Multi-system</w:t>
            </w:r>
          </w:p>
        </w:tc>
        <w:tc>
          <w:tcPr>
            <w:tcW w:w="817" w:type="dxa"/>
            <w:vAlign w:val="center"/>
          </w:tcPr>
          <w:p w14:paraId="43B7F9C8"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14:paraId="03F658E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Performance-based recovery curves</w:t>
            </w:r>
          </w:p>
        </w:tc>
        <w:tc>
          <w:tcPr>
            <w:tcW w:w="1047" w:type="dxa"/>
            <w:vAlign w:val="center"/>
          </w:tcPr>
          <w:p w14:paraId="1CBC86C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Policy-based stochastic model</w:t>
            </w:r>
          </w:p>
        </w:tc>
        <w:tc>
          <w:tcPr>
            <w:tcW w:w="1245" w:type="dxa"/>
            <w:vAlign w:val="center"/>
          </w:tcPr>
          <w:p w14:paraId="078C693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14:paraId="30AD8820"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Institutional coordination</w:t>
            </w:r>
          </w:p>
        </w:tc>
        <w:tc>
          <w:tcPr>
            <w:tcW w:w="859" w:type="dxa"/>
            <w:vAlign w:val="center"/>
          </w:tcPr>
          <w:p w14:paraId="0C4BF3FE"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Probabilistic inputs</w:t>
            </w:r>
          </w:p>
        </w:tc>
        <w:tc>
          <w:tcPr>
            <w:tcW w:w="1030" w:type="dxa"/>
            <w:vAlign w:val="center"/>
          </w:tcPr>
          <w:p w14:paraId="58DC0BD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Simulation</w:t>
            </w:r>
          </w:p>
        </w:tc>
      </w:tr>
      <w:tr w:rsidR="00EB72BC" w14:paraId="59307510" w14:textId="77777777">
        <w:trPr>
          <w:jc w:val="center"/>
        </w:trPr>
        <w:tc>
          <w:tcPr>
            <w:tcW w:w="890" w:type="dxa"/>
            <w:vAlign w:val="center"/>
          </w:tcPr>
          <w:p w14:paraId="49E8F1F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lastRenderedPageBreak/>
              <w:t>Zhang et al., 2024</w:t>
            </w:r>
          </w:p>
        </w:tc>
        <w:tc>
          <w:tcPr>
            <w:tcW w:w="1056" w:type="dxa"/>
            <w:vAlign w:val="center"/>
          </w:tcPr>
          <w:p w14:paraId="08982465"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Transport–Power</w:t>
            </w:r>
          </w:p>
        </w:tc>
        <w:tc>
          <w:tcPr>
            <w:tcW w:w="817" w:type="dxa"/>
            <w:vAlign w:val="center"/>
          </w:tcPr>
          <w:p w14:paraId="4FB8F3F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14:paraId="0574D45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Weighted restoration time</w:t>
            </w:r>
          </w:p>
        </w:tc>
        <w:tc>
          <w:tcPr>
            <w:tcW w:w="1047" w:type="dxa"/>
            <w:vAlign w:val="center"/>
          </w:tcPr>
          <w:p w14:paraId="6E03574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Scheduling optimization</w:t>
            </w:r>
          </w:p>
        </w:tc>
        <w:tc>
          <w:tcPr>
            <w:tcW w:w="1245" w:type="dxa"/>
            <w:vAlign w:val="center"/>
          </w:tcPr>
          <w:p w14:paraId="11397101"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14:paraId="63B0FE3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14:paraId="18156F6E"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Network datasets</w:t>
            </w:r>
          </w:p>
        </w:tc>
        <w:tc>
          <w:tcPr>
            <w:tcW w:w="1030" w:type="dxa"/>
            <w:vAlign w:val="center"/>
          </w:tcPr>
          <w:p w14:paraId="0960949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Optimization</w:t>
            </w:r>
          </w:p>
        </w:tc>
      </w:tr>
      <w:tr w:rsidR="00EB72BC" w14:paraId="1DE933B0" w14:textId="77777777">
        <w:trPr>
          <w:jc w:val="center"/>
        </w:trPr>
        <w:tc>
          <w:tcPr>
            <w:tcW w:w="890" w:type="dxa"/>
            <w:vAlign w:val="center"/>
          </w:tcPr>
          <w:p w14:paraId="3307C05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Liu et al., 2024</w:t>
            </w:r>
          </w:p>
        </w:tc>
        <w:tc>
          <w:tcPr>
            <w:tcW w:w="1056" w:type="dxa"/>
            <w:vAlign w:val="center"/>
          </w:tcPr>
          <w:p w14:paraId="4B6B18D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Transit</w:t>
            </w:r>
          </w:p>
        </w:tc>
        <w:tc>
          <w:tcPr>
            <w:tcW w:w="817" w:type="dxa"/>
            <w:vAlign w:val="center"/>
          </w:tcPr>
          <w:p w14:paraId="66A5736E"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14:paraId="744A360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Service continuity index</w:t>
            </w:r>
          </w:p>
        </w:tc>
        <w:tc>
          <w:tcPr>
            <w:tcW w:w="1047" w:type="dxa"/>
            <w:vAlign w:val="center"/>
          </w:tcPr>
          <w:p w14:paraId="5E086A8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Restoration sequencing</w:t>
            </w:r>
          </w:p>
        </w:tc>
        <w:tc>
          <w:tcPr>
            <w:tcW w:w="1245" w:type="dxa"/>
            <w:vAlign w:val="center"/>
          </w:tcPr>
          <w:p w14:paraId="03ECE810"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Partial</w:t>
            </w:r>
          </w:p>
        </w:tc>
        <w:tc>
          <w:tcPr>
            <w:tcW w:w="1064" w:type="dxa"/>
            <w:vAlign w:val="center"/>
          </w:tcPr>
          <w:p w14:paraId="328F67C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Demand-based</w:t>
            </w:r>
          </w:p>
        </w:tc>
        <w:tc>
          <w:tcPr>
            <w:tcW w:w="859" w:type="dxa"/>
            <w:vAlign w:val="center"/>
          </w:tcPr>
          <w:p w14:paraId="428E3A4E"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Flow data</w:t>
            </w:r>
          </w:p>
        </w:tc>
        <w:tc>
          <w:tcPr>
            <w:tcW w:w="1030" w:type="dxa"/>
            <w:vAlign w:val="center"/>
          </w:tcPr>
          <w:p w14:paraId="655F8E7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Simulation</w:t>
            </w:r>
          </w:p>
        </w:tc>
      </w:tr>
      <w:tr w:rsidR="00EB72BC" w14:paraId="306E4EB4" w14:textId="77777777">
        <w:trPr>
          <w:jc w:val="center"/>
        </w:trPr>
        <w:tc>
          <w:tcPr>
            <w:tcW w:w="890" w:type="dxa"/>
            <w:vAlign w:val="center"/>
          </w:tcPr>
          <w:p w14:paraId="1670B338"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Rezvani et al., 2024</w:t>
            </w:r>
          </w:p>
        </w:tc>
        <w:tc>
          <w:tcPr>
            <w:tcW w:w="1056" w:type="dxa"/>
            <w:vAlign w:val="center"/>
          </w:tcPr>
          <w:p w14:paraId="7C981B5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Road Network</w:t>
            </w:r>
          </w:p>
        </w:tc>
        <w:tc>
          <w:tcPr>
            <w:tcW w:w="817" w:type="dxa"/>
            <w:vAlign w:val="center"/>
          </w:tcPr>
          <w:p w14:paraId="725EF5E8"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Multi-scenario</w:t>
            </w:r>
          </w:p>
        </w:tc>
        <w:tc>
          <w:tcPr>
            <w:tcW w:w="1352" w:type="dxa"/>
            <w:vAlign w:val="center"/>
          </w:tcPr>
          <w:p w14:paraId="400CC2C9"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Scenario resilience index</w:t>
            </w:r>
          </w:p>
        </w:tc>
        <w:tc>
          <w:tcPr>
            <w:tcW w:w="1047" w:type="dxa"/>
            <w:vAlign w:val="center"/>
          </w:tcPr>
          <w:p w14:paraId="44997C7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 xml:space="preserve">Index-based </w:t>
            </w:r>
            <w:proofErr w:type="spellStart"/>
            <w:r>
              <w:rPr>
                <w:rFonts w:ascii="Arial" w:eastAsia="Arial" w:hAnsi="Arial" w:cs="Arial"/>
                <w:sz w:val="20"/>
                <w:szCs w:val="20"/>
              </w:rPr>
              <w:t>prioritisation</w:t>
            </w:r>
            <w:proofErr w:type="spellEnd"/>
          </w:p>
        </w:tc>
        <w:tc>
          <w:tcPr>
            <w:tcW w:w="1245" w:type="dxa"/>
            <w:vAlign w:val="center"/>
          </w:tcPr>
          <w:p w14:paraId="4F48230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No</w:t>
            </w:r>
          </w:p>
        </w:tc>
        <w:tc>
          <w:tcPr>
            <w:tcW w:w="1064" w:type="dxa"/>
            <w:vAlign w:val="center"/>
          </w:tcPr>
          <w:p w14:paraId="1D75199E"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Risk-informed</w:t>
            </w:r>
          </w:p>
        </w:tc>
        <w:tc>
          <w:tcPr>
            <w:tcW w:w="859" w:type="dxa"/>
            <w:vAlign w:val="center"/>
          </w:tcPr>
          <w:p w14:paraId="306473D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GIS + scenarios</w:t>
            </w:r>
          </w:p>
        </w:tc>
        <w:tc>
          <w:tcPr>
            <w:tcW w:w="1030" w:type="dxa"/>
            <w:vAlign w:val="center"/>
          </w:tcPr>
          <w:p w14:paraId="18BD478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Quantitative</w:t>
            </w:r>
          </w:p>
        </w:tc>
      </w:tr>
      <w:tr w:rsidR="00EB72BC" w14:paraId="7B0EDC9D" w14:textId="77777777">
        <w:trPr>
          <w:jc w:val="center"/>
        </w:trPr>
        <w:tc>
          <w:tcPr>
            <w:tcW w:w="890" w:type="dxa"/>
            <w:vAlign w:val="center"/>
          </w:tcPr>
          <w:p w14:paraId="12CE1381"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Liang et al., 2025</w:t>
            </w:r>
          </w:p>
        </w:tc>
        <w:tc>
          <w:tcPr>
            <w:tcW w:w="1056" w:type="dxa"/>
            <w:vAlign w:val="center"/>
          </w:tcPr>
          <w:p w14:paraId="06CEF39D"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Infrastructure systems</w:t>
            </w:r>
          </w:p>
        </w:tc>
        <w:tc>
          <w:tcPr>
            <w:tcW w:w="817" w:type="dxa"/>
            <w:vAlign w:val="center"/>
          </w:tcPr>
          <w:p w14:paraId="4C6486E8"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14:paraId="479846F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Recovery performance metric</w:t>
            </w:r>
          </w:p>
        </w:tc>
        <w:tc>
          <w:tcPr>
            <w:tcW w:w="1047" w:type="dxa"/>
            <w:vAlign w:val="center"/>
          </w:tcPr>
          <w:p w14:paraId="37E6BBD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Deep reinforcement learning</w:t>
            </w:r>
          </w:p>
        </w:tc>
        <w:tc>
          <w:tcPr>
            <w:tcW w:w="1245" w:type="dxa"/>
            <w:vAlign w:val="center"/>
          </w:tcPr>
          <w:p w14:paraId="29C1A9C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14:paraId="059A5238"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14:paraId="0C50E08D"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Simulated</w:t>
            </w:r>
          </w:p>
        </w:tc>
        <w:tc>
          <w:tcPr>
            <w:tcW w:w="1030" w:type="dxa"/>
            <w:vAlign w:val="center"/>
          </w:tcPr>
          <w:p w14:paraId="15C3292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AI model</w:t>
            </w:r>
          </w:p>
        </w:tc>
      </w:tr>
      <w:tr w:rsidR="00EB72BC" w14:paraId="145D336A" w14:textId="77777777">
        <w:trPr>
          <w:jc w:val="center"/>
        </w:trPr>
        <w:tc>
          <w:tcPr>
            <w:tcW w:w="890" w:type="dxa"/>
            <w:vAlign w:val="center"/>
          </w:tcPr>
          <w:p w14:paraId="0432614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He &amp; Cha, 2019</w:t>
            </w:r>
          </w:p>
        </w:tc>
        <w:tc>
          <w:tcPr>
            <w:tcW w:w="1056" w:type="dxa"/>
            <w:vAlign w:val="center"/>
          </w:tcPr>
          <w:p w14:paraId="1BC9DBF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Interdependent systems</w:t>
            </w:r>
          </w:p>
        </w:tc>
        <w:tc>
          <w:tcPr>
            <w:tcW w:w="817" w:type="dxa"/>
            <w:vAlign w:val="center"/>
          </w:tcPr>
          <w:p w14:paraId="2A07AAE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14:paraId="03335D0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Recovery payoff</w:t>
            </w:r>
          </w:p>
        </w:tc>
        <w:tc>
          <w:tcPr>
            <w:tcW w:w="1047" w:type="dxa"/>
            <w:vAlign w:val="center"/>
          </w:tcPr>
          <w:p w14:paraId="64845624"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Game theory model</w:t>
            </w:r>
          </w:p>
        </w:tc>
        <w:tc>
          <w:tcPr>
            <w:tcW w:w="1245" w:type="dxa"/>
            <w:vAlign w:val="center"/>
          </w:tcPr>
          <w:p w14:paraId="43E98E4E"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14:paraId="72050E0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Institutional focus</w:t>
            </w:r>
          </w:p>
        </w:tc>
        <w:tc>
          <w:tcPr>
            <w:tcW w:w="859" w:type="dxa"/>
            <w:vAlign w:val="center"/>
          </w:tcPr>
          <w:p w14:paraId="46F88F51"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Analytical</w:t>
            </w:r>
          </w:p>
        </w:tc>
        <w:tc>
          <w:tcPr>
            <w:tcW w:w="1030" w:type="dxa"/>
            <w:vAlign w:val="center"/>
          </w:tcPr>
          <w:p w14:paraId="489EEFA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Theoretical</w:t>
            </w:r>
          </w:p>
        </w:tc>
      </w:tr>
      <w:tr w:rsidR="00EB72BC" w14:paraId="1B9FCEA5" w14:textId="77777777">
        <w:trPr>
          <w:jc w:val="center"/>
        </w:trPr>
        <w:tc>
          <w:tcPr>
            <w:tcW w:w="890" w:type="dxa"/>
            <w:vAlign w:val="center"/>
          </w:tcPr>
          <w:p w14:paraId="568A172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Charles et al., 2022</w:t>
            </w:r>
          </w:p>
        </w:tc>
        <w:tc>
          <w:tcPr>
            <w:tcW w:w="1056" w:type="dxa"/>
            <w:vAlign w:val="center"/>
          </w:tcPr>
          <w:p w14:paraId="0AA68B4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Built infrastructure</w:t>
            </w:r>
          </w:p>
        </w:tc>
        <w:tc>
          <w:tcPr>
            <w:tcW w:w="817" w:type="dxa"/>
            <w:vAlign w:val="center"/>
          </w:tcPr>
          <w:p w14:paraId="323B174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Multi-disaster</w:t>
            </w:r>
          </w:p>
        </w:tc>
        <w:tc>
          <w:tcPr>
            <w:tcW w:w="1352" w:type="dxa"/>
            <w:vAlign w:val="center"/>
          </w:tcPr>
          <w:p w14:paraId="1FF83CB5"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Resilience factors</w:t>
            </w:r>
          </w:p>
        </w:tc>
        <w:tc>
          <w:tcPr>
            <w:tcW w:w="1047" w:type="dxa"/>
            <w:vAlign w:val="center"/>
          </w:tcPr>
          <w:p w14:paraId="113DBDA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Systematic synthesis</w:t>
            </w:r>
          </w:p>
        </w:tc>
        <w:tc>
          <w:tcPr>
            <w:tcW w:w="1245" w:type="dxa"/>
            <w:vAlign w:val="center"/>
          </w:tcPr>
          <w:p w14:paraId="08A1779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vAlign w:val="center"/>
          </w:tcPr>
          <w:p w14:paraId="357610C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Stakeholder engagement</w:t>
            </w:r>
          </w:p>
        </w:tc>
        <w:tc>
          <w:tcPr>
            <w:tcW w:w="859" w:type="dxa"/>
            <w:vAlign w:val="center"/>
          </w:tcPr>
          <w:p w14:paraId="0D6FA214"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Literature</w:t>
            </w:r>
          </w:p>
        </w:tc>
        <w:tc>
          <w:tcPr>
            <w:tcW w:w="1030" w:type="dxa"/>
            <w:vAlign w:val="center"/>
          </w:tcPr>
          <w:p w14:paraId="0EA99AAE"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Review</w:t>
            </w:r>
          </w:p>
        </w:tc>
      </w:tr>
      <w:tr w:rsidR="00EB72BC" w14:paraId="2A5AD132" w14:textId="77777777">
        <w:trPr>
          <w:jc w:val="center"/>
        </w:trPr>
        <w:tc>
          <w:tcPr>
            <w:tcW w:w="890" w:type="dxa"/>
            <w:vAlign w:val="center"/>
          </w:tcPr>
          <w:p w14:paraId="5CC743B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Shao &amp; Xu, 2017</w:t>
            </w:r>
          </w:p>
        </w:tc>
        <w:tc>
          <w:tcPr>
            <w:tcW w:w="1056" w:type="dxa"/>
            <w:vAlign w:val="center"/>
          </w:tcPr>
          <w:p w14:paraId="637DB10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reconstruction</w:t>
            </w:r>
          </w:p>
        </w:tc>
        <w:tc>
          <w:tcPr>
            <w:tcW w:w="817" w:type="dxa"/>
            <w:vAlign w:val="center"/>
          </w:tcPr>
          <w:p w14:paraId="67FD227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14:paraId="751F6580"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Policy resilience</w:t>
            </w:r>
          </w:p>
        </w:tc>
        <w:tc>
          <w:tcPr>
            <w:tcW w:w="1047" w:type="dxa"/>
            <w:vAlign w:val="center"/>
          </w:tcPr>
          <w:p w14:paraId="5085C38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Regulatory analysis</w:t>
            </w:r>
          </w:p>
        </w:tc>
        <w:tc>
          <w:tcPr>
            <w:tcW w:w="1245" w:type="dxa"/>
            <w:vAlign w:val="center"/>
          </w:tcPr>
          <w:p w14:paraId="36AAFEC4"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vAlign w:val="center"/>
          </w:tcPr>
          <w:p w14:paraId="58FC6E2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Strong governance</w:t>
            </w:r>
          </w:p>
        </w:tc>
        <w:tc>
          <w:tcPr>
            <w:tcW w:w="859" w:type="dxa"/>
            <w:vAlign w:val="center"/>
          </w:tcPr>
          <w:p w14:paraId="671BD7C4"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Policy docs</w:t>
            </w:r>
          </w:p>
        </w:tc>
        <w:tc>
          <w:tcPr>
            <w:tcW w:w="1030" w:type="dxa"/>
            <w:vAlign w:val="center"/>
          </w:tcPr>
          <w:p w14:paraId="32315A1D"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Case study</w:t>
            </w:r>
          </w:p>
        </w:tc>
      </w:tr>
      <w:tr w:rsidR="00EB72BC" w14:paraId="5A0161F7" w14:textId="77777777">
        <w:trPr>
          <w:jc w:val="center"/>
        </w:trPr>
        <w:tc>
          <w:tcPr>
            <w:tcW w:w="890" w:type="dxa"/>
            <w:vAlign w:val="center"/>
          </w:tcPr>
          <w:p w14:paraId="791829A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Xu &amp; Shao, 2020</w:t>
            </w:r>
          </w:p>
        </w:tc>
        <w:tc>
          <w:tcPr>
            <w:tcW w:w="1056" w:type="dxa"/>
            <w:vAlign w:val="center"/>
          </w:tcPr>
          <w:p w14:paraId="2F02D83E"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planning</w:t>
            </w:r>
          </w:p>
        </w:tc>
        <w:tc>
          <w:tcPr>
            <w:tcW w:w="817" w:type="dxa"/>
            <w:vAlign w:val="center"/>
          </w:tcPr>
          <w:p w14:paraId="1B2E7DA5"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14:paraId="6196E27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State-led resilience</w:t>
            </w:r>
          </w:p>
        </w:tc>
        <w:tc>
          <w:tcPr>
            <w:tcW w:w="1047" w:type="dxa"/>
            <w:vAlign w:val="center"/>
          </w:tcPr>
          <w:p w14:paraId="747B63B8"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Institutional framework</w:t>
            </w:r>
          </w:p>
        </w:tc>
        <w:tc>
          <w:tcPr>
            <w:tcW w:w="1245" w:type="dxa"/>
            <w:vAlign w:val="center"/>
          </w:tcPr>
          <w:p w14:paraId="3CAD7E48"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vAlign w:val="center"/>
          </w:tcPr>
          <w:p w14:paraId="66D2747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Governance-centered</w:t>
            </w:r>
          </w:p>
        </w:tc>
        <w:tc>
          <w:tcPr>
            <w:tcW w:w="859" w:type="dxa"/>
            <w:vAlign w:val="center"/>
          </w:tcPr>
          <w:p w14:paraId="32CB9B34"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Policy review</w:t>
            </w:r>
          </w:p>
        </w:tc>
        <w:tc>
          <w:tcPr>
            <w:tcW w:w="1030" w:type="dxa"/>
            <w:vAlign w:val="center"/>
          </w:tcPr>
          <w:p w14:paraId="480DF1C8"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Case study</w:t>
            </w:r>
          </w:p>
        </w:tc>
      </w:tr>
      <w:tr w:rsidR="00EB72BC" w14:paraId="3A79B7C3" w14:textId="77777777">
        <w:trPr>
          <w:jc w:val="center"/>
        </w:trPr>
        <w:tc>
          <w:tcPr>
            <w:tcW w:w="890" w:type="dxa"/>
            <w:vAlign w:val="center"/>
          </w:tcPr>
          <w:p w14:paraId="0218388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Kanno et al., 2019</w:t>
            </w:r>
          </w:p>
        </w:tc>
        <w:tc>
          <w:tcPr>
            <w:tcW w:w="1056" w:type="dxa"/>
            <w:vAlign w:val="center"/>
          </w:tcPr>
          <w:p w14:paraId="763DF0F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systems</w:t>
            </w:r>
          </w:p>
        </w:tc>
        <w:tc>
          <w:tcPr>
            <w:tcW w:w="817" w:type="dxa"/>
            <w:vAlign w:val="center"/>
          </w:tcPr>
          <w:p w14:paraId="4152A7C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14:paraId="1AFB3890"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Multi-system recovery</w:t>
            </w:r>
          </w:p>
        </w:tc>
        <w:tc>
          <w:tcPr>
            <w:tcW w:w="1047" w:type="dxa"/>
            <w:vAlign w:val="center"/>
          </w:tcPr>
          <w:p w14:paraId="32B5B9C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Human-centered simulation</w:t>
            </w:r>
          </w:p>
        </w:tc>
        <w:tc>
          <w:tcPr>
            <w:tcW w:w="1245" w:type="dxa"/>
            <w:vAlign w:val="center"/>
          </w:tcPr>
          <w:p w14:paraId="00A54D2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14:paraId="608EAC89"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14:paraId="5C7DE0E8"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Behavioral data</w:t>
            </w:r>
          </w:p>
        </w:tc>
        <w:tc>
          <w:tcPr>
            <w:tcW w:w="1030" w:type="dxa"/>
            <w:vAlign w:val="center"/>
          </w:tcPr>
          <w:p w14:paraId="642A011E"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Modeling</w:t>
            </w:r>
          </w:p>
        </w:tc>
      </w:tr>
      <w:tr w:rsidR="00EB72BC" w14:paraId="05B39F87" w14:textId="77777777">
        <w:trPr>
          <w:jc w:val="center"/>
        </w:trPr>
        <w:tc>
          <w:tcPr>
            <w:tcW w:w="890" w:type="dxa"/>
            <w:vAlign w:val="center"/>
          </w:tcPr>
          <w:p w14:paraId="6A8B81D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Zhao et al., 2025</w:t>
            </w:r>
          </w:p>
        </w:tc>
        <w:tc>
          <w:tcPr>
            <w:tcW w:w="1056" w:type="dxa"/>
            <w:vAlign w:val="center"/>
          </w:tcPr>
          <w:p w14:paraId="0500F25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Infrastructure systems</w:t>
            </w:r>
          </w:p>
        </w:tc>
        <w:tc>
          <w:tcPr>
            <w:tcW w:w="817" w:type="dxa"/>
            <w:vAlign w:val="center"/>
          </w:tcPr>
          <w:p w14:paraId="105CE5C5"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Disaster scenarios</w:t>
            </w:r>
          </w:p>
        </w:tc>
        <w:tc>
          <w:tcPr>
            <w:tcW w:w="1352" w:type="dxa"/>
            <w:vAlign w:val="center"/>
          </w:tcPr>
          <w:p w14:paraId="56E76FF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Needs-based recovery</w:t>
            </w:r>
          </w:p>
        </w:tc>
        <w:tc>
          <w:tcPr>
            <w:tcW w:w="1047" w:type="dxa"/>
            <w:vAlign w:val="center"/>
          </w:tcPr>
          <w:p w14:paraId="07BF0F74"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Hypernetwork model</w:t>
            </w:r>
          </w:p>
        </w:tc>
        <w:tc>
          <w:tcPr>
            <w:tcW w:w="1245" w:type="dxa"/>
            <w:vAlign w:val="center"/>
          </w:tcPr>
          <w:p w14:paraId="47C09BD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14:paraId="4328A5D5"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Resident-centered</w:t>
            </w:r>
          </w:p>
        </w:tc>
        <w:tc>
          <w:tcPr>
            <w:tcW w:w="859" w:type="dxa"/>
            <w:vAlign w:val="center"/>
          </w:tcPr>
          <w:p w14:paraId="096EC4D5"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Demand data</w:t>
            </w:r>
          </w:p>
        </w:tc>
        <w:tc>
          <w:tcPr>
            <w:tcW w:w="1030" w:type="dxa"/>
            <w:vAlign w:val="center"/>
          </w:tcPr>
          <w:p w14:paraId="7981DAC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Computational</w:t>
            </w:r>
          </w:p>
        </w:tc>
      </w:tr>
      <w:tr w:rsidR="00EB72BC" w14:paraId="55017386" w14:textId="77777777">
        <w:trPr>
          <w:jc w:val="center"/>
        </w:trPr>
        <w:tc>
          <w:tcPr>
            <w:tcW w:w="890" w:type="dxa"/>
            <w:vAlign w:val="center"/>
          </w:tcPr>
          <w:p w14:paraId="56FBA23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Yang et al., 2025</w:t>
            </w:r>
          </w:p>
        </w:tc>
        <w:tc>
          <w:tcPr>
            <w:tcW w:w="1056" w:type="dxa"/>
            <w:vAlign w:val="center"/>
          </w:tcPr>
          <w:p w14:paraId="0E8BA760"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infrastructure</w:t>
            </w:r>
          </w:p>
        </w:tc>
        <w:tc>
          <w:tcPr>
            <w:tcW w:w="817" w:type="dxa"/>
            <w:vAlign w:val="center"/>
          </w:tcPr>
          <w:p w14:paraId="1EA0BD9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Flood</w:t>
            </w:r>
          </w:p>
        </w:tc>
        <w:tc>
          <w:tcPr>
            <w:tcW w:w="1352" w:type="dxa"/>
            <w:vAlign w:val="center"/>
          </w:tcPr>
          <w:p w14:paraId="1796B1D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PSR resilience index</w:t>
            </w:r>
          </w:p>
        </w:tc>
        <w:tc>
          <w:tcPr>
            <w:tcW w:w="1047" w:type="dxa"/>
            <w:vAlign w:val="center"/>
          </w:tcPr>
          <w:p w14:paraId="0B31200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Catastrophe modeling</w:t>
            </w:r>
          </w:p>
        </w:tc>
        <w:tc>
          <w:tcPr>
            <w:tcW w:w="1245" w:type="dxa"/>
            <w:vAlign w:val="center"/>
          </w:tcPr>
          <w:p w14:paraId="76A5A83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Partial</w:t>
            </w:r>
          </w:p>
        </w:tc>
        <w:tc>
          <w:tcPr>
            <w:tcW w:w="1064" w:type="dxa"/>
            <w:vAlign w:val="center"/>
          </w:tcPr>
          <w:p w14:paraId="4C334EB9"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14:paraId="675FFC1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Scenario data</w:t>
            </w:r>
          </w:p>
        </w:tc>
        <w:tc>
          <w:tcPr>
            <w:tcW w:w="1030" w:type="dxa"/>
            <w:vAlign w:val="center"/>
          </w:tcPr>
          <w:p w14:paraId="6856622E"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Analytical</w:t>
            </w:r>
          </w:p>
        </w:tc>
      </w:tr>
      <w:tr w:rsidR="00EB72BC" w14:paraId="0D6D4CA0" w14:textId="77777777">
        <w:trPr>
          <w:jc w:val="center"/>
        </w:trPr>
        <w:tc>
          <w:tcPr>
            <w:tcW w:w="890" w:type="dxa"/>
            <w:vAlign w:val="center"/>
          </w:tcPr>
          <w:p w14:paraId="33B9BC5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lastRenderedPageBreak/>
              <w:t>Zhai et al., 2023</w:t>
            </w:r>
          </w:p>
        </w:tc>
        <w:tc>
          <w:tcPr>
            <w:tcW w:w="1056" w:type="dxa"/>
            <w:vAlign w:val="center"/>
          </w:tcPr>
          <w:p w14:paraId="777B153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Seismic systems</w:t>
            </w:r>
          </w:p>
        </w:tc>
        <w:tc>
          <w:tcPr>
            <w:tcW w:w="817" w:type="dxa"/>
            <w:vAlign w:val="center"/>
          </w:tcPr>
          <w:p w14:paraId="47E9E75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14:paraId="735D31A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Weighted loss-recovery index</w:t>
            </w:r>
          </w:p>
        </w:tc>
        <w:tc>
          <w:tcPr>
            <w:tcW w:w="1047" w:type="dxa"/>
            <w:vAlign w:val="center"/>
          </w:tcPr>
          <w:p w14:paraId="594691D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Resilience quantification</w:t>
            </w:r>
          </w:p>
        </w:tc>
        <w:tc>
          <w:tcPr>
            <w:tcW w:w="1245" w:type="dxa"/>
            <w:vAlign w:val="center"/>
          </w:tcPr>
          <w:p w14:paraId="035675C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No</w:t>
            </w:r>
          </w:p>
        </w:tc>
        <w:tc>
          <w:tcPr>
            <w:tcW w:w="1064" w:type="dxa"/>
            <w:vAlign w:val="center"/>
          </w:tcPr>
          <w:p w14:paraId="26F0E008"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14:paraId="01CF681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Loss modeling</w:t>
            </w:r>
          </w:p>
        </w:tc>
        <w:tc>
          <w:tcPr>
            <w:tcW w:w="1030" w:type="dxa"/>
            <w:vAlign w:val="center"/>
          </w:tcPr>
          <w:p w14:paraId="0CD97515"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Quantitative</w:t>
            </w:r>
          </w:p>
        </w:tc>
      </w:tr>
      <w:tr w:rsidR="00EB72BC" w14:paraId="4D8875CF" w14:textId="77777777">
        <w:trPr>
          <w:jc w:val="center"/>
        </w:trPr>
        <w:tc>
          <w:tcPr>
            <w:tcW w:w="890" w:type="dxa"/>
            <w:vAlign w:val="center"/>
          </w:tcPr>
          <w:p w14:paraId="35213DC1" w14:textId="77777777" w:rsidR="00EB72BC" w:rsidRDefault="00F240DA">
            <w:pPr>
              <w:spacing w:before="240" w:after="0" w:line="240" w:lineRule="auto"/>
              <w:jc w:val="center"/>
              <w:rPr>
                <w:rFonts w:ascii="Arial" w:eastAsia="Arial" w:hAnsi="Arial" w:cs="Arial"/>
                <w:sz w:val="20"/>
                <w:szCs w:val="20"/>
              </w:rPr>
            </w:pPr>
            <w:proofErr w:type="spellStart"/>
            <w:r>
              <w:rPr>
                <w:rFonts w:ascii="Arial" w:eastAsia="Arial" w:hAnsi="Arial" w:cs="Arial"/>
                <w:sz w:val="20"/>
                <w:szCs w:val="20"/>
              </w:rPr>
              <w:t>Greenal</w:t>
            </w:r>
            <w:proofErr w:type="spellEnd"/>
            <w:r>
              <w:rPr>
                <w:rFonts w:ascii="Arial" w:eastAsia="Arial" w:hAnsi="Arial" w:cs="Arial"/>
                <w:sz w:val="20"/>
                <w:szCs w:val="20"/>
              </w:rPr>
              <w:t xml:space="preserve"> &amp; </w:t>
            </w:r>
            <w:proofErr w:type="spellStart"/>
            <w:r>
              <w:rPr>
                <w:rFonts w:ascii="Arial" w:eastAsia="Arial" w:hAnsi="Arial" w:cs="Arial"/>
                <w:sz w:val="20"/>
                <w:szCs w:val="20"/>
              </w:rPr>
              <w:t>Anilkumar</w:t>
            </w:r>
            <w:proofErr w:type="spellEnd"/>
            <w:r>
              <w:rPr>
                <w:rFonts w:ascii="Arial" w:eastAsia="Arial" w:hAnsi="Arial" w:cs="Arial"/>
                <w:sz w:val="20"/>
                <w:szCs w:val="20"/>
              </w:rPr>
              <w:t>, 2025</w:t>
            </w:r>
          </w:p>
        </w:tc>
        <w:tc>
          <w:tcPr>
            <w:tcW w:w="1056" w:type="dxa"/>
            <w:vAlign w:val="center"/>
          </w:tcPr>
          <w:p w14:paraId="574AE31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Infrastructure recovery tools</w:t>
            </w:r>
          </w:p>
        </w:tc>
        <w:tc>
          <w:tcPr>
            <w:tcW w:w="817" w:type="dxa"/>
            <w:vAlign w:val="center"/>
          </w:tcPr>
          <w:p w14:paraId="6EF63CC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14:paraId="7787BEBE"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Decision-support frameworks</w:t>
            </w:r>
          </w:p>
        </w:tc>
        <w:tc>
          <w:tcPr>
            <w:tcW w:w="1047" w:type="dxa"/>
            <w:vAlign w:val="center"/>
          </w:tcPr>
          <w:p w14:paraId="2DAD6E71"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Scoping of DSS tools</w:t>
            </w:r>
          </w:p>
        </w:tc>
        <w:tc>
          <w:tcPr>
            <w:tcW w:w="1245" w:type="dxa"/>
            <w:vAlign w:val="center"/>
          </w:tcPr>
          <w:p w14:paraId="7172C2C9"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Varies</w:t>
            </w:r>
          </w:p>
        </w:tc>
        <w:tc>
          <w:tcPr>
            <w:tcW w:w="1064" w:type="dxa"/>
            <w:vAlign w:val="center"/>
          </w:tcPr>
          <w:p w14:paraId="5AA77BC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Governance emphasis</w:t>
            </w:r>
          </w:p>
        </w:tc>
        <w:tc>
          <w:tcPr>
            <w:tcW w:w="859" w:type="dxa"/>
            <w:vAlign w:val="center"/>
          </w:tcPr>
          <w:p w14:paraId="6644445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Literature</w:t>
            </w:r>
          </w:p>
        </w:tc>
        <w:tc>
          <w:tcPr>
            <w:tcW w:w="1030" w:type="dxa"/>
            <w:vAlign w:val="center"/>
          </w:tcPr>
          <w:p w14:paraId="63FF205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Review</w:t>
            </w:r>
          </w:p>
        </w:tc>
      </w:tr>
      <w:tr w:rsidR="00EB72BC" w14:paraId="69980358" w14:textId="77777777">
        <w:trPr>
          <w:jc w:val="center"/>
        </w:trPr>
        <w:tc>
          <w:tcPr>
            <w:tcW w:w="890" w:type="dxa"/>
            <w:vAlign w:val="center"/>
          </w:tcPr>
          <w:p w14:paraId="071C55A1"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Mohammadi et al., 2024</w:t>
            </w:r>
          </w:p>
        </w:tc>
        <w:tc>
          <w:tcPr>
            <w:tcW w:w="1056" w:type="dxa"/>
            <w:vAlign w:val="center"/>
          </w:tcPr>
          <w:p w14:paraId="650DA34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multi-risk</w:t>
            </w:r>
          </w:p>
        </w:tc>
        <w:tc>
          <w:tcPr>
            <w:tcW w:w="817" w:type="dxa"/>
            <w:vAlign w:val="center"/>
          </w:tcPr>
          <w:p w14:paraId="573DD7E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14:paraId="7A915F9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Multi-risk recovery metrics</w:t>
            </w:r>
          </w:p>
        </w:tc>
        <w:tc>
          <w:tcPr>
            <w:tcW w:w="1047" w:type="dxa"/>
            <w:vAlign w:val="center"/>
          </w:tcPr>
          <w:p w14:paraId="360DCC9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Integrated recovery planning</w:t>
            </w:r>
          </w:p>
        </w:tc>
        <w:tc>
          <w:tcPr>
            <w:tcW w:w="1245" w:type="dxa"/>
            <w:vAlign w:val="center"/>
          </w:tcPr>
          <w:p w14:paraId="4A6DE244"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14:paraId="748E33C0"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Equity discussed</w:t>
            </w:r>
          </w:p>
        </w:tc>
        <w:tc>
          <w:tcPr>
            <w:tcW w:w="859" w:type="dxa"/>
            <w:vAlign w:val="center"/>
          </w:tcPr>
          <w:p w14:paraId="0E643FE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Mixed</w:t>
            </w:r>
          </w:p>
        </w:tc>
        <w:tc>
          <w:tcPr>
            <w:tcW w:w="1030" w:type="dxa"/>
            <w:vAlign w:val="center"/>
          </w:tcPr>
          <w:p w14:paraId="36F4D4E4"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Review</w:t>
            </w:r>
          </w:p>
        </w:tc>
      </w:tr>
      <w:tr w:rsidR="00EB72BC" w14:paraId="3452E58C" w14:textId="77777777">
        <w:trPr>
          <w:jc w:val="center"/>
        </w:trPr>
        <w:tc>
          <w:tcPr>
            <w:tcW w:w="890" w:type="dxa"/>
            <w:vAlign w:val="center"/>
          </w:tcPr>
          <w:p w14:paraId="07C542F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Zhang et al., 2021</w:t>
            </w:r>
          </w:p>
        </w:tc>
        <w:tc>
          <w:tcPr>
            <w:tcW w:w="1056" w:type="dxa"/>
            <w:vAlign w:val="center"/>
          </w:tcPr>
          <w:p w14:paraId="35A73BE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system</w:t>
            </w:r>
          </w:p>
        </w:tc>
        <w:tc>
          <w:tcPr>
            <w:tcW w:w="817" w:type="dxa"/>
            <w:vAlign w:val="center"/>
          </w:tcPr>
          <w:p w14:paraId="6BB1C08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Various</w:t>
            </w:r>
          </w:p>
        </w:tc>
        <w:tc>
          <w:tcPr>
            <w:tcW w:w="1352" w:type="dxa"/>
            <w:vAlign w:val="center"/>
          </w:tcPr>
          <w:p w14:paraId="1D34741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Multi-stage resilience</w:t>
            </w:r>
          </w:p>
        </w:tc>
        <w:tc>
          <w:tcPr>
            <w:tcW w:w="1047" w:type="dxa"/>
            <w:vAlign w:val="center"/>
          </w:tcPr>
          <w:p w14:paraId="005700F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Functionality modeling</w:t>
            </w:r>
          </w:p>
        </w:tc>
        <w:tc>
          <w:tcPr>
            <w:tcW w:w="1245" w:type="dxa"/>
            <w:vAlign w:val="center"/>
          </w:tcPr>
          <w:p w14:paraId="24CC85F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vAlign w:val="center"/>
          </w:tcPr>
          <w:p w14:paraId="553CB2E5"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Pre-disaster focus</w:t>
            </w:r>
          </w:p>
        </w:tc>
        <w:tc>
          <w:tcPr>
            <w:tcW w:w="859" w:type="dxa"/>
            <w:vAlign w:val="center"/>
          </w:tcPr>
          <w:p w14:paraId="14A7D2B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indicators</w:t>
            </w:r>
          </w:p>
        </w:tc>
        <w:tc>
          <w:tcPr>
            <w:tcW w:w="1030" w:type="dxa"/>
            <w:vAlign w:val="center"/>
          </w:tcPr>
          <w:p w14:paraId="054B499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Modeling</w:t>
            </w:r>
          </w:p>
        </w:tc>
      </w:tr>
      <w:tr w:rsidR="00EB72BC" w14:paraId="3A13C9B4" w14:textId="77777777">
        <w:trPr>
          <w:jc w:val="center"/>
        </w:trPr>
        <w:tc>
          <w:tcPr>
            <w:tcW w:w="890" w:type="dxa"/>
            <w:vAlign w:val="center"/>
          </w:tcPr>
          <w:p w14:paraId="6B3CEE78"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He &amp; Cha, 2022</w:t>
            </w:r>
          </w:p>
        </w:tc>
        <w:tc>
          <w:tcPr>
            <w:tcW w:w="1056" w:type="dxa"/>
            <w:vAlign w:val="center"/>
          </w:tcPr>
          <w:p w14:paraId="1B955DC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Interdependent systems</w:t>
            </w:r>
          </w:p>
        </w:tc>
        <w:tc>
          <w:tcPr>
            <w:tcW w:w="817" w:type="dxa"/>
            <w:vAlign w:val="center"/>
          </w:tcPr>
          <w:p w14:paraId="4C3BF350"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14:paraId="32F2113D"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DRM frameworks</w:t>
            </w:r>
          </w:p>
        </w:tc>
        <w:tc>
          <w:tcPr>
            <w:tcW w:w="1047" w:type="dxa"/>
            <w:vAlign w:val="center"/>
          </w:tcPr>
          <w:p w14:paraId="0B8C2E7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Systematic review</w:t>
            </w:r>
          </w:p>
        </w:tc>
        <w:tc>
          <w:tcPr>
            <w:tcW w:w="1245" w:type="dxa"/>
            <w:vAlign w:val="center"/>
          </w:tcPr>
          <w:p w14:paraId="1BDEAAB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14:paraId="484856D8"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14:paraId="1A387BEE"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Literature</w:t>
            </w:r>
          </w:p>
        </w:tc>
        <w:tc>
          <w:tcPr>
            <w:tcW w:w="1030" w:type="dxa"/>
            <w:vAlign w:val="center"/>
          </w:tcPr>
          <w:p w14:paraId="03F71CAD"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Review</w:t>
            </w:r>
          </w:p>
        </w:tc>
      </w:tr>
      <w:tr w:rsidR="00EB72BC" w14:paraId="43F7B6AA" w14:textId="77777777">
        <w:trPr>
          <w:jc w:val="center"/>
        </w:trPr>
        <w:tc>
          <w:tcPr>
            <w:tcW w:w="890" w:type="dxa"/>
            <w:vAlign w:val="center"/>
          </w:tcPr>
          <w:p w14:paraId="242DC25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Rezvani et al., 2023</w:t>
            </w:r>
          </w:p>
        </w:tc>
        <w:tc>
          <w:tcPr>
            <w:tcW w:w="1056" w:type="dxa"/>
            <w:vAlign w:val="center"/>
          </w:tcPr>
          <w:p w14:paraId="0A85C6D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resilience tools</w:t>
            </w:r>
          </w:p>
        </w:tc>
        <w:tc>
          <w:tcPr>
            <w:tcW w:w="817" w:type="dxa"/>
            <w:vAlign w:val="center"/>
          </w:tcPr>
          <w:p w14:paraId="492B1A20"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14:paraId="1596118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GIS-enabled resilience</w:t>
            </w:r>
          </w:p>
        </w:tc>
        <w:tc>
          <w:tcPr>
            <w:tcW w:w="1047" w:type="dxa"/>
            <w:vAlign w:val="center"/>
          </w:tcPr>
          <w:p w14:paraId="392BEC1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Decision-support systems</w:t>
            </w:r>
          </w:p>
        </w:tc>
        <w:tc>
          <w:tcPr>
            <w:tcW w:w="1245" w:type="dxa"/>
            <w:vAlign w:val="center"/>
          </w:tcPr>
          <w:p w14:paraId="650E26F1"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Partial</w:t>
            </w:r>
          </w:p>
        </w:tc>
        <w:tc>
          <w:tcPr>
            <w:tcW w:w="1064" w:type="dxa"/>
            <w:vAlign w:val="center"/>
          </w:tcPr>
          <w:p w14:paraId="6AF8E8E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Planning focus</w:t>
            </w:r>
          </w:p>
        </w:tc>
        <w:tc>
          <w:tcPr>
            <w:tcW w:w="859" w:type="dxa"/>
            <w:vAlign w:val="center"/>
          </w:tcPr>
          <w:p w14:paraId="6A0BE1B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GIS-based</w:t>
            </w:r>
          </w:p>
        </w:tc>
        <w:tc>
          <w:tcPr>
            <w:tcW w:w="1030" w:type="dxa"/>
            <w:vAlign w:val="center"/>
          </w:tcPr>
          <w:p w14:paraId="64DE6C90"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Review</w:t>
            </w:r>
          </w:p>
        </w:tc>
      </w:tr>
      <w:tr w:rsidR="00EB72BC" w14:paraId="4E6229DC" w14:textId="77777777">
        <w:trPr>
          <w:jc w:val="center"/>
        </w:trPr>
        <w:tc>
          <w:tcPr>
            <w:tcW w:w="890" w:type="dxa"/>
            <w:vAlign w:val="center"/>
          </w:tcPr>
          <w:p w14:paraId="1127763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Joo &amp; Sinha, 2023</w:t>
            </w:r>
          </w:p>
        </w:tc>
        <w:tc>
          <w:tcPr>
            <w:tcW w:w="1056" w:type="dxa"/>
            <w:vAlign w:val="center"/>
          </w:tcPr>
          <w:p w14:paraId="31F0043D"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Built infrastructure</w:t>
            </w:r>
          </w:p>
        </w:tc>
        <w:tc>
          <w:tcPr>
            <w:tcW w:w="817" w:type="dxa"/>
            <w:vAlign w:val="center"/>
          </w:tcPr>
          <w:p w14:paraId="5FDF5839"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Multi-disaster</w:t>
            </w:r>
          </w:p>
        </w:tc>
        <w:tc>
          <w:tcPr>
            <w:tcW w:w="1352" w:type="dxa"/>
            <w:vAlign w:val="center"/>
          </w:tcPr>
          <w:p w14:paraId="1648682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Performance-based pathways</w:t>
            </w:r>
          </w:p>
        </w:tc>
        <w:tc>
          <w:tcPr>
            <w:tcW w:w="1047" w:type="dxa"/>
            <w:vAlign w:val="center"/>
          </w:tcPr>
          <w:p w14:paraId="72D0C47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Pathway selection model</w:t>
            </w:r>
          </w:p>
        </w:tc>
        <w:tc>
          <w:tcPr>
            <w:tcW w:w="1245" w:type="dxa"/>
            <w:vAlign w:val="center"/>
          </w:tcPr>
          <w:p w14:paraId="4E0EAFD9"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14:paraId="247CF9C4"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14:paraId="69869730"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Simulation</w:t>
            </w:r>
          </w:p>
        </w:tc>
        <w:tc>
          <w:tcPr>
            <w:tcW w:w="1030" w:type="dxa"/>
            <w:vAlign w:val="center"/>
          </w:tcPr>
          <w:p w14:paraId="6B62F51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Modeling</w:t>
            </w:r>
          </w:p>
        </w:tc>
      </w:tr>
      <w:tr w:rsidR="00EB72BC" w14:paraId="72227D00" w14:textId="77777777">
        <w:trPr>
          <w:jc w:val="center"/>
        </w:trPr>
        <w:tc>
          <w:tcPr>
            <w:tcW w:w="890" w:type="dxa"/>
            <w:vAlign w:val="center"/>
          </w:tcPr>
          <w:p w14:paraId="26ECABF9"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Zhai et al., 2024</w:t>
            </w:r>
          </w:p>
        </w:tc>
        <w:tc>
          <w:tcPr>
            <w:tcW w:w="1056" w:type="dxa"/>
            <w:vAlign w:val="center"/>
          </w:tcPr>
          <w:p w14:paraId="608E3B2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Recovery planning</w:t>
            </w:r>
          </w:p>
        </w:tc>
        <w:tc>
          <w:tcPr>
            <w:tcW w:w="817" w:type="dxa"/>
            <w:vAlign w:val="center"/>
          </w:tcPr>
          <w:p w14:paraId="4B7F72B9"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Post-disaster</w:t>
            </w:r>
          </w:p>
        </w:tc>
        <w:tc>
          <w:tcPr>
            <w:tcW w:w="1352" w:type="dxa"/>
            <w:vAlign w:val="center"/>
          </w:tcPr>
          <w:p w14:paraId="73610835"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Prototypical projects</w:t>
            </w:r>
          </w:p>
        </w:tc>
        <w:tc>
          <w:tcPr>
            <w:tcW w:w="1047" w:type="dxa"/>
            <w:vAlign w:val="center"/>
          </w:tcPr>
          <w:p w14:paraId="6C84D3C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Planning framework</w:t>
            </w:r>
          </w:p>
        </w:tc>
        <w:tc>
          <w:tcPr>
            <w:tcW w:w="1245" w:type="dxa"/>
            <w:vAlign w:val="center"/>
          </w:tcPr>
          <w:p w14:paraId="3EBCB914"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vAlign w:val="center"/>
          </w:tcPr>
          <w:p w14:paraId="69151AFD"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Action-oriented</w:t>
            </w:r>
          </w:p>
        </w:tc>
        <w:tc>
          <w:tcPr>
            <w:tcW w:w="859" w:type="dxa"/>
            <w:vAlign w:val="center"/>
          </w:tcPr>
          <w:p w14:paraId="69B95D3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Conceptual</w:t>
            </w:r>
          </w:p>
        </w:tc>
        <w:tc>
          <w:tcPr>
            <w:tcW w:w="1030" w:type="dxa"/>
            <w:vAlign w:val="center"/>
          </w:tcPr>
          <w:p w14:paraId="073AB445"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Planning</w:t>
            </w:r>
          </w:p>
        </w:tc>
      </w:tr>
      <w:tr w:rsidR="00EB72BC" w14:paraId="014B92D6" w14:textId="77777777">
        <w:trPr>
          <w:jc w:val="center"/>
        </w:trPr>
        <w:tc>
          <w:tcPr>
            <w:tcW w:w="890" w:type="dxa"/>
            <w:vAlign w:val="center"/>
          </w:tcPr>
          <w:p w14:paraId="3022633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Mao &amp; Liu, 2024</w:t>
            </w:r>
          </w:p>
        </w:tc>
        <w:tc>
          <w:tcPr>
            <w:tcW w:w="1056" w:type="dxa"/>
            <w:vAlign w:val="center"/>
          </w:tcPr>
          <w:p w14:paraId="3244CBF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Interdependent systems</w:t>
            </w:r>
          </w:p>
        </w:tc>
        <w:tc>
          <w:tcPr>
            <w:tcW w:w="817" w:type="dxa"/>
            <w:vAlign w:val="center"/>
          </w:tcPr>
          <w:p w14:paraId="1452535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Multi-disaster</w:t>
            </w:r>
          </w:p>
        </w:tc>
        <w:tc>
          <w:tcPr>
            <w:tcW w:w="1352" w:type="dxa"/>
            <w:vAlign w:val="center"/>
          </w:tcPr>
          <w:p w14:paraId="35534349"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Socioeconomic performance</w:t>
            </w:r>
          </w:p>
        </w:tc>
        <w:tc>
          <w:tcPr>
            <w:tcW w:w="1047" w:type="dxa"/>
            <w:vAlign w:val="center"/>
          </w:tcPr>
          <w:p w14:paraId="564920D5"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Restoration sequencing</w:t>
            </w:r>
          </w:p>
        </w:tc>
        <w:tc>
          <w:tcPr>
            <w:tcW w:w="1245" w:type="dxa"/>
            <w:vAlign w:val="center"/>
          </w:tcPr>
          <w:p w14:paraId="4E7D7900"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14:paraId="3E97C4E0"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Socioeconomic impact</w:t>
            </w:r>
          </w:p>
        </w:tc>
        <w:tc>
          <w:tcPr>
            <w:tcW w:w="859" w:type="dxa"/>
            <w:vAlign w:val="center"/>
          </w:tcPr>
          <w:p w14:paraId="5F6890F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Scenario modeling</w:t>
            </w:r>
          </w:p>
        </w:tc>
        <w:tc>
          <w:tcPr>
            <w:tcW w:w="1030" w:type="dxa"/>
            <w:vAlign w:val="center"/>
          </w:tcPr>
          <w:p w14:paraId="498EAB39"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Optimization</w:t>
            </w:r>
          </w:p>
        </w:tc>
      </w:tr>
      <w:tr w:rsidR="00EB72BC" w14:paraId="5AE369BF" w14:textId="77777777">
        <w:trPr>
          <w:jc w:val="center"/>
        </w:trPr>
        <w:tc>
          <w:tcPr>
            <w:tcW w:w="890" w:type="dxa"/>
            <w:vAlign w:val="center"/>
          </w:tcPr>
          <w:p w14:paraId="4B4CC92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Zhang et al., 2025</w:t>
            </w:r>
          </w:p>
        </w:tc>
        <w:tc>
          <w:tcPr>
            <w:tcW w:w="1056" w:type="dxa"/>
            <w:vAlign w:val="center"/>
          </w:tcPr>
          <w:p w14:paraId="5BCD937E"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Bridge networks</w:t>
            </w:r>
          </w:p>
        </w:tc>
        <w:tc>
          <w:tcPr>
            <w:tcW w:w="817" w:type="dxa"/>
            <w:vAlign w:val="center"/>
          </w:tcPr>
          <w:p w14:paraId="78A02229"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14:paraId="324B737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Resilience scheduling</w:t>
            </w:r>
          </w:p>
        </w:tc>
        <w:tc>
          <w:tcPr>
            <w:tcW w:w="1047" w:type="dxa"/>
            <w:vAlign w:val="center"/>
          </w:tcPr>
          <w:p w14:paraId="139A27CD"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Uncertainty-based framework</w:t>
            </w:r>
          </w:p>
        </w:tc>
        <w:tc>
          <w:tcPr>
            <w:tcW w:w="1245" w:type="dxa"/>
            <w:vAlign w:val="center"/>
          </w:tcPr>
          <w:p w14:paraId="1BF5AF74"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14:paraId="3B58AFA9"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14:paraId="5457BAE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Probabilistic</w:t>
            </w:r>
          </w:p>
        </w:tc>
        <w:tc>
          <w:tcPr>
            <w:tcW w:w="1030" w:type="dxa"/>
            <w:vAlign w:val="center"/>
          </w:tcPr>
          <w:p w14:paraId="44AA78A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Optimization</w:t>
            </w:r>
          </w:p>
        </w:tc>
      </w:tr>
      <w:tr w:rsidR="00EB72BC" w14:paraId="5FFF9FF2" w14:textId="77777777">
        <w:trPr>
          <w:jc w:val="center"/>
        </w:trPr>
        <w:tc>
          <w:tcPr>
            <w:tcW w:w="890" w:type="dxa"/>
            <w:vAlign w:val="center"/>
          </w:tcPr>
          <w:p w14:paraId="615C9E60"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Yu et al., 2023</w:t>
            </w:r>
          </w:p>
        </w:tc>
        <w:tc>
          <w:tcPr>
            <w:tcW w:w="1056" w:type="dxa"/>
            <w:vAlign w:val="center"/>
          </w:tcPr>
          <w:p w14:paraId="3934A87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Flood systems</w:t>
            </w:r>
          </w:p>
        </w:tc>
        <w:tc>
          <w:tcPr>
            <w:tcW w:w="817" w:type="dxa"/>
            <w:vAlign w:val="center"/>
          </w:tcPr>
          <w:p w14:paraId="34306E3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Flood</w:t>
            </w:r>
          </w:p>
        </w:tc>
        <w:tc>
          <w:tcPr>
            <w:tcW w:w="1352" w:type="dxa"/>
            <w:vAlign w:val="center"/>
          </w:tcPr>
          <w:p w14:paraId="41004324"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Disaster-stage resilience</w:t>
            </w:r>
          </w:p>
        </w:tc>
        <w:tc>
          <w:tcPr>
            <w:tcW w:w="1047" w:type="dxa"/>
            <w:vAlign w:val="center"/>
          </w:tcPr>
          <w:p w14:paraId="421C80C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Stage-based framework</w:t>
            </w:r>
          </w:p>
        </w:tc>
        <w:tc>
          <w:tcPr>
            <w:tcW w:w="1245" w:type="dxa"/>
            <w:vAlign w:val="center"/>
          </w:tcPr>
          <w:p w14:paraId="5A858E8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Partial</w:t>
            </w:r>
          </w:p>
        </w:tc>
        <w:tc>
          <w:tcPr>
            <w:tcW w:w="1064" w:type="dxa"/>
            <w:vAlign w:val="center"/>
          </w:tcPr>
          <w:p w14:paraId="50B91C38"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Community focus</w:t>
            </w:r>
          </w:p>
        </w:tc>
        <w:tc>
          <w:tcPr>
            <w:tcW w:w="859" w:type="dxa"/>
            <w:vAlign w:val="center"/>
          </w:tcPr>
          <w:p w14:paraId="687C680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Empirical + models</w:t>
            </w:r>
          </w:p>
        </w:tc>
        <w:tc>
          <w:tcPr>
            <w:tcW w:w="1030" w:type="dxa"/>
            <w:vAlign w:val="center"/>
          </w:tcPr>
          <w:p w14:paraId="07AF0280"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Hybrid</w:t>
            </w:r>
          </w:p>
        </w:tc>
      </w:tr>
      <w:tr w:rsidR="00EB72BC" w14:paraId="381921C8" w14:textId="77777777">
        <w:trPr>
          <w:jc w:val="center"/>
        </w:trPr>
        <w:tc>
          <w:tcPr>
            <w:tcW w:w="890" w:type="dxa"/>
            <w:vAlign w:val="center"/>
          </w:tcPr>
          <w:p w14:paraId="6CA7F0A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Dong et al., 2025</w:t>
            </w:r>
          </w:p>
        </w:tc>
        <w:tc>
          <w:tcPr>
            <w:tcW w:w="1056" w:type="dxa"/>
            <w:vAlign w:val="center"/>
          </w:tcPr>
          <w:p w14:paraId="01C7825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systems</w:t>
            </w:r>
          </w:p>
        </w:tc>
        <w:tc>
          <w:tcPr>
            <w:tcW w:w="817" w:type="dxa"/>
            <w:vAlign w:val="center"/>
          </w:tcPr>
          <w:p w14:paraId="5DE13261"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14:paraId="2356921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City resilience index</w:t>
            </w:r>
          </w:p>
        </w:tc>
        <w:tc>
          <w:tcPr>
            <w:tcW w:w="1047" w:type="dxa"/>
            <w:vAlign w:val="center"/>
          </w:tcPr>
          <w:p w14:paraId="4B2FB84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Metropolis assessment</w:t>
            </w:r>
          </w:p>
        </w:tc>
        <w:tc>
          <w:tcPr>
            <w:tcW w:w="1245" w:type="dxa"/>
            <w:vAlign w:val="center"/>
          </w:tcPr>
          <w:p w14:paraId="00BD448D"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vAlign w:val="center"/>
          </w:tcPr>
          <w:p w14:paraId="77FB970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Strategic planning</w:t>
            </w:r>
          </w:p>
        </w:tc>
        <w:tc>
          <w:tcPr>
            <w:tcW w:w="859" w:type="dxa"/>
            <w:vAlign w:val="center"/>
          </w:tcPr>
          <w:p w14:paraId="09DD1401"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City data</w:t>
            </w:r>
          </w:p>
        </w:tc>
        <w:tc>
          <w:tcPr>
            <w:tcW w:w="1030" w:type="dxa"/>
            <w:vAlign w:val="center"/>
          </w:tcPr>
          <w:p w14:paraId="0155152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Assessment</w:t>
            </w:r>
          </w:p>
        </w:tc>
      </w:tr>
      <w:tr w:rsidR="00EB72BC" w14:paraId="180B76E5" w14:textId="77777777">
        <w:trPr>
          <w:jc w:val="center"/>
        </w:trPr>
        <w:tc>
          <w:tcPr>
            <w:tcW w:w="890" w:type="dxa"/>
            <w:vAlign w:val="center"/>
          </w:tcPr>
          <w:p w14:paraId="3731BA5E"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lastRenderedPageBreak/>
              <w:t>He, 2019</w:t>
            </w:r>
          </w:p>
        </w:tc>
        <w:tc>
          <w:tcPr>
            <w:tcW w:w="1056" w:type="dxa"/>
            <w:vAlign w:val="center"/>
          </w:tcPr>
          <w:p w14:paraId="09C77CB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Interdependent infrastructure</w:t>
            </w:r>
          </w:p>
        </w:tc>
        <w:tc>
          <w:tcPr>
            <w:tcW w:w="817" w:type="dxa"/>
            <w:vAlign w:val="center"/>
          </w:tcPr>
          <w:p w14:paraId="450961A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14:paraId="13F3712D"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Community resilience</w:t>
            </w:r>
          </w:p>
        </w:tc>
        <w:tc>
          <w:tcPr>
            <w:tcW w:w="1047" w:type="dxa"/>
            <w:vAlign w:val="center"/>
          </w:tcPr>
          <w:p w14:paraId="7D497F58"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Risk governance model</w:t>
            </w:r>
          </w:p>
        </w:tc>
        <w:tc>
          <w:tcPr>
            <w:tcW w:w="1245" w:type="dxa"/>
            <w:vAlign w:val="center"/>
          </w:tcPr>
          <w:p w14:paraId="07A7556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14:paraId="3984CCD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Planning integration</w:t>
            </w:r>
          </w:p>
        </w:tc>
        <w:tc>
          <w:tcPr>
            <w:tcW w:w="859" w:type="dxa"/>
            <w:vAlign w:val="center"/>
          </w:tcPr>
          <w:p w14:paraId="36B39F0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Academic data</w:t>
            </w:r>
          </w:p>
        </w:tc>
        <w:tc>
          <w:tcPr>
            <w:tcW w:w="1030" w:type="dxa"/>
            <w:vAlign w:val="center"/>
          </w:tcPr>
          <w:p w14:paraId="23E80B6F"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Doctoral study</w:t>
            </w:r>
          </w:p>
        </w:tc>
      </w:tr>
      <w:tr w:rsidR="00EB72BC" w14:paraId="0BC89B75" w14:textId="77777777">
        <w:trPr>
          <w:jc w:val="center"/>
        </w:trPr>
        <w:tc>
          <w:tcPr>
            <w:tcW w:w="890" w:type="dxa"/>
            <w:vAlign w:val="center"/>
          </w:tcPr>
          <w:p w14:paraId="0ADCF34E"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Nazif et al., 2021</w:t>
            </w:r>
          </w:p>
        </w:tc>
        <w:tc>
          <w:tcPr>
            <w:tcW w:w="1056" w:type="dxa"/>
            <w:vAlign w:val="center"/>
          </w:tcPr>
          <w:p w14:paraId="596EAF15"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disaster management</w:t>
            </w:r>
          </w:p>
        </w:tc>
        <w:tc>
          <w:tcPr>
            <w:tcW w:w="817" w:type="dxa"/>
            <w:vAlign w:val="center"/>
          </w:tcPr>
          <w:p w14:paraId="063F97DE"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14:paraId="50B1CDF4"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Conceptual resilience</w:t>
            </w:r>
          </w:p>
        </w:tc>
        <w:tc>
          <w:tcPr>
            <w:tcW w:w="1047" w:type="dxa"/>
            <w:vAlign w:val="center"/>
          </w:tcPr>
          <w:p w14:paraId="5036ED38"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Framework development</w:t>
            </w:r>
          </w:p>
        </w:tc>
        <w:tc>
          <w:tcPr>
            <w:tcW w:w="1245" w:type="dxa"/>
            <w:vAlign w:val="center"/>
          </w:tcPr>
          <w:p w14:paraId="6637668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vAlign w:val="center"/>
          </w:tcPr>
          <w:p w14:paraId="7665BD3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Governance emphasis</w:t>
            </w:r>
          </w:p>
        </w:tc>
        <w:tc>
          <w:tcPr>
            <w:tcW w:w="859" w:type="dxa"/>
            <w:vAlign w:val="center"/>
          </w:tcPr>
          <w:p w14:paraId="38197F5D"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Literature</w:t>
            </w:r>
          </w:p>
        </w:tc>
        <w:tc>
          <w:tcPr>
            <w:tcW w:w="1030" w:type="dxa"/>
            <w:vAlign w:val="center"/>
          </w:tcPr>
          <w:p w14:paraId="4537E13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Review</w:t>
            </w:r>
          </w:p>
        </w:tc>
      </w:tr>
      <w:tr w:rsidR="00EB72BC" w14:paraId="545E0D24" w14:textId="77777777">
        <w:trPr>
          <w:jc w:val="center"/>
        </w:trPr>
        <w:tc>
          <w:tcPr>
            <w:tcW w:w="890" w:type="dxa"/>
            <w:vAlign w:val="center"/>
          </w:tcPr>
          <w:p w14:paraId="2A00971F" w14:textId="77777777" w:rsidR="00EB72BC" w:rsidRDefault="00F240DA">
            <w:pPr>
              <w:spacing w:before="240" w:after="0" w:line="240" w:lineRule="auto"/>
              <w:jc w:val="center"/>
              <w:rPr>
                <w:rFonts w:ascii="Arial" w:eastAsia="Arial" w:hAnsi="Arial" w:cs="Arial"/>
                <w:sz w:val="20"/>
                <w:szCs w:val="20"/>
              </w:rPr>
            </w:pPr>
            <w:proofErr w:type="spellStart"/>
            <w:r>
              <w:rPr>
                <w:rFonts w:ascii="Arial" w:eastAsia="Arial" w:hAnsi="Arial" w:cs="Arial"/>
                <w:sz w:val="20"/>
                <w:szCs w:val="20"/>
              </w:rPr>
              <w:t>Galderisi</w:t>
            </w:r>
            <w:proofErr w:type="spellEnd"/>
            <w:r>
              <w:rPr>
                <w:rFonts w:ascii="Arial" w:eastAsia="Arial" w:hAnsi="Arial" w:cs="Arial"/>
                <w:sz w:val="20"/>
                <w:szCs w:val="20"/>
              </w:rPr>
              <w:t xml:space="preserve"> et al., 2022</w:t>
            </w:r>
          </w:p>
        </w:tc>
        <w:tc>
          <w:tcPr>
            <w:tcW w:w="1056" w:type="dxa"/>
            <w:vAlign w:val="center"/>
          </w:tcPr>
          <w:p w14:paraId="73B23BE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Disaster recovery reform</w:t>
            </w:r>
          </w:p>
        </w:tc>
        <w:tc>
          <w:tcPr>
            <w:tcW w:w="817" w:type="dxa"/>
            <w:vAlign w:val="center"/>
          </w:tcPr>
          <w:p w14:paraId="17B0FD3D"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14:paraId="7BEFCB6C"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Policy resilience</w:t>
            </w:r>
          </w:p>
        </w:tc>
        <w:tc>
          <w:tcPr>
            <w:tcW w:w="1047" w:type="dxa"/>
            <w:vAlign w:val="center"/>
          </w:tcPr>
          <w:p w14:paraId="395BEC44"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Institutional reform analysis</w:t>
            </w:r>
          </w:p>
        </w:tc>
        <w:tc>
          <w:tcPr>
            <w:tcW w:w="1245" w:type="dxa"/>
            <w:vAlign w:val="center"/>
          </w:tcPr>
          <w:p w14:paraId="1683B44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vAlign w:val="center"/>
          </w:tcPr>
          <w:p w14:paraId="55A733B9"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Strong governance</w:t>
            </w:r>
          </w:p>
        </w:tc>
        <w:tc>
          <w:tcPr>
            <w:tcW w:w="859" w:type="dxa"/>
            <w:vAlign w:val="center"/>
          </w:tcPr>
          <w:p w14:paraId="0A7821B1"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Policy analysis</w:t>
            </w:r>
          </w:p>
        </w:tc>
        <w:tc>
          <w:tcPr>
            <w:tcW w:w="1030" w:type="dxa"/>
            <w:vAlign w:val="center"/>
          </w:tcPr>
          <w:p w14:paraId="3DB142D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Chapter</w:t>
            </w:r>
          </w:p>
        </w:tc>
      </w:tr>
      <w:tr w:rsidR="00EB72BC" w14:paraId="45727731" w14:textId="77777777">
        <w:trPr>
          <w:jc w:val="center"/>
        </w:trPr>
        <w:tc>
          <w:tcPr>
            <w:tcW w:w="890" w:type="dxa"/>
            <w:vAlign w:val="center"/>
          </w:tcPr>
          <w:p w14:paraId="372B1284" w14:textId="77777777" w:rsidR="00EB72BC" w:rsidRDefault="00F240DA">
            <w:pPr>
              <w:spacing w:before="240" w:after="0" w:line="240" w:lineRule="auto"/>
              <w:jc w:val="center"/>
              <w:rPr>
                <w:rFonts w:ascii="Arial" w:eastAsia="Arial" w:hAnsi="Arial" w:cs="Arial"/>
                <w:sz w:val="20"/>
                <w:szCs w:val="20"/>
              </w:rPr>
            </w:pPr>
            <w:proofErr w:type="spellStart"/>
            <w:r>
              <w:rPr>
                <w:rFonts w:ascii="Arial" w:eastAsia="Arial" w:hAnsi="Arial" w:cs="Arial"/>
                <w:sz w:val="20"/>
                <w:szCs w:val="20"/>
              </w:rPr>
              <w:t>Mannakkara</w:t>
            </w:r>
            <w:proofErr w:type="spellEnd"/>
            <w:r>
              <w:rPr>
                <w:rFonts w:ascii="Arial" w:eastAsia="Arial" w:hAnsi="Arial" w:cs="Arial"/>
                <w:sz w:val="20"/>
                <w:szCs w:val="20"/>
              </w:rPr>
              <w:t xml:space="preserve"> et al., 2018</w:t>
            </w:r>
          </w:p>
        </w:tc>
        <w:tc>
          <w:tcPr>
            <w:tcW w:w="1056" w:type="dxa"/>
            <w:vAlign w:val="center"/>
          </w:tcPr>
          <w:p w14:paraId="0A72362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Built environment</w:t>
            </w:r>
          </w:p>
        </w:tc>
        <w:tc>
          <w:tcPr>
            <w:tcW w:w="817" w:type="dxa"/>
            <w:vAlign w:val="center"/>
          </w:tcPr>
          <w:p w14:paraId="5A938A9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Post-disaster</w:t>
            </w:r>
          </w:p>
        </w:tc>
        <w:tc>
          <w:tcPr>
            <w:tcW w:w="1352" w:type="dxa"/>
            <w:vAlign w:val="center"/>
          </w:tcPr>
          <w:p w14:paraId="6937E32B"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Build Back Better</w:t>
            </w:r>
          </w:p>
        </w:tc>
        <w:tc>
          <w:tcPr>
            <w:tcW w:w="1047" w:type="dxa"/>
            <w:vAlign w:val="center"/>
          </w:tcPr>
          <w:p w14:paraId="2012EA8D"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Reconstruction strategy</w:t>
            </w:r>
          </w:p>
        </w:tc>
        <w:tc>
          <w:tcPr>
            <w:tcW w:w="1245" w:type="dxa"/>
            <w:vAlign w:val="center"/>
          </w:tcPr>
          <w:p w14:paraId="10BCD55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1064" w:type="dxa"/>
            <w:vAlign w:val="center"/>
          </w:tcPr>
          <w:p w14:paraId="3751A50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Sustainability focus</w:t>
            </w:r>
          </w:p>
        </w:tc>
        <w:tc>
          <w:tcPr>
            <w:tcW w:w="859" w:type="dxa"/>
            <w:vAlign w:val="center"/>
          </w:tcPr>
          <w:p w14:paraId="5234D46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Case studies</w:t>
            </w:r>
          </w:p>
        </w:tc>
        <w:tc>
          <w:tcPr>
            <w:tcW w:w="1030" w:type="dxa"/>
            <w:vAlign w:val="center"/>
          </w:tcPr>
          <w:p w14:paraId="4FC4A17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Book</w:t>
            </w:r>
          </w:p>
        </w:tc>
      </w:tr>
      <w:tr w:rsidR="00EB72BC" w14:paraId="0E342766" w14:textId="77777777">
        <w:trPr>
          <w:jc w:val="center"/>
        </w:trPr>
        <w:tc>
          <w:tcPr>
            <w:tcW w:w="890" w:type="dxa"/>
            <w:tcBorders>
              <w:bottom w:val="single" w:sz="4" w:space="0" w:color="000000"/>
            </w:tcBorders>
            <w:vAlign w:val="center"/>
          </w:tcPr>
          <w:p w14:paraId="53537867"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Sharifi &amp; Yamagata, 2018</w:t>
            </w:r>
          </w:p>
        </w:tc>
        <w:tc>
          <w:tcPr>
            <w:tcW w:w="1056" w:type="dxa"/>
            <w:tcBorders>
              <w:bottom w:val="single" w:sz="4" w:space="0" w:color="000000"/>
            </w:tcBorders>
            <w:vAlign w:val="center"/>
          </w:tcPr>
          <w:p w14:paraId="443EECF2"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planning</w:t>
            </w:r>
          </w:p>
        </w:tc>
        <w:tc>
          <w:tcPr>
            <w:tcW w:w="817" w:type="dxa"/>
            <w:tcBorders>
              <w:bottom w:val="single" w:sz="4" w:space="0" w:color="000000"/>
            </w:tcBorders>
            <w:vAlign w:val="center"/>
          </w:tcPr>
          <w:p w14:paraId="3D14DE79"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tcBorders>
              <w:bottom w:val="single" w:sz="4" w:space="0" w:color="000000"/>
            </w:tcBorders>
            <w:vAlign w:val="center"/>
          </w:tcPr>
          <w:p w14:paraId="64A7AAA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Resilience-oriented planning</w:t>
            </w:r>
          </w:p>
        </w:tc>
        <w:tc>
          <w:tcPr>
            <w:tcW w:w="1047" w:type="dxa"/>
            <w:tcBorders>
              <w:bottom w:val="single" w:sz="4" w:space="0" w:color="000000"/>
            </w:tcBorders>
            <w:vAlign w:val="center"/>
          </w:tcPr>
          <w:p w14:paraId="0F4A1186"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Planning framework</w:t>
            </w:r>
          </w:p>
        </w:tc>
        <w:tc>
          <w:tcPr>
            <w:tcW w:w="1245" w:type="dxa"/>
            <w:tcBorders>
              <w:bottom w:val="single" w:sz="4" w:space="0" w:color="000000"/>
            </w:tcBorders>
            <w:vAlign w:val="center"/>
          </w:tcPr>
          <w:p w14:paraId="278F0125"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tcBorders>
              <w:bottom w:val="single" w:sz="4" w:space="0" w:color="000000"/>
            </w:tcBorders>
            <w:vAlign w:val="center"/>
          </w:tcPr>
          <w:p w14:paraId="342BBC8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governance</w:t>
            </w:r>
          </w:p>
        </w:tc>
        <w:tc>
          <w:tcPr>
            <w:tcW w:w="859" w:type="dxa"/>
            <w:tcBorders>
              <w:bottom w:val="single" w:sz="4" w:space="0" w:color="000000"/>
            </w:tcBorders>
            <w:vAlign w:val="center"/>
          </w:tcPr>
          <w:p w14:paraId="0CEBBFCA"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Theoretical</w:t>
            </w:r>
          </w:p>
        </w:tc>
        <w:tc>
          <w:tcPr>
            <w:tcW w:w="1030" w:type="dxa"/>
            <w:tcBorders>
              <w:bottom w:val="single" w:sz="4" w:space="0" w:color="000000"/>
            </w:tcBorders>
            <w:vAlign w:val="center"/>
          </w:tcPr>
          <w:p w14:paraId="4B2965D3" w14:textId="77777777"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Book chapter</w:t>
            </w:r>
          </w:p>
        </w:tc>
      </w:tr>
    </w:tbl>
    <w:p w14:paraId="01D81C12"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4.2 Definitions and Measurement Approaches of Resilience</w:t>
      </w:r>
    </w:p>
    <w:p w14:paraId="5AB991DD"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Throughout the literature, three major </w:t>
      </w:r>
      <w:proofErr w:type="spellStart"/>
      <w:r>
        <w:rPr>
          <w:rFonts w:ascii="Arial" w:eastAsia="Arial" w:hAnsi="Arial" w:cs="Arial"/>
          <w:sz w:val="20"/>
          <w:szCs w:val="20"/>
        </w:rPr>
        <w:t>conceptualisations</w:t>
      </w:r>
      <w:proofErr w:type="spellEnd"/>
      <w:r>
        <w:rPr>
          <w:rFonts w:ascii="Arial" w:eastAsia="Arial" w:hAnsi="Arial" w:cs="Arial"/>
          <w:sz w:val="20"/>
          <w:szCs w:val="20"/>
        </w:rPr>
        <w:t xml:space="preserve"> of resilience exist, including engineering resilience, system/network resilience and socio-institutional resilience. Engineering studies with an engineering focus put more emphasis on the functional loss and temporal fate of recovery, which is frequently </w:t>
      </w:r>
      <w:proofErr w:type="spellStart"/>
      <w:r>
        <w:rPr>
          <w:rFonts w:ascii="Arial" w:eastAsia="Arial" w:hAnsi="Arial" w:cs="Arial"/>
          <w:sz w:val="20"/>
          <w:szCs w:val="20"/>
        </w:rPr>
        <w:t>operationalised</w:t>
      </w:r>
      <w:proofErr w:type="spellEnd"/>
      <w:r>
        <w:rPr>
          <w:rFonts w:ascii="Arial" w:eastAsia="Arial" w:hAnsi="Arial" w:cs="Arial"/>
          <w:sz w:val="20"/>
          <w:szCs w:val="20"/>
        </w:rPr>
        <w:t xml:space="preserve"> through resilience curves that measure the area covered by functionality-time curves (Bruneau et al., 2003). Such quantitative measures as recovery time, service continuity metrics, robustness factors, and weighted loss-recovery metrics (Zhai et al., 2023) are often used.</w:t>
      </w:r>
    </w:p>
    <w:p w14:paraId="1C1DB563"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System-based methods include interrelation and cascading failures. Indicatively, Zhang, Wang, and Nicholson (2017) simulated the resilience of road-bridge networks based on restoration sequencing, and Zhang, Han, et al. (2024) incorporated transportation and electric power networks into the timetable coordination models following earthquakes. The quantifications of dynamic resilience at the disaster stages have been progressively advanced by scenario-based resilience indices of road networks (Rezvani et al., 2024) and PSR-based flood resilience evolution indices (Yang et al., 2025).</w:t>
      </w:r>
    </w:p>
    <w:p w14:paraId="3AC4693D"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An even smaller but growing category of studies assumes multi-, or adaptive-resilience views that incorporate pre-disaster urban functionality into post-disaster recovery outcomes (Zhang et al., 2021). These models highlight the significance of performance in the baseline infrastructure in the shaping of post-disaster recovery patterns and support the connection between mitigation investment and recovery pace.</w:t>
      </w:r>
    </w:p>
    <w:p w14:paraId="1C060D92"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Regardless of these methodological innovations, the measurement of resilience is still heterogeneous, and not much </w:t>
      </w:r>
      <w:proofErr w:type="spellStart"/>
      <w:r>
        <w:rPr>
          <w:rFonts w:ascii="Arial" w:eastAsia="Arial" w:hAnsi="Arial" w:cs="Arial"/>
          <w:sz w:val="20"/>
          <w:szCs w:val="20"/>
        </w:rPr>
        <w:t>standardisation</w:t>
      </w:r>
      <w:proofErr w:type="spellEnd"/>
      <w:r>
        <w:rPr>
          <w:rFonts w:ascii="Arial" w:eastAsia="Arial" w:hAnsi="Arial" w:cs="Arial"/>
          <w:sz w:val="20"/>
          <w:szCs w:val="20"/>
        </w:rPr>
        <w:t xml:space="preserve"> exists in infrastructure sectors. Measures tend to be industry-focused, thus making comparisons and cross-industry consolidation difficult.</w:t>
      </w:r>
    </w:p>
    <w:p w14:paraId="2F436DA9"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lastRenderedPageBreak/>
        <w:t xml:space="preserve">4.3 Recovery </w:t>
      </w:r>
      <w:proofErr w:type="spellStart"/>
      <w:r>
        <w:rPr>
          <w:rFonts w:ascii="Arial" w:eastAsia="Arial" w:hAnsi="Arial" w:cs="Arial"/>
          <w:b/>
          <w:bCs/>
          <w:sz w:val="22"/>
          <w:szCs w:val="22"/>
        </w:rPr>
        <w:t>Prioritisation</w:t>
      </w:r>
      <w:proofErr w:type="spellEnd"/>
      <w:r>
        <w:rPr>
          <w:rFonts w:ascii="Arial" w:eastAsia="Arial" w:hAnsi="Arial" w:cs="Arial"/>
          <w:b/>
          <w:bCs/>
          <w:sz w:val="22"/>
          <w:szCs w:val="22"/>
        </w:rPr>
        <w:t xml:space="preserve"> Planning and </w:t>
      </w:r>
      <w:proofErr w:type="spellStart"/>
      <w:r>
        <w:rPr>
          <w:rFonts w:ascii="Arial" w:eastAsia="Arial" w:hAnsi="Arial" w:cs="Arial"/>
          <w:b/>
          <w:bCs/>
          <w:sz w:val="22"/>
          <w:szCs w:val="22"/>
        </w:rPr>
        <w:t>Optimisation</w:t>
      </w:r>
      <w:proofErr w:type="spellEnd"/>
    </w:p>
    <w:p w14:paraId="48D2BB25"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review has found five major types of planning and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techniques to make resilience-based recovery decisions.</w:t>
      </w:r>
    </w:p>
    <w:p w14:paraId="5762509C" w14:textId="77777777" w:rsidR="00EB72BC" w:rsidRDefault="00F240DA">
      <w:pPr>
        <w:spacing w:before="280" w:after="280" w:line="240" w:lineRule="auto"/>
        <w:jc w:val="both"/>
        <w:rPr>
          <w:rFonts w:ascii="Arial" w:eastAsia="Arial" w:hAnsi="Arial" w:cs="Arial"/>
          <w:b/>
          <w:bCs/>
          <w:sz w:val="20"/>
          <w:szCs w:val="20"/>
        </w:rPr>
      </w:pPr>
      <w:r>
        <w:rPr>
          <w:rFonts w:ascii="Arial" w:eastAsia="Arial" w:hAnsi="Arial" w:cs="Arial"/>
          <w:b/>
          <w:bCs/>
          <w:sz w:val="20"/>
          <w:szCs w:val="20"/>
        </w:rPr>
        <w:t>1. Models of Network-Based Restoration Sequencing</w:t>
      </w:r>
    </w:p>
    <w:p w14:paraId="71BB462A"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Graph theory and network analytics have been widely used in </w:t>
      </w:r>
      <w:proofErr w:type="spellStart"/>
      <w:r>
        <w:rPr>
          <w:rFonts w:ascii="Arial" w:eastAsia="Arial" w:hAnsi="Arial" w:cs="Arial"/>
          <w:sz w:val="20"/>
          <w:szCs w:val="20"/>
        </w:rPr>
        <w:t>optimising</w:t>
      </w:r>
      <w:proofErr w:type="spellEnd"/>
      <w:r>
        <w:rPr>
          <w:rFonts w:ascii="Arial" w:eastAsia="Arial" w:hAnsi="Arial" w:cs="Arial"/>
          <w:sz w:val="20"/>
          <w:szCs w:val="20"/>
        </w:rPr>
        <w:t xml:space="preserve"> restoration sequencing of transportation and interdependent infrastructure systems (Zhang et al., 2017; Liu et al., 2024). These models rank nodes or connections either by centrality measures, traffic- flow effects or cascading dependencies.</w:t>
      </w:r>
    </w:p>
    <w:p w14:paraId="387F9CC3" w14:textId="77777777" w:rsidR="00EB72BC" w:rsidRDefault="00F240DA">
      <w:pPr>
        <w:spacing w:before="280" w:after="280" w:line="240" w:lineRule="auto"/>
        <w:jc w:val="both"/>
        <w:rPr>
          <w:rFonts w:ascii="Arial" w:eastAsia="Arial" w:hAnsi="Arial" w:cs="Arial"/>
          <w:b/>
          <w:bCs/>
          <w:sz w:val="20"/>
          <w:szCs w:val="20"/>
        </w:rPr>
      </w:pPr>
      <w:r>
        <w:rPr>
          <w:rFonts w:ascii="Arial" w:eastAsia="Arial" w:hAnsi="Arial" w:cs="Arial"/>
          <w:b/>
          <w:bCs/>
          <w:sz w:val="20"/>
          <w:szCs w:val="20"/>
        </w:rPr>
        <w:t>2. Multi-Criteria Decision Analysis (MCDA)</w:t>
      </w:r>
    </w:p>
    <w:p w14:paraId="12ADC713"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MCDA frameworks include the economic, technical and social criteria in the </w:t>
      </w:r>
      <w:proofErr w:type="spellStart"/>
      <w:r>
        <w:rPr>
          <w:rFonts w:ascii="Arial" w:eastAsia="Arial" w:hAnsi="Arial" w:cs="Arial"/>
          <w:sz w:val="20"/>
          <w:szCs w:val="20"/>
        </w:rPr>
        <w:t>prioritisation</w:t>
      </w:r>
      <w:proofErr w:type="spellEnd"/>
      <w:r>
        <w:rPr>
          <w:rFonts w:ascii="Arial" w:eastAsia="Arial" w:hAnsi="Arial" w:cs="Arial"/>
          <w:sz w:val="20"/>
          <w:szCs w:val="20"/>
        </w:rPr>
        <w:t>, especially where it requires the contribution of stakeholders. These methods support easily visible trade-offs between cost, service coverage and recovery time, in spite of the fact that they are relatively rarely combined with dynamic system simulations.</w:t>
      </w:r>
    </w:p>
    <w:p w14:paraId="2FBADC66" w14:textId="77777777" w:rsidR="00EB72BC" w:rsidRDefault="00F240DA">
      <w:pPr>
        <w:spacing w:before="280" w:after="280" w:line="240" w:lineRule="auto"/>
        <w:jc w:val="both"/>
        <w:rPr>
          <w:rFonts w:ascii="Arial" w:eastAsia="Arial" w:hAnsi="Arial" w:cs="Arial"/>
          <w:b/>
          <w:bCs/>
          <w:sz w:val="20"/>
          <w:szCs w:val="20"/>
        </w:rPr>
      </w:pPr>
      <w:r>
        <w:rPr>
          <w:rFonts w:ascii="Arial" w:eastAsia="Arial" w:hAnsi="Arial" w:cs="Arial"/>
          <w:b/>
          <w:bCs/>
          <w:sz w:val="20"/>
          <w:szCs w:val="20"/>
        </w:rPr>
        <w:t>3. Simulation and Policy-Based Models</w:t>
      </w:r>
    </w:p>
    <w:p w14:paraId="2EA60D3F"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Policy-driven simulation methodologies, system dynamics, and agent-based modelling assess the pathways of recovery in the presence of uncertainty (Sun et al., 2020). Models based on game theory solve coordination issues among the operators of the infrastructure (He &amp; Cha, 2019).</w:t>
      </w:r>
    </w:p>
    <w:p w14:paraId="3356FBB6" w14:textId="77777777" w:rsidR="00EB72BC" w:rsidRDefault="00F240DA">
      <w:pPr>
        <w:spacing w:before="280" w:after="280" w:line="240" w:lineRule="auto"/>
        <w:jc w:val="both"/>
        <w:rPr>
          <w:rFonts w:ascii="Arial" w:eastAsia="Arial" w:hAnsi="Arial" w:cs="Arial"/>
          <w:b/>
          <w:bCs/>
          <w:sz w:val="20"/>
          <w:szCs w:val="20"/>
        </w:rPr>
      </w:pPr>
      <w:r>
        <w:rPr>
          <w:rFonts w:ascii="Arial" w:eastAsia="Arial" w:hAnsi="Arial" w:cs="Arial"/>
          <w:b/>
          <w:bCs/>
          <w:sz w:val="20"/>
          <w:szCs w:val="20"/>
        </w:rPr>
        <w:t>4. Artificial Intelligence/Machine Learning and Reinforcement Learning</w:t>
      </w:r>
    </w:p>
    <w:p w14:paraId="2B033615"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Emergent studies use machine learning and deep reinforcement learning to find optimal schedules of restorations in the face of uncertainty (Liang et al., 2025). These techniques show better computational performance, but usually require high-quality data input and complicated calibration.</w:t>
      </w:r>
    </w:p>
    <w:p w14:paraId="353E899D" w14:textId="77777777" w:rsidR="00EB72BC" w:rsidRDefault="00F240DA">
      <w:pPr>
        <w:spacing w:before="280" w:after="280" w:line="240" w:lineRule="auto"/>
        <w:jc w:val="both"/>
        <w:rPr>
          <w:rFonts w:ascii="Arial" w:eastAsia="Arial" w:hAnsi="Arial" w:cs="Arial"/>
          <w:b/>
          <w:bCs/>
          <w:sz w:val="20"/>
          <w:szCs w:val="20"/>
        </w:rPr>
      </w:pPr>
      <w:r>
        <w:rPr>
          <w:rFonts w:ascii="Arial" w:eastAsia="Arial" w:hAnsi="Arial" w:cs="Arial"/>
          <w:b/>
          <w:bCs/>
          <w:sz w:val="20"/>
          <w:szCs w:val="20"/>
        </w:rPr>
        <w:t>5. Decision Support Tools and GIS-Based Systems</w:t>
      </w:r>
    </w:p>
    <w:p w14:paraId="3B32188A"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Some of the studies discuss the construction of GIS-based decision-support systems that combine asset management and disaster risk evaluation (Rezvani et al., 2023; </w:t>
      </w:r>
      <w:proofErr w:type="spellStart"/>
      <w:r>
        <w:rPr>
          <w:rFonts w:ascii="Arial" w:eastAsia="Arial" w:hAnsi="Arial" w:cs="Arial"/>
          <w:sz w:val="20"/>
          <w:szCs w:val="20"/>
        </w:rPr>
        <w:t>Greenal</w:t>
      </w:r>
      <w:proofErr w:type="spellEnd"/>
      <w:r>
        <w:rPr>
          <w:rFonts w:ascii="Arial" w:eastAsia="Arial" w:hAnsi="Arial" w:cs="Arial"/>
          <w:sz w:val="20"/>
          <w:szCs w:val="20"/>
        </w:rPr>
        <w:t xml:space="preserve"> and </w:t>
      </w:r>
      <w:proofErr w:type="spellStart"/>
      <w:r>
        <w:rPr>
          <w:rFonts w:ascii="Arial" w:eastAsia="Arial" w:hAnsi="Arial" w:cs="Arial"/>
          <w:sz w:val="20"/>
          <w:szCs w:val="20"/>
        </w:rPr>
        <w:t>Anilkumar</w:t>
      </w:r>
      <w:proofErr w:type="spellEnd"/>
      <w:r>
        <w:rPr>
          <w:rFonts w:ascii="Arial" w:eastAsia="Arial" w:hAnsi="Arial" w:cs="Arial"/>
          <w:sz w:val="20"/>
          <w:szCs w:val="20"/>
        </w:rPr>
        <w:t xml:space="preserve">, 2025). These tools increase </w:t>
      </w:r>
      <w:proofErr w:type="spellStart"/>
      <w:r>
        <w:rPr>
          <w:rFonts w:ascii="Arial" w:eastAsia="Arial" w:hAnsi="Arial" w:cs="Arial"/>
          <w:sz w:val="20"/>
          <w:szCs w:val="20"/>
        </w:rPr>
        <w:t>visualisation</w:t>
      </w:r>
      <w:proofErr w:type="spellEnd"/>
      <w:r>
        <w:rPr>
          <w:rFonts w:ascii="Arial" w:eastAsia="Arial" w:hAnsi="Arial" w:cs="Arial"/>
          <w:sz w:val="20"/>
          <w:szCs w:val="20"/>
        </w:rPr>
        <w:t xml:space="preserve"> and engagement with the stakeholders, although the incorporation of resilience-metrics varies.</w:t>
      </w:r>
    </w:p>
    <w:p w14:paraId="0BE42B12"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Transportation and power systems in general control the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research, but health and communication infrastructure are underrepresented.</w:t>
      </w:r>
    </w:p>
    <w:p w14:paraId="4B550936"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4.4 Equity, Governance and Data Challenge</w:t>
      </w:r>
    </w:p>
    <w:p w14:paraId="184F34E3"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governance systems have a significant impact on the recovery. The focus of studies </w:t>
      </w:r>
      <w:proofErr w:type="spellStart"/>
      <w:r>
        <w:rPr>
          <w:rFonts w:ascii="Arial" w:eastAsia="Arial" w:hAnsi="Arial" w:cs="Arial"/>
          <w:sz w:val="20"/>
          <w:szCs w:val="20"/>
        </w:rPr>
        <w:t>analysing</w:t>
      </w:r>
      <w:proofErr w:type="spellEnd"/>
      <w:r>
        <w:rPr>
          <w:rFonts w:ascii="Arial" w:eastAsia="Arial" w:hAnsi="Arial" w:cs="Arial"/>
          <w:sz w:val="20"/>
          <w:szCs w:val="20"/>
        </w:rPr>
        <w:t xml:space="preserve"> the reconstruction planning of Chinese post-disaster recovery is the importance of </w:t>
      </w:r>
      <w:proofErr w:type="spellStart"/>
      <w:r>
        <w:rPr>
          <w:rFonts w:ascii="Arial" w:eastAsia="Arial" w:hAnsi="Arial" w:cs="Arial"/>
          <w:sz w:val="20"/>
          <w:szCs w:val="20"/>
        </w:rPr>
        <w:t>centralised</w:t>
      </w:r>
      <w:proofErr w:type="spellEnd"/>
      <w:r>
        <w:rPr>
          <w:rFonts w:ascii="Arial" w:eastAsia="Arial" w:hAnsi="Arial" w:cs="Arial"/>
          <w:sz w:val="20"/>
          <w:szCs w:val="20"/>
        </w:rPr>
        <w:t xml:space="preserve"> state coordination in fast-tracking the restoration of large-scale infrastructure (Shao and Xu, 2017; Xu and Shao, 2020). However, these </w:t>
      </w:r>
      <w:proofErr w:type="spellStart"/>
      <w:r>
        <w:rPr>
          <w:rFonts w:ascii="Arial" w:eastAsia="Arial" w:hAnsi="Arial" w:cs="Arial"/>
          <w:sz w:val="20"/>
          <w:szCs w:val="20"/>
        </w:rPr>
        <w:t>centralised</w:t>
      </w:r>
      <w:proofErr w:type="spellEnd"/>
      <w:r>
        <w:rPr>
          <w:rFonts w:ascii="Arial" w:eastAsia="Arial" w:hAnsi="Arial" w:cs="Arial"/>
          <w:sz w:val="20"/>
          <w:szCs w:val="20"/>
        </w:rPr>
        <w:t xml:space="preserve"> models are of concern because of the participation of the community and </w:t>
      </w:r>
      <w:proofErr w:type="spellStart"/>
      <w:r>
        <w:rPr>
          <w:rFonts w:ascii="Arial" w:eastAsia="Arial" w:hAnsi="Arial" w:cs="Arial"/>
          <w:sz w:val="20"/>
          <w:szCs w:val="20"/>
        </w:rPr>
        <w:t>localisation</w:t>
      </w:r>
      <w:proofErr w:type="spellEnd"/>
      <w:r>
        <w:rPr>
          <w:rFonts w:ascii="Arial" w:eastAsia="Arial" w:hAnsi="Arial" w:cs="Arial"/>
          <w:sz w:val="20"/>
          <w:szCs w:val="20"/>
        </w:rPr>
        <w:t xml:space="preserve"> of adaptive capacity.</w:t>
      </w:r>
    </w:p>
    <w:p w14:paraId="31AC9AE5"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aspect of equity is not consistently discussed. Although other frameworks consider the social vulnerability indicators and end-user views (Charles et al., 2022; Zhao et al., 2025), the majority of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models are based on system-level efficiency, as opposed to distributive justice. The vulnerable </w:t>
      </w:r>
      <w:r>
        <w:rPr>
          <w:rFonts w:ascii="Arial" w:eastAsia="Arial" w:hAnsi="Arial" w:cs="Arial"/>
          <w:sz w:val="20"/>
          <w:szCs w:val="20"/>
        </w:rPr>
        <w:lastRenderedPageBreak/>
        <w:t xml:space="preserve">people are typically not addressed directly using social-equity measures but rather indirectly using demand-weighted </w:t>
      </w:r>
      <w:proofErr w:type="spellStart"/>
      <w:r>
        <w:rPr>
          <w:rFonts w:ascii="Arial" w:eastAsia="Arial" w:hAnsi="Arial" w:cs="Arial"/>
          <w:sz w:val="20"/>
          <w:szCs w:val="20"/>
        </w:rPr>
        <w:t>prioritisation</w:t>
      </w:r>
      <w:proofErr w:type="spellEnd"/>
      <w:r>
        <w:rPr>
          <w:rFonts w:ascii="Arial" w:eastAsia="Arial" w:hAnsi="Arial" w:cs="Arial"/>
          <w:sz w:val="20"/>
          <w:szCs w:val="20"/>
        </w:rPr>
        <w:t>.</w:t>
      </w:r>
    </w:p>
    <w:p w14:paraId="45BF0008"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problem of interdependency appears. Research always </w:t>
      </w:r>
      <w:proofErr w:type="spellStart"/>
      <w:r>
        <w:rPr>
          <w:rFonts w:ascii="Arial" w:eastAsia="Arial" w:hAnsi="Arial" w:cs="Arial"/>
          <w:sz w:val="20"/>
          <w:szCs w:val="20"/>
        </w:rPr>
        <w:t>emphasises</w:t>
      </w:r>
      <w:proofErr w:type="spellEnd"/>
      <w:r>
        <w:rPr>
          <w:rFonts w:ascii="Arial" w:eastAsia="Arial" w:hAnsi="Arial" w:cs="Arial"/>
          <w:sz w:val="20"/>
          <w:szCs w:val="20"/>
        </w:rPr>
        <w:t xml:space="preserve"> the cascading failures of the transportation, power, and communication systems (Kanno et al., 2019; He and Cha, 2022). However, multi-sector modelling (in its entirety) is still computationally expensive and data-heavy.</w:t>
      </w:r>
    </w:p>
    <w:p w14:paraId="4B711FA0"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literature is filled with data constraints, including incomplete inventories of assets, the unavailability of data for real-time damage assessment, and the uncertainty of the post-disaster operation performance parameters. Probabilistic modelling Scenario-driven methods have tried to cope with this uncertainty, but there are no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data-sharing frameworks.</w:t>
      </w:r>
    </w:p>
    <w:p w14:paraId="4DD72C78"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4.5 Urban Infrastructure Recovery Framework Interpretation</w:t>
      </w:r>
    </w:p>
    <w:p w14:paraId="52D1CE49"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Figure 1 presents the conceptual framework for resilience-based planning in post-disaster urban infrastructure recovery. </w:t>
      </w:r>
    </w:p>
    <w:p w14:paraId="55E3A66D"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schematic shows the pathway between disaster-induced disruption and resilient recovery results through a successive sequence of interlinked layers, (1) disaster effects, including natural hazards, infrastructure damages, and service interruptions, (2) resilience measurement, including recovery time, service continuity, robustness, adaptability, and resilience, (3) planning and decision-support approaches, including network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multi-criteria decision analysis, simulation modelling, artificial intelligence, and machine learning, and (4) recovery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plans, including restoration sequencing, infrastructure ranking, All the parts of the framework are penetrated by cross-cutting dimensions, that is, governance and policy, equity of vulnerable groups, the interdependence of infrastructures, uncertainty and risk, and the problem of data and information. The model pre-empts the generation of resilience measurement with practical decision-making processes to achieve adaptive, just and build back better recovery.</w:t>
      </w:r>
    </w:p>
    <w:p w14:paraId="1974909F" w14:textId="77777777" w:rsidR="00EB72BC" w:rsidRDefault="00EB72BC">
      <w:pPr>
        <w:spacing w:before="280" w:after="280" w:line="240" w:lineRule="auto"/>
        <w:jc w:val="both"/>
        <w:rPr>
          <w:rFonts w:ascii="Arial" w:eastAsia="Arial" w:hAnsi="Arial" w:cs="Arial"/>
          <w:sz w:val="20"/>
          <w:szCs w:val="20"/>
        </w:rPr>
      </w:pPr>
    </w:p>
    <w:p w14:paraId="27DCE241" w14:textId="77777777" w:rsidR="00EB72BC" w:rsidRDefault="00EB72BC">
      <w:pPr>
        <w:spacing w:before="280" w:after="280" w:line="240" w:lineRule="auto"/>
        <w:jc w:val="both"/>
        <w:rPr>
          <w:rFonts w:ascii="Arial" w:eastAsia="Arial" w:hAnsi="Arial" w:cs="Arial"/>
          <w:sz w:val="20"/>
          <w:szCs w:val="20"/>
        </w:rPr>
      </w:pPr>
    </w:p>
    <w:p w14:paraId="5FE09DD2" w14:textId="77777777" w:rsidR="00EB72BC" w:rsidRDefault="00F240DA">
      <w:pPr>
        <w:spacing w:before="280" w:after="280" w:line="240" w:lineRule="auto"/>
        <w:jc w:val="both"/>
        <w:rPr>
          <w:rFonts w:ascii="Arial" w:eastAsia="Arial" w:hAnsi="Arial" w:cs="Arial"/>
          <w:sz w:val="20"/>
          <w:szCs w:val="20"/>
        </w:rPr>
      </w:pPr>
      <w:r>
        <w:rPr>
          <w:noProof/>
        </w:rPr>
        <w:lastRenderedPageBreak/>
        <w:drawing>
          <wp:anchor distT="0" distB="0" distL="114300" distR="114300" simplePos="0" relativeHeight="251658240" behindDoc="0" locked="0" layoutInCell="1" hidden="0" allowOverlap="1" wp14:anchorId="76A59260" wp14:editId="48ED60B7">
            <wp:simplePos x="0" y="0"/>
            <wp:positionH relativeFrom="column">
              <wp:posOffset>200025</wp:posOffset>
            </wp:positionH>
            <wp:positionV relativeFrom="paragraph">
              <wp:posOffset>0</wp:posOffset>
            </wp:positionV>
            <wp:extent cx="5391150" cy="6296025"/>
            <wp:effectExtent l="0" t="0" r="0" b="0"/>
            <wp:wrapSquare wrapText="bothSides" distT="0" distB="0" distL="114300" distR="114300"/>
            <wp:docPr id="14855013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391150" cy="6296025"/>
                    </a:xfrm>
                    <a:prstGeom prst="rect">
                      <a:avLst/>
                    </a:prstGeom>
                    <a:ln/>
                  </pic:spPr>
                </pic:pic>
              </a:graphicData>
            </a:graphic>
          </wp:anchor>
        </w:drawing>
      </w:r>
    </w:p>
    <w:p w14:paraId="471362B2" w14:textId="77777777" w:rsidR="00EB72BC" w:rsidRDefault="00EB72BC">
      <w:pPr>
        <w:spacing w:before="280" w:after="280" w:line="240" w:lineRule="auto"/>
        <w:jc w:val="both"/>
        <w:rPr>
          <w:rFonts w:ascii="Arial" w:eastAsia="Arial" w:hAnsi="Arial" w:cs="Arial"/>
          <w:sz w:val="20"/>
          <w:szCs w:val="20"/>
        </w:rPr>
      </w:pPr>
    </w:p>
    <w:p w14:paraId="4DBE2599" w14:textId="77777777" w:rsidR="00EB72BC" w:rsidRDefault="00EB72BC">
      <w:pPr>
        <w:spacing w:before="280" w:after="280" w:line="240" w:lineRule="auto"/>
        <w:jc w:val="both"/>
        <w:rPr>
          <w:rFonts w:ascii="Arial" w:eastAsia="Arial" w:hAnsi="Arial" w:cs="Arial"/>
          <w:sz w:val="20"/>
          <w:szCs w:val="20"/>
        </w:rPr>
      </w:pPr>
    </w:p>
    <w:p w14:paraId="12B53DBE" w14:textId="77777777" w:rsidR="00EB72BC" w:rsidRDefault="00EB72BC">
      <w:pPr>
        <w:spacing w:before="280" w:after="280" w:line="240" w:lineRule="auto"/>
        <w:jc w:val="both"/>
        <w:rPr>
          <w:rFonts w:ascii="Arial" w:eastAsia="Arial" w:hAnsi="Arial" w:cs="Arial"/>
          <w:sz w:val="20"/>
          <w:szCs w:val="20"/>
        </w:rPr>
      </w:pPr>
    </w:p>
    <w:p w14:paraId="4E0E6FB9" w14:textId="77777777" w:rsidR="00EB72BC" w:rsidRDefault="00EB72BC">
      <w:pPr>
        <w:spacing w:before="280" w:after="280" w:line="240" w:lineRule="auto"/>
        <w:jc w:val="both"/>
        <w:rPr>
          <w:rFonts w:ascii="Arial" w:eastAsia="Arial" w:hAnsi="Arial" w:cs="Arial"/>
          <w:sz w:val="20"/>
          <w:szCs w:val="20"/>
        </w:rPr>
      </w:pPr>
    </w:p>
    <w:p w14:paraId="1AE0F3E9" w14:textId="77777777" w:rsidR="00EB72BC" w:rsidRDefault="00EB72BC">
      <w:pPr>
        <w:spacing w:before="280" w:after="280" w:line="240" w:lineRule="auto"/>
        <w:jc w:val="both"/>
        <w:rPr>
          <w:rFonts w:ascii="Arial" w:eastAsia="Arial" w:hAnsi="Arial" w:cs="Arial"/>
          <w:sz w:val="20"/>
          <w:szCs w:val="20"/>
        </w:rPr>
      </w:pPr>
    </w:p>
    <w:p w14:paraId="42F9F41B" w14:textId="77777777" w:rsidR="00EB72BC" w:rsidRDefault="00EB72BC">
      <w:pPr>
        <w:spacing w:before="280" w:after="280" w:line="240" w:lineRule="auto"/>
        <w:jc w:val="both"/>
        <w:rPr>
          <w:rFonts w:ascii="Arial" w:eastAsia="Arial" w:hAnsi="Arial" w:cs="Arial"/>
          <w:sz w:val="20"/>
          <w:szCs w:val="20"/>
        </w:rPr>
      </w:pPr>
    </w:p>
    <w:p w14:paraId="0A168E12" w14:textId="77777777" w:rsidR="00EB72BC" w:rsidRDefault="00EB72BC">
      <w:pPr>
        <w:spacing w:before="280" w:after="280" w:line="240" w:lineRule="auto"/>
        <w:jc w:val="both"/>
        <w:rPr>
          <w:rFonts w:ascii="Arial" w:eastAsia="Arial" w:hAnsi="Arial" w:cs="Arial"/>
          <w:sz w:val="20"/>
          <w:szCs w:val="20"/>
        </w:rPr>
      </w:pPr>
    </w:p>
    <w:p w14:paraId="1E550F59" w14:textId="77777777" w:rsidR="00EB72BC" w:rsidRDefault="00EB72BC">
      <w:pPr>
        <w:spacing w:before="280" w:after="280" w:line="240" w:lineRule="auto"/>
        <w:jc w:val="both"/>
        <w:rPr>
          <w:rFonts w:ascii="Arial" w:eastAsia="Arial" w:hAnsi="Arial" w:cs="Arial"/>
          <w:sz w:val="20"/>
          <w:szCs w:val="20"/>
        </w:rPr>
      </w:pPr>
    </w:p>
    <w:p w14:paraId="403A95C2" w14:textId="77777777" w:rsidR="00EB72BC" w:rsidRDefault="00EB72BC">
      <w:pPr>
        <w:spacing w:before="280" w:after="280" w:line="240" w:lineRule="auto"/>
        <w:jc w:val="both"/>
        <w:rPr>
          <w:rFonts w:ascii="Arial" w:eastAsia="Arial" w:hAnsi="Arial" w:cs="Arial"/>
          <w:sz w:val="20"/>
          <w:szCs w:val="20"/>
        </w:rPr>
      </w:pPr>
    </w:p>
    <w:p w14:paraId="229017CF" w14:textId="77777777" w:rsidR="00EB72BC" w:rsidRDefault="00EB72BC">
      <w:pPr>
        <w:spacing w:before="280" w:after="280" w:line="240" w:lineRule="auto"/>
        <w:jc w:val="both"/>
        <w:rPr>
          <w:rFonts w:ascii="Arial" w:eastAsia="Arial" w:hAnsi="Arial" w:cs="Arial"/>
          <w:sz w:val="20"/>
          <w:szCs w:val="20"/>
        </w:rPr>
      </w:pPr>
    </w:p>
    <w:p w14:paraId="0CEE1BFF" w14:textId="77777777" w:rsidR="00EB72BC" w:rsidRDefault="00EB72BC">
      <w:pPr>
        <w:spacing w:before="280" w:after="280" w:line="240" w:lineRule="auto"/>
        <w:jc w:val="both"/>
        <w:rPr>
          <w:rFonts w:ascii="Arial" w:eastAsia="Arial" w:hAnsi="Arial" w:cs="Arial"/>
          <w:sz w:val="20"/>
          <w:szCs w:val="20"/>
        </w:rPr>
      </w:pPr>
    </w:p>
    <w:p w14:paraId="25B4B72B" w14:textId="77777777" w:rsidR="00EB72BC" w:rsidRDefault="00EB72BC">
      <w:pPr>
        <w:spacing w:before="280" w:after="280" w:line="240" w:lineRule="auto"/>
        <w:jc w:val="both"/>
        <w:rPr>
          <w:rFonts w:ascii="Arial" w:eastAsia="Arial" w:hAnsi="Arial" w:cs="Arial"/>
          <w:sz w:val="20"/>
          <w:szCs w:val="20"/>
        </w:rPr>
      </w:pPr>
    </w:p>
    <w:p w14:paraId="20E3A292" w14:textId="77777777" w:rsidR="00EB72BC" w:rsidRDefault="00EB72BC">
      <w:pPr>
        <w:spacing w:before="280" w:after="280" w:line="240" w:lineRule="auto"/>
        <w:jc w:val="both"/>
        <w:rPr>
          <w:rFonts w:ascii="Arial" w:eastAsia="Arial" w:hAnsi="Arial" w:cs="Arial"/>
          <w:sz w:val="20"/>
          <w:szCs w:val="20"/>
        </w:rPr>
      </w:pPr>
    </w:p>
    <w:p w14:paraId="57E08C7C" w14:textId="77777777" w:rsidR="00EB72BC" w:rsidRDefault="00EB72BC">
      <w:pPr>
        <w:spacing w:before="280" w:after="280" w:line="240" w:lineRule="auto"/>
        <w:jc w:val="both"/>
        <w:rPr>
          <w:rFonts w:ascii="Arial" w:eastAsia="Arial" w:hAnsi="Arial" w:cs="Arial"/>
          <w:sz w:val="20"/>
          <w:szCs w:val="20"/>
        </w:rPr>
      </w:pPr>
    </w:p>
    <w:p w14:paraId="5C7A5BE5" w14:textId="77777777" w:rsidR="00EB72BC" w:rsidRDefault="00EB72BC">
      <w:pPr>
        <w:spacing w:before="280" w:after="280" w:line="240" w:lineRule="auto"/>
        <w:jc w:val="both"/>
        <w:rPr>
          <w:rFonts w:ascii="Arial" w:eastAsia="Arial" w:hAnsi="Arial" w:cs="Arial"/>
          <w:sz w:val="20"/>
          <w:szCs w:val="20"/>
        </w:rPr>
      </w:pPr>
    </w:p>
    <w:p w14:paraId="5D243AC7" w14:textId="77777777" w:rsidR="00EB72BC" w:rsidRDefault="00EB72BC">
      <w:pPr>
        <w:spacing w:before="280" w:after="280" w:line="240" w:lineRule="auto"/>
        <w:jc w:val="both"/>
        <w:rPr>
          <w:rFonts w:ascii="Arial" w:eastAsia="Arial" w:hAnsi="Arial" w:cs="Arial"/>
          <w:b/>
          <w:bCs/>
          <w:sz w:val="20"/>
          <w:szCs w:val="20"/>
        </w:rPr>
      </w:pPr>
    </w:p>
    <w:p w14:paraId="51EFD549" w14:textId="77777777" w:rsidR="00EB72BC" w:rsidRDefault="00EB72BC">
      <w:pPr>
        <w:spacing w:before="280" w:after="280" w:line="240" w:lineRule="auto"/>
        <w:jc w:val="both"/>
        <w:rPr>
          <w:rFonts w:ascii="Arial" w:eastAsia="Arial" w:hAnsi="Arial" w:cs="Arial"/>
          <w:b/>
          <w:bCs/>
          <w:sz w:val="20"/>
          <w:szCs w:val="20"/>
        </w:rPr>
      </w:pPr>
    </w:p>
    <w:p w14:paraId="78D6280F" w14:textId="77777777" w:rsidR="00EB72BC" w:rsidRDefault="00F240DA">
      <w:pPr>
        <w:spacing w:before="280" w:after="280" w:line="240" w:lineRule="auto"/>
        <w:jc w:val="center"/>
        <w:rPr>
          <w:rFonts w:ascii="Arial" w:eastAsia="Arial" w:hAnsi="Arial" w:cs="Arial"/>
          <w:i/>
          <w:iCs/>
          <w:sz w:val="20"/>
          <w:szCs w:val="20"/>
        </w:rPr>
      </w:pPr>
      <w:r>
        <w:rPr>
          <w:rFonts w:ascii="Arial" w:eastAsia="Arial" w:hAnsi="Arial" w:cs="Arial"/>
          <w:b/>
          <w:bCs/>
          <w:sz w:val="20"/>
          <w:szCs w:val="20"/>
        </w:rPr>
        <w:t>Figure 1:</w:t>
      </w:r>
      <w:r>
        <w:rPr>
          <w:rFonts w:ascii="Arial" w:eastAsia="Arial" w:hAnsi="Arial" w:cs="Arial"/>
          <w:sz w:val="20"/>
          <w:szCs w:val="20"/>
        </w:rPr>
        <w:t xml:space="preserve"> </w:t>
      </w:r>
      <w:r>
        <w:rPr>
          <w:rFonts w:ascii="Arial" w:eastAsia="Arial" w:hAnsi="Arial" w:cs="Arial"/>
          <w:i/>
          <w:iCs/>
          <w:sz w:val="20"/>
          <w:szCs w:val="20"/>
        </w:rPr>
        <w:t>conceptual framework for resilience-based planning in post-disaster urban infrastructure recovery</w:t>
      </w:r>
    </w:p>
    <w:p w14:paraId="4ACBBFC9"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conceptual framework is a whole systems architecture meant to </w:t>
      </w:r>
      <w:proofErr w:type="spellStart"/>
      <w:r>
        <w:rPr>
          <w:rFonts w:ascii="Arial" w:eastAsia="Arial" w:hAnsi="Arial" w:cs="Arial"/>
          <w:sz w:val="20"/>
          <w:szCs w:val="20"/>
        </w:rPr>
        <w:t>operationalise</w:t>
      </w:r>
      <w:proofErr w:type="spellEnd"/>
      <w:r>
        <w:rPr>
          <w:rFonts w:ascii="Arial" w:eastAsia="Arial" w:hAnsi="Arial" w:cs="Arial"/>
          <w:sz w:val="20"/>
          <w:szCs w:val="20"/>
        </w:rPr>
        <w:t xml:space="preserve"> resilience in the post-disaster urban infrastructure recovery process. Unlike traditional recovery models that view infrastructure recovery as a staged engineering process, this model makes resilience a quantifiable, decision-informed and governance-informed process that directly connects performance measurement to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processes and equity-based results.</w:t>
      </w:r>
    </w:p>
    <w:p w14:paraId="05895113"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On the basic level, disaster disruption triggers quantifiable reductions in the infrastructure functionality, service continuity, and network performance. The framework transforms resilience, an abstract policy goal, by quantifying the notion of resilience in the form of recovery time, robustness, adaptability and composite </w:t>
      </w:r>
      <w:r>
        <w:rPr>
          <w:rFonts w:ascii="Arial" w:eastAsia="Arial" w:hAnsi="Arial" w:cs="Arial"/>
          <w:sz w:val="20"/>
          <w:szCs w:val="20"/>
        </w:rPr>
        <w:lastRenderedPageBreak/>
        <w:t>indices of resilience, which are operational metrics enshrined in recovery analytics. This level of measurement is the analytical intermediary between the physical damage measurement and structured decision-making.</w:t>
      </w:r>
    </w:p>
    <w:p w14:paraId="7FF7EB37"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decision support layer incorporates the latest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methods, which include network-based restoration models, multi-criteria decision analysis, simulation models, and artificial intelligence-based solutions. These tools transform the resilience metrics into priorities of recovery activities in uncertain and resource-constrained conditions. Notably, the framework </w:t>
      </w:r>
      <w:proofErr w:type="spellStart"/>
      <w:r>
        <w:rPr>
          <w:rFonts w:ascii="Arial" w:eastAsia="Arial" w:hAnsi="Arial" w:cs="Arial"/>
          <w:sz w:val="20"/>
          <w:szCs w:val="20"/>
        </w:rPr>
        <w:t>recognises</w:t>
      </w:r>
      <w:proofErr w:type="spellEnd"/>
      <w:r>
        <w:rPr>
          <w:rFonts w:ascii="Arial" w:eastAsia="Arial" w:hAnsi="Arial" w:cs="Arial"/>
          <w:sz w:val="20"/>
          <w:szCs w:val="20"/>
        </w:rPr>
        <w:t xml:space="preserve"> infrastructure interdependencies, and recovery decisions in one system (electricity) can have a major impact on others (such as water supply, healthcare or transport). This interdependency-conscious modelling is an indication of the growing complexity of modern city systems.</w:t>
      </w:r>
    </w:p>
    <w:p w14:paraId="6507885A"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recovery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layer converts analytical output into sequencing strategies, infrastructure ranking mechanisms and allocation models. This step will guarantee that theoretical resilience tests are used to make real-life decisions in reconstruction. The framework will facilitate effective recovery by </w:t>
      </w:r>
      <w:proofErr w:type="spellStart"/>
      <w:r>
        <w:rPr>
          <w:rFonts w:ascii="Arial" w:eastAsia="Arial" w:hAnsi="Arial" w:cs="Arial"/>
          <w:sz w:val="20"/>
          <w:szCs w:val="20"/>
        </w:rPr>
        <w:t>organising</w:t>
      </w:r>
      <w:proofErr w:type="spellEnd"/>
      <w:r>
        <w:rPr>
          <w:rFonts w:ascii="Arial" w:eastAsia="Arial" w:hAnsi="Arial" w:cs="Arial"/>
          <w:sz w:val="20"/>
          <w:szCs w:val="20"/>
        </w:rPr>
        <w:t xml:space="preserve"> recovery pathways and reducing systemic cascading failures.</w:t>
      </w:r>
    </w:p>
    <w:p w14:paraId="6D06C9C5"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More importantly, the model entrenches cross-cutting governance and equity. Institutional coordination contributes to the feasibility of implementation; vulnerability-sensitive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increases distributive justice; uncertainty modelling increases robustness in incomplete information, and data infrastructure supports evidence-based implementation. Such contextual factors are not marginal, but they have a structural foundation, and they affect all levels of resiliency-based planning.</w:t>
      </w:r>
    </w:p>
    <w:p w14:paraId="38778C0B"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last result layer focuses less on the downtime reduction but on adaptive and future-oriented recovery in accordance with the principles of build back better. This is a paradigm change towards restoring pre-disaster conditions to improving performance of the systems and lower the vulnerability in the long run. The framework thus </w:t>
      </w:r>
      <w:proofErr w:type="spellStart"/>
      <w:r>
        <w:rPr>
          <w:rFonts w:ascii="Arial" w:eastAsia="Arial" w:hAnsi="Arial" w:cs="Arial"/>
          <w:sz w:val="20"/>
          <w:szCs w:val="20"/>
        </w:rPr>
        <w:t>operationalises</w:t>
      </w:r>
      <w:proofErr w:type="spellEnd"/>
      <w:r>
        <w:rPr>
          <w:rFonts w:ascii="Arial" w:eastAsia="Arial" w:hAnsi="Arial" w:cs="Arial"/>
          <w:sz w:val="20"/>
          <w:szCs w:val="20"/>
        </w:rPr>
        <w:t xml:space="preserve"> the construct of resilience as a multi-dimensional, dynamic, and equity-conscious planning construct as opposed to a metric.</w:t>
      </w:r>
    </w:p>
    <w:p w14:paraId="5D44570A"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figure, in its turn, </w:t>
      </w:r>
      <w:proofErr w:type="spellStart"/>
      <w:r>
        <w:rPr>
          <w:rFonts w:ascii="Arial" w:eastAsia="Arial" w:hAnsi="Arial" w:cs="Arial"/>
          <w:sz w:val="20"/>
          <w:szCs w:val="20"/>
        </w:rPr>
        <w:t>conceptualises</w:t>
      </w:r>
      <w:proofErr w:type="spellEnd"/>
      <w:r>
        <w:rPr>
          <w:rFonts w:ascii="Arial" w:eastAsia="Arial" w:hAnsi="Arial" w:cs="Arial"/>
          <w:sz w:val="20"/>
          <w:szCs w:val="20"/>
        </w:rPr>
        <w:t xml:space="preserve"> resilience-based recovery as a closed-loop system, which connects the assessment of disruption, quantitative measure of resilience, computational decision support,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of operational division, and adaptive urban performance in a governance-sensitive environment.</w:t>
      </w:r>
    </w:p>
    <w:p w14:paraId="21CBFAB1"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5.0 Discussion</w:t>
      </w:r>
    </w:p>
    <w:p w14:paraId="295D2CE6"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5.1 Advancing Conceptual Integration Between Resilience and Planning</w:t>
      </w:r>
    </w:p>
    <w:p w14:paraId="769029CD"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results show significant progress in the quantification of infrastructure resilience, at the same time illustrating long-term </w:t>
      </w:r>
      <w:proofErr w:type="spellStart"/>
      <w:r>
        <w:rPr>
          <w:rFonts w:ascii="Arial" w:eastAsia="Arial" w:hAnsi="Arial" w:cs="Arial"/>
          <w:sz w:val="20"/>
          <w:szCs w:val="20"/>
        </w:rPr>
        <w:t>disjointure</w:t>
      </w:r>
      <w:proofErr w:type="spellEnd"/>
      <w:r>
        <w:rPr>
          <w:rFonts w:ascii="Arial" w:eastAsia="Arial" w:hAnsi="Arial" w:cs="Arial"/>
          <w:sz w:val="20"/>
          <w:szCs w:val="20"/>
        </w:rPr>
        <w:t xml:space="preserve"> between the quantification of resilience and operational recovery planning. Recovery curves based on engineering provide quantifiable performance measures, but their integration in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models exhibits a high degree of variation in various sectors. To fill this gap, it is required that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resilience metrics should be implemented to be easily integrated into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and decision-support applications in various infrastructure sectors.</w:t>
      </w:r>
    </w:p>
    <w:p w14:paraId="13A08ACC"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bias in the research towards transportation and power networks shows that the two sectors are sufficiently mature in terms of methodological aspects, but water, communication and healthcare infrastructures are less ingrained in multi-sector recovery models. Total resilience-based planning should therefore consider cross-sector interdependencies and not the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of individual networks in isolation.</w:t>
      </w:r>
    </w:p>
    <w:p w14:paraId="10F96830" w14:textId="77777777" w:rsidR="00EB72BC" w:rsidRDefault="00EB72BC">
      <w:pPr>
        <w:spacing w:before="280" w:after="280" w:line="240" w:lineRule="auto"/>
        <w:jc w:val="both"/>
        <w:rPr>
          <w:rFonts w:ascii="Arial" w:eastAsia="Arial" w:hAnsi="Arial" w:cs="Arial"/>
          <w:b/>
          <w:bCs/>
          <w:sz w:val="22"/>
          <w:szCs w:val="22"/>
        </w:rPr>
      </w:pPr>
    </w:p>
    <w:p w14:paraId="4B1EB621"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lastRenderedPageBreak/>
        <w:t xml:space="preserve">5.2 Equity-Sensitive Recovery Planning  </w:t>
      </w:r>
    </w:p>
    <w:p w14:paraId="743DEEC5"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main gap that is found to be critical in the literature is the lack of distributive equity in the restoration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process. Despite the existence of social vulnerability frameworks (Cutter et al., 2010), not many resilience-based recovery frameworks explicitly simulate recovery interventions based on demographic or socioeconomic differences. The inclusion of equity-adjusted resilience indices and participatory decision-making processes in future research is important to make sure that the recovery planning is consistent with a wider range of social justice goals.</w:t>
      </w:r>
    </w:p>
    <w:p w14:paraId="06FDF328"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5.3 Governance and Institutional Co-ordination</w:t>
      </w:r>
    </w:p>
    <w:p w14:paraId="5765F51C"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As highlighted by the review, resilience-based recovery is a technical as well as an institutional problem. </w:t>
      </w:r>
      <w:proofErr w:type="spellStart"/>
      <w:r>
        <w:rPr>
          <w:rFonts w:ascii="Arial" w:eastAsia="Arial" w:hAnsi="Arial" w:cs="Arial"/>
          <w:sz w:val="20"/>
          <w:szCs w:val="20"/>
        </w:rPr>
        <w:t>Centralised</w:t>
      </w:r>
      <w:proofErr w:type="spellEnd"/>
      <w:r>
        <w:rPr>
          <w:rFonts w:ascii="Arial" w:eastAsia="Arial" w:hAnsi="Arial" w:cs="Arial"/>
          <w:sz w:val="20"/>
          <w:szCs w:val="20"/>
        </w:rPr>
        <w:t xml:space="preserve"> forms of governance may be quicker to help in the reconstruction, but they may also end up </w:t>
      </w:r>
      <w:proofErr w:type="spellStart"/>
      <w:r>
        <w:rPr>
          <w:rFonts w:ascii="Arial" w:eastAsia="Arial" w:hAnsi="Arial" w:cs="Arial"/>
          <w:sz w:val="20"/>
          <w:szCs w:val="20"/>
        </w:rPr>
        <w:t>marginalising</w:t>
      </w:r>
      <w:proofErr w:type="spellEnd"/>
      <w:r>
        <w:rPr>
          <w:rFonts w:ascii="Arial" w:eastAsia="Arial" w:hAnsi="Arial" w:cs="Arial"/>
          <w:sz w:val="20"/>
          <w:szCs w:val="20"/>
        </w:rPr>
        <w:t xml:space="preserve"> the participation of the community. On the contrary, </w:t>
      </w:r>
      <w:proofErr w:type="spellStart"/>
      <w:r>
        <w:rPr>
          <w:rFonts w:ascii="Arial" w:eastAsia="Arial" w:hAnsi="Arial" w:cs="Arial"/>
          <w:sz w:val="20"/>
          <w:szCs w:val="20"/>
        </w:rPr>
        <w:t>decentralised</w:t>
      </w:r>
      <w:proofErr w:type="spellEnd"/>
      <w:r>
        <w:rPr>
          <w:rFonts w:ascii="Arial" w:eastAsia="Arial" w:hAnsi="Arial" w:cs="Arial"/>
          <w:sz w:val="20"/>
          <w:szCs w:val="20"/>
        </w:rPr>
        <w:t xml:space="preserve"> systems could lead to better inclusivity, but with coordination limitations. This means that the development of resilience-based planning has to incorporate hybrid forms of governance that integrate both strong institutional coordination strategies and stakeholder engagement strategies.</w:t>
      </w:r>
    </w:p>
    <w:p w14:paraId="7D791A1F"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5.4 Methodological Innovations and Future Directions</w:t>
      </w:r>
    </w:p>
    <w:p w14:paraId="29EC0722"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It has been demonstrated that emerging AI-based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and reinforcement learning strategies would enhance recovery scheduling under uncertainty. However, the models require strong datasets and algorithmic decision-making transparency. Adaptive recovery planning can also be enhanced with the help of the integration of real-time data streams, digital twins, and GIS-enabled platforms.</w:t>
      </w:r>
    </w:p>
    <w:p w14:paraId="5EDA5E2B"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Studies in the future should focus on:</w:t>
      </w:r>
    </w:p>
    <w:p w14:paraId="7A5B8803"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1. Interdependent infrastructure system modelling that is cross-sectoral.  </w:t>
      </w:r>
    </w:p>
    <w:p w14:paraId="247DC69D"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2. Measurement </w:t>
      </w:r>
      <w:proofErr w:type="spellStart"/>
      <w:r>
        <w:rPr>
          <w:rFonts w:ascii="Arial" w:eastAsia="Arial" w:hAnsi="Arial" w:cs="Arial"/>
          <w:sz w:val="20"/>
          <w:szCs w:val="20"/>
        </w:rPr>
        <w:t>Standardisation</w:t>
      </w:r>
      <w:proofErr w:type="spellEnd"/>
      <w:r>
        <w:rPr>
          <w:rFonts w:ascii="Arial" w:eastAsia="Arial" w:hAnsi="Arial" w:cs="Arial"/>
          <w:sz w:val="20"/>
          <w:szCs w:val="20"/>
        </w:rPr>
        <w:t xml:space="preserve"> of resilience to allow comparison.  </w:t>
      </w:r>
    </w:p>
    <w:p w14:paraId="083941B1"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3. Definitive inclusion of equity indicators into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models.  </w:t>
      </w:r>
    </w:p>
    <w:p w14:paraId="1799CFD0"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4. Creation of free data infrastructures to assist with simulation validation.</w:t>
      </w:r>
    </w:p>
    <w:p w14:paraId="02C60DFF"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6.0 Summary of Findings</w:t>
      </w:r>
    </w:p>
    <w:p w14:paraId="0313A24B"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This scoping review identified the resilience-based planning strategies used purposefully in the urban infrastructure recovery after disasters in a systematic manner. Results show that quantitative measurements of resilience, including recovery time, functionality curves, resilience indices and network performance metrics, are mostly used to define resilience. Some of the most common areas studied are transportation and power systems, most commonly studied through the network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and interdependency frameworks.</w:t>
      </w:r>
    </w:p>
    <w:p w14:paraId="2345C2A2"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Such tools like multi-criteria decision-making, simulation modelling, game theory, and artificial intelligence are advanced forms of decision support and have come to be applied more and more to </w:t>
      </w:r>
      <w:proofErr w:type="spellStart"/>
      <w:r>
        <w:rPr>
          <w:rFonts w:ascii="Arial" w:eastAsia="Arial" w:hAnsi="Arial" w:cs="Arial"/>
          <w:sz w:val="20"/>
          <w:szCs w:val="20"/>
        </w:rPr>
        <w:t>prioritise</w:t>
      </w:r>
      <w:proofErr w:type="spellEnd"/>
      <w:r>
        <w:rPr>
          <w:rFonts w:ascii="Arial" w:eastAsia="Arial" w:hAnsi="Arial" w:cs="Arial"/>
          <w:sz w:val="20"/>
          <w:szCs w:val="20"/>
        </w:rPr>
        <w:t xml:space="preserve"> the restoration of infrastructure. However, the process of integration among infrastructure sectors is limited, specifically in the areas of water, healthcare, and communication.</w:t>
      </w:r>
    </w:p>
    <w:p w14:paraId="464891D8"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There is a lot of discussion on governance and institutional coordination, and this is mostly related to policy-led reconstruction situations. Nonetheless, the equity factors and explicit vulnerability-based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w:t>
      </w:r>
      <w:r>
        <w:rPr>
          <w:rFonts w:ascii="Arial" w:eastAsia="Arial" w:hAnsi="Arial" w:cs="Arial"/>
          <w:sz w:val="20"/>
          <w:szCs w:val="20"/>
        </w:rPr>
        <w:lastRenderedPageBreak/>
        <w:t>are underrepresented in computational recovery models. Limitations and difficulties encountered by the data and uncertainty modelling are always highlighted in the literature.</w:t>
      </w:r>
    </w:p>
    <w:p w14:paraId="690FEB3A"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In general, the literature indicates high methodological progress but shows a lack of uniformity regarding the incorporation of resilience measurement, planning instruments, governance frameworks, and the equity agenda.</w:t>
      </w:r>
    </w:p>
    <w:p w14:paraId="22BFEF28" w14:textId="5F08B7E6"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 xml:space="preserve">7.0 Conclusion </w:t>
      </w:r>
    </w:p>
    <w:p w14:paraId="38469844"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This scoping review reveals that resilience-based planning on urban infrastructure recovery after disasters is a dynamic, interdisciplinary domain with considerable developments in quantitative modelling, and an ongoing lack of cohesion between governance and equity-sensitive </w:t>
      </w:r>
      <w:proofErr w:type="spellStart"/>
      <w:r>
        <w:rPr>
          <w:rFonts w:ascii="Arial" w:eastAsia="Arial" w:hAnsi="Arial" w:cs="Arial"/>
          <w:sz w:val="20"/>
          <w:szCs w:val="20"/>
        </w:rPr>
        <w:t>prioritisation</w:t>
      </w:r>
      <w:proofErr w:type="spellEnd"/>
      <w:r>
        <w:rPr>
          <w:rFonts w:ascii="Arial" w:eastAsia="Arial" w:hAnsi="Arial" w:cs="Arial"/>
          <w:sz w:val="20"/>
          <w:szCs w:val="20"/>
        </w:rPr>
        <w:t>. Enhancing compatibility between resilience indicators, decision-support systems, and participatory governance designs will play a critical role in attaining adaptive, fair, and systematic recovery within cities that are becoming hazard-prone.</w:t>
      </w:r>
    </w:p>
    <w:p w14:paraId="074C2E2A"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 xml:space="preserve">8.0 Recommendations  </w:t>
      </w:r>
    </w:p>
    <w:p w14:paraId="1093C359"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Based on the results, the following recommendations are made:  </w:t>
      </w:r>
    </w:p>
    <w:p w14:paraId="0FB9E8C1"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1. Equivalent resilience measures in the infra sectors to improve interoperability and compare.  </w:t>
      </w:r>
    </w:p>
    <w:p w14:paraId="6A22E929"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2. Incorporate system modelling interdependency into recovery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systems.  </w:t>
      </w:r>
    </w:p>
    <w:p w14:paraId="5857BACF"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3. Include equity indicators in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models, including social vulnerability indices.  </w:t>
      </w:r>
    </w:p>
    <w:p w14:paraId="38A68D23"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4. Enhance data infrastructure, such as real-time damage measurement systems, and common resilience data.  </w:t>
      </w:r>
    </w:p>
    <w:p w14:paraId="68814DCE"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5. Integrate governance systems and computational models to make sure that they are applied in practice.  </w:t>
      </w:r>
    </w:p>
    <w:p w14:paraId="4392CCB9"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6. Encourage validation by real disaster case studies as opposed to only using simulated data.  </w:t>
      </w:r>
    </w:p>
    <w:p w14:paraId="71C4BCD5" w14:textId="77777777"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7. Promote cross-sectoral collaboration between engineers, planners, policymakers and data scientists.</w:t>
      </w:r>
    </w:p>
    <w:p w14:paraId="238D193D" w14:textId="77777777" w:rsidR="002F504B" w:rsidRDefault="002F504B">
      <w:pPr>
        <w:spacing w:before="280" w:after="280" w:line="240" w:lineRule="auto"/>
        <w:jc w:val="both"/>
        <w:rPr>
          <w:rFonts w:ascii="Arial" w:eastAsia="Arial" w:hAnsi="Arial" w:cs="Arial"/>
          <w:sz w:val="20"/>
          <w:szCs w:val="20"/>
        </w:rPr>
      </w:pPr>
    </w:p>
    <w:p w14:paraId="770DF553" w14:textId="77777777" w:rsidR="002F504B" w:rsidRDefault="002F504B">
      <w:pPr>
        <w:spacing w:before="280" w:after="280" w:line="240" w:lineRule="auto"/>
        <w:jc w:val="both"/>
        <w:rPr>
          <w:rFonts w:ascii="Arial" w:eastAsia="Arial" w:hAnsi="Arial" w:cs="Arial"/>
          <w:sz w:val="20"/>
          <w:szCs w:val="20"/>
        </w:rPr>
      </w:pPr>
    </w:p>
    <w:p w14:paraId="6D896BE2" w14:textId="77777777" w:rsidR="002F504B" w:rsidRDefault="002F504B" w:rsidP="002F504B">
      <w:pPr>
        <w:rPr>
          <w:rFonts w:cs="Times New Roman"/>
          <w:kern w:val="2"/>
          <w:highlight w:val="yellow"/>
          <w:lang w:val="en-US"/>
        </w:rPr>
      </w:pPr>
      <w:bookmarkStart w:id="0" w:name="_Hlk218868534"/>
    </w:p>
    <w:p w14:paraId="4BFCAB52" w14:textId="77777777" w:rsidR="002F504B" w:rsidRPr="000C225F" w:rsidRDefault="002F504B" w:rsidP="002F504B">
      <w:pPr>
        <w:pStyle w:val="NoSpacing"/>
        <w:rPr>
          <w:rFonts w:ascii="Arial" w:hAnsi="Arial" w:cs="Arial"/>
          <w:b/>
          <w:highlight w:val="yellow"/>
        </w:rPr>
      </w:pPr>
      <w:bookmarkStart w:id="1" w:name="_Hlk221624953"/>
      <w:r w:rsidRPr="000C225F">
        <w:rPr>
          <w:rFonts w:ascii="Arial" w:hAnsi="Arial" w:cs="Arial"/>
          <w:b/>
          <w:highlight w:val="yellow"/>
        </w:rPr>
        <w:t>Disclaimer (Artificial intelligence)</w:t>
      </w:r>
    </w:p>
    <w:p w14:paraId="37454A1F" w14:textId="77777777" w:rsidR="002F504B" w:rsidRPr="00005ED1" w:rsidRDefault="002F504B" w:rsidP="002F504B">
      <w:pPr>
        <w:pStyle w:val="NoSpacing"/>
        <w:rPr>
          <w:rFonts w:ascii="Arial" w:hAnsi="Arial" w:cs="Arial"/>
          <w:highlight w:val="yellow"/>
        </w:rPr>
      </w:pPr>
    </w:p>
    <w:p w14:paraId="78395F39" w14:textId="77777777" w:rsidR="002F504B" w:rsidRDefault="002F504B" w:rsidP="002F504B">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bookmarkEnd w:id="0"/>
    </w:p>
    <w:bookmarkEnd w:id="1"/>
    <w:p w14:paraId="4C07175A" w14:textId="77777777" w:rsidR="002F504B" w:rsidRDefault="002F504B">
      <w:pPr>
        <w:spacing w:before="280" w:after="280" w:line="240" w:lineRule="auto"/>
        <w:jc w:val="both"/>
        <w:rPr>
          <w:rFonts w:ascii="Arial" w:eastAsia="Arial" w:hAnsi="Arial" w:cs="Arial"/>
          <w:sz w:val="20"/>
          <w:szCs w:val="20"/>
        </w:rPr>
      </w:pPr>
    </w:p>
    <w:p w14:paraId="4717A519" w14:textId="77777777"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References</w:t>
      </w:r>
    </w:p>
    <w:p w14:paraId="71257BE8" w14:textId="77777777" w:rsidR="00EB72BC" w:rsidRPr="000C225F" w:rsidRDefault="00F240DA" w:rsidP="000C225F">
      <w:pPr>
        <w:pStyle w:val="ListParagraph"/>
        <w:numPr>
          <w:ilvl w:val="0"/>
          <w:numId w:val="4"/>
        </w:numPr>
        <w:spacing w:after="0"/>
        <w:jc w:val="both"/>
        <w:rPr>
          <w:rFonts w:ascii="Arial" w:eastAsia="Arial" w:hAnsi="Arial" w:cs="Arial"/>
          <w:color w:val="222222"/>
          <w:sz w:val="20"/>
          <w:szCs w:val="20"/>
          <w:highlight w:val="white"/>
        </w:rPr>
      </w:pPr>
      <w:r w:rsidRPr="000C225F">
        <w:rPr>
          <w:rFonts w:ascii="Arial" w:eastAsia="Arial" w:hAnsi="Arial" w:cs="Arial"/>
          <w:color w:val="222222"/>
          <w:sz w:val="20"/>
          <w:szCs w:val="20"/>
          <w:highlight w:val="white"/>
        </w:rPr>
        <w:lastRenderedPageBreak/>
        <w:t xml:space="preserve">Arksey, H., &amp; </w:t>
      </w:r>
      <w:proofErr w:type="spellStart"/>
      <w:r w:rsidRPr="000C225F">
        <w:rPr>
          <w:rFonts w:ascii="Arial" w:eastAsia="Arial" w:hAnsi="Arial" w:cs="Arial"/>
          <w:color w:val="222222"/>
          <w:sz w:val="20"/>
          <w:szCs w:val="20"/>
          <w:highlight w:val="white"/>
        </w:rPr>
        <w:t>O'malley</w:t>
      </w:r>
      <w:proofErr w:type="spellEnd"/>
      <w:r w:rsidRPr="000C225F">
        <w:rPr>
          <w:rFonts w:ascii="Arial" w:eastAsia="Arial" w:hAnsi="Arial" w:cs="Arial"/>
          <w:color w:val="222222"/>
          <w:sz w:val="20"/>
          <w:szCs w:val="20"/>
          <w:highlight w:val="white"/>
        </w:rPr>
        <w:t>, L. (2005). Scoping studies: towards a methodological framework. </w:t>
      </w:r>
      <w:r w:rsidRPr="000C225F">
        <w:rPr>
          <w:rFonts w:ascii="Arial" w:eastAsia="Arial" w:hAnsi="Arial" w:cs="Arial"/>
          <w:i/>
          <w:iCs/>
          <w:color w:val="222222"/>
          <w:sz w:val="20"/>
          <w:szCs w:val="20"/>
          <w:highlight w:val="white"/>
        </w:rPr>
        <w:t>International journal of social research methodology</w:t>
      </w:r>
      <w:r w:rsidRPr="000C225F">
        <w:rPr>
          <w:rFonts w:ascii="Arial" w:eastAsia="Arial" w:hAnsi="Arial" w:cs="Arial"/>
          <w:color w:val="222222"/>
          <w:sz w:val="20"/>
          <w:szCs w:val="20"/>
          <w:highlight w:val="white"/>
        </w:rPr>
        <w:t>, </w:t>
      </w:r>
      <w:r w:rsidRPr="000C225F">
        <w:rPr>
          <w:rFonts w:ascii="Arial" w:eastAsia="Arial" w:hAnsi="Arial" w:cs="Arial"/>
          <w:i/>
          <w:iCs/>
          <w:color w:val="222222"/>
          <w:sz w:val="20"/>
          <w:szCs w:val="20"/>
          <w:highlight w:val="white"/>
        </w:rPr>
        <w:t>8</w:t>
      </w:r>
      <w:r w:rsidRPr="000C225F">
        <w:rPr>
          <w:rFonts w:ascii="Arial" w:eastAsia="Arial" w:hAnsi="Arial" w:cs="Arial"/>
          <w:color w:val="222222"/>
          <w:sz w:val="20"/>
          <w:szCs w:val="20"/>
          <w:highlight w:val="white"/>
        </w:rPr>
        <w:t>(1), 19-32.</w:t>
      </w:r>
    </w:p>
    <w:p w14:paraId="460F6C97" w14:textId="77777777" w:rsidR="00EB72BC" w:rsidRPr="000C225F" w:rsidRDefault="00F240DA" w:rsidP="000C225F">
      <w:pPr>
        <w:pStyle w:val="ListParagraph"/>
        <w:numPr>
          <w:ilvl w:val="0"/>
          <w:numId w:val="4"/>
        </w:numPr>
        <w:spacing w:after="0"/>
        <w:jc w:val="both"/>
        <w:rPr>
          <w:rFonts w:ascii="Arial" w:eastAsia="Arial" w:hAnsi="Arial" w:cs="Arial"/>
          <w:color w:val="222222"/>
          <w:sz w:val="20"/>
          <w:szCs w:val="20"/>
          <w:highlight w:val="white"/>
        </w:rPr>
      </w:pPr>
      <w:r w:rsidRPr="000C225F">
        <w:rPr>
          <w:rFonts w:ascii="Arial" w:eastAsia="Arial" w:hAnsi="Arial" w:cs="Arial"/>
          <w:color w:val="222222"/>
          <w:sz w:val="20"/>
          <w:szCs w:val="20"/>
          <w:highlight w:val="white"/>
        </w:rPr>
        <w:t xml:space="preserve">Bruneau, M., Chang, S. E., Eguchi, R. T., Lee, G. C., O'Rourke, T. D., </w:t>
      </w:r>
      <w:proofErr w:type="spellStart"/>
      <w:r w:rsidRPr="000C225F">
        <w:rPr>
          <w:rFonts w:ascii="Arial" w:eastAsia="Arial" w:hAnsi="Arial" w:cs="Arial"/>
          <w:color w:val="222222"/>
          <w:sz w:val="20"/>
          <w:szCs w:val="20"/>
          <w:highlight w:val="white"/>
        </w:rPr>
        <w:t>Reinhorn</w:t>
      </w:r>
      <w:proofErr w:type="spellEnd"/>
      <w:r w:rsidRPr="000C225F">
        <w:rPr>
          <w:rFonts w:ascii="Arial" w:eastAsia="Arial" w:hAnsi="Arial" w:cs="Arial"/>
          <w:color w:val="222222"/>
          <w:sz w:val="20"/>
          <w:szCs w:val="20"/>
          <w:highlight w:val="white"/>
        </w:rPr>
        <w:t>, A. M., ... &amp; Von Winterfeldt, D. (2003). A fra</w:t>
      </w:r>
      <w:bookmarkStart w:id="2" w:name="_GoBack"/>
      <w:bookmarkEnd w:id="2"/>
      <w:r w:rsidRPr="000C225F">
        <w:rPr>
          <w:rFonts w:ascii="Arial" w:eastAsia="Arial" w:hAnsi="Arial" w:cs="Arial"/>
          <w:color w:val="222222"/>
          <w:sz w:val="20"/>
          <w:szCs w:val="20"/>
          <w:highlight w:val="white"/>
        </w:rPr>
        <w:t>mework to quantitatively assess and enhance the seismic resilience of communities. </w:t>
      </w:r>
      <w:r w:rsidRPr="000C225F">
        <w:rPr>
          <w:rFonts w:ascii="Arial" w:eastAsia="Arial" w:hAnsi="Arial" w:cs="Arial"/>
          <w:i/>
          <w:iCs/>
          <w:color w:val="222222"/>
          <w:sz w:val="20"/>
          <w:szCs w:val="20"/>
          <w:highlight w:val="white"/>
        </w:rPr>
        <w:t>Earthquake spectra</w:t>
      </w:r>
      <w:r w:rsidRPr="000C225F">
        <w:rPr>
          <w:rFonts w:ascii="Arial" w:eastAsia="Arial" w:hAnsi="Arial" w:cs="Arial"/>
          <w:color w:val="222222"/>
          <w:sz w:val="20"/>
          <w:szCs w:val="20"/>
          <w:highlight w:val="white"/>
        </w:rPr>
        <w:t>, </w:t>
      </w:r>
      <w:r w:rsidRPr="000C225F">
        <w:rPr>
          <w:rFonts w:ascii="Arial" w:eastAsia="Arial" w:hAnsi="Arial" w:cs="Arial"/>
          <w:i/>
          <w:iCs/>
          <w:color w:val="222222"/>
          <w:sz w:val="20"/>
          <w:szCs w:val="20"/>
          <w:highlight w:val="white"/>
        </w:rPr>
        <w:t>19</w:t>
      </w:r>
      <w:r w:rsidRPr="000C225F">
        <w:rPr>
          <w:rFonts w:ascii="Arial" w:eastAsia="Arial" w:hAnsi="Arial" w:cs="Arial"/>
          <w:color w:val="222222"/>
          <w:sz w:val="20"/>
          <w:szCs w:val="20"/>
          <w:highlight w:val="white"/>
        </w:rPr>
        <w:t>(4), 733-752.</w:t>
      </w:r>
    </w:p>
    <w:p w14:paraId="58C5B9B1"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t xml:space="preserve">Charles, S. H., Chang-Richards, A. Y., &amp; Yiu, T. W. (2022). A systematic review of factors affecting post-disaster reconstruction projects resilience. </w:t>
      </w:r>
      <w:r w:rsidRPr="000C225F">
        <w:rPr>
          <w:rFonts w:ascii="Arial" w:eastAsia="Arial" w:hAnsi="Arial" w:cs="Arial"/>
          <w:i/>
          <w:iCs/>
          <w:color w:val="000000"/>
          <w:sz w:val="20"/>
          <w:szCs w:val="20"/>
        </w:rPr>
        <w:t>International Journal of Disaster Resilience in the Built Environment, 13</w:t>
      </w:r>
      <w:r w:rsidRPr="000C225F">
        <w:rPr>
          <w:rFonts w:ascii="Arial" w:eastAsia="Arial" w:hAnsi="Arial" w:cs="Arial"/>
          <w:color w:val="000000"/>
          <w:sz w:val="20"/>
          <w:szCs w:val="20"/>
        </w:rPr>
        <w:t>(1), 113–132.</w:t>
      </w:r>
    </w:p>
    <w:p w14:paraId="3471972A"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Charles, S. H., Chang-Richards, A., &amp; Yiu, T. W. (2023). Providing a framework for post-disaster resilience factors in buildings and infrastructure from </w:t>
      </w:r>
      <w:proofErr w:type="gramStart"/>
      <w:r w:rsidRPr="000C225F">
        <w:rPr>
          <w:rFonts w:ascii="Arial" w:eastAsia="Arial" w:hAnsi="Arial" w:cs="Arial"/>
          <w:color w:val="000000"/>
          <w:sz w:val="20"/>
          <w:szCs w:val="20"/>
        </w:rPr>
        <w:t>end-users’</w:t>
      </w:r>
      <w:proofErr w:type="gramEnd"/>
      <w:r w:rsidRPr="000C225F">
        <w:rPr>
          <w:rFonts w:ascii="Arial" w:eastAsia="Arial" w:hAnsi="Arial" w:cs="Arial"/>
          <w:color w:val="000000"/>
          <w:sz w:val="20"/>
          <w:szCs w:val="20"/>
        </w:rPr>
        <w:t xml:space="preserve"> perspectives: Case study in Caribbean island states. </w:t>
      </w:r>
      <w:r w:rsidRPr="000C225F">
        <w:rPr>
          <w:rFonts w:ascii="Arial" w:eastAsia="Arial" w:hAnsi="Arial" w:cs="Arial"/>
          <w:i/>
          <w:iCs/>
          <w:color w:val="000000"/>
          <w:sz w:val="20"/>
          <w:szCs w:val="20"/>
        </w:rPr>
        <w:t>International Journal of Disaster Resilience in the Built Environment, 14</w:t>
      </w:r>
      <w:r w:rsidRPr="000C225F">
        <w:rPr>
          <w:rFonts w:ascii="Arial" w:eastAsia="Arial" w:hAnsi="Arial" w:cs="Arial"/>
          <w:color w:val="000000"/>
          <w:sz w:val="20"/>
          <w:szCs w:val="20"/>
        </w:rPr>
        <w:t>(3), 366–386.</w:t>
      </w:r>
    </w:p>
    <w:p w14:paraId="04C0F443"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sidRPr="000C225F">
        <w:rPr>
          <w:rFonts w:ascii="Arial" w:eastAsia="Arial" w:hAnsi="Arial" w:cs="Arial"/>
          <w:color w:val="000000"/>
          <w:sz w:val="20"/>
          <w:szCs w:val="20"/>
        </w:rPr>
        <w:t>Cimellaro</w:t>
      </w:r>
      <w:proofErr w:type="spellEnd"/>
      <w:r w:rsidRPr="000C225F">
        <w:rPr>
          <w:rFonts w:ascii="Arial" w:eastAsia="Arial" w:hAnsi="Arial" w:cs="Arial"/>
          <w:color w:val="000000"/>
          <w:sz w:val="20"/>
          <w:szCs w:val="20"/>
        </w:rPr>
        <w:t xml:space="preserve">, G. P. (2016). </w:t>
      </w:r>
      <w:r w:rsidRPr="000C225F">
        <w:rPr>
          <w:rFonts w:ascii="Arial" w:eastAsia="Arial" w:hAnsi="Arial" w:cs="Arial"/>
          <w:i/>
          <w:iCs/>
          <w:color w:val="000000"/>
          <w:sz w:val="20"/>
          <w:szCs w:val="20"/>
        </w:rPr>
        <w:t>Urban resilience for emergency response and recovery: Fundamental concepts and applications.</w:t>
      </w:r>
    </w:p>
    <w:p w14:paraId="7967652F" w14:textId="77777777" w:rsidR="00EB72BC" w:rsidRPr="000C225F" w:rsidRDefault="00F240DA" w:rsidP="000C225F">
      <w:pPr>
        <w:pStyle w:val="ListParagraph"/>
        <w:numPr>
          <w:ilvl w:val="0"/>
          <w:numId w:val="4"/>
        </w:numPr>
        <w:spacing w:after="0"/>
        <w:jc w:val="both"/>
        <w:rPr>
          <w:rFonts w:ascii="Arial" w:eastAsia="Arial" w:hAnsi="Arial" w:cs="Arial"/>
          <w:color w:val="222222"/>
          <w:sz w:val="20"/>
          <w:szCs w:val="20"/>
          <w:highlight w:val="white"/>
        </w:rPr>
      </w:pPr>
      <w:r w:rsidRPr="000C225F">
        <w:rPr>
          <w:rFonts w:ascii="Arial" w:eastAsia="Arial" w:hAnsi="Arial" w:cs="Arial"/>
          <w:color w:val="222222"/>
          <w:sz w:val="20"/>
          <w:szCs w:val="20"/>
          <w:highlight w:val="white"/>
        </w:rPr>
        <w:t>Cutter, S. L., Burton, C. G., &amp; Emrich, C. T. (2010). Disaster resilience indicators for benchmarking baseline conditions. </w:t>
      </w:r>
      <w:r w:rsidRPr="000C225F">
        <w:rPr>
          <w:rFonts w:ascii="Arial" w:eastAsia="Arial" w:hAnsi="Arial" w:cs="Arial"/>
          <w:i/>
          <w:iCs/>
          <w:color w:val="222222"/>
          <w:sz w:val="20"/>
          <w:szCs w:val="20"/>
          <w:highlight w:val="white"/>
        </w:rPr>
        <w:t>Journal of Homeland Security &amp; Emergency Management</w:t>
      </w:r>
      <w:r w:rsidRPr="000C225F">
        <w:rPr>
          <w:rFonts w:ascii="Arial" w:eastAsia="Arial" w:hAnsi="Arial" w:cs="Arial"/>
          <w:color w:val="222222"/>
          <w:sz w:val="20"/>
          <w:szCs w:val="20"/>
          <w:highlight w:val="white"/>
        </w:rPr>
        <w:t>, </w:t>
      </w:r>
      <w:r w:rsidRPr="000C225F">
        <w:rPr>
          <w:rFonts w:ascii="Arial" w:eastAsia="Arial" w:hAnsi="Arial" w:cs="Arial"/>
          <w:i/>
          <w:iCs/>
          <w:color w:val="222222"/>
          <w:sz w:val="20"/>
          <w:szCs w:val="20"/>
          <w:highlight w:val="white"/>
        </w:rPr>
        <w:t>7</w:t>
      </w:r>
      <w:r w:rsidRPr="000C225F">
        <w:rPr>
          <w:rFonts w:ascii="Arial" w:eastAsia="Arial" w:hAnsi="Arial" w:cs="Arial"/>
          <w:color w:val="222222"/>
          <w:sz w:val="20"/>
          <w:szCs w:val="20"/>
          <w:highlight w:val="white"/>
        </w:rPr>
        <w:t>(1).</w:t>
      </w:r>
    </w:p>
    <w:p w14:paraId="0EA1BAC8"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Dong, D., Yu, Z., &amp; Xu, J. (2025). A study on the characteristics and system construction of urban disaster resilience in Shanghai: A metropolis perspective. </w:t>
      </w:r>
      <w:r w:rsidRPr="000C225F">
        <w:rPr>
          <w:rFonts w:ascii="Arial" w:eastAsia="Arial" w:hAnsi="Arial" w:cs="Arial"/>
          <w:i/>
          <w:iCs/>
          <w:color w:val="000000"/>
          <w:sz w:val="20"/>
          <w:szCs w:val="20"/>
        </w:rPr>
        <w:t>Sustainability, 17</w:t>
      </w:r>
      <w:r w:rsidRPr="000C225F">
        <w:rPr>
          <w:rFonts w:ascii="Arial" w:eastAsia="Arial" w:hAnsi="Arial" w:cs="Arial"/>
          <w:color w:val="000000"/>
          <w:sz w:val="20"/>
          <w:szCs w:val="20"/>
        </w:rPr>
        <w:t>(1), 248.</w:t>
      </w:r>
    </w:p>
    <w:p w14:paraId="6D874420"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r>
      <w:proofErr w:type="spellStart"/>
      <w:r w:rsidRPr="000C225F">
        <w:rPr>
          <w:rFonts w:ascii="Arial" w:eastAsia="Arial" w:hAnsi="Arial" w:cs="Arial"/>
          <w:color w:val="000000"/>
          <w:sz w:val="20"/>
          <w:szCs w:val="20"/>
        </w:rPr>
        <w:t>Galderisi</w:t>
      </w:r>
      <w:proofErr w:type="spellEnd"/>
      <w:r w:rsidRPr="000C225F">
        <w:rPr>
          <w:rFonts w:ascii="Arial" w:eastAsia="Arial" w:hAnsi="Arial" w:cs="Arial"/>
          <w:color w:val="000000"/>
          <w:sz w:val="20"/>
          <w:szCs w:val="20"/>
        </w:rPr>
        <w:t xml:space="preserve">, A., Menoni, S., Setti, G., &amp; </w:t>
      </w:r>
      <w:proofErr w:type="spellStart"/>
      <w:r w:rsidRPr="000C225F">
        <w:rPr>
          <w:rFonts w:ascii="Arial" w:eastAsia="Arial" w:hAnsi="Arial" w:cs="Arial"/>
          <w:color w:val="000000"/>
          <w:sz w:val="20"/>
          <w:szCs w:val="20"/>
        </w:rPr>
        <w:t>Tognon</w:t>
      </w:r>
      <w:proofErr w:type="spellEnd"/>
      <w:r w:rsidRPr="000C225F">
        <w:rPr>
          <w:rFonts w:ascii="Arial" w:eastAsia="Arial" w:hAnsi="Arial" w:cs="Arial"/>
          <w:color w:val="000000"/>
          <w:sz w:val="20"/>
          <w:szCs w:val="20"/>
        </w:rPr>
        <w:t xml:space="preserve">, A. (2022). Disaster recovery reform and resilience. In </w:t>
      </w:r>
      <w:r w:rsidRPr="000C225F">
        <w:rPr>
          <w:rFonts w:ascii="Arial" w:eastAsia="Arial" w:hAnsi="Arial" w:cs="Arial"/>
          <w:i/>
          <w:iCs/>
          <w:color w:val="000000"/>
          <w:sz w:val="20"/>
          <w:szCs w:val="20"/>
        </w:rPr>
        <w:t>Disaster risk reduction for resilience: Disaster and social aspects</w:t>
      </w:r>
      <w:r w:rsidRPr="000C225F">
        <w:rPr>
          <w:rFonts w:ascii="Arial" w:eastAsia="Arial" w:hAnsi="Arial" w:cs="Arial"/>
          <w:color w:val="000000"/>
          <w:sz w:val="20"/>
          <w:szCs w:val="20"/>
        </w:rPr>
        <w:t xml:space="preserve"> (pp. 25–54). Springer.</w:t>
      </w:r>
    </w:p>
    <w:p w14:paraId="794D65AD"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r>
      <w:proofErr w:type="spellStart"/>
      <w:r w:rsidRPr="000C225F">
        <w:rPr>
          <w:rFonts w:ascii="Arial" w:eastAsia="Arial" w:hAnsi="Arial" w:cs="Arial"/>
          <w:color w:val="000000"/>
          <w:sz w:val="20"/>
          <w:szCs w:val="20"/>
        </w:rPr>
        <w:t>Greenal</w:t>
      </w:r>
      <w:proofErr w:type="spellEnd"/>
      <w:r w:rsidRPr="000C225F">
        <w:rPr>
          <w:rFonts w:ascii="Arial" w:eastAsia="Arial" w:hAnsi="Arial" w:cs="Arial"/>
          <w:color w:val="000000"/>
          <w:sz w:val="20"/>
          <w:szCs w:val="20"/>
        </w:rPr>
        <w:t xml:space="preserve">, S., &amp; Anilkumar, S. (2025). Development of decision support tools for post-disaster infrastructure reconstruction and recovery: A scoping study. </w:t>
      </w:r>
      <w:r w:rsidRPr="000C225F">
        <w:rPr>
          <w:rFonts w:ascii="Arial" w:eastAsia="Arial" w:hAnsi="Arial" w:cs="Arial"/>
          <w:i/>
          <w:iCs/>
          <w:color w:val="000000"/>
          <w:sz w:val="20"/>
          <w:szCs w:val="20"/>
        </w:rPr>
        <w:t>Sustainable and Resilient Infrastructure, 10</w:t>
      </w:r>
      <w:r w:rsidRPr="000C225F">
        <w:rPr>
          <w:rFonts w:ascii="Arial" w:eastAsia="Arial" w:hAnsi="Arial" w:cs="Arial"/>
          <w:color w:val="000000"/>
          <w:sz w:val="20"/>
          <w:szCs w:val="20"/>
        </w:rPr>
        <w:t>(2), 119–135.</w:t>
      </w:r>
    </w:p>
    <w:p w14:paraId="294286F9"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He, X. (2019). </w:t>
      </w:r>
      <w:r w:rsidRPr="000C225F">
        <w:rPr>
          <w:rFonts w:ascii="Arial" w:eastAsia="Arial" w:hAnsi="Arial" w:cs="Arial"/>
          <w:i/>
          <w:iCs/>
          <w:color w:val="000000"/>
          <w:sz w:val="20"/>
          <w:szCs w:val="20"/>
        </w:rPr>
        <w:t>Disaster risk management of interdependent infrastructure systems for community resilience planning</w:t>
      </w:r>
      <w:r w:rsidRPr="000C225F">
        <w:rPr>
          <w:rFonts w:ascii="Arial" w:eastAsia="Arial" w:hAnsi="Arial" w:cs="Arial"/>
          <w:color w:val="000000"/>
          <w:sz w:val="20"/>
          <w:szCs w:val="20"/>
        </w:rPr>
        <w:t xml:space="preserve"> (Doctoral dissertation, University of Illinois at Urbana-Champaign).</w:t>
      </w:r>
    </w:p>
    <w:p w14:paraId="7840D24C"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He, X., &amp; Cha, E. J. (2019). Post-disaster recovery planning of interdependent infrastructure systems: A game theory-based approach.</w:t>
      </w:r>
    </w:p>
    <w:p w14:paraId="69D0B7A0"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He, X., &amp; Cha, E. J. (2022). State of the research on disaster risk management of interdependent infrastructure systems for community resilience planning. </w:t>
      </w:r>
      <w:r w:rsidRPr="000C225F">
        <w:rPr>
          <w:rFonts w:ascii="Arial" w:eastAsia="Arial" w:hAnsi="Arial" w:cs="Arial"/>
          <w:i/>
          <w:iCs/>
          <w:color w:val="000000"/>
          <w:sz w:val="20"/>
          <w:szCs w:val="20"/>
        </w:rPr>
        <w:t>Sustainable and Resilient Infrastructure, 7</w:t>
      </w:r>
      <w:r w:rsidRPr="000C225F">
        <w:rPr>
          <w:rFonts w:ascii="Arial" w:eastAsia="Arial" w:hAnsi="Arial" w:cs="Arial"/>
          <w:color w:val="000000"/>
          <w:sz w:val="20"/>
          <w:szCs w:val="20"/>
        </w:rPr>
        <w:t>(5), 391–420.</w:t>
      </w:r>
    </w:p>
    <w:p w14:paraId="07216572"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Huang, J., &amp; Li, N. (2025). A review of research on enhancing the post-disaster recovery of interdependent critical infrastructure systems. In </w:t>
      </w:r>
      <w:r w:rsidRPr="000C225F">
        <w:rPr>
          <w:rFonts w:ascii="Arial" w:eastAsia="Arial" w:hAnsi="Arial" w:cs="Arial"/>
          <w:i/>
          <w:iCs/>
          <w:color w:val="000000"/>
          <w:sz w:val="20"/>
          <w:szCs w:val="20"/>
        </w:rPr>
        <w:t>CIB Conferences</w:t>
      </w:r>
      <w:r w:rsidRPr="000C225F">
        <w:rPr>
          <w:rFonts w:ascii="Arial" w:eastAsia="Arial" w:hAnsi="Arial" w:cs="Arial"/>
          <w:color w:val="000000"/>
          <w:sz w:val="20"/>
          <w:szCs w:val="20"/>
        </w:rPr>
        <w:t xml:space="preserve"> (Vol. 1, No. 1, p. 228).</w:t>
      </w:r>
    </w:p>
    <w:p w14:paraId="273D849B"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Joo, M. R., &amp; Sinha, R. (2023). Performance-based selection of pathways for enhancing built infrastructure resilience. </w:t>
      </w:r>
      <w:r w:rsidRPr="000C225F">
        <w:rPr>
          <w:rFonts w:ascii="Arial" w:eastAsia="Arial" w:hAnsi="Arial" w:cs="Arial"/>
          <w:i/>
          <w:iCs/>
          <w:color w:val="000000"/>
          <w:sz w:val="20"/>
          <w:szCs w:val="20"/>
        </w:rPr>
        <w:t>Sustainable and Resilient Infrastructure, 8</w:t>
      </w:r>
      <w:r w:rsidRPr="000C225F">
        <w:rPr>
          <w:rFonts w:ascii="Arial" w:eastAsia="Arial" w:hAnsi="Arial" w:cs="Arial"/>
          <w:color w:val="000000"/>
          <w:sz w:val="20"/>
          <w:szCs w:val="20"/>
        </w:rPr>
        <w:t>(5), 532–554.</w:t>
      </w:r>
    </w:p>
    <w:p w14:paraId="7E14FF01"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Kanno, T., Koike, S., Suzuki, T., &amp; Furuta, K. (2019). Human-centered modeling framework of multiple interdependency in urban systems for simulation of post-disaster recovery processes. </w:t>
      </w:r>
      <w:r w:rsidRPr="000C225F">
        <w:rPr>
          <w:rFonts w:ascii="Arial" w:eastAsia="Arial" w:hAnsi="Arial" w:cs="Arial"/>
          <w:i/>
          <w:iCs/>
          <w:color w:val="000000"/>
          <w:sz w:val="20"/>
          <w:szCs w:val="20"/>
        </w:rPr>
        <w:t>Cognition, Technology &amp; Work, 21</w:t>
      </w:r>
      <w:r w:rsidRPr="000C225F">
        <w:rPr>
          <w:rFonts w:ascii="Arial" w:eastAsia="Arial" w:hAnsi="Arial" w:cs="Arial"/>
          <w:color w:val="000000"/>
          <w:sz w:val="20"/>
          <w:szCs w:val="20"/>
        </w:rPr>
        <w:t>(2), 301–316.</w:t>
      </w:r>
    </w:p>
    <w:p w14:paraId="0687BB42" w14:textId="77777777" w:rsidR="00EB72BC" w:rsidRPr="000C225F" w:rsidRDefault="00F240DA" w:rsidP="000C225F">
      <w:pPr>
        <w:pStyle w:val="ListParagraph"/>
        <w:numPr>
          <w:ilvl w:val="0"/>
          <w:numId w:val="4"/>
        </w:numPr>
        <w:spacing w:after="0"/>
        <w:jc w:val="both"/>
        <w:rPr>
          <w:rFonts w:ascii="Arial" w:eastAsia="Arial" w:hAnsi="Arial" w:cs="Arial"/>
          <w:color w:val="222222"/>
          <w:sz w:val="20"/>
          <w:szCs w:val="20"/>
          <w:highlight w:val="white"/>
        </w:rPr>
      </w:pPr>
      <w:r w:rsidRPr="000C225F">
        <w:rPr>
          <w:rFonts w:ascii="Arial" w:eastAsia="Arial" w:hAnsi="Arial" w:cs="Arial"/>
          <w:color w:val="222222"/>
          <w:sz w:val="20"/>
          <w:szCs w:val="20"/>
          <w:highlight w:val="white"/>
        </w:rPr>
        <w:t xml:space="preserve">Levac, D., Colquhoun, H., &amp; </w:t>
      </w:r>
      <w:proofErr w:type="spellStart"/>
      <w:r w:rsidRPr="000C225F">
        <w:rPr>
          <w:rFonts w:ascii="Arial" w:eastAsia="Arial" w:hAnsi="Arial" w:cs="Arial"/>
          <w:color w:val="222222"/>
          <w:sz w:val="20"/>
          <w:szCs w:val="20"/>
          <w:highlight w:val="white"/>
        </w:rPr>
        <w:t>O'brien</w:t>
      </w:r>
      <w:proofErr w:type="spellEnd"/>
      <w:r w:rsidRPr="000C225F">
        <w:rPr>
          <w:rFonts w:ascii="Arial" w:eastAsia="Arial" w:hAnsi="Arial" w:cs="Arial"/>
          <w:color w:val="222222"/>
          <w:sz w:val="20"/>
          <w:szCs w:val="20"/>
          <w:highlight w:val="white"/>
        </w:rPr>
        <w:t>, K. K. (2010). Scoping studies: advancing the methodology. </w:t>
      </w:r>
      <w:r w:rsidRPr="000C225F">
        <w:rPr>
          <w:rFonts w:ascii="Arial" w:eastAsia="Arial" w:hAnsi="Arial" w:cs="Arial"/>
          <w:i/>
          <w:iCs/>
          <w:color w:val="222222"/>
          <w:sz w:val="20"/>
          <w:szCs w:val="20"/>
          <w:highlight w:val="white"/>
        </w:rPr>
        <w:t>Implementation science</w:t>
      </w:r>
      <w:r w:rsidRPr="000C225F">
        <w:rPr>
          <w:rFonts w:ascii="Arial" w:eastAsia="Arial" w:hAnsi="Arial" w:cs="Arial"/>
          <w:color w:val="222222"/>
          <w:sz w:val="20"/>
          <w:szCs w:val="20"/>
          <w:highlight w:val="white"/>
        </w:rPr>
        <w:t>, </w:t>
      </w:r>
      <w:r w:rsidRPr="000C225F">
        <w:rPr>
          <w:rFonts w:ascii="Arial" w:eastAsia="Arial" w:hAnsi="Arial" w:cs="Arial"/>
          <w:i/>
          <w:iCs/>
          <w:color w:val="222222"/>
          <w:sz w:val="20"/>
          <w:szCs w:val="20"/>
          <w:highlight w:val="white"/>
        </w:rPr>
        <w:t>5</w:t>
      </w:r>
      <w:r w:rsidRPr="000C225F">
        <w:rPr>
          <w:rFonts w:ascii="Arial" w:eastAsia="Arial" w:hAnsi="Arial" w:cs="Arial"/>
          <w:color w:val="222222"/>
          <w:sz w:val="20"/>
          <w:szCs w:val="20"/>
          <w:highlight w:val="white"/>
        </w:rPr>
        <w:t>(1), 69.</w:t>
      </w:r>
    </w:p>
    <w:p w14:paraId="20278A0D"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Liang, H., Moya, B., Chinesta, F., &amp; Chatzi, E. (2025). Resilience-based post disaster recovery optimization for infrastructure system via deep reinforcement learning. </w:t>
      </w:r>
      <w:r w:rsidRPr="000C225F">
        <w:rPr>
          <w:rFonts w:ascii="Arial" w:eastAsia="Arial" w:hAnsi="Arial" w:cs="Arial"/>
          <w:i/>
          <w:iCs/>
          <w:color w:val="000000"/>
          <w:sz w:val="20"/>
          <w:szCs w:val="20"/>
        </w:rPr>
        <w:t>Reliability Engineering &amp; System Safety.</w:t>
      </w:r>
    </w:p>
    <w:p w14:paraId="27E7DB9B"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lastRenderedPageBreak/>
        <w:br/>
        <w:t xml:space="preserve">Liu, Z., Sun, D., Chen, H., Hao, W., Wang, Z., &amp; Tang, F. (2024). Resilience-based post-disaster repair strategy for integrated public transit networks. </w:t>
      </w:r>
      <w:proofErr w:type="spellStart"/>
      <w:r w:rsidRPr="000C225F">
        <w:rPr>
          <w:rFonts w:ascii="Arial" w:eastAsia="Arial" w:hAnsi="Arial" w:cs="Arial"/>
          <w:i/>
          <w:iCs/>
          <w:color w:val="000000"/>
          <w:sz w:val="20"/>
          <w:szCs w:val="20"/>
        </w:rPr>
        <w:t>Transportmetrica</w:t>
      </w:r>
      <w:proofErr w:type="spellEnd"/>
      <w:r w:rsidRPr="000C225F">
        <w:rPr>
          <w:rFonts w:ascii="Arial" w:eastAsia="Arial" w:hAnsi="Arial" w:cs="Arial"/>
          <w:i/>
          <w:iCs/>
          <w:color w:val="000000"/>
          <w:sz w:val="20"/>
          <w:szCs w:val="20"/>
        </w:rPr>
        <w:t xml:space="preserve"> B: Transport Dynamics, 12</w:t>
      </w:r>
      <w:r w:rsidRPr="000C225F">
        <w:rPr>
          <w:rFonts w:ascii="Arial" w:eastAsia="Arial" w:hAnsi="Arial" w:cs="Arial"/>
          <w:color w:val="000000"/>
          <w:sz w:val="20"/>
          <w:szCs w:val="20"/>
        </w:rPr>
        <w:t>(1), 1–25.</w:t>
      </w:r>
    </w:p>
    <w:p w14:paraId="04E09CB5"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r>
      <w:proofErr w:type="spellStart"/>
      <w:r w:rsidRPr="000C225F">
        <w:rPr>
          <w:rFonts w:ascii="Arial" w:eastAsia="Arial" w:hAnsi="Arial" w:cs="Arial"/>
          <w:color w:val="000000"/>
          <w:sz w:val="20"/>
          <w:szCs w:val="20"/>
        </w:rPr>
        <w:t>Mannakkara</w:t>
      </w:r>
      <w:proofErr w:type="spellEnd"/>
      <w:r w:rsidRPr="000C225F">
        <w:rPr>
          <w:rFonts w:ascii="Arial" w:eastAsia="Arial" w:hAnsi="Arial" w:cs="Arial"/>
          <w:color w:val="000000"/>
          <w:sz w:val="20"/>
          <w:szCs w:val="20"/>
        </w:rPr>
        <w:t xml:space="preserve">, S., Wilkinson, S., &amp; </w:t>
      </w:r>
      <w:proofErr w:type="spellStart"/>
      <w:r w:rsidRPr="000C225F">
        <w:rPr>
          <w:rFonts w:ascii="Arial" w:eastAsia="Arial" w:hAnsi="Arial" w:cs="Arial"/>
          <w:color w:val="000000"/>
          <w:sz w:val="20"/>
          <w:szCs w:val="20"/>
        </w:rPr>
        <w:t>Potangaroa</w:t>
      </w:r>
      <w:proofErr w:type="spellEnd"/>
      <w:r w:rsidRPr="000C225F">
        <w:rPr>
          <w:rFonts w:ascii="Arial" w:eastAsia="Arial" w:hAnsi="Arial" w:cs="Arial"/>
          <w:color w:val="000000"/>
          <w:sz w:val="20"/>
          <w:szCs w:val="20"/>
        </w:rPr>
        <w:t xml:space="preserve">, R. (2018). </w:t>
      </w:r>
      <w:r w:rsidRPr="000C225F">
        <w:rPr>
          <w:rFonts w:ascii="Arial" w:eastAsia="Arial" w:hAnsi="Arial" w:cs="Arial"/>
          <w:i/>
          <w:iCs/>
          <w:color w:val="000000"/>
          <w:sz w:val="20"/>
          <w:szCs w:val="20"/>
        </w:rPr>
        <w:t>Resilient post disaster recovery through building back better.</w:t>
      </w:r>
      <w:r w:rsidRPr="000C225F">
        <w:rPr>
          <w:rFonts w:ascii="Arial" w:eastAsia="Arial" w:hAnsi="Arial" w:cs="Arial"/>
          <w:color w:val="000000"/>
          <w:sz w:val="20"/>
          <w:szCs w:val="20"/>
        </w:rPr>
        <w:t xml:space="preserve"> Routledge.</w:t>
      </w:r>
    </w:p>
    <w:p w14:paraId="37E88599"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Mao, Q., &amp; Liu, Y. (2024). Post-disaster performance and restoration sequences of interdependent critical infrastructure systems considering various socioeconomic impacts. </w:t>
      </w:r>
      <w:r w:rsidRPr="000C225F">
        <w:rPr>
          <w:rFonts w:ascii="Arial" w:eastAsia="Arial" w:hAnsi="Arial" w:cs="Arial"/>
          <w:i/>
          <w:iCs/>
          <w:color w:val="000000"/>
          <w:sz w:val="20"/>
          <w:szCs w:val="20"/>
        </w:rPr>
        <w:t>Sustainability, 16</w:t>
      </w:r>
      <w:r w:rsidRPr="000C225F">
        <w:rPr>
          <w:rFonts w:ascii="Arial" w:eastAsia="Arial" w:hAnsi="Arial" w:cs="Arial"/>
          <w:color w:val="000000"/>
          <w:sz w:val="20"/>
          <w:szCs w:val="20"/>
        </w:rPr>
        <w:t>(15), 6609.</w:t>
      </w:r>
    </w:p>
    <w:p w14:paraId="6E5A211C" w14:textId="77777777" w:rsidR="00EB72BC" w:rsidRPr="000C225F" w:rsidRDefault="00F240DA" w:rsidP="000C225F">
      <w:pPr>
        <w:pStyle w:val="ListParagraph"/>
        <w:numPr>
          <w:ilvl w:val="0"/>
          <w:numId w:val="4"/>
        </w:numPr>
        <w:spacing w:after="0"/>
        <w:jc w:val="both"/>
        <w:rPr>
          <w:rFonts w:ascii="Arial" w:eastAsia="Arial" w:hAnsi="Arial" w:cs="Arial"/>
          <w:color w:val="222222"/>
          <w:sz w:val="20"/>
          <w:szCs w:val="20"/>
          <w:highlight w:val="white"/>
        </w:rPr>
      </w:pPr>
      <w:proofErr w:type="spellStart"/>
      <w:r w:rsidRPr="000C225F">
        <w:rPr>
          <w:rFonts w:ascii="Arial" w:eastAsia="Arial" w:hAnsi="Arial" w:cs="Arial"/>
          <w:color w:val="222222"/>
          <w:sz w:val="20"/>
          <w:szCs w:val="20"/>
          <w:highlight w:val="white"/>
        </w:rPr>
        <w:t>Meerow</w:t>
      </w:r>
      <w:proofErr w:type="spellEnd"/>
      <w:r w:rsidRPr="000C225F">
        <w:rPr>
          <w:rFonts w:ascii="Arial" w:eastAsia="Arial" w:hAnsi="Arial" w:cs="Arial"/>
          <w:color w:val="222222"/>
          <w:sz w:val="20"/>
          <w:szCs w:val="20"/>
          <w:highlight w:val="white"/>
        </w:rPr>
        <w:t>, S., Newell, J. P., &amp; Stults, M. (2016). Defining urban resilience: A review. </w:t>
      </w:r>
      <w:r w:rsidRPr="000C225F">
        <w:rPr>
          <w:rFonts w:ascii="Arial" w:eastAsia="Arial" w:hAnsi="Arial" w:cs="Arial"/>
          <w:i/>
          <w:iCs/>
          <w:color w:val="222222"/>
          <w:sz w:val="20"/>
          <w:szCs w:val="20"/>
          <w:highlight w:val="white"/>
        </w:rPr>
        <w:t>Landscape and urban planning</w:t>
      </w:r>
      <w:r w:rsidRPr="000C225F">
        <w:rPr>
          <w:rFonts w:ascii="Arial" w:eastAsia="Arial" w:hAnsi="Arial" w:cs="Arial"/>
          <w:color w:val="222222"/>
          <w:sz w:val="20"/>
          <w:szCs w:val="20"/>
          <w:highlight w:val="white"/>
        </w:rPr>
        <w:t>, </w:t>
      </w:r>
      <w:r w:rsidRPr="000C225F">
        <w:rPr>
          <w:rFonts w:ascii="Arial" w:eastAsia="Arial" w:hAnsi="Arial" w:cs="Arial"/>
          <w:i/>
          <w:iCs/>
          <w:color w:val="222222"/>
          <w:sz w:val="20"/>
          <w:szCs w:val="20"/>
          <w:highlight w:val="white"/>
        </w:rPr>
        <w:t>147</w:t>
      </w:r>
      <w:r w:rsidRPr="000C225F">
        <w:rPr>
          <w:rFonts w:ascii="Arial" w:eastAsia="Arial" w:hAnsi="Arial" w:cs="Arial"/>
          <w:color w:val="222222"/>
          <w:sz w:val="20"/>
          <w:szCs w:val="20"/>
          <w:highlight w:val="white"/>
        </w:rPr>
        <w:t>, 38-49.</w:t>
      </w:r>
    </w:p>
    <w:p w14:paraId="12B529E8"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Mohammadi, S., De Angeli, S., Boni, G., </w:t>
      </w:r>
      <w:proofErr w:type="spellStart"/>
      <w:r w:rsidRPr="000C225F">
        <w:rPr>
          <w:rFonts w:ascii="Arial" w:eastAsia="Arial" w:hAnsi="Arial" w:cs="Arial"/>
          <w:color w:val="000000"/>
          <w:sz w:val="20"/>
          <w:szCs w:val="20"/>
        </w:rPr>
        <w:t>Pirlone</w:t>
      </w:r>
      <w:proofErr w:type="spellEnd"/>
      <w:r w:rsidRPr="000C225F">
        <w:rPr>
          <w:rFonts w:ascii="Arial" w:eastAsia="Arial" w:hAnsi="Arial" w:cs="Arial"/>
          <w:color w:val="000000"/>
          <w:sz w:val="20"/>
          <w:szCs w:val="20"/>
        </w:rPr>
        <w:t xml:space="preserve">, F., &amp; </w:t>
      </w:r>
      <w:proofErr w:type="spellStart"/>
      <w:r w:rsidRPr="000C225F">
        <w:rPr>
          <w:rFonts w:ascii="Arial" w:eastAsia="Arial" w:hAnsi="Arial" w:cs="Arial"/>
          <w:color w:val="000000"/>
          <w:sz w:val="20"/>
          <w:szCs w:val="20"/>
        </w:rPr>
        <w:t>Cattari</w:t>
      </w:r>
      <w:proofErr w:type="spellEnd"/>
      <w:r w:rsidRPr="000C225F">
        <w:rPr>
          <w:rFonts w:ascii="Arial" w:eastAsia="Arial" w:hAnsi="Arial" w:cs="Arial"/>
          <w:color w:val="000000"/>
          <w:sz w:val="20"/>
          <w:szCs w:val="20"/>
        </w:rPr>
        <w:t xml:space="preserve">, S. (2024). Current approaches and critical issues in multi-risk recovery planning of urban areas exposed to natural hazards. </w:t>
      </w:r>
      <w:r w:rsidRPr="000C225F">
        <w:rPr>
          <w:rFonts w:ascii="Arial" w:eastAsia="Arial" w:hAnsi="Arial" w:cs="Arial"/>
          <w:i/>
          <w:iCs/>
          <w:color w:val="000000"/>
          <w:sz w:val="20"/>
          <w:szCs w:val="20"/>
        </w:rPr>
        <w:t>Natural Hazards and Earth System Sciences, 24</w:t>
      </w:r>
      <w:r w:rsidRPr="000C225F">
        <w:rPr>
          <w:rFonts w:ascii="Arial" w:eastAsia="Arial" w:hAnsi="Arial" w:cs="Arial"/>
          <w:color w:val="000000"/>
          <w:sz w:val="20"/>
          <w:szCs w:val="20"/>
        </w:rPr>
        <w:t>(1), 79–107.</w:t>
      </w:r>
    </w:p>
    <w:p w14:paraId="4B157123"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Nazif, S., </w:t>
      </w:r>
      <w:proofErr w:type="spellStart"/>
      <w:r w:rsidRPr="000C225F">
        <w:rPr>
          <w:rFonts w:ascii="Arial" w:eastAsia="Arial" w:hAnsi="Arial" w:cs="Arial"/>
          <w:color w:val="000000"/>
          <w:sz w:val="20"/>
          <w:szCs w:val="20"/>
        </w:rPr>
        <w:t>Mohammadpour</w:t>
      </w:r>
      <w:proofErr w:type="spellEnd"/>
      <w:r w:rsidRPr="000C225F">
        <w:rPr>
          <w:rFonts w:ascii="Arial" w:eastAsia="Arial" w:hAnsi="Arial" w:cs="Arial"/>
          <w:color w:val="000000"/>
          <w:sz w:val="20"/>
          <w:szCs w:val="20"/>
        </w:rPr>
        <w:t xml:space="preserve"> </w:t>
      </w:r>
      <w:proofErr w:type="spellStart"/>
      <w:r w:rsidRPr="000C225F">
        <w:rPr>
          <w:rFonts w:ascii="Arial" w:eastAsia="Arial" w:hAnsi="Arial" w:cs="Arial"/>
          <w:color w:val="000000"/>
          <w:sz w:val="20"/>
          <w:szCs w:val="20"/>
        </w:rPr>
        <w:t>Khoie</w:t>
      </w:r>
      <w:proofErr w:type="spellEnd"/>
      <w:r w:rsidRPr="000C225F">
        <w:rPr>
          <w:rFonts w:ascii="Arial" w:eastAsia="Arial" w:hAnsi="Arial" w:cs="Arial"/>
          <w:color w:val="000000"/>
          <w:sz w:val="20"/>
          <w:szCs w:val="20"/>
        </w:rPr>
        <w:t xml:space="preserve">, M. M., &amp; </w:t>
      </w:r>
      <w:proofErr w:type="spellStart"/>
      <w:r w:rsidRPr="000C225F">
        <w:rPr>
          <w:rFonts w:ascii="Arial" w:eastAsia="Arial" w:hAnsi="Arial" w:cs="Arial"/>
          <w:color w:val="000000"/>
          <w:sz w:val="20"/>
          <w:szCs w:val="20"/>
        </w:rPr>
        <w:t>Eslamian</w:t>
      </w:r>
      <w:proofErr w:type="spellEnd"/>
      <w:r w:rsidRPr="000C225F">
        <w:rPr>
          <w:rFonts w:ascii="Arial" w:eastAsia="Arial" w:hAnsi="Arial" w:cs="Arial"/>
          <w:color w:val="000000"/>
          <w:sz w:val="20"/>
          <w:szCs w:val="20"/>
        </w:rPr>
        <w:t xml:space="preserve">, S. (2021). Urban disaster management and resilience. In </w:t>
      </w:r>
      <w:r w:rsidRPr="000C225F">
        <w:rPr>
          <w:rFonts w:ascii="Arial" w:eastAsia="Arial" w:hAnsi="Arial" w:cs="Arial"/>
          <w:i/>
          <w:iCs/>
          <w:color w:val="000000"/>
          <w:sz w:val="20"/>
          <w:szCs w:val="20"/>
        </w:rPr>
        <w:t>Handbook of disaster risk reduction for resilience.</w:t>
      </w:r>
    </w:p>
    <w:p w14:paraId="10A22CFA"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lang w:val="es-US"/>
        </w:rPr>
      </w:pPr>
      <w:r w:rsidRPr="000C225F">
        <w:rPr>
          <w:rFonts w:ascii="Arial" w:eastAsia="Arial" w:hAnsi="Arial" w:cs="Arial"/>
          <w:color w:val="000000"/>
          <w:sz w:val="20"/>
          <w:szCs w:val="20"/>
        </w:rPr>
        <w:br/>
        <w:t xml:space="preserve">Rezvani, S. M., Silva, M. J. F., &amp; de Almeida, N. M. (2024). Urban resilience index for critical infrastructure: A scenario-based approach to disaster risk reduction in road networks. </w:t>
      </w:r>
      <w:proofErr w:type="spellStart"/>
      <w:r w:rsidRPr="000C225F">
        <w:rPr>
          <w:rFonts w:ascii="Arial" w:eastAsia="Arial" w:hAnsi="Arial" w:cs="Arial"/>
          <w:i/>
          <w:iCs/>
          <w:color w:val="000000"/>
          <w:sz w:val="20"/>
          <w:szCs w:val="20"/>
          <w:lang w:val="es-US"/>
        </w:rPr>
        <w:t>Sustainability</w:t>
      </w:r>
      <w:proofErr w:type="spellEnd"/>
      <w:r w:rsidRPr="000C225F">
        <w:rPr>
          <w:rFonts w:ascii="Arial" w:eastAsia="Arial" w:hAnsi="Arial" w:cs="Arial"/>
          <w:i/>
          <w:iCs/>
          <w:color w:val="000000"/>
          <w:sz w:val="20"/>
          <w:szCs w:val="20"/>
          <w:lang w:val="es-US"/>
        </w:rPr>
        <w:t>, 16</w:t>
      </w:r>
      <w:r w:rsidRPr="000C225F">
        <w:rPr>
          <w:rFonts w:ascii="Arial" w:eastAsia="Arial" w:hAnsi="Arial" w:cs="Arial"/>
          <w:color w:val="000000"/>
          <w:sz w:val="20"/>
          <w:szCs w:val="20"/>
          <w:lang w:val="es-US"/>
        </w:rPr>
        <w:t>(10), 4143.</w:t>
      </w:r>
    </w:p>
    <w:p w14:paraId="38A41D75"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lang w:val="es-US"/>
        </w:rPr>
        <w:br/>
        <w:t xml:space="preserve">Rezvani, S., Falcão, M. J., Komljenovic, D., &amp; de Almeida, N. M. (2023). </w:t>
      </w:r>
      <w:r w:rsidRPr="000C225F">
        <w:rPr>
          <w:rFonts w:ascii="Arial" w:eastAsia="Arial" w:hAnsi="Arial" w:cs="Arial"/>
          <w:color w:val="000000"/>
          <w:sz w:val="20"/>
          <w:szCs w:val="20"/>
        </w:rPr>
        <w:t xml:space="preserve">A systematic literature review on urban resilience enabled with asset and disaster risk management approaches and GIS-based decision support tools. </w:t>
      </w:r>
      <w:r w:rsidRPr="000C225F">
        <w:rPr>
          <w:rFonts w:ascii="Arial" w:eastAsia="Arial" w:hAnsi="Arial" w:cs="Arial"/>
          <w:i/>
          <w:iCs/>
          <w:color w:val="000000"/>
          <w:sz w:val="20"/>
          <w:szCs w:val="20"/>
        </w:rPr>
        <w:t>Applied Sciences, 13</w:t>
      </w:r>
      <w:r w:rsidRPr="000C225F">
        <w:rPr>
          <w:rFonts w:ascii="Arial" w:eastAsia="Arial" w:hAnsi="Arial" w:cs="Arial"/>
          <w:color w:val="000000"/>
          <w:sz w:val="20"/>
          <w:szCs w:val="20"/>
        </w:rPr>
        <w:t>(4), 2223.</w:t>
      </w:r>
    </w:p>
    <w:p w14:paraId="0B0AD28C"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Sabiq, M., &amp; </w:t>
      </w:r>
      <w:proofErr w:type="spellStart"/>
      <w:r w:rsidRPr="000C225F">
        <w:rPr>
          <w:rFonts w:ascii="Arial" w:eastAsia="Arial" w:hAnsi="Arial" w:cs="Arial"/>
          <w:color w:val="000000"/>
          <w:sz w:val="20"/>
          <w:szCs w:val="20"/>
        </w:rPr>
        <w:t>Afrisal</w:t>
      </w:r>
      <w:proofErr w:type="spellEnd"/>
      <w:r w:rsidRPr="000C225F">
        <w:rPr>
          <w:rFonts w:ascii="Arial" w:eastAsia="Arial" w:hAnsi="Arial" w:cs="Arial"/>
          <w:color w:val="000000"/>
          <w:sz w:val="20"/>
          <w:szCs w:val="20"/>
        </w:rPr>
        <w:t xml:space="preserve">, A. F. (2025). Post-disaster urban and community resilience. </w:t>
      </w:r>
      <w:r w:rsidRPr="000C225F">
        <w:rPr>
          <w:rFonts w:ascii="Arial" w:eastAsia="Arial" w:hAnsi="Arial" w:cs="Arial"/>
          <w:i/>
          <w:iCs/>
          <w:color w:val="000000"/>
          <w:sz w:val="20"/>
          <w:szCs w:val="20"/>
        </w:rPr>
        <w:t>International Journal of Sustainable Development &amp; Planning.</w:t>
      </w:r>
    </w:p>
    <w:p w14:paraId="393BEB73"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Shao, Y., &amp; Xu, J. (2017). Regulating post-disaster reconstruction planning in China: Towards a resilience-based approach. </w:t>
      </w:r>
      <w:r w:rsidRPr="000C225F">
        <w:rPr>
          <w:rFonts w:ascii="Arial" w:eastAsia="Arial" w:hAnsi="Arial" w:cs="Arial"/>
          <w:i/>
          <w:iCs/>
          <w:color w:val="000000"/>
          <w:sz w:val="20"/>
          <w:szCs w:val="20"/>
        </w:rPr>
        <w:t>Asian Geographer, 34</w:t>
      </w:r>
      <w:r w:rsidRPr="000C225F">
        <w:rPr>
          <w:rFonts w:ascii="Arial" w:eastAsia="Arial" w:hAnsi="Arial" w:cs="Arial"/>
          <w:color w:val="000000"/>
          <w:sz w:val="20"/>
          <w:szCs w:val="20"/>
        </w:rPr>
        <w:t>(1), 71–89.</w:t>
      </w:r>
    </w:p>
    <w:p w14:paraId="4AC46328"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Sharifi, A., &amp; Yamagata, Y. (2018). Resilience-oriented urban planning. In </w:t>
      </w:r>
      <w:r w:rsidRPr="000C225F">
        <w:rPr>
          <w:rFonts w:ascii="Arial" w:eastAsia="Arial" w:hAnsi="Arial" w:cs="Arial"/>
          <w:i/>
          <w:iCs/>
          <w:color w:val="000000"/>
          <w:sz w:val="20"/>
          <w:szCs w:val="20"/>
        </w:rPr>
        <w:t>Resilience-oriented urban planning.</w:t>
      </w:r>
    </w:p>
    <w:p w14:paraId="6B1CE133"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Sun, W., Bocchini, P., &amp; Davison, B. D. (2020). Policy-based disaster recovery planning model for interdependent infrastructure systems under uncertainty. </w:t>
      </w:r>
      <w:r w:rsidRPr="000C225F">
        <w:rPr>
          <w:rFonts w:ascii="Arial" w:eastAsia="Arial" w:hAnsi="Arial" w:cs="Arial"/>
          <w:i/>
          <w:iCs/>
          <w:color w:val="000000"/>
          <w:sz w:val="20"/>
          <w:szCs w:val="20"/>
        </w:rPr>
        <w:t>Structure and Infrastructure Engineering, 17</w:t>
      </w:r>
      <w:r w:rsidRPr="000C225F">
        <w:rPr>
          <w:rFonts w:ascii="Arial" w:eastAsia="Arial" w:hAnsi="Arial" w:cs="Arial"/>
          <w:color w:val="000000"/>
          <w:sz w:val="20"/>
          <w:szCs w:val="20"/>
        </w:rPr>
        <w:t>(4), 555–578.</w:t>
      </w:r>
    </w:p>
    <w:p w14:paraId="4DF86267" w14:textId="77777777" w:rsidR="00EB72BC" w:rsidRPr="000C225F" w:rsidRDefault="00F240DA" w:rsidP="000C225F">
      <w:pPr>
        <w:pStyle w:val="ListParagraph"/>
        <w:numPr>
          <w:ilvl w:val="0"/>
          <w:numId w:val="4"/>
        </w:numPr>
        <w:spacing w:after="0"/>
        <w:jc w:val="both"/>
        <w:rPr>
          <w:rFonts w:ascii="Arial" w:eastAsia="Arial" w:hAnsi="Arial" w:cs="Arial"/>
          <w:sz w:val="20"/>
          <w:szCs w:val="20"/>
        </w:rPr>
      </w:pPr>
      <w:proofErr w:type="spellStart"/>
      <w:r w:rsidRPr="000C225F">
        <w:rPr>
          <w:rFonts w:ascii="Arial" w:eastAsia="Arial" w:hAnsi="Arial" w:cs="Arial"/>
          <w:color w:val="222222"/>
          <w:sz w:val="20"/>
          <w:szCs w:val="20"/>
          <w:highlight w:val="white"/>
        </w:rPr>
        <w:t>Tricco</w:t>
      </w:r>
      <w:proofErr w:type="spellEnd"/>
      <w:r w:rsidRPr="000C225F">
        <w:rPr>
          <w:rFonts w:ascii="Arial" w:eastAsia="Arial" w:hAnsi="Arial" w:cs="Arial"/>
          <w:color w:val="222222"/>
          <w:sz w:val="20"/>
          <w:szCs w:val="20"/>
          <w:highlight w:val="white"/>
        </w:rPr>
        <w:t>, A. C., Lillie, E., Zarin, W., O'Brien, K. K., Colquhoun, H., Levac, D., ... &amp; Straus, S. E. (2018). PRISMA extension for scoping reviews (PRISMA-</w:t>
      </w:r>
      <w:proofErr w:type="spellStart"/>
      <w:r w:rsidRPr="000C225F">
        <w:rPr>
          <w:rFonts w:ascii="Arial" w:eastAsia="Arial" w:hAnsi="Arial" w:cs="Arial"/>
          <w:color w:val="222222"/>
          <w:sz w:val="20"/>
          <w:szCs w:val="20"/>
          <w:highlight w:val="white"/>
        </w:rPr>
        <w:t>ScR</w:t>
      </w:r>
      <w:proofErr w:type="spellEnd"/>
      <w:r w:rsidRPr="000C225F">
        <w:rPr>
          <w:rFonts w:ascii="Arial" w:eastAsia="Arial" w:hAnsi="Arial" w:cs="Arial"/>
          <w:color w:val="222222"/>
          <w:sz w:val="20"/>
          <w:szCs w:val="20"/>
          <w:highlight w:val="white"/>
        </w:rPr>
        <w:t>): checklist and explanation. </w:t>
      </w:r>
      <w:r w:rsidRPr="000C225F">
        <w:rPr>
          <w:rFonts w:ascii="Arial" w:eastAsia="Arial" w:hAnsi="Arial" w:cs="Arial"/>
          <w:i/>
          <w:iCs/>
          <w:color w:val="222222"/>
          <w:sz w:val="20"/>
          <w:szCs w:val="20"/>
          <w:highlight w:val="white"/>
        </w:rPr>
        <w:t>Annals of internal medicine</w:t>
      </w:r>
      <w:r w:rsidRPr="000C225F">
        <w:rPr>
          <w:rFonts w:ascii="Arial" w:eastAsia="Arial" w:hAnsi="Arial" w:cs="Arial"/>
          <w:color w:val="222222"/>
          <w:sz w:val="20"/>
          <w:szCs w:val="20"/>
          <w:highlight w:val="white"/>
        </w:rPr>
        <w:t>, </w:t>
      </w:r>
      <w:r w:rsidRPr="000C225F">
        <w:rPr>
          <w:rFonts w:ascii="Arial" w:eastAsia="Arial" w:hAnsi="Arial" w:cs="Arial"/>
          <w:i/>
          <w:iCs/>
          <w:color w:val="222222"/>
          <w:sz w:val="20"/>
          <w:szCs w:val="20"/>
          <w:highlight w:val="white"/>
        </w:rPr>
        <w:t>169</w:t>
      </w:r>
      <w:r w:rsidRPr="000C225F">
        <w:rPr>
          <w:rFonts w:ascii="Arial" w:eastAsia="Arial" w:hAnsi="Arial" w:cs="Arial"/>
          <w:color w:val="222222"/>
          <w:sz w:val="20"/>
          <w:szCs w:val="20"/>
          <w:highlight w:val="white"/>
        </w:rPr>
        <w:t>(7), 467-473.</w:t>
      </w:r>
    </w:p>
    <w:p w14:paraId="4CE3F371" w14:textId="77777777" w:rsidR="00EB72BC" w:rsidRPr="000C225F" w:rsidRDefault="00F240DA" w:rsidP="000C225F">
      <w:pPr>
        <w:pStyle w:val="ListParagraph"/>
        <w:numPr>
          <w:ilvl w:val="0"/>
          <w:numId w:val="4"/>
        </w:numPr>
        <w:spacing w:after="0"/>
        <w:jc w:val="both"/>
        <w:rPr>
          <w:rFonts w:ascii="Arial" w:eastAsia="Arial" w:hAnsi="Arial" w:cs="Arial"/>
          <w:sz w:val="20"/>
          <w:szCs w:val="20"/>
        </w:rPr>
      </w:pPr>
      <w:r w:rsidRPr="000C225F">
        <w:rPr>
          <w:rFonts w:ascii="Arial" w:eastAsia="Arial" w:hAnsi="Arial" w:cs="Arial"/>
          <w:sz w:val="20"/>
          <w:szCs w:val="20"/>
        </w:rPr>
        <w:t xml:space="preserve">United Nations Office for Disaster Risk Reduction. (2015). </w:t>
      </w:r>
      <w:r w:rsidRPr="000C225F">
        <w:rPr>
          <w:rFonts w:ascii="Arial" w:eastAsia="Arial" w:hAnsi="Arial" w:cs="Arial"/>
          <w:i/>
          <w:iCs/>
          <w:sz w:val="20"/>
          <w:szCs w:val="20"/>
        </w:rPr>
        <w:t>Sendai framework for disaster risk reduction 2015–2030</w:t>
      </w:r>
      <w:r w:rsidRPr="000C225F">
        <w:rPr>
          <w:rFonts w:ascii="Arial" w:eastAsia="Arial" w:hAnsi="Arial" w:cs="Arial"/>
          <w:sz w:val="20"/>
          <w:szCs w:val="20"/>
        </w:rPr>
        <w:t>. United Nations.</w:t>
      </w:r>
    </w:p>
    <w:p w14:paraId="5FFF10B6" w14:textId="77777777" w:rsidR="00EB72BC" w:rsidRPr="000C225F" w:rsidRDefault="00F240DA" w:rsidP="000C225F">
      <w:pPr>
        <w:pStyle w:val="ListParagraph"/>
        <w:numPr>
          <w:ilvl w:val="0"/>
          <w:numId w:val="4"/>
        </w:numPr>
        <w:spacing w:after="0"/>
        <w:jc w:val="both"/>
        <w:rPr>
          <w:rFonts w:ascii="Arial" w:eastAsia="Arial" w:hAnsi="Arial" w:cs="Arial"/>
          <w:sz w:val="20"/>
          <w:szCs w:val="20"/>
        </w:rPr>
      </w:pPr>
      <w:r w:rsidRPr="000C225F">
        <w:rPr>
          <w:rFonts w:ascii="Arial" w:eastAsia="Arial" w:hAnsi="Arial" w:cs="Arial"/>
          <w:sz w:val="20"/>
          <w:szCs w:val="20"/>
        </w:rPr>
        <w:t xml:space="preserve">United Nations Office for Disaster Risk Reduction. (2019). </w:t>
      </w:r>
      <w:r w:rsidRPr="000C225F">
        <w:rPr>
          <w:rFonts w:ascii="Arial" w:eastAsia="Arial" w:hAnsi="Arial" w:cs="Arial"/>
          <w:i/>
          <w:iCs/>
          <w:sz w:val="20"/>
          <w:szCs w:val="20"/>
        </w:rPr>
        <w:t>Global assessment report on disaster risk reduction</w:t>
      </w:r>
      <w:r w:rsidRPr="000C225F">
        <w:rPr>
          <w:rFonts w:ascii="Arial" w:eastAsia="Arial" w:hAnsi="Arial" w:cs="Arial"/>
          <w:sz w:val="20"/>
          <w:szCs w:val="20"/>
        </w:rPr>
        <w:t>. United Nations.</w:t>
      </w:r>
    </w:p>
    <w:p w14:paraId="57310E14"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Xu, J., &amp; Shao, Y. (2020). The role of the state in China’s post-disaster reconstruction planning: Implications for resilience. </w:t>
      </w:r>
      <w:r w:rsidRPr="000C225F">
        <w:rPr>
          <w:rFonts w:ascii="Arial" w:eastAsia="Arial" w:hAnsi="Arial" w:cs="Arial"/>
          <w:i/>
          <w:iCs/>
          <w:color w:val="000000"/>
          <w:sz w:val="20"/>
          <w:szCs w:val="20"/>
        </w:rPr>
        <w:t>Urban Studies, 57</w:t>
      </w:r>
      <w:r w:rsidRPr="000C225F">
        <w:rPr>
          <w:rFonts w:ascii="Arial" w:eastAsia="Arial" w:hAnsi="Arial" w:cs="Arial"/>
          <w:color w:val="000000"/>
          <w:sz w:val="20"/>
          <w:szCs w:val="20"/>
        </w:rPr>
        <w:t>(3), 525–545.</w:t>
      </w:r>
    </w:p>
    <w:p w14:paraId="0FF5E7B1"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Yang, C., Jin, Z., &amp; Yin, H. (2025). Assessment and evolution analysis of urban infrastructure resilience under flood disaster scenarios. </w:t>
      </w:r>
      <w:r w:rsidRPr="000C225F">
        <w:rPr>
          <w:rFonts w:ascii="Arial" w:eastAsia="Arial" w:hAnsi="Arial" w:cs="Arial"/>
          <w:i/>
          <w:iCs/>
          <w:color w:val="000000"/>
          <w:sz w:val="20"/>
          <w:szCs w:val="20"/>
        </w:rPr>
        <w:t>Scientific Reports, 15</w:t>
      </w:r>
      <w:r w:rsidRPr="000C225F">
        <w:rPr>
          <w:rFonts w:ascii="Arial" w:eastAsia="Arial" w:hAnsi="Arial" w:cs="Arial"/>
          <w:color w:val="000000"/>
          <w:sz w:val="20"/>
          <w:szCs w:val="20"/>
        </w:rPr>
        <w:t>, 36863.</w:t>
      </w:r>
    </w:p>
    <w:p w14:paraId="67C61D48"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lastRenderedPageBreak/>
        <w:br/>
        <w:t xml:space="preserve">Yu, S., Yuan, M., Wang, Q., Corcoran, J., Xu, Z., &amp; Peng, J. (2023). Dealing with urban floods within a resilience framework regarding disaster stages. </w:t>
      </w:r>
      <w:r w:rsidRPr="000C225F">
        <w:rPr>
          <w:rFonts w:ascii="Arial" w:eastAsia="Arial" w:hAnsi="Arial" w:cs="Arial"/>
          <w:i/>
          <w:iCs/>
          <w:color w:val="000000"/>
          <w:sz w:val="20"/>
          <w:szCs w:val="20"/>
        </w:rPr>
        <w:t>Habitat International, 136</w:t>
      </w:r>
      <w:r w:rsidRPr="000C225F">
        <w:rPr>
          <w:rFonts w:ascii="Arial" w:eastAsia="Arial" w:hAnsi="Arial" w:cs="Arial"/>
          <w:color w:val="000000"/>
          <w:sz w:val="20"/>
          <w:szCs w:val="20"/>
        </w:rPr>
        <w:t>, 102783.</w:t>
      </w:r>
    </w:p>
    <w:p w14:paraId="365E44E6"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Zhai, C., Zhao, Y., Wen, W., Qin, H., &amp; Xie, L. (2023). A novel urban seismic resilience assessment method considering the weighting of post-earthquake loss and recovery time. </w:t>
      </w:r>
      <w:r w:rsidRPr="000C225F">
        <w:rPr>
          <w:rFonts w:ascii="Arial" w:eastAsia="Arial" w:hAnsi="Arial" w:cs="Arial"/>
          <w:i/>
          <w:iCs/>
          <w:color w:val="000000"/>
          <w:sz w:val="20"/>
          <w:szCs w:val="20"/>
        </w:rPr>
        <w:t>International Journal of Disaster Risk Reduction, 84</w:t>
      </w:r>
      <w:r w:rsidRPr="000C225F">
        <w:rPr>
          <w:rFonts w:ascii="Arial" w:eastAsia="Arial" w:hAnsi="Arial" w:cs="Arial"/>
          <w:color w:val="000000"/>
          <w:sz w:val="20"/>
          <w:szCs w:val="20"/>
        </w:rPr>
        <w:t>, 103453.</w:t>
      </w:r>
    </w:p>
    <w:p w14:paraId="5985FB0D"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Zhai, W., Peng, Z. R., &amp; Bai, X. (2024). Prototypical resilience projects for </w:t>
      </w:r>
      <w:proofErr w:type="spellStart"/>
      <w:r w:rsidRPr="000C225F">
        <w:rPr>
          <w:rFonts w:ascii="Arial" w:eastAsia="Arial" w:hAnsi="Arial" w:cs="Arial"/>
          <w:color w:val="000000"/>
          <w:sz w:val="20"/>
          <w:szCs w:val="20"/>
        </w:rPr>
        <w:t>postdisaster</w:t>
      </w:r>
      <w:proofErr w:type="spellEnd"/>
      <w:r w:rsidRPr="000C225F">
        <w:rPr>
          <w:rFonts w:ascii="Arial" w:eastAsia="Arial" w:hAnsi="Arial" w:cs="Arial"/>
          <w:color w:val="000000"/>
          <w:sz w:val="20"/>
          <w:szCs w:val="20"/>
        </w:rPr>
        <w:t xml:space="preserve"> recovery planning. </w:t>
      </w:r>
      <w:r w:rsidRPr="000C225F">
        <w:rPr>
          <w:rFonts w:ascii="Arial" w:eastAsia="Arial" w:hAnsi="Arial" w:cs="Arial"/>
          <w:i/>
          <w:iCs/>
          <w:color w:val="000000"/>
          <w:sz w:val="20"/>
          <w:szCs w:val="20"/>
        </w:rPr>
        <w:t>Journal of Planning Education and Research, 44</w:t>
      </w:r>
      <w:r w:rsidRPr="000C225F">
        <w:rPr>
          <w:rFonts w:ascii="Arial" w:eastAsia="Arial" w:hAnsi="Arial" w:cs="Arial"/>
          <w:color w:val="000000"/>
          <w:sz w:val="20"/>
          <w:szCs w:val="20"/>
        </w:rPr>
        <w:t>(3), 1223–1242.</w:t>
      </w:r>
    </w:p>
    <w:p w14:paraId="03FD1737"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Zhang, J., Zhang, M., &amp; Li, G. (2021). Multi-stage composition of urban resilience and the influence of pre-disaster urban functionality on urban resilience. </w:t>
      </w:r>
      <w:r w:rsidRPr="000C225F">
        <w:rPr>
          <w:rFonts w:ascii="Arial" w:eastAsia="Arial" w:hAnsi="Arial" w:cs="Arial"/>
          <w:i/>
          <w:iCs/>
          <w:color w:val="000000"/>
          <w:sz w:val="20"/>
          <w:szCs w:val="20"/>
        </w:rPr>
        <w:t>Natural Hazards, 107</w:t>
      </w:r>
      <w:r w:rsidRPr="000C225F">
        <w:rPr>
          <w:rFonts w:ascii="Arial" w:eastAsia="Arial" w:hAnsi="Arial" w:cs="Arial"/>
          <w:color w:val="000000"/>
          <w:sz w:val="20"/>
          <w:szCs w:val="20"/>
        </w:rPr>
        <w:t>(1), 447–473.</w:t>
      </w:r>
    </w:p>
    <w:p w14:paraId="1F704544"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Zhang, W., Dong, H., Wen, J., &amp; Han, Q. (2025). A resilience-based decision framework for post-earthquake restoration of bridge networks under uncertainty. </w:t>
      </w:r>
      <w:r w:rsidRPr="000C225F">
        <w:rPr>
          <w:rFonts w:ascii="Arial" w:eastAsia="Arial" w:hAnsi="Arial" w:cs="Arial"/>
          <w:i/>
          <w:iCs/>
          <w:color w:val="000000"/>
          <w:sz w:val="20"/>
          <w:szCs w:val="20"/>
        </w:rPr>
        <w:t>Structure and Infrastructure Engineering.</w:t>
      </w:r>
    </w:p>
    <w:p w14:paraId="311E0298"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Zhang, W., Han, Q., Dong, H., Wen, J., &amp; Xu, C. (2024). Resilience-based post-earthquake restoration scheduling for urban interdependent transportation-electric power network. </w:t>
      </w:r>
      <w:r w:rsidRPr="000C225F">
        <w:rPr>
          <w:rFonts w:ascii="Arial" w:eastAsia="Arial" w:hAnsi="Arial" w:cs="Arial"/>
          <w:i/>
          <w:iCs/>
          <w:color w:val="000000"/>
          <w:sz w:val="20"/>
          <w:szCs w:val="20"/>
        </w:rPr>
        <w:t>Structure and Infrastructure Engineering.</w:t>
      </w:r>
    </w:p>
    <w:p w14:paraId="6756403B" w14:textId="77777777" w:rsidR="00EB72BC" w:rsidRPr="000C225F" w:rsidRDefault="00F240DA" w:rsidP="000C225F">
      <w:pPr>
        <w:pStyle w:val="ListParagraph"/>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sidRPr="000C225F">
        <w:rPr>
          <w:rFonts w:ascii="Arial" w:eastAsia="Arial" w:hAnsi="Arial" w:cs="Arial"/>
          <w:color w:val="000000"/>
          <w:sz w:val="20"/>
          <w:szCs w:val="20"/>
        </w:rPr>
        <w:br/>
        <w:t xml:space="preserve">Zhang, W., Wang, N., &amp; Nicholson, C. (2017). Resilience-based post-disaster recovery strategies for road-bridge networks. </w:t>
      </w:r>
      <w:r w:rsidRPr="000C225F">
        <w:rPr>
          <w:rFonts w:ascii="Arial" w:eastAsia="Arial" w:hAnsi="Arial" w:cs="Arial"/>
          <w:i/>
          <w:iCs/>
          <w:color w:val="000000"/>
          <w:sz w:val="20"/>
          <w:szCs w:val="20"/>
        </w:rPr>
        <w:t>Structure and Infrastructure Engineering, 13</w:t>
      </w:r>
      <w:r w:rsidRPr="000C225F">
        <w:rPr>
          <w:rFonts w:ascii="Arial" w:eastAsia="Arial" w:hAnsi="Arial" w:cs="Arial"/>
          <w:color w:val="000000"/>
          <w:sz w:val="20"/>
          <w:szCs w:val="20"/>
        </w:rPr>
        <w:t>(11), 1404–1413.</w:t>
      </w:r>
    </w:p>
    <w:p w14:paraId="560F2ED1" w14:textId="77777777" w:rsidR="0045457B" w:rsidRPr="000C225F" w:rsidRDefault="00F240DA" w:rsidP="000C225F">
      <w:pPr>
        <w:pStyle w:val="ListParagraph"/>
        <w:numPr>
          <w:ilvl w:val="0"/>
          <w:numId w:val="4"/>
        </w:numPr>
        <w:pBdr>
          <w:top w:val="nil"/>
          <w:left w:val="nil"/>
          <w:bottom w:val="nil"/>
          <w:right w:val="nil"/>
          <w:between w:val="nil"/>
        </w:pBdr>
        <w:spacing w:line="240" w:lineRule="auto"/>
        <w:jc w:val="both"/>
        <w:rPr>
          <w:rFonts w:ascii="Arial" w:eastAsia="Arial" w:hAnsi="Arial" w:cs="Arial"/>
          <w:i/>
          <w:iCs/>
          <w:color w:val="000000"/>
          <w:sz w:val="20"/>
          <w:szCs w:val="20"/>
        </w:rPr>
      </w:pPr>
      <w:r w:rsidRPr="000C225F">
        <w:rPr>
          <w:rFonts w:ascii="Arial" w:eastAsia="Arial" w:hAnsi="Arial" w:cs="Arial"/>
          <w:color w:val="000000"/>
          <w:sz w:val="20"/>
          <w:szCs w:val="20"/>
        </w:rPr>
        <w:br/>
        <w:t xml:space="preserve">Zhao, Z., Li, Z., Wang, T., Lin, Z., &amp; Fang, D. (2025). Post-disaster recovery planning for infrastructure systems based on residents’ needs: A hypernetwork approach. </w:t>
      </w:r>
      <w:r w:rsidRPr="000C225F">
        <w:rPr>
          <w:rFonts w:ascii="Arial" w:eastAsia="Arial" w:hAnsi="Arial" w:cs="Arial"/>
          <w:i/>
          <w:iCs/>
          <w:color w:val="000000"/>
          <w:sz w:val="20"/>
          <w:szCs w:val="20"/>
        </w:rPr>
        <w:t>International Journal of Disaster Risk Reduction.</w:t>
      </w:r>
      <w:r w:rsidR="0045457B" w:rsidRPr="000C225F">
        <w:rPr>
          <w:rFonts w:ascii="Arial" w:eastAsia="Arial" w:hAnsi="Arial" w:cs="Arial"/>
          <w:i/>
          <w:iCs/>
          <w:color w:val="000000"/>
          <w:sz w:val="20"/>
          <w:szCs w:val="20"/>
        </w:rPr>
        <w:t xml:space="preserve"> </w:t>
      </w:r>
    </w:p>
    <w:p w14:paraId="47A61BA7" w14:textId="77777777" w:rsidR="0045457B" w:rsidRPr="000C225F" w:rsidRDefault="0045457B" w:rsidP="000C225F">
      <w:pPr>
        <w:pStyle w:val="ListParagraph"/>
        <w:numPr>
          <w:ilvl w:val="0"/>
          <w:numId w:val="4"/>
        </w:numPr>
        <w:pBdr>
          <w:top w:val="nil"/>
          <w:left w:val="nil"/>
          <w:bottom w:val="nil"/>
          <w:right w:val="nil"/>
          <w:between w:val="nil"/>
        </w:pBdr>
        <w:spacing w:line="240" w:lineRule="auto"/>
        <w:jc w:val="both"/>
        <w:rPr>
          <w:rFonts w:ascii="Arial" w:eastAsia="Arial" w:hAnsi="Arial" w:cs="Arial"/>
          <w:color w:val="000000"/>
          <w:sz w:val="20"/>
          <w:szCs w:val="20"/>
          <w:highlight w:val="yellow"/>
          <w:lang w:val="en-US"/>
        </w:rPr>
      </w:pPr>
      <w:r w:rsidRPr="000C225F">
        <w:rPr>
          <w:rFonts w:ascii="Arial" w:eastAsia="Arial" w:hAnsi="Arial" w:cs="Arial"/>
          <w:color w:val="000000"/>
          <w:sz w:val="20"/>
          <w:szCs w:val="20"/>
          <w:highlight w:val="yellow"/>
          <w:lang w:val="en-US"/>
        </w:rPr>
        <w:t xml:space="preserve">Cao, H. (2023). Urban Resilience: Concept, Influencing Factors and Improvement. Frontiers in Business, Economics and Management, 9(1), 343–346. </w:t>
      </w:r>
      <w:hyperlink r:id="rId9" w:history="1">
        <w:r w:rsidRPr="000C225F">
          <w:rPr>
            <w:rStyle w:val="Hyperlink"/>
            <w:rFonts w:ascii="Arial" w:eastAsia="Arial" w:hAnsi="Arial" w:cs="Arial"/>
            <w:sz w:val="20"/>
            <w:szCs w:val="20"/>
            <w:highlight w:val="yellow"/>
            <w:lang w:val="en-US"/>
          </w:rPr>
          <w:t>https://doi.org/10.54097/fbem.v9i1.8777</w:t>
        </w:r>
      </w:hyperlink>
      <w:r w:rsidRPr="000C225F">
        <w:rPr>
          <w:rFonts w:ascii="Arial" w:eastAsia="Arial" w:hAnsi="Arial" w:cs="Arial"/>
          <w:color w:val="000000"/>
          <w:sz w:val="20"/>
          <w:szCs w:val="20"/>
          <w:highlight w:val="yellow"/>
          <w:lang w:val="en-US"/>
        </w:rPr>
        <w:t xml:space="preserve"> </w:t>
      </w:r>
    </w:p>
    <w:p w14:paraId="118E2EB2" w14:textId="77777777" w:rsidR="00443DAB" w:rsidRPr="000C225F" w:rsidRDefault="0045457B" w:rsidP="000C225F">
      <w:pPr>
        <w:pStyle w:val="ListParagraph"/>
        <w:numPr>
          <w:ilvl w:val="0"/>
          <w:numId w:val="4"/>
        </w:numPr>
        <w:pBdr>
          <w:top w:val="nil"/>
          <w:left w:val="nil"/>
          <w:bottom w:val="nil"/>
          <w:right w:val="nil"/>
          <w:between w:val="nil"/>
        </w:pBdr>
        <w:spacing w:line="240" w:lineRule="auto"/>
        <w:jc w:val="both"/>
        <w:rPr>
          <w:rFonts w:ascii="Arial" w:eastAsia="Arial" w:hAnsi="Arial" w:cs="Arial"/>
          <w:color w:val="000000"/>
          <w:sz w:val="20"/>
          <w:szCs w:val="20"/>
          <w:highlight w:val="yellow"/>
        </w:rPr>
      </w:pPr>
      <w:r w:rsidRPr="000C225F">
        <w:rPr>
          <w:rFonts w:ascii="Arial" w:eastAsia="Arial" w:hAnsi="Arial" w:cs="Arial"/>
          <w:color w:val="000000"/>
          <w:sz w:val="20"/>
          <w:szCs w:val="20"/>
          <w:highlight w:val="yellow"/>
        </w:rPr>
        <w:t>Kong, L., Mu, X., Hu, G., &amp; Zhang, Z. (2022). The application of resilience theory in urban development: a literature review. </w:t>
      </w:r>
      <w:r w:rsidRPr="000C225F">
        <w:rPr>
          <w:rFonts w:ascii="Arial" w:eastAsia="Arial" w:hAnsi="Arial" w:cs="Arial"/>
          <w:i/>
          <w:iCs/>
          <w:color w:val="000000"/>
          <w:sz w:val="20"/>
          <w:szCs w:val="20"/>
          <w:highlight w:val="yellow"/>
        </w:rPr>
        <w:t>Environmental science and pollution research international</w:t>
      </w:r>
      <w:r w:rsidRPr="000C225F">
        <w:rPr>
          <w:rFonts w:ascii="Arial" w:eastAsia="Arial" w:hAnsi="Arial" w:cs="Arial"/>
          <w:color w:val="000000"/>
          <w:sz w:val="20"/>
          <w:szCs w:val="20"/>
          <w:highlight w:val="yellow"/>
        </w:rPr>
        <w:t>, </w:t>
      </w:r>
      <w:r w:rsidRPr="000C225F">
        <w:rPr>
          <w:rFonts w:ascii="Arial" w:eastAsia="Arial" w:hAnsi="Arial" w:cs="Arial"/>
          <w:i/>
          <w:iCs/>
          <w:color w:val="000000"/>
          <w:sz w:val="20"/>
          <w:szCs w:val="20"/>
          <w:highlight w:val="yellow"/>
        </w:rPr>
        <w:t>29</w:t>
      </w:r>
      <w:r w:rsidRPr="000C225F">
        <w:rPr>
          <w:rFonts w:ascii="Arial" w:eastAsia="Arial" w:hAnsi="Arial" w:cs="Arial"/>
          <w:color w:val="000000"/>
          <w:sz w:val="20"/>
          <w:szCs w:val="20"/>
          <w:highlight w:val="yellow"/>
        </w:rPr>
        <w:t xml:space="preserve">(33), 49651–49671. </w:t>
      </w:r>
      <w:hyperlink r:id="rId10" w:history="1">
        <w:r w:rsidR="00443DAB" w:rsidRPr="000C225F">
          <w:rPr>
            <w:rStyle w:val="Hyperlink"/>
            <w:rFonts w:ascii="Arial" w:eastAsia="Arial" w:hAnsi="Arial" w:cs="Arial"/>
            <w:sz w:val="20"/>
            <w:szCs w:val="20"/>
            <w:highlight w:val="yellow"/>
          </w:rPr>
          <w:t>https://doi.org/10.1007/s11356-022-20891-x</w:t>
        </w:r>
      </w:hyperlink>
      <w:r w:rsidR="00443DAB" w:rsidRPr="000C225F">
        <w:rPr>
          <w:rFonts w:ascii="Arial" w:eastAsia="Arial" w:hAnsi="Arial" w:cs="Arial"/>
          <w:color w:val="000000"/>
          <w:sz w:val="20"/>
          <w:szCs w:val="20"/>
          <w:highlight w:val="yellow"/>
        </w:rPr>
        <w:t xml:space="preserve">  </w:t>
      </w:r>
    </w:p>
    <w:p w14:paraId="104D88DF" w14:textId="77777777" w:rsidR="00F901AF" w:rsidRPr="000C225F" w:rsidRDefault="00443DAB" w:rsidP="000C225F">
      <w:pPr>
        <w:pStyle w:val="ListParagraph"/>
        <w:numPr>
          <w:ilvl w:val="0"/>
          <w:numId w:val="4"/>
        </w:numPr>
        <w:pBdr>
          <w:top w:val="nil"/>
          <w:left w:val="nil"/>
          <w:bottom w:val="nil"/>
          <w:right w:val="nil"/>
          <w:between w:val="nil"/>
        </w:pBdr>
        <w:spacing w:line="240" w:lineRule="auto"/>
        <w:jc w:val="both"/>
        <w:rPr>
          <w:rFonts w:ascii="Arial" w:eastAsia="Arial" w:hAnsi="Arial" w:cs="Arial"/>
          <w:color w:val="000000"/>
          <w:sz w:val="20"/>
          <w:szCs w:val="20"/>
          <w:highlight w:val="yellow"/>
          <w:lang w:val="es-US"/>
        </w:rPr>
      </w:pPr>
      <w:r w:rsidRPr="000C225F">
        <w:rPr>
          <w:rFonts w:ascii="Arial" w:eastAsia="Arial" w:hAnsi="Arial" w:cs="Arial"/>
          <w:color w:val="000000"/>
          <w:sz w:val="20"/>
          <w:szCs w:val="20"/>
          <w:highlight w:val="yellow"/>
          <w:lang w:val="en-US"/>
        </w:rPr>
        <w:t xml:space="preserve">Maleki, M., Esmailzadeh, A., Ranjbar, M. E., </w:t>
      </w:r>
      <w:proofErr w:type="spellStart"/>
      <w:r w:rsidRPr="000C225F">
        <w:rPr>
          <w:rFonts w:ascii="Arial" w:eastAsia="Arial" w:hAnsi="Arial" w:cs="Arial"/>
          <w:color w:val="000000"/>
          <w:sz w:val="20"/>
          <w:szCs w:val="20"/>
          <w:highlight w:val="yellow"/>
          <w:lang w:val="en-US"/>
        </w:rPr>
        <w:t>Derakhshesh</w:t>
      </w:r>
      <w:proofErr w:type="spellEnd"/>
      <w:r w:rsidRPr="000C225F">
        <w:rPr>
          <w:rFonts w:ascii="Arial" w:eastAsia="Arial" w:hAnsi="Arial" w:cs="Arial"/>
          <w:color w:val="000000"/>
          <w:sz w:val="20"/>
          <w:szCs w:val="20"/>
          <w:highlight w:val="yellow"/>
          <w:lang w:val="en-US"/>
        </w:rPr>
        <w:t xml:space="preserve">, P., Hosseini, J., Rahmati, M., Wang, J., </w:t>
      </w:r>
      <w:proofErr w:type="spellStart"/>
      <w:r w:rsidRPr="000C225F">
        <w:rPr>
          <w:rFonts w:ascii="Arial" w:eastAsia="Arial" w:hAnsi="Arial" w:cs="Arial"/>
          <w:color w:val="000000"/>
          <w:sz w:val="20"/>
          <w:szCs w:val="20"/>
          <w:highlight w:val="yellow"/>
          <w:lang w:val="en-US"/>
        </w:rPr>
        <w:t>Khanmohammadidoustani</w:t>
      </w:r>
      <w:proofErr w:type="spellEnd"/>
      <w:r w:rsidRPr="000C225F">
        <w:rPr>
          <w:rFonts w:ascii="Arial" w:eastAsia="Arial" w:hAnsi="Arial" w:cs="Arial"/>
          <w:color w:val="000000"/>
          <w:sz w:val="20"/>
          <w:szCs w:val="20"/>
          <w:highlight w:val="yellow"/>
          <w:lang w:val="en-US"/>
        </w:rPr>
        <w:t xml:space="preserve">, S., &amp; Rustum, R. (2026). Urban resilience to </w:t>
      </w:r>
      <w:proofErr w:type="spellStart"/>
      <w:r w:rsidRPr="000C225F">
        <w:rPr>
          <w:rFonts w:ascii="Arial" w:eastAsia="Arial" w:hAnsi="Arial" w:cs="Arial"/>
          <w:color w:val="000000"/>
          <w:sz w:val="20"/>
          <w:szCs w:val="20"/>
          <w:highlight w:val="yellow"/>
          <w:lang w:val="en-US"/>
        </w:rPr>
        <w:t>urbanisation</w:t>
      </w:r>
      <w:proofErr w:type="spellEnd"/>
      <w:r w:rsidRPr="000C225F">
        <w:rPr>
          <w:rFonts w:ascii="Arial" w:eastAsia="Arial" w:hAnsi="Arial" w:cs="Arial"/>
          <w:color w:val="000000"/>
          <w:sz w:val="20"/>
          <w:szCs w:val="20"/>
          <w:highlight w:val="yellow"/>
          <w:lang w:val="en-US"/>
        </w:rPr>
        <w:t>, climate change and natural risk in urban historic areas of developing countries: a systematic review. </w:t>
      </w:r>
      <w:r w:rsidRPr="000C225F">
        <w:rPr>
          <w:rFonts w:ascii="Arial" w:eastAsia="Arial" w:hAnsi="Arial" w:cs="Arial"/>
          <w:i/>
          <w:iCs/>
          <w:color w:val="000000"/>
          <w:sz w:val="20"/>
          <w:szCs w:val="20"/>
          <w:highlight w:val="yellow"/>
          <w:lang w:val="en-US"/>
        </w:rPr>
        <w:t>Advances in Space Research</w:t>
      </w:r>
      <w:r w:rsidRPr="000C225F">
        <w:rPr>
          <w:rFonts w:ascii="Arial" w:eastAsia="Arial" w:hAnsi="Arial" w:cs="Arial"/>
          <w:color w:val="000000"/>
          <w:sz w:val="20"/>
          <w:szCs w:val="20"/>
          <w:highlight w:val="yellow"/>
          <w:lang w:val="en-US"/>
        </w:rPr>
        <w:t xml:space="preserve">. </w:t>
      </w:r>
      <w:hyperlink r:id="rId11" w:history="1">
        <w:r w:rsidRPr="000C225F">
          <w:rPr>
            <w:rStyle w:val="Hyperlink"/>
            <w:rFonts w:ascii="Arial" w:eastAsia="Arial" w:hAnsi="Arial" w:cs="Arial"/>
            <w:sz w:val="20"/>
            <w:szCs w:val="20"/>
            <w:highlight w:val="yellow"/>
            <w:lang w:val="es-US"/>
          </w:rPr>
          <w:t>https://doi.org/10.1016/j.asr.2026.03.008</w:t>
        </w:r>
      </w:hyperlink>
      <w:r w:rsidRPr="000C225F">
        <w:rPr>
          <w:rFonts w:ascii="Arial" w:eastAsia="Arial" w:hAnsi="Arial" w:cs="Arial"/>
          <w:color w:val="000000"/>
          <w:sz w:val="20"/>
          <w:szCs w:val="20"/>
          <w:highlight w:val="yellow"/>
          <w:lang w:val="es-US"/>
        </w:rPr>
        <w:t xml:space="preserve">  </w:t>
      </w:r>
      <w:r w:rsidR="00F901AF" w:rsidRPr="000C225F">
        <w:rPr>
          <w:rFonts w:ascii="Arial" w:eastAsia="Arial" w:hAnsi="Arial" w:cs="Arial"/>
          <w:color w:val="000000"/>
          <w:sz w:val="20"/>
          <w:szCs w:val="20"/>
          <w:highlight w:val="yellow"/>
          <w:lang w:val="es-US"/>
        </w:rPr>
        <w:t xml:space="preserve"> </w:t>
      </w:r>
    </w:p>
    <w:p w14:paraId="2DB60A74" w14:textId="3471E43B" w:rsidR="00F901AF" w:rsidRPr="000C225F" w:rsidRDefault="00F901AF" w:rsidP="000C225F">
      <w:pPr>
        <w:pStyle w:val="ListParagraph"/>
        <w:numPr>
          <w:ilvl w:val="0"/>
          <w:numId w:val="4"/>
        </w:numPr>
        <w:pBdr>
          <w:top w:val="nil"/>
          <w:left w:val="nil"/>
          <w:bottom w:val="nil"/>
          <w:right w:val="nil"/>
          <w:between w:val="nil"/>
        </w:pBdr>
        <w:spacing w:line="240" w:lineRule="auto"/>
        <w:jc w:val="both"/>
        <w:rPr>
          <w:rFonts w:ascii="Arial" w:eastAsia="Arial" w:hAnsi="Arial" w:cs="Arial"/>
          <w:color w:val="000000"/>
          <w:sz w:val="20"/>
          <w:szCs w:val="20"/>
          <w:highlight w:val="yellow"/>
          <w:lang w:val="en-US"/>
        </w:rPr>
      </w:pPr>
      <w:r w:rsidRPr="000C225F">
        <w:rPr>
          <w:rFonts w:ascii="Arial" w:eastAsia="Arial" w:hAnsi="Arial" w:cs="Arial"/>
          <w:color w:val="000000"/>
          <w:sz w:val="20"/>
          <w:szCs w:val="20"/>
          <w:highlight w:val="yellow"/>
          <w:lang w:val="en-US"/>
        </w:rPr>
        <w:t xml:space="preserve">Xue, J., Park, S., Mondal, W. U., Reia, S. M., Yao, T., &amp; </w:t>
      </w:r>
      <w:proofErr w:type="spellStart"/>
      <w:r w:rsidRPr="000C225F">
        <w:rPr>
          <w:rFonts w:ascii="Arial" w:eastAsia="Arial" w:hAnsi="Arial" w:cs="Arial"/>
          <w:color w:val="000000"/>
          <w:sz w:val="20"/>
          <w:szCs w:val="20"/>
          <w:highlight w:val="yellow"/>
          <w:lang w:val="en-US"/>
        </w:rPr>
        <w:t>Ukkusuri</w:t>
      </w:r>
      <w:proofErr w:type="spellEnd"/>
      <w:r w:rsidRPr="000C225F">
        <w:rPr>
          <w:rFonts w:ascii="Arial" w:eastAsia="Arial" w:hAnsi="Arial" w:cs="Arial"/>
          <w:color w:val="000000"/>
          <w:sz w:val="20"/>
          <w:szCs w:val="20"/>
          <w:highlight w:val="yellow"/>
          <w:lang w:val="en-US"/>
        </w:rPr>
        <w:t>, S. V. (2024). An agent-based model of post-disaster recovery in multilayer socio-physical networks. </w:t>
      </w:r>
      <w:r w:rsidRPr="000C225F">
        <w:rPr>
          <w:rFonts w:ascii="Arial" w:eastAsia="Arial" w:hAnsi="Arial" w:cs="Arial"/>
          <w:i/>
          <w:iCs/>
          <w:color w:val="000000"/>
          <w:sz w:val="20"/>
          <w:szCs w:val="20"/>
          <w:highlight w:val="yellow"/>
          <w:lang w:val="en-US"/>
        </w:rPr>
        <w:t>Sustainable Cities and Society</w:t>
      </w:r>
      <w:r w:rsidRPr="000C225F">
        <w:rPr>
          <w:rFonts w:ascii="Arial" w:eastAsia="Arial" w:hAnsi="Arial" w:cs="Arial"/>
          <w:color w:val="000000"/>
          <w:sz w:val="20"/>
          <w:szCs w:val="20"/>
          <w:highlight w:val="yellow"/>
          <w:lang w:val="en-US"/>
        </w:rPr>
        <w:t>, </w:t>
      </w:r>
      <w:r w:rsidRPr="000C225F">
        <w:rPr>
          <w:rFonts w:ascii="Arial" w:eastAsia="Arial" w:hAnsi="Arial" w:cs="Arial"/>
          <w:i/>
          <w:iCs/>
          <w:color w:val="000000"/>
          <w:sz w:val="20"/>
          <w:szCs w:val="20"/>
          <w:highlight w:val="yellow"/>
          <w:lang w:val="en-US"/>
        </w:rPr>
        <w:t>115</w:t>
      </w:r>
      <w:r w:rsidRPr="000C225F">
        <w:rPr>
          <w:rFonts w:ascii="Arial" w:eastAsia="Arial" w:hAnsi="Arial" w:cs="Arial"/>
          <w:color w:val="000000"/>
          <w:sz w:val="20"/>
          <w:szCs w:val="20"/>
          <w:highlight w:val="yellow"/>
          <w:lang w:val="en-US"/>
        </w:rPr>
        <w:t>, 105863. https://doi.org/10.1016/j.scs.2024.105863</w:t>
      </w:r>
    </w:p>
    <w:p w14:paraId="3BBBD6A3" w14:textId="77777777" w:rsidR="00F901AF" w:rsidRPr="00F901AF" w:rsidRDefault="00F901AF" w:rsidP="00F901AF">
      <w:pPr>
        <w:pBdr>
          <w:top w:val="nil"/>
          <w:left w:val="nil"/>
          <w:bottom w:val="nil"/>
          <w:right w:val="nil"/>
          <w:between w:val="nil"/>
        </w:pBdr>
        <w:spacing w:line="240" w:lineRule="auto"/>
        <w:jc w:val="both"/>
        <w:rPr>
          <w:rFonts w:ascii="Arial" w:eastAsia="Arial" w:hAnsi="Arial" w:cs="Arial"/>
          <w:color w:val="000000"/>
          <w:sz w:val="20"/>
          <w:szCs w:val="20"/>
          <w:highlight w:val="yellow"/>
          <w:lang w:val="en-US"/>
        </w:rPr>
      </w:pPr>
      <w:r w:rsidRPr="00F901AF">
        <w:rPr>
          <w:rFonts w:ascii="Arial" w:eastAsia="Arial" w:hAnsi="Arial" w:cs="Arial"/>
          <w:color w:val="000000"/>
          <w:sz w:val="20"/>
          <w:szCs w:val="20"/>
          <w:highlight w:val="yellow"/>
          <w:lang w:val="en-US"/>
        </w:rPr>
        <w:t>‌</w:t>
      </w:r>
    </w:p>
    <w:p w14:paraId="6E05D7B4" w14:textId="30260488" w:rsidR="00443DAB" w:rsidRPr="00F901AF" w:rsidRDefault="00443DAB" w:rsidP="00443DAB">
      <w:pPr>
        <w:pBdr>
          <w:top w:val="nil"/>
          <w:left w:val="nil"/>
          <w:bottom w:val="nil"/>
          <w:right w:val="nil"/>
          <w:between w:val="nil"/>
        </w:pBdr>
        <w:spacing w:line="240" w:lineRule="auto"/>
        <w:jc w:val="both"/>
        <w:rPr>
          <w:rFonts w:ascii="Arial" w:eastAsia="Arial" w:hAnsi="Arial" w:cs="Arial"/>
          <w:color w:val="000000"/>
          <w:sz w:val="20"/>
          <w:szCs w:val="20"/>
          <w:highlight w:val="yellow"/>
          <w:lang w:val="es-US"/>
        </w:rPr>
      </w:pPr>
    </w:p>
    <w:p w14:paraId="73F48220" w14:textId="77777777" w:rsidR="00443DAB" w:rsidRPr="00F901AF" w:rsidRDefault="00443DAB" w:rsidP="00443DAB">
      <w:pPr>
        <w:pBdr>
          <w:top w:val="nil"/>
          <w:left w:val="nil"/>
          <w:bottom w:val="nil"/>
          <w:right w:val="nil"/>
          <w:between w:val="nil"/>
        </w:pBdr>
        <w:spacing w:line="240" w:lineRule="auto"/>
        <w:jc w:val="both"/>
        <w:rPr>
          <w:rFonts w:ascii="Arial" w:eastAsia="Arial" w:hAnsi="Arial" w:cs="Arial"/>
          <w:color w:val="000000"/>
          <w:sz w:val="20"/>
          <w:szCs w:val="20"/>
          <w:highlight w:val="yellow"/>
          <w:lang w:val="en-US"/>
        </w:rPr>
      </w:pPr>
      <w:r w:rsidRPr="00F901AF">
        <w:rPr>
          <w:rFonts w:ascii="Arial" w:eastAsia="Arial" w:hAnsi="Arial" w:cs="Arial"/>
          <w:color w:val="000000"/>
          <w:sz w:val="20"/>
          <w:szCs w:val="20"/>
          <w:highlight w:val="yellow"/>
          <w:lang w:val="en-US"/>
        </w:rPr>
        <w:t>‌</w:t>
      </w:r>
    </w:p>
    <w:p w14:paraId="5D4BCF65" w14:textId="0630F918" w:rsidR="0045457B" w:rsidRPr="00F901AF" w:rsidRDefault="0045457B" w:rsidP="0045457B">
      <w:pPr>
        <w:pBdr>
          <w:top w:val="nil"/>
          <w:left w:val="nil"/>
          <w:bottom w:val="nil"/>
          <w:right w:val="nil"/>
          <w:between w:val="nil"/>
        </w:pBdr>
        <w:spacing w:line="240" w:lineRule="auto"/>
        <w:jc w:val="both"/>
        <w:rPr>
          <w:rFonts w:ascii="Arial" w:eastAsia="Arial" w:hAnsi="Arial" w:cs="Arial"/>
          <w:color w:val="000000"/>
          <w:sz w:val="20"/>
          <w:szCs w:val="20"/>
          <w:highlight w:val="yellow"/>
          <w:lang w:val="en-US"/>
        </w:rPr>
      </w:pPr>
    </w:p>
    <w:p w14:paraId="40604004" w14:textId="77777777" w:rsidR="0045457B" w:rsidRPr="0045457B" w:rsidRDefault="0045457B" w:rsidP="0045457B">
      <w:pPr>
        <w:pBdr>
          <w:top w:val="nil"/>
          <w:left w:val="nil"/>
          <w:bottom w:val="nil"/>
          <w:right w:val="nil"/>
          <w:between w:val="nil"/>
        </w:pBdr>
        <w:spacing w:after="0" w:line="240" w:lineRule="auto"/>
        <w:jc w:val="both"/>
        <w:rPr>
          <w:rFonts w:ascii="Arial" w:eastAsia="Arial" w:hAnsi="Arial" w:cs="Arial"/>
          <w:i/>
          <w:iCs/>
          <w:color w:val="000000"/>
          <w:sz w:val="20"/>
          <w:szCs w:val="20"/>
          <w:lang w:val="en-US"/>
        </w:rPr>
      </w:pPr>
      <w:r w:rsidRPr="00F901AF">
        <w:rPr>
          <w:rFonts w:ascii="Arial" w:eastAsia="Arial" w:hAnsi="Arial" w:cs="Arial"/>
          <w:i/>
          <w:iCs/>
          <w:color w:val="000000"/>
          <w:sz w:val="20"/>
          <w:szCs w:val="20"/>
          <w:highlight w:val="yellow"/>
          <w:lang w:val="en-US"/>
        </w:rPr>
        <w:t>‌</w:t>
      </w:r>
    </w:p>
    <w:p w14:paraId="72EB0E6B" w14:textId="4784A9A0" w:rsidR="00EB72BC" w:rsidRDefault="00EB72BC">
      <w:pPr>
        <w:pBdr>
          <w:top w:val="nil"/>
          <w:left w:val="nil"/>
          <w:bottom w:val="nil"/>
          <w:right w:val="nil"/>
          <w:between w:val="nil"/>
        </w:pBdr>
        <w:spacing w:after="0" w:line="240" w:lineRule="auto"/>
        <w:jc w:val="both"/>
        <w:rPr>
          <w:rFonts w:ascii="Arial" w:eastAsia="Arial" w:hAnsi="Arial" w:cs="Arial"/>
          <w:color w:val="000000"/>
          <w:sz w:val="20"/>
          <w:szCs w:val="20"/>
        </w:rPr>
      </w:pPr>
    </w:p>
    <w:p w14:paraId="3E9509CB" w14:textId="77777777" w:rsidR="00EB72BC" w:rsidRDefault="00EB72BC">
      <w:pPr>
        <w:spacing w:before="280" w:line="240" w:lineRule="auto"/>
        <w:jc w:val="both"/>
        <w:rPr>
          <w:rFonts w:ascii="Arial" w:eastAsia="Arial" w:hAnsi="Arial" w:cs="Arial"/>
          <w:sz w:val="20"/>
          <w:szCs w:val="20"/>
        </w:rPr>
      </w:pPr>
    </w:p>
    <w:sectPr w:rsidR="00EB72B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FABCE" w14:textId="77777777" w:rsidR="00C87A6A" w:rsidRDefault="00C87A6A" w:rsidP="008253AC">
      <w:pPr>
        <w:spacing w:after="0" w:line="240" w:lineRule="auto"/>
      </w:pPr>
      <w:r>
        <w:separator/>
      </w:r>
    </w:p>
  </w:endnote>
  <w:endnote w:type="continuationSeparator" w:id="0">
    <w:p w14:paraId="4D97E927" w14:textId="77777777" w:rsidR="00C87A6A" w:rsidRDefault="00C87A6A" w:rsidP="00825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44FC9655-B682-4F42-AEDC-BCEDBE2608C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4F631AD-9ADC-439A-9D31-981DBBB30FD6}"/>
    <w:embedBold r:id="rId3" w:fontKey="{ABCCB1FD-B71E-4E98-9D0F-A17A6876069A}"/>
    <w:embedItalic r:id="rId4" w:fontKey="{20E8BD1A-7472-4DDE-96D7-BD61F8E66CFC}"/>
  </w:font>
  <w:font w:name="Calibri Light">
    <w:panose1 w:val="020F0302020204030204"/>
    <w:charset w:val="00"/>
    <w:family w:val="swiss"/>
    <w:pitch w:val="variable"/>
    <w:sig w:usb0="E4002EFF" w:usb1="C200247B" w:usb2="00000009" w:usb3="00000000" w:csb0="000001FF" w:csb1="00000000"/>
    <w:embedRegular r:id="rId5" w:fontKey="{43DE90AA-FDF3-4BC0-83F9-D59E2BE9024E}"/>
  </w:font>
  <w:font w:name="Segoe UI">
    <w:panose1 w:val="020B0502040204020203"/>
    <w:charset w:val="00"/>
    <w:family w:val="swiss"/>
    <w:pitch w:val="variable"/>
    <w:sig w:usb0="E4002EFF" w:usb1="C000E47F" w:usb2="00000009" w:usb3="00000000" w:csb0="000001FF" w:csb1="00000000"/>
    <w:embedRegular r:id="rId6" w:fontKey="{5C0D53F6-FABC-4528-AAA9-85B0C5708D29}"/>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C005C421-7E9B-4005-BBE3-4C622026F7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B8BCD" w14:textId="77777777" w:rsidR="008253AC" w:rsidRDefault="008253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81CD8" w14:textId="77777777" w:rsidR="008253AC" w:rsidRDefault="008253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2D405" w14:textId="77777777" w:rsidR="008253AC" w:rsidRDefault="008253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76164" w14:textId="77777777" w:rsidR="00C87A6A" w:rsidRDefault="00C87A6A" w:rsidP="008253AC">
      <w:pPr>
        <w:spacing w:after="0" w:line="240" w:lineRule="auto"/>
      </w:pPr>
      <w:r>
        <w:separator/>
      </w:r>
    </w:p>
  </w:footnote>
  <w:footnote w:type="continuationSeparator" w:id="0">
    <w:p w14:paraId="09D857D2" w14:textId="77777777" w:rsidR="00C87A6A" w:rsidRDefault="00C87A6A" w:rsidP="008253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1F638" w14:textId="77777777" w:rsidR="008253AC" w:rsidRDefault="00C87A6A">
    <w:pPr>
      <w:pStyle w:val="Header"/>
    </w:pPr>
    <w:r>
      <w:rPr>
        <w:noProof/>
      </w:rPr>
      <w:pict w14:anchorId="121A5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613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C2A5F" w14:textId="77777777" w:rsidR="008253AC" w:rsidRDefault="00C87A6A">
    <w:pPr>
      <w:pStyle w:val="Header"/>
    </w:pPr>
    <w:r>
      <w:rPr>
        <w:noProof/>
      </w:rPr>
      <w:pict w14:anchorId="1834CF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613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EDE42" w14:textId="77777777" w:rsidR="008253AC" w:rsidRDefault="00C87A6A">
    <w:pPr>
      <w:pStyle w:val="Header"/>
    </w:pPr>
    <w:r>
      <w:rPr>
        <w:noProof/>
      </w:rPr>
      <w:pict w14:anchorId="3CF753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613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14DE"/>
    <w:multiLevelType w:val="multilevel"/>
    <w:tmpl w:val="8A72D7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6C7196"/>
    <w:multiLevelType w:val="multilevel"/>
    <w:tmpl w:val="9D8EBB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8A850DE"/>
    <w:multiLevelType w:val="hybridMultilevel"/>
    <w:tmpl w:val="4456F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176A58"/>
    <w:multiLevelType w:val="multilevel"/>
    <w:tmpl w:val="20940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CwNLW0NDA3szA0NDVQ0lEKTi0uzszPAykwrAUAIQNl0CwAAAA="/>
  </w:docVars>
  <w:rsids>
    <w:rsidRoot w:val="00EB72BC"/>
    <w:rsid w:val="000A751E"/>
    <w:rsid w:val="000C225F"/>
    <w:rsid w:val="002F504B"/>
    <w:rsid w:val="00443DAB"/>
    <w:rsid w:val="0045457B"/>
    <w:rsid w:val="00602517"/>
    <w:rsid w:val="006E7625"/>
    <w:rsid w:val="008253AC"/>
    <w:rsid w:val="00A43FE6"/>
    <w:rsid w:val="00BE3F4A"/>
    <w:rsid w:val="00C87A6A"/>
    <w:rsid w:val="00EB72BC"/>
    <w:rsid w:val="00F240DA"/>
    <w:rsid w:val="00F425D2"/>
    <w:rsid w:val="00F90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7D54A2"/>
  <w15:docId w15:val="{48533331-3646-4B3B-82FD-1001CDF4B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072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72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72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8072C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072C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072C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72C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72C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72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72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72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72C8"/>
    <w:rPr>
      <w:rFonts w:eastAsiaTheme="majorEastAsia" w:cstheme="majorBidi"/>
      <w:color w:val="272727" w:themeColor="text1" w:themeTint="D8"/>
    </w:rPr>
  </w:style>
  <w:style w:type="character" w:customStyle="1" w:styleId="TitleChar">
    <w:name w:val="Title Char"/>
    <w:basedOn w:val="DefaultParagraphFont"/>
    <w:link w:val="Title"/>
    <w:uiPriority w:val="10"/>
    <w:rsid w:val="008072C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072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72C8"/>
    <w:pPr>
      <w:spacing w:before="160"/>
      <w:jc w:val="center"/>
    </w:pPr>
    <w:rPr>
      <w:i/>
      <w:iCs/>
      <w:color w:val="404040" w:themeColor="text1" w:themeTint="BF"/>
    </w:rPr>
  </w:style>
  <w:style w:type="character" w:customStyle="1" w:styleId="QuoteChar">
    <w:name w:val="Quote Char"/>
    <w:basedOn w:val="DefaultParagraphFont"/>
    <w:link w:val="Quote"/>
    <w:uiPriority w:val="29"/>
    <w:rsid w:val="008072C8"/>
    <w:rPr>
      <w:i/>
      <w:iCs/>
      <w:color w:val="404040" w:themeColor="text1" w:themeTint="BF"/>
    </w:rPr>
  </w:style>
  <w:style w:type="paragraph" w:styleId="ListParagraph">
    <w:name w:val="List Paragraph"/>
    <w:basedOn w:val="Normal"/>
    <w:uiPriority w:val="34"/>
    <w:qFormat/>
    <w:rsid w:val="008072C8"/>
    <w:pPr>
      <w:ind w:left="720"/>
      <w:contextualSpacing/>
    </w:pPr>
  </w:style>
  <w:style w:type="character" w:styleId="IntenseEmphasis">
    <w:name w:val="Intense Emphasis"/>
    <w:basedOn w:val="DefaultParagraphFont"/>
    <w:uiPriority w:val="21"/>
    <w:qFormat/>
    <w:rsid w:val="008072C8"/>
    <w:rPr>
      <w:i/>
      <w:iCs/>
      <w:color w:val="2F5496" w:themeColor="accent1" w:themeShade="BF"/>
    </w:rPr>
  </w:style>
  <w:style w:type="paragraph" w:styleId="IntenseQuote">
    <w:name w:val="Intense Quote"/>
    <w:basedOn w:val="Normal"/>
    <w:next w:val="Normal"/>
    <w:link w:val="IntenseQuoteChar"/>
    <w:uiPriority w:val="30"/>
    <w:qFormat/>
    <w:rsid w:val="008072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72C8"/>
    <w:rPr>
      <w:i/>
      <w:iCs/>
      <w:color w:val="2F5496" w:themeColor="accent1" w:themeShade="BF"/>
    </w:rPr>
  </w:style>
  <w:style w:type="character" w:styleId="IntenseReference">
    <w:name w:val="Intense Reference"/>
    <w:basedOn w:val="DefaultParagraphFont"/>
    <w:uiPriority w:val="32"/>
    <w:qFormat/>
    <w:rsid w:val="008072C8"/>
    <w:rPr>
      <w:b/>
      <w:bCs/>
      <w:smallCaps/>
      <w:color w:val="2F5496" w:themeColor="accent1" w:themeShade="BF"/>
      <w:spacing w:val="5"/>
    </w:rPr>
  </w:style>
  <w:style w:type="paragraph" w:styleId="NormalWeb">
    <w:name w:val="Normal (Web)"/>
    <w:basedOn w:val="Normal"/>
    <w:uiPriority w:val="99"/>
    <w:semiHidden/>
    <w:unhideWhenUsed/>
    <w:rsid w:val="008072C8"/>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8072C8"/>
    <w:rPr>
      <w:i/>
      <w:iCs/>
    </w:rPr>
  </w:style>
  <w:style w:type="character" w:customStyle="1" w:styleId="whitespace-normal">
    <w:name w:val="whitespace-normal"/>
    <w:basedOn w:val="DefaultParagraphFont"/>
    <w:rsid w:val="008072C8"/>
  </w:style>
  <w:style w:type="character" w:styleId="Strong">
    <w:name w:val="Strong"/>
    <w:basedOn w:val="DefaultParagraphFont"/>
    <w:uiPriority w:val="22"/>
    <w:qFormat/>
    <w:rsid w:val="008072C8"/>
    <w:rPr>
      <w:b/>
      <w:bCs/>
    </w:rPr>
  </w:style>
  <w:style w:type="character" w:styleId="Hyperlink">
    <w:name w:val="Hyperlink"/>
    <w:basedOn w:val="DefaultParagraphFont"/>
    <w:rsid w:val="00ED04C3"/>
    <w:rPr>
      <w:color w:val="4472C4" w:themeColor="accent1"/>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8253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3AC"/>
  </w:style>
  <w:style w:type="paragraph" w:styleId="Footer">
    <w:name w:val="footer"/>
    <w:basedOn w:val="Normal"/>
    <w:link w:val="FooterChar"/>
    <w:uiPriority w:val="99"/>
    <w:unhideWhenUsed/>
    <w:rsid w:val="008253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3AC"/>
  </w:style>
  <w:style w:type="paragraph" w:styleId="NoSpacing">
    <w:name w:val="No Spacing"/>
    <w:uiPriority w:val="1"/>
    <w:qFormat/>
    <w:rsid w:val="002F504B"/>
    <w:pPr>
      <w:spacing w:after="0" w:line="240" w:lineRule="auto"/>
    </w:pPr>
    <w:rPr>
      <w:rFonts w:asciiTheme="minorHAnsi" w:eastAsiaTheme="minorHAnsi" w:hAnsiTheme="minorHAnsi" w:cstheme="minorBidi"/>
      <w:sz w:val="22"/>
      <w:szCs w:val="22"/>
      <w:lang w:val="en-GB"/>
    </w:rPr>
  </w:style>
  <w:style w:type="paragraph" w:styleId="Revision">
    <w:name w:val="Revision"/>
    <w:hidden/>
    <w:uiPriority w:val="99"/>
    <w:semiHidden/>
    <w:rsid w:val="000A751E"/>
    <w:pPr>
      <w:spacing w:after="0" w:line="240" w:lineRule="auto"/>
    </w:pPr>
  </w:style>
  <w:style w:type="character" w:styleId="UnresolvedMention">
    <w:name w:val="Unresolved Mention"/>
    <w:basedOn w:val="DefaultParagraphFont"/>
    <w:uiPriority w:val="99"/>
    <w:semiHidden/>
    <w:unhideWhenUsed/>
    <w:rsid w:val="0045457B"/>
    <w:rPr>
      <w:color w:val="605E5C"/>
      <w:shd w:val="clear" w:color="auto" w:fill="E1DFDD"/>
    </w:rPr>
  </w:style>
  <w:style w:type="paragraph" w:styleId="BalloonText">
    <w:name w:val="Balloon Text"/>
    <w:basedOn w:val="Normal"/>
    <w:link w:val="BalloonTextChar"/>
    <w:uiPriority w:val="99"/>
    <w:semiHidden/>
    <w:unhideWhenUsed/>
    <w:rsid w:val="000C22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2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asr.2026.03.008"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i.org/10.1007/s11356-022-20891-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54097/fbem.v9i1.8777"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AKCmZhkIRjSdQgNA2zD1iL5LBQ==">CgMxLjA4AHIhMWttallZbFR2d0w5aWZfalRQV3VFblR2N2o3aEpHRThf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21</Pages>
  <Words>9559</Words>
  <Characters>54490</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 Arowosegbe</dc:creator>
  <cp:lastModifiedBy>Editor-1183</cp:lastModifiedBy>
  <cp:revision>7</cp:revision>
  <dcterms:created xsi:type="dcterms:W3CDTF">2026-03-04T21:15:00Z</dcterms:created>
  <dcterms:modified xsi:type="dcterms:W3CDTF">2026-04-09T05:30:00Z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c560fdc7-9bd0-404d-811f-8adfde5d09ab</vt:lpwstr>
  </property>
</Properties>
</file>